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1B00BC94">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6C8C8A47">
      <w:pPr>
        <w:jc w:val="center"/>
        <w:rPr>
          <w:rFonts w:ascii="黑体" w:hAnsi="黑体" w:eastAsia="黑体"/>
          <w:i w:val="0"/>
          <w:iCs w:val="0"/>
          <w:color w:val="auto"/>
          <w:sz w:val="72"/>
          <w:szCs w:val="72"/>
          <w:highlight w:val="none"/>
        </w:rPr>
      </w:pPr>
      <w:r>
        <w:rPr>
          <w:rFonts w:ascii="黑体" w:hAnsi="宋体" w:eastAsia="黑体"/>
          <w:color w:val="auto"/>
          <w:sz w:val="52"/>
          <w:highlight w:val="none"/>
        </w:rPr>
        <w:drawing>
          <wp:anchor distT="0" distB="0" distL="114300" distR="114300" simplePos="0" relativeHeight="251661312" behindDoc="1" locked="0" layoutInCell="1" allowOverlap="1">
            <wp:simplePos x="0" y="0"/>
            <wp:positionH relativeFrom="margin">
              <wp:posOffset>470535</wp:posOffset>
            </wp:positionH>
            <wp:positionV relativeFrom="paragraph">
              <wp:posOffset>609600</wp:posOffset>
            </wp:positionV>
            <wp:extent cx="4260215" cy="1590040"/>
            <wp:effectExtent l="192405" t="0" r="210820" b="737235"/>
            <wp:wrapNone/>
            <wp:docPr id="1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8"/>
                    <pic:cNvPicPr>
                      <a:picLocks noChangeAspect="1" noChangeArrowheads="1"/>
                    </pic:cNvPicPr>
                  </pic:nvPicPr>
                  <pic:blipFill>
                    <a:blip r:embed="rId16" cstate="print">
                      <a:extLst>
                        <a:ext uri="{28A0092B-C50C-407E-A947-70E740481C1C}">
                          <a14:useLocalDpi xmlns:a14="http://schemas.microsoft.com/office/drawing/2010/main" val="0"/>
                        </a:ext>
                      </a:extLst>
                    </a:blip>
                    <a:srcRect r="313" b="9343"/>
                    <a:stretch>
                      <a:fillRect/>
                    </a:stretch>
                  </pic:blipFill>
                  <pic:spPr>
                    <a:xfrm>
                      <a:off x="0" y="0"/>
                      <a:ext cx="4260215" cy="1590040"/>
                    </a:xfrm>
                    <a:prstGeom prst="rect">
                      <a:avLst/>
                    </a:prstGeom>
                    <a:noFill/>
                    <a:ln>
                      <a:noFill/>
                    </a:ln>
                    <a:effectLst>
                      <a:reflection blurRad="6350" stA="50000" endA="300" endPos="55500" dist="101600" dir="5400000" sy="-100000" algn="bl" rotWithShape="0"/>
                    </a:effectLst>
                    <a:scene3d>
                      <a:camera prst="perspectiveRelaxedModerately"/>
                      <a:lightRig rig="threePt" dir="t"/>
                    </a:scene3d>
                  </pic:spPr>
                </pic:pic>
              </a:graphicData>
            </a:graphic>
          </wp:anchor>
        </w:drawing>
      </w:r>
    </w:p>
    <w:p w14:paraId="281ECC9C">
      <w:pPr>
        <w:jc w:val="center"/>
        <w:rPr>
          <w:rFonts w:ascii="黑体" w:hAnsi="黑体" w:eastAsia="黑体"/>
          <w:i w:val="0"/>
          <w:iCs w:val="0"/>
          <w:color w:val="auto"/>
          <w:sz w:val="72"/>
          <w:szCs w:val="72"/>
          <w:highlight w:val="none"/>
        </w:rPr>
      </w:pPr>
    </w:p>
    <w:p w14:paraId="450CD3A6">
      <w:pPr>
        <w:jc w:val="center"/>
        <w:rPr>
          <w:rFonts w:ascii="黑体" w:hAnsi="黑体" w:eastAsia="黑体"/>
          <w:i w:val="0"/>
          <w:iCs w:val="0"/>
          <w:color w:val="auto"/>
          <w:sz w:val="72"/>
          <w:szCs w:val="72"/>
          <w:highlight w:val="none"/>
        </w:rPr>
      </w:pPr>
    </w:p>
    <w:p w14:paraId="78476F91">
      <w:pPr>
        <w:ind w:left="420" w:leftChars="175"/>
        <w:rPr>
          <w:rFonts w:hint="eastAsia" w:ascii="宋体" w:hAnsi="宋体" w:eastAsia="宋体" w:cs="宋体"/>
          <w:i w:val="0"/>
          <w:iCs w:val="0"/>
          <w:color w:val="auto"/>
          <w:sz w:val="36"/>
          <w:szCs w:val="36"/>
          <w:highlight w:val="none"/>
        </w:rPr>
      </w:pPr>
    </w:p>
    <w:p w14:paraId="7BEC039B">
      <w:pPr>
        <w:ind w:left="420" w:leftChars="175"/>
        <w:rPr>
          <w:rFonts w:hint="eastAsia" w:ascii="宋体" w:hAnsi="宋体" w:eastAsia="宋体" w:cs="宋体"/>
          <w:i w:val="0"/>
          <w:iCs w:val="0"/>
          <w:color w:val="auto"/>
          <w:sz w:val="36"/>
          <w:szCs w:val="36"/>
          <w:highlight w:val="none"/>
        </w:rPr>
      </w:pPr>
    </w:p>
    <w:p w14:paraId="1E2F220C">
      <w:pPr>
        <w:ind w:left="420" w:leftChars="175"/>
        <w:rPr>
          <w:rFonts w:hint="eastAsia" w:ascii="宋体" w:hAnsi="宋体" w:eastAsia="宋体" w:cs="宋体"/>
          <w:i w:val="0"/>
          <w:iCs w:val="0"/>
          <w:color w:val="auto"/>
          <w:sz w:val="36"/>
          <w:szCs w:val="36"/>
          <w:highlight w:val="none"/>
        </w:rPr>
      </w:pPr>
    </w:p>
    <w:p w14:paraId="75D57E8F">
      <w:pPr>
        <w:ind w:left="420" w:leftChars="175"/>
        <w:rPr>
          <w:rFonts w:hint="eastAsia" w:ascii="宋体" w:hAnsi="宋体" w:eastAsia="宋体" w:cs="宋体"/>
          <w:i w:val="0"/>
          <w:iCs w:val="0"/>
          <w:color w:val="auto"/>
          <w:sz w:val="36"/>
          <w:szCs w:val="36"/>
          <w:highlight w:val="none"/>
        </w:rPr>
      </w:pPr>
    </w:p>
    <w:p w14:paraId="5F9D8CE5">
      <w:pPr>
        <w:ind w:left="420" w:leftChars="175"/>
        <w:rPr>
          <w:rFonts w:hint="eastAsia" w:ascii="宋体" w:hAnsi="宋体" w:eastAsia="宋体" w:cs="宋体"/>
          <w:i w:val="0"/>
          <w:iCs w:val="0"/>
          <w:color w:val="auto"/>
          <w:sz w:val="36"/>
          <w:szCs w:val="36"/>
          <w:highlight w:val="none"/>
        </w:rPr>
      </w:pPr>
    </w:p>
    <w:p w14:paraId="05EB3636">
      <w:pPr>
        <w:ind w:left="420" w:leftChars="175"/>
        <w:rPr>
          <w:rFonts w:hint="eastAsia" w:ascii="宋体" w:hAnsi="宋体" w:eastAsia="宋体" w:cs="宋体"/>
          <w:i w:val="0"/>
          <w:iCs w:val="0"/>
          <w:color w:val="auto"/>
          <w:sz w:val="36"/>
          <w:szCs w:val="36"/>
          <w:highlight w:val="none"/>
        </w:rPr>
      </w:pPr>
    </w:p>
    <w:p w14:paraId="63EA3B80">
      <w:pPr>
        <w:snapToGrid w:val="0"/>
        <w:spacing w:line="360" w:lineRule="auto"/>
        <w:ind w:right="-191"/>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auto"/>
          <w:sz w:val="32"/>
          <w:szCs w:val="32"/>
          <w:highlight w:val="none"/>
        </w:rPr>
        <w:t>项目编号</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cs="宋体"/>
          <w:b/>
          <w:color w:val="000000" w:themeColor="text1"/>
          <w:sz w:val="32"/>
          <w:szCs w:val="32"/>
          <w:highlight w:val="none"/>
          <w:lang w:eastAsia="zh-CN"/>
          <w14:textFill>
            <w14:solidFill>
              <w14:schemeClr w14:val="tx1"/>
            </w14:solidFill>
          </w14:textFill>
        </w:rPr>
        <w:t>TC269H0CR</w:t>
      </w:r>
    </w:p>
    <w:p w14:paraId="165CB563">
      <w:pPr>
        <w:snapToGrid w:val="0"/>
        <w:spacing w:line="360" w:lineRule="auto"/>
        <w:ind w:right="-191"/>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项目名称：新疆医科大学第一附属医院建设工程造价咨询服务项目</w:t>
      </w:r>
    </w:p>
    <w:p w14:paraId="455CF727">
      <w:pPr>
        <w:snapToGrid w:val="0"/>
        <w:spacing w:line="360" w:lineRule="auto"/>
        <w:ind w:right="-191"/>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 购 人：</w:t>
      </w:r>
      <w:r>
        <w:rPr>
          <w:rFonts w:hint="eastAsia" w:cs="宋体"/>
          <w:b/>
          <w:color w:val="000000" w:themeColor="text1"/>
          <w:sz w:val="32"/>
          <w:szCs w:val="32"/>
          <w:highlight w:val="none"/>
          <w:lang w:eastAsia="zh-CN"/>
          <w14:textFill>
            <w14:solidFill>
              <w14:schemeClr w14:val="tx1"/>
            </w14:solidFill>
          </w14:textFill>
        </w:rPr>
        <w:t>新疆医科大学第一附属医院</w:t>
      </w:r>
    </w:p>
    <w:p w14:paraId="1165949B">
      <w:pPr>
        <w:pStyle w:val="65"/>
        <w:spacing w:line="360" w:lineRule="auto"/>
        <w:rPr>
          <w:rFonts w:ascii="宋体" w:hAnsi="宋体" w:eastAsia="宋体" w:cs="宋体"/>
          <w:color w:val="000000" w:themeColor="text1"/>
          <w:highlight w:val="none"/>
          <w14:textFill>
            <w14:solidFill>
              <w14:schemeClr w14:val="tx1"/>
            </w14:solidFill>
          </w14:textFill>
        </w:rPr>
      </w:pPr>
    </w:p>
    <w:p w14:paraId="48C01F88">
      <w:pPr>
        <w:pStyle w:val="65"/>
        <w:spacing w:line="360" w:lineRule="auto"/>
        <w:rPr>
          <w:rFonts w:ascii="宋体" w:hAnsi="宋体" w:eastAsia="宋体" w:cs="宋体"/>
          <w:color w:val="000000" w:themeColor="text1"/>
          <w:highlight w:val="none"/>
          <w14:textFill>
            <w14:solidFill>
              <w14:schemeClr w14:val="tx1"/>
            </w14:solidFill>
          </w14:textFill>
        </w:rPr>
      </w:pPr>
    </w:p>
    <w:p w14:paraId="0A6AC548">
      <w:pPr>
        <w:snapToGrid w:val="0"/>
        <w:spacing w:line="360" w:lineRule="auto"/>
        <w:jc w:val="cente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中招国际招标有限公司</w:t>
      </w:r>
    </w:p>
    <w:p w14:paraId="55B2AE18">
      <w:pPr>
        <w:ind w:firstLine="3213" w:firstLineChars="1000"/>
        <w:rPr>
          <w:rFonts w:hint="eastAsia" w:ascii="宋体" w:hAnsi="宋体" w:eastAsia="宋体" w:cs="宋体"/>
          <w:i w:val="0"/>
          <w:iCs w:val="0"/>
          <w:color w:val="auto"/>
          <w:sz w:val="36"/>
          <w:szCs w:val="36"/>
          <w:highlight w:val="none"/>
        </w:rPr>
      </w:pPr>
      <w:r>
        <w:rPr>
          <w:rFonts w:hint="eastAsia" w:ascii="宋体" w:hAnsi="宋体" w:eastAsia="宋体" w:cs="宋体"/>
          <w:b/>
          <w:color w:val="000000" w:themeColor="text1"/>
          <w:sz w:val="32"/>
          <w:szCs w:val="32"/>
          <w:highlight w:val="none"/>
          <w14:textFill>
            <w14:solidFill>
              <w14:schemeClr w14:val="tx1"/>
            </w14:solidFill>
          </w14:textFill>
        </w:rPr>
        <w:t>202</w:t>
      </w:r>
      <w:r>
        <w:rPr>
          <w:rFonts w:hint="eastAsia" w:cs="宋体"/>
          <w:b/>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color w:val="000000" w:themeColor="text1"/>
          <w:sz w:val="32"/>
          <w:szCs w:val="32"/>
          <w:highlight w:val="none"/>
          <w14:textFill>
            <w14:solidFill>
              <w14:schemeClr w14:val="tx1"/>
            </w14:solidFill>
          </w14:textFill>
        </w:rPr>
        <w:t>年</w:t>
      </w:r>
      <w:r>
        <w:rPr>
          <w:rFonts w:hint="eastAsia" w:cs="宋体"/>
          <w:b/>
          <w:color w:val="000000" w:themeColor="text1"/>
          <w:sz w:val="32"/>
          <w:szCs w:val="32"/>
          <w:highlight w:val="none"/>
          <w:lang w:val="en-US" w:eastAsia="zh-CN"/>
          <w14:textFill>
            <w14:solidFill>
              <w14:schemeClr w14:val="tx1"/>
            </w14:solidFill>
          </w14:textFill>
        </w:rPr>
        <w:t>04</w:t>
      </w:r>
      <w:r>
        <w:rPr>
          <w:rFonts w:hint="eastAsia" w:ascii="宋体" w:hAnsi="宋体" w:eastAsia="宋体" w:cs="宋体"/>
          <w:b/>
          <w:color w:val="000000" w:themeColor="text1"/>
          <w:sz w:val="32"/>
          <w:szCs w:val="32"/>
          <w:highlight w:val="none"/>
          <w14:textFill>
            <w14:solidFill>
              <w14:schemeClr w14:val="tx1"/>
            </w14:solidFill>
          </w14:textFill>
        </w:rPr>
        <w:t>月</w:t>
      </w:r>
    </w:p>
    <w:p w14:paraId="351C4D59">
      <w:pPr>
        <w:rPr>
          <w:rFonts w:ascii="黑体" w:hAnsi="黑体" w:eastAsia="黑体"/>
          <w:i w:val="0"/>
          <w:iCs w:val="0"/>
          <w:color w:val="auto"/>
          <w:highlight w:val="none"/>
        </w:rPr>
      </w:pPr>
    </w:p>
    <w:p w14:paraId="48AF3E86">
      <w:pPr>
        <w:rPr>
          <w:rFonts w:ascii="黑体" w:hAnsi="黑体" w:eastAsia="黑体"/>
          <w:i w:val="0"/>
          <w:iCs w:val="0"/>
          <w:color w:val="auto"/>
          <w:highlight w:val="none"/>
        </w:rPr>
      </w:pPr>
    </w:p>
    <w:p w14:paraId="3CF0E911">
      <w:pP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27FDC88F">
      <w:pPr>
        <w:pStyle w:val="20"/>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6D415974">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C214E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_Toc26730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项目概况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2F61F7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_Toc29779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5C90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_Toc19653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二、申请人的</w:t>
      </w:r>
      <w:r>
        <w:rPr>
          <w:rFonts w:hint="eastAsia" w:ascii="宋体" w:hAnsi="宋体" w:eastAsia="宋体" w:cs="宋体"/>
          <w:bCs/>
          <w:i w:val="0"/>
          <w:iCs w:val="0"/>
          <w:color w:val="auto"/>
          <w:kern w:val="2"/>
          <w:sz w:val="24"/>
          <w:szCs w:val="24"/>
          <w:highlight w:val="none"/>
          <w:lang w:val="hr-HR" w:eastAsia="zh-CN" w:bidi="ar-SA"/>
        </w:rPr>
        <w:t>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98DB79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_Toc11100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hr-HR" w:eastAsia="zh-CN" w:bidi="ar-SA"/>
        </w:rPr>
        <w:t>获取</w:t>
      </w:r>
      <w:r>
        <w:rPr>
          <w:rFonts w:hint="eastAsia" w:ascii="宋体" w:hAnsi="宋体" w:eastAsia="宋体" w:cs="宋体"/>
          <w:bCs/>
          <w:i w:val="0"/>
          <w:iCs w:val="0"/>
          <w:color w:val="auto"/>
          <w:kern w:val="2"/>
          <w:sz w:val="24"/>
          <w:szCs w:val="24"/>
          <w:highlight w:val="none"/>
          <w:lang w:val="en-US" w:eastAsia="zh-CN" w:bidi="ar-SA"/>
        </w:rPr>
        <w:t>采购</w:t>
      </w:r>
      <w:r>
        <w:rPr>
          <w:rFonts w:hint="eastAsia" w:ascii="宋体" w:hAnsi="宋体" w:eastAsia="宋体" w:cs="宋体"/>
          <w:bCs/>
          <w:i w:val="0"/>
          <w:iCs w:val="0"/>
          <w:color w:val="auto"/>
          <w:kern w:val="2"/>
          <w:sz w:val="24"/>
          <w:szCs w:val="24"/>
          <w:highlight w:val="none"/>
          <w:lang w:val="hr-HR" w:eastAsia="zh-CN" w:bidi="ar-SA"/>
        </w:rPr>
        <w:t>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A75C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_Toc646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spacing w:val="-6"/>
          <w:kern w:val="2"/>
          <w:sz w:val="24"/>
          <w:szCs w:val="24"/>
          <w:highlight w:val="none"/>
          <w:lang w:val="hr-HR" w:eastAsia="zh-CN" w:bidi="ar-SA"/>
        </w:rPr>
        <w:t>响应文件提交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D9C2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_Toc25642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五、开启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6B0DC8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hr-HR" w:eastAsia="zh-CN" w:bidi="ar-SA"/>
        </w:rPr>
        <w:t>公告期限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27361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_Toc30600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hr-HR" w:eastAsia="zh-CN" w:bidi="ar-SA"/>
        </w:rPr>
        <w:t>凡对本次采购提出询问，请按以下方式联系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A082F0">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_Toc4980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3A6624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_Toc19787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_Toc19787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FFEED9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FFA37D">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_Toc15068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9AABBB9">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D6160D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w:t>
      </w:r>
      <w:r>
        <w:rPr>
          <w:rFonts w:hint="eastAsia" w:ascii="宋体" w:hAnsi="宋体" w:eastAsia="宋体" w:cs="宋体"/>
          <w:i w:val="0"/>
          <w:iCs w:val="0"/>
          <w:color w:val="auto"/>
          <w:sz w:val="24"/>
          <w:szCs w:val="24"/>
          <w:highlight w:val="none"/>
          <w:lang w:val="zh-CN" w:eastAsia="zh-CN"/>
        </w:rPr>
        <w:t>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B065C8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_Toc9851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0B89D9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_Toc17459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zh-CN" w:eastAsia="zh-CN"/>
        </w:rPr>
        <w:t>评审</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_Toc17459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D753CC">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_Toc13780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15BC1F3">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_Toc383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7CFD5A8">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_Toc4816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188E72F">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_Toc12918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_Toc22197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93</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3F026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94</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BD6ED5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_Toc18060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联合体协议书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0E3FD38">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_Toc3468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kern w:val="0"/>
          <w:sz w:val="24"/>
          <w:szCs w:val="24"/>
          <w:highlight w:val="none"/>
        </w:rPr>
        <w:t>联合体协议书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3FE57B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_Toc722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分包意向协议书【如适用】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83461B4">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_Toc28256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kern w:val="0"/>
          <w:sz w:val="24"/>
          <w:szCs w:val="24"/>
          <w:highlight w:val="none"/>
        </w:rPr>
        <w:t>分包意向协议</w:t>
      </w:r>
      <w:r>
        <w:rPr>
          <w:rFonts w:hint="eastAsia" w:ascii="宋体" w:hAnsi="宋体" w:eastAsia="宋体" w:cs="宋体"/>
          <w:i w:val="0"/>
          <w:iCs w:val="0"/>
          <w:color w:val="auto"/>
          <w:kern w:val="0"/>
          <w:sz w:val="24"/>
          <w:szCs w:val="24"/>
          <w:highlight w:val="none"/>
          <w:lang w:val="en-US" w:eastAsia="zh-CN"/>
        </w:rPr>
        <w:t>书</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2E10B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_Toc4839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104</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9B3EB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_Toc11970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117</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F185F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_Toc6611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118</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1F38DA3">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_Toc20777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_Toc25659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119</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21C3E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_Toc22453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120</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C6F76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_Toc12133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FEB36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Cs/>
          <w:i w:val="0"/>
          <w:iCs w:val="0"/>
          <w:color w:val="auto"/>
          <w:kern w:val="2"/>
          <w:sz w:val="24"/>
          <w:szCs w:val="24"/>
          <w:highlight w:val="none"/>
          <w:lang w:val="en-US" w:eastAsia="zh-CN" w:bidi="ar-SA"/>
        </w:rPr>
        <w:fldChar w:fldCharType="begin"/>
      </w:r>
      <w:r>
        <w:rPr>
          <w:rFonts w:hint="eastAsia" w:ascii="宋体" w:hAnsi="宋体" w:eastAsia="宋体" w:cs="宋体"/>
          <w:bCs/>
          <w:i w:val="0"/>
          <w:iCs w:val="0"/>
          <w:color w:val="auto"/>
          <w:kern w:val="2"/>
          <w:sz w:val="24"/>
          <w:szCs w:val="24"/>
          <w:highlight w:val="none"/>
          <w:lang w:val="en-US" w:eastAsia="zh-CN" w:bidi="ar-SA"/>
        </w:rPr>
        <w:instrText xml:space="preserve"> HYPERLINK \l _Toc10600 </w:instrText>
      </w:r>
      <w:r>
        <w:rPr>
          <w:rFonts w:hint="eastAsia" w:ascii="宋体" w:hAnsi="宋体" w:eastAsia="宋体" w:cs="宋体"/>
          <w:bCs/>
          <w:i w:val="0"/>
          <w:iCs w:val="0"/>
          <w:color w:val="auto"/>
          <w:kern w:val="2"/>
          <w:sz w:val="24"/>
          <w:szCs w:val="24"/>
          <w:highlight w:val="none"/>
          <w:lang w:val="en-US" w:eastAsia="zh-CN" w:bidi="ar-SA"/>
        </w:rPr>
        <w:fldChar w:fldCharType="separate"/>
      </w:r>
      <w:r>
        <w:rPr>
          <w:rFonts w:hint="eastAsia" w:ascii="宋体" w:hAnsi="宋体" w:eastAsia="宋体" w:cs="宋体"/>
          <w:bCs/>
          <w:i w:val="0"/>
          <w:iCs w:val="0"/>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bCs/>
          <w:i w:val="0"/>
          <w:iCs w:val="0"/>
          <w:color w:val="auto"/>
          <w:kern w:val="2"/>
          <w:sz w:val="24"/>
          <w:szCs w:val="24"/>
          <w:highlight w:val="none"/>
          <w:lang w:val="en-US" w:eastAsia="zh-CN" w:bidi="ar-SA"/>
        </w:rPr>
        <w:fldChar w:fldCharType="end"/>
      </w:r>
      <w:r>
        <w:rPr>
          <w:rFonts w:hint="eastAsia" w:ascii="宋体" w:hAnsi="宋体" w:eastAsia="宋体" w:cs="宋体"/>
          <w:bCs/>
          <w:i w:val="0"/>
          <w:iCs w:val="0"/>
          <w:color w:val="auto"/>
          <w:kern w:val="2"/>
          <w:sz w:val="24"/>
          <w:szCs w:val="24"/>
          <w:highlight w:val="none"/>
          <w:lang w:val="en-US" w:eastAsia="zh-CN" w:bidi="ar-SA"/>
        </w:rPr>
        <w:fldChar w:fldCharType="begin"/>
      </w:r>
      <w:r>
        <w:rPr>
          <w:rFonts w:hint="eastAsia" w:ascii="宋体" w:hAnsi="宋体" w:eastAsia="宋体" w:cs="宋体"/>
          <w:bCs/>
          <w:i w:val="0"/>
          <w:iCs w:val="0"/>
          <w:color w:val="auto"/>
          <w:kern w:val="2"/>
          <w:sz w:val="24"/>
          <w:szCs w:val="24"/>
          <w:highlight w:val="none"/>
          <w:lang w:val="en-US" w:eastAsia="zh-CN" w:bidi="ar-SA"/>
        </w:rPr>
        <w:instrText xml:space="preserve"> HYPERLINK \l _Toc12759 </w:instrText>
      </w:r>
      <w:r>
        <w:rPr>
          <w:rFonts w:hint="eastAsia" w:ascii="宋体" w:hAnsi="宋体" w:eastAsia="宋体" w:cs="宋体"/>
          <w:bCs/>
          <w:i w:val="0"/>
          <w:iCs w:val="0"/>
          <w:color w:val="auto"/>
          <w:kern w:val="2"/>
          <w:sz w:val="24"/>
          <w:szCs w:val="24"/>
          <w:highlight w:val="none"/>
          <w:lang w:val="en-US" w:eastAsia="zh-CN" w:bidi="ar-SA"/>
        </w:rPr>
        <w:fldChar w:fldCharType="separate"/>
      </w:r>
      <w:r>
        <w:rPr>
          <w:rFonts w:hint="eastAsia" w:ascii="宋体" w:hAnsi="宋体" w:eastAsia="宋体" w:cs="宋体"/>
          <w:bCs/>
          <w:i w:val="0"/>
          <w:iCs w:val="0"/>
          <w:color w:val="auto"/>
          <w:kern w:val="2"/>
          <w:sz w:val="24"/>
          <w:szCs w:val="24"/>
          <w:highlight w:val="none"/>
          <w:lang w:val="en-US" w:eastAsia="zh-CN" w:bidi="ar-SA"/>
        </w:rPr>
        <w:t>证明文件</w:t>
      </w:r>
      <w:r>
        <w:rPr>
          <w:rFonts w:hint="eastAsia" w:ascii="宋体" w:hAnsi="宋体" w:eastAsia="宋体" w:cs="宋体"/>
          <w:bCs/>
          <w:i w:val="0"/>
          <w:iCs w:val="0"/>
          <w:color w:val="auto"/>
          <w:kern w:val="2"/>
          <w:sz w:val="24"/>
          <w:szCs w:val="24"/>
          <w:highlight w:val="none"/>
          <w:lang w:val="en-US" w:eastAsia="zh-CN" w:bidi="ar-SA"/>
        </w:rPr>
        <w:tab/>
      </w:r>
      <w:r>
        <w:rPr>
          <w:rFonts w:hint="eastAsia" w:ascii="宋体" w:hAnsi="宋体" w:eastAsia="宋体" w:cs="宋体"/>
          <w:bCs/>
          <w:i w:val="0"/>
          <w:iCs w:val="0"/>
          <w:color w:val="auto"/>
          <w:kern w:val="2"/>
          <w:sz w:val="24"/>
          <w:szCs w:val="24"/>
          <w:highlight w:val="none"/>
          <w:lang w:val="en-US" w:eastAsia="zh-CN" w:bidi="ar-SA"/>
        </w:rPr>
        <w:fldChar w:fldCharType="begin"/>
      </w:r>
      <w:r>
        <w:rPr>
          <w:rFonts w:hint="eastAsia" w:ascii="宋体" w:hAnsi="宋体" w:eastAsia="宋体" w:cs="宋体"/>
          <w:bCs/>
          <w:i w:val="0"/>
          <w:iCs w:val="0"/>
          <w:color w:val="auto"/>
          <w:kern w:val="2"/>
          <w:sz w:val="24"/>
          <w:szCs w:val="24"/>
          <w:highlight w:val="none"/>
          <w:lang w:val="en-US" w:eastAsia="zh-CN" w:bidi="ar-SA"/>
        </w:rPr>
        <w:instrText xml:space="preserve"> PAGEREF _Toc12759 \h </w:instrText>
      </w:r>
      <w:r>
        <w:rPr>
          <w:rFonts w:hint="eastAsia" w:ascii="宋体" w:hAnsi="宋体" w:eastAsia="宋体" w:cs="宋体"/>
          <w:bCs/>
          <w:i w:val="0"/>
          <w:iCs w:val="0"/>
          <w:color w:val="auto"/>
          <w:kern w:val="2"/>
          <w:sz w:val="24"/>
          <w:szCs w:val="24"/>
          <w:highlight w:val="none"/>
          <w:lang w:val="en-US" w:eastAsia="zh-CN" w:bidi="ar-SA"/>
        </w:rPr>
        <w:fldChar w:fldCharType="separate"/>
      </w:r>
      <w:r>
        <w:rPr>
          <w:rFonts w:hint="eastAsia" w:ascii="宋体" w:hAnsi="宋体" w:eastAsia="宋体" w:cs="宋体"/>
          <w:bCs/>
          <w:i w:val="0"/>
          <w:iCs w:val="0"/>
          <w:color w:val="auto"/>
          <w:kern w:val="2"/>
          <w:sz w:val="24"/>
          <w:szCs w:val="24"/>
          <w:highlight w:val="none"/>
          <w:lang w:val="en-US" w:eastAsia="zh-CN" w:bidi="ar-SA"/>
        </w:rPr>
        <w:t>123</w:t>
      </w:r>
      <w:r>
        <w:rPr>
          <w:rFonts w:hint="eastAsia" w:ascii="宋体" w:hAnsi="宋体" w:eastAsia="宋体" w:cs="宋体"/>
          <w:bCs/>
          <w:i w:val="0"/>
          <w:iCs w:val="0"/>
          <w:color w:val="auto"/>
          <w:kern w:val="2"/>
          <w:sz w:val="24"/>
          <w:szCs w:val="24"/>
          <w:highlight w:val="none"/>
          <w:lang w:val="en-US" w:eastAsia="zh-CN" w:bidi="ar-SA"/>
        </w:rPr>
        <w:fldChar w:fldCharType="end"/>
      </w:r>
      <w:r>
        <w:rPr>
          <w:rFonts w:hint="eastAsia" w:ascii="宋体" w:hAnsi="宋体" w:eastAsia="宋体" w:cs="宋体"/>
          <w:bCs/>
          <w:i w:val="0"/>
          <w:iCs w:val="0"/>
          <w:color w:val="auto"/>
          <w:kern w:val="2"/>
          <w:sz w:val="24"/>
          <w:szCs w:val="24"/>
          <w:highlight w:val="none"/>
          <w:lang w:val="en-US" w:eastAsia="zh-CN" w:bidi="ar-SA"/>
        </w:rPr>
        <w:fldChar w:fldCharType="end"/>
      </w:r>
    </w:p>
    <w:p w14:paraId="6D9DDDCE">
      <w:pPr>
        <w:pStyle w:val="2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_Toc32251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highlight w:val="none"/>
          <w:lang w:val="en-US" w:eastAsia="zh-CN"/>
        </w:rPr>
        <w:t>商务技术文件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125</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96CD2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_Toc7399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一、响应函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76E8EF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_Toc16089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128</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342A3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_Toc6864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129</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96C4E9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_Toc18359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政府采购供应商廉洁自律承诺书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130</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8ECCE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_Toc11276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五、实质性响应一览表</w:t>
      </w:r>
      <w:r>
        <w:rPr>
          <w:rFonts w:hint="eastAsia" w:ascii="宋体" w:hAnsi="宋体" w:eastAsia="宋体" w:cs="宋体"/>
          <w:bCs/>
          <w:color w:val="auto"/>
          <w:kern w:val="2"/>
          <w:sz w:val="24"/>
          <w:szCs w:val="24"/>
          <w:highlight w:val="none"/>
          <w:lang w:val="zh-CN" w:eastAsia="zh-CN" w:bidi="ar-SA"/>
        </w:rPr>
        <w:t>【</w:t>
      </w:r>
      <w:r>
        <w:rPr>
          <w:rFonts w:hint="eastAsia" w:ascii="宋体" w:hAnsi="宋体" w:eastAsia="宋体" w:cs="宋体"/>
          <w:bCs/>
          <w:color w:val="auto"/>
          <w:kern w:val="2"/>
          <w:sz w:val="24"/>
          <w:szCs w:val="24"/>
          <w:highlight w:val="none"/>
          <w:lang w:val="en-US" w:eastAsia="zh-CN" w:bidi="ar-SA"/>
        </w:rPr>
        <w:t>本表须与第四章的一致】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B9F998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_Toc30110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六、商务响应偏离表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F88549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_Toc20003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七、业绩证明文件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65692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_Toc6673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D69F4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_Toc5696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九、技术响应偏离表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135</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1E3DF4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_Toc8317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136</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21513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_Toc26972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十一、其他文件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137</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42DA72D8">
      <w:pPr>
        <w:jc w:val="center"/>
        <w:rPr>
          <w:rFonts w:hint="eastAsia" w:ascii="宋体" w:hAnsi="宋体" w:eastAsia="宋体" w:cs="宋体"/>
          <w:i w:val="0"/>
          <w:iCs w:val="0"/>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bookmarkStart w:id="747" w:name="_GoBack"/>
      <w:bookmarkEnd w:id="747"/>
    </w:p>
    <w:p w14:paraId="0DDCC6E5">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577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6730"/>
            <w:bookmarkStart w:id="3" w:name="_Toc2027"/>
            <w:bookmarkStart w:id="4" w:name="_Toc28359012"/>
            <w:bookmarkStart w:id="5" w:name="_Toc163492812"/>
            <w:bookmarkStart w:id="6" w:name="_Toc109899410"/>
            <w:bookmarkStart w:id="7" w:name="_Toc44583628"/>
            <w:bookmarkStart w:id="8" w:name="_Toc109899829"/>
            <w:bookmarkStart w:id="9" w:name="_Toc155185860"/>
            <w:bookmarkStart w:id="10" w:name="_Toc35393798"/>
            <w:bookmarkStart w:id="11" w:name="_Toc35393629"/>
            <w:bookmarkStart w:id="12" w:name="_Toc109900248"/>
            <w:bookmarkStart w:id="13" w:name="_Toc140132745"/>
            <w:bookmarkStart w:id="14" w:name="_Toc28359089"/>
            <w:r>
              <w:rPr>
                <w:rFonts w:hint="eastAsia"/>
                <w:i w:val="0"/>
                <w:iCs w:val="0"/>
                <w:color w:val="auto"/>
                <w:sz w:val="24"/>
                <w:szCs w:val="24"/>
                <w:highlight w:val="none"/>
                <w:lang w:val="en-US" w:eastAsia="zh-CN"/>
              </w:rPr>
              <w:t>项目概况：</w:t>
            </w:r>
            <w:bookmarkEnd w:id="2"/>
            <w:bookmarkEnd w:id="3"/>
          </w:p>
          <w:p w14:paraId="6CBC7B9E">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新疆医科大学第一附属医院建设工程造价咨询服务项目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eastAsia" w:ascii="宋体" w:hAnsi="宋体" w:eastAsia="宋体" w:cs="宋体"/>
                <w:color w:val="auto"/>
                <w:sz w:val="24"/>
                <w:szCs w:val="24"/>
                <w:highlight w:val="none"/>
                <w:u w:val="single"/>
              </w:rPr>
              <w:t>政采云平台线上（网址：https://www.zcygov.cn/）</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5</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12</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10时30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5" w:name="_Toc29779"/>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4"/>
      <w:bookmarkEnd w:id="5"/>
      <w:bookmarkEnd w:id="6"/>
      <w:bookmarkEnd w:id="7"/>
      <w:bookmarkEnd w:id="8"/>
      <w:bookmarkEnd w:id="9"/>
      <w:bookmarkEnd w:id="10"/>
      <w:bookmarkEnd w:id="11"/>
      <w:bookmarkEnd w:id="12"/>
      <w:bookmarkEnd w:id="13"/>
      <w:bookmarkEnd w:id="14"/>
      <w:bookmarkEnd w:id="15"/>
    </w:p>
    <w:p w14:paraId="5E3A1EB6">
      <w:pPr>
        <w:pStyle w:val="36"/>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rPr>
        <w:t>1.项目编号</w:t>
      </w:r>
      <w:r>
        <w:rPr>
          <w:rFonts w:hint="eastAsia"/>
          <w:i w:val="0"/>
          <w:iCs w:val="0"/>
          <w:color w:val="auto"/>
          <w:sz w:val="24"/>
          <w:highlight w:val="none"/>
          <w:lang w:val="en-US" w:eastAsia="zh-CN"/>
        </w:rPr>
        <w:t>/包号</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hr-HR" w:eastAsia="zh-CN"/>
        </w:rPr>
        <w:t>TC269H0CR</w:t>
      </w:r>
      <w:r>
        <w:rPr>
          <w:rFonts w:hint="eastAsia" w:cs="宋体"/>
          <w:i w:val="0"/>
          <w:iCs w:val="0"/>
          <w:color w:val="auto"/>
          <w:sz w:val="24"/>
          <w:szCs w:val="24"/>
          <w:highlight w:val="none"/>
          <w:u w:val="single"/>
          <w:lang w:val="en-US" w:eastAsia="zh-CN"/>
        </w:rPr>
        <w:t xml:space="preserve"> </w:t>
      </w:r>
    </w:p>
    <w:p w14:paraId="1C4E1862">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 w:val="0"/>
          <w:iCs w:val="0"/>
          <w:color w:val="auto"/>
          <w:sz w:val="24"/>
          <w:szCs w:val="24"/>
          <w:highlight w:val="none"/>
          <w:u w:val="single"/>
        </w:rPr>
        <w:t xml:space="preserve"> 新疆医科大学第一附属医院建设工程造价咨询服务项目</w:t>
      </w:r>
    </w:p>
    <w:p w14:paraId="6CEB84EC">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1578BD4E">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标包1：750000元；标包2：750000元；</w:t>
      </w:r>
    </w:p>
    <w:p w14:paraId="539C601C">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hr-HR"/>
        </w:rPr>
        <w:t xml:space="preserve"> 按中价协【2013】35号文规定的《建筑工程造价咨询收费基准价》收费标准，下浮不得低于50%（含50%）</w:t>
      </w:r>
      <w:r>
        <w:rPr>
          <w:rFonts w:hint="eastAsia" w:cs="宋体"/>
          <w:i w:val="0"/>
          <w:iCs w:val="0"/>
          <w:color w:val="auto"/>
          <w:sz w:val="24"/>
          <w:szCs w:val="24"/>
          <w:highlight w:val="none"/>
          <w:u w:val="single"/>
          <w:lang w:val="hr-HR" w:eastAsia="zh-CN"/>
        </w:rPr>
        <w:t>；</w:t>
      </w:r>
    </w:p>
    <w:p w14:paraId="601A9C8F">
      <w:pPr>
        <w:ind w:firstLine="480" w:firstLineChars="200"/>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hr-HR"/>
        </w:rPr>
        <w:t>编制工程量清单、工程招标控制价；审核工程变更及现场签证（工程量确认、造价核定）；建材材料、设备价格咨询确定；各类款项及工程经济签证等审核；竣工结算审核；从工程招标阶段、项目建设期间到竣工结算阶段的全过程造价监控和造价控制等造价咨询服务</w:t>
      </w:r>
      <w:r>
        <w:rPr>
          <w:rFonts w:hint="eastAsia" w:cs="宋体"/>
          <w:i w:val="0"/>
          <w:iCs w:val="0"/>
          <w:color w:val="auto"/>
          <w:sz w:val="24"/>
          <w:szCs w:val="24"/>
          <w:highlight w:val="none"/>
          <w:u w:val="single"/>
          <w:lang w:val="hr-HR" w:eastAsia="zh-CN"/>
        </w:rPr>
        <w:t>。</w:t>
      </w:r>
      <w:r>
        <w:rPr>
          <w:rFonts w:hint="eastAsia" w:cs="宋体"/>
          <w:i w:val="0"/>
          <w:iCs w:val="0"/>
          <w:color w:val="auto"/>
          <w:sz w:val="24"/>
          <w:szCs w:val="24"/>
          <w:highlight w:val="none"/>
          <w:u w:val="single"/>
          <w:lang w:val="en-US" w:eastAsia="zh-CN"/>
        </w:rPr>
        <w:t>本项目划分2个标包，兼投不兼中。</w:t>
      </w:r>
    </w:p>
    <w:p w14:paraId="7B9535B0">
      <w:pPr>
        <w:pStyle w:val="36"/>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w:t>
      </w: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履行期限：</w:t>
      </w:r>
      <w:r>
        <w:rPr>
          <w:rFonts w:hint="eastAsia" w:ascii="宋体" w:hAnsi="宋体" w:eastAsia="宋体" w:cs="宋体"/>
          <w:i w:val="0"/>
          <w:iCs w:val="0"/>
          <w:color w:val="auto"/>
          <w:sz w:val="24"/>
          <w:szCs w:val="24"/>
          <w:highlight w:val="none"/>
          <w:u w:val="single"/>
        </w:rPr>
        <w:t xml:space="preserve"> 服务期限为3年，合同一年一签，年度考核经相关使用部门评价，成绩合格方可续签下一年合同</w:t>
      </w:r>
      <w:r>
        <w:rPr>
          <w:rFonts w:hint="eastAsia" w:cs="宋体"/>
          <w:i w:val="0"/>
          <w:iCs w:val="0"/>
          <w:color w:val="auto"/>
          <w:sz w:val="24"/>
          <w:szCs w:val="24"/>
          <w:highlight w:val="none"/>
          <w:u w:val="single"/>
          <w:lang w:eastAsia="zh-CN"/>
        </w:rPr>
        <w:t>。</w:t>
      </w:r>
    </w:p>
    <w:p w14:paraId="0972A600">
      <w:pPr>
        <w:pStyle w:val="36"/>
        <w:rPr>
          <w:rFonts w:hint="eastAsia" w:ascii="宋体" w:hAnsi="宋体" w:eastAsia="宋体" w:cs="宋体"/>
          <w:i w:val="0"/>
          <w:iCs w:val="0"/>
          <w:color w:val="auto"/>
          <w:sz w:val="24"/>
          <w:szCs w:val="24"/>
          <w:highlight w:val="none"/>
          <w:lang w:val="en-US" w:eastAsia="zh-CN"/>
        </w:rPr>
      </w:pPr>
      <w:bookmarkStart w:id="16" w:name="_Toc28359090"/>
      <w:bookmarkStart w:id="17" w:name="_Toc44583629"/>
      <w:bookmarkStart w:id="18" w:name="_Toc35393799"/>
      <w:bookmarkStart w:id="19" w:name="_Toc28359013"/>
      <w:bookmarkStart w:id="20" w:name="_Toc35393630"/>
      <w:r>
        <w:rPr>
          <w:rFonts w:hint="eastAsia" w:ascii="宋体" w:hAnsi="宋体" w:eastAsia="宋体" w:cs="宋体"/>
          <w:i w:val="0"/>
          <w:iCs w:val="0"/>
          <w:color w:val="auto"/>
          <w:sz w:val="24"/>
          <w:szCs w:val="24"/>
          <w:highlight w:val="none"/>
          <w:lang w:val="en-US" w:eastAsia="zh-CN"/>
        </w:rPr>
        <w:t>8.</w:t>
      </w:r>
      <w:bookmarkStart w:id="21" w:name="_Hlk162011358"/>
      <w:r>
        <w:rPr>
          <w:rFonts w:hint="eastAsia" w:ascii="宋体" w:hAnsi="宋体" w:eastAsia="宋体" w:cs="宋体"/>
          <w:i w:val="0"/>
          <w:iCs w:val="0"/>
          <w:color w:val="auto"/>
          <w:sz w:val="24"/>
          <w:szCs w:val="24"/>
          <w:highlight w:val="none"/>
          <w:lang w:val="en-US" w:eastAsia="zh-CN"/>
        </w:rPr>
        <w:t>本项目是否接受联合体：□是</w:t>
      </w:r>
      <w:bookmarkEnd w:id="21"/>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2D55BBD7">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2" w:name="_Toc109899411"/>
      <w:bookmarkStart w:id="23" w:name="_Toc109899830"/>
      <w:bookmarkStart w:id="24" w:name="_Toc109900249"/>
      <w:bookmarkStart w:id="25" w:name="_Toc163492813"/>
      <w:bookmarkStart w:id="26" w:name="_Toc155185861"/>
      <w:bookmarkStart w:id="27" w:name="_Toc19653"/>
      <w:bookmarkStart w:id="28" w:name="_Toc140132746"/>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6"/>
      <w:bookmarkEnd w:id="17"/>
      <w:bookmarkEnd w:id="18"/>
      <w:bookmarkEnd w:id="19"/>
      <w:bookmarkEnd w:id="20"/>
      <w:bookmarkEnd w:id="22"/>
      <w:bookmarkEnd w:id="23"/>
      <w:bookmarkEnd w:id="24"/>
      <w:bookmarkEnd w:id="25"/>
      <w:bookmarkEnd w:id="26"/>
      <w:bookmarkEnd w:id="27"/>
      <w:bookmarkEnd w:id="28"/>
    </w:p>
    <w:p w14:paraId="0648817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9" w:name="_Toc44583630"/>
      <w:bookmarkStart w:id="30" w:name="_Toc28359014"/>
      <w:bookmarkStart w:id="31" w:name="_Toc35393800"/>
      <w:bookmarkStart w:id="32" w:name="_Toc28359091"/>
      <w:bookmarkStart w:id="33" w:name="_Toc35393631"/>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576EFADE">
      <w:pPr>
        <w:ind w:firstLine="480" w:firstLineChars="200"/>
        <w:rPr>
          <w:rFonts w:hint="eastAsia" w:ascii="宋体" w:hAnsi="宋体" w:eastAsia="宋体" w:cs="宋体"/>
          <w:i w:val="0"/>
          <w:iCs w:val="0"/>
          <w:color w:val="auto"/>
          <w:sz w:val="24"/>
          <w:szCs w:val="24"/>
          <w:highlight w:val="none"/>
          <w:u w:val="none"/>
          <w:lang w:val="en-US" w:eastAsia="zh-CN"/>
        </w:rPr>
      </w:pPr>
      <w:bookmarkStart w:id="34"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b/>
          <w:bCs/>
          <w:i w:val="0"/>
          <w:iCs w:val="0"/>
          <w:color w:val="auto"/>
          <w:sz w:val="24"/>
          <w:szCs w:val="24"/>
          <w:highlight w:val="none"/>
          <w:u w:val="single"/>
          <w:lang w:eastAsia="zh-CN"/>
        </w:rPr>
        <w:t>本项目专门面向中小企业采购，</w:t>
      </w:r>
      <w:r>
        <w:rPr>
          <w:rFonts w:hint="eastAsia" w:cs="宋体"/>
          <w:b/>
          <w:bCs/>
          <w:i w:val="0"/>
          <w:iCs w:val="0"/>
          <w:color w:val="auto"/>
          <w:sz w:val="24"/>
          <w:szCs w:val="24"/>
          <w:highlight w:val="none"/>
          <w:u w:val="single"/>
          <w:lang w:val="en-US" w:eastAsia="zh-CN"/>
        </w:rPr>
        <w:t>供应商</w:t>
      </w:r>
      <w:r>
        <w:rPr>
          <w:rFonts w:hint="eastAsia" w:ascii="宋体" w:hAnsi="宋体" w:eastAsia="宋体" w:cs="宋体"/>
          <w:b/>
          <w:bCs/>
          <w:i w:val="0"/>
          <w:iCs w:val="0"/>
          <w:color w:val="auto"/>
          <w:sz w:val="24"/>
          <w:szCs w:val="24"/>
          <w:highlight w:val="none"/>
          <w:u w:val="single"/>
          <w:lang w:eastAsia="zh-CN"/>
        </w:rPr>
        <w:t>须按照采购文件要求提供《中小企业声明函》</w:t>
      </w:r>
      <w:r>
        <w:rPr>
          <w:rFonts w:hint="eastAsia" w:ascii="宋体" w:hAnsi="宋体" w:eastAsia="宋体" w:cs="宋体"/>
          <w:b/>
          <w:bCs/>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 xml:space="preserve">          </w:t>
      </w:r>
    </w:p>
    <w:p w14:paraId="099459BB">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p>
    <w:p w14:paraId="3A49A7C9">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（1）</w:t>
      </w:r>
      <w:r>
        <w:rPr>
          <w:rFonts w:hint="eastAsia" w:ascii="宋体" w:hAnsi="宋体" w:eastAsia="宋体" w:cs="宋体"/>
          <w:b/>
          <w:bCs/>
          <w:i w:val="0"/>
          <w:iCs w:val="0"/>
          <w:color w:val="auto"/>
          <w:sz w:val="24"/>
          <w:szCs w:val="24"/>
          <w:highlight w:val="none"/>
          <w:u w:val="none"/>
          <w:lang w:val="en-US" w:eastAsia="zh-CN"/>
        </w:rPr>
        <w:t>项目负责人须具有注册造价师执业资格。</w:t>
      </w:r>
    </w:p>
    <w:bookmarkEnd w:id="34"/>
    <w:p w14:paraId="040E7358">
      <w:pPr>
        <w:pStyle w:val="36"/>
        <w:rPr>
          <w:rFonts w:hint="eastAsia" w:ascii="宋体" w:hAnsi="宋体" w:eastAsia="宋体" w:cs="宋体"/>
          <w:i w:val="0"/>
          <w:iCs w:val="0"/>
          <w:color w:val="auto"/>
          <w:sz w:val="24"/>
          <w:szCs w:val="24"/>
          <w:highlight w:val="none"/>
          <w:lang w:val="hr-HR" w:eastAsia="zh-CN"/>
        </w:rPr>
      </w:pPr>
      <w:bookmarkStart w:id="35" w:name="_Toc109899831"/>
      <w:bookmarkStart w:id="36" w:name="_Toc109900250"/>
      <w:bookmarkStart w:id="37" w:name="_Toc163492814"/>
      <w:bookmarkStart w:id="38" w:name="_Toc155185862"/>
      <w:bookmarkStart w:id="39" w:name="_Toc109899412"/>
      <w:bookmarkStart w:id="40" w:name="_Toc140132747"/>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68099EEC">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652114A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eastAsia="zh-CN"/>
        </w:rPr>
        <w:t>（</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w:t>
      </w:r>
      <w:r>
        <w:rPr>
          <w:rFonts w:hint="eastAsia" w:ascii="宋体" w:hAnsi="宋体" w:eastAsia="宋体" w:cs="宋体"/>
          <w:i w:val="0"/>
          <w:iCs w:val="0"/>
          <w:color w:val="auto"/>
          <w:sz w:val="24"/>
          <w:szCs w:val="24"/>
          <w:highlight w:val="none"/>
          <w:lang w:val="hr-HR" w:eastAsia="zh-CN"/>
        </w:rPr>
        <w:t>。如有以上不良信用记录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i w:val="0"/>
          <w:iCs w:val="0"/>
          <w:color w:val="auto"/>
          <w:sz w:val="24"/>
          <w:szCs w:val="24"/>
          <w:highlight w:val="none"/>
          <w:lang w:val="hr-HR" w:eastAsia="zh-CN"/>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hr-HR" w:eastAsia="zh-CN"/>
        </w:rPr>
        <w:t>。</w:t>
      </w:r>
    </w:p>
    <w:p w14:paraId="7687021F">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1" w:name="_Toc11100"/>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9"/>
      <w:bookmarkEnd w:id="30"/>
      <w:bookmarkEnd w:id="31"/>
      <w:bookmarkEnd w:id="32"/>
      <w:bookmarkEnd w:id="33"/>
      <w:bookmarkEnd w:id="35"/>
      <w:bookmarkEnd w:id="36"/>
      <w:bookmarkEnd w:id="37"/>
      <w:bookmarkEnd w:id="38"/>
      <w:bookmarkEnd w:id="39"/>
      <w:bookmarkEnd w:id="40"/>
      <w:bookmarkEnd w:id="41"/>
      <w:r>
        <w:rPr>
          <w:rFonts w:hint="eastAsia" w:ascii="宋体" w:hAnsi="宋体" w:eastAsia="宋体" w:cs="宋体"/>
          <w:b/>
          <w:bCs/>
          <w:i w:val="0"/>
          <w:iCs w:val="0"/>
          <w:color w:val="auto"/>
          <w:kern w:val="2"/>
          <w:sz w:val="24"/>
          <w:szCs w:val="24"/>
          <w:highlight w:val="none"/>
          <w:lang w:val="hr-HR" w:eastAsia="zh-CN" w:bidi="ar-SA"/>
        </w:rPr>
        <w:t xml:space="preserve"> </w:t>
      </w:r>
    </w:p>
    <w:p w14:paraId="1A15DA7E">
      <w:pPr>
        <w:spacing w:line="360" w:lineRule="auto"/>
        <w:ind w:firstLine="540"/>
        <w:rPr>
          <w:rFonts w:hint="eastAsia" w:ascii="宋体" w:hAnsi="宋体" w:eastAsia="宋体" w:cs="宋体"/>
          <w:i w:val="0"/>
          <w:iCs w:val="0"/>
          <w:color w:val="auto"/>
          <w:sz w:val="24"/>
          <w:szCs w:val="24"/>
          <w:highlight w:val="none"/>
          <w:lang w:val="hr-HR" w:eastAsia="zh-CN"/>
        </w:rPr>
      </w:pPr>
      <w:bookmarkStart w:id="42" w:name="_Hlk130457234"/>
      <w:bookmarkStart w:id="43" w:name="_Toc35393632"/>
      <w:bookmarkStart w:id="44" w:name="_Toc28359015"/>
      <w:bookmarkStart w:id="45" w:name="_Hlk130457327"/>
      <w:bookmarkStart w:id="46" w:name="_Toc35393801"/>
      <w:bookmarkStart w:id="47" w:name="_Toc28359092"/>
      <w:bookmarkStart w:id="48" w:name="_Hlk130457261"/>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27</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w:t>
      </w:r>
      <w:r>
        <w:rPr>
          <w:rFonts w:hint="eastAsia" w:cs="宋体"/>
          <w:color w:val="auto"/>
          <w:szCs w:val="24"/>
          <w:highlight w:val="none"/>
        </w:rPr>
        <w:t>每天上午</w:t>
      </w:r>
      <w:r>
        <w:rPr>
          <w:rFonts w:hint="eastAsia" w:cs="宋体"/>
          <w:color w:val="auto"/>
          <w:szCs w:val="24"/>
          <w:highlight w:val="none"/>
          <w:u w:val="single"/>
        </w:rPr>
        <w:t xml:space="preserve">00:00 </w:t>
      </w:r>
      <w:r>
        <w:rPr>
          <w:rFonts w:hint="eastAsia" w:cs="宋体"/>
          <w:color w:val="auto"/>
          <w:szCs w:val="24"/>
          <w:highlight w:val="none"/>
        </w:rPr>
        <w:t>至</w:t>
      </w:r>
      <w:r>
        <w:rPr>
          <w:rFonts w:hint="eastAsia" w:cs="宋体"/>
          <w:color w:val="auto"/>
          <w:szCs w:val="24"/>
          <w:highlight w:val="none"/>
          <w:u w:val="single"/>
        </w:rPr>
        <w:t>1</w:t>
      </w:r>
      <w:r>
        <w:rPr>
          <w:rFonts w:hint="eastAsia" w:cs="宋体"/>
          <w:color w:val="auto"/>
          <w:szCs w:val="24"/>
          <w:highlight w:val="none"/>
          <w:u w:val="single"/>
          <w:lang w:val="en-US" w:eastAsia="zh-CN"/>
        </w:rPr>
        <w:t>4</w:t>
      </w:r>
      <w:r>
        <w:rPr>
          <w:rFonts w:hint="eastAsia" w:cs="宋体"/>
          <w:color w:val="auto"/>
          <w:szCs w:val="24"/>
          <w:highlight w:val="none"/>
          <w:u w:val="single"/>
        </w:rPr>
        <w:t>:00</w:t>
      </w:r>
      <w:r>
        <w:rPr>
          <w:rFonts w:hint="eastAsia" w:cs="宋体"/>
          <w:color w:val="auto"/>
          <w:szCs w:val="24"/>
          <w:highlight w:val="none"/>
        </w:rPr>
        <w:t>，下午</w:t>
      </w:r>
      <w:r>
        <w:rPr>
          <w:rFonts w:hint="eastAsia" w:cs="宋体"/>
          <w:color w:val="auto"/>
          <w:szCs w:val="24"/>
          <w:highlight w:val="none"/>
          <w:u w:val="single"/>
        </w:rPr>
        <w:t>1</w:t>
      </w:r>
      <w:r>
        <w:rPr>
          <w:rFonts w:hint="eastAsia" w:cs="宋体"/>
          <w:color w:val="auto"/>
          <w:szCs w:val="24"/>
          <w:highlight w:val="none"/>
          <w:u w:val="single"/>
          <w:lang w:val="en-US" w:eastAsia="zh-CN"/>
        </w:rPr>
        <w:t>4</w:t>
      </w:r>
      <w:r>
        <w:rPr>
          <w:rFonts w:hint="eastAsia" w:cs="宋体"/>
          <w:color w:val="auto"/>
          <w:szCs w:val="24"/>
          <w:highlight w:val="none"/>
          <w:u w:val="single"/>
        </w:rPr>
        <w:t>:00</w:t>
      </w:r>
      <w:r>
        <w:rPr>
          <w:rFonts w:hint="eastAsia" w:cs="宋体"/>
          <w:color w:val="auto"/>
          <w:szCs w:val="24"/>
          <w:highlight w:val="none"/>
        </w:rPr>
        <w:t>至</w:t>
      </w:r>
      <w:r>
        <w:rPr>
          <w:rFonts w:hint="eastAsia" w:cs="宋体"/>
          <w:color w:val="auto"/>
          <w:szCs w:val="24"/>
          <w:highlight w:val="none"/>
          <w:u w:val="single"/>
        </w:rPr>
        <w:t>23:59</w:t>
      </w:r>
      <w:r>
        <w:rPr>
          <w:rFonts w:hint="eastAsia" w:cs="宋体"/>
          <w:color w:val="auto"/>
          <w:szCs w:val="24"/>
          <w:highlight w:val="none"/>
        </w:rPr>
        <w:t>（北京时间，法定节假日除外）</w:t>
      </w:r>
      <w:r>
        <w:rPr>
          <w:rFonts w:hint="eastAsia" w:ascii="宋体" w:hAnsi="宋体" w:eastAsia="宋体" w:cs="宋体"/>
          <w:i w:val="0"/>
          <w:iCs w:val="0"/>
          <w:color w:val="auto"/>
          <w:sz w:val="24"/>
          <w:szCs w:val="24"/>
          <w:highlight w:val="none"/>
          <w:lang w:eastAsia="zh-CN"/>
        </w:rPr>
        <w:t>。</w:t>
      </w:r>
    </w:p>
    <w:bookmarkEnd w:id="42"/>
    <w:p w14:paraId="3AB8C7D4">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：政采云平台线上（网址：https://www.zcygov.cn/）</w:t>
      </w:r>
      <w:r>
        <w:rPr>
          <w:rFonts w:hint="eastAsia" w:ascii="宋体" w:hAnsi="宋体" w:eastAsia="宋体" w:cs="宋体"/>
          <w:i w:val="0"/>
          <w:iCs w:val="0"/>
          <w:color w:val="auto"/>
          <w:sz w:val="24"/>
          <w:szCs w:val="24"/>
          <w:highlight w:val="none"/>
        </w:rPr>
        <w:t>。</w:t>
      </w:r>
    </w:p>
    <w:p w14:paraId="42A40251">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565D40F">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3"/>
    <w:bookmarkEnd w:id="44"/>
    <w:bookmarkEnd w:id="45"/>
    <w:bookmarkEnd w:id="46"/>
    <w:bookmarkEnd w:id="47"/>
    <w:bookmarkEnd w:id="48"/>
    <w:p w14:paraId="0681F60E">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9" w:name="_Toc155185863"/>
      <w:bookmarkStart w:id="50" w:name="_Toc109900251"/>
      <w:bookmarkStart w:id="51" w:name="_Toc140132748"/>
      <w:bookmarkStart w:id="52" w:name="_Toc109899832"/>
      <w:bookmarkStart w:id="53" w:name="_Toc163492815"/>
      <w:bookmarkStart w:id="54" w:name="_Toc109899413"/>
      <w:bookmarkStart w:id="55" w:name="_Toc646"/>
      <w:r>
        <w:rPr>
          <w:rFonts w:hint="eastAsia" w:ascii="宋体" w:hAnsi="宋体" w:eastAsia="宋体" w:cs="宋体"/>
          <w:b/>
          <w:bCs/>
          <w:i w:val="0"/>
          <w:iCs w:val="0"/>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5"/>
    </w:p>
    <w:p w14:paraId="58C51A7B">
      <w:pPr>
        <w:pStyle w:val="36"/>
        <w:rPr>
          <w:rFonts w:hint="eastAsia" w:ascii="宋体" w:hAnsi="宋体" w:eastAsia="宋体" w:cs="宋体"/>
          <w:i w:val="0"/>
          <w:iCs w:val="0"/>
          <w:color w:val="auto"/>
          <w:sz w:val="24"/>
          <w:szCs w:val="24"/>
          <w:highlight w:val="none"/>
        </w:rPr>
      </w:pPr>
      <w:bookmarkStart w:id="56" w:name="_Hlk130457395"/>
      <w:bookmarkStart w:id="57" w:name="_Toc28359094"/>
      <w:bookmarkStart w:id="58" w:name="_Toc44583633"/>
      <w:bookmarkStart w:id="59" w:name="_Toc28359017"/>
      <w:bookmarkStart w:id="60" w:name="_Toc35393634"/>
      <w:bookmarkStart w:id="61" w:name="_Toc35393803"/>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时</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分</w:t>
      </w:r>
      <w:r>
        <w:rPr>
          <w:rFonts w:hint="eastAsia" w:ascii="宋体" w:hAnsi="宋体" w:eastAsia="宋体" w:cs="宋体"/>
          <w:i w:val="0"/>
          <w:iCs w:val="0"/>
          <w:color w:val="auto"/>
          <w:sz w:val="24"/>
          <w:szCs w:val="24"/>
          <w:highlight w:val="none"/>
        </w:rPr>
        <w:t>（北京时间）。</w:t>
      </w:r>
    </w:p>
    <w:p w14:paraId="63FC81BC">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6"/>
    <w:p w14:paraId="6BAC9797">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2" w:name="_Toc25642"/>
      <w:bookmarkStart w:id="63" w:name="_Toc109899833"/>
      <w:bookmarkStart w:id="64" w:name="_Toc109900252"/>
      <w:bookmarkStart w:id="65" w:name="_Toc155185864"/>
      <w:bookmarkStart w:id="66" w:name="_Toc109899414"/>
      <w:bookmarkStart w:id="67" w:name="_Toc163492816"/>
      <w:bookmarkStart w:id="68" w:name="_Toc140132749"/>
      <w:r>
        <w:rPr>
          <w:rFonts w:hint="eastAsia" w:ascii="宋体" w:hAnsi="宋体" w:eastAsia="宋体" w:cs="宋体"/>
          <w:b/>
          <w:bCs/>
          <w:i w:val="0"/>
          <w:iCs w:val="0"/>
          <w:color w:val="auto"/>
          <w:kern w:val="2"/>
          <w:sz w:val="24"/>
          <w:szCs w:val="24"/>
          <w:highlight w:val="none"/>
          <w:lang w:val="en-US" w:eastAsia="zh-CN" w:bidi="ar-SA"/>
        </w:rPr>
        <w:t>五、开启</w:t>
      </w:r>
      <w:bookmarkEnd w:id="62"/>
    </w:p>
    <w:p w14:paraId="508C6E16">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时</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分</w:t>
      </w:r>
      <w:r>
        <w:rPr>
          <w:rFonts w:hint="eastAsia" w:ascii="宋体" w:hAnsi="宋体" w:eastAsia="宋体" w:cs="宋体"/>
          <w:i w:val="0"/>
          <w:iCs w:val="0"/>
          <w:color w:val="auto"/>
          <w:sz w:val="24"/>
          <w:szCs w:val="24"/>
          <w:highlight w:val="none"/>
        </w:rPr>
        <w:t>（北京时间）。</w:t>
      </w:r>
    </w:p>
    <w:p w14:paraId="71EF07E7">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72A987BA">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9" w:name="_Toc2566"/>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0" w:name="_Toc109900253"/>
      <w:bookmarkStart w:id="71" w:name="_Toc35393804"/>
      <w:bookmarkStart w:id="72" w:name="_Toc109899415"/>
      <w:bookmarkStart w:id="73" w:name="_Toc35393635"/>
      <w:bookmarkStart w:id="74" w:name="_Toc140132750"/>
      <w:bookmarkStart w:id="75" w:name="_Toc109899834"/>
      <w:bookmarkStart w:id="76" w:name="_Toc44583634"/>
      <w:bookmarkStart w:id="77" w:name="_Toc163492817"/>
      <w:bookmarkStart w:id="78" w:name="_Toc155185865"/>
    </w:p>
    <w:p w14:paraId="20DD1AA0">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p>
    <w:p w14:paraId="12427FFF">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1、本项目实行网上投标，采用电子投标文件。</w:t>
      </w:r>
    </w:p>
    <w:p w14:paraId="767B4399">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0090F24">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3、供应商将政采云电子交易客户端下载、安装完成后，可通过账号密码或CA登录客户端进行投标文件的制作。在使用政采云投标客户端时，建议使用WIN7及以上操作系统。</w:t>
      </w:r>
    </w:p>
    <w:p w14:paraId="6CF138A9">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4、其他事项：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w:t>
      </w:r>
    </w:p>
    <w:p w14:paraId="18179459">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9EE5C53">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3、加密的电子响应文件应在响应文件递交截止时间前通过政采云平台上传完成。逾期上传或者未上传指定地点的响应文件，不予受理。</w:t>
      </w:r>
    </w:p>
    <w:p w14:paraId="3E16075A">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4、投标人在开标前须提前配置好电脑浏览器，开标时请使用制作加密电子响应文件的CA锁进行解密及报价确认。本项目响应文件解密时间定为30分钟，如因自身原因导致无法正常解密，后果由投标人自行承担。</w:t>
      </w:r>
    </w:p>
    <w:p w14:paraId="220AF2DE">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5、如遇“政采云平台（https://www.zcygov.cn/）”电子交易规则调整，以最新要求为准。  </w:t>
      </w:r>
    </w:p>
    <w:p w14:paraId="68602125">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特别提示：</w:t>
      </w:r>
    </w:p>
    <w:p w14:paraId="72981463">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1、采购限额标准以上，200万元以下的货物和服务采购项目、400万元以下的工程采购项目，适宜由中小企业提供的，采购人应当专门面向中小企业采购。</w:t>
      </w:r>
    </w:p>
    <w:p w14:paraId="4B374D0E">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2、超过200万元的货物和服务采购项目，预留该部分采购项目预算总额的30%以上专门面向中小企业采购，其中预留给小微企业的比例不低于60%。</w:t>
      </w:r>
    </w:p>
    <w:p w14:paraId="0121FDA7">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3、超过400万元的工程采购项目中适宜由中小企业提供的，预留该部分采购项目预算总额的40%以上专门面向中小企业采购，其中预留给小微企业的比例不低于60%。</w:t>
      </w:r>
    </w:p>
    <w:p w14:paraId="40BC570B">
      <w:pPr>
        <w:widowControl/>
        <w:spacing w:line="360" w:lineRule="auto"/>
        <w:ind w:firstLine="480" w:firstLineChars="200"/>
        <w:jc w:val="left"/>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F2AB33A">
      <w:pPr>
        <w:widowControl/>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hr-HR"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29BF088">
      <w:pPr>
        <w:pStyle w:val="36"/>
        <w:rPr>
          <w:rFonts w:hint="eastAsia" w:ascii="宋体" w:hAnsi="宋体" w:eastAsia="宋体" w:cs="宋体"/>
          <w:color w:val="auto"/>
          <w:sz w:val="24"/>
          <w:szCs w:val="24"/>
          <w:highlight w:val="none"/>
          <w:lang w:val="hr-HR" w:eastAsia="zh-CN"/>
        </w:rPr>
      </w:pPr>
    </w:p>
    <w:p w14:paraId="692B7884">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30600"/>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09DFEF02">
      <w:pPr>
        <w:widowControl/>
        <w:shd w:val="clear" w:color="auto"/>
        <w:wordWrap w:val="0"/>
        <w:spacing w:line="480" w:lineRule="exact"/>
        <w:ind w:firstLine="480" w:firstLineChars="200"/>
        <w:rPr>
          <w:rFonts w:hint="eastAsia" w:cs="宋体"/>
          <w:bCs/>
          <w:color w:val="auto"/>
          <w:kern w:val="0"/>
          <w:szCs w:val="24"/>
          <w:highlight w:val="none"/>
        </w:rPr>
      </w:pPr>
      <w:r>
        <w:rPr>
          <w:rFonts w:hint="eastAsia" w:cs="宋体"/>
          <w:bCs/>
          <w:color w:val="auto"/>
          <w:kern w:val="0"/>
          <w:szCs w:val="24"/>
          <w:highlight w:val="none"/>
        </w:rPr>
        <w:t>1.采购人信息</w:t>
      </w:r>
    </w:p>
    <w:p w14:paraId="4FF3F410">
      <w:pPr>
        <w:widowControl/>
        <w:shd w:val="clear" w:color="auto"/>
        <w:wordWrap w:val="0"/>
        <w:spacing w:line="480" w:lineRule="exact"/>
        <w:ind w:firstLine="480" w:firstLineChars="200"/>
        <w:rPr>
          <w:rFonts w:hint="eastAsia" w:eastAsia="宋体" w:cs="宋体"/>
          <w:bCs/>
          <w:color w:val="auto"/>
          <w:kern w:val="0"/>
          <w:szCs w:val="24"/>
          <w:highlight w:val="none"/>
          <w:lang w:eastAsia="zh-CN"/>
        </w:rPr>
      </w:pPr>
      <w:r>
        <w:rPr>
          <w:rFonts w:hint="eastAsia" w:cs="宋体"/>
          <w:bCs/>
          <w:color w:val="auto"/>
          <w:kern w:val="0"/>
          <w:szCs w:val="24"/>
          <w:highlight w:val="none"/>
        </w:rPr>
        <w:t>名 称：</w:t>
      </w:r>
      <w:r>
        <w:rPr>
          <w:rFonts w:hint="eastAsia" w:cs="宋体"/>
          <w:bCs/>
          <w:color w:val="auto"/>
          <w:kern w:val="0"/>
          <w:szCs w:val="24"/>
          <w:highlight w:val="none"/>
          <w:lang w:eastAsia="zh-CN"/>
        </w:rPr>
        <w:t>新疆医科大学第一附属医院</w:t>
      </w:r>
    </w:p>
    <w:p w14:paraId="6A908854">
      <w:pPr>
        <w:widowControl/>
        <w:shd w:val="clear" w:color="auto"/>
        <w:wordWrap w:val="0"/>
        <w:spacing w:line="480" w:lineRule="exact"/>
        <w:ind w:firstLine="480" w:firstLineChars="200"/>
        <w:rPr>
          <w:rFonts w:hint="eastAsia" w:eastAsia="宋体" w:cs="宋体"/>
          <w:bCs/>
          <w:color w:val="auto"/>
          <w:kern w:val="0"/>
          <w:szCs w:val="24"/>
          <w:highlight w:val="none"/>
          <w:lang w:eastAsia="zh-CN"/>
        </w:rPr>
      </w:pPr>
      <w:r>
        <w:rPr>
          <w:rFonts w:hint="eastAsia" w:cs="宋体"/>
          <w:bCs/>
          <w:color w:val="auto"/>
          <w:kern w:val="0"/>
          <w:szCs w:val="24"/>
          <w:highlight w:val="none"/>
        </w:rPr>
        <w:t>地 址：</w:t>
      </w:r>
      <w:r>
        <w:rPr>
          <w:rFonts w:hint="eastAsia" w:cs="宋体"/>
          <w:bCs/>
          <w:color w:val="auto"/>
          <w:kern w:val="0"/>
          <w:szCs w:val="24"/>
          <w:highlight w:val="none"/>
          <w:lang w:eastAsia="zh-CN"/>
        </w:rPr>
        <w:t>乌鲁木齐市新医路393号</w:t>
      </w:r>
    </w:p>
    <w:p w14:paraId="0BA5D337">
      <w:pPr>
        <w:widowControl/>
        <w:shd w:val="clear" w:color="auto"/>
        <w:wordWrap w:val="0"/>
        <w:spacing w:line="480" w:lineRule="exact"/>
        <w:ind w:firstLine="480" w:firstLineChars="200"/>
        <w:rPr>
          <w:rFonts w:hint="eastAsia" w:eastAsia="宋体" w:cs="宋体"/>
          <w:bCs/>
          <w:color w:val="auto"/>
          <w:kern w:val="0"/>
          <w:szCs w:val="24"/>
          <w:highlight w:val="none"/>
          <w:lang w:eastAsia="zh-CN"/>
        </w:rPr>
      </w:pPr>
      <w:r>
        <w:rPr>
          <w:rFonts w:hint="eastAsia" w:cs="宋体"/>
          <w:bCs/>
          <w:color w:val="auto"/>
          <w:kern w:val="0"/>
          <w:szCs w:val="24"/>
          <w:highlight w:val="none"/>
        </w:rPr>
        <w:t>联系方式：</w:t>
      </w:r>
      <w:r>
        <w:rPr>
          <w:rFonts w:hint="eastAsia" w:cs="宋体"/>
          <w:bCs/>
          <w:color w:val="auto"/>
          <w:kern w:val="0"/>
          <w:szCs w:val="24"/>
          <w:highlight w:val="none"/>
          <w:lang w:eastAsia="zh-CN"/>
        </w:rPr>
        <w:t>0991-4362391</w:t>
      </w:r>
    </w:p>
    <w:p w14:paraId="14CCC2D3">
      <w:pPr>
        <w:widowControl/>
        <w:shd w:val="clear" w:color="auto"/>
        <w:wordWrap w:val="0"/>
        <w:spacing w:line="480" w:lineRule="exact"/>
        <w:ind w:firstLine="480" w:firstLineChars="200"/>
        <w:rPr>
          <w:rFonts w:hint="eastAsia" w:cs="宋体"/>
          <w:bCs/>
          <w:color w:val="auto"/>
          <w:kern w:val="0"/>
          <w:szCs w:val="24"/>
          <w:highlight w:val="none"/>
        </w:rPr>
      </w:pPr>
      <w:r>
        <w:rPr>
          <w:rFonts w:hint="eastAsia" w:cs="宋体"/>
          <w:bCs/>
          <w:color w:val="auto"/>
          <w:kern w:val="0"/>
          <w:szCs w:val="24"/>
          <w:highlight w:val="none"/>
        </w:rPr>
        <w:t>2.采购代理机构信息</w:t>
      </w:r>
    </w:p>
    <w:p w14:paraId="05AE1052">
      <w:pPr>
        <w:widowControl/>
        <w:shd w:val="clear" w:color="auto"/>
        <w:wordWrap w:val="0"/>
        <w:spacing w:line="480" w:lineRule="exact"/>
        <w:ind w:firstLine="480" w:firstLineChars="200"/>
        <w:rPr>
          <w:rFonts w:hint="eastAsia" w:cs="宋体"/>
          <w:bCs/>
          <w:color w:val="auto"/>
          <w:kern w:val="0"/>
          <w:szCs w:val="24"/>
          <w:highlight w:val="none"/>
        </w:rPr>
      </w:pPr>
      <w:r>
        <w:rPr>
          <w:rFonts w:hint="eastAsia" w:cs="宋体"/>
          <w:bCs/>
          <w:color w:val="auto"/>
          <w:kern w:val="0"/>
          <w:szCs w:val="24"/>
          <w:highlight w:val="none"/>
        </w:rPr>
        <w:t>名 称：中招国际招标有限公司</w:t>
      </w:r>
    </w:p>
    <w:p w14:paraId="4C454747">
      <w:pPr>
        <w:widowControl/>
        <w:shd w:val="clear" w:color="auto"/>
        <w:wordWrap w:val="0"/>
        <w:spacing w:line="480" w:lineRule="exact"/>
        <w:ind w:firstLine="480" w:firstLineChars="200"/>
        <w:rPr>
          <w:rFonts w:hint="eastAsia" w:cs="宋体"/>
          <w:bCs/>
          <w:color w:val="auto"/>
          <w:kern w:val="0"/>
          <w:szCs w:val="24"/>
          <w:highlight w:val="none"/>
        </w:rPr>
      </w:pPr>
      <w:r>
        <w:rPr>
          <w:rFonts w:hint="eastAsia" w:cs="宋体"/>
          <w:bCs/>
          <w:color w:val="auto"/>
          <w:kern w:val="0"/>
          <w:szCs w:val="24"/>
          <w:highlight w:val="none"/>
        </w:rPr>
        <w:t>地 址：新疆乌鲁木齐市486号南湖明珠二期十四栋商业写字楼8楼</w:t>
      </w:r>
    </w:p>
    <w:p w14:paraId="55A88025">
      <w:pPr>
        <w:widowControl/>
        <w:shd w:val="clear" w:color="auto"/>
        <w:wordWrap w:val="0"/>
        <w:spacing w:line="480" w:lineRule="exact"/>
        <w:ind w:firstLine="480" w:firstLineChars="200"/>
        <w:rPr>
          <w:rFonts w:hint="eastAsia" w:cs="宋体"/>
          <w:bCs/>
          <w:color w:val="auto"/>
          <w:kern w:val="0"/>
          <w:szCs w:val="24"/>
          <w:highlight w:val="none"/>
        </w:rPr>
      </w:pPr>
      <w:r>
        <w:rPr>
          <w:rFonts w:hint="eastAsia" w:cs="宋体"/>
          <w:bCs/>
          <w:color w:val="auto"/>
          <w:kern w:val="0"/>
          <w:szCs w:val="24"/>
          <w:highlight w:val="none"/>
        </w:rPr>
        <w:t>联系方式：17716905655、18099259977</w:t>
      </w:r>
    </w:p>
    <w:p w14:paraId="1779FC08">
      <w:pPr>
        <w:widowControl/>
        <w:shd w:val="clear" w:color="auto"/>
        <w:wordWrap w:val="0"/>
        <w:spacing w:line="480" w:lineRule="exact"/>
        <w:ind w:firstLine="480" w:firstLineChars="200"/>
        <w:rPr>
          <w:rFonts w:hint="eastAsia" w:cs="宋体"/>
          <w:bCs/>
          <w:color w:val="auto"/>
          <w:kern w:val="0"/>
          <w:szCs w:val="24"/>
          <w:highlight w:val="none"/>
        </w:rPr>
      </w:pPr>
      <w:r>
        <w:rPr>
          <w:rFonts w:hint="eastAsia" w:cs="宋体"/>
          <w:bCs/>
          <w:color w:val="auto"/>
          <w:kern w:val="0"/>
          <w:szCs w:val="24"/>
          <w:highlight w:val="none"/>
        </w:rPr>
        <w:t>3.项目联系方式</w:t>
      </w:r>
    </w:p>
    <w:p w14:paraId="6F9E34A4">
      <w:pPr>
        <w:widowControl/>
        <w:shd w:val="clear" w:color="auto"/>
        <w:wordWrap w:val="0"/>
        <w:spacing w:line="480" w:lineRule="exact"/>
        <w:ind w:firstLine="480" w:firstLineChars="200"/>
        <w:rPr>
          <w:rFonts w:hint="eastAsia" w:eastAsia="宋体" w:cs="宋体"/>
          <w:bCs/>
          <w:color w:val="auto"/>
          <w:kern w:val="0"/>
          <w:szCs w:val="24"/>
          <w:highlight w:val="none"/>
          <w:lang w:eastAsia="zh-CN"/>
        </w:rPr>
      </w:pPr>
      <w:r>
        <w:rPr>
          <w:rFonts w:hint="eastAsia" w:cs="宋体"/>
          <w:bCs/>
          <w:color w:val="auto"/>
          <w:kern w:val="0"/>
          <w:szCs w:val="24"/>
          <w:highlight w:val="none"/>
        </w:rPr>
        <w:t>项目联系人：徐中凤、罗燕、</w:t>
      </w:r>
      <w:r>
        <w:rPr>
          <w:rFonts w:hint="eastAsia" w:cs="宋体"/>
          <w:bCs/>
          <w:color w:val="auto"/>
          <w:kern w:val="0"/>
          <w:szCs w:val="24"/>
          <w:highlight w:val="none"/>
          <w:lang w:val="en-US" w:eastAsia="zh-CN"/>
        </w:rPr>
        <w:t>袁金林</w:t>
      </w:r>
      <w:r>
        <w:rPr>
          <w:rFonts w:hint="eastAsia" w:cs="宋体"/>
          <w:bCs/>
          <w:color w:val="auto"/>
          <w:kern w:val="0"/>
          <w:szCs w:val="24"/>
          <w:highlight w:val="none"/>
        </w:rPr>
        <w:t>、</w:t>
      </w:r>
      <w:r>
        <w:rPr>
          <w:rFonts w:hint="eastAsia" w:cs="宋体"/>
          <w:bCs/>
          <w:color w:val="auto"/>
          <w:kern w:val="0"/>
          <w:szCs w:val="24"/>
          <w:highlight w:val="none"/>
          <w:lang w:eastAsia="zh-CN"/>
        </w:rPr>
        <w:t>程建军</w:t>
      </w:r>
      <w:r>
        <w:rPr>
          <w:rFonts w:hint="eastAsia" w:cs="宋体"/>
          <w:bCs/>
          <w:color w:val="auto"/>
          <w:kern w:val="0"/>
          <w:szCs w:val="24"/>
          <w:highlight w:val="none"/>
        </w:rPr>
        <w:t>、陈海云</w:t>
      </w:r>
    </w:p>
    <w:p w14:paraId="27222248">
      <w:pPr>
        <w:widowControl/>
        <w:shd w:val="clear" w:color="auto"/>
        <w:wordWrap w:val="0"/>
        <w:spacing w:line="480" w:lineRule="exact"/>
        <w:ind w:firstLine="480" w:firstLineChars="200"/>
        <w:rPr>
          <w:rFonts w:hint="eastAsia" w:cs="宋体"/>
          <w:bCs/>
          <w:color w:val="auto"/>
          <w:kern w:val="0"/>
          <w:szCs w:val="24"/>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cs="宋体"/>
          <w:bCs/>
          <w:color w:val="auto"/>
          <w:kern w:val="0"/>
          <w:szCs w:val="24"/>
          <w:highlight w:val="none"/>
        </w:rPr>
        <w:t>电 话：18099259977</w:t>
      </w:r>
      <w:r>
        <w:rPr>
          <w:rFonts w:hint="eastAsia" w:cs="宋体"/>
          <w:bCs/>
          <w:color w:val="auto"/>
          <w:kern w:val="0"/>
          <w:szCs w:val="24"/>
          <w:highlight w:val="none"/>
          <w:lang w:eastAsia="zh-CN"/>
        </w:rPr>
        <w:t>、</w:t>
      </w:r>
      <w:r>
        <w:rPr>
          <w:rFonts w:hint="eastAsia" w:cs="宋体"/>
          <w:bCs/>
          <w:color w:val="auto"/>
          <w:kern w:val="0"/>
          <w:szCs w:val="24"/>
          <w:highlight w:val="none"/>
        </w:rPr>
        <w:t>17716905655</w:t>
      </w:r>
    </w:p>
    <w:p w14:paraId="444A46D3">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p>
    <w:p w14:paraId="1E2C9AB2">
      <w:pPr>
        <w:pStyle w:val="3"/>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80" w:name="_Toc4980"/>
      <w:bookmarkStart w:id="81"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80"/>
      <w:bookmarkEnd w:id="81"/>
    </w:p>
    <w:p w14:paraId="224924B5">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82" w:name="_Toc163493609"/>
      <w:bookmarkStart w:id="83" w:name="_Toc19787"/>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82"/>
      <w:bookmarkEnd w:id="83"/>
    </w:p>
    <w:p w14:paraId="016068EF">
      <w:pPr>
        <w:pStyle w:val="36"/>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30"/>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jc w:val="center"/>
              <w:rPr>
                <w:rFonts w:hint="eastAsia" w:ascii="宋体" w:hAnsi="宋体" w:eastAsia="宋体" w:cs="宋体"/>
                <w:b/>
                <w:bCs/>
                <w:i w:val="0"/>
                <w:iCs w:val="0"/>
                <w:color w:val="auto"/>
                <w:sz w:val="24"/>
                <w:szCs w:val="24"/>
                <w:highlight w:val="none"/>
              </w:rPr>
            </w:pPr>
            <w:bookmarkStart w:id="84"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742F85D1">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标包1：</w:t>
            </w:r>
            <w:r>
              <w:rPr>
                <w:rFonts w:hint="eastAsia" w:ascii="宋体" w:hAnsi="宋体" w:eastAsia="宋体" w:cs="宋体"/>
                <w:i w:val="0"/>
                <w:iCs w:val="0"/>
                <w:color w:val="auto"/>
                <w:sz w:val="24"/>
                <w:szCs w:val="24"/>
                <w:highlight w:val="none"/>
                <w:u w:val="none"/>
                <w:lang w:val="en-US" w:eastAsia="zh-CN"/>
              </w:rPr>
              <w:t>主要负责基建工程项目，服务内容为编制工程量清单、工程招标控制价；审核工程变更及现场签证（工程量确认、造价核定）；建材材料、设备价格咨询确定；各类款项及工程经济签证等审核；竣工结算审核；从工程招标阶段、项目建设期间到竣工结算阶段的全过程造价监控和造价控制等造价咨询服务，项目安排采用竞争性机制，按照为医院建设项目提供服务质量的高低来安排。</w:t>
            </w:r>
          </w:p>
          <w:p w14:paraId="090866C0">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cs="宋体"/>
                <w:i w:val="0"/>
                <w:iCs w:val="0"/>
                <w:color w:val="auto"/>
                <w:sz w:val="24"/>
                <w:szCs w:val="24"/>
                <w:highlight w:val="none"/>
                <w:u w:val="none"/>
                <w:lang w:val="en-US" w:eastAsia="zh-CN"/>
              </w:rPr>
              <w:t>标包2：</w:t>
            </w:r>
            <w:r>
              <w:rPr>
                <w:rFonts w:hint="eastAsia" w:ascii="宋体" w:hAnsi="宋体" w:eastAsia="宋体" w:cs="宋体"/>
                <w:i w:val="0"/>
                <w:iCs w:val="0"/>
                <w:color w:val="auto"/>
                <w:sz w:val="24"/>
                <w:szCs w:val="24"/>
                <w:highlight w:val="none"/>
                <w:u w:val="none"/>
                <w:lang w:val="en-US" w:eastAsia="zh-CN"/>
              </w:rPr>
              <w:t>主要负责医学工程项目、弱电信息化项目、门禁视频监控项目及其他相关项目，服务内容为编制工程量清单、工程招标控制价；审核工程变更及现场签证（工程量确认、造价核定）；建材材料、设备价格咨询确定；各类款项及工程经济签证等审核；竣工结算审核；从工程招标阶段、项目建设期间到竣工结算阶段的全过程造价监控和造价控制等造价咨询服务，项目安排采用竞争性机制，按照为医院建设项目提供服务质量的高低来安排。</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rPr>
                <w:rFonts w:hint="eastAsia" w:ascii="宋体" w:hAnsi="宋体" w:eastAsia="宋体" w:cs="宋体"/>
                <w:i w:val="0"/>
                <w:iCs w:val="0"/>
                <w:color w:val="auto"/>
                <w:sz w:val="24"/>
                <w:szCs w:val="24"/>
                <w:highlight w:val="none"/>
              </w:rPr>
            </w:pPr>
            <w:bookmarkStart w:id="85" w:name="_Hlk143529175"/>
            <w:r>
              <w:rPr>
                <w:rFonts w:hint="eastAsia" w:ascii="宋体" w:hAnsi="宋体" w:eastAsia="宋体" w:cs="宋体"/>
                <w:i w:val="0"/>
                <w:iCs w:val="0"/>
                <w:color w:val="auto"/>
                <w:sz w:val="24"/>
                <w:szCs w:val="24"/>
                <w:highlight w:val="none"/>
              </w:rPr>
              <w:t>现场考察</w:t>
            </w:r>
            <w:bookmarkEnd w:id="85"/>
          </w:p>
        </w:tc>
        <w:tc>
          <w:tcPr>
            <w:tcW w:w="6450" w:type="dxa"/>
            <w:tcBorders>
              <w:top w:val="single" w:color="auto" w:sz="2" w:space="0"/>
              <w:left w:val="single" w:color="auto" w:sz="2" w:space="0"/>
              <w:bottom w:val="single" w:color="auto" w:sz="2" w:space="0"/>
              <w:right w:val="single" w:color="auto" w:sz="2" w:space="0"/>
            </w:tcBorders>
            <w:vAlign w:val="center"/>
          </w:tcPr>
          <w:p w14:paraId="5E2B3EE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7"/>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47"/>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7419497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在供应商客户端中按照格式填写询问函，并在生成询问函后加盖电子印章提交；其他询问方式： 电话咨询。 </w:t>
            </w:r>
          </w:p>
          <w:p w14:paraId="631C46F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7A8404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857404">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3B51C49">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w:t>
            </w:r>
          </w:p>
          <w:p w14:paraId="162D5B5E">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66939C03">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u w:val="single"/>
              </w:rPr>
            </w:pPr>
            <w:r>
              <w:rPr>
                <w:rFonts w:hint="eastAsia" w:ascii="宋体" w:hAnsi="宋体" w:cs="宋体"/>
                <w:i w:val="0"/>
                <w:iCs w:val="0"/>
                <w:color w:val="auto"/>
                <w:sz w:val="24"/>
                <w:szCs w:val="24"/>
                <w:highlight w:val="none"/>
                <w:lang w:val="en-US" w:eastAsia="zh-CN"/>
              </w:rPr>
              <w:t>标包1：</w:t>
            </w:r>
            <w:r>
              <w:rPr>
                <w:rFonts w:hint="eastAsia" w:ascii="宋体" w:hAnsi="宋体" w:eastAsia="宋体" w:cs="宋体"/>
                <w:i w:val="0"/>
                <w:iCs w:val="0"/>
                <w:color w:val="auto"/>
                <w:sz w:val="24"/>
                <w:szCs w:val="24"/>
                <w:highlight w:val="none"/>
                <w:u w:val="single"/>
              </w:rPr>
              <w:t xml:space="preserve">人民币 </w:t>
            </w:r>
            <w:r>
              <w:rPr>
                <w:rFonts w:hint="eastAsia" w:ascii="宋体" w:hAnsi="宋体"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rPr>
              <w:t>000.00 元（</w:t>
            </w:r>
            <w:r>
              <w:rPr>
                <w:rFonts w:hint="eastAsia" w:ascii="宋体" w:hAnsi="宋体" w:cs="宋体"/>
                <w:i w:val="0"/>
                <w:iCs w:val="0"/>
                <w:color w:val="auto"/>
                <w:sz w:val="24"/>
                <w:szCs w:val="24"/>
                <w:highlight w:val="none"/>
                <w:u w:val="single"/>
                <w:lang w:val="en-US" w:eastAsia="zh-CN"/>
              </w:rPr>
              <w:t>柒</w:t>
            </w:r>
            <w:r>
              <w:rPr>
                <w:rFonts w:hint="eastAsia" w:ascii="宋体" w:hAnsi="宋体" w:eastAsia="宋体" w:cs="宋体"/>
                <w:i w:val="0"/>
                <w:iCs w:val="0"/>
                <w:color w:val="auto"/>
                <w:sz w:val="24"/>
                <w:szCs w:val="24"/>
                <w:highlight w:val="none"/>
                <w:u w:val="single"/>
              </w:rPr>
              <w:t>仟元整）</w:t>
            </w:r>
          </w:p>
          <w:p w14:paraId="472D05ED">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u w:val="single"/>
                <w:lang w:eastAsia="zh-CN"/>
              </w:rPr>
            </w:pPr>
            <w:r>
              <w:rPr>
                <w:rFonts w:hint="eastAsia" w:ascii="宋体" w:hAnsi="宋体" w:cs="宋体"/>
                <w:i w:val="0"/>
                <w:iCs w:val="0"/>
                <w:color w:val="auto"/>
                <w:sz w:val="24"/>
                <w:szCs w:val="24"/>
                <w:highlight w:val="none"/>
                <w:lang w:val="en-US" w:eastAsia="zh-CN"/>
              </w:rPr>
              <w:t>标包2：</w:t>
            </w:r>
            <w:r>
              <w:rPr>
                <w:rFonts w:hint="eastAsia" w:ascii="宋体" w:hAnsi="宋体" w:eastAsia="宋体" w:cs="宋体"/>
                <w:i w:val="0"/>
                <w:iCs w:val="0"/>
                <w:color w:val="auto"/>
                <w:sz w:val="24"/>
                <w:szCs w:val="24"/>
                <w:highlight w:val="none"/>
                <w:u w:val="single"/>
              </w:rPr>
              <w:t xml:space="preserve">人民币 </w:t>
            </w:r>
            <w:r>
              <w:rPr>
                <w:rFonts w:hint="eastAsia" w:ascii="宋体" w:hAnsi="宋体"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rPr>
              <w:t>000.00 元（</w:t>
            </w:r>
            <w:r>
              <w:rPr>
                <w:rFonts w:hint="eastAsia" w:ascii="宋体" w:hAnsi="宋体" w:cs="宋体"/>
                <w:i w:val="0"/>
                <w:iCs w:val="0"/>
                <w:color w:val="auto"/>
                <w:sz w:val="24"/>
                <w:szCs w:val="24"/>
                <w:highlight w:val="none"/>
                <w:u w:val="single"/>
                <w:lang w:val="en-US" w:eastAsia="zh-CN"/>
              </w:rPr>
              <w:t>柒</w:t>
            </w:r>
            <w:r>
              <w:rPr>
                <w:rFonts w:hint="eastAsia" w:ascii="宋体" w:hAnsi="宋体" w:eastAsia="宋体" w:cs="宋体"/>
                <w:i w:val="0"/>
                <w:iCs w:val="0"/>
                <w:color w:val="auto"/>
                <w:sz w:val="24"/>
                <w:szCs w:val="24"/>
                <w:highlight w:val="none"/>
                <w:u w:val="single"/>
              </w:rPr>
              <w:t>仟元整）</w:t>
            </w:r>
          </w:p>
          <w:p w14:paraId="24C12F34">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0D5BB95D">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FAB915D">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color w:val="auto"/>
                <w:kern w:val="0"/>
                <w:sz w:val="24"/>
                <w:szCs w:val="24"/>
                <w:highlight w:val="none"/>
              </w:rPr>
              <w:t>中招国际招标有限公司新疆分公司</w:t>
            </w:r>
            <w:r>
              <w:rPr>
                <w:rFonts w:hint="eastAsia" w:ascii="宋体" w:hAnsi="宋体" w:eastAsia="宋体" w:cs="宋体"/>
                <w:i w:val="0"/>
                <w:iCs w:val="0"/>
                <w:color w:val="auto"/>
                <w:sz w:val="24"/>
                <w:szCs w:val="24"/>
                <w:highlight w:val="none"/>
              </w:rPr>
              <w:t xml:space="preserve">                            </w:t>
            </w:r>
          </w:p>
          <w:p w14:paraId="2350A619">
            <w:pPr>
              <w:pStyle w:val="55"/>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p>
          <w:p w14:paraId="033C6F19">
            <w:pPr>
              <w:pStyle w:val="55"/>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开户行：</w:t>
            </w:r>
            <w:r>
              <w:rPr>
                <w:rFonts w:hint="eastAsia" w:ascii="宋体" w:hAnsi="宋体" w:cs="宋体"/>
                <w:color w:val="auto"/>
                <w:kern w:val="0"/>
                <w:sz w:val="24"/>
                <w:szCs w:val="24"/>
                <w:highlight w:val="none"/>
              </w:rPr>
              <w:t>中国工商银行股份有限公司南湖北路支行</w:t>
            </w:r>
          </w:p>
          <w:p w14:paraId="69912EA7">
            <w:pPr>
              <w:pStyle w:val="55"/>
              <w:spacing w:line="360" w:lineRule="auto"/>
              <w:rPr>
                <w:rFonts w:hint="eastAsia" w:ascii="宋体" w:hAnsi="宋体" w:eastAsia="宋体" w:cs="宋体"/>
                <w:i w:val="0"/>
                <w:iCs w:val="0"/>
                <w:color w:val="auto"/>
                <w:sz w:val="24"/>
                <w:szCs w:val="24"/>
                <w:highlight w:val="none"/>
              </w:rPr>
            </w:pPr>
            <w:r>
              <w:rPr>
                <w:rFonts w:hint="eastAsia" w:ascii="宋体" w:hAnsi="宋体" w:cs="宋体"/>
                <w:color w:val="auto"/>
                <w:kern w:val="0"/>
                <w:sz w:val="24"/>
                <w:szCs w:val="24"/>
                <w:highlight w:val="none"/>
              </w:rPr>
              <w:t>账号：3002 0128 1910 0057 504</w:t>
            </w:r>
            <w:r>
              <w:rPr>
                <w:rFonts w:hint="eastAsia" w:ascii="宋体" w:hAnsi="宋体" w:eastAsia="宋体" w:cs="宋体"/>
                <w:i w:val="0"/>
                <w:iCs w:val="0"/>
                <w:color w:val="auto"/>
                <w:sz w:val="24"/>
                <w:szCs w:val="24"/>
                <w:highlight w:val="none"/>
              </w:rPr>
              <w:t xml:space="preserve">              </w:t>
            </w:r>
          </w:p>
          <w:p w14:paraId="2A4C24D5">
            <w:pPr>
              <w:pStyle w:val="57"/>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0BF13576">
            <w:pPr>
              <w:pStyle w:val="57"/>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3B76FECA">
            <w:pPr>
              <w:pStyle w:val="57"/>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531CB142">
            <w:pPr>
              <w:pStyle w:val="57"/>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2.以担保函、保证保险形式缴纳磋商保证金的，受益人和收取单位须为采购人。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3.供应商</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形式缴纳磋商保证金的</w:t>
            </w:r>
            <w:r>
              <w:rPr>
                <w:rFonts w:hint="eastAsia" w:ascii="宋体" w:hAnsi="宋体" w:cs="宋体"/>
                <w:b/>
                <w:bCs/>
                <w:i w:val="0"/>
                <w:iCs w:val="0"/>
                <w:color w:val="auto"/>
                <w:sz w:val="24"/>
                <w:szCs w:val="24"/>
                <w:highlight w:val="none"/>
                <w:lang w:val="en-US" w:eastAsia="zh-CN"/>
              </w:rPr>
              <w:t>时请在汇款时注明“TC269H0CR磋商保证金”，对因未注明项目简称及汇款事由而造成保证金不能及时到账的，后果由供应商自负。</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45"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71E1560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4CAFCF88">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7F574AF9">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p w14:paraId="0F4017F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1.样品制作的标准和要求：_________； </w:t>
            </w:r>
          </w:p>
          <w:p w14:paraId="47AA8C8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78BACEC2">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□不需要 </w:t>
            </w:r>
          </w:p>
          <w:p w14:paraId="49DF4476">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3ABCB7B6">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7A9B4B4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w:t>
            </w:r>
          </w:p>
          <w:p w14:paraId="5D7E607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5899C8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7CAFECE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3483D19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2794EEA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308957C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23C6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68A18BA">
            <w:pPr>
              <w:pStyle w:val="47"/>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F0B1563">
            <w:pPr>
              <w:pStyle w:val="47"/>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5F232E9">
            <w:pPr>
              <w:pStyle w:val="4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4C0FD4A3">
            <w:pPr>
              <w:pStyle w:val="47"/>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轮磋商。</w:t>
            </w:r>
          </w:p>
          <w:p w14:paraId="383A2BDE">
            <w:pPr>
              <w:pStyle w:val="47"/>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67E6A24B">
            <w:pPr>
              <w:pStyle w:val="47"/>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201373">
            <w:pPr>
              <w:pStyle w:val="47"/>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9D1D95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8247B4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4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4344EC45">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3EAFDFD3">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w:t>
            </w:r>
            <w:r>
              <w:rPr>
                <w:rFonts w:hint="eastAsia" w:ascii="宋体" w:hAnsi="宋体" w:eastAsia="宋体" w:cs="宋体"/>
                <w:i w:val="0"/>
                <w:iCs w:val="0"/>
                <w:color w:val="auto"/>
                <w:kern w:val="2"/>
                <w:sz w:val="24"/>
                <w:szCs w:val="24"/>
                <w:highlight w:val="none"/>
                <w:lang w:val="zh-CN" w:eastAsia="zh-CN" w:bidi="ar-SA"/>
              </w:rPr>
              <w:t xml:space="preserve">              </w:t>
            </w:r>
          </w:p>
          <w:p w14:paraId="2680A9E0">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联系电话：徐中凤</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zh-CN" w:eastAsia="zh-CN" w:bidi="ar-SA"/>
              </w:rPr>
              <w:t>罗燕</w:t>
            </w:r>
            <w:r>
              <w:rPr>
                <w:rFonts w:hint="eastAsia" w:ascii="宋体" w:hAnsi="宋体" w:cs="宋体"/>
                <w:i w:val="0"/>
                <w:iCs w:val="0"/>
                <w:color w:val="auto"/>
                <w:kern w:val="2"/>
                <w:sz w:val="24"/>
                <w:szCs w:val="24"/>
                <w:highlight w:val="none"/>
                <w:lang w:val="en-US" w:eastAsia="zh-CN" w:bidi="ar-SA"/>
              </w:rPr>
              <w:t xml:space="preserve"> </w:t>
            </w:r>
            <w:r>
              <w:rPr>
                <w:rFonts w:hint="eastAsia" w:ascii="宋体" w:hAnsi="宋体" w:eastAsia="宋体" w:cs="宋体"/>
                <w:i w:val="0"/>
                <w:iCs w:val="0"/>
                <w:color w:val="auto"/>
                <w:kern w:val="2"/>
                <w:sz w:val="24"/>
                <w:szCs w:val="24"/>
                <w:highlight w:val="none"/>
                <w:lang w:val="zh-CN" w:eastAsia="zh-CN" w:bidi="ar-SA"/>
              </w:rPr>
              <w:t>18099259977</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zh-CN" w:eastAsia="zh-CN" w:bidi="ar-SA"/>
              </w:rPr>
              <w:t xml:space="preserve">17716905655、             </w:t>
            </w:r>
          </w:p>
          <w:p w14:paraId="62F2E4C0">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color w:val="auto"/>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5048158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5B742BCE">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发改价格[2011]534号及计价格</w:t>
            </w:r>
            <w:r>
              <w:rPr>
                <w:rFonts w:hint="eastAsia"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2002]1980号文件计算的招标代理服务收费标准下浮40%计取</w:t>
            </w:r>
            <w:r>
              <w:rPr>
                <w:rFonts w:hint="eastAsia" w:cs="宋体"/>
                <w:color w:val="000000" w:themeColor="text1"/>
                <w:sz w:val="24"/>
                <w:szCs w:val="24"/>
                <w:highlight w:val="none"/>
                <w:u w:val="single"/>
                <w:lang w:eastAsia="zh-CN"/>
                <w14:textFill>
                  <w14:solidFill>
                    <w14:schemeClr w14:val="tx1"/>
                  </w14:solidFill>
                </w14:textFill>
              </w:rPr>
              <w:t>。</w:t>
            </w:r>
          </w:p>
          <w:tbl>
            <w:tblPr>
              <w:tblStyle w:val="30"/>
              <w:tblpPr w:leftFromText="180" w:rightFromText="180" w:vertAnchor="text" w:horzAnchor="page" w:tblpX="-30" w:tblpY="384"/>
              <w:tblOverlap w:val="never"/>
              <w:tblW w:w="6397" w:type="dxa"/>
              <w:tblInd w:w="0" w:type="dxa"/>
              <w:tblLayout w:type="fixed"/>
              <w:tblCellMar>
                <w:top w:w="0" w:type="dxa"/>
                <w:left w:w="0" w:type="dxa"/>
                <w:bottom w:w="0" w:type="dxa"/>
                <w:right w:w="0" w:type="dxa"/>
              </w:tblCellMar>
            </w:tblPr>
            <w:tblGrid>
              <w:gridCol w:w="2098"/>
              <w:gridCol w:w="1433"/>
              <w:gridCol w:w="1433"/>
              <w:gridCol w:w="1433"/>
            </w:tblGrid>
            <w:tr w14:paraId="7865A145">
              <w:tblPrEx>
                <w:tblCellMar>
                  <w:top w:w="0" w:type="dxa"/>
                  <w:left w:w="0" w:type="dxa"/>
                  <w:bottom w:w="0" w:type="dxa"/>
                  <w:right w:w="0" w:type="dxa"/>
                </w:tblCellMar>
              </w:tblPrEx>
              <w:trPr>
                <w:trHeight w:val="2094" w:hRule="atLeast"/>
              </w:trPr>
              <w:tc>
                <w:tcPr>
                  <w:tcW w:w="2098" w:type="dxa"/>
                  <w:tcBorders>
                    <w:top w:val="single" w:color="auto" w:sz="8" w:space="0"/>
                    <w:left w:val="single" w:color="auto" w:sz="8" w:space="0"/>
                    <w:bottom w:val="single" w:color="auto" w:sz="8" w:space="0"/>
                    <w:right w:val="single" w:color="auto" w:sz="8" w:space="0"/>
                  </w:tcBorders>
                </w:tcPr>
                <w:p w14:paraId="2ABFC94F">
                  <w:pPr>
                    <w:ind w:firstLine="840" w:firstLineChars="300"/>
                    <w:rPr>
                      <w:rFonts w:ascii="宋体" w:hAnsi="宋体"/>
                      <w:bCs/>
                      <w:color w:val="auto"/>
                      <w:szCs w:val="20"/>
                      <w:highlight w:val="none"/>
                    </w:rPr>
                  </w:pPr>
                  <w:r>
                    <w:rPr>
                      <w:rFonts w:ascii="宋体" w:hAnsi="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368300</wp:posOffset>
                            </wp:positionH>
                            <wp:positionV relativeFrom="paragraph">
                              <wp:posOffset>14605</wp:posOffset>
                            </wp:positionV>
                            <wp:extent cx="956310" cy="1430655"/>
                            <wp:effectExtent l="3810" t="2540" r="15240" b="14605"/>
                            <wp:wrapNone/>
                            <wp:docPr id="6" name="直接连接符 6"/>
                            <wp:cNvGraphicFramePr/>
                            <a:graphic xmlns:a="http://schemas.openxmlformats.org/drawingml/2006/main">
                              <a:graphicData uri="http://schemas.microsoft.com/office/word/2010/wordprocessingShape">
                                <wps:wsp>
                                  <wps:cNvCnPr/>
                                  <wps:spPr>
                                    <a:xfrm>
                                      <a:off x="0" y="0"/>
                                      <a:ext cx="956310" cy="14306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9pt;margin-top:1.15pt;height:112.65pt;width:75.3pt;z-index:251664384;mso-width-relative:page;mso-height-relative:page;" filled="f" stroked="t" coordsize="21600,21600" o:gfxdata="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6500DXAAAACAEAAA8AAAAAAAAAAQAgAAAAIgAAAGRycy9kb3ducmV2LnhtbFBLAQIUABQAAAAI&#10;AIdO4kDWFVYN7gEAAN0DAAAOAAAAAAAAAAEAIAAAACYBAABkcnMvZTJvRG9jLnhtbFBLBQYAAAAA&#10;BgAGAFkBAACGBQAAAAA=&#10;">
                            <v:fill on="f" focussize="0,0"/>
                            <v:stroke color="#000000" joinstyle="round"/>
                            <v:imagedata o:title=""/>
                            <o:lock v:ext="edit" aspectratio="f"/>
                          </v:line>
                        </w:pict>
                      </mc:Fallback>
                    </mc:AlternateContent>
                  </w:r>
                  <w:r>
                    <w:rPr>
                      <w:rFonts w:ascii="宋体" w:hAnsi="宋体"/>
                      <w:bCs/>
                      <w:color w:val="auto"/>
                      <w:szCs w:val="20"/>
                      <w:highlight w:val="none"/>
                    </w:rPr>
                    <w:t>服务类型</w:t>
                  </w:r>
                </w:p>
                <w:p w14:paraId="3B9D2514">
                  <w:pPr>
                    <w:ind w:firstLine="240" w:firstLineChars="100"/>
                    <w:rPr>
                      <w:rFonts w:ascii="宋体" w:hAnsi="宋体"/>
                      <w:bCs/>
                      <w:color w:val="auto"/>
                      <w:szCs w:val="20"/>
                      <w:highlight w:val="none"/>
                    </w:rPr>
                  </w:pPr>
                  <w:r>
                    <w:rPr>
                      <w:rFonts w:ascii="宋体" w:hAnsi="宋体"/>
                      <w:bCs/>
                      <w:color w:val="auto"/>
                      <w:szCs w:val="20"/>
                      <w:highlight w:val="none"/>
                    </w:rPr>
                    <w:t>费率</w:t>
                  </w:r>
                </w:p>
                <w:p w14:paraId="61FD1F8A">
                  <w:pPr>
                    <w:rPr>
                      <w:rFonts w:ascii="宋体" w:hAnsi="宋体"/>
                      <w:bCs/>
                      <w:color w:val="auto"/>
                      <w:szCs w:val="20"/>
                      <w:highlight w:val="none"/>
                    </w:rPr>
                  </w:pPr>
                  <w:r>
                    <w:rPr>
                      <w:rFonts w:ascii="宋体" w:hAnsi="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-10160</wp:posOffset>
                            </wp:positionH>
                            <wp:positionV relativeFrom="paragraph">
                              <wp:posOffset>-148590</wp:posOffset>
                            </wp:positionV>
                            <wp:extent cx="1319530" cy="1007110"/>
                            <wp:effectExtent l="3175" t="3810" r="3175" b="10160"/>
                            <wp:wrapNone/>
                            <wp:docPr id="5" name="直接连接符 5"/>
                            <wp:cNvGraphicFramePr/>
                            <a:graphic xmlns:a="http://schemas.openxmlformats.org/drawingml/2006/main">
                              <a:graphicData uri="http://schemas.microsoft.com/office/word/2010/wordprocessingShape">
                                <wps:wsp>
                                  <wps:cNvCnPr/>
                                  <wps:spPr>
                                    <a:xfrm>
                                      <a:off x="0" y="0"/>
                                      <a:ext cx="1319530" cy="10071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8pt;margin-top:-11.7pt;height:79.3pt;width:103.9pt;z-index:251665408;mso-width-relative:page;mso-height-relative:page;" filled="f" stroked="t" coordsize="21600,21600" o:gfxdata="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8n7U7YAAAACgEAAA8AAAAAAAAAAQAgAAAAIgAAAGRycy9kb3ducmV2LnhtbFBLAQIU&#10;ABQAAAAIAIdO4kB78PE18wEAAN4DAAAOAAAAAAAAAAEAIAAAACcBAABkcnMvZTJvRG9jLnhtbFBL&#10;BQYAAAAABgAGAFkBAACMBQAAAAA=&#10;">
                            <v:fill on="f" focussize="0,0"/>
                            <v:stroke color="#000000" joinstyle="round"/>
                            <v:imagedata o:title=""/>
                            <o:lock v:ext="edit" aspectratio="f"/>
                          </v:line>
                        </w:pict>
                      </mc:Fallback>
                    </mc:AlternateContent>
                  </w:r>
                </w:p>
                <w:p w14:paraId="5EBD2EA0">
                  <w:pPr>
                    <w:rPr>
                      <w:rFonts w:ascii="宋体" w:hAnsi="宋体"/>
                      <w:bCs/>
                      <w:color w:val="auto"/>
                      <w:szCs w:val="20"/>
                      <w:highlight w:val="none"/>
                    </w:rPr>
                  </w:pPr>
                  <w:r>
                    <w:rPr>
                      <w:rFonts w:ascii="宋体" w:hAnsi="宋体"/>
                      <w:color w:val="auto"/>
                      <w:highlight w:val="none"/>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-9525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0.75pt;height:0pt;width:0.05pt;z-index:251663360;mso-width-relative:page;mso-height-relative:page;" filled="f" stroked="t" coordsize="21600,21600" o:allowincell="f" o:gfxdata="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TkHnt&#10;1wAAAAkBAAAPAAAAAAAAAAEAIAAAACIAAABkcnMvZG93bnJldi54bWxQSwECFAAUAAAACACHTuJA&#10;h2izp+kBAADUAwAADgAAAAAAAAABACAAAAAmAQAAZHJzL2Uyb0RvYy54bWxQSwUGAAAAAAYABgBZ&#10;AQAAgQUAAAAA&#10;">
                            <v:fill on="f" focussize="0,0"/>
                            <v:stroke color="#000000" joinstyle="round"/>
                            <v:imagedata o:title=""/>
                            <o:lock v:ext="edit" aspectratio="f"/>
                          </v:line>
                        </w:pict>
                      </mc:Fallback>
                    </mc:AlternateContent>
                  </w:r>
                  <w:r>
                    <w:rPr>
                      <w:rFonts w:ascii="宋体" w:hAnsi="宋体"/>
                      <w:bCs/>
                      <w:color w:val="auto"/>
                      <w:szCs w:val="20"/>
                      <w:highlight w:val="none"/>
                    </w:rPr>
                    <w:t>中标</w:t>
                  </w:r>
                </w:p>
                <w:p w14:paraId="7748AF45">
                  <w:pPr>
                    <w:rPr>
                      <w:rFonts w:ascii="宋体" w:hAnsi="宋体"/>
                      <w:color w:val="auto"/>
                      <w:szCs w:val="21"/>
                      <w:highlight w:val="none"/>
                    </w:rPr>
                  </w:pPr>
                  <w:r>
                    <w:rPr>
                      <w:rFonts w:ascii="宋体" w:hAnsi="宋体"/>
                      <w:bCs/>
                      <w:color w:val="auto"/>
                      <w:szCs w:val="20"/>
                      <w:highlight w:val="none"/>
                    </w:rPr>
                    <w:t>金额</w:t>
                  </w:r>
                  <w:r>
                    <w:rPr>
                      <w:rFonts w:hint="eastAsia" w:ascii="宋体" w:hAnsi="宋体"/>
                      <w:bCs/>
                      <w:color w:val="auto"/>
                      <w:szCs w:val="20"/>
                      <w:highlight w:val="none"/>
                    </w:rPr>
                    <w:t>（</w:t>
                  </w:r>
                  <w:r>
                    <w:rPr>
                      <w:rFonts w:ascii="宋体" w:hAnsi="宋体"/>
                      <w:bCs/>
                      <w:color w:val="auto"/>
                      <w:szCs w:val="20"/>
                      <w:highlight w:val="none"/>
                    </w:rPr>
                    <w:t>万元）</w:t>
                  </w:r>
                </w:p>
              </w:tc>
              <w:tc>
                <w:tcPr>
                  <w:tcW w:w="1433" w:type="dxa"/>
                  <w:tcBorders>
                    <w:top w:val="single" w:color="auto" w:sz="8" w:space="0"/>
                    <w:left w:val="nil"/>
                    <w:bottom w:val="single" w:color="auto" w:sz="8" w:space="0"/>
                    <w:right w:val="single" w:color="auto" w:sz="4" w:space="0"/>
                  </w:tcBorders>
                  <w:vAlign w:val="center"/>
                </w:tcPr>
                <w:p w14:paraId="157ADD8B">
                  <w:pPr>
                    <w:jc w:val="center"/>
                    <w:rPr>
                      <w:rFonts w:ascii="宋体" w:hAnsi="宋体"/>
                      <w:color w:val="auto"/>
                      <w:szCs w:val="21"/>
                      <w:highlight w:val="none"/>
                    </w:rPr>
                  </w:pPr>
                  <w:r>
                    <w:rPr>
                      <w:rFonts w:ascii="宋体" w:hAnsi="宋体"/>
                      <w:bCs/>
                      <w:color w:val="auto"/>
                      <w:szCs w:val="20"/>
                      <w:highlight w:val="none"/>
                    </w:rPr>
                    <w:t>货物招标</w:t>
                  </w:r>
                </w:p>
              </w:tc>
              <w:tc>
                <w:tcPr>
                  <w:tcW w:w="1433" w:type="dxa"/>
                  <w:tcBorders>
                    <w:top w:val="single" w:color="auto" w:sz="4" w:space="0"/>
                    <w:left w:val="single" w:color="auto" w:sz="4" w:space="0"/>
                    <w:bottom w:val="single" w:color="auto" w:sz="4" w:space="0"/>
                    <w:right w:val="single" w:color="auto" w:sz="4" w:space="0"/>
                  </w:tcBorders>
                  <w:vAlign w:val="center"/>
                </w:tcPr>
                <w:p w14:paraId="260A250B">
                  <w:pPr>
                    <w:jc w:val="center"/>
                    <w:rPr>
                      <w:rFonts w:ascii="宋体" w:hAnsi="宋体"/>
                      <w:color w:val="auto"/>
                      <w:szCs w:val="21"/>
                      <w:highlight w:val="none"/>
                    </w:rPr>
                  </w:pPr>
                  <w:r>
                    <w:rPr>
                      <w:rFonts w:ascii="宋体" w:hAnsi="宋体"/>
                      <w:bCs/>
                      <w:color w:val="auto"/>
                      <w:szCs w:val="20"/>
                      <w:highlight w:val="none"/>
                    </w:rPr>
                    <w:t>服务招标</w:t>
                  </w:r>
                </w:p>
              </w:tc>
              <w:tc>
                <w:tcPr>
                  <w:tcW w:w="1433" w:type="dxa"/>
                  <w:tcBorders>
                    <w:top w:val="single" w:color="auto" w:sz="4" w:space="0"/>
                    <w:left w:val="single" w:color="auto" w:sz="4" w:space="0"/>
                    <w:bottom w:val="single" w:color="auto" w:sz="4" w:space="0"/>
                    <w:right w:val="single" w:color="auto" w:sz="4" w:space="0"/>
                  </w:tcBorders>
                  <w:vAlign w:val="center"/>
                </w:tcPr>
                <w:p w14:paraId="74189F16">
                  <w:pPr>
                    <w:jc w:val="center"/>
                    <w:rPr>
                      <w:rFonts w:ascii="宋体" w:hAnsi="宋体"/>
                      <w:bCs/>
                      <w:color w:val="auto"/>
                      <w:szCs w:val="20"/>
                      <w:highlight w:val="none"/>
                    </w:rPr>
                  </w:pPr>
                  <w:r>
                    <w:rPr>
                      <w:rFonts w:ascii="宋体" w:hAnsi="宋体"/>
                      <w:bCs/>
                      <w:color w:val="auto"/>
                      <w:szCs w:val="20"/>
                      <w:highlight w:val="none"/>
                    </w:rPr>
                    <w:t>工程招标</w:t>
                  </w:r>
                </w:p>
              </w:tc>
            </w:tr>
            <w:tr w14:paraId="49DAB4E0">
              <w:tblPrEx>
                <w:tblCellMar>
                  <w:top w:w="0" w:type="dxa"/>
                  <w:left w:w="0" w:type="dxa"/>
                  <w:bottom w:w="0" w:type="dxa"/>
                  <w:right w:w="0" w:type="dxa"/>
                </w:tblCellMar>
              </w:tblPrEx>
              <w:trPr>
                <w:trHeight w:val="433" w:hRule="atLeast"/>
              </w:trPr>
              <w:tc>
                <w:tcPr>
                  <w:tcW w:w="2098" w:type="dxa"/>
                  <w:tcBorders>
                    <w:top w:val="single" w:color="auto" w:sz="4" w:space="0"/>
                    <w:left w:val="single" w:color="auto" w:sz="8" w:space="0"/>
                    <w:bottom w:val="single" w:color="auto" w:sz="8" w:space="0"/>
                    <w:right w:val="single" w:color="auto" w:sz="8" w:space="0"/>
                  </w:tcBorders>
                  <w:vAlign w:val="center"/>
                </w:tcPr>
                <w:p w14:paraId="114FBD25">
                  <w:pPr>
                    <w:jc w:val="center"/>
                    <w:rPr>
                      <w:rFonts w:ascii="宋体" w:hAnsi="宋体"/>
                      <w:color w:val="auto"/>
                      <w:szCs w:val="21"/>
                      <w:highlight w:val="none"/>
                    </w:rPr>
                  </w:pPr>
                  <w:r>
                    <w:rPr>
                      <w:rFonts w:ascii="宋体" w:hAnsi="宋体"/>
                      <w:color w:val="auto"/>
                      <w:szCs w:val="20"/>
                      <w:highlight w:val="none"/>
                    </w:rPr>
                    <w:t>100以下</w:t>
                  </w:r>
                </w:p>
              </w:tc>
              <w:tc>
                <w:tcPr>
                  <w:tcW w:w="1433" w:type="dxa"/>
                  <w:tcBorders>
                    <w:top w:val="single" w:color="auto" w:sz="4" w:space="0"/>
                    <w:left w:val="nil"/>
                    <w:bottom w:val="single" w:color="auto" w:sz="8" w:space="0"/>
                    <w:right w:val="single" w:color="auto" w:sz="4" w:space="0"/>
                  </w:tcBorders>
                  <w:vAlign w:val="center"/>
                </w:tcPr>
                <w:p w14:paraId="55EF8A1F">
                  <w:pPr>
                    <w:jc w:val="center"/>
                    <w:rPr>
                      <w:rFonts w:ascii="宋体" w:hAnsi="宋体"/>
                      <w:color w:val="auto"/>
                      <w:szCs w:val="21"/>
                      <w:highlight w:val="none"/>
                    </w:rPr>
                  </w:pPr>
                  <w:r>
                    <w:rPr>
                      <w:rFonts w:ascii="宋体" w:hAnsi="宋体"/>
                      <w:color w:val="auto"/>
                      <w:szCs w:val="20"/>
                      <w:highlight w:val="none"/>
                    </w:rPr>
                    <w:t>1.5%</w:t>
                  </w:r>
                </w:p>
              </w:tc>
              <w:tc>
                <w:tcPr>
                  <w:tcW w:w="1433" w:type="dxa"/>
                  <w:tcBorders>
                    <w:top w:val="single" w:color="auto" w:sz="4" w:space="0"/>
                    <w:left w:val="single" w:color="auto" w:sz="4" w:space="0"/>
                    <w:bottom w:val="single" w:color="auto" w:sz="4" w:space="0"/>
                    <w:right w:val="single" w:color="auto" w:sz="4" w:space="0"/>
                  </w:tcBorders>
                  <w:vAlign w:val="center"/>
                </w:tcPr>
                <w:p w14:paraId="1CBC2C95">
                  <w:pPr>
                    <w:jc w:val="center"/>
                    <w:rPr>
                      <w:rFonts w:ascii="宋体" w:hAnsi="宋体"/>
                      <w:color w:val="auto"/>
                      <w:szCs w:val="21"/>
                      <w:highlight w:val="none"/>
                    </w:rPr>
                  </w:pPr>
                  <w:r>
                    <w:rPr>
                      <w:rFonts w:ascii="宋体" w:hAnsi="宋体"/>
                      <w:color w:val="auto"/>
                      <w:szCs w:val="20"/>
                      <w:highlight w:val="none"/>
                    </w:rPr>
                    <w:t>1.5%</w:t>
                  </w:r>
                </w:p>
              </w:tc>
              <w:tc>
                <w:tcPr>
                  <w:tcW w:w="1433" w:type="dxa"/>
                  <w:tcBorders>
                    <w:top w:val="single" w:color="auto" w:sz="4" w:space="0"/>
                    <w:left w:val="single" w:color="auto" w:sz="4" w:space="0"/>
                    <w:bottom w:val="single" w:color="auto" w:sz="4" w:space="0"/>
                    <w:right w:val="single" w:color="auto" w:sz="4" w:space="0"/>
                  </w:tcBorders>
                  <w:vAlign w:val="center"/>
                </w:tcPr>
                <w:p w14:paraId="4DD51054">
                  <w:pPr>
                    <w:jc w:val="center"/>
                    <w:rPr>
                      <w:rFonts w:ascii="宋体" w:hAnsi="宋体"/>
                      <w:bCs/>
                      <w:color w:val="auto"/>
                      <w:szCs w:val="20"/>
                      <w:highlight w:val="none"/>
                    </w:rPr>
                  </w:pPr>
                  <w:r>
                    <w:rPr>
                      <w:rFonts w:ascii="宋体" w:hAnsi="宋体"/>
                      <w:bCs/>
                      <w:color w:val="auto"/>
                      <w:szCs w:val="20"/>
                      <w:highlight w:val="none"/>
                    </w:rPr>
                    <w:t>1.0%</w:t>
                  </w:r>
                </w:p>
              </w:tc>
            </w:tr>
            <w:tr w14:paraId="11EF68F5">
              <w:tblPrEx>
                <w:tblCellMar>
                  <w:top w:w="0" w:type="dxa"/>
                  <w:left w:w="0" w:type="dxa"/>
                  <w:bottom w:w="0" w:type="dxa"/>
                  <w:right w:w="0" w:type="dxa"/>
                </w:tblCellMar>
              </w:tblPrEx>
              <w:trPr>
                <w:trHeight w:val="433" w:hRule="atLeast"/>
              </w:trPr>
              <w:tc>
                <w:tcPr>
                  <w:tcW w:w="2098" w:type="dxa"/>
                  <w:tcBorders>
                    <w:top w:val="nil"/>
                    <w:left w:val="single" w:color="auto" w:sz="8" w:space="0"/>
                    <w:bottom w:val="single" w:color="auto" w:sz="8" w:space="0"/>
                    <w:right w:val="single" w:color="auto" w:sz="8" w:space="0"/>
                  </w:tcBorders>
                  <w:vAlign w:val="center"/>
                </w:tcPr>
                <w:p w14:paraId="3F711CE4">
                  <w:pPr>
                    <w:jc w:val="center"/>
                    <w:rPr>
                      <w:rFonts w:ascii="宋体" w:hAnsi="宋体"/>
                      <w:color w:val="auto"/>
                      <w:szCs w:val="21"/>
                      <w:highlight w:val="none"/>
                    </w:rPr>
                  </w:pPr>
                  <w:r>
                    <w:rPr>
                      <w:rFonts w:ascii="宋体" w:hAnsi="宋体"/>
                      <w:color w:val="auto"/>
                      <w:szCs w:val="20"/>
                      <w:highlight w:val="none"/>
                    </w:rPr>
                    <w:t>100-500</w:t>
                  </w:r>
                </w:p>
              </w:tc>
              <w:tc>
                <w:tcPr>
                  <w:tcW w:w="1433" w:type="dxa"/>
                  <w:tcBorders>
                    <w:top w:val="nil"/>
                    <w:left w:val="nil"/>
                    <w:bottom w:val="single" w:color="auto" w:sz="8" w:space="0"/>
                    <w:right w:val="single" w:color="auto" w:sz="4" w:space="0"/>
                  </w:tcBorders>
                  <w:vAlign w:val="center"/>
                </w:tcPr>
                <w:p w14:paraId="05DD852E">
                  <w:pPr>
                    <w:jc w:val="center"/>
                    <w:rPr>
                      <w:rFonts w:ascii="宋体" w:hAnsi="宋体"/>
                      <w:color w:val="auto"/>
                      <w:szCs w:val="21"/>
                      <w:highlight w:val="none"/>
                    </w:rPr>
                  </w:pPr>
                  <w:r>
                    <w:rPr>
                      <w:rFonts w:ascii="宋体" w:hAnsi="宋体"/>
                      <w:color w:val="auto"/>
                      <w:szCs w:val="20"/>
                      <w:highlight w:val="none"/>
                    </w:rPr>
                    <w:t>1.1%</w:t>
                  </w:r>
                </w:p>
              </w:tc>
              <w:tc>
                <w:tcPr>
                  <w:tcW w:w="1433" w:type="dxa"/>
                  <w:tcBorders>
                    <w:top w:val="single" w:color="auto" w:sz="4" w:space="0"/>
                    <w:left w:val="single" w:color="auto" w:sz="4" w:space="0"/>
                    <w:bottom w:val="single" w:color="auto" w:sz="4" w:space="0"/>
                    <w:right w:val="single" w:color="auto" w:sz="4" w:space="0"/>
                  </w:tcBorders>
                  <w:vAlign w:val="center"/>
                </w:tcPr>
                <w:p w14:paraId="7AEBCEB1">
                  <w:pPr>
                    <w:jc w:val="center"/>
                    <w:rPr>
                      <w:rFonts w:ascii="宋体" w:hAnsi="宋体"/>
                      <w:color w:val="auto"/>
                      <w:szCs w:val="21"/>
                      <w:highlight w:val="none"/>
                    </w:rPr>
                  </w:pPr>
                  <w:r>
                    <w:rPr>
                      <w:rFonts w:ascii="宋体" w:hAnsi="宋体"/>
                      <w:color w:val="auto"/>
                      <w:szCs w:val="20"/>
                      <w:highlight w:val="none"/>
                    </w:rPr>
                    <w:t>0.8%</w:t>
                  </w:r>
                </w:p>
              </w:tc>
              <w:tc>
                <w:tcPr>
                  <w:tcW w:w="1433" w:type="dxa"/>
                  <w:tcBorders>
                    <w:top w:val="single" w:color="auto" w:sz="4" w:space="0"/>
                    <w:left w:val="single" w:color="auto" w:sz="4" w:space="0"/>
                    <w:bottom w:val="single" w:color="auto" w:sz="4" w:space="0"/>
                    <w:right w:val="single" w:color="auto" w:sz="4" w:space="0"/>
                  </w:tcBorders>
                  <w:vAlign w:val="center"/>
                </w:tcPr>
                <w:p w14:paraId="54B088C5">
                  <w:pPr>
                    <w:jc w:val="center"/>
                    <w:rPr>
                      <w:rFonts w:ascii="宋体" w:hAnsi="宋体"/>
                      <w:bCs/>
                      <w:color w:val="auto"/>
                      <w:szCs w:val="20"/>
                      <w:highlight w:val="none"/>
                    </w:rPr>
                  </w:pPr>
                  <w:r>
                    <w:rPr>
                      <w:rFonts w:ascii="宋体" w:hAnsi="宋体"/>
                      <w:bCs/>
                      <w:color w:val="auto"/>
                      <w:szCs w:val="20"/>
                      <w:highlight w:val="none"/>
                    </w:rPr>
                    <w:t>0.7%</w:t>
                  </w:r>
                </w:p>
              </w:tc>
            </w:tr>
            <w:tr w14:paraId="1A0CEDFC">
              <w:tblPrEx>
                <w:tblCellMar>
                  <w:top w:w="0" w:type="dxa"/>
                  <w:left w:w="0" w:type="dxa"/>
                  <w:bottom w:w="0" w:type="dxa"/>
                  <w:right w:w="0" w:type="dxa"/>
                </w:tblCellMar>
              </w:tblPrEx>
              <w:trPr>
                <w:trHeight w:val="433" w:hRule="atLeast"/>
              </w:trPr>
              <w:tc>
                <w:tcPr>
                  <w:tcW w:w="2098" w:type="dxa"/>
                  <w:tcBorders>
                    <w:top w:val="nil"/>
                    <w:left w:val="single" w:color="auto" w:sz="8" w:space="0"/>
                    <w:bottom w:val="single" w:color="auto" w:sz="8" w:space="0"/>
                    <w:right w:val="single" w:color="auto" w:sz="8" w:space="0"/>
                  </w:tcBorders>
                  <w:vAlign w:val="center"/>
                </w:tcPr>
                <w:p w14:paraId="4CEC38A8">
                  <w:pPr>
                    <w:jc w:val="center"/>
                    <w:rPr>
                      <w:rFonts w:ascii="宋体" w:hAnsi="宋体"/>
                      <w:color w:val="auto"/>
                      <w:szCs w:val="21"/>
                      <w:highlight w:val="none"/>
                    </w:rPr>
                  </w:pPr>
                  <w:r>
                    <w:rPr>
                      <w:rFonts w:ascii="宋体" w:hAnsi="宋体"/>
                      <w:color w:val="auto"/>
                      <w:szCs w:val="20"/>
                      <w:highlight w:val="none"/>
                    </w:rPr>
                    <w:t>500-1000</w:t>
                  </w:r>
                </w:p>
              </w:tc>
              <w:tc>
                <w:tcPr>
                  <w:tcW w:w="1433" w:type="dxa"/>
                  <w:tcBorders>
                    <w:top w:val="nil"/>
                    <w:left w:val="nil"/>
                    <w:bottom w:val="single" w:color="auto" w:sz="8" w:space="0"/>
                    <w:right w:val="single" w:color="auto" w:sz="4" w:space="0"/>
                  </w:tcBorders>
                  <w:vAlign w:val="center"/>
                </w:tcPr>
                <w:p w14:paraId="7BC62EFC">
                  <w:pPr>
                    <w:jc w:val="center"/>
                    <w:rPr>
                      <w:rFonts w:ascii="宋体" w:hAnsi="宋体"/>
                      <w:color w:val="auto"/>
                      <w:szCs w:val="21"/>
                      <w:highlight w:val="none"/>
                    </w:rPr>
                  </w:pPr>
                  <w:r>
                    <w:rPr>
                      <w:rFonts w:ascii="宋体" w:hAnsi="宋体"/>
                      <w:color w:val="auto"/>
                      <w:szCs w:val="20"/>
                      <w:highlight w:val="none"/>
                    </w:rPr>
                    <w:t>0.8%</w:t>
                  </w:r>
                </w:p>
              </w:tc>
              <w:tc>
                <w:tcPr>
                  <w:tcW w:w="1433" w:type="dxa"/>
                  <w:tcBorders>
                    <w:top w:val="single" w:color="auto" w:sz="4" w:space="0"/>
                    <w:left w:val="single" w:color="auto" w:sz="4" w:space="0"/>
                    <w:bottom w:val="single" w:color="auto" w:sz="4" w:space="0"/>
                    <w:right w:val="single" w:color="auto" w:sz="4" w:space="0"/>
                  </w:tcBorders>
                  <w:vAlign w:val="center"/>
                </w:tcPr>
                <w:p w14:paraId="3077523F">
                  <w:pPr>
                    <w:jc w:val="center"/>
                    <w:rPr>
                      <w:rFonts w:ascii="宋体" w:hAnsi="宋体"/>
                      <w:color w:val="auto"/>
                      <w:szCs w:val="21"/>
                      <w:highlight w:val="none"/>
                    </w:rPr>
                  </w:pPr>
                  <w:r>
                    <w:rPr>
                      <w:rFonts w:ascii="宋体" w:hAnsi="宋体"/>
                      <w:color w:val="auto"/>
                      <w:szCs w:val="20"/>
                      <w:highlight w:val="none"/>
                    </w:rPr>
                    <w:t>0.45%</w:t>
                  </w:r>
                </w:p>
              </w:tc>
              <w:tc>
                <w:tcPr>
                  <w:tcW w:w="1433" w:type="dxa"/>
                  <w:tcBorders>
                    <w:top w:val="single" w:color="auto" w:sz="4" w:space="0"/>
                    <w:left w:val="single" w:color="auto" w:sz="4" w:space="0"/>
                    <w:bottom w:val="single" w:color="auto" w:sz="4" w:space="0"/>
                    <w:right w:val="single" w:color="auto" w:sz="4" w:space="0"/>
                  </w:tcBorders>
                  <w:vAlign w:val="center"/>
                </w:tcPr>
                <w:p w14:paraId="052FDFB3">
                  <w:pPr>
                    <w:jc w:val="center"/>
                    <w:rPr>
                      <w:rFonts w:ascii="宋体" w:hAnsi="宋体"/>
                      <w:bCs/>
                      <w:color w:val="auto"/>
                      <w:szCs w:val="20"/>
                      <w:highlight w:val="none"/>
                    </w:rPr>
                  </w:pPr>
                  <w:r>
                    <w:rPr>
                      <w:rFonts w:ascii="宋体" w:hAnsi="宋体"/>
                      <w:bCs/>
                      <w:color w:val="auto"/>
                      <w:szCs w:val="20"/>
                      <w:highlight w:val="none"/>
                    </w:rPr>
                    <w:t>0.55%</w:t>
                  </w:r>
                </w:p>
              </w:tc>
            </w:tr>
            <w:tr w14:paraId="5DB962FE">
              <w:tblPrEx>
                <w:tblCellMar>
                  <w:top w:w="0" w:type="dxa"/>
                  <w:left w:w="0" w:type="dxa"/>
                  <w:bottom w:w="0" w:type="dxa"/>
                  <w:right w:w="0" w:type="dxa"/>
                </w:tblCellMar>
              </w:tblPrEx>
              <w:trPr>
                <w:trHeight w:val="433" w:hRule="atLeast"/>
              </w:trPr>
              <w:tc>
                <w:tcPr>
                  <w:tcW w:w="2098" w:type="dxa"/>
                  <w:tcBorders>
                    <w:top w:val="nil"/>
                    <w:left w:val="single" w:color="auto" w:sz="8" w:space="0"/>
                    <w:bottom w:val="single" w:color="auto" w:sz="8" w:space="0"/>
                    <w:right w:val="single" w:color="auto" w:sz="8" w:space="0"/>
                  </w:tcBorders>
                  <w:vAlign w:val="center"/>
                </w:tcPr>
                <w:p w14:paraId="74C2BB25">
                  <w:pPr>
                    <w:jc w:val="center"/>
                    <w:rPr>
                      <w:rFonts w:ascii="宋体" w:hAnsi="宋体"/>
                      <w:color w:val="auto"/>
                      <w:szCs w:val="21"/>
                      <w:highlight w:val="none"/>
                    </w:rPr>
                  </w:pPr>
                  <w:r>
                    <w:rPr>
                      <w:rFonts w:ascii="宋体" w:hAnsi="宋体"/>
                      <w:color w:val="auto"/>
                      <w:szCs w:val="20"/>
                      <w:highlight w:val="none"/>
                    </w:rPr>
                    <w:t>1000-5000</w:t>
                  </w:r>
                </w:p>
              </w:tc>
              <w:tc>
                <w:tcPr>
                  <w:tcW w:w="1433" w:type="dxa"/>
                  <w:tcBorders>
                    <w:top w:val="nil"/>
                    <w:left w:val="nil"/>
                    <w:bottom w:val="single" w:color="auto" w:sz="8" w:space="0"/>
                    <w:right w:val="single" w:color="auto" w:sz="4" w:space="0"/>
                  </w:tcBorders>
                  <w:vAlign w:val="center"/>
                </w:tcPr>
                <w:p w14:paraId="1C3AE952">
                  <w:pPr>
                    <w:jc w:val="center"/>
                    <w:rPr>
                      <w:rFonts w:ascii="宋体" w:hAnsi="宋体"/>
                      <w:color w:val="auto"/>
                      <w:szCs w:val="21"/>
                      <w:highlight w:val="none"/>
                    </w:rPr>
                  </w:pPr>
                  <w:r>
                    <w:rPr>
                      <w:rFonts w:ascii="宋体" w:hAnsi="宋体"/>
                      <w:color w:val="auto"/>
                      <w:szCs w:val="20"/>
                      <w:highlight w:val="none"/>
                    </w:rPr>
                    <w:t>0.5%</w:t>
                  </w:r>
                </w:p>
              </w:tc>
              <w:tc>
                <w:tcPr>
                  <w:tcW w:w="1433" w:type="dxa"/>
                  <w:tcBorders>
                    <w:top w:val="single" w:color="auto" w:sz="4" w:space="0"/>
                    <w:left w:val="single" w:color="auto" w:sz="4" w:space="0"/>
                    <w:bottom w:val="single" w:color="auto" w:sz="4" w:space="0"/>
                    <w:right w:val="single" w:color="auto" w:sz="4" w:space="0"/>
                  </w:tcBorders>
                  <w:vAlign w:val="center"/>
                </w:tcPr>
                <w:p w14:paraId="5FBC5BE7">
                  <w:pPr>
                    <w:jc w:val="center"/>
                    <w:rPr>
                      <w:rFonts w:ascii="宋体" w:hAnsi="宋体"/>
                      <w:color w:val="auto"/>
                      <w:szCs w:val="21"/>
                      <w:highlight w:val="none"/>
                    </w:rPr>
                  </w:pPr>
                  <w:r>
                    <w:rPr>
                      <w:rFonts w:ascii="宋体" w:hAnsi="宋体"/>
                      <w:color w:val="auto"/>
                      <w:szCs w:val="20"/>
                      <w:highlight w:val="none"/>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5D186A73">
                  <w:pPr>
                    <w:jc w:val="center"/>
                    <w:rPr>
                      <w:rFonts w:ascii="宋体" w:hAnsi="宋体"/>
                      <w:bCs/>
                      <w:color w:val="auto"/>
                      <w:szCs w:val="20"/>
                      <w:highlight w:val="none"/>
                    </w:rPr>
                  </w:pPr>
                  <w:r>
                    <w:rPr>
                      <w:rFonts w:ascii="宋体" w:hAnsi="宋体"/>
                      <w:bCs/>
                      <w:color w:val="auto"/>
                      <w:szCs w:val="20"/>
                      <w:highlight w:val="none"/>
                    </w:rPr>
                    <w:t>0.35%</w:t>
                  </w:r>
                </w:p>
              </w:tc>
            </w:tr>
            <w:tr w14:paraId="5A9B8877">
              <w:tblPrEx>
                <w:tblCellMar>
                  <w:top w:w="0" w:type="dxa"/>
                  <w:left w:w="0" w:type="dxa"/>
                  <w:bottom w:w="0" w:type="dxa"/>
                  <w:right w:w="0" w:type="dxa"/>
                </w:tblCellMar>
              </w:tblPrEx>
              <w:trPr>
                <w:trHeight w:val="433" w:hRule="atLeast"/>
              </w:trPr>
              <w:tc>
                <w:tcPr>
                  <w:tcW w:w="2098" w:type="dxa"/>
                  <w:tcBorders>
                    <w:top w:val="nil"/>
                    <w:left w:val="single" w:color="auto" w:sz="8" w:space="0"/>
                    <w:bottom w:val="single" w:color="auto" w:sz="8" w:space="0"/>
                    <w:right w:val="single" w:color="auto" w:sz="8" w:space="0"/>
                  </w:tcBorders>
                  <w:vAlign w:val="center"/>
                </w:tcPr>
                <w:p w14:paraId="45C7B1D5">
                  <w:pPr>
                    <w:jc w:val="center"/>
                    <w:rPr>
                      <w:rFonts w:ascii="宋体" w:hAnsi="宋体"/>
                      <w:color w:val="auto"/>
                      <w:szCs w:val="20"/>
                      <w:highlight w:val="none"/>
                    </w:rPr>
                  </w:pPr>
                  <w:r>
                    <w:rPr>
                      <w:rFonts w:ascii="宋体" w:hAnsi="宋体"/>
                      <w:color w:val="auto"/>
                      <w:szCs w:val="20"/>
                      <w:highlight w:val="none"/>
                    </w:rPr>
                    <w:t>5000-10000</w:t>
                  </w:r>
                </w:p>
              </w:tc>
              <w:tc>
                <w:tcPr>
                  <w:tcW w:w="1433" w:type="dxa"/>
                  <w:tcBorders>
                    <w:top w:val="nil"/>
                    <w:left w:val="nil"/>
                    <w:bottom w:val="single" w:color="auto" w:sz="8" w:space="0"/>
                    <w:right w:val="single" w:color="auto" w:sz="4" w:space="0"/>
                  </w:tcBorders>
                  <w:vAlign w:val="center"/>
                </w:tcPr>
                <w:p w14:paraId="7EF6715B">
                  <w:pPr>
                    <w:jc w:val="center"/>
                    <w:rPr>
                      <w:rFonts w:ascii="宋体" w:hAnsi="宋体"/>
                      <w:color w:val="auto"/>
                      <w:szCs w:val="20"/>
                      <w:highlight w:val="none"/>
                    </w:rPr>
                  </w:pPr>
                  <w:r>
                    <w:rPr>
                      <w:rFonts w:ascii="宋体" w:hAnsi="宋体"/>
                      <w:color w:val="auto"/>
                      <w:szCs w:val="20"/>
                      <w:highlight w:val="none"/>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590273A4">
                  <w:pPr>
                    <w:jc w:val="center"/>
                    <w:rPr>
                      <w:rFonts w:ascii="宋体" w:hAnsi="宋体"/>
                      <w:color w:val="auto"/>
                      <w:szCs w:val="20"/>
                      <w:highlight w:val="none"/>
                    </w:rPr>
                  </w:pPr>
                  <w:r>
                    <w:rPr>
                      <w:rFonts w:ascii="宋体" w:hAnsi="宋体"/>
                      <w:color w:val="auto"/>
                      <w:szCs w:val="20"/>
                      <w:highlight w:val="none"/>
                    </w:rPr>
                    <w:t>0.10%</w:t>
                  </w:r>
                </w:p>
              </w:tc>
              <w:tc>
                <w:tcPr>
                  <w:tcW w:w="1433" w:type="dxa"/>
                  <w:tcBorders>
                    <w:top w:val="single" w:color="auto" w:sz="4" w:space="0"/>
                    <w:left w:val="single" w:color="auto" w:sz="4" w:space="0"/>
                    <w:bottom w:val="single" w:color="auto" w:sz="4" w:space="0"/>
                    <w:right w:val="single" w:color="auto" w:sz="4" w:space="0"/>
                  </w:tcBorders>
                  <w:vAlign w:val="center"/>
                </w:tcPr>
                <w:p w14:paraId="43F376B2">
                  <w:pPr>
                    <w:jc w:val="center"/>
                    <w:rPr>
                      <w:rFonts w:ascii="宋体" w:hAnsi="宋体"/>
                      <w:bCs/>
                      <w:color w:val="auto"/>
                      <w:szCs w:val="20"/>
                      <w:highlight w:val="none"/>
                    </w:rPr>
                  </w:pPr>
                  <w:r>
                    <w:rPr>
                      <w:rFonts w:ascii="宋体" w:hAnsi="宋体"/>
                      <w:color w:val="auto"/>
                      <w:szCs w:val="20"/>
                      <w:highlight w:val="none"/>
                    </w:rPr>
                    <w:t>0.20%</w:t>
                  </w:r>
                </w:p>
              </w:tc>
            </w:tr>
            <w:tr w14:paraId="39A41780">
              <w:tblPrEx>
                <w:tblCellMar>
                  <w:top w:w="0" w:type="dxa"/>
                  <w:left w:w="0" w:type="dxa"/>
                  <w:bottom w:w="0" w:type="dxa"/>
                  <w:right w:w="0" w:type="dxa"/>
                </w:tblCellMar>
              </w:tblPrEx>
              <w:trPr>
                <w:trHeight w:val="433" w:hRule="atLeast"/>
              </w:trPr>
              <w:tc>
                <w:tcPr>
                  <w:tcW w:w="2098" w:type="dxa"/>
                  <w:tcBorders>
                    <w:top w:val="nil"/>
                    <w:left w:val="single" w:color="auto" w:sz="8" w:space="0"/>
                    <w:bottom w:val="single" w:color="auto" w:sz="8" w:space="0"/>
                    <w:right w:val="single" w:color="auto" w:sz="8" w:space="0"/>
                  </w:tcBorders>
                  <w:vAlign w:val="center"/>
                </w:tcPr>
                <w:p w14:paraId="5DAE1D21">
                  <w:pPr>
                    <w:jc w:val="center"/>
                    <w:rPr>
                      <w:rFonts w:ascii="宋体" w:hAnsi="宋体"/>
                      <w:color w:val="auto"/>
                      <w:szCs w:val="20"/>
                      <w:highlight w:val="none"/>
                    </w:rPr>
                  </w:pPr>
                  <w:r>
                    <w:rPr>
                      <w:rFonts w:ascii="宋体" w:hAnsi="宋体"/>
                      <w:color w:val="auto"/>
                      <w:szCs w:val="20"/>
                      <w:highlight w:val="none"/>
                    </w:rPr>
                    <w:t>10000-100000</w:t>
                  </w:r>
                </w:p>
              </w:tc>
              <w:tc>
                <w:tcPr>
                  <w:tcW w:w="1433" w:type="dxa"/>
                  <w:tcBorders>
                    <w:top w:val="nil"/>
                    <w:left w:val="nil"/>
                    <w:bottom w:val="single" w:color="auto" w:sz="8" w:space="0"/>
                    <w:right w:val="single" w:color="auto" w:sz="4" w:space="0"/>
                  </w:tcBorders>
                  <w:vAlign w:val="center"/>
                </w:tcPr>
                <w:p w14:paraId="5239AF6C">
                  <w:pPr>
                    <w:jc w:val="center"/>
                    <w:rPr>
                      <w:rFonts w:ascii="宋体" w:hAnsi="宋体"/>
                      <w:color w:val="auto"/>
                      <w:szCs w:val="20"/>
                      <w:highlight w:val="none"/>
                    </w:rPr>
                  </w:pPr>
                  <w:r>
                    <w:rPr>
                      <w:rFonts w:ascii="宋体" w:hAnsi="宋体"/>
                      <w:color w:val="auto"/>
                      <w:szCs w:val="20"/>
                      <w:highlight w:val="none"/>
                    </w:rPr>
                    <w:t>0.05%</w:t>
                  </w:r>
                </w:p>
              </w:tc>
              <w:tc>
                <w:tcPr>
                  <w:tcW w:w="1433" w:type="dxa"/>
                  <w:tcBorders>
                    <w:top w:val="single" w:color="auto" w:sz="4" w:space="0"/>
                    <w:left w:val="single" w:color="auto" w:sz="4" w:space="0"/>
                    <w:bottom w:val="single" w:color="auto" w:sz="4" w:space="0"/>
                    <w:right w:val="single" w:color="auto" w:sz="4" w:space="0"/>
                  </w:tcBorders>
                  <w:vAlign w:val="center"/>
                </w:tcPr>
                <w:p w14:paraId="6E7037E7">
                  <w:pPr>
                    <w:jc w:val="center"/>
                    <w:rPr>
                      <w:rFonts w:ascii="宋体" w:hAnsi="宋体"/>
                      <w:color w:val="auto"/>
                      <w:szCs w:val="20"/>
                      <w:highlight w:val="none"/>
                    </w:rPr>
                  </w:pPr>
                  <w:r>
                    <w:rPr>
                      <w:rFonts w:ascii="宋体" w:hAnsi="宋体"/>
                      <w:color w:val="auto"/>
                      <w:szCs w:val="20"/>
                      <w:highlight w:val="none"/>
                    </w:rPr>
                    <w:t>0.05%</w:t>
                  </w:r>
                </w:p>
              </w:tc>
              <w:tc>
                <w:tcPr>
                  <w:tcW w:w="1433" w:type="dxa"/>
                  <w:tcBorders>
                    <w:top w:val="single" w:color="auto" w:sz="4" w:space="0"/>
                    <w:left w:val="single" w:color="auto" w:sz="4" w:space="0"/>
                    <w:bottom w:val="single" w:color="auto" w:sz="4" w:space="0"/>
                    <w:right w:val="single" w:color="auto" w:sz="4" w:space="0"/>
                  </w:tcBorders>
                  <w:vAlign w:val="center"/>
                </w:tcPr>
                <w:p w14:paraId="655CDE62">
                  <w:pPr>
                    <w:jc w:val="center"/>
                    <w:rPr>
                      <w:rFonts w:ascii="宋体" w:hAnsi="宋体"/>
                      <w:bCs/>
                      <w:color w:val="auto"/>
                      <w:szCs w:val="20"/>
                      <w:highlight w:val="none"/>
                    </w:rPr>
                  </w:pPr>
                  <w:r>
                    <w:rPr>
                      <w:rFonts w:ascii="宋体" w:hAnsi="宋体"/>
                      <w:color w:val="auto"/>
                      <w:szCs w:val="20"/>
                      <w:highlight w:val="none"/>
                    </w:rPr>
                    <w:t>0.05%</w:t>
                  </w:r>
                </w:p>
              </w:tc>
            </w:tr>
            <w:tr w14:paraId="1690D828">
              <w:tblPrEx>
                <w:tblCellMar>
                  <w:top w:w="0" w:type="dxa"/>
                  <w:left w:w="0" w:type="dxa"/>
                  <w:bottom w:w="0" w:type="dxa"/>
                  <w:right w:w="0" w:type="dxa"/>
                </w:tblCellMar>
              </w:tblPrEx>
              <w:trPr>
                <w:trHeight w:val="451" w:hRule="atLeast"/>
              </w:trPr>
              <w:tc>
                <w:tcPr>
                  <w:tcW w:w="2098" w:type="dxa"/>
                  <w:tcBorders>
                    <w:top w:val="nil"/>
                    <w:left w:val="single" w:color="auto" w:sz="8" w:space="0"/>
                    <w:bottom w:val="single" w:color="auto" w:sz="8" w:space="0"/>
                    <w:right w:val="single" w:color="auto" w:sz="8" w:space="0"/>
                  </w:tcBorders>
                  <w:vAlign w:val="center"/>
                </w:tcPr>
                <w:p w14:paraId="6695CAE6">
                  <w:pPr>
                    <w:jc w:val="center"/>
                    <w:rPr>
                      <w:rFonts w:ascii="宋体" w:hAnsi="宋体"/>
                      <w:color w:val="auto"/>
                      <w:szCs w:val="21"/>
                      <w:highlight w:val="none"/>
                    </w:rPr>
                  </w:pPr>
                  <w:r>
                    <w:rPr>
                      <w:rFonts w:ascii="宋体" w:hAnsi="宋体"/>
                      <w:color w:val="auto"/>
                      <w:szCs w:val="21"/>
                      <w:highlight w:val="none"/>
                    </w:rPr>
                    <w:t>100000以上</w:t>
                  </w:r>
                </w:p>
              </w:tc>
              <w:tc>
                <w:tcPr>
                  <w:tcW w:w="1433" w:type="dxa"/>
                  <w:tcBorders>
                    <w:top w:val="nil"/>
                    <w:left w:val="nil"/>
                    <w:bottom w:val="single" w:color="auto" w:sz="8" w:space="0"/>
                    <w:right w:val="single" w:color="auto" w:sz="4" w:space="0"/>
                  </w:tcBorders>
                  <w:vAlign w:val="center"/>
                </w:tcPr>
                <w:p w14:paraId="56AA1687">
                  <w:pPr>
                    <w:jc w:val="center"/>
                    <w:rPr>
                      <w:rFonts w:ascii="宋体" w:hAnsi="宋体"/>
                      <w:color w:val="auto"/>
                      <w:szCs w:val="21"/>
                      <w:highlight w:val="none"/>
                    </w:rPr>
                  </w:pPr>
                  <w:r>
                    <w:rPr>
                      <w:rFonts w:ascii="宋体" w:hAnsi="宋体"/>
                      <w:color w:val="auto"/>
                      <w:szCs w:val="20"/>
                      <w:highlight w:val="none"/>
                    </w:rPr>
                    <w:t>0.01%</w:t>
                  </w:r>
                </w:p>
              </w:tc>
              <w:tc>
                <w:tcPr>
                  <w:tcW w:w="1433" w:type="dxa"/>
                  <w:tcBorders>
                    <w:top w:val="single" w:color="auto" w:sz="4" w:space="0"/>
                    <w:left w:val="single" w:color="auto" w:sz="4" w:space="0"/>
                    <w:bottom w:val="single" w:color="auto" w:sz="4" w:space="0"/>
                    <w:right w:val="single" w:color="auto" w:sz="4" w:space="0"/>
                  </w:tcBorders>
                  <w:vAlign w:val="center"/>
                </w:tcPr>
                <w:p w14:paraId="2A412616">
                  <w:pPr>
                    <w:jc w:val="center"/>
                    <w:rPr>
                      <w:rFonts w:ascii="宋体" w:hAnsi="宋体"/>
                      <w:color w:val="auto"/>
                      <w:szCs w:val="21"/>
                      <w:highlight w:val="none"/>
                    </w:rPr>
                  </w:pPr>
                  <w:r>
                    <w:rPr>
                      <w:rFonts w:ascii="宋体" w:hAnsi="宋体"/>
                      <w:color w:val="auto"/>
                      <w:szCs w:val="20"/>
                      <w:highlight w:val="none"/>
                    </w:rPr>
                    <w:t>0.01%</w:t>
                  </w:r>
                </w:p>
              </w:tc>
              <w:tc>
                <w:tcPr>
                  <w:tcW w:w="1433" w:type="dxa"/>
                  <w:tcBorders>
                    <w:top w:val="single" w:color="auto" w:sz="4" w:space="0"/>
                    <w:left w:val="single" w:color="auto" w:sz="4" w:space="0"/>
                    <w:bottom w:val="single" w:color="auto" w:sz="4" w:space="0"/>
                    <w:right w:val="single" w:color="auto" w:sz="4" w:space="0"/>
                  </w:tcBorders>
                  <w:vAlign w:val="center"/>
                </w:tcPr>
                <w:p w14:paraId="30279AE9">
                  <w:pPr>
                    <w:jc w:val="center"/>
                    <w:rPr>
                      <w:rFonts w:ascii="宋体" w:hAnsi="宋体"/>
                      <w:bCs/>
                      <w:color w:val="auto"/>
                      <w:szCs w:val="20"/>
                      <w:highlight w:val="none"/>
                    </w:rPr>
                  </w:pPr>
                  <w:r>
                    <w:rPr>
                      <w:rFonts w:ascii="宋体" w:hAnsi="宋体"/>
                      <w:color w:val="auto"/>
                      <w:szCs w:val="20"/>
                      <w:highlight w:val="none"/>
                    </w:rPr>
                    <w:t>0.01%</w:t>
                  </w:r>
                </w:p>
              </w:tc>
            </w:tr>
          </w:tbl>
          <w:p w14:paraId="69106411">
            <w:pPr>
              <w:pStyle w:val="47"/>
              <w:rPr>
                <w:rFonts w:hint="eastAsia" w:ascii="宋体" w:hAnsi="宋体" w:eastAsia="宋体" w:cs="宋体"/>
                <w:i w:val="0"/>
                <w:iCs w:val="0"/>
                <w:color w:val="auto"/>
                <w:sz w:val="24"/>
                <w:szCs w:val="24"/>
                <w:highlight w:val="none"/>
              </w:rPr>
            </w:pPr>
          </w:p>
          <w:p w14:paraId="5F567DE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时间：领取成交通知书前</w:t>
            </w:r>
          </w:p>
          <w:p w14:paraId="1274E41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ascii="宋体" w:hAnsi="宋体" w:cs="宋体"/>
                <w:color w:val="auto"/>
                <w:sz w:val="24"/>
                <w:highlight w:val="none"/>
              </w:rPr>
              <w:t>电汇，由成交人一次性支付</w:t>
            </w:r>
            <w:r>
              <w:rPr>
                <w:rFonts w:hint="eastAsia" w:cs="宋体"/>
                <w:color w:val="auto"/>
                <w:sz w:val="24"/>
                <w:highlight w:val="none"/>
                <w:lang w:eastAsia="zh-CN"/>
              </w:rPr>
              <w:t>。</w:t>
            </w:r>
          </w:p>
        </w:tc>
      </w:tr>
      <w:tr w14:paraId="62503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F952327">
            <w:pPr>
              <w:pStyle w:val="47"/>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3D4FB3A">
            <w:pPr>
              <w:pStyle w:val="47"/>
              <w:jc w:val="left"/>
              <w:rPr>
                <w:rFonts w:hint="eastAsia" w:cs="宋体"/>
                <w:color w:val="auto"/>
                <w:sz w:val="24"/>
                <w:szCs w:val="24"/>
                <w:highlight w:val="none"/>
                <w:lang w:eastAsia="zh-CN"/>
              </w:rPr>
            </w:pPr>
            <w:r>
              <w:rPr>
                <w:rFonts w:hint="eastAsia" w:cs="宋体"/>
                <w:color w:val="auto"/>
                <w:sz w:val="24"/>
                <w:szCs w:val="24"/>
                <w:highlight w:val="none"/>
                <w:lang w:eastAsia="zh-CN"/>
              </w:rPr>
              <w:t>支持本国产品</w:t>
            </w:r>
          </w:p>
          <w:p w14:paraId="2265ACDA">
            <w:pPr>
              <w:pStyle w:val="47"/>
              <w:jc w:val="left"/>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474FA70">
            <w:pPr>
              <w:pStyle w:val="60"/>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B4D5E1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3"/>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494A9BAF">
            <w:pPr>
              <w:pStyle w:val="60"/>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60"/>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60"/>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60"/>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60"/>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rPr>
                <w:rFonts w:hint="eastAsia" w:ascii="宋体" w:hAnsi="宋体" w:eastAsia="宋体" w:cs="宋体"/>
                <w:i w:val="0"/>
                <w:iCs w:val="0"/>
                <w:color w:val="auto"/>
                <w:sz w:val="24"/>
                <w:szCs w:val="24"/>
                <w:highlight w:val="none"/>
              </w:rPr>
            </w:pPr>
            <w:r>
              <w:rPr>
                <w:rStyle w:val="33"/>
                <w:rFonts w:hint="eastAsia" w:ascii="宋体" w:hAnsi="宋体" w:eastAsia="宋体" w:cs="宋体"/>
                <w:b w:val="0"/>
                <w:i w:val="0"/>
                <w:iCs w:val="0"/>
                <w:color w:val="auto"/>
                <w:sz w:val="24"/>
                <w:szCs w:val="24"/>
                <w:highlight w:val="none"/>
                <w:lang w:val="en-US" w:eastAsia="zh-CN"/>
              </w:rPr>
              <w:t>（参照后附</w:t>
            </w:r>
            <w:r>
              <w:rPr>
                <w:rStyle w:val="33"/>
                <w:rFonts w:hint="eastAsia" w:ascii="宋体" w:hAnsi="宋体" w:eastAsia="宋体" w:cs="宋体"/>
                <w:b w:val="0"/>
                <w:i w:val="0"/>
                <w:iCs w:val="0"/>
                <w:color w:val="auto"/>
                <w:sz w:val="24"/>
                <w:szCs w:val="24"/>
                <w:highlight w:val="none"/>
                <w:lang w:eastAsia="zh-CN"/>
              </w:rPr>
              <w:t>《</w:t>
            </w:r>
            <w:r>
              <w:rPr>
                <w:rStyle w:val="33"/>
                <w:rFonts w:hint="eastAsia" w:ascii="宋体" w:hAnsi="宋体" w:eastAsia="宋体" w:cs="宋体"/>
                <w:b w:val="0"/>
                <w:i w:val="0"/>
                <w:iCs w:val="0"/>
                <w:color w:val="auto"/>
                <w:sz w:val="24"/>
                <w:szCs w:val="24"/>
                <w:highlight w:val="none"/>
              </w:rPr>
              <w:t>工信部联企业〔2011〕300号</w:t>
            </w:r>
            <w:r>
              <w:rPr>
                <w:rStyle w:val="33"/>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6A664177">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1824"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5"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第1包</w:t>
                  </w:r>
                </w:p>
              </w:tc>
              <w:tc>
                <w:tcPr>
                  <w:tcW w:w="1824" w:type="dxa"/>
                  <w:vAlign w:val="center"/>
                </w:tcPr>
                <w:p w14:paraId="7B94C3FE">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建设工程造价咨询服务</w:t>
                  </w:r>
                </w:p>
              </w:tc>
              <w:tc>
                <w:tcPr>
                  <w:tcW w:w="3245" w:type="dxa"/>
                  <w:vAlign w:val="center"/>
                </w:tcPr>
                <w:p w14:paraId="33535D95">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r w14:paraId="2B6F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03935A5">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第2包</w:t>
                  </w:r>
                </w:p>
              </w:tc>
              <w:tc>
                <w:tcPr>
                  <w:tcW w:w="1824" w:type="dxa"/>
                  <w:vAlign w:val="center"/>
                </w:tcPr>
                <w:p w14:paraId="5103515D">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建设工程造价咨询服务</w:t>
                  </w:r>
                </w:p>
              </w:tc>
              <w:tc>
                <w:tcPr>
                  <w:tcW w:w="3245" w:type="dxa"/>
                  <w:vAlign w:val="center"/>
                </w:tcPr>
                <w:p w14:paraId="0788A459">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4176FC14">
            <w:pPr>
              <w:pStyle w:val="47"/>
              <w:rPr>
                <w:rFonts w:hint="eastAsia" w:ascii="宋体" w:hAnsi="宋体" w:eastAsia="宋体" w:cs="宋体"/>
                <w:i w:val="0"/>
                <w:iCs w:val="0"/>
                <w:color w:val="auto"/>
                <w:sz w:val="24"/>
                <w:szCs w:val="24"/>
                <w:highlight w:val="none"/>
              </w:rPr>
            </w:pP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3C6F71B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详见新疆政府采购网</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6795BCBE">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14"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57A459C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0FF8CEBC">
            <w:pPr>
              <w:pStyle w:val="47"/>
              <w:numPr>
                <w:ilvl w:val="0"/>
                <w:numId w:val="1"/>
              </w:numPr>
              <w:shd w:val="clear"/>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电子标书加盖印章的两种方式:一种为电子章;另一种为纸质版盖章后扫描，两种方式的任意一种在评审时均予认可。</w:t>
            </w:r>
          </w:p>
          <w:p w14:paraId="63C3D971">
            <w:pPr>
              <w:pStyle w:val="47"/>
              <w:numPr>
                <w:ilvl w:val="0"/>
                <w:numId w:val="1"/>
              </w:numPr>
              <w:shd w:val="clear"/>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供应商在上传电子响应文件时，需在“商务技术响应文件”中按响应文件格式要求上传完整的响应文件(从封面开始至最后一页)。</w:t>
            </w:r>
          </w:p>
          <w:p w14:paraId="7766FEAB">
            <w:pPr>
              <w:pStyle w:val="47"/>
              <w:numPr>
                <w:ilvl w:val="0"/>
                <w:numId w:val="1"/>
              </w:numPr>
              <w:shd w:val="clear"/>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3353CA42">
            <w:pPr>
              <w:pStyle w:val="47"/>
              <w:numPr>
                <w:ilvl w:val="0"/>
                <w:numId w:val="1"/>
              </w:numPr>
              <w:shd w:val="clear"/>
              <w:rPr>
                <w:rFonts w:hint="eastAsia" w:cs="宋体"/>
                <w:i w:val="0"/>
                <w:iCs w:val="0"/>
                <w:color w:val="auto"/>
                <w:sz w:val="24"/>
                <w:szCs w:val="24"/>
                <w:highlight w:val="none"/>
                <w:lang w:val="en-US" w:eastAsia="zh-CN"/>
              </w:rPr>
            </w:pPr>
            <w:r>
              <w:rPr>
                <w:rFonts w:hint="eastAsia" w:ascii="宋体" w:hAnsi="宋体" w:eastAsia="宋体" w:cs="宋体"/>
                <w:color w:val="auto"/>
                <w:kern w:val="1"/>
                <w:sz w:val="24"/>
                <w:szCs w:val="24"/>
                <w:highlight w:val="none"/>
              </w:rPr>
              <w:t>在评审过程直至签订合同前的任何时间，如经证实发现供应商提供虚假投标资料(包括技术支持资料)或信息骗取成交的，或者未按本竞争性磋商文件要求提交履约保证金的（如有要求），将取消其成交资格，没收其磋商保证金，并报主管部门备案。</w:t>
            </w:r>
          </w:p>
          <w:p w14:paraId="2C74B85D">
            <w:pPr>
              <w:pStyle w:val="47"/>
              <w:numPr>
                <w:ilvl w:val="0"/>
                <w:numId w:val="1"/>
              </w:numPr>
              <w:shd w:val="clear"/>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供应商操作指南详见新疆政府采购网（http://www.ccgp-xinjiang.gov.cn/）—办事指南—操作指南。</w:t>
            </w:r>
          </w:p>
          <w:p w14:paraId="1C17D85D">
            <w:pPr>
              <w:pStyle w:val="47"/>
              <w:numPr>
                <w:ilvl w:val="0"/>
                <w:numId w:val="1"/>
              </w:numPr>
              <w:shd w:val="clear"/>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系统操作问题请咨询技术支持电话0991-2899144，CA办理问题请咨询新疆CA服务电话0991-2819290，或加QQ号800175577。</w:t>
            </w:r>
          </w:p>
          <w:p w14:paraId="1E45C343">
            <w:pPr>
              <w:pStyle w:val="47"/>
              <w:numPr>
                <w:ilvl w:val="0"/>
                <w:numId w:val="1"/>
              </w:numPr>
              <w:shd w:val="clear"/>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为支持和促进中小企业发展，进一步发挥政府采购政策功能，鼓励金融机构积极开发灵活适用的政府采购金融服务产品，拓宽企业融资渠道。鼓励供应商使用政采云电子保函代替现金缴纳磋商保证金，如履约保证金与预付款保证金等，具体可登录【新疆政府采购网】-【电子保函】模块查看：直达链接：</w:t>
            </w:r>
            <w:r>
              <w:rPr>
                <w:rFonts w:hint="eastAsia" w:cs="宋体"/>
                <w:i w:val="0"/>
                <w:iCs w:val="0"/>
                <w:color w:val="auto"/>
                <w:sz w:val="24"/>
                <w:szCs w:val="24"/>
                <w:highlight w:val="none"/>
                <w:lang w:val="en-US" w:eastAsia="zh-CN"/>
              </w:rPr>
              <w:fldChar w:fldCharType="begin"/>
            </w:r>
            <w:r>
              <w:rPr>
                <w:rFonts w:hint="eastAsia" w:cs="宋体"/>
                <w:i w:val="0"/>
                <w:iCs w:val="0"/>
                <w:color w:val="auto"/>
                <w:sz w:val="24"/>
                <w:szCs w:val="24"/>
                <w:highlight w:val="none"/>
                <w:lang w:val="en-US" w:eastAsia="zh-CN"/>
              </w:rPr>
              <w:instrText xml:space="preserve"> HYPERLINK "https://jinrong.zcygov.cn/luban/finance/letter/xinjiang?pageModelFlag=650000" </w:instrText>
            </w:r>
            <w:r>
              <w:rPr>
                <w:rFonts w:hint="eastAsia" w:cs="宋体"/>
                <w:i w:val="0"/>
                <w:iCs w:val="0"/>
                <w:color w:val="auto"/>
                <w:sz w:val="24"/>
                <w:szCs w:val="24"/>
                <w:highlight w:val="none"/>
                <w:lang w:val="en-US" w:eastAsia="zh-CN"/>
              </w:rPr>
              <w:fldChar w:fldCharType="separate"/>
            </w:r>
            <w:r>
              <w:rPr>
                <w:rStyle w:val="34"/>
                <w:rFonts w:hint="eastAsia" w:cs="宋体"/>
                <w:i w:val="0"/>
                <w:iCs w:val="0"/>
                <w:sz w:val="24"/>
                <w:szCs w:val="24"/>
                <w:highlight w:val="none"/>
                <w:lang w:val="en-US" w:eastAsia="zh-CN"/>
              </w:rPr>
              <w:t>https://jinrong.zcygov.cn/luban/finance/letter/xinjiang?pageModelFlag=650000</w:t>
            </w:r>
            <w:r>
              <w:rPr>
                <w:rFonts w:hint="eastAsia" w:cs="宋体"/>
                <w:i w:val="0"/>
                <w:iCs w:val="0"/>
                <w:color w:val="auto"/>
                <w:sz w:val="24"/>
                <w:szCs w:val="24"/>
                <w:highlight w:val="none"/>
                <w:lang w:val="en-US" w:eastAsia="zh-CN"/>
              </w:rPr>
              <w:fldChar w:fldCharType="end"/>
            </w:r>
          </w:p>
          <w:p w14:paraId="7C6D9930">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7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5B1D7000">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w:t>
            </w:r>
            <w:r>
              <w:rPr>
                <w:rFonts w:hint="eastAsia" w:cs="宋体"/>
                <w:i w:val="0"/>
                <w:iCs w:val="0"/>
                <w:color w:val="auto"/>
                <w:sz w:val="24"/>
                <w:szCs w:val="24"/>
                <w:highlight w:val="none"/>
                <w:lang w:val="en-US" w:eastAsia="zh-CN"/>
              </w:rPr>
              <w:t>2025</w:t>
            </w:r>
            <w:r>
              <w:rPr>
                <w:rFonts w:hint="eastAsia" w:ascii="宋体" w:hAnsi="宋体" w:eastAsia="宋体" w:cs="宋体"/>
                <w:i w:val="0"/>
                <w:iCs w:val="0"/>
                <w:color w:val="auto"/>
                <w:sz w:val="24"/>
                <w:szCs w:val="24"/>
                <w:highlight w:val="none"/>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日，则“近三年”是指</w:t>
            </w:r>
            <w:r>
              <w:rPr>
                <w:rFonts w:hint="eastAsia" w:cs="宋体"/>
                <w:i w:val="0"/>
                <w:iCs w:val="0"/>
                <w:color w:val="auto"/>
                <w:sz w:val="24"/>
                <w:szCs w:val="24"/>
                <w:highlight w:val="none"/>
                <w:lang w:val="en-US" w:eastAsia="zh-CN"/>
              </w:rPr>
              <w:t>2022</w:t>
            </w:r>
            <w:r>
              <w:rPr>
                <w:rFonts w:hint="eastAsia" w:ascii="宋体" w:hAnsi="宋体" w:eastAsia="宋体" w:cs="宋体"/>
                <w:i w:val="0"/>
                <w:iCs w:val="0"/>
                <w:color w:val="auto"/>
                <w:sz w:val="24"/>
                <w:szCs w:val="24"/>
                <w:highlight w:val="none"/>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日至</w:t>
            </w:r>
            <w:r>
              <w:rPr>
                <w:rFonts w:hint="eastAsia" w:cs="宋体"/>
                <w:i w:val="0"/>
                <w:iCs w:val="0"/>
                <w:color w:val="auto"/>
                <w:sz w:val="24"/>
                <w:szCs w:val="24"/>
                <w:highlight w:val="none"/>
                <w:lang w:val="en-US" w:eastAsia="zh-CN"/>
              </w:rPr>
              <w:t>2025</w:t>
            </w:r>
            <w:r>
              <w:rPr>
                <w:rFonts w:hint="eastAsia" w:ascii="宋体" w:hAnsi="宋体" w:eastAsia="宋体" w:cs="宋体"/>
                <w:i w:val="0"/>
                <w:iCs w:val="0"/>
                <w:color w:val="auto"/>
                <w:sz w:val="24"/>
                <w:szCs w:val="24"/>
                <w:highlight w:val="none"/>
              </w:rPr>
              <w:t>年</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月</w:t>
            </w: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日。</w:t>
            </w:r>
          </w:p>
          <w:p w14:paraId="7DB29A4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84"/>
    </w:tbl>
    <w:p w14:paraId="09B535E8">
      <w:pPr>
        <w:rPr>
          <w:i w:val="0"/>
          <w:iCs w:val="0"/>
          <w:color w:val="auto"/>
          <w:highlight w:val="none"/>
        </w:rPr>
      </w:pPr>
    </w:p>
    <w:p w14:paraId="62C561EA">
      <w:pPr>
        <w:rPr>
          <w:i w:val="0"/>
          <w:iCs w:val="0"/>
          <w:color w:val="auto"/>
          <w:highlight w:val="none"/>
        </w:rPr>
        <w:sectPr>
          <w:footerReference r:id="rId7" w:type="default"/>
          <w:pgSz w:w="11906" w:h="16838"/>
          <w:pgMar w:top="1440" w:right="1800" w:bottom="1440" w:left="1800" w:header="851" w:footer="652" w:gutter="0"/>
          <w:pgNumType w:fmt="decimal"/>
          <w:cols w:space="0" w:num="1"/>
          <w:rtlGutter w:val="0"/>
          <w:docGrid w:type="lines" w:linePitch="312" w:charSpace="0"/>
        </w:sectPr>
      </w:pPr>
    </w:p>
    <w:p w14:paraId="1CF0D4F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86" w:name="_Toc1575"/>
      <w:bookmarkStart w:id="87" w:name="_Toc163493610"/>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86"/>
      <w:bookmarkEnd w:id="87"/>
    </w:p>
    <w:p w14:paraId="04978FC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88" w:name="_Toc109899532"/>
      <w:bookmarkStart w:id="89" w:name="_Toc46771638"/>
      <w:bookmarkStart w:id="90" w:name="_Toc109899951"/>
      <w:bookmarkStart w:id="91" w:name="_Toc109900370"/>
      <w:bookmarkStart w:id="92" w:name="_Toc109897433"/>
      <w:bookmarkStart w:id="93" w:name="_Toc163493611"/>
      <w:bookmarkStart w:id="94" w:name="_Toc470172694"/>
      <w:r>
        <w:rPr>
          <w:rFonts w:hint="eastAsia" w:ascii="宋体" w:hAnsi="宋体" w:eastAsia="宋体" w:cs="宋体"/>
          <w:b/>
          <w:bCs/>
          <w:i w:val="0"/>
          <w:iCs w:val="0"/>
          <w:color w:val="auto"/>
          <w:kern w:val="2"/>
          <w:sz w:val="24"/>
          <w:szCs w:val="24"/>
          <w:highlight w:val="none"/>
          <w:lang w:val="en-US" w:eastAsia="zh-CN" w:bidi="ar-SA"/>
        </w:rPr>
        <w:t>（一）总则</w:t>
      </w:r>
      <w:bookmarkEnd w:id="88"/>
      <w:bookmarkEnd w:id="89"/>
      <w:bookmarkEnd w:id="90"/>
      <w:bookmarkEnd w:id="91"/>
      <w:bookmarkEnd w:id="92"/>
      <w:bookmarkEnd w:id="93"/>
    </w:p>
    <w:p w14:paraId="18977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95" w:name="_Toc109899952"/>
      <w:bookmarkStart w:id="96" w:name="_Toc470172664"/>
      <w:bookmarkStart w:id="97" w:name="_Toc109899533"/>
      <w:bookmarkStart w:id="98" w:name="_Toc27243"/>
      <w:bookmarkStart w:id="99" w:name="_Toc46771639"/>
      <w:bookmarkStart w:id="100" w:name="_Toc109897434"/>
      <w:bookmarkStart w:id="101" w:name="_Toc51674210"/>
      <w:bookmarkStart w:id="102" w:name="_Toc48688788"/>
      <w:bookmarkStart w:id="103" w:name="_Toc46772240"/>
      <w:bookmarkStart w:id="104" w:name="_Toc109900371"/>
      <w:bookmarkStart w:id="105" w:name="_Toc52962726"/>
      <w:bookmarkStart w:id="106" w:name="_Toc48846108"/>
      <w:bookmarkStart w:id="107" w:name="_Toc52960552"/>
      <w:r>
        <w:rPr>
          <w:rFonts w:hint="eastAsia" w:ascii="宋体" w:hAnsi="宋体" w:eastAsia="宋体" w:cs="宋体"/>
          <w:b/>
          <w:bCs/>
          <w:i w:val="0"/>
          <w:iCs w:val="0"/>
          <w:color w:val="auto"/>
          <w:kern w:val="2"/>
          <w:sz w:val="24"/>
          <w:szCs w:val="24"/>
          <w:highlight w:val="none"/>
          <w:lang w:val="en-US" w:eastAsia="zh-CN" w:bidi="ar-SA"/>
        </w:rPr>
        <w:t>1.适用范围</w:t>
      </w:r>
      <w:bookmarkEnd w:id="95"/>
      <w:bookmarkEnd w:id="96"/>
      <w:bookmarkEnd w:id="97"/>
      <w:bookmarkEnd w:id="98"/>
      <w:bookmarkEnd w:id="99"/>
      <w:bookmarkEnd w:id="100"/>
      <w:bookmarkEnd w:id="101"/>
      <w:bookmarkEnd w:id="102"/>
      <w:bookmarkEnd w:id="103"/>
      <w:bookmarkEnd w:id="104"/>
      <w:bookmarkEnd w:id="105"/>
      <w:bookmarkEnd w:id="106"/>
      <w:bookmarkEnd w:id="107"/>
    </w:p>
    <w:p w14:paraId="3FAC17D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08"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08"/>
    </w:p>
    <w:p w14:paraId="768D70C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ind w:firstLine="480" w:firstLineChars="200"/>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09" w:name="_Toc48846111"/>
      <w:bookmarkStart w:id="110" w:name="_Toc52960555"/>
      <w:bookmarkStart w:id="111" w:name="_Toc470172667"/>
      <w:bookmarkStart w:id="112" w:name="_Toc46772243"/>
      <w:bookmarkStart w:id="113" w:name="_Toc48688791"/>
      <w:bookmarkStart w:id="114" w:name="_Toc109899536"/>
      <w:bookmarkStart w:id="115" w:name="_Toc51674213"/>
      <w:bookmarkStart w:id="116" w:name="_Toc109897437"/>
      <w:bookmarkStart w:id="117" w:name="_Toc52962729"/>
      <w:bookmarkStart w:id="118" w:name="_Toc109899955"/>
      <w:bookmarkStart w:id="119" w:name="_Toc109900374"/>
      <w:bookmarkStart w:id="120" w:name="_Toc9974"/>
      <w:bookmarkStart w:id="121" w:name="_Toc46771642"/>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140132761"/>
      <w:bookmarkStart w:id="123" w:name="_Toc161600293"/>
      <w:r>
        <w:rPr>
          <w:rFonts w:hint="eastAsia" w:ascii="宋体" w:hAnsi="宋体" w:eastAsia="宋体" w:cs="宋体"/>
          <w:b/>
          <w:bCs/>
          <w:i w:val="0"/>
          <w:iCs w:val="0"/>
          <w:color w:val="auto"/>
          <w:kern w:val="2"/>
          <w:sz w:val="24"/>
          <w:szCs w:val="24"/>
          <w:highlight w:val="none"/>
          <w:lang w:val="en-US" w:eastAsia="zh-CN" w:bidi="ar-SA"/>
        </w:rPr>
        <w:t>6.保密</w:t>
      </w:r>
      <w:bookmarkEnd w:id="122"/>
      <w:bookmarkEnd w:id="123"/>
    </w:p>
    <w:p w14:paraId="2E37681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4" w:name="_Toc161600294"/>
      <w:bookmarkStart w:id="125"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24"/>
      <w:bookmarkEnd w:id="125"/>
    </w:p>
    <w:p w14:paraId="3121AAF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6" w:name="_Toc140132763"/>
      <w:bookmarkStart w:id="127"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26"/>
      <w:bookmarkEnd w:id="127"/>
    </w:p>
    <w:p w14:paraId="0DC441D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8" w:name="_Toc161600296"/>
      <w:bookmarkStart w:id="129"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28"/>
      <w:bookmarkEnd w:id="129"/>
    </w:p>
    <w:p w14:paraId="70E7733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130"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30"/>
    <w:p w14:paraId="020D8BF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31" w:name="_Toc161600298"/>
      <w:bookmarkStart w:id="132"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31"/>
      <w:bookmarkEnd w:id="132"/>
    </w:p>
    <w:p w14:paraId="410950E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本次采购采用电子交易方式，电子交易平台为兵团政府采购电子交易云平台（网址：https://www.zcygov.cn/）。供应商参与本项目电子交易活动前，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兵团政府采购网“供应商注册”—“新疆生产建设兵团政府采购供应商入驻登记”—“立即登记”进行自助注册绑定。</w:t>
      </w:r>
    </w:p>
    <w:p w14:paraId="1592026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供应商将兵团政府采购电子交易云平台电子交易客户端下载、安装完成后，可通过账号密码或CA登录客户端进行响应文件制作。在使用政采云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时，建议使用WIN7及以上操作系统。供应商登录兵团政府采购网“下载专区”—“电子招投标客户端下载”下载相关客户端，如有问题可拨打政采云客户服务热线95763进行咨询。</w:t>
      </w:r>
    </w:p>
    <w:p w14:paraId="1BDAF1A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如遇“兵团政府采购电子交易云平台（网址：https://www.zcygov.cn/）”电子交易规则调整，以最新要求为准。</w:t>
      </w:r>
    </w:p>
    <w:p w14:paraId="552450F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33" w:name="_Toc46771643"/>
      <w:bookmarkStart w:id="134" w:name="_Toc109899537"/>
      <w:bookmarkStart w:id="135" w:name="_Toc109900375"/>
      <w:bookmarkStart w:id="136" w:name="_Toc109899956"/>
      <w:bookmarkStart w:id="137" w:name="_Toc163493612"/>
      <w:bookmarkStart w:id="138" w:name="_Toc470172668"/>
      <w:bookmarkStart w:id="139" w:name="_Toc109897438"/>
      <w:r>
        <w:rPr>
          <w:rFonts w:hint="eastAsia" w:ascii="宋体" w:hAnsi="宋体" w:eastAsia="宋体" w:cs="宋体"/>
          <w:b/>
          <w:bCs/>
          <w:i w:val="0"/>
          <w:iCs w:val="0"/>
          <w:color w:val="auto"/>
          <w:kern w:val="2"/>
          <w:sz w:val="24"/>
          <w:szCs w:val="24"/>
          <w:highlight w:val="none"/>
          <w:lang w:val="en-US" w:eastAsia="zh-CN" w:bidi="ar-SA"/>
        </w:rPr>
        <w:t>（二）磋商文件</w:t>
      </w:r>
      <w:bookmarkEnd w:id="133"/>
      <w:bookmarkEnd w:id="134"/>
      <w:bookmarkEnd w:id="135"/>
      <w:bookmarkEnd w:id="136"/>
      <w:bookmarkEnd w:id="137"/>
      <w:bookmarkEnd w:id="138"/>
      <w:bookmarkEnd w:id="139"/>
    </w:p>
    <w:p w14:paraId="02C7475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0" w:name="_Toc48846113"/>
      <w:bookmarkStart w:id="141" w:name="_Toc46771644"/>
      <w:bookmarkStart w:id="142" w:name="_Toc109899957"/>
      <w:bookmarkStart w:id="143" w:name="_Toc46772245"/>
      <w:bookmarkStart w:id="144" w:name="_Toc52960557"/>
      <w:bookmarkStart w:id="145" w:name="_Toc4547"/>
      <w:bookmarkStart w:id="146" w:name="_Toc48688793"/>
      <w:bookmarkStart w:id="147" w:name="_Toc470172669"/>
      <w:bookmarkStart w:id="148" w:name="_Toc51674215"/>
      <w:bookmarkStart w:id="149" w:name="_Toc109900376"/>
      <w:bookmarkStart w:id="150" w:name="_Toc109897439"/>
      <w:bookmarkStart w:id="151" w:name="_Toc109899538"/>
      <w:bookmarkStart w:id="152" w:name="_Toc52962731"/>
      <w:r>
        <w:rPr>
          <w:rFonts w:hint="eastAsia" w:ascii="宋体" w:hAnsi="宋体" w:eastAsia="宋体" w:cs="宋体"/>
          <w:b/>
          <w:bCs/>
          <w:i w:val="0"/>
          <w:iCs w:val="0"/>
          <w:color w:val="auto"/>
          <w:kern w:val="2"/>
          <w:sz w:val="24"/>
          <w:szCs w:val="24"/>
          <w:highlight w:val="none"/>
          <w:lang w:val="en-US" w:eastAsia="zh-CN" w:bidi="ar-SA"/>
        </w:rPr>
        <w:t>11.磋商文件的构成</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54909DE4">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lang w:eastAsia="zh-CN"/>
        </w:rPr>
      </w:pPr>
      <w:bookmarkStart w:id="153" w:name="_Toc109899539"/>
      <w:bookmarkStart w:id="154" w:name="_Toc48688794"/>
      <w:bookmarkStart w:id="155" w:name="_Toc478415174"/>
      <w:bookmarkStart w:id="156" w:name="_Toc48846114"/>
      <w:bookmarkStart w:id="157" w:name="_Toc46772246"/>
      <w:bookmarkStart w:id="158" w:name="_Toc109897440"/>
      <w:bookmarkStart w:id="159" w:name="_Toc46771645"/>
      <w:bookmarkStart w:id="160" w:name="_Toc109900377"/>
      <w:bookmarkStart w:id="161" w:name="_Toc52962732"/>
      <w:bookmarkStart w:id="162" w:name="_Toc109899958"/>
      <w:bookmarkStart w:id="163" w:name="_Toc51674216"/>
      <w:bookmarkStart w:id="164" w:name="_Toc52960558"/>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53"/>
      <w:bookmarkEnd w:id="154"/>
      <w:bookmarkEnd w:id="155"/>
      <w:bookmarkEnd w:id="156"/>
      <w:bookmarkEnd w:id="157"/>
      <w:bookmarkEnd w:id="158"/>
      <w:bookmarkEnd w:id="159"/>
      <w:bookmarkEnd w:id="160"/>
      <w:bookmarkEnd w:id="161"/>
      <w:bookmarkEnd w:id="162"/>
      <w:bookmarkEnd w:id="163"/>
      <w:bookmarkEnd w:id="164"/>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兵团政府采购云平台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6"/>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65" w:name="_Toc109900379"/>
      <w:bookmarkStart w:id="166" w:name="_Toc109899541"/>
      <w:bookmarkStart w:id="167" w:name="_Toc470172672"/>
      <w:bookmarkStart w:id="168" w:name="_Toc109897442"/>
      <w:bookmarkStart w:id="169" w:name="_Toc163493613"/>
      <w:bookmarkStart w:id="170" w:name="_Toc46771647"/>
      <w:bookmarkStart w:id="171" w:name="_Toc109899960"/>
      <w:r>
        <w:rPr>
          <w:rFonts w:hint="eastAsia" w:ascii="宋体" w:hAnsi="宋体" w:eastAsia="宋体" w:cs="宋体"/>
          <w:b/>
          <w:bCs/>
          <w:i w:val="0"/>
          <w:iCs w:val="0"/>
          <w:color w:val="auto"/>
          <w:kern w:val="2"/>
          <w:sz w:val="24"/>
          <w:szCs w:val="24"/>
          <w:highlight w:val="none"/>
          <w:lang w:val="en-US" w:eastAsia="zh-CN" w:bidi="ar-SA"/>
        </w:rPr>
        <w:t>（三）响应文件</w:t>
      </w:r>
      <w:bookmarkEnd w:id="165"/>
      <w:bookmarkEnd w:id="166"/>
      <w:bookmarkEnd w:id="167"/>
      <w:bookmarkEnd w:id="168"/>
      <w:bookmarkEnd w:id="169"/>
      <w:bookmarkEnd w:id="170"/>
      <w:bookmarkEnd w:id="171"/>
    </w:p>
    <w:p w14:paraId="3A231C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72" w:name="_Toc109897444"/>
      <w:bookmarkStart w:id="173" w:name="_Toc48688798"/>
      <w:bookmarkStart w:id="174" w:name="_Toc109899962"/>
      <w:bookmarkStart w:id="175" w:name="_Toc48846118"/>
      <w:bookmarkStart w:id="176" w:name="_Toc470172674"/>
      <w:bookmarkStart w:id="177" w:name="_Toc46772250"/>
      <w:bookmarkStart w:id="178" w:name="_Toc32272"/>
      <w:bookmarkStart w:id="179" w:name="_Toc51674220"/>
      <w:bookmarkStart w:id="180" w:name="_Toc52962736"/>
      <w:bookmarkStart w:id="181" w:name="_Toc46771649"/>
      <w:bookmarkStart w:id="182" w:name="_Toc109899543"/>
      <w:bookmarkStart w:id="183" w:name="_Toc52960562"/>
      <w:bookmarkStart w:id="184" w:name="_Toc109900381"/>
      <w:r>
        <w:rPr>
          <w:rFonts w:hint="eastAsia" w:ascii="宋体" w:hAnsi="宋体" w:eastAsia="宋体" w:cs="宋体"/>
          <w:b/>
          <w:bCs/>
          <w:i w:val="0"/>
          <w:iCs w:val="0"/>
          <w:color w:val="auto"/>
          <w:kern w:val="2"/>
          <w:sz w:val="24"/>
          <w:szCs w:val="24"/>
          <w:highlight w:val="none"/>
          <w:lang w:val="en-US" w:eastAsia="zh-CN" w:bidi="ar-SA"/>
        </w:rPr>
        <w:t>13.响应文件的</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85" w:name="_Hlk11703583"/>
      <w:r>
        <w:rPr>
          <w:rFonts w:hint="eastAsia" w:ascii="宋体" w:hAnsi="宋体" w:eastAsia="宋体" w:cs="宋体"/>
          <w:i w:val="0"/>
          <w:iCs w:val="0"/>
          <w:color w:val="auto"/>
          <w:kern w:val="2"/>
          <w:sz w:val="24"/>
          <w:szCs w:val="24"/>
          <w:highlight w:val="none"/>
          <w:lang w:val="en-US" w:eastAsia="zh-CN"/>
        </w:rPr>
        <w:t>等。</w:t>
      </w:r>
    </w:p>
    <w:bookmarkEnd w:id="185"/>
    <w:p w14:paraId="781BBAE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86" w:name="_Toc24544"/>
      <w:bookmarkStart w:id="187" w:name="_Toc470172676"/>
      <w:bookmarkStart w:id="188" w:name="_Toc109900383"/>
      <w:bookmarkStart w:id="189" w:name="_Toc48688800"/>
      <w:bookmarkStart w:id="190" w:name="_Toc52962738"/>
      <w:bookmarkStart w:id="191" w:name="_Toc109897446"/>
      <w:bookmarkStart w:id="192" w:name="_Toc109899964"/>
      <w:bookmarkStart w:id="193" w:name="_Toc46772252"/>
      <w:bookmarkStart w:id="194" w:name="_Toc46771651"/>
      <w:bookmarkStart w:id="195" w:name="_Toc51674222"/>
      <w:bookmarkStart w:id="196" w:name="_Toc109899545"/>
      <w:bookmarkStart w:id="197" w:name="_Toc52960564"/>
      <w:bookmarkStart w:id="198" w:name="_Toc48846120"/>
      <w:bookmarkStart w:id="199" w:name="_Toc51674221"/>
      <w:bookmarkStart w:id="200" w:name="_Toc109899544"/>
      <w:bookmarkStart w:id="201" w:name="_Toc470172675"/>
      <w:bookmarkStart w:id="202" w:name="_Toc52960563"/>
      <w:bookmarkStart w:id="203" w:name="_Toc48688799"/>
      <w:bookmarkStart w:id="204" w:name="_Toc46772251"/>
      <w:bookmarkStart w:id="205" w:name="_Toc109897445"/>
      <w:bookmarkStart w:id="206" w:name="_Toc46771650"/>
      <w:bookmarkStart w:id="207" w:name="_Toc48846119"/>
      <w:bookmarkStart w:id="208" w:name="_Toc109899963"/>
      <w:bookmarkStart w:id="209" w:name="_Toc52962737"/>
      <w:bookmarkStart w:id="210" w:name="_Toc25217"/>
      <w:bookmarkStart w:id="211" w:name="_Toc109900382"/>
      <w:r>
        <w:rPr>
          <w:rFonts w:hint="eastAsia" w:ascii="宋体" w:hAnsi="宋体" w:eastAsia="宋体" w:cs="宋体"/>
          <w:b/>
          <w:bCs/>
          <w:i w:val="0"/>
          <w:iCs w:val="0"/>
          <w:color w:val="auto"/>
          <w:kern w:val="2"/>
          <w:sz w:val="24"/>
          <w:szCs w:val="24"/>
          <w:highlight w:val="none"/>
          <w:lang w:val="en-US" w:eastAsia="zh-CN" w:bidi="ar-SA"/>
        </w:rPr>
        <w:t>14.磋商报价</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0640D6E7">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12"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12"/>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13" w:name="_Toc48688806"/>
      <w:bookmarkStart w:id="214" w:name="_Toc470172682"/>
      <w:bookmarkStart w:id="215" w:name="_Toc109900388"/>
      <w:bookmarkStart w:id="216" w:name="_Toc46771657"/>
      <w:bookmarkStart w:id="217" w:name="_Toc109899550"/>
      <w:bookmarkStart w:id="218" w:name="_Toc48846126"/>
      <w:bookmarkStart w:id="219" w:name="_Toc52962744"/>
      <w:bookmarkStart w:id="220" w:name="_Toc52960570"/>
      <w:bookmarkStart w:id="221" w:name="_Toc109897451"/>
      <w:bookmarkStart w:id="222" w:name="_Toc51674228"/>
      <w:bookmarkStart w:id="223" w:name="_Toc5668"/>
      <w:bookmarkStart w:id="224" w:name="_Toc46772258"/>
      <w:bookmarkStart w:id="225" w:name="_Toc109899969"/>
      <w:bookmarkStart w:id="226" w:name="_Toc48846122"/>
      <w:bookmarkStart w:id="227" w:name="_Toc109899966"/>
      <w:bookmarkStart w:id="228" w:name="_Toc109899547"/>
      <w:bookmarkStart w:id="229" w:name="_Toc109897448"/>
      <w:bookmarkStart w:id="230" w:name="_Toc48688802"/>
      <w:bookmarkStart w:id="231" w:name="_Toc3324"/>
      <w:bookmarkStart w:id="232" w:name="_Toc46771653"/>
      <w:bookmarkStart w:id="233" w:name="_Toc51674224"/>
      <w:bookmarkStart w:id="234" w:name="_Toc109900385"/>
      <w:bookmarkStart w:id="235" w:name="_Toc52960566"/>
      <w:bookmarkStart w:id="236" w:name="_Toc46772254"/>
      <w:bookmarkStart w:id="237" w:name="_Toc52962740"/>
      <w:bookmarkStart w:id="238" w:name="_Toc470172678"/>
      <w:r>
        <w:rPr>
          <w:rFonts w:hint="eastAsia" w:ascii="宋体" w:hAnsi="宋体" w:eastAsia="宋体" w:cs="宋体"/>
          <w:b/>
          <w:bCs/>
          <w:i w:val="0"/>
          <w:iCs w:val="0"/>
          <w:color w:val="auto"/>
          <w:kern w:val="2"/>
          <w:sz w:val="24"/>
          <w:szCs w:val="24"/>
          <w:highlight w:val="none"/>
          <w:lang w:val="en-US" w:eastAsia="zh-CN" w:bidi="ar-SA"/>
        </w:rPr>
        <w:t>15.响应文件有效期</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6C3E470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26"/>
    <w:bookmarkEnd w:id="227"/>
    <w:bookmarkEnd w:id="228"/>
    <w:bookmarkEnd w:id="229"/>
    <w:bookmarkEnd w:id="230"/>
    <w:bookmarkEnd w:id="231"/>
    <w:bookmarkEnd w:id="232"/>
    <w:bookmarkEnd w:id="233"/>
    <w:bookmarkEnd w:id="234"/>
    <w:bookmarkEnd w:id="235"/>
    <w:bookmarkEnd w:id="236"/>
    <w:bookmarkEnd w:id="237"/>
    <w:bookmarkEnd w:id="238"/>
    <w:p w14:paraId="26D695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710ABAB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39" w:name="_Toc109897453"/>
      <w:bookmarkStart w:id="240" w:name="_Toc46771659"/>
      <w:bookmarkStart w:id="241" w:name="_Toc109900390"/>
      <w:bookmarkStart w:id="242" w:name="_Toc109899971"/>
      <w:bookmarkStart w:id="243" w:name="_Toc109899552"/>
      <w:bookmarkStart w:id="244" w:name="_Toc470172684"/>
      <w:bookmarkStart w:id="245"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39"/>
      <w:bookmarkEnd w:id="240"/>
      <w:bookmarkEnd w:id="241"/>
      <w:bookmarkEnd w:id="242"/>
      <w:bookmarkEnd w:id="243"/>
      <w:bookmarkEnd w:id="244"/>
      <w:r>
        <w:rPr>
          <w:rFonts w:hint="eastAsia" w:ascii="宋体" w:hAnsi="宋体" w:eastAsia="宋体" w:cs="宋体"/>
          <w:b/>
          <w:bCs/>
          <w:i w:val="0"/>
          <w:iCs w:val="0"/>
          <w:color w:val="auto"/>
          <w:kern w:val="2"/>
          <w:sz w:val="24"/>
          <w:szCs w:val="24"/>
          <w:highlight w:val="none"/>
          <w:lang w:val="en-US" w:eastAsia="zh-CN" w:bidi="ar-SA"/>
        </w:rPr>
        <w:t>递交</w:t>
      </w:r>
      <w:bookmarkEnd w:id="245"/>
    </w:p>
    <w:p w14:paraId="0181012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46" w:name="_Toc109899651"/>
      <w:bookmarkStart w:id="247" w:name="_Toc109900489"/>
      <w:bookmarkStart w:id="248" w:name="_Toc109900070"/>
      <w:bookmarkStart w:id="249" w:name="_Toc109897552"/>
      <w:bookmarkStart w:id="250" w:name="_Toc155095707"/>
      <w:bookmarkStart w:id="251" w:name="_Toc156490296"/>
      <w:bookmarkStart w:id="252" w:name="_Toc109900071"/>
      <w:bookmarkStart w:id="253" w:name="_Toc109897553"/>
      <w:bookmarkStart w:id="254" w:name="_Toc109899652"/>
      <w:bookmarkStart w:id="255" w:name="_Toc109900490"/>
      <w:bookmarkStart w:id="256" w:name="_Toc156490297"/>
      <w:bookmarkStart w:id="257"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兵团政府采购网”—顶部通栏“信用融资”或者“兵团政府采购网”首页“政采贷｜电子保函”快捷模块查看：</w:t>
      </w:r>
    </w:p>
    <w:p w14:paraId="1F3A8C5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784B78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46"/>
      <w:bookmarkEnd w:id="247"/>
      <w:bookmarkEnd w:id="248"/>
      <w:bookmarkEnd w:id="249"/>
      <w:r>
        <w:rPr>
          <w:rFonts w:hint="eastAsia" w:ascii="宋体" w:hAnsi="宋体" w:eastAsia="宋体" w:cs="宋体"/>
          <w:b/>
          <w:bCs/>
          <w:i w:val="0"/>
          <w:iCs w:val="0"/>
          <w:color w:val="auto"/>
          <w:kern w:val="2"/>
          <w:sz w:val="24"/>
          <w:szCs w:val="24"/>
          <w:highlight w:val="none"/>
          <w:lang w:val="en-US" w:eastAsia="zh-CN" w:bidi="ar-SA"/>
        </w:rPr>
        <w:t>加密</w:t>
      </w:r>
      <w:bookmarkEnd w:id="250"/>
      <w:bookmarkEnd w:id="251"/>
    </w:p>
    <w:p w14:paraId="105C769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0AE412D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9A877B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rPr>
        <w:t>政府采购网（http://ccgp-bingtuan.gov.cn/）的”政采云登录入口”登录后，将加密电子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52"/>
      <w:bookmarkEnd w:id="253"/>
      <w:bookmarkEnd w:id="254"/>
      <w:bookmarkEnd w:id="255"/>
      <w:r>
        <w:rPr>
          <w:rFonts w:hint="eastAsia" w:ascii="宋体" w:hAnsi="宋体" w:eastAsia="宋体" w:cs="宋体"/>
          <w:b/>
          <w:bCs/>
          <w:i w:val="0"/>
          <w:iCs w:val="0"/>
          <w:color w:val="auto"/>
          <w:kern w:val="2"/>
          <w:sz w:val="24"/>
          <w:szCs w:val="24"/>
          <w:highlight w:val="none"/>
          <w:lang w:val="en-US" w:eastAsia="zh-CN" w:bidi="ar-SA"/>
        </w:rPr>
        <w:t>递交</w:t>
      </w:r>
      <w:bookmarkEnd w:id="256"/>
      <w:bookmarkEnd w:id="257"/>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58" w:name="_Toc156490298"/>
      <w:bookmarkStart w:id="259" w:name="_Toc155095709"/>
      <w:r>
        <w:rPr>
          <w:rFonts w:hint="eastAsia" w:ascii="宋体" w:hAnsi="宋体" w:eastAsia="宋体" w:cs="宋体"/>
          <w:b/>
          <w:bCs/>
          <w:i w:val="0"/>
          <w:iCs w:val="0"/>
          <w:color w:val="auto"/>
          <w:kern w:val="2"/>
          <w:sz w:val="24"/>
          <w:szCs w:val="24"/>
          <w:highlight w:val="none"/>
          <w:lang w:val="en-US" w:eastAsia="zh-CN" w:bidi="ar-SA"/>
        </w:rPr>
        <w:t>20.拒收</w:t>
      </w:r>
      <w:bookmarkEnd w:id="258"/>
      <w:bookmarkEnd w:id="259"/>
    </w:p>
    <w:p w14:paraId="6764A5C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60" w:name="_Toc155095710"/>
      <w:bookmarkStart w:id="261" w:name="_Toc109899654"/>
      <w:bookmarkStart w:id="262" w:name="_Toc109897555"/>
      <w:bookmarkStart w:id="263" w:name="_Toc109900492"/>
      <w:bookmarkStart w:id="264" w:name="_Toc109900073"/>
      <w:bookmarkStart w:id="265" w:name="_Toc156490299"/>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60"/>
      <w:bookmarkEnd w:id="261"/>
      <w:bookmarkEnd w:id="262"/>
      <w:bookmarkEnd w:id="263"/>
      <w:bookmarkEnd w:id="264"/>
      <w:bookmarkEnd w:id="265"/>
    </w:p>
    <w:p w14:paraId="059E1BF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66"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递交截止时间之前，可在兵团政府采购电子交易云平台上随时撤回已上传的电子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递交截止时间前重新上传到兵团政府采购电子交易云平台的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66"/>
    <w:p w14:paraId="4F9C167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67" w:name="_Toc155185973"/>
      <w:bookmarkStart w:id="268" w:name="_Toc158888664"/>
      <w:bookmarkStart w:id="269"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267"/>
      <w:bookmarkEnd w:id="268"/>
      <w:bookmarkEnd w:id="269"/>
    </w:p>
    <w:p w14:paraId="3015EA9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0" w:name="_Toc155185974"/>
      <w:bookmarkStart w:id="271" w:name="_Toc155185875"/>
      <w:bookmarkStart w:id="272"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270"/>
      <w:bookmarkEnd w:id="271"/>
      <w:bookmarkEnd w:id="272"/>
    </w:p>
    <w:p w14:paraId="3C48391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3" w:name="_Toc163493615"/>
      <w:bookmarkStart w:id="274" w:name="_Toc109900395"/>
      <w:bookmarkStart w:id="275" w:name="_Toc109899557"/>
      <w:bookmarkStart w:id="276" w:name="_Toc109897458"/>
      <w:bookmarkStart w:id="277" w:name="_Toc46771664"/>
      <w:bookmarkStart w:id="278" w:name="_Toc470172689"/>
      <w:bookmarkStart w:id="279" w:name="_Toc109899976"/>
      <w:r>
        <w:rPr>
          <w:rFonts w:hint="eastAsia" w:ascii="宋体" w:hAnsi="宋体" w:eastAsia="宋体" w:cs="宋体"/>
          <w:b/>
          <w:bCs/>
          <w:i w:val="0"/>
          <w:iCs w:val="0"/>
          <w:color w:val="auto"/>
          <w:kern w:val="2"/>
          <w:sz w:val="24"/>
          <w:szCs w:val="24"/>
          <w:highlight w:val="none"/>
          <w:lang w:val="en-US" w:eastAsia="zh-CN" w:bidi="ar-SA"/>
        </w:rPr>
        <w:t>（五）</w:t>
      </w:r>
      <w:bookmarkEnd w:id="273"/>
      <w:r>
        <w:rPr>
          <w:rFonts w:hint="eastAsia" w:ascii="宋体" w:hAnsi="宋体" w:eastAsia="宋体" w:cs="宋体"/>
          <w:b/>
          <w:bCs/>
          <w:i w:val="0"/>
          <w:iCs w:val="0"/>
          <w:color w:val="auto"/>
          <w:kern w:val="2"/>
          <w:sz w:val="24"/>
          <w:szCs w:val="24"/>
          <w:highlight w:val="none"/>
          <w:lang w:val="en-US" w:eastAsia="zh-CN" w:bidi="ar-SA"/>
        </w:rPr>
        <w:t>响应文件开启</w:t>
      </w:r>
    </w:p>
    <w:p w14:paraId="750D72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0"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bCs/>
          <w:i w:val="0"/>
          <w:iCs w:val="0"/>
          <w:color w:val="auto"/>
          <w:sz w:val="24"/>
          <w:szCs w:val="24"/>
          <w:highlight w:val="none"/>
        </w:rPr>
      </w:pPr>
      <w:bookmarkStart w:id="281"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81"/>
    </w:p>
    <w:p w14:paraId="44C062A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2" w:name="_Toc140132782"/>
      <w:bookmarkStart w:id="283"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282"/>
      <w:bookmarkEnd w:id="283"/>
    </w:p>
    <w:p w14:paraId="19FC62D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74"/>
    <w:bookmarkEnd w:id="275"/>
    <w:bookmarkEnd w:id="276"/>
    <w:bookmarkEnd w:id="277"/>
    <w:bookmarkEnd w:id="278"/>
    <w:bookmarkEnd w:id="279"/>
    <w:bookmarkEnd w:id="280"/>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4" w:name="_Toc140132785"/>
      <w:bookmarkStart w:id="285" w:name="_Toc163492854"/>
      <w:bookmarkStart w:id="286" w:name="_Toc155185877"/>
      <w:r>
        <w:rPr>
          <w:rFonts w:hint="eastAsia" w:ascii="宋体" w:hAnsi="宋体" w:eastAsia="宋体" w:cs="宋体"/>
          <w:b/>
          <w:bCs/>
          <w:i w:val="0"/>
          <w:iCs w:val="0"/>
          <w:color w:val="auto"/>
          <w:kern w:val="2"/>
          <w:sz w:val="24"/>
          <w:szCs w:val="24"/>
          <w:highlight w:val="none"/>
          <w:lang w:val="en-US" w:eastAsia="zh-CN" w:bidi="ar-SA"/>
        </w:rPr>
        <w:t>（六）资格审查</w:t>
      </w:r>
      <w:bookmarkEnd w:id="284"/>
      <w:bookmarkEnd w:id="285"/>
      <w:bookmarkEnd w:id="286"/>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7"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287"/>
    </w:p>
    <w:p w14:paraId="3F6E8AD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288"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288"/>
    </w:p>
    <w:p w14:paraId="6F7626D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289"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289"/>
    </w:p>
    <w:p w14:paraId="44D43B8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290"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290"/>
    </w:p>
    <w:p w14:paraId="272F167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1" w:name="_Toc140132789"/>
      <w:bookmarkStart w:id="292" w:name="_Toc163492856"/>
      <w:bookmarkStart w:id="293" w:name="_Toc155185878"/>
      <w:r>
        <w:rPr>
          <w:rFonts w:hint="eastAsia" w:ascii="宋体" w:hAnsi="宋体" w:eastAsia="宋体" w:cs="宋体"/>
          <w:b/>
          <w:bCs/>
          <w:i w:val="0"/>
          <w:iCs w:val="0"/>
          <w:color w:val="auto"/>
          <w:kern w:val="2"/>
          <w:sz w:val="24"/>
          <w:szCs w:val="24"/>
          <w:highlight w:val="none"/>
          <w:lang w:val="en-US" w:eastAsia="zh-CN" w:bidi="ar-SA"/>
        </w:rPr>
        <w:t>（七）项目评</w:t>
      </w:r>
      <w:bookmarkEnd w:id="291"/>
      <w:bookmarkEnd w:id="292"/>
      <w:bookmarkEnd w:id="293"/>
      <w:r>
        <w:rPr>
          <w:rFonts w:hint="eastAsia" w:ascii="宋体" w:hAnsi="宋体" w:eastAsia="宋体" w:cs="宋体"/>
          <w:b/>
          <w:bCs/>
          <w:i w:val="0"/>
          <w:iCs w:val="0"/>
          <w:color w:val="auto"/>
          <w:kern w:val="2"/>
          <w:sz w:val="24"/>
          <w:szCs w:val="24"/>
          <w:highlight w:val="none"/>
          <w:lang w:val="en-US" w:eastAsia="zh-CN" w:bidi="ar-SA"/>
        </w:rPr>
        <w:t>审</w:t>
      </w:r>
    </w:p>
    <w:p w14:paraId="4C04DF4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Toc140132790"/>
      <w:bookmarkStart w:id="295" w:name="_Toc163492857"/>
      <w:r>
        <w:rPr>
          <w:rFonts w:hint="eastAsia" w:ascii="宋体" w:hAnsi="宋体" w:eastAsia="宋体" w:cs="宋体"/>
          <w:b/>
          <w:bCs/>
          <w:i w:val="0"/>
          <w:iCs w:val="0"/>
          <w:color w:val="auto"/>
          <w:kern w:val="2"/>
          <w:sz w:val="24"/>
          <w:szCs w:val="24"/>
          <w:highlight w:val="none"/>
          <w:lang w:val="en-US" w:eastAsia="zh-CN" w:bidi="ar-SA"/>
        </w:rPr>
        <w:t>28.</w:t>
      </w:r>
      <w:bookmarkEnd w:id="294"/>
      <w:bookmarkEnd w:id="295"/>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63492858"/>
      <w:bookmarkStart w:id="297" w:name="_Toc140132791"/>
      <w:r>
        <w:rPr>
          <w:rFonts w:hint="eastAsia" w:ascii="宋体" w:hAnsi="宋体" w:eastAsia="宋体" w:cs="宋体"/>
          <w:b/>
          <w:bCs/>
          <w:i w:val="0"/>
          <w:iCs w:val="0"/>
          <w:color w:val="auto"/>
          <w:kern w:val="2"/>
          <w:sz w:val="24"/>
          <w:szCs w:val="24"/>
          <w:highlight w:val="none"/>
          <w:lang w:val="en-US" w:eastAsia="zh-CN" w:bidi="ar-SA"/>
        </w:rPr>
        <w:t>29.</w:t>
      </w:r>
      <w:bookmarkEnd w:id="296"/>
      <w:bookmarkEnd w:id="297"/>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A9007D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8" w:name="_Toc109897464"/>
      <w:bookmarkStart w:id="299" w:name="_Toc109899563"/>
      <w:bookmarkStart w:id="300" w:name="_Toc163493616"/>
      <w:bookmarkStart w:id="301" w:name="_Toc109900401"/>
      <w:bookmarkStart w:id="302" w:name="_Toc109899982"/>
      <w:bookmarkStart w:id="303" w:name="_Toc470172692"/>
      <w:bookmarkStart w:id="304" w:name="_Toc46771670"/>
      <w:r>
        <w:rPr>
          <w:rFonts w:hint="eastAsia" w:ascii="宋体" w:hAnsi="宋体" w:eastAsia="宋体" w:cs="宋体"/>
          <w:b/>
          <w:bCs/>
          <w:i w:val="0"/>
          <w:iCs w:val="0"/>
          <w:color w:val="auto"/>
          <w:kern w:val="2"/>
          <w:sz w:val="24"/>
          <w:szCs w:val="24"/>
          <w:highlight w:val="none"/>
          <w:lang w:val="en-US" w:eastAsia="zh-CN" w:bidi="ar-SA"/>
        </w:rPr>
        <w:t>（八）成交</w:t>
      </w:r>
      <w:bookmarkEnd w:id="298"/>
      <w:bookmarkEnd w:id="299"/>
      <w:bookmarkEnd w:id="300"/>
      <w:bookmarkEnd w:id="301"/>
      <w:bookmarkEnd w:id="302"/>
      <w:bookmarkEnd w:id="303"/>
      <w:bookmarkEnd w:id="304"/>
    </w:p>
    <w:p w14:paraId="59C81E9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5" w:name="_Toc48846140"/>
      <w:bookmarkStart w:id="306" w:name="_Toc46771671"/>
      <w:bookmarkStart w:id="307" w:name="_Toc52960584"/>
      <w:bookmarkStart w:id="308" w:name="_Toc109900402"/>
      <w:bookmarkStart w:id="309" w:name="_Toc109899564"/>
      <w:bookmarkStart w:id="310" w:name="_Toc51674242"/>
      <w:bookmarkStart w:id="311" w:name="_Toc48688820"/>
      <w:bookmarkStart w:id="312" w:name="_Toc109897465"/>
      <w:bookmarkStart w:id="313" w:name="_Toc109899983"/>
      <w:bookmarkStart w:id="314" w:name="_Toc52962758"/>
      <w:bookmarkStart w:id="315" w:name="_Toc46772272"/>
      <w:bookmarkStart w:id="316"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05"/>
      <w:bookmarkEnd w:id="306"/>
      <w:bookmarkEnd w:id="307"/>
      <w:bookmarkEnd w:id="308"/>
      <w:bookmarkEnd w:id="309"/>
      <w:bookmarkEnd w:id="310"/>
      <w:bookmarkEnd w:id="311"/>
      <w:bookmarkEnd w:id="312"/>
      <w:bookmarkEnd w:id="313"/>
      <w:bookmarkEnd w:id="314"/>
      <w:bookmarkEnd w:id="315"/>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7"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17"/>
    </w:p>
    <w:p w14:paraId="6F87142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8" w:name="_Toc109899565"/>
      <w:bookmarkStart w:id="319" w:name="_Toc48846141"/>
      <w:bookmarkStart w:id="320" w:name="_Toc51674243"/>
      <w:bookmarkStart w:id="321" w:name="_Toc46772273"/>
      <w:bookmarkStart w:id="322" w:name="_Toc109897466"/>
      <w:bookmarkStart w:id="323" w:name="_Toc109899984"/>
      <w:bookmarkStart w:id="324" w:name="_Toc52962759"/>
      <w:bookmarkStart w:id="325" w:name="_Toc46771672"/>
      <w:bookmarkStart w:id="326" w:name="_Toc48688821"/>
      <w:bookmarkStart w:id="327" w:name="_Toc52960585"/>
      <w:bookmarkStart w:id="328" w:name="_Toc109900403"/>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18"/>
      <w:bookmarkEnd w:id="319"/>
      <w:bookmarkEnd w:id="320"/>
      <w:bookmarkEnd w:id="321"/>
      <w:bookmarkEnd w:id="322"/>
      <w:bookmarkEnd w:id="323"/>
      <w:bookmarkEnd w:id="324"/>
      <w:bookmarkEnd w:id="325"/>
      <w:bookmarkEnd w:id="326"/>
      <w:bookmarkEnd w:id="327"/>
      <w:bookmarkEnd w:id="328"/>
    </w:p>
    <w:p w14:paraId="77507E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《政府采购竞争性磋商采购方式管理暂行办法》（财库〔2014〕214号）第二十八条第二款规定</w:t>
      </w:r>
      <w:r>
        <w:rPr>
          <w:rFonts w:hint="eastAsia" w:cs="宋体"/>
          <w:i w:val="0"/>
          <w:iCs w:val="0"/>
          <w:color w:val="auto"/>
          <w:sz w:val="24"/>
          <w:szCs w:val="24"/>
          <w:highlight w:val="none"/>
          <w:lang w:val="zh-CN"/>
        </w:rPr>
        <w:t>的</w:t>
      </w:r>
      <w:r>
        <w:rPr>
          <w:rFonts w:hint="eastAsia" w:cs="宋体"/>
          <w:i w:val="0"/>
          <w:iCs w:val="0"/>
          <w:color w:val="auto"/>
          <w:sz w:val="24"/>
          <w:szCs w:val="24"/>
          <w:highlight w:val="none"/>
          <w:lang w:val="en-US" w:eastAsia="zh-CN"/>
        </w:rPr>
        <w:t>原则</w:t>
      </w:r>
      <w:r>
        <w:rPr>
          <w:rFonts w:hint="eastAsia" w:ascii="宋体" w:hAnsi="宋体" w:eastAsia="宋体" w:cs="宋体"/>
          <w:i w:val="0"/>
          <w:iCs w:val="0"/>
          <w:color w:val="auto"/>
          <w:sz w:val="24"/>
          <w:szCs w:val="24"/>
          <w:highlight w:val="none"/>
          <w:lang w:val="zh-CN"/>
        </w:rPr>
        <w:t>确定其他供应商作为成交供应商并签订政府采购合同，也可以重新开展采购活动。拒绝签订政府采购合同的成交供应商不得参加对该项目重新开展的采购活动。</w:t>
      </w:r>
    </w:p>
    <w:p w14:paraId="116F455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16"/>
    <w:p w14:paraId="4252B45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29" w:name="_Toc163493618"/>
      <w:bookmarkStart w:id="330" w:name="_Toc109899566"/>
      <w:bookmarkStart w:id="331" w:name="_Toc109899985"/>
      <w:bookmarkStart w:id="332" w:name="_Toc109900404"/>
      <w:bookmarkStart w:id="333" w:name="_Toc109897467"/>
      <w:bookmarkStart w:id="334" w:name="_Toc46771673"/>
      <w:bookmarkStart w:id="335"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29"/>
      <w:bookmarkEnd w:id="330"/>
      <w:bookmarkEnd w:id="331"/>
      <w:bookmarkEnd w:id="332"/>
      <w:bookmarkEnd w:id="333"/>
      <w:bookmarkEnd w:id="334"/>
    </w:p>
    <w:p w14:paraId="000ACF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6" w:name="_Toc48846143"/>
      <w:bookmarkStart w:id="337" w:name="_Toc48688823"/>
      <w:bookmarkStart w:id="338" w:name="_Toc46772275"/>
      <w:bookmarkStart w:id="339" w:name="_Toc109900405"/>
      <w:bookmarkStart w:id="340" w:name="_Toc46771674"/>
      <w:bookmarkStart w:id="341" w:name="_Toc109899986"/>
      <w:bookmarkStart w:id="342" w:name="_Toc51674245"/>
      <w:bookmarkStart w:id="343" w:name="_Toc52960587"/>
      <w:bookmarkStart w:id="344" w:name="_Toc52962761"/>
      <w:bookmarkStart w:id="345" w:name="_Toc109899567"/>
      <w:bookmarkStart w:id="346" w:name="_Toc109897468"/>
      <w:r>
        <w:rPr>
          <w:rFonts w:hint="eastAsia" w:ascii="宋体" w:hAnsi="宋体" w:eastAsia="宋体" w:cs="宋体"/>
          <w:b/>
          <w:bCs/>
          <w:i w:val="0"/>
          <w:iCs w:val="0"/>
          <w:color w:val="auto"/>
          <w:kern w:val="2"/>
          <w:sz w:val="24"/>
          <w:szCs w:val="24"/>
          <w:highlight w:val="none"/>
          <w:lang w:val="en-US" w:eastAsia="zh-CN" w:bidi="ar-SA"/>
        </w:rPr>
        <w:t>35.质疑</w:t>
      </w:r>
      <w:bookmarkEnd w:id="336"/>
      <w:bookmarkEnd w:id="337"/>
      <w:bookmarkEnd w:id="338"/>
      <w:bookmarkEnd w:id="339"/>
      <w:bookmarkEnd w:id="340"/>
      <w:bookmarkEnd w:id="341"/>
      <w:bookmarkEnd w:id="342"/>
      <w:bookmarkEnd w:id="343"/>
      <w:bookmarkEnd w:id="344"/>
      <w:bookmarkEnd w:id="345"/>
      <w:bookmarkEnd w:id="346"/>
    </w:p>
    <w:bookmarkEnd w:id="94"/>
    <w:bookmarkEnd w:id="335"/>
    <w:p w14:paraId="522F842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bookmarkStart w:id="347" w:name="_Toc109899987"/>
      <w:bookmarkStart w:id="348" w:name="_Toc109899568"/>
      <w:bookmarkStart w:id="349" w:name="_Toc46772276"/>
      <w:bookmarkStart w:id="350" w:name="_Toc52960588"/>
      <w:bookmarkStart w:id="351" w:name="_Toc46771675"/>
      <w:bookmarkStart w:id="352" w:name="_Toc52962762"/>
      <w:bookmarkStart w:id="353" w:name="_Toc48688824"/>
      <w:bookmarkStart w:id="354" w:name="_Toc51674246"/>
      <w:bookmarkStart w:id="355" w:name="_Toc109900406"/>
      <w:bookmarkStart w:id="356" w:name="_Toc48846144"/>
      <w:bookmarkStart w:id="357" w:name="_Toc109897469"/>
      <w:bookmarkStart w:id="358" w:name="_Toc163493619"/>
      <w:bookmarkStart w:id="359" w:name="_Toc109899570"/>
      <w:bookmarkStart w:id="360" w:name="_Toc109899989"/>
      <w:bookmarkStart w:id="361" w:name="_Toc109900408"/>
      <w:bookmarkStart w:id="362" w:name="_Toc109897471"/>
      <w:bookmarkStart w:id="363" w:name="_Hlk60570485"/>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47"/>
      <w:bookmarkEnd w:id="348"/>
      <w:bookmarkEnd w:id="349"/>
      <w:bookmarkEnd w:id="350"/>
      <w:bookmarkEnd w:id="351"/>
      <w:bookmarkEnd w:id="352"/>
      <w:bookmarkEnd w:id="353"/>
      <w:bookmarkEnd w:id="354"/>
      <w:bookmarkEnd w:id="355"/>
      <w:bookmarkEnd w:id="356"/>
      <w:bookmarkEnd w:id="357"/>
    </w:p>
    <w:p w14:paraId="4E8601B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bookmarkStart w:id="364" w:name="_Toc109899569"/>
      <w:bookmarkStart w:id="365" w:name="_Toc46771676"/>
      <w:bookmarkStart w:id="366" w:name="_Toc109900407"/>
      <w:bookmarkStart w:id="367" w:name="_Toc109899988"/>
      <w:bookmarkStart w:id="368" w:name="_Toc51674247"/>
      <w:bookmarkStart w:id="369" w:name="_Toc109897470"/>
      <w:bookmarkStart w:id="370" w:name="_Toc48688825"/>
      <w:bookmarkStart w:id="371" w:name="_Toc46772277"/>
      <w:bookmarkStart w:id="372" w:name="_Toc48846145"/>
      <w:bookmarkStart w:id="373" w:name="_Toc52962763"/>
      <w:bookmarkStart w:id="374" w:name="_Toc52960589"/>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64"/>
      <w:bookmarkEnd w:id="365"/>
      <w:bookmarkEnd w:id="366"/>
      <w:bookmarkEnd w:id="367"/>
      <w:bookmarkEnd w:id="368"/>
      <w:bookmarkEnd w:id="369"/>
      <w:bookmarkEnd w:id="370"/>
      <w:bookmarkEnd w:id="371"/>
      <w:bookmarkEnd w:id="372"/>
      <w:bookmarkEnd w:id="373"/>
      <w:bookmarkEnd w:id="374"/>
    </w:p>
    <w:p w14:paraId="34C5EA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58"/>
    </w:p>
    <w:p w14:paraId="3283230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75"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75"/>
    </w:p>
    <w:p w14:paraId="02780A3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76" w:name="_Toc140132806"/>
      <w:bookmarkStart w:id="377" w:name="_Toc161600338"/>
      <w:r>
        <w:rPr>
          <w:rFonts w:hint="eastAsia" w:ascii="宋体" w:hAnsi="宋体" w:eastAsia="宋体" w:cs="宋体"/>
          <w:b/>
          <w:bCs/>
          <w:i w:val="0"/>
          <w:iCs w:val="0"/>
          <w:color w:val="auto"/>
          <w:kern w:val="2"/>
          <w:sz w:val="24"/>
          <w:szCs w:val="24"/>
          <w:highlight w:val="none"/>
          <w:lang w:val="en-US" w:eastAsia="zh-CN" w:bidi="ar-SA"/>
        </w:rPr>
        <w:t>39.无效</w:t>
      </w:r>
      <w:bookmarkEnd w:id="376"/>
      <w:bookmarkEnd w:id="377"/>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78" w:name="_Toc140132766"/>
      <w:bookmarkStart w:id="379" w:name="_Toc161600340"/>
      <w:bookmarkStart w:id="380"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378"/>
      <w:bookmarkEnd w:id="379"/>
      <w:bookmarkEnd w:id="380"/>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81"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81"/>
    </w:p>
    <w:p w14:paraId="59F3A450">
      <w:pPr>
        <w:pStyle w:val="36"/>
        <w:keepNext w:val="0"/>
        <w:keepLines w:val="0"/>
        <w:pageBreakBefore w:val="0"/>
        <w:widowControl w:val="0"/>
        <w:kinsoku/>
        <w:overflowPunct/>
        <w:topLinePunct w:val="0"/>
        <w:autoSpaceDE/>
        <w:autoSpaceDN/>
        <w:bidi w:val="0"/>
        <w:adjustRightInd/>
        <w:jc w:val="both"/>
        <w:textAlignment w:val="auto"/>
        <w:rPr>
          <w:rFonts w:hint="eastAsia"/>
          <w:b w:val="0"/>
          <w:bCs w:val="0"/>
          <w:snapToGrid w:val="0"/>
          <w:color w:val="auto"/>
          <w:sz w:val="24"/>
          <w:highlight w:val="none"/>
          <w:lang w:val="en-US" w:eastAsia="zh-CN"/>
        </w:rPr>
      </w:pPr>
      <w:r>
        <w:rPr>
          <w:rFonts w:hint="eastAsia"/>
          <w:b w:val="0"/>
          <w:bCs w:val="0"/>
          <w:snapToGrid w:val="0"/>
          <w:color w:val="auto"/>
          <w:sz w:val="24"/>
          <w:highlight w:val="none"/>
          <w:lang w:val="en-US" w:eastAsia="zh-CN"/>
        </w:rPr>
        <w:t>41.1本国产品标准及支持政策</w:t>
      </w:r>
    </w:p>
    <w:p w14:paraId="441816D7">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346B0A7">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D588E5E">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8CD2A38">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41.1.8对于仅有本国产品参与竞争的政府采购项目，本国产品不享受价格扣除评审优惠。</w:t>
      </w:r>
    </w:p>
    <w:p w14:paraId="2B40C7E8">
      <w:pPr>
        <w:pStyle w:val="36"/>
        <w:keepNext w:val="0"/>
        <w:keepLines w:val="0"/>
        <w:pageBreakBefore w:val="0"/>
        <w:widowControl w:val="0"/>
        <w:kinsoku/>
        <w:overflowPunct/>
        <w:topLinePunct w:val="0"/>
        <w:autoSpaceDE/>
        <w:autoSpaceDN/>
        <w:bidi w:val="0"/>
        <w:adjustRightInd/>
        <w:jc w:val="both"/>
        <w:textAlignment w:val="auto"/>
        <w:rPr>
          <w:rFonts w:hint="default" w:eastAsia="宋体"/>
          <w:b w:val="0"/>
          <w:bCs w:val="0"/>
          <w:snapToGrid w:val="0"/>
          <w:color w:val="auto"/>
          <w:sz w:val="24"/>
          <w:highlight w:val="none"/>
          <w:lang w:val="en-US" w:eastAsia="zh-CN"/>
        </w:rPr>
      </w:pPr>
      <w:r>
        <w:rPr>
          <w:rFonts w:hint="eastAsia"/>
          <w:b w:val="0"/>
          <w:bCs w:val="0"/>
          <w:snapToGrid w:val="0"/>
          <w:color w:val="auto"/>
          <w:sz w:val="24"/>
          <w:highlight w:val="none"/>
          <w:lang w:val="en-US" w:eastAsia="zh-CN"/>
        </w:rPr>
        <w:t>41.2进口产品</w:t>
      </w:r>
    </w:p>
    <w:p w14:paraId="169666B9">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进口产品指通过中国海关报关验放进入中国境内且产自关境外的产品，包括已经进入中国境内的进口产品。</w:t>
      </w:r>
    </w:p>
    <w:p w14:paraId="0C404CE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3若采购需求中写明允许采购进口产品，供应商应保证所响应产品可履行合法报通关手续进入中国关境内。</w:t>
      </w:r>
    </w:p>
    <w:p w14:paraId="3D07704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82"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82"/>
    </w:p>
    <w:p w14:paraId="3DC30D3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83"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83"/>
    </w:p>
    <w:p w14:paraId="74D8327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480636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59"/>
    <w:bookmarkEnd w:id="360"/>
    <w:bookmarkEnd w:id="361"/>
    <w:bookmarkEnd w:id="362"/>
    <w:bookmarkEnd w:id="363"/>
    <w:p w14:paraId="1251808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bookmarkStart w:id="384" w:name="_Toc109899574"/>
      <w:bookmarkStart w:id="385" w:name="_Toc109899993"/>
      <w:bookmarkStart w:id="386" w:name="_Toc109900412"/>
      <w:bookmarkStart w:id="387" w:name="_Toc109897475"/>
      <w:bookmarkStart w:id="388" w:name="_Toc163493622"/>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84"/>
      <w:bookmarkEnd w:id="385"/>
      <w:bookmarkEnd w:id="386"/>
      <w:bookmarkEnd w:id="387"/>
      <w:bookmarkEnd w:id="388"/>
    </w:p>
    <w:p w14:paraId="78CE46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89" w:name="_Toc161600345"/>
      <w:bookmarkStart w:id="390"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389"/>
    </w:p>
    <w:p w14:paraId="59269D3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09899994"/>
      <w:bookmarkStart w:id="392" w:name="_Toc109900413"/>
      <w:bookmarkStart w:id="393" w:name="_Toc163493623"/>
      <w:bookmarkStart w:id="394" w:name="_Toc109899575"/>
      <w:r>
        <w:rPr>
          <w:rFonts w:hint="eastAsia" w:ascii="宋体" w:hAnsi="宋体" w:eastAsia="宋体" w:cs="宋体"/>
          <w:b/>
          <w:bCs/>
          <w:i w:val="0"/>
          <w:iCs w:val="0"/>
          <w:color w:val="auto"/>
          <w:kern w:val="2"/>
          <w:sz w:val="24"/>
          <w:szCs w:val="24"/>
          <w:highlight w:val="none"/>
          <w:lang w:val="en-US" w:eastAsia="zh-CN" w:bidi="ar-SA"/>
        </w:rPr>
        <w:t>（十五）其他</w:t>
      </w:r>
      <w:bookmarkEnd w:id="390"/>
      <w:bookmarkEnd w:id="391"/>
      <w:bookmarkEnd w:id="392"/>
      <w:bookmarkEnd w:id="393"/>
      <w:bookmarkEnd w:id="394"/>
    </w:p>
    <w:p w14:paraId="0C2C4C1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395"/>
    </w:p>
    <w:p w14:paraId="3957C99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09897477"/>
      <w:bookmarkStart w:id="397" w:name="_Toc109899576"/>
      <w:bookmarkStart w:id="398" w:name="_Toc109900414"/>
      <w:bookmarkStart w:id="399" w:name="_Toc109899995"/>
      <w:r>
        <w:rPr>
          <w:rFonts w:hint="eastAsia" w:ascii="宋体" w:hAnsi="宋体" w:eastAsia="宋体" w:cs="宋体"/>
          <w:b/>
          <w:bCs/>
          <w:i w:val="0"/>
          <w:iCs w:val="0"/>
          <w:color w:val="auto"/>
          <w:kern w:val="2"/>
          <w:sz w:val="24"/>
          <w:szCs w:val="24"/>
          <w:highlight w:val="none"/>
          <w:lang w:val="en-US" w:eastAsia="zh-CN" w:bidi="ar-SA"/>
        </w:rPr>
        <w:t>49.适用法律</w:t>
      </w:r>
      <w:bookmarkEnd w:id="396"/>
      <w:bookmarkEnd w:id="397"/>
      <w:bookmarkEnd w:id="398"/>
      <w:bookmarkEnd w:id="399"/>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0" w:name="_Toc161600349"/>
      <w:bookmarkStart w:id="401" w:name="_Toc155185887"/>
      <w:r>
        <w:rPr>
          <w:rFonts w:hint="eastAsia" w:ascii="宋体" w:hAnsi="宋体" w:eastAsia="宋体" w:cs="宋体"/>
          <w:b/>
          <w:bCs/>
          <w:i w:val="0"/>
          <w:iCs w:val="0"/>
          <w:color w:val="auto"/>
          <w:kern w:val="2"/>
          <w:sz w:val="24"/>
          <w:szCs w:val="24"/>
          <w:highlight w:val="none"/>
          <w:lang w:val="en-US" w:eastAsia="zh-CN" w:bidi="ar-SA"/>
        </w:rPr>
        <w:t>50.解释权</w:t>
      </w:r>
      <w:bookmarkEnd w:id="400"/>
      <w:bookmarkEnd w:id="401"/>
    </w:p>
    <w:p w14:paraId="02BEF40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6A67B13D">
      <w:pPr>
        <w:pStyle w:val="36"/>
        <w:ind w:firstLine="480"/>
        <w:jc w:val="both"/>
        <w:rPr>
          <w:rFonts w:hint="eastAsia" w:ascii="宋体" w:hAnsi="宋体" w:eastAsia="宋体" w:cs="宋体"/>
          <w:i w:val="0"/>
          <w:iCs w:val="0"/>
          <w:color w:val="auto"/>
          <w:sz w:val="24"/>
          <w:szCs w:val="24"/>
          <w:highlight w:val="none"/>
        </w:rPr>
      </w:pPr>
    </w:p>
    <w:p w14:paraId="216F1C6D">
      <w:pPr>
        <w:pStyle w:val="36"/>
        <w:ind w:firstLine="480"/>
        <w:jc w:val="both"/>
        <w:rPr>
          <w:i w:val="0"/>
          <w:iCs w:val="0"/>
          <w:color w:val="auto"/>
          <w:highlight w:val="none"/>
        </w:rPr>
      </w:pPr>
    </w:p>
    <w:p w14:paraId="399CAB4C">
      <w:pPr>
        <w:pStyle w:val="36"/>
        <w:ind w:firstLine="480"/>
        <w:jc w:val="both"/>
        <w:rPr>
          <w:i w:val="0"/>
          <w:iCs w:val="0"/>
          <w:color w:val="auto"/>
          <w:highlight w:val="none"/>
        </w:rPr>
        <w:sectPr>
          <w:pgSz w:w="11906" w:h="16838"/>
          <w:pgMar w:top="1440" w:right="1800" w:bottom="1440" w:left="1800" w:header="851" w:footer="652" w:gutter="0"/>
          <w:pgNumType w:fmt="decimal"/>
          <w:cols w:space="0" w:num="1"/>
          <w:rtlGutter w:val="0"/>
          <w:docGrid w:type="lines" w:linePitch="312" w:charSpace="0"/>
        </w:sectPr>
      </w:pPr>
    </w:p>
    <w:p w14:paraId="536A8494">
      <w:pPr>
        <w:pStyle w:val="3"/>
        <w:keepNext/>
        <w:keepLines/>
        <w:pageBreakBefore w:val="0"/>
        <w:widowControl w:val="0"/>
        <w:numPr>
          <w:ilvl w:val="0"/>
          <w:numId w:val="2"/>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02" w:name="_Toc163493624"/>
      <w:bookmarkStart w:id="403" w:name="_Toc15068"/>
      <w:r>
        <w:rPr>
          <w:rFonts w:hint="eastAsia" w:ascii="宋体" w:hAnsi="宋体" w:eastAsia="宋体" w:cs="宋体"/>
          <w:b/>
          <w:bCs/>
          <w:i w:val="0"/>
          <w:iCs w:val="0"/>
          <w:color w:val="auto"/>
          <w:kern w:val="44"/>
          <w:sz w:val="36"/>
          <w:szCs w:val="36"/>
          <w:highlight w:val="none"/>
          <w:lang w:val="en-US" w:eastAsia="zh-CN" w:bidi="ar-SA"/>
        </w:rPr>
        <w:t>项目采购需求</w:t>
      </w:r>
      <w:bookmarkEnd w:id="402"/>
      <w:bookmarkEnd w:id="403"/>
    </w:p>
    <w:p w14:paraId="2C43F922">
      <w:pPr>
        <w:pStyle w:val="36"/>
        <w:keepNext w:val="0"/>
        <w:keepLines w:val="0"/>
        <w:pageBreakBefore w:val="0"/>
        <w:widowControl w:val="0"/>
        <w:kinsoku/>
        <w:overflowPunct/>
        <w:topLinePunct w:val="0"/>
        <w:autoSpaceDE/>
        <w:autoSpaceDN/>
        <w:bidi w:val="0"/>
        <w:adjustRightInd/>
        <w:textAlignment w:val="auto"/>
        <w:rPr>
          <w:rFonts w:hint="eastAsia"/>
          <w:b/>
          <w:bCs/>
          <w:i w:val="0"/>
          <w:iCs w:val="0"/>
          <w:snapToGrid w:val="0"/>
          <w:color w:val="auto"/>
          <w:sz w:val="24"/>
          <w:szCs w:val="24"/>
          <w:highlight w:val="none"/>
          <w:lang w:val="en-US" w:eastAsia="zh-CN"/>
        </w:rPr>
      </w:pPr>
      <w:bookmarkStart w:id="404" w:name="_Toc155185889"/>
      <w:bookmarkStart w:id="405" w:name="_Toc140132812"/>
      <w:bookmarkStart w:id="406" w:name="_Toc163492886"/>
      <w:bookmarkStart w:id="407" w:name="_Toc163493631"/>
      <w:r>
        <w:rPr>
          <w:rFonts w:hint="eastAsia"/>
          <w:b/>
          <w:bCs/>
          <w:i w:val="0"/>
          <w:iCs w:val="0"/>
          <w:snapToGrid w:val="0"/>
          <w:color w:val="auto"/>
          <w:sz w:val="24"/>
          <w:szCs w:val="24"/>
          <w:highlight w:val="none"/>
          <w:lang w:val="en-US" w:eastAsia="zh-CN"/>
        </w:rPr>
        <w:t xml:space="preserve">说明： </w:t>
      </w:r>
    </w:p>
    <w:p w14:paraId="04A97FB9">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i w:val="0"/>
          <w:iCs w:val="0"/>
          <w:snapToGrid w:val="0"/>
          <w:color w:val="auto"/>
          <w:sz w:val="24"/>
          <w:szCs w:val="24"/>
          <w:highlight w:val="none"/>
          <w:lang w:val="en-US" w:eastAsia="zh-CN"/>
        </w:rPr>
        <w:t>2023</w:t>
      </w:r>
      <w:r>
        <w:rPr>
          <w:rFonts w:hint="eastAsia"/>
          <w:i w:val="0"/>
          <w:iCs w:val="0"/>
          <w:snapToGrid w:val="0"/>
          <w:color w:val="auto"/>
          <w:sz w:val="24"/>
          <w:szCs w:val="24"/>
          <w:highlight w:val="none"/>
          <w:lang w:val="en-US" w:eastAsia="zh-CN"/>
        </w:rPr>
        <w:t>〕</w:t>
      </w:r>
      <w:r>
        <w:rPr>
          <w:rFonts w:hint="default"/>
          <w:i w:val="0"/>
          <w:iCs w:val="0"/>
          <w:snapToGrid w:val="0"/>
          <w:color w:val="auto"/>
          <w:sz w:val="24"/>
          <w:szCs w:val="24"/>
          <w:highlight w:val="none"/>
          <w:lang w:val="en-US" w:eastAsia="zh-CN"/>
        </w:rPr>
        <w:t xml:space="preserve">7 </w:t>
      </w:r>
      <w:r>
        <w:rPr>
          <w:rFonts w:hint="eastAsia"/>
          <w:i w:val="0"/>
          <w:iCs w:val="0"/>
          <w:snapToGrid w:val="0"/>
          <w:color w:val="auto"/>
          <w:sz w:val="24"/>
          <w:szCs w:val="24"/>
          <w:highlight w:val="none"/>
          <w:lang w:val="en-US" w:eastAsia="zh-CN"/>
        </w:rPr>
        <w:t xml:space="preserve">号）的有关要求。 </w:t>
      </w:r>
    </w:p>
    <w:p w14:paraId="19609329">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default"/>
          <w:i w:val="0"/>
          <w:iCs w:val="0"/>
          <w:snapToGrid w:val="0"/>
          <w:color w:val="auto"/>
          <w:sz w:val="24"/>
          <w:szCs w:val="24"/>
          <w:highlight w:val="none"/>
          <w:lang w:val="en-US" w:eastAsia="zh-CN"/>
        </w:rPr>
        <w:t xml:space="preserve">2. </w:t>
      </w:r>
      <w:r>
        <w:rPr>
          <w:rFonts w:hint="eastAsia"/>
          <w:i w:val="0"/>
          <w:iCs w:val="0"/>
          <w:snapToGrid w:val="0"/>
          <w:color w:val="auto"/>
          <w:sz w:val="24"/>
          <w:szCs w:val="24"/>
          <w:highlight w:val="none"/>
          <w:lang w:val="en-US" w:eastAsia="zh-CN"/>
        </w:rPr>
        <w:t>当采购项目涉及政务信息系统时，采购需求应当符合《政务信息系统政府采购管理暂行办法》（财库〔</w:t>
      </w:r>
      <w:r>
        <w:rPr>
          <w:rFonts w:hint="default"/>
          <w:i w:val="0"/>
          <w:iCs w:val="0"/>
          <w:snapToGrid w:val="0"/>
          <w:color w:val="auto"/>
          <w:sz w:val="24"/>
          <w:szCs w:val="24"/>
          <w:highlight w:val="none"/>
          <w:lang w:val="en-US" w:eastAsia="zh-CN"/>
        </w:rPr>
        <w:t>2017</w:t>
      </w:r>
      <w:r>
        <w:rPr>
          <w:rFonts w:hint="eastAsia"/>
          <w:i w:val="0"/>
          <w:iCs w:val="0"/>
          <w:snapToGrid w:val="0"/>
          <w:color w:val="auto"/>
          <w:sz w:val="24"/>
          <w:szCs w:val="24"/>
          <w:highlight w:val="none"/>
          <w:lang w:val="en-US" w:eastAsia="zh-CN"/>
        </w:rPr>
        <w:t>〕</w:t>
      </w:r>
      <w:r>
        <w:rPr>
          <w:rFonts w:hint="default"/>
          <w:i w:val="0"/>
          <w:iCs w:val="0"/>
          <w:snapToGrid w:val="0"/>
          <w:color w:val="auto"/>
          <w:sz w:val="24"/>
          <w:szCs w:val="24"/>
          <w:highlight w:val="none"/>
          <w:lang w:val="en-US" w:eastAsia="zh-CN"/>
        </w:rPr>
        <w:t xml:space="preserve">210 </w:t>
      </w:r>
      <w:r>
        <w:rPr>
          <w:rFonts w:hint="eastAsia"/>
          <w:i w:val="0"/>
          <w:iCs w:val="0"/>
          <w:snapToGrid w:val="0"/>
          <w:color w:val="auto"/>
          <w:sz w:val="24"/>
          <w:szCs w:val="24"/>
          <w:highlight w:val="none"/>
          <w:lang w:val="en-US" w:eastAsia="zh-CN"/>
        </w:rPr>
        <w:t xml:space="preserve">号）的相关要求。 </w:t>
      </w:r>
    </w:p>
    <w:p w14:paraId="74BCECBF">
      <w:pPr>
        <w:pStyle w:val="36"/>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i w:val="0"/>
          <w:iCs w:val="0"/>
          <w:snapToGrid w:val="0"/>
          <w:color w:val="auto"/>
          <w:sz w:val="24"/>
          <w:szCs w:val="24"/>
          <w:highlight w:val="none"/>
          <w:lang w:val="en-US" w:eastAsia="zh-CN"/>
        </w:rPr>
      </w:pPr>
      <w:r>
        <w:rPr>
          <w:rFonts w:hint="eastAsia"/>
          <w:b/>
          <w:bCs/>
          <w:i w:val="0"/>
          <w:iCs w:val="0"/>
          <w:snapToGrid w:val="0"/>
          <w:color w:val="auto"/>
          <w:sz w:val="24"/>
          <w:szCs w:val="24"/>
          <w:highlight w:val="none"/>
          <w:lang w:val="en-US" w:eastAsia="zh-CN"/>
        </w:rPr>
        <w:t xml:space="preserve">一、采购标的 </w:t>
      </w:r>
    </w:p>
    <w:p w14:paraId="3E57EDE4">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default"/>
          <w:i w:val="0"/>
          <w:iCs w:val="0"/>
          <w:snapToGrid w:val="0"/>
          <w:color w:val="auto"/>
          <w:sz w:val="24"/>
          <w:szCs w:val="24"/>
          <w:highlight w:val="none"/>
          <w:lang w:val="en-US" w:eastAsia="zh-CN"/>
        </w:rPr>
        <w:t xml:space="preserve">1. </w:t>
      </w:r>
      <w:r>
        <w:rPr>
          <w:rFonts w:hint="eastAsia"/>
          <w:i w:val="0"/>
          <w:iCs w:val="0"/>
          <w:snapToGrid w:val="0"/>
          <w:color w:val="auto"/>
          <w:sz w:val="24"/>
          <w:szCs w:val="24"/>
          <w:highlight w:val="none"/>
          <w:lang w:val="en-US" w:eastAsia="zh-CN"/>
        </w:rPr>
        <w:t xml:space="preserve">采购标的（服务需求一览表或简要服务内容及数量） </w:t>
      </w:r>
    </w:p>
    <w:tbl>
      <w:tblPr>
        <w:tblStyle w:val="30"/>
        <w:tblpPr w:leftFromText="180" w:rightFromText="180" w:vertAnchor="text" w:horzAnchor="page" w:tblpX="1774" w:tblpY="169"/>
        <w:tblOverlap w:val="never"/>
        <w:tblW w:w="90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1320"/>
        <w:gridCol w:w="6047"/>
        <w:gridCol w:w="891"/>
      </w:tblGrid>
      <w:tr w14:paraId="4152F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801" w:type="dxa"/>
            <w:noWrap w:val="0"/>
            <w:vAlign w:val="center"/>
          </w:tcPr>
          <w:p w14:paraId="09CAB4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0" w:type="dxa"/>
            <w:noWrap w:val="0"/>
            <w:vAlign w:val="center"/>
          </w:tcPr>
          <w:p w14:paraId="59EB2F66">
            <w:pPr>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包号</w:t>
            </w:r>
          </w:p>
        </w:tc>
        <w:tc>
          <w:tcPr>
            <w:tcW w:w="6047" w:type="dxa"/>
            <w:noWrap w:val="0"/>
            <w:vAlign w:val="center"/>
          </w:tcPr>
          <w:p w14:paraId="41B16C5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服务内容及要求</w:t>
            </w:r>
          </w:p>
        </w:tc>
        <w:tc>
          <w:tcPr>
            <w:tcW w:w="891" w:type="dxa"/>
            <w:noWrap w:val="0"/>
            <w:vAlign w:val="center"/>
          </w:tcPr>
          <w:p w14:paraId="60B417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r>
      <w:tr w14:paraId="7115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801" w:type="dxa"/>
            <w:noWrap w:val="0"/>
            <w:vAlign w:val="center"/>
          </w:tcPr>
          <w:p w14:paraId="741F140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20" w:type="dxa"/>
            <w:noWrap w:val="0"/>
            <w:vAlign w:val="center"/>
          </w:tcPr>
          <w:p w14:paraId="75E54E76">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第1包</w:t>
            </w:r>
          </w:p>
        </w:tc>
        <w:tc>
          <w:tcPr>
            <w:tcW w:w="6047" w:type="dxa"/>
            <w:noWrap w:val="0"/>
            <w:vAlign w:val="center"/>
          </w:tcPr>
          <w:p w14:paraId="30421C83">
            <w:pPr>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主要负责基建工程项目，服务内容为编制工程量清单、工程招标控制价；审核工程变更及现场签证（工程量确认、造价核定）；建材材料、设备价格咨询确定；各类款项及工程经济签证等审核；竣工结算审核；从工程招标阶段、项目建设期间到竣工结算阶段的全过程造价监控和造价控制等造价咨询服务，</w:t>
            </w:r>
            <w:r>
              <w:rPr>
                <w:rFonts w:hint="default" w:ascii="宋体" w:hAnsi="宋体" w:eastAsia="宋体" w:cs="宋体"/>
                <w:color w:val="FF0000"/>
                <w:sz w:val="24"/>
                <w:szCs w:val="24"/>
                <w:highlight w:val="none"/>
                <w:lang w:val="en-US" w:eastAsia="zh-CN"/>
              </w:rPr>
              <w:t>项目安排采用竞争性机制，按照为医院建设项目提供服务质量的高低来安排</w:t>
            </w:r>
            <w:r>
              <w:rPr>
                <w:rFonts w:hint="default" w:ascii="宋体" w:hAnsi="宋体" w:eastAsia="宋体" w:cs="宋体"/>
                <w:color w:val="auto"/>
                <w:sz w:val="24"/>
                <w:szCs w:val="24"/>
                <w:highlight w:val="none"/>
                <w:lang w:val="en-US" w:eastAsia="zh-CN"/>
              </w:rPr>
              <w:t>。</w:t>
            </w:r>
          </w:p>
        </w:tc>
        <w:tc>
          <w:tcPr>
            <w:tcW w:w="891" w:type="dxa"/>
            <w:noWrap w:val="0"/>
            <w:vAlign w:val="center"/>
          </w:tcPr>
          <w:p w14:paraId="2A051BBF">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r>
      <w:tr w14:paraId="39C0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801" w:type="dxa"/>
            <w:noWrap w:val="0"/>
            <w:vAlign w:val="center"/>
          </w:tcPr>
          <w:p w14:paraId="488ABE3C">
            <w:pPr>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p>
        </w:tc>
        <w:tc>
          <w:tcPr>
            <w:tcW w:w="1320" w:type="dxa"/>
            <w:noWrap w:val="0"/>
            <w:vAlign w:val="center"/>
          </w:tcPr>
          <w:p w14:paraId="105E4A96">
            <w:pPr>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第2包</w:t>
            </w:r>
          </w:p>
        </w:tc>
        <w:tc>
          <w:tcPr>
            <w:tcW w:w="6047" w:type="dxa"/>
            <w:noWrap w:val="0"/>
            <w:vAlign w:val="center"/>
          </w:tcPr>
          <w:p w14:paraId="5F259278">
            <w:pPr>
              <w:jc w:val="left"/>
              <w:rPr>
                <w:rFonts w:hint="eastAsia" w:cs="宋体"/>
                <w:i w:val="0"/>
                <w:iCs w:val="0"/>
                <w:color w:val="auto"/>
                <w:sz w:val="24"/>
                <w:szCs w:val="24"/>
                <w:highlight w:val="none"/>
                <w:lang w:val="hr-HR" w:eastAsia="zh-CN"/>
              </w:rPr>
            </w:pPr>
            <w:r>
              <w:rPr>
                <w:rFonts w:hint="eastAsia" w:cs="宋体"/>
                <w:i w:val="0"/>
                <w:iCs w:val="0"/>
                <w:color w:val="auto"/>
                <w:sz w:val="24"/>
                <w:szCs w:val="24"/>
                <w:highlight w:val="none"/>
                <w:lang w:val="hr-HR" w:eastAsia="zh-CN"/>
              </w:rPr>
              <w:t>主要负责医学工程项目、弱电信息化项目、门禁视频监控项目及其他相关项目，服务内容为编制工程量清单、工程招标控制价；审核工程变更及现场签证（工程量确认、造价核定）；建材材料、设备价格咨询确定；各类款项及工程经济签证等审核；竣工结算审核；从工程招标阶段、项目建设期间到竣工结算阶段的全过程造价监控和造价控制等造价咨询服务，</w:t>
            </w:r>
            <w:r>
              <w:rPr>
                <w:rFonts w:hint="eastAsia" w:cs="宋体"/>
                <w:i w:val="0"/>
                <w:iCs w:val="0"/>
                <w:color w:val="FF0000"/>
                <w:sz w:val="24"/>
                <w:szCs w:val="24"/>
                <w:highlight w:val="none"/>
                <w:lang w:val="hr-HR" w:eastAsia="zh-CN"/>
              </w:rPr>
              <w:t>项目安排采用竞争性机制，按照为医院建设项目提供服务质量的高低来安排。</w:t>
            </w:r>
          </w:p>
        </w:tc>
        <w:tc>
          <w:tcPr>
            <w:tcW w:w="891" w:type="dxa"/>
            <w:noWrap w:val="0"/>
            <w:vAlign w:val="center"/>
          </w:tcPr>
          <w:p w14:paraId="39CC07CF">
            <w:pPr>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1</w:t>
            </w:r>
          </w:p>
        </w:tc>
      </w:tr>
    </w:tbl>
    <w:p w14:paraId="6D523F8D">
      <w:pPr>
        <w:pStyle w:val="36"/>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i w:val="0"/>
          <w:iCs w:val="0"/>
          <w:snapToGrid w:val="0"/>
          <w:color w:val="auto"/>
          <w:sz w:val="24"/>
          <w:szCs w:val="24"/>
          <w:highlight w:val="none"/>
          <w:lang w:val="en-US" w:eastAsia="zh-CN"/>
        </w:rPr>
      </w:pPr>
      <w:r>
        <w:rPr>
          <w:rFonts w:hint="eastAsia"/>
          <w:b/>
          <w:bCs/>
          <w:i w:val="0"/>
          <w:iCs w:val="0"/>
          <w:snapToGrid w:val="0"/>
          <w:color w:val="auto"/>
          <w:sz w:val="24"/>
          <w:szCs w:val="24"/>
          <w:highlight w:val="none"/>
          <w:lang w:val="en-US" w:eastAsia="zh-CN"/>
        </w:rPr>
        <w:t>二、商务要求</w:t>
      </w:r>
    </w:p>
    <w:p w14:paraId="4696A7B9">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color w:val="auto"/>
          <w:sz w:val="24"/>
          <w:szCs w:val="24"/>
          <w:highlight w:val="none"/>
        </w:rPr>
        <w:t>★</w:t>
      </w:r>
      <w:r>
        <w:rPr>
          <w:rFonts w:hint="default"/>
          <w:i w:val="0"/>
          <w:iCs w:val="0"/>
          <w:snapToGrid w:val="0"/>
          <w:color w:val="auto"/>
          <w:sz w:val="24"/>
          <w:szCs w:val="24"/>
          <w:highlight w:val="none"/>
          <w:lang w:val="en-US" w:eastAsia="zh-CN"/>
        </w:rPr>
        <w:t>1.</w:t>
      </w:r>
      <w:r>
        <w:rPr>
          <w:rFonts w:hint="eastAsia"/>
          <w:i w:val="0"/>
          <w:iCs w:val="0"/>
          <w:snapToGrid w:val="0"/>
          <w:color w:val="auto"/>
          <w:sz w:val="24"/>
          <w:szCs w:val="24"/>
          <w:highlight w:val="none"/>
          <w:lang w:val="en-US" w:eastAsia="zh-CN"/>
        </w:rPr>
        <w:t>服务期限：</w:t>
      </w:r>
      <w:r>
        <w:rPr>
          <w:rFonts w:hint="eastAsia" w:ascii="宋体" w:hAnsi="宋体" w:eastAsia="宋体" w:cs="宋体"/>
          <w:i w:val="0"/>
          <w:iCs w:val="0"/>
          <w:color w:val="auto"/>
          <w:sz w:val="24"/>
          <w:szCs w:val="24"/>
          <w:highlight w:val="none"/>
          <w:u w:val="single"/>
        </w:rPr>
        <w:t xml:space="preserve"> 服务期限为3年，合同一年一签，年度考核经相关使用部门评价，成绩合格方可续签下一年合同</w:t>
      </w:r>
      <w:r>
        <w:rPr>
          <w:rFonts w:hint="eastAsia" w:cs="宋体"/>
          <w:i w:val="0"/>
          <w:iCs w:val="0"/>
          <w:color w:val="auto"/>
          <w:sz w:val="24"/>
          <w:szCs w:val="24"/>
          <w:highlight w:val="none"/>
          <w:u w:val="single"/>
          <w:lang w:eastAsia="zh-CN"/>
        </w:rPr>
        <w:t>。</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    </w:t>
      </w:r>
      <w:r>
        <w:rPr>
          <w:rFonts w:hint="eastAsia"/>
          <w:color w:val="auto"/>
          <w:sz w:val="24"/>
          <w:szCs w:val="24"/>
          <w:highlight w:val="none"/>
        </w:rPr>
        <w:t>★</w:t>
      </w:r>
      <w:r>
        <w:rPr>
          <w:rFonts w:hint="default"/>
          <w:i w:val="0"/>
          <w:iCs w:val="0"/>
          <w:snapToGrid w:val="0"/>
          <w:color w:val="auto"/>
          <w:sz w:val="24"/>
          <w:szCs w:val="24"/>
          <w:highlight w:val="none"/>
          <w:lang w:val="en-US" w:eastAsia="zh-CN"/>
        </w:rPr>
        <w:t>2.</w:t>
      </w:r>
      <w:r>
        <w:rPr>
          <w:rFonts w:hint="eastAsia"/>
          <w:i w:val="0"/>
          <w:iCs w:val="0"/>
          <w:snapToGrid w:val="0"/>
          <w:color w:val="auto"/>
          <w:sz w:val="24"/>
          <w:szCs w:val="24"/>
          <w:highlight w:val="none"/>
          <w:lang w:val="en-US" w:eastAsia="zh-CN"/>
        </w:rPr>
        <w:t>付款条件：</w:t>
      </w:r>
      <w:r>
        <w:rPr>
          <w:rFonts w:hint="eastAsia"/>
          <w:i w:val="0"/>
          <w:iCs w:val="0"/>
          <w:snapToGrid w:val="0"/>
          <w:color w:val="auto"/>
          <w:sz w:val="24"/>
          <w:szCs w:val="24"/>
          <w:highlight w:val="none"/>
          <w:u w:val="single"/>
          <w:lang w:val="en-US" w:eastAsia="zh-CN"/>
        </w:rPr>
        <w:t xml:space="preserve"> 依据中标结果结合实际完成项目计算咨询费用，每半年支付一次造价咨询费。</w:t>
      </w:r>
    </w:p>
    <w:p w14:paraId="053D4F60">
      <w:pPr>
        <w:pStyle w:val="36"/>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default"/>
          <w:i w:val="0"/>
          <w:iCs w:val="0"/>
          <w:snapToGrid w:val="0"/>
          <w:color w:val="auto"/>
          <w:sz w:val="24"/>
          <w:szCs w:val="24"/>
          <w:highlight w:val="none"/>
          <w:lang w:val="en-US" w:eastAsia="zh-CN"/>
        </w:rPr>
        <w:t>服务地点：</w:t>
      </w:r>
      <w:r>
        <w:rPr>
          <w:rFonts w:hint="eastAsia"/>
          <w:i w:val="0"/>
          <w:iCs w:val="0"/>
          <w:snapToGrid w:val="0"/>
          <w:color w:val="auto"/>
          <w:sz w:val="24"/>
          <w:szCs w:val="24"/>
          <w:highlight w:val="none"/>
          <w:lang w:val="en-US" w:eastAsia="zh-CN"/>
        </w:rPr>
        <w:t>新疆医科大学第一附属医院</w:t>
      </w:r>
    </w:p>
    <w:p w14:paraId="3F90EB44">
      <w:pPr>
        <w:pStyle w:val="36"/>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i w:val="0"/>
          <w:iCs w:val="0"/>
          <w:snapToGrid w:val="0"/>
          <w:color w:val="auto"/>
          <w:sz w:val="24"/>
          <w:szCs w:val="24"/>
          <w:highlight w:val="none"/>
          <w:lang w:val="en-US" w:eastAsia="zh-CN"/>
        </w:rPr>
      </w:pPr>
      <w:r>
        <w:rPr>
          <w:rFonts w:hint="eastAsia"/>
          <w:b/>
          <w:bCs/>
          <w:i w:val="0"/>
          <w:iCs w:val="0"/>
          <w:snapToGrid w:val="0"/>
          <w:color w:val="auto"/>
          <w:sz w:val="24"/>
          <w:szCs w:val="24"/>
          <w:highlight w:val="none"/>
          <w:lang w:val="en-US" w:eastAsia="zh-CN"/>
        </w:rPr>
        <w:t>三、技术要求</w:t>
      </w:r>
    </w:p>
    <w:p w14:paraId="7C4D5475">
      <w:pPr>
        <w:keepNext w:val="0"/>
        <w:keepLines w:val="0"/>
        <w:pageBreakBefore w:val="0"/>
        <w:widowControl/>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1.招标范围</w:t>
      </w:r>
    </w:p>
    <w:p w14:paraId="7E94A254">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本项目总预算150万元/年，分为两个标包。</w:t>
      </w:r>
    </w:p>
    <w:p w14:paraId="38E597A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60" w:lineRule="exact"/>
        <w:ind w:leftChars="20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2.工作内容：</w:t>
      </w:r>
    </w:p>
    <w:p w14:paraId="7A222B2D">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编制工程量清单、工程招标控制价；审核工程变更及现场签证（工程量确认、造价核定）；建材材料、设备价格咨询确定；各类款项及工程经济签证等审核；竣工结算审核；从工程招标阶段、项目建设期间到竣工结算阶段的全过程造价监控和造价控制等造价咨询服务。</w:t>
      </w:r>
    </w:p>
    <w:p w14:paraId="1A9E487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60" w:lineRule="exact"/>
        <w:ind w:leftChars="20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3.报价方式</w:t>
      </w:r>
    </w:p>
    <w:p w14:paraId="5F3CA50C">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（1）工程项目造价费最高限价：</w:t>
      </w:r>
      <w:r>
        <w:rPr>
          <w:rFonts w:ascii="宋体" w:hAnsi="宋体" w:eastAsia="宋体" w:cs="宋体"/>
          <w:sz w:val="24"/>
          <w:szCs w:val="24"/>
          <w:highlight w:val="none"/>
        </w:rPr>
        <w:t>按中价协【2013】35号文规定的《建筑工程造价咨询收费基准价》收费标准，下浮不得低于50%（含50%）。</w:t>
      </w:r>
    </w:p>
    <w:p w14:paraId="1D43418E">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（2）本项目投标报价为费率包干；</w:t>
      </w:r>
    </w:p>
    <w:p w14:paraId="596C3A2B">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（3）投标人在投标总价包括如下内容：</w:t>
      </w:r>
    </w:p>
    <w:p w14:paraId="782A7F8E">
      <w:pPr>
        <w:keepNext w:val="0"/>
        <w:keepLines w:val="0"/>
        <w:pageBreakBefore w:val="0"/>
        <w:widowControl/>
        <w:kinsoku/>
        <w:wordWrap/>
        <w:overflowPunct/>
        <w:topLinePunct w:val="0"/>
        <w:autoSpaceDE/>
        <w:autoSpaceDN/>
        <w:bidi w:val="0"/>
        <w:adjustRightInd w:val="0"/>
        <w:snapToGrid w:val="0"/>
        <w:spacing w:line="560" w:lineRule="exact"/>
        <w:ind w:left="0" w:leftChars="0" w:firstLine="720" w:firstLineChars="3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1）为满足招标范围内的所有服务，其投入设备、劳务、管理、材料、维护、保险、政策性文件规定及合同包含的所有风险、责任、税金等各项费用；</w:t>
      </w:r>
    </w:p>
    <w:p w14:paraId="1A116B94">
      <w:pPr>
        <w:keepNext w:val="0"/>
        <w:keepLines w:val="0"/>
        <w:pageBreakBefore w:val="0"/>
        <w:widowControl/>
        <w:kinsoku/>
        <w:wordWrap/>
        <w:overflowPunct/>
        <w:topLinePunct w:val="0"/>
        <w:autoSpaceDE/>
        <w:autoSpaceDN/>
        <w:bidi w:val="0"/>
        <w:adjustRightInd w:val="0"/>
        <w:snapToGrid w:val="0"/>
        <w:spacing w:line="560" w:lineRule="exact"/>
        <w:ind w:left="0" w:leftChars="0" w:firstLine="720" w:firstLineChars="3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2）为满足招标范围内的服务，投标方所进行的外联、协调工作及其发生的所有附加费用；</w:t>
      </w:r>
    </w:p>
    <w:p w14:paraId="1C767DEE">
      <w:pPr>
        <w:keepNext w:val="0"/>
        <w:keepLines w:val="0"/>
        <w:pageBreakBefore w:val="0"/>
        <w:widowControl/>
        <w:kinsoku/>
        <w:wordWrap/>
        <w:overflowPunct/>
        <w:topLinePunct w:val="0"/>
        <w:autoSpaceDE/>
        <w:autoSpaceDN/>
        <w:bidi w:val="0"/>
        <w:adjustRightInd w:val="0"/>
        <w:snapToGrid w:val="0"/>
        <w:spacing w:line="560" w:lineRule="exact"/>
        <w:ind w:left="0" w:leftChars="0" w:firstLine="720" w:firstLineChars="3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3）在服务过程中出现赶工等特殊因素，造价人员必须加班或委托方要求加班的费用以及所产生的所有费用。</w:t>
      </w:r>
    </w:p>
    <w:p w14:paraId="45C7DF0B">
      <w:pPr>
        <w:pStyle w:val="2"/>
        <w:rPr>
          <w:rFonts w:hint="default"/>
          <w:b/>
          <w:bCs/>
          <w:highlight w:val="none"/>
          <w:lang w:val="en-US" w:eastAsia="zh-CN"/>
        </w:rPr>
      </w:pPr>
      <w:r>
        <w:rPr>
          <w:rFonts w:hint="eastAsia"/>
          <w:b/>
          <w:bCs/>
          <w:highlight w:val="none"/>
          <w:lang w:val="en-US" w:eastAsia="zh-CN"/>
        </w:rPr>
        <w:t>★（4）为统一收费标准，中标服务商需同意以2个标包中标服务商的报价最低值作为本次中标的所有服务商的统一收费标准，需出具书面承诺函，否则视为自动放弃中标资格。</w:t>
      </w:r>
    </w:p>
    <w:p w14:paraId="0FA2FD7A">
      <w:pPr>
        <w:keepNext w:val="0"/>
        <w:keepLines w:val="0"/>
        <w:pageBreakBefore w:val="0"/>
        <w:widowControl/>
        <w:kinsoku/>
        <w:wordWrap/>
        <w:overflowPunct/>
        <w:topLinePunct w:val="0"/>
        <w:autoSpaceDE/>
        <w:autoSpaceDN/>
        <w:bidi w:val="0"/>
        <w:adjustRightInd w:val="0"/>
        <w:snapToGrid w:val="0"/>
        <w:spacing w:line="560" w:lineRule="exact"/>
        <w:ind w:left="0" w:firstLine="482" w:firstLineChars="20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4.付款方式</w:t>
      </w:r>
    </w:p>
    <w:p w14:paraId="581AAD47">
      <w:pPr>
        <w:keepNext w:val="0"/>
        <w:keepLines w:val="0"/>
        <w:pageBreakBefore w:val="0"/>
        <w:widowControl/>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依据中标结果结合实际完成项目计算咨询费用，每半年支付一次造价咨询费。</w:t>
      </w:r>
    </w:p>
    <w:p w14:paraId="7FEA822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 xml:space="preserve">   5.服务期限：</w:t>
      </w:r>
    </w:p>
    <w:p w14:paraId="510560DB">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bidi="ar-SA"/>
        </w:rPr>
        <w:t>服务期限为</w:t>
      </w:r>
      <w:r>
        <w:rPr>
          <w:rFonts w:hint="eastAsia" w:ascii="宋体" w:hAnsi="宋体" w:eastAsia="宋体" w:cs="宋体"/>
          <w:sz w:val="24"/>
          <w:szCs w:val="24"/>
          <w:highlight w:val="none"/>
          <w:lang w:val="en-US" w:eastAsia="zh-CN" w:bidi="ar-SA"/>
        </w:rPr>
        <w:t>3</w:t>
      </w:r>
      <w:r>
        <w:rPr>
          <w:rFonts w:hint="eastAsia" w:ascii="宋体" w:hAnsi="宋体" w:eastAsia="宋体" w:cs="宋体"/>
          <w:sz w:val="24"/>
          <w:szCs w:val="24"/>
          <w:highlight w:val="none"/>
          <w:lang w:bidi="ar-SA"/>
        </w:rPr>
        <w:t>年</w:t>
      </w:r>
      <w:r>
        <w:rPr>
          <w:rFonts w:hint="eastAsia" w:ascii="宋体" w:hAnsi="宋体" w:eastAsia="宋体" w:cs="宋体"/>
          <w:sz w:val="24"/>
          <w:szCs w:val="24"/>
          <w:highlight w:val="none"/>
          <w:lang w:eastAsia="zh-CN" w:bidi="ar-SA"/>
        </w:rPr>
        <w:t>，</w:t>
      </w:r>
      <w:r>
        <w:rPr>
          <w:rFonts w:hint="eastAsia" w:ascii="宋体" w:hAnsi="宋体" w:eastAsia="宋体" w:cs="宋体"/>
          <w:sz w:val="24"/>
          <w:szCs w:val="24"/>
          <w:highlight w:val="none"/>
          <w:lang w:val="en-US" w:eastAsia="zh-CN" w:bidi="ar-SA"/>
        </w:rPr>
        <w:t>合同一年一签，年度考核经相关使用部门评价，成绩合格方可续签下一年合同；</w:t>
      </w:r>
    </w:p>
    <w:p w14:paraId="01564E7C">
      <w:pPr>
        <w:keepNext w:val="0"/>
        <w:keepLines w:val="0"/>
        <w:pageBreakBefore w:val="0"/>
        <w:widowControl/>
        <w:kinsoku/>
        <w:wordWrap/>
        <w:overflowPunct/>
        <w:topLinePunct w:val="0"/>
        <w:autoSpaceDE/>
        <w:autoSpaceDN/>
        <w:bidi w:val="0"/>
        <w:adjustRightInd w:val="0"/>
        <w:snapToGrid w:val="0"/>
        <w:spacing w:line="560" w:lineRule="exact"/>
        <w:ind w:left="0" w:firstLine="482" w:firstLineChars="20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6.工作要求</w:t>
      </w:r>
    </w:p>
    <w:p w14:paraId="0C8A7163">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eastAsia="zh-CN" w:bidi="ar-SA"/>
        </w:rPr>
      </w:pPr>
      <w:r>
        <w:rPr>
          <w:rFonts w:hint="eastAsia" w:ascii="宋体" w:hAnsi="宋体" w:eastAsia="宋体" w:cs="宋体"/>
          <w:sz w:val="24"/>
          <w:szCs w:val="24"/>
          <w:highlight w:val="none"/>
          <w:lang w:val="en-US" w:eastAsia="zh-CN" w:bidi="ar-SA"/>
        </w:rPr>
        <w:t>（1）中选</w:t>
      </w:r>
      <w:r>
        <w:rPr>
          <w:rFonts w:hint="eastAsia" w:ascii="宋体" w:hAnsi="宋体" w:eastAsia="宋体" w:cs="宋体"/>
          <w:sz w:val="24"/>
          <w:szCs w:val="24"/>
          <w:highlight w:val="none"/>
          <w:lang w:eastAsia="zh-CN" w:bidi="ar-SA"/>
        </w:rPr>
        <w:t>的中介机构</w:t>
      </w:r>
      <w:r>
        <w:rPr>
          <w:rFonts w:hint="eastAsia" w:ascii="宋体" w:hAnsi="宋体" w:eastAsia="宋体" w:cs="宋体"/>
          <w:sz w:val="24"/>
          <w:szCs w:val="24"/>
          <w:highlight w:val="none"/>
          <w:lang w:bidi="ar-SA"/>
        </w:rPr>
        <w:t>应提供承诺</w:t>
      </w:r>
      <w:r>
        <w:rPr>
          <w:rFonts w:hint="eastAsia" w:ascii="宋体" w:hAnsi="宋体" w:eastAsia="宋体" w:cs="宋体"/>
          <w:sz w:val="24"/>
          <w:szCs w:val="24"/>
          <w:highlight w:val="none"/>
          <w:lang w:val="en-US" w:eastAsia="zh-CN" w:bidi="ar-SA"/>
        </w:rPr>
        <w:t>保证</w:t>
      </w:r>
      <w:r>
        <w:rPr>
          <w:rFonts w:hint="eastAsia" w:ascii="宋体" w:hAnsi="宋体" w:eastAsia="宋体" w:cs="宋体"/>
          <w:sz w:val="24"/>
          <w:szCs w:val="24"/>
          <w:highlight w:val="none"/>
          <w:lang w:bidi="ar-SA"/>
        </w:rPr>
        <w:t>服务单位的</w:t>
      </w:r>
      <w:r>
        <w:rPr>
          <w:rFonts w:hint="eastAsia" w:ascii="宋体" w:hAnsi="宋体" w:eastAsia="宋体" w:cs="宋体"/>
          <w:sz w:val="24"/>
          <w:szCs w:val="24"/>
          <w:highlight w:val="none"/>
          <w:lang w:eastAsia="zh-CN" w:bidi="ar-SA"/>
        </w:rPr>
        <w:t>审计情况和结果，</w:t>
      </w:r>
      <w:r>
        <w:rPr>
          <w:rFonts w:hint="eastAsia" w:ascii="宋体" w:hAnsi="宋体" w:eastAsia="宋体" w:cs="宋体"/>
          <w:sz w:val="24"/>
          <w:szCs w:val="24"/>
          <w:highlight w:val="none"/>
          <w:lang w:bidi="ar-SA"/>
        </w:rPr>
        <w:t>不得转包或由其他中介组织承担部分</w:t>
      </w:r>
      <w:r>
        <w:rPr>
          <w:rFonts w:hint="eastAsia" w:ascii="宋体" w:hAnsi="宋体" w:eastAsia="宋体" w:cs="宋体"/>
          <w:sz w:val="24"/>
          <w:szCs w:val="24"/>
          <w:highlight w:val="none"/>
          <w:lang w:bidi="ar-SA"/>
        </w:rPr>
        <w:fldChar w:fldCharType="begin"/>
      </w:r>
      <w:r>
        <w:rPr>
          <w:rFonts w:hint="eastAsia" w:ascii="宋体" w:hAnsi="宋体" w:eastAsia="宋体" w:cs="宋体"/>
          <w:sz w:val="24"/>
          <w:szCs w:val="24"/>
          <w:highlight w:val="none"/>
          <w:lang w:bidi="ar-SA"/>
        </w:rPr>
        <w:instrText xml:space="preserve">HYPERLINK "http://cpro.baidu.com/cpro/ui/uijs.php?c=news&amp;cf=1001&amp;ch=0&amp;di=128&amp;fv=11&amp;jk=4e1bbf96a3466151&amp;k=%C9%F3%BC%C6%B9%A4%D7%F7&amp;k0=%C9%F3%BC%C6%B9%A4%D7%F7&amp;kdi0=0&amp;luki=4&amp;n=10&amp;p=baidu&amp;q=liucheng8880_cpr&amp;rb=0&amp;rs=1&amp;seller_id=1&amp;sid=516146a396bf1b4e&amp;ssp2=1&amp;stid=0&amp;t=tpclicked3_hc&amp;tu=u1937732&amp;u=http%3A%2F%2Fwww%2Ebidcenter%2Ecom%2Ecn%2Fnewscontent%2D15824781%2D1%2Ehtml&amp;urlid=0"</w:instrText>
      </w:r>
      <w:r>
        <w:rPr>
          <w:rFonts w:hint="eastAsia" w:ascii="宋体" w:hAnsi="宋体" w:eastAsia="宋体" w:cs="宋体"/>
          <w:sz w:val="24"/>
          <w:szCs w:val="24"/>
          <w:highlight w:val="none"/>
          <w:lang w:bidi="ar-SA"/>
        </w:rPr>
        <w:fldChar w:fldCharType="separate"/>
      </w:r>
      <w:r>
        <w:rPr>
          <w:rFonts w:hint="eastAsia" w:ascii="宋体" w:hAnsi="宋体" w:eastAsia="宋体" w:cs="宋体"/>
          <w:sz w:val="24"/>
          <w:szCs w:val="24"/>
          <w:highlight w:val="none"/>
          <w:lang w:bidi="ar-SA"/>
        </w:rPr>
        <w:t>审计工作</w:t>
      </w:r>
      <w:r>
        <w:rPr>
          <w:rFonts w:hint="eastAsia" w:ascii="宋体" w:hAnsi="宋体" w:eastAsia="宋体" w:cs="宋体"/>
          <w:sz w:val="24"/>
          <w:szCs w:val="24"/>
          <w:highlight w:val="none"/>
          <w:lang w:eastAsia="zh-CN" w:bidi="ar-SA"/>
        </w:rPr>
        <w:fldChar w:fldCharType="end"/>
      </w:r>
      <w:r>
        <w:rPr>
          <w:rFonts w:hint="eastAsia" w:ascii="宋体" w:hAnsi="宋体" w:eastAsia="宋体" w:cs="宋体"/>
          <w:sz w:val="24"/>
          <w:szCs w:val="24"/>
          <w:highlight w:val="none"/>
          <w:lang w:eastAsia="zh-CN" w:bidi="ar-SA"/>
        </w:rPr>
        <w:t>；</w:t>
      </w:r>
    </w:p>
    <w:p w14:paraId="3AF75F60">
      <w:pPr>
        <w:keepNext w:val="0"/>
        <w:keepLines/>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（2）中选的中介机构选派的项目负责人</w:t>
      </w:r>
      <w:r>
        <w:rPr>
          <w:rFonts w:hint="eastAsia" w:ascii="宋体" w:hAnsi="宋体" w:eastAsia="宋体" w:cs="宋体"/>
          <w:sz w:val="24"/>
          <w:szCs w:val="24"/>
          <w:highlight w:val="none"/>
          <w:lang w:eastAsia="zh-CN" w:bidi="ar-SA"/>
        </w:rPr>
        <w:t>应具有造价工程师执业资格，</w:t>
      </w:r>
      <w:r>
        <w:rPr>
          <w:rFonts w:hint="eastAsia" w:ascii="宋体" w:hAnsi="宋体" w:eastAsia="宋体" w:cs="宋体"/>
          <w:sz w:val="24"/>
          <w:szCs w:val="24"/>
          <w:highlight w:val="none"/>
          <w:lang w:val="en-US" w:eastAsia="zh-CN" w:bidi="ar-SA"/>
        </w:rPr>
        <w:t>工作年限在八年以上，</w:t>
      </w:r>
      <w:r>
        <w:rPr>
          <w:rFonts w:hint="eastAsia" w:ascii="宋体" w:hAnsi="宋体" w:eastAsia="宋体" w:cs="宋体"/>
          <w:sz w:val="24"/>
          <w:szCs w:val="24"/>
          <w:highlight w:val="none"/>
          <w:lang w:eastAsia="zh-CN" w:bidi="ar-SA"/>
        </w:rPr>
        <w:t>且相对固定；必须</w:t>
      </w:r>
      <w:r>
        <w:rPr>
          <w:rFonts w:hint="eastAsia" w:ascii="宋体" w:hAnsi="宋体" w:eastAsia="宋体" w:cs="宋体"/>
          <w:sz w:val="24"/>
          <w:szCs w:val="24"/>
          <w:highlight w:val="none"/>
          <w:lang w:val="en-US" w:eastAsia="zh-CN" w:bidi="ar-SA"/>
        </w:rPr>
        <w:t>参加甲方涉及工程造价等的所有会议，提供建材价格信息咨询确定；</w:t>
      </w:r>
    </w:p>
    <w:p w14:paraId="7EF667FD">
      <w:pPr>
        <w:keepNext w:val="0"/>
        <w:keepLines/>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（3）中选的中介机构选派的团队要求土建、信息工程等专业人员配套齐全，能充分满足工程项目对专业的要求，且团队里90%及以上人员有注册类执业资格。</w:t>
      </w:r>
    </w:p>
    <w:p w14:paraId="4C38AEA0">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（4）如出现较大工作失误或失误三次及以上者，委托单位有权提交造价、招标主管单位予以通报并解除合同。</w:t>
      </w:r>
    </w:p>
    <w:p w14:paraId="0CE7F38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480" w:leftChars="0"/>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7.其他要求</w:t>
      </w:r>
    </w:p>
    <w:p w14:paraId="700A417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（1）建设工程造价咨询服务</w:t>
      </w:r>
      <w:r>
        <w:rPr>
          <w:rFonts w:hint="eastAsia" w:ascii="宋体" w:hAnsi="宋体" w:eastAsia="宋体" w:cs="宋体"/>
          <w:sz w:val="24"/>
          <w:szCs w:val="24"/>
          <w:highlight w:val="none"/>
          <w:lang w:val="en-US" w:eastAsia="zh-CN" w:bidi="ar-SA"/>
        </w:rPr>
        <w:t>（标包1）与建设工程造价咨询服务（标包2）供应商兼投不兼中；</w:t>
      </w:r>
    </w:p>
    <w:p w14:paraId="63C453C0">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（2）为保证各个标项服务的质量，本项目同一投标人中标标包不得超过一个。</w:t>
      </w:r>
    </w:p>
    <w:p w14:paraId="0D7CC6F0">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（3）项目评审时按标包顺序依次开展评审。</w:t>
      </w:r>
    </w:p>
    <w:p w14:paraId="5FCA82FA">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6331B10">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609CA1C">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bookmarkEnd w:id="404"/>
    <w:bookmarkEnd w:id="405"/>
    <w:bookmarkEnd w:id="406"/>
    <w:p w14:paraId="74DD1F63">
      <w:pPr>
        <w:rPr>
          <w:rFonts w:hint="eastAsia" w:ascii="宋体" w:hAnsi="宋体" w:eastAsia="宋体" w:cs="宋体"/>
          <w:b/>
          <w:bCs/>
          <w:i w:val="0"/>
          <w:iCs w:val="0"/>
          <w:color w:val="auto"/>
          <w:kern w:val="44"/>
          <w:sz w:val="36"/>
          <w:szCs w:val="36"/>
          <w:highlight w:val="none"/>
          <w:lang w:val="en-US" w:eastAsia="zh-CN" w:bidi="ar-SA"/>
        </w:rPr>
      </w:pPr>
      <w:bookmarkStart w:id="408" w:name="_Toc1935"/>
      <w:r>
        <w:rPr>
          <w:rFonts w:hint="eastAsia" w:ascii="宋体" w:hAnsi="宋体" w:eastAsia="宋体" w:cs="宋体"/>
          <w:b/>
          <w:bCs/>
          <w:i w:val="0"/>
          <w:iCs w:val="0"/>
          <w:color w:val="auto"/>
          <w:kern w:val="44"/>
          <w:sz w:val="36"/>
          <w:szCs w:val="36"/>
          <w:highlight w:val="none"/>
          <w:lang w:val="en-US" w:eastAsia="zh-CN" w:bidi="ar-SA"/>
        </w:rPr>
        <w:br w:type="page"/>
      </w:r>
    </w:p>
    <w:p w14:paraId="28FA2165">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07"/>
      <w:bookmarkEnd w:id="408"/>
    </w:p>
    <w:p w14:paraId="3C2D838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09" w:name="_Toc163493632"/>
      <w:bookmarkStart w:id="410" w:name="_Toc1780"/>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09"/>
      <w:bookmarkEnd w:id="410"/>
    </w:p>
    <w:p w14:paraId="53640E9C">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11" w:name="_Toc163493633"/>
      <w:bookmarkStart w:id="412" w:name="_Toc9851"/>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11"/>
      <w:bookmarkEnd w:id="412"/>
    </w:p>
    <w:p w14:paraId="25412360">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13"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13"/>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jc w:val="both"/>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24AD4304">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BB3FE29">
      <w:pPr>
        <w:pStyle w:val="36"/>
        <w:pageBreakBefore w:val="0"/>
        <w:kinsoku/>
        <w:overflowPunct/>
        <w:topLinePunct w:val="0"/>
        <w:autoSpaceDE/>
        <w:autoSpaceDN/>
        <w:bidi w:val="0"/>
        <w:spacing w:line="440" w:lineRule="exact"/>
        <w:ind w:firstLine="480"/>
        <w:jc w:val="both"/>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14" w:name="_Toc163493635"/>
      <w:bookmarkStart w:id="415" w:name="_Hlk158124046"/>
      <w:bookmarkStart w:id="416" w:name="_Toc102119879"/>
      <w:bookmarkStart w:id="417" w:name="_Toc102114946"/>
      <w:bookmarkStart w:id="418" w:name="_Toc102057744"/>
      <w:bookmarkStart w:id="419" w:name="_Toc102116048"/>
      <w:bookmarkStart w:id="420" w:name="_Toc102116178"/>
      <w:bookmarkStart w:id="421" w:name="_Toc102056244"/>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14"/>
    </w:p>
    <w:p w14:paraId="4E589A43">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5"/>
    <w:p w14:paraId="27E4E052">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22"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22"/>
    </w:p>
    <w:p w14:paraId="3B21DF86">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6"/>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7949909">
      <w:pPr>
        <w:pStyle w:val="36"/>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6"/>
        <w:pageBreakBefore w:val="0"/>
        <w:kinsoku/>
        <w:overflowPunct/>
        <w:topLinePunct w:val="0"/>
        <w:autoSpaceDE/>
        <w:autoSpaceDN/>
        <w:bidi w:val="0"/>
        <w:spacing w:line="440" w:lineRule="exact"/>
        <w:ind w:firstLine="480"/>
        <w:jc w:val="both"/>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6"/>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6"/>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6D13EF99">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C393493">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14751A39">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FF06AF5">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7677FB88">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F18F6F4">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1000B355">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19BB152">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jc w:val="both"/>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23" w:name="_Toc102114947"/>
      <w:bookmarkStart w:id="424" w:name="_Toc102056245"/>
      <w:bookmarkStart w:id="425" w:name="_Toc102116179"/>
      <w:bookmarkStart w:id="426" w:name="_Toc102057745"/>
      <w:bookmarkStart w:id="427" w:name="_Toc102116049"/>
      <w:bookmarkStart w:id="428" w:name="_Toc102119880"/>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16"/>
    <w:bookmarkEnd w:id="417"/>
    <w:bookmarkEnd w:id="418"/>
    <w:bookmarkEnd w:id="419"/>
    <w:bookmarkEnd w:id="420"/>
    <w:bookmarkEnd w:id="421"/>
    <w:bookmarkEnd w:id="423"/>
    <w:bookmarkEnd w:id="424"/>
    <w:bookmarkEnd w:id="425"/>
    <w:bookmarkEnd w:id="426"/>
    <w:bookmarkEnd w:id="427"/>
    <w:bookmarkEnd w:id="428"/>
    <w:p w14:paraId="11B2A5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29" w:name="_Toc102057747"/>
      <w:bookmarkStart w:id="430" w:name="_Toc102056247"/>
      <w:bookmarkStart w:id="431" w:name="_Toc102116051"/>
      <w:bookmarkStart w:id="432" w:name="_Toc102114949"/>
      <w:bookmarkStart w:id="433" w:name="_Toc102116181"/>
      <w:bookmarkStart w:id="434" w:name="_Toc102119882"/>
      <w:r>
        <w:rPr>
          <w:rFonts w:hint="eastAsia" w:ascii="宋体" w:hAnsi="宋体" w:eastAsia="宋体" w:cs="宋体"/>
          <w:b/>
          <w:bCs/>
          <w:i w:val="0"/>
          <w:iCs w:val="0"/>
          <w:color w:val="auto"/>
          <w:kern w:val="2"/>
          <w:sz w:val="24"/>
          <w:szCs w:val="24"/>
          <w:highlight w:val="none"/>
          <w:lang w:val="en-US" w:eastAsia="zh-CN" w:bidi="ar-SA"/>
        </w:rPr>
        <w:t>5.报价评</w:t>
      </w:r>
      <w:bookmarkEnd w:id="429"/>
      <w:bookmarkEnd w:id="430"/>
      <w:bookmarkEnd w:id="431"/>
      <w:bookmarkEnd w:id="432"/>
      <w:bookmarkEnd w:id="433"/>
      <w:bookmarkEnd w:id="434"/>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6"/>
        <w:pageBreakBefore w:val="0"/>
        <w:kinsoku/>
        <w:overflowPunct/>
        <w:topLinePunct w:val="0"/>
        <w:autoSpaceDE/>
        <w:autoSpaceDN/>
        <w:bidi w:val="0"/>
        <w:spacing w:line="440" w:lineRule="exact"/>
        <w:ind w:firstLine="480"/>
        <w:jc w:val="both"/>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color w:val="auto"/>
          <w:sz w:val="24"/>
          <w:szCs w:val="24"/>
          <w:highlight w:val="none"/>
          <w:lang w:val="en-US" w:eastAsia="zh-CN"/>
        </w:rPr>
        <w:t>.</w:t>
      </w:r>
      <w:r>
        <w:rPr>
          <w:rFonts w:hint="eastAsia"/>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zh-CN"/>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b/>
          <w:bCs/>
          <w:i w:val="0"/>
          <w:iCs w:val="0"/>
          <w:color w:val="auto"/>
          <w:highlight w:val="none"/>
          <w:lang w:val="zh-CN"/>
        </w:rPr>
        <w:t>5</w:t>
      </w:r>
      <w:r>
        <w:rPr>
          <w:b/>
          <w:bCs/>
          <w:i w:val="0"/>
          <w:iCs w:val="0"/>
          <w:color w:val="auto"/>
          <w:highlight w:val="none"/>
          <w:lang w:val="zh-CN"/>
        </w:rPr>
        <w:t>.</w:t>
      </w:r>
      <w:r>
        <w:rPr>
          <w:rFonts w:hint="eastAsia"/>
          <w:b/>
          <w:bCs/>
          <w:i w:val="0"/>
          <w:iCs w:val="0"/>
          <w:color w:val="auto"/>
          <w:highlight w:val="none"/>
          <w:lang w:val="en-US" w:eastAsia="zh-CN"/>
        </w:rPr>
        <w:t>3</w:t>
      </w:r>
      <w:r>
        <w:rPr>
          <w:rFonts w:hint="eastAsia"/>
          <w:b/>
          <w:bCs/>
          <w:i w:val="0"/>
          <w:iCs w:val="0"/>
          <w:color w:val="auto"/>
          <w:highlight w:val="none"/>
          <w:lang w:val="zh-CN"/>
        </w:rPr>
        <w:t>价格扣除：</w:t>
      </w:r>
      <w:r>
        <w:rPr>
          <w:i w:val="0"/>
          <w:iCs w:val="0"/>
          <w:color w:val="auto"/>
          <w:highlight w:val="none"/>
          <w:lang w:val="zh-CN"/>
        </w:rPr>
        <w:t xml:space="preserve"> </w:t>
      </w:r>
    </w:p>
    <w:p w14:paraId="1F4B5526">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72014FEF">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w:t>
      </w:r>
      <w:r>
        <w:rPr>
          <w:rFonts w:hint="default" w:ascii="宋体" w:hAnsi="宋体" w:eastAsia="宋体" w:cs="宋体"/>
          <w:color w:val="auto"/>
          <w:sz w:val="24"/>
          <w:szCs w:val="24"/>
          <w:highlight w:val="none"/>
          <w:lang w:val="en-US" w:eastAsia="zh-CN"/>
        </w:rPr>
        <w:t>之间存在直接控股、管理关系的，不享受价格扣除优惠政策。</w:t>
      </w:r>
    </w:p>
    <w:p w14:paraId="60984AA9">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19B743D0">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45EC7F77">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AF70487">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461A7491">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bookmarkStart w:id="435" w:name="_Toc102114951"/>
      <w:bookmarkStart w:id="436" w:name="_Toc102116053"/>
      <w:bookmarkStart w:id="437" w:name="_Toc102057749"/>
      <w:bookmarkStart w:id="438" w:name="_Toc102116183"/>
      <w:bookmarkStart w:id="439" w:name="_Toc102056249"/>
      <w:bookmarkStart w:id="440" w:name="_Toc102119884"/>
      <w:bookmarkStart w:id="441" w:name="_Toc102114952"/>
      <w:bookmarkStart w:id="442" w:name="_Toc102116184"/>
      <w:bookmarkStart w:id="443" w:name="_Toc102116054"/>
      <w:bookmarkStart w:id="444" w:name="_Toc102119885"/>
      <w:bookmarkStart w:id="445" w:name="_Toc102056250"/>
      <w:bookmarkStart w:id="446" w:name="_Toc102057750"/>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5供应商对其提供的产品出具《关于符合本国产品标准的声明函》（样式见附件1，以下简称《声明函》）或财政部会同有关部门规定的有关证明文件。出具符合要求的《声明函》或有关证明文件的，该产品视为本国产品。</w:t>
      </w:r>
    </w:p>
    <w:p w14:paraId="7352384E">
      <w:pPr>
        <w:pStyle w:val="36"/>
        <w:jc w:val="both"/>
        <w:rPr>
          <w:rFonts w:hint="eastAsia"/>
          <w:snapToGrid w:val="0"/>
          <w:color w:val="auto"/>
          <w:sz w:val="24"/>
          <w:highlight w:val="none"/>
          <w:lang w:val="en-US" w:eastAsia="zh-CN"/>
        </w:rPr>
      </w:pPr>
      <w:r>
        <w:rPr>
          <w:rFonts w:hint="eastAsia"/>
          <w:snapToGrid w:val="0"/>
          <w:color w:val="auto"/>
          <w:sz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96BE80">
      <w:pPr>
        <w:pStyle w:val="36"/>
        <w:jc w:val="both"/>
        <w:rPr>
          <w:rFonts w:hint="eastAsia" w:ascii="宋体" w:hAnsi="宋体" w:eastAsia="宋体" w:cs="宋体"/>
          <w:snapToGrid w:val="0"/>
          <w:color w:val="auto"/>
          <w:sz w:val="24"/>
          <w:szCs w:val="24"/>
          <w:highlight w:val="none"/>
          <w:lang w:val="en-US" w:eastAsia="zh-CN"/>
        </w:rPr>
      </w:pPr>
      <w:r>
        <w:rPr>
          <w:rFonts w:hint="eastAsia"/>
          <w:snapToGrid w:val="0"/>
          <w:color w:val="auto"/>
          <w:sz w:val="24"/>
          <w:highlight w:val="none"/>
          <w:lang w:val="en-US" w:eastAsia="zh-CN"/>
        </w:rPr>
        <w:t>5.6</w:t>
      </w:r>
      <w:r>
        <w:rPr>
          <w:rFonts w:hint="eastAsia" w:eastAsia="宋体"/>
          <w:snapToGrid w:val="0"/>
          <w:color w:val="auto"/>
          <w:sz w:val="24"/>
          <w:highlight w:val="none"/>
          <w:lang w:val="en-US" w:eastAsia="zh-CN"/>
        </w:rPr>
        <w:t>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B14449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FFBE21D">
      <w:pPr>
        <w:pStyle w:val="36"/>
        <w:jc w:val="both"/>
        <w:rPr>
          <w:rFonts w:hint="eastAsia"/>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8对于仅有本国产品参与竞争的政府采购项目，本国产品不享受价格扣除评审优惠。</w:t>
      </w:r>
    </w:p>
    <w:p w14:paraId="338BD690">
      <w:pPr>
        <w:pStyle w:val="36"/>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5.9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FFA9165">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B0E756">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6.计分办法</w:t>
      </w:r>
      <w:bookmarkEnd w:id="435"/>
      <w:bookmarkEnd w:id="436"/>
      <w:bookmarkEnd w:id="437"/>
      <w:bookmarkEnd w:id="438"/>
      <w:bookmarkEnd w:id="439"/>
      <w:bookmarkEnd w:id="440"/>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6"/>
        <w:pageBreakBefore w:val="0"/>
        <w:kinsoku/>
        <w:overflowPunct/>
        <w:topLinePunct w:val="0"/>
        <w:autoSpaceDE/>
        <w:autoSpaceDN/>
        <w:bidi w:val="0"/>
        <w:spacing w:line="440" w:lineRule="exact"/>
        <w:ind w:firstLine="480"/>
        <w:jc w:val="both"/>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D7F6459">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6"/>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74DEA290">
      <w:pPr>
        <w:pStyle w:val="36"/>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2F62B6F">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02EAA79">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E569905">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C6015B1">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0EFF5F9B">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1F8EBB8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41"/>
      <w:bookmarkEnd w:id="442"/>
      <w:bookmarkEnd w:id="443"/>
      <w:bookmarkEnd w:id="444"/>
      <w:bookmarkEnd w:id="445"/>
      <w:bookmarkEnd w:id="446"/>
    </w:p>
    <w:p w14:paraId="3341BC5C">
      <w:pPr>
        <w:pStyle w:val="36"/>
        <w:pageBreakBefore w:val="0"/>
        <w:kinsoku/>
        <w:overflowPunct/>
        <w:topLinePunct w:val="0"/>
        <w:autoSpaceDE/>
        <w:autoSpaceDN/>
        <w:bidi w:val="0"/>
        <w:spacing w:line="440" w:lineRule="exact"/>
        <w:ind w:firstLine="480"/>
        <w:jc w:val="both"/>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7318A62">
      <w:pPr>
        <w:pStyle w:val="36"/>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6"/>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6"/>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6"/>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47" w:name="_Toc102114920"/>
      <w:bookmarkStart w:id="448" w:name="_Toc102057718"/>
      <w:bookmarkStart w:id="449" w:name="_Toc102116152"/>
      <w:bookmarkStart w:id="450" w:name="_Toc102056218"/>
      <w:bookmarkStart w:id="451" w:name="_Toc102116022"/>
      <w:bookmarkStart w:id="452" w:name="_Toc102119853"/>
      <w:r>
        <w:rPr>
          <w:rFonts w:hint="eastAsia" w:ascii="宋体" w:hAnsi="宋体" w:eastAsia="宋体" w:cs="宋体"/>
          <w:b/>
          <w:bCs/>
          <w:i w:val="0"/>
          <w:iCs w:val="0"/>
          <w:color w:val="auto"/>
          <w:kern w:val="2"/>
          <w:sz w:val="24"/>
          <w:szCs w:val="24"/>
          <w:highlight w:val="none"/>
          <w:lang w:val="en-US" w:eastAsia="zh-CN" w:bidi="ar-SA"/>
        </w:rPr>
        <w:t>9.停止评审的情形</w:t>
      </w:r>
      <w:bookmarkEnd w:id="447"/>
      <w:bookmarkEnd w:id="448"/>
      <w:bookmarkEnd w:id="449"/>
      <w:bookmarkEnd w:id="450"/>
      <w:bookmarkEnd w:id="451"/>
      <w:bookmarkEnd w:id="452"/>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default"/>
          <w:i w:val="0"/>
          <w:iCs w:val="0"/>
          <w:color w:val="auto"/>
          <w:sz w:val="28"/>
          <w:szCs w:val="28"/>
          <w:highlight w:val="none"/>
          <w:lang w:val="en-US" w:eastAsia="zh-CN"/>
        </w:rPr>
      </w:pPr>
      <w:bookmarkStart w:id="453" w:name="_Toc17459"/>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53"/>
    </w:p>
    <w:p w14:paraId="39271C08">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9" w:leftChars="91" w:hanging="211" w:hangingChars="75"/>
        <w:textAlignment w:val="auto"/>
        <w:rPr>
          <w:rFonts w:hint="eastAsia"/>
          <w:i w:val="0"/>
          <w:iCs w:val="0"/>
          <w:color w:val="auto"/>
          <w:sz w:val="28"/>
          <w:szCs w:val="28"/>
          <w:highlight w:val="none"/>
          <w:lang w:val="en-US" w:eastAsia="zh-CN"/>
        </w:rPr>
      </w:pPr>
      <w:bookmarkStart w:id="454" w:name="_Toc13780"/>
      <w:r>
        <w:rPr>
          <w:rFonts w:hint="eastAsia"/>
          <w:i w:val="0"/>
          <w:iCs w:val="0"/>
          <w:color w:val="auto"/>
          <w:sz w:val="28"/>
          <w:szCs w:val="28"/>
          <w:highlight w:val="none"/>
          <w:lang w:val="en-US" w:eastAsia="zh-CN"/>
        </w:rPr>
        <w:t>/</w:t>
      </w:r>
    </w:p>
    <w:p w14:paraId="7DAD1ED7">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54"/>
    </w:p>
    <w:p w14:paraId="79FEBCCF">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55"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55"/>
    </w:p>
    <w:tbl>
      <w:tblPr>
        <w:tblStyle w:val="30"/>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820"/>
        <w:gridCol w:w="1645"/>
        <w:gridCol w:w="5545"/>
        <w:gridCol w:w="1355"/>
      </w:tblGrid>
      <w:tr w14:paraId="4541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0" w:type="dxa"/>
            <w:shd w:val="clear" w:color="auto" w:fill="auto"/>
            <w:vAlign w:val="center"/>
          </w:tcPr>
          <w:p w14:paraId="6EA8B30A">
            <w:pPr>
              <w:pStyle w:val="47"/>
              <w:spacing w:line="240" w:lineRule="auto"/>
              <w:jc w:val="center"/>
              <w:rPr>
                <w:rFonts w:hint="eastAsia" w:ascii="宋体" w:hAnsi="宋体" w:eastAsia="宋体" w:cs="宋体"/>
                <w:b/>
                <w:bCs/>
                <w:i w:val="0"/>
                <w:iCs w:val="0"/>
                <w:color w:val="auto"/>
                <w:sz w:val="21"/>
                <w:szCs w:val="21"/>
                <w:highlight w:val="none"/>
              </w:rPr>
            </w:pPr>
            <w:bookmarkStart w:id="456" w:name="_Toc156490348"/>
            <w:r>
              <w:rPr>
                <w:rFonts w:hint="eastAsia" w:ascii="宋体" w:hAnsi="宋体" w:eastAsia="宋体" w:cs="宋体"/>
                <w:b/>
                <w:bCs/>
                <w:i w:val="0"/>
                <w:iCs w:val="0"/>
                <w:color w:val="auto"/>
                <w:sz w:val="21"/>
                <w:szCs w:val="21"/>
                <w:highlight w:val="none"/>
              </w:rPr>
              <w:t>序号</w:t>
            </w:r>
          </w:p>
        </w:tc>
        <w:tc>
          <w:tcPr>
            <w:tcW w:w="1645" w:type="dxa"/>
            <w:shd w:val="clear" w:color="auto" w:fill="auto"/>
            <w:vAlign w:val="center"/>
          </w:tcPr>
          <w:p w14:paraId="17B41B65">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审查因素</w:t>
            </w:r>
          </w:p>
        </w:tc>
        <w:tc>
          <w:tcPr>
            <w:tcW w:w="5545" w:type="dxa"/>
            <w:shd w:val="clear" w:color="auto" w:fill="auto"/>
            <w:vAlign w:val="center"/>
          </w:tcPr>
          <w:p w14:paraId="193E6858">
            <w:pPr>
              <w:pStyle w:val="47"/>
              <w:spacing w:line="240" w:lineRule="auto"/>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审查内容</w:t>
            </w:r>
          </w:p>
        </w:tc>
        <w:tc>
          <w:tcPr>
            <w:tcW w:w="1355" w:type="dxa"/>
            <w:shd w:val="clear" w:color="auto" w:fill="auto"/>
            <w:vAlign w:val="center"/>
          </w:tcPr>
          <w:p w14:paraId="6F255403">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格式要求</w:t>
            </w:r>
          </w:p>
        </w:tc>
      </w:tr>
      <w:tr w14:paraId="53C6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20" w:hRule="atLeast"/>
          <w:jc w:val="center"/>
        </w:trPr>
        <w:tc>
          <w:tcPr>
            <w:tcW w:w="820" w:type="dxa"/>
            <w:shd w:val="clear" w:color="auto" w:fill="auto"/>
            <w:vAlign w:val="center"/>
          </w:tcPr>
          <w:p w14:paraId="1A01EA2C">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w:t>
            </w:r>
          </w:p>
        </w:tc>
        <w:tc>
          <w:tcPr>
            <w:tcW w:w="1645" w:type="dxa"/>
            <w:shd w:val="clear" w:color="auto" w:fill="auto"/>
            <w:vAlign w:val="center"/>
          </w:tcPr>
          <w:p w14:paraId="56F1203B">
            <w:pPr>
              <w:pStyle w:val="47"/>
              <w:spacing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满足《政府采购法》第二十二条规定</w:t>
            </w:r>
          </w:p>
        </w:tc>
        <w:tc>
          <w:tcPr>
            <w:tcW w:w="5545" w:type="dxa"/>
            <w:shd w:val="clear" w:color="auto" w:fill="auto"/>
            <w:vAlign w:val="center"/>
          </w:tcPr>
          <w:p w14:paraId="39C3BEC9">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具体规定见“第一章 竞争性磋商公告”</w:t>
            </w:r>
          </w:p>
        </w:tc>
        <w:tc>
          <w:tcPr>
            <w:tcW w:w="1355" w:type="dxa"/>
            <w:shd w:val="clear" w:color="auto" w:fill="auto"/>
            <w:vAlign w:val="center"/>
          </w:tcPr>
          <w:p w14:paraId="63A554A2">
            <w:pPr>
              <w:pStyle w:val="47"/>
              <w:spacing w:line="240" w:lineRule="auto"/>
              <w:jc w:val="center"/>
              <w:rPr>
                <w:rFonts w:hint="eastAsia" w:ascii="宋体" w:hAnsi="宋体" w:eastAsia="宋体" w:cs="宋体"/>
                <w:b/>
                <w:bCs/>
                <w:i w:val="0"/>
                <w:iCs w:val="0"/>
                <w:color w:val="auto"/>
                <w:sz w:val="21"/>
                <w:szCs w:val="21"/>
                <w:highlight w:val="none"/>
              </w:rPr>
            </w:pPr>
          </w:p>
        </w:tc>
      </w:tr>
      <w:tr w14:paraId="3C16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20" w:type="dxa"/>
            <w:shd w:val="clear" w:color="auto" w:fill="auto"/>
            <w:vAlign w:val="center"/>
          </w:tcPr>
          <w:p w14:paraId="3FED9D5D">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1-1</w:t>
            </w:r>
          </w:p>
        </w:tc>
        <w:tc>
          <w:tcPr>
            <w:tcW w:w="1645" w:type="dxa"/>
            <w:shd w:val="clear" w:color="auto" w:fill="auto"/>
            <w:vAlign w:val="center"/>
          </w:tcPr>
          <w:p w14:paraId="31C34359">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rPr>
              <w:t>具有独立承担民事责任的能力</w:t>
            </w:r>
          </w:p>
        </w:tc>
        <w:tc>
          <w:tcPr>
            <w:tcW w:w="5545" w:type="dxa"/>
            <w:shd w:val="clear" w:color="auto" w:fill="auto"/>
            <w:vAlign w:val="center"/>
          </w:tcPr>
          <w:p w14:paraId="1DC6A871">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sz w:val="21"/>
                <w:szCs w:val="21"/>
                <w:highlight w:val="none"/>
                <w:lang w:val="en-US" w:eastAsia="zh-CN"/>
              </w:rPr>
            </w:pP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是企业，应提供“营业执照”；如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是事业单位，应提供 “事业单位法人证书”；如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是社会团体，应提供“社会团体法人登记证书”；如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是个体工商户，应提供有效的“个体工商户营业执照”；如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是自然人，应提供有效的自然人身份证明。</w:t>
            </w:r>
          </w:p>
        </w:tc>
        <w:tc>
          <w:tcPr>
            <w:tcW w:w="1355" w:type="dxa"/>
            <w:shd w:val="clear" w:color="auto" w:fill="auto"/>
            <w:vAlign w:val="center"/>
          </w:tcPr>
          <w:p w14:paraId="6C2329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5A5E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20" w:type="dxa"/>
            <w:shd w:val="clear" w:color="auto" w:fill="auto"/>
            <w:vAlign w:val="center"/>
          </w:tcPr>
          <w:p w14:paraId="7C9A3910">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1-2</w:t>
            </w:r>
          </w:p>
        </w:tc>
        <w:tc>
          <w:tcPr>
            <w:tcW w:w="1645" w:type="dxa"/>
            <w:shd w:val="clear" w:color="auto" w:fill="auto"/>
            <w:vAlign w:val="center"/>
          </w:tcPr>
          <w:p w14:paraId="174BA105">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color w:val="auto"/>
                <w:sz w:val="21"/>
                <w:szCs w:val="21"/>
                <w:highlight w:val="none"/>
              </w:rPr>
              <w:t>具有良好的商业信誉和健全的财务会计制度</w:t>
            </w:r>
          </w:p>
        </w:tc>
        <w:tc>
          <w:tcPr>
            <w:tcW w:w="5545" w:type="dxa"/>
            <w:shd w:val="clear" w:color="auto" w:fill="auto"/>
            <w:vAlign w:val="center"/>
          </w:tcPr>
          <w:p w14:paraId="3D457196">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sz w:val="21"/>
                <w:szCs w:val="21"/>
                <w:highlight w:val="none"/>
                <w:lang w:val="en-US" w:eastAsia="zh-CN" w:bidi="ar-SA"/>
              </w:rPr>
            </w:pPr>
            <w:r>
              <w:rPr>
                <w:rFonts w:hint="eastAsia" w:ascii="宋体" w:hAnsi="宋体" w:eastAsia="宋体" w:cs="宋体"/>
                <w:color w:val="auto"/>
                <w:sz w:val="21"/>
                <w:szCs w:val="21"/>
                <w:highlight w:val="none"/>
                <w:lang w:val="en-US" w:eastAsia="zh-CN"/>
              </w:rPr>
              <w:t>投标时，若供应商成立超过一年需提供202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1355" w:type="dxa"/>
            <w:shd w:val="clear" w:color="auto" w:fill="auto"/>
            <w:vAlign w:val="center"/>
          </w:tcPr>
          <w:p w14:paraId="283542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6DD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90" w:hRule="atLeast"/>
          <w:jc w:val="center"/>
        </w:trPr>
        <w:tc>
          <w:tcPr>
            <w:tcW w:w="820" w:type="dxa"/>
            <w:shd w:val="clear" w:color="auto" w:fill="auto"/>
            <w:vAlign w:val="center"/>
          </w:tcPr>
          <w:p w14:paraId="0F7DFCD3">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1-3</w:t>
            </w:r>
          </w:p>
        </w:tc>
        <w:tc>
          <w:tcPr>
            <w:tcW w:w="1645" w:type="dxa"/>
            <w:shd w:val="clear" w:color="auto" w:fill="auto"/>
            <w:vAlign w:val="center"/>
          </w:tcPr>
          <w:p w14:paraId="3B45511E">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color w:val="auto"/>
                <w:sz w:val="21"/>
                <w:szCs w:val="21"/>
                <w:highlight w:val="none"/>
              </w:rPr>
              <w:t>有依法缴纳税收和社会保障资金的良好记录</w:t>
            </w:r>
          </w:p>
        </w:tc>
        <w:tc>
          <w:tcPr>
            <w:tcW w:w="5545" w:type="dxa"/>
            <w:shd w:val="clear" w:color="auto" w:fill="auto"/>
            <w:vAlign w:val="center"/>
          </w:tcPr>
          <w:p w14:paraId="61FB7B77">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依法缴纳税收的证明材料：本项目</w:t>
            </w:r>
            <w:r>
              <w:rPr>
                <w:rFonts w:hint="eastAsia" w:ascii="宋体" w:hAnsi="宋体" w:eastAsia="宋体" w:cs="宋体"/>
                <w:color w:val="auto"/>
                <w:sz w:val="21"/>
                <w:szCs w:val="21"/>
                <w:highlight w:val="none"/>
                <w:lang w:eastAsia="zh-CN"/>
              </w:rPr>
              <w:t>响应截止</w:t>
            </w:r>
            <w:r>
              <w:rPr>
                <w:rFonts w:hint="eastAsia" w:ascii="宋体" w:hAnsi="宋体" w:eastAsia="宋体" w:cs="宋体"/>
                <w:color w:val="auto"/>
                <w:sz w:val="21"/>
                <w:szCs w:val="21"/>
                <w:highlight w:val="none"/>
              </w:rPr>
              <w:t xml:space="preserve">时间前 6 个月内（至少提供1个月）缴纳税收的凭据（完税证、缴款书、印花税票、银行代扣（代缴）转账凭证等均可）； </w:t>
            </w:r>
          </w:p>
          <w:p w14:paraId="75087E93">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依法缴纳社会保障资金的证明材料：本项目</w:t>
            </w:r>
            <w:r>
              <w:rPr>
                <w:rFonts w:hint="eastAsia" w:ascii="宋体" w:hAnsi="宋体" w:eastAsia="宋体" w:cs="宋体"/>
                <w:color w:val="auto"/>
                <w:sz w:val="21"/>
                <w:szCs w:val="21"/>
                <w:highlight w:val="none"/>
                <w:lang w:eastAsia="zh-CN"/>
              </w:rPr>
              <w:t>响应截止</w:t>
            </w:r>
            <w:r>
              <w:rPr>
                <w:rFonts w:hint="eastAsia" w:ascii="宋体" w:hAnsi="宋体" w:eastAsia="宋体" w:cs="宋体"/>
                <w:color w:val="auto"/>
                <w:sz w:val="21"/>
                <w:szCs w:val="21"/>
                <w:highlight w:val="none"/>
              </w:rPr>
              <w:t xml:space="preserve">时间时间前 6个月内（至少提供1个月）缴纳社会保险的凭据（专用收据或社会保险交纳清单）； </w:t>
            </w:r>
          </w:p>
          <w:p w14:paraId="398C096A">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为其他组织或自然人的，也需要按此项规定提供缴纳税收的凭据和交纳社会保险的凭据。如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的社会保险为委托第三方代缴，还需同时提供</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与第三方服务机构签署的服务合同（合同中应明确写明第三方为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代缴其社会保险）。</w:t>
            </w:r>
          </w:p>
          <w:p w14:paraId="7ECA98FF">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sz w:val="21"/>
                <w:szCs w:val="21"/>
                <w:highlight w:val="none"/>
                <w:lang w:val="en-US" w:eastAsia="zh-CN" w:bidi="ar-SA"/>
              </w:rPr>
            </w:pPr>
            <w:r>
              <w:rPr>
                <w:rFonts w:hint="eastAsia" w:ascii="宋体" w:hAnsi="宋体" w:eastAsia="宋体" w:cs="宋体"/>
                <w:color w:val="auto"/>
                <w:sz w:val="21"/>
                <w:szCs w:val="21"/>
                <w:highlight w:val="none"/>
              </w:rPr>
              <w:t>依法不需要缴纳社会保障资金的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，须提供相应文件证明其依法不需要缴纳社会保障资金。</w:t>
            </w:r>
          </w:p>
        </w:tc>
        <w:tc>
          <w:tcPr>
            <w:tcW w:w="1355" w:type="dxa"/>
            <w:shd w:val="clear" w:color="auto" w:fill="auto"/>
            <w:vAlign w:val="center"/>
          </w:tcPr>
          <w:p w14:paraId="53D5BE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2CC2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20" w:type="dxa"/>
            <w:shd w:val="clear" w:color="auto" w:fill="auto"/>
            <w:vAlign w:val="center"/>
          </w:tcPr>
          <w:p w14:paraId="0848BC1A">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1-4</w:t>
            </w:r>
          </w:p>
        </w:tc>
        <w:tc>
          <w:tcPr>
            <w:tcW w:w="1645" w:type="dxa"/>
            <w:shd w:val="clear" w:color="auto" w:fill="auto"/>
            <w:vAlign w:val="center"/>
          </w:tcPr>
          <w:p w14:paraId="4BF90B78">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color w:val="auto"/>
                <w:sz w:val="21"/>
                <w:szCs w:val="21"/>
                <w:highlight w:val="none"/>
              </w:rPr>
              <w:t>具有履行合同所必需的设备和专业技术能力</w:t>
            </w:r>
          </w:p>
        </w:tc>
        <w:tc>
          <w:tcPr>
            <w:tcW w:w="5545" w:type="dxa"/>
            <w:shd w:val="clear" w:color="auto" w:fill="auto"/>
            <w:vAlign w:val="center"/>
          </w:tcPr>
          <w:p w14:paraId="4EE865B2">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履行合同所必须的设备和专业技术能力的证明材料或声明。</w:t>
            </w:r>
          </w:p>
        </w:tc>
        <w:tc>
          <w:tcPr>
            <w:tcW w:w="1355" w:type="dxa"/>
            <w:shd w:val="clear" w:color="auto" w:fill="auto"/>
            <w:vAlign w:val="center"/>
          </w:tcPr>
          <w:p w14:paraId="3CDF38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332D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20" w:type="dxa"/>
            <w:shd w:val="clear" w:color="auto" w:fill="auto"/>
            <w:vAlign w:val="center"/>
          </w:tcPr>
          <w:p w14:paraId="37D79E8A">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1-5</w:t>
            </w:r>
          </w:p>
        </w:tc>
        <w:tc>
          <w:tcPr>
            <w:tcW w:w="1645" w:type="dxa"/>
            <w:shd w:val="clear" w:color="auto" w:fill="auto"/>
            <w:vAlign w:val="center"/>
          </w:tcPr>
          <w:p w14:paraId="23649951">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z w:val="21"/>
                <w:szCs w:val="21"/>
                <w:highlight w:val="none"/>
                <w:lang w:val="en-US" w:eastAsia="zh-CN" w:bidi="ar-SA"/>
              </w:rPr>
            </w:pPr>
            <w:r>
              <w:rPr>
                <w:rFonts w:hint="eastAsia" w:ascii="宋体" w:hAnsi="宋体" w:eastAsia="宋体" w:cs="宋体"/>
                <w:color w:val="auto"/>
                <w:sz w:val="21"/>
                <w:szCs w:val="21"/>
                <w:highlight w:val="none"/>
              </w:rPr>
              <w:t>参加政府采购活动前三年内，在经营活动中没有重大违法记录</w:t>
            </w:r>
          </w:p>
        </w:tc>
        <w:tc>
          <w:tcPr>
            <w:tcW w:w="5545" w:type="dxa"/>
            <w:shd w:val="clear" w:color="auto" w:fill="auto"/>
            <w:vAlign w:val="center"/>
          </w:tcPr>
          <w:p w14:paraId="0566470D">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sz w:val="21"/>
                <w:szCs w:val="21"/>
                <w:highlight w:val="none"/>
                <w:lang w:val="en-US" w:eastAsia="zh-CN" w:bidi="ar-SA"/>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1355" w:type="dxa"/>
            <w:shd w:val="clear" w:color="auto" w:fill="auto"/>
            <w:vAlign w:val="center"/>
          </w:tcPr>
          <w:p w14:paraId="0E254F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4583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20" w:type="dxa"/>
            <w:shd w:val="clear" w:color="auto" w:fill="auto"/>
            <w:vAlign w:val="center"/>
          </w:tcPr>
          <w:p w14:paraId="0F99C38B">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1-6</w:t>
            </w:r>
          </w:p>
        </w:tc>
        <w:tc>
          <w:tcPr>
            <w:tcW w:w="1645" w:type="dxa"/>
            <w:shd w:val="clear" w:color="auto" w:fill="auto"/>
            <w:vAlign w:val="center"/>
          </w:tcPr>
          <w:p w14:paraId="781C06E9">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kern w:val="0"/>
                <w:sz w:val="21"/>
                <w:szCs w:val="21"/>
                <w:highlight w:val="none"/>
                <w:lang w:val="en-US" w:eastAsia="zh-CN" w:bidi="ar"/>
              </w:rPr>
            </w:pPr>
            <w:r>
              <w:rPr>
                <w:rFonts w:hint="eastAsia" w:ascii="宋体" w:hAnsi="宋体" w:eastAsia="宋体" w:cs="宋体"/>
                <w:color w:val="auto"/>
                <w:sz w:val="21"/>
                <w:szCs w:val="21"/>
                <w:highlight w:val="none"/>
              </w:rPr>
              <w:t>未列入失信被执行人、重大税收违法案件当事人名单、政府采购严重违法失信行为记录名单</w:t>
            </w:r>
          </w:p>
        </w:tc>
        <w:tc>
          <w:tcPr>
            <w:tcW w:w="5545" w:type="dxa"/>
            <w:shd w:val="clear" w:color="auto" w:fill="auto"/>
            <w:vAlign w:val="center"/>
          </w:tcPr>
          <w:p w14:paraId="2EF4E77B">
            <w:pPr>
              <w:pStyle w:val="66"/>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spacing w:val="-6"/>
                <w:kern w:val="0"/>
                <w:sz w:val="21"/>
                <w:szCs w:val="21"/>
                <w:highlight w:val="none"/>
                <w:lang w:val="en-US" w:eastAsia="zh-CN" w:bidi="ar"/>
              </w:rPr>
            </w:pPr>
            <w:r>
              <w:rPr>
                <w:rFonts w:hint="eastAsia" w:ascii="宋体" w:hAnsi="宋体" w:eastAsia="宋体" w:cs="宋体"/>
                <w:color w:val="auto"/>
                <w:sz w:val="21"/>
                <w:szCs w:val="21"/>
                <w:highlight w:val="none"/>
              </w:rPr>
              <w:t>“信用中国”网站或“中国政府采购网”查询信息：1、未被列入失信被执行人；2、不是重大税收违法案件当事人名单的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；3、未被列入政府采购严重违法失信行为记录名单。</w:t>
            </w:r>
          </w:p>
        </w:tc>
        <w:tc>
          <w:tcPr>
            <w:tcW w:w="1355" w:type="dxa"/>
            <w:shd w:val="clear" w:color="auto" w:fill="auto"/>
            <w:vAlign w:val="center"/>
          </w:tcPr>
          <w:p w14:paraId="550216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3DE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20" w:type="dxa"/>
            <w:shd w:val="clear" w:color="auto" w:fill="auto"/>
            <w:vAlign w:val="center"/>
          </w:tcPr>
          <w:p w14:paraId="63FEDFB2">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1-7</w:t>
            </w:r>
          </w:p>
        </w:tc>
        <w:tc>
          <w:tcPr>
            <w:tcW w:w="1645" w:type="dxa"/>
            <w:shd w:val="clear" w:color="auto" w:fill="auto"/>
            <w:vAlign w:val="center"/>
          </w:tcPr>
          <w:p w14:paraId="1FBA0CE6">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法律、行政法规规定的其他条件</w:t>
            </w:r>
          </w:p>
        </w:tc>
        <w:tc>
          <w:tcPr>
            <w:tcW w:w="5545" w:type="dxa"/>
            <w:shd w:val="clear" w:color="auto" w:fill="auto"/>
            <w:vAlign w:val="center"/>
          </w:tcPr>
          <w:p w14:paraId="10ECC0DF">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法律、行政法规规定的其他条件</w:t>
            </w:r>
          </w:p>
        </w:tc>
        <w:tc>
          <w:tcPr>
            <w:tcW w:w="1355" w:type="dxa"/>
            <w:shd w:val="clear" w:color="auto" w:fill="auto"/>
            <w:vAlign w:val="center"/>
          </w:tcPr>
          <w:p w14:paraId="36D55E83">
            <w:pPr>
              <w:pStyle w:val="47"/>
              <w:spacing w:line="240" w:lineRule="auto"/>
              <w:jc w:val="center"/>
              <w:rPr>
                <w:rFonts w:hint="eastAsia" w:ascii="宋体" w:hAnsi="宋体" w:eastAsia="宋体" w:cs="宋体"/>
                <w:b/>
                <w:bCs/>
                <w:i w:val="0"/>
                <w:iCs w:val="0"/>
                <w:color w:val="auto"/>
                <w:sz w:val="21"/>
                <w:szCs w:val="21"/>
                <w:highlight w:val="none"/>
              </w:rPr>
            </w:pPr>
          </w:p>
        </w:tc>
      </w:tr>
      <w:tr w14:paraId="749D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764" w:hRule="atLeast"/>
          <w:jc w:val="center"/>
        </w:trPr>
        <w:tc>
          <w:tcPr>
            <w:tcW w:w="820" w:type="dxa"/>
            <w:shd w:val="clear" w:color="auto" w:fill="auto"/>
            <w:vAlign w:val="center"/>
          </w:tcPr>
          <w:p w14:paraId="7D70709F">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2</w:t>
            </w:r>
          </w:p>
        </w:tc>
        <w:tc>
          <w:tcPr>
            <w:tcW w:w="1645" w:type="dxa"/>
            <w:shd w:val="clear" w:color="auto" w:fill="auto"/>
            <w:vAlign w:val="center"/>
          </w:tcPr>
          <w:p w14:paraId="1260EC7D">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落实政府采购政策需满足的资格要求</w:t>
            </w:r>
          </w:p>
        </w:tc>
        <w:tc>
          <w:tcPr>
            <w:tcW w:w="5545" w:type="dxa"/>
            <w:shd w:val="clear" w:color="auto" w:fill="auto"/>
            <w:vAlign w:val="center"/>
          </w:tcPr>
          <w:p w14:paraId="4A7ED4E2">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具体要求见“第一章 竞争性磋商公告”</w:t>
            </w:r>
          </w:p>
        </w:tc>
        <w:tc>
          <w:tcPr>
            <w:tcW w:w="1355" w:type="dxa"/>
            <w:shd w:val="clear" w:color="auto" w:fill="auto"/>
            <w:vAlign w:val="center"/>
          </w:tcPr>
          <w:p w14:paraId="1E9B443D">
            <w:pPr>
              <w:pStyle w:val="47"/>
              <w:spacing w:line="240" w:lineRule="auto"/>
              <w:jc w:val="center"/>
              <w:rPr>
                <w:rFonts w:hint="eastAsia" w:ascii="宋体" w:hAnsi="宋体" w:eastAsia="宋体" w:cs="宋体"/>
                <w:b/>
                <w:bCs/>
                <w:i w:val="0"/>
                <w:iCs w:val="0"/>
                <w:color w:val="auto"/>
                <w:sz w:val="21"/>
                <w:szCs w:val="21"/>
                <w:highlight w:val="none"/>
              </w:rPr>
            </w:pPr>
          </w:p>
        </w:tc>
      </w:tr>
      <w:tr w14:paraId="0E64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820" w:type="dxa"/>
            <w:shd w:val="clear" w:color="auto" w:fill="auto"/>
            <w:vAlign w:val="center"/>
          </w:tcPr>
          <w:p w14:paraId="54E6EEA5">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2-1</w:t>
            </w:r>
          </w:p>
        </w:tc>
        <w:tc>
          <w:tcPr>
            <w:tcW w:w="1645" w:type="dxa"/>
            <w:shd w:val="clear" w:color="auto" w:fill="auto"/>
            <w:vAlign w:val="center"/>
          </w:tcPr>
          <w:p w14:paraId="7D84FF84">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中小企业政策</w:t>
            </w:r>
          </w:p>
        </w:tc>
        <w:tc>
          <w:tcPr>
            <w:tcW w:w="5545" w:type="dxa"/>
            <w:shd w:val="clear" w:color="auto" w:fill="auto"/>
            <w:vAlign w:val="center"/>
          </w:tcPr>
          <w:p w14:paraId="492660E3">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具体要求见</w:t>
            </w:r>
            <w:r>
              <w:rPr>
                <w:rFonts w:hint="eastAsia" w:ascii="宋体" w:hAnsi="宋体" w:eastAsia="宋体" w:cs="宋体"/>
                <w:i w:val="0"/>
                <w:iCs w:val="0"/>
                <w:color w:val="auto"/>
                <w:sz w:val="21"/>
                <w:szCs w:val="21"/>
                <w:highlight w:val="none"/>
                <w:lang w:val="en-US" w:eastAsia="zh-CN"/>
              </w:rPr>
              <w:t>“第一章 竞争性磋商公告”</w:t>
            </w:r>
          </w:p>
        </w:tc>
        <w:tc>
          <w:tcPr>
            <w:tcW w:w="1355" w:type="dxa"/>
            <w:shd w:val="clear" w:color="auto" w:fill="auto"/>
            <w:vAlign w:val="center"/>
          </w:tcPr>
          <w:p w14:paraId="75D74742">
            <w:pPr>
              <w:pStyle w:val="47"/>
              <w:spacing w:line="240" w:lineRule="auto"/>
              <w:jc w:val="center"/>
              <w:rPr>
                <w:rFonts w:hint="eastAsia" w:ascii="宋体" w:hAnsi="宋体" w:eastAsia="宋体" w:cs="宋体"/>
                <w:b/>
                <w:bCs/>
                <w:i w:val="0"/>
                <w:iCs w:val="0"/>
                <w:color w:val="auto"/>
                <w:sz w:val="21"/>
                <w:szCs w:val="21"/>
                <w:highlight w:val="none"/>
              </w:rPr>
            </w:pPr>
          </w:p>
        </w:tc>
      </w:tr>
      <w:tr w14:paraId="112B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88" w:hRule="atLeast"/>
          <w:jc w:val="center"/>
        </w:trPr>
        <w:tc>
          <w:tcPr>
            <w:tcW w:w="820" w:type="dxa"/>
            <w:shd w:val="clear" w:color="auto" w:fill="auto"/>
            <w:vAlign w:val="center"/>
          </w:tcPr>
          <w:p w14:paraId="15321CBF">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2-1-1</w:t>
            </w:r>
          </w:p>
        </w:tc>
        <w:tc>
          <w:tcPr>
            <w:tcW w:w="1645" w:type="dxa"/>
            <w:shd w:val="clear" w:color="auto" w:fill="auto"/>
            <w:vAlign w:val="center"/>
          </w:tcPr>
          <w:p w14:paraId="2C53752D">
            <w:pPr>
              <w:pStyle w:val="47"/>
              <w:spacing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中小企业证明文件</w:t>
            </w:r>
          </w:p>
        </w:tc>
        <w:tc>
          <w:tcPr>
            <w:tcW w:w="5545" w:type="dxa"/>
            <w:shd w:val="clear" w:color="auto" w:fill="auto"/>
            <w:vAlign w:val="center"/>
          </w:tcPr>
          <w:p w14:paraId="1F5DB1DF">
            <w:pPr>
              <w:keepNext w:val="0"/>
              <w:keepLines w:val="0"/>
              <w:widowControl/>
              <w:suppressLineNumbers w:val="0"/>
              <w:spacing w:line="240" w:lineRule="auto"/>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spacing w:val="-6"/>
                <w:kern w:val="0"/>
                <w:sz w:val="21"/>
                <w:szCs w:val="21"/>
                <w:highlight w:val="none"/>
                <w:lang w:val="en-US" w:eastAsia="zh-CN" w:bidi="ar"/>
              </w:rPr>
              <w:t>供应商</w:t>
            </w:r>
            <w:r>
              <w:rPr>
                <w:rFonts w:hint="eastAsia" w:ascii="宋体" w:hAnsi="宋体" w:eastAsia="宋体" w:cs="宋体"/>
                <w:i w:val="0"/>
                <w:iCs w:val="0"/>
                <w:color w:val="auto"/>
                <w:kern w:val="0"/>
                <w:sz w:val="21"/>
                <w:szCs w:val="21"/>
                <w:highlight w:val="none"/>
                <w:lang w:val="en-US" w:eastAsia="zh-CN" w:bidi="ar"/>
              </w:rPr>
              <w:t xml:space="preserve">应提供“中小企业声明函”或“残疾人福利性单位声明函”或由省级以上监狱管理局、戒毒管理局（含新疆生产建设兵团）出具的属于监狱企业的证明文件。 </w:t>
            </w:r>
          </w:p>
          <w:p w14:paraId="6FB49724">
            <w:pPr>
              <w:pStyle w:val="47"/>
              <w:spacing w:line="240" w:lineRule="auto"/>
              <w:jc w:val="both"/>
              <w:rPr>
                <w:rFonts w:hint="eastAsia" w:ascii="宋体" w:hAnsi="宋体" w:eastAsia="宋体" w:cs="宋体"/>
                <w:i w:val="0"/>
                <w:iCs w:val="0"/>
                <w:color w:val="auto"/>
                <w:kern w:val="0"/>
                <w:sz w:val="21"/>
                <w:szCs w:val="21"/>
                <w:highlight w:val="none"/>
                <w:lang w:val="en-US" w:eastAsia="zh-CN" w:bidi="ar"/>
              </w:rPr>
            </w:pPr>
          </w:p>
        </w:tc>
        <w:tc>
          <w:tcPr>
            <w:tcW w:w="1355" w:type="dxa"/>
            <w:shd w:val="clear" w:color="auto" w:fill="auto"/>
            <w:vAlign w:val="center"/>
          </w:tcPr>
          <w:p w14:paraId="0FC39B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格式见《第六章 响应文件格式》</w:t>
            </w:r>
          </w:p>
        </w:tc>
      </w:tr>
      <w:tr w14:paraId="0E5E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82" w:hRule="atLeast"/>
          <w:jc w:val="center"/>
        </w:trPr>
        <w:tc>
          <w:tcPr>
            <w:tcW w:w="820" w:type="dxa"/>
            <w:shd w:val="clear" w:color="auto" w:fill="auto"/>
            <w:vAlign w:val="center"/>
          </w:tcPr>
          <w:p w14:paraId="12294255">
            <w:pPr>
              <w:pStyle w:val="47"/>
              <w:spacing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3</w:t>
            </w:r>
          </w:p>
        </w:tc>
        <w:tc>
          <w:tcPr>
            <w:tcW w:w="1645" w:type="dxa"/>
            <w:shd w:val="clear" w:color="auto" w:fill="auto"/>
            <w:vAlign w:val="center"/>
          </w:tcPr>
          <w:p w14:paraId="54EFAA2A">
            <w:pPr>
              <w:pStyle w:val="47"/>
              <w:spacing w:line="240" w:lineRule="auto"/>
              <w:jc w:val="both"/>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本项目的特定资格要求</w:t>
            </w:r>
          </w:p>
        </w:tc>
        <w:tc>
          <w:tcPr>
            <w:tcW w:w="5545" w:type="dxa"/>
            <w:shd w:val="clear" w:color="auto" w:fill="auto"/>
            <w:vAlign w:val="center"/>
          </w:tcPr>
          <w:p w14:paraId="00A37450">
            <w:pPr>
              <w:pStyle w:val="47"/>
              <w:spacing w:line="240" w:lineRule="auto"/>
              <w:jc w:val="both"/>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如有，见</w:t>
            </w:r>
            <w:r>
              <w:rPr>
                <w:rFonts w:hint="eastAsia" w:ascii="宋体" w:hAnsi="宋体" w:eastAsia="宋体" w:cs="宋体"/>
                <w:i w:val="0"/>
                <w:iCs w:val="0"/>
                <w:color w:val="auto"/>
                <w:sz w:val="21"/>
                <w:szCs w:val="21"/>
                <w:highlight w:val="none"/>
                <w:lang w:val="en-US" w:eastAsia="zh-CN"/>
              </w:rPr>
              <w:t>“第一章 竞争性磋商公告”</w:t>
            </w:r>
          </w:p>
        </w:tc>
        <w:tc>
          <w:tcPr>
            <w:tcW w:w="1355" w:type="dxa"/>
            <w:shd w:val="clear" w:color="auto" w:fill="auto"/>
            <w:vAlign w:val="center"/>
          </w:tcPr>
          <w:p w14:paraId="156F7E34">
            <w:pPr>
              <w:pStyle w:val="47"/>
              <w:spacing w:line="240" w:lineRule="auto"/>
              <w:jc w:val="both"/>
              <w:rPr>
                <w:rFonts w:hint="eastAsia" w:ascii="宋体" w:hAnsi="宋体" w:eastAsia="宋体" w:cs="宋体"/>
                <w:i w:val="0"/>
                <w:iCs w:val="0"/>
                <w:color w:val="auto"/>
                <w:kern w:val="0"/>
                <w:sz w:val="21"/>
                <w:szCs w:val="21"/>
                <w:highlight w:val="none"/>
                <w:lang w:val="en-US" w:eastAsia="zh-CN" w:bidi="ar"/>
              </w:rPr>
            </w:pPr>
          </w:p>
        </w:tc>
      </w:tr>
    </w:tbl>
    <w:p w14:paraId="18D72D46">
      <w:pPr>
        <w:keepNext w:val="0"/>
        <w:keepLines w:val="0"/>
        <w:pageBreakBefore w:val="0"/>
        <w:widowControl w:val="0"/>
        <w:kinsoku/>
        <w:overflowPunct/>
        <w:topLinePunct w:val="0"/>
        <w:autoSpaceDE/>
        <w:autoSpaceDN/>
        <w:bidi w:val="0"/>
        <w:adjustRightInd/>
        <w:snapToGrid/>
        <w:spacing w:line="420" w:lineRule="exact"/>
        <w:textAlignment w:val="auto"/>
        <w:rPr>
          <w:rFonts w:hint="eastAsia"/>
          <w:b/>
          <w:bCs/>
          <w:i w:val="0"/>
          <w:iCs w:val="0"/>
          <w:color w:val="auto"/>
          <w:sz w:val="21"/>
          <w:szCs w:val="21"/>
          <w:highlight w:val="none"/>
        </w:rPr>
      </w:pPr>
    </w:p>
    <w:p w14:paraId="1C79E11B">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509818B3">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34298128">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3DA3DB26">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46EE3573">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55110B7F">
      <w:pPr>
        <w:rPr>
          <w:rFonts w:hint="eastAsia"/>
          <w:i w:val="0"/>
          <w:iCs w:val="0"/>
          <w:color w:val="auto"/>
          <w:highlight w:val="none"/>
        </w:rPr>
      </w:pPr>
      <w:r>
        <w:rPr>
          <w:rFonts w:hint="eastAsia"/>
          <w:i w:val="0"/>
          <w:iCs w:val="0"/>
          <w:color w:val="auto"/>
          <w:highlight w:val="none"/>
        </w:rPr>
        <w:br w:type="page"/>
      </w:r>
    </w:p>
    <w:p w14:paraId="613615C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57"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56"/>
      <w:bookmarkEnd w:id="457"/>
    </w:p>
    <w:tbl>
      <w:tblPr>
        <w:tblStyle w:val="30"/>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
        <w:gridCol w:w="1380"/>
        <w:gridCol w:w="5817"/>
        <w:gridCol w:w="918"/>
        <w:gridCol w:w="1153"/>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restart"/>
            <w:shd w:val="clear" w:color="auto" w:fill="D8D8D8" w:themeFill="background1" w:themeFillShade="D9"/>
            <w:vAlign w:val="center"/>
          </w:tcPr>
          <w:p w14:paraId="3B188FC3">
            <w:pPr>
              <w:pStyle w:val="47"/>
              <w:jc w:val="center"/>
              <w:rPr>
                <w:rFonts w:hint="eastAsia" w:ascii="宋体" w:hAnsi="宋体" w:eastAsia="宋体" w:cs="宋体"/>
                <w:b/>
                <w:bCs/>
                <w:i w:val="0"/>
                <w:iCs w:val="0"/>
                <w:color w:val="auto"/>
                <w:sz w:val="21"/>
                <w:szCs w:val="21"/>
                <w:highlight w:val="none"/>
                <w:lang w:val="zh-CN"/>
              </w:rPr>
            </w:pPr>
            <w:bookmarkStart w:id="458" w:name="_Toc163493640"/>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7"/>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7" w:type="pct"/>
            <w:vMerge w:val="restart"/>
            <w:shd w:val="clear" w:color="auto" w:fill="D8D8D8" w:themeFill="background1" w:themeFillShade="D9"/>
            <w:vAlign w:val="center"/>
          </w:tcPr>
          <w:p w14:paraId="44B32FDC">
            <w:pPr>
              <w:pStyle w:val="47"/>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continue"/>
            <w:shd w:val="clear" w:color="auto" w:fill="D8D8D8" w:themeFill="background1" w:themeFillShade="D9"/>
            <w:vAlign w:val="center"/>
          </w:tcPr>
          <w:p w14:paraId="1859AA86">
            <w:pPr>
              <w:pStyle w:val="47"/>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7"/>
              <w:jc w:val="center"/>
              <w:rPr>
                <w:rFonts w:hint="eastAsia" w:ascii="宋体" w:hAnsi="宋体" w:eastAsia="宋体" w:cs="宋体"/>
                <w:b/>
                <w:bCs/>
                <w:i w:val="0"/>
                <w:iCs w:val="0"/>
                <w:color w:val="auto"/>
                <w:sz w:val="21"/>
                <w:szCs w:val="21"/>
                <w:highlight w:val="none"/>
                <w:lang w:val="zh-CN"/>
              </w:rPr>
            </w:pPr>
          </w:p>
        </w:tc>
        <w:tc>
          <w:tcPr>
            <w:tcW w:w="2967" w:type="pct"/>
            <w:vMerge w:val="continue"/>
            <w:shd w:val="clear" w:color="auto" w:fill="D8D8D8" w:themeFill="background1" w:themeFillShade="D9"/>
            <w:vAlign w:val="center"/>
          </w:tcPr>
          <w:p w14:paraId="2128C077">
            <w:pPr>
              <w:pStyle w:val="47"/>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0CAA21D7">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1" w:type="pct"/>
            <w:shd w:val="clear" w:color="auto" w:fill="auto"/>
            <w:vAlign w:val="center"/>
          </w:tcPr>
          <w:p w14:paraId="4A515C07">
            <w:pPr>
              <w:pStyle w:val="47"/>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5E0E3062">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7" w:type="pct"/>
            <w:shd w:val="clear" w:color="auto" w:fill="auto"/>
            <w:vAlign w:val="center"/>
          </w:tcPr>
          <w:p w14:paraId="0FA4ED80">
            <w:pPr>
              <w:pStyle w:val="47"/>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468" w:type="pct"/>
            <w:shd w:val="clear" w:color="auto" w:fill="auto"/>
            <w:vAlign w:val="center"/>
          </w:tcPr>
          <w:p w14:paraId="1E1F1EB1">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5325BAA">
            <w:pPr>
              <w:pStyle w:val="47"/>
              <w:rPr>
                <w:rFonts w:hint="eastAsia" w:ascii="宋体" w:hAnsi="宋体" w:eastAsia="宋体" w:cs="宋体"/>
                <w:i w:val="0"/>
                <w:iCs w:val="0"/>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70154C2F">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1B390AF0">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实质性要求</w:t>
            </w:r>
          </w:p>
        </w:tc>
        <w:tc>
          <w:tcPr>
            <w:tcW w:w="2967" w:type="pct"/>
            <w:shd w:val="clear" w:color="auto" w:fill="auto"/>
            <w:vAlign w:val="center"/>
          </w:tcPr>
          <w:p w14:paraId="6D95F485">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zh-CN" w:eastAsia="zh-CN"/>
              </w:rPr>
              <w:t>满足</w:t>
            </w:r>
            <w:r>
              <w:rPr>
                <w:rFonts w:hint="eastAsia" w:ascii="宋体" w:hAnsi="宋体" w:eastAsia="宋体" w:cs="宋体"/>
                <w:i w:val="0"/>
                <w:iCs w:val="0"/>
                <w:color w:val="auto"/>
                <w:sz w:val="21"/>
                <w:szCs w:val="21"/>
                <w:highlight w:val="none"/>
                <w:lang w:val="en-US" w:eastAsia="zh-CN"/>
              </w:rPr>
              <w:t>磋商</w:t>
            </w:r>
            <w:r>
              <w:rPr>
                <w:rFonts w:hint="eastAsia" w:ascii="宋体" w:hAnsi="宋体" w:eastAsia="宋体" w:cs="宋体"/>
                <w:i w:val="0"/>
                <w:iCs w:val="0"/>
                <w:color w:val="auto"/>
                <w:sz w:val="21"/>
                <w:szCs w:val="21"/>
                <w:highlight w:val="none"/>
                <w:lang w:val="zh-CN" w:eastAsia="zh-CN"/>
              </w:rPr>
              <w:t>文件中标注“★”号的实质性条款（或指标）要求的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具体详见</w:t>
            </w:r>
            <w:r>
              <w:rPr>
                <w:rFonts w:hint="eastAsia" w:ascii="宋体" w:hAnsi="宋体" w:eastAsia="宋体" w:cs="宋体"/>
                <w:i w:val="0"/>
                <w:iCs w:val="0"/>
                <w:color w:val="auto"/>
                <w:sz w:val="21"/>
                <w:szCs w:val="21"/>
                <w:highlight w:val="none"/>
                <w:lang w:val="zh-CN"/>
              </w:rPr>
              <w:t>“实质性响应一览表”</w:t>
            </w:r>
          </w:p>
        </w:tc>
        <w:tc>
          <w:tcPr>
            <w:tcW w:w="468" w:type="pct"/>
            <w:shd w:val="clear" w:color="auto" w:fill="auto"/>
            <w:vAlign w:val="center"/>
          </w:tcPr>
          <w:p w14:paraId="4C63B966">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A615EFE">
            <w:pPr>
              <w:pStyle w:val="47"/>
              <w:rPr>
                <w:rFonts w:hint="eastAsia" w:ascii="宋体" w:hAnsi="宋体" w:eastAsia="宋体" w:cs="宋体"/>
                <w:i w:val="0"/>
                <w:iCs w:val="0"/>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1" w:type="pct"/>
            <w:shd w:val="clear" w:color="auto" w:fill="auto"/>
            <w:vAlign w:val="center"/>
          </w:tcPr>
          <w:p w14:paraId="48860C47">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vAlign w:val="center"/>
          </w:tcPr>
          <w:p w14:paraId="31EA832C">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7" w:type="pct"/>
            <w:shd w:val="clear" w:color="auto" w:fill="auto"/>
            <w:vAlign w:val="center"/>
          </w:tcPr>
          <w:p w14:paraId="02D97709">
            <w:pPr>
              <w:pStyle w:val="47"/>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p>
        </w:tc>
        <w:tc>
          <w:tcPr>
            <w:tcW w:w="468" w:type="pct"/>
            <w:shd w:val="clear" w:color="auto" w:fill="auto"/>
            <w:vAlign w:val="center"/>
          </w:tcPr>
          <w:p w14:paraId="18835E98">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2826E79">
            <w:pPr>
              <w:pStyle w:val="47"/>
              <w:rPr>
                <w:rFonts w:hint="eastAsia" w:ascii="宋体" w:hAnsi="宋体" w:eastAsia="宋体" w:cs="宋体"/>
                <w:i w:val="0"/>
                <w:iCs w:val="0"/>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0D25BA5B">
            <w:pPr>
              <w:pStyle w:val="47"/>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4</w:t>
            </w:r>
          </w:p>
        </w:tc>
        <w:tc>
          <w:tcPr>
            <w:tcW w:w="704" w:type="pct"/>
            <w:vAlign w:val="center"/>
          </w:tcPr>
          <w:p w14:paraId="6B53D7DD">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7" w:type="pct"/>
            <w:shd w:val="clear" w:color="auto" w:fill="auto"/>
            <w:vAlign w:val="center"/>
          </w:tcPr>
          <w:p w14:paraId="3C241A91">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468" w:type="pct"/>
            <w:shd w:val="clear" w:color="auto" w:fill="auto"/>
            <w:vAlign w:val="center"/>
          </w:tcPr>
          <w:p w14:paraId="4B513014">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8AFA180">
            <w:pPr>
              <w:pStyle w:val="47"/>
              <w:rPr>
                <w:rFonts w:hint="eastAsia" w:ascii="宋体" w:hAnsi="宋体" w:eastAsia="宋体" w:cs="宋体"/>
                <w:i w:val="0"/>
                <w:iCs w:val="0"/>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1" w:type="pct"/>
            <w:shd w:val="clear" w:color="auto" w:fill="auto"/>
            <w:vAlign w:val="center"/>
          </w:tcPr>
          <w:p w14:paraId="5772C4C0">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5</w:t>
            </w:r>
          </w:p>
        </w:tc>
        <w:tc>
          <w:tcPr>
            <w:tcW w:w="704" w:type="pct"/>
            <w:vAlign w:val="center"/>
          </w:tcPr>
          <w:p w14:paraId="1817A2C0">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联合体</w:t>
            </w:r>
          </w:p>
        </w:tc>
        <w:tc>
          <w:tcPr>
            <w:tcW w:w="2967" w:type="pct"/>
            <w:shd w:val="clear" w:color="auto" w:fill="auto"/>
            <w:vAlign w:val="center"/>
          </w:tcPr>
          <w:p w14:paraId="39640874">
            <w:pPr>
              <w:pStyle w:val="47"/>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磋商文件规定接受联合体磋商的，</w:t>
            </w:r>
            <w:r>
              <w:rPr>
                <w:rFonts w:hint="eastAsia" w:ascii="宋体" w:hAnsi="宋体" w:eastAsia="宋体" w:cs="宋体"/>
                <w:i w:val="0"/>
                <w:iCs w:val="0"/>
                <w:color w:val="auto"/>
                <w:sz w:val="21"/>
                <w:szCs w:val="21"/>
                <w:highlight w:val="none"/>
                <w:lang w:val="zh-CN" w:eastAsia="zh-CN"/>
              </w:rPr>
              <w:t>联合体供应商提交</w:t>
            </w:r>
            <w:r>
              <w:rPr>
                <w:rFonts w:hint="eastAsia" w:ascii="宋体" w:hAnsi="宋体" w:eastAsia="宋体" w:cs="宋体"/>
                <w:i w:val="0"/>
                <w:iCs w:val="0"/>
                <w:color w:val="auto"/>
                <w:sz w:val="21"/>
                <w:szCs w:val="21"/>
                <w:highlight w:val="none"/>
                <w:lang w:val="en-US" w:eastAsia="zh-CN"/>
              </w:rPr>
              <w:t>了</w:t>
            </w:r>
            <w:r>
              <w:rPr>
                <w:rFonts w:hint="eastAsia" w:ascii="宋体" w:hAnsi="宋体" w:eastAsia="宋体" w:cs="宋体"/>
                <w:i w:val="0"/>
                <w:iCs w:val="0"/>
                <w:color w:val="auto"/>
                <w:sz w:val="21"/>
                <w:szCs w:val="21"/>
                <w:highlight w:val="none"/>
                <w:lang w:val="zh-CN" w:eastAsia="zh-CN"/>
              </w:rPr>
              <w:t>各方共同签署的联合体协议【</w:t>
            </w:r>
            <w:r>
              <w:rPr>
                <w:rFonts w:hint="eastAsia" w:ascii="宋体" w:hAnsi="宋体" w:eastAsia="宋体" w:cs="宋体"/>
                <w:i w:val="0"/>
                <w:iCs w:val="0"/>
                <w:color w:val="auto"/>
                <w:sz w:val="21"/>
                <w:szCs w:val="21"/>
                <w:highlight w:val="none"/>
                <w:lang w:val="en-US" w:eastAsia="zh-CN"/>
              </w:rPr>
              <w:t>如允许联合体磋商的</w:t>
            </w:r>
            <w:r>
              <w:rPr>
                <w:rFonts w:hint="eastAsia" w:ascii="宋体" w:hAnsi="宋体" w:eastAsia="宋体" w:cs="宋体"/>
                <w:i w:val="0"/>
                <w:iCs w:val="0"/>
                <w:color w:val="auto"/>
                <w:sz w:val="21"/>
                <w:szCs w:val="21"/>
                <w:highlight w:val="none"/>
                <w:lang w:val="zh-CN" w:eastAsia="zh-CN"/>
              </w:rPr>
              <w:t>】</w:t>
            </w:r>
          </w:p>
        </w:tc>
        <w:tc>
          <w:tcPr>
            <w:tcW w:w="468" w:type="pct"/>
            <w:shd w:val="clear" w:color="auto" w:fill="auto"/>
            <w:vAlign w:val="center"/>
          </w:tcPr>
          <w:p w14:paraId="2C782F18">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163069B8">
            <w:pPr>
              <w:pStyle w:val="47"/>
              <w:rPr>
                <w:rFonts w:hint="eastAsia" w:ascii="宋体" w:hAnsi="宋体" w:eastAsia="宋体" w:cs="宋体"/>
                <w:i w:val="0"/>
                <w:iCs w:val="0"/>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1" w:type="pct"/>
            <w:shd w:val="clear" w:color="auto" w:fill="auto"/>
            <w:vAlign w:val="center"/>
          </w:tcPr>
          <w:p w14:paraId="31C12A1B">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6</w:t>
            </w:r>
          </w:p>
        </w:tc>
        <w:tc>
          <w:tcPr>
            <w:tcW w:w="704" w:type="pct"/>
            <w:vAlign w:val="center"/>
          </w:tcPr>
          <w:p w14:paraId="55194F4F">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磋商保证金</w:t>
            </w:r>
          </w:p>
        </w:tc>
        <w:tc>
          <w:tcPr>
            <w:tcW w:w="2967" w:type="pct"/>
            <w:shd w:val="clear" w:color="auto" w:fill="auto"/>
            <w:vAlign w:val="center"/>
          </w:tcPr>
          <w:p w14:paraId="4803457A">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194FF3C2">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72B823">
            <w:pPr>
              <w:pStyle w:val="47"/>
              <w:rPr>
                <w:rFonts w:hint="eastAsia" w:ascii="宋体" w:hAnsi="宋体" w:eastAsia="宋体" w:cs="宋体"/>
                <w:i w:val="0"/>
                <w:iCs w:val="0"/>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6C002E13">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7</w:t>
            </w:r>
          </w:p>
        </w:tc>
        <w:tc>
          <w:tcPr>
            <w:tcW w:w="704" w:type="pct"/>
            <w:vAlign w:val="center"/>
          </w:tcPr>
          <w:p w14:paraId="5C91A4A7">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响应文件的澄清、说明、补正</w:t>
            </w:r>
          </w:p>
        </w:tc>
        <w:tc>
          <w:tcPr>
            <w:tcW w:w="2967" w:type="pct"/>
            <w:shd w:val="clear" w:color="auto" w:fill="auto"/>
            <w:vAlign w:val="center"/>
          </w:tcPr>
          <w:p w14:paraId="3E6052BB">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p>
        </w:tc>
        <w:tc>
          <w:tcPr>
            <w:tcW w:w="468" w:type="pct"/>
            <w:shd w:val="clear" w:color="auto" w:fill="auto"/>
            <w:vAlign w:val="center"/>
          </w:tcPr>
          <w:p w14:paraId="1EA81190">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94B23D">
            <w:pPr>
              <w:pStyle w:val="47"/>
              <w:rPr>
                <w:rFonts w:hint="eastAsia" w:ascii="宋体" w:hAnsi="宋体" w:eastAsia="宋体" w:cs="宋体"/>
                <w:i w:val="0"/>
                <w:iCs w:val="0"/>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1" w:type="pct"/>
            <w:shd w:val="clear" w:color="auto" w:fill="auto"/>
            <w:vAlign w:val="center"/>
          </w:tcPr>
          <w:p w14:paraId="09617D9C">
            <w:pPr>
              <w:pStyle w:val="47"/>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sz w:val="21"/>
                <w:szCs w:val="21"/>
                <w:highlight w:val="none"/>
                <w:lang w:val="en-US" w:eastAsia="zh-CN"/>
              </w:rPr>
              <w:t>8</w:t>
            </w:r>
          </w:p>
        </w:tc>
        <w:tc>
          <w:tcPr>
            <w:tcW w:w="704" w:type="pct"/>
            <w:vAlign w:val="center"/>
          </w:tcPr>
          <w:p w14:paraId="2016E93A">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供应商影响评审</w:t>
            </w:r>
          </w:p>
        </w:tc>
        <w:tc>
          <w:tcPr>
            <w:tcW w:w="2967" w:type="pct"/>
            <w:shd w:val="clear" w:color="auto" w:fill="auto"/>
            <w:vAlign w:val="center"/>
          </w:tcPr>
          <w:p w14:paraId="50B76BB4">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468" w:type="pct"/>
            <w:shd w:val="clear" w:color="auto" w:fill="auto"/>
            <w:vAlign w:val="center"/>
          </w:tcPr>
          <w:p w14:paraId="75DB24A7">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D6DA84C">
            <w:pPr>
              <w:pStyle w:val="47"/>
              <w:rPr>
                <w:rFonts w:hint="eastAsia" w:ascii="宋体" w:hAnsi="宋体" w:eastAsia="宋体" w:cs="宋体"/>
                <w:i w:val="0"/>
                <w:iCs w:val="0"/>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32BD4A6">
            <w:pPr>
              <w:pStyle w:val="47"/>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9</w:t>
            </w:r>
          </w:p>
        </w:tc>
        <w:tc>
          <w:tcPr>
            <w:tcW w:w="704" w:type="pct"/>
            <w:vAlign w:val="center"/>
          </w:tcPr>
          <w:p w14:paraId="56EEFE7E">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7" w:type="pct"/>
            <w:shd w:val="clear" w:color="auto" w:fill="auto"/>
            <w:vAlign w:val="center"/>
          </w:tcPr>
          <w:p w14:paraId="618DB2FB">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3E4201A">
            <w:pPr>
              <w:pStyle w:val="47"/>
              <w:rPr>
                <w:rFonts w:hint="eastAsia" w:ascii="宋体" w:hAnsi="宋体" w:eastAsia="宋体" w:cs="宋体"/>
                <w:i w:val="0"/>
                <w:iCs w:val="0"/>
                <w:color w:val="auto"/>
                <w:sz w:val="21"/>
                <w:szCs w:val="21"/>
                <w:highlight w:val="none"/>
                <w:lang w:val="zh-CN"/>
              </w:rPr>
            </w:pPr>
          </w:p>
        </w:tc>
      </w:tr>
      <w:tr w14:paraId="1179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52CC8451">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10</w:t>
            </w:r>
          </w:p>
        </w:tc>
        <w:tc>
          <w:tcPr>
            <w:tcW w:w="704" w:type="pct"/>
            <w:vAlign w:val="center"/>
          </w:tcPr>
          <w:p w14:paraId="109D217F">
            <w:pPr>
              <w:pStyle w:val="47"/>
              <w:shd w:val="clear"/>
              <w:spacing w:line="24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zh-CN"/>
              </w:rPr>
              <w:t>其他无效情形</w:t>
            </w:r>
          </w:p>
        </w:tc>
        <w:tc>
          <w:tcPr>
            <w:tcW w:w="2967" w:type="pct"/>
            <w:shd w:val="clear" w:color="auto" w:fill="auto"/>
            <w:vAlign w:val="center"/>
          </w:tcPr>
          <w:p w14:paraId="2EE25C36">
            <w:pPr>
              <w:pStyle w:val="47"/>
              <w:shd w:val="clear"/>
              <w:spacing w:line="24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2754ABB9">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5CEDFCD">
            <w:pPr>
              <w:pStyle w:val="47"/>
              <w:rPr>
                <w:rFonts w:hint="eastAsia" w:ascii="宋体" w:hAnsi="宋体" w:eastAsia="宋体" w:cs="宋体"/>
                <w:i w:val="0"/>
                <w:iCs w:val="0"/>
                <w:color w:val="auto"/>
                <w:sz w:val="21"/>
                <w:szCs w:val="21"/>
                <w:highlight w:val="none"/>
                <w:lang w:val="zh-CN"/>
              </w:rPr>
            </w:pPr>
          </w:p>
        </w:tc>
      </w:tr>
    </w:tbl>
    <w:p w14:paraId="14F34B2C">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214A2B1C">
      <w:pPr>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br w:type="page"/>
      </w:r>
    </w:p>
    <w:p w14:paraId="4F7CC11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i w:val="0"/>
          <w:iCs w:val="0"/>
          <w:color w:val="auto"/>
          <w:kern w:val="2"/>
          <w:sz w:val="28"/>
          <w:szCs w:val="28"/>
          <w:highlight w:val="none"/>
          <w:lang w:val="zh-CN" w:eastAsia="zh-CN" w:bidi="ar-SA"/>
        </w:rPr>
      </w:pPr>
      <w:r>
        <w:rPr>
          <w:rFonts w:hint="eastAsia" w:ascii="宋体" w:hAnsi="宋体" w:eastAsia="宋体" w:cstheme="minorBidi"/>
          <w:b/>
          <w:bCs/>
          <w:i w:val="0"/>
          <w:iCs w:val="0"/>
          <w:color w:val="auto"/>
          <w:kern w:val="2"/>
          <w:sz w:val="28"/>
          <w:szCs w:val="28"/>
          <w:highlight w:val="none"/>
          <w:lang w:val="zh-CN" w:eastAsia="zh-CN" w:bidi="ar-SA"/>
        </w:rPr>
        <w:t>实质性响应一览表</w:t>
      </w:r>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ascii="宋体" w:hAnsi="宋体" w:cs="宋体"/>
          <w:b/>
          <w:bCs w:val="0"/>
          <w:i w:val="0"/>
          <w:iCs w:val="0"/>
          <w:color w:val="auto"/>
          <w:sz w:val="24"/>
          <w:highlight w:val="none"/>
          <w:lang w:val="en-US" w:eastAsia="zh-CN"/>
        </w:rPr>
        <w:t>响应</w:t>
      </w:r>
      <w:r>
        <w:rPr>
          <w:rFonts w:hint="eastAsia" w:ascii="宋体" w:hAnsi="宋体" w:cs="宋体"/>
          <w:b/>
          <w:bCs w:val="0"/>
          <w:i w:val="0"/>
          <w:iCs w:val="0"/>
          <w:color w:val="auto"/>
          <w:sz w:val="24"/>
          <w:highlight w:val="none"/>
        </w:rPr>
        <w:t>无效</w:t>
      </w:r>
      <w:r>
        <w:rPr>
          <w:rFonts w:hint="eastAsia" w:ascii="宋体" w:hAnsi="宋体" w:cs="宋体"/>
          <w:b w:val="0"/>
          <w:bCs/>
          <w:i w:val="0"/>
          <w:iCs w:val="0"/>
          <w:color w:val="auto"/>
          <w:sz w:val="24"/>
          <w:highlight w:val="none"/>
        </w:rPr>
        <w:t>）</w:t>
      </w:r>
    </w:p>
    <w:p w14:paraId="4F532689">
      <w:pPr>
        <w:pStyle w:val="23"/>
        <w:rPr>
          <w:rFonts w:hint="eastAsia" w:ascii="宋体" w:hAnsi="宋体" w:cs="宋体"/>
          <w:i w:val="0"/>
          <w:iCs w:val="0"/>
          <w:color w:val="auto"/>
          <w:highlight w:val="none"/>
        </w:rPr>
      </w:pPr>
    </w:p>
    <w:tbl>
      <w:tblPr>
        <w:tblStyle w:val="30"/>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30"/>
        <w:gridCol w:w="3384"/>
        <w:gridCol w:w="2176"/>
        <w:gridCol w:w="776"/>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054"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文件要求的实质性响应内容</w:t>
            </w:r>
          </w:p>
        </w:tc>
        <w:tc>
          <w:tcPr>
            <w:tcW w:w="1123"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0"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06"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4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磋商文件中的规定</w:t>
            </w:r>
          </w:p>
        </w:tc>
        <w:tc>
          <w:tcPr>
            <w:tcW w:w="1123"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0"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20" w:type="pct"/>
            <w:noWrap w:val="0"/>
            <w:vAlign w:val="center"/>
          </w:tcPr>
          <w:p w14:paraId="1D030E8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06" w:type="pct"/>
            <w:shd w:val="clear" w:color="auto" w:fill="auto"/>
            <w:noWrap w:val="0"/>
            <w:vAlign w:val="center"/>
          </w:tcPr>
          <w:p w14:paraId="2AE01BE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heme="minorBidi"/>
                <w:snapToGrid w:val="0"/>
                <w:color w:val="auto"/>
                <w:kern w:val="2"/>
                <w:sz w:val="21"/>
                <w:szCs w:val="21"/>
                <w:highlight w:val="none"/>
                <w:lang w:val="en-US" w:eastAsia="zh-CN" w:bidi="ar-SA"/>
              </w:rPr>
            </w:pPr>
            <w:r>
              <w:rPr>
                <w:rFonts w:hint="eastAsia"/>
                <w:snapToGrid w:val="0"/>
                <w:color w:val="auto"/>
                <w:sz w:val="21"/>
                <w:szCs w:val="21"/>
                <w:highlight w:val="none"/>
              </w:rPr>
              <w:t>付款条件（进度和方式）</w:t>
            </w:r>
          </w:p>
        </w:tc>
        <w:tc>
          <w:tcPr>
            <w:tcW w:w="1748" w:type="pct"/>
            <w:noWrap w:val="0"/>
            <w:vAlign w:val="center"/>
          </w:tcPr>
          <w:p w14:paraId="29D708CA">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依据中标结果结合实际完成项目计算咨询费用，每半年支付一次造价咨询费。</w:t>
            </w:r>
          </w:p>
        </w:tc>
        <w:tc>
          <w:tcPr>
            <w:tcW w:w="1123"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0"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501E13E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06" w:type="pct"/>
            <w:shd w:val="clear" w:color="auto" w:fill="auto"/>
            <w:noWrap w:val="0"/>
            <w:vAlign w:val="center"/>
          </w:tcPr>
          <w:p w14:paraId="65BB59B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heme="minorBidi"/>
                <w:snapToGrid w:val="0"/>
                <w:color w:val="auto"/>
                <w:kern w:val="2"/>
                <w:sz w:val="21"/>
                <w:szCs w:val="21"/>
                <w:highlight w:val="none"/>
                <w:lang w:val="en-US" w:eastAsia="zh-CN" w:bidi="ar-SA"/>
              </w:rPr>
            </w:pPr>
            <w:r>
              <w:rPr>
                <w:rFonts w:hint="eastAsia"/>
                <w:snapToGrid w:val="0"/>
                <w:color w:val="auto"/>
                <w:sz w:val="21"/>
                <w:szCs w:val="21"/>
                <w:highlight w:val="none"/>
              </w:rPr>
              <w:t>服务期限</w:t>
            </w:r>
          </w:p>
        </w:tc>
        <w:tc>
          <w:tcPr>
            <w:tcW w:w="1748" w:type="pct"/>
            <w:noWrap w:val="0"/>
            <w:vAlign w:val="center"/>
          </w:tcPr>
          <w:p w14:paraId="3DFC43A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服务期限为3年，合同一年一签，年度考核经相关使用部门评价，成绩合格方可续签下一年合同；</w:t>
            </w:r>
          </w:p>
        </w:tc>
        <w:tc>
          <w:tcPr>
            <w:tcW w:w="1123"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20" w:type="pct"/>
            <w:noWrap w:val="0"/>
            <w:vAlign w:val="center"/>
          </w:tcPr>
          <w:p w14:paraId="28CC6CF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06" w:type="pct"/>
            <w:shd w:val="clear" w:color="auto" w:fill="auto"/>
            <w:noWrap w:val="0"/>
            <w:vAlign w:val="center"/>
          </w:tcPr>
          <w:p w14:paraId="1C9AFC6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heme="minorBidi"/>
                <w:snapToGrid w:val="0"/>
                <w:color w:val="auto"/>
                <w:kern w:val="2"/>
                <w:sz w:val="21"/>
                <w:szCs w:val="21"/>
                <w:highlight w:val="none"/>
                <w:lang w:val="en-US" w:eastAsia="zh-CN" w:bidi="ar-SA"/>
              </w:rPr>
            </w:pPr>
            <w:r>
              <w:rPr>
                <w:rFonts w:hint="eastAsia"/>
                <w:snapToGrid w:val="0"/>
                <w:color w:val="auto"/>
                <w:sz w:val="21"/>
                <w:szCs w:val="21"/>
                <w:highlight w:val="none"/>
                <w:lang w:eastAsia="zh-CN"/>
              </w:rPr>
              <w:t>响应文件</w:t>
            </w:r>
            <w:r>
              <w:rPr>
                <w:rFonts w:hint="eastAsia"/>
                <w:snapToGrid w:val="0"/>
                <w:color w:val="auto"/>
                <w:sz w:val="21"/>
                <w:szCs w:val="21"/>
                <w:highlight w:val="none"/>
              </w:rPr>
              <w:t>有效期</w:t>
            </w:r>
          </w:p>
        </w:tc>
        <w:tc>
          <w:tcPr>
            <w:tcW w:w="1748" w:type="pct"/>
            <w:noWrap w:val="0"/>
            <w:vAlign w:val="center"/>
          </w:tcPr>
          <w:p w14:paraId="46223A2E">
            <w:pPr>
              <w:pStyle w:val="6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响应文件递交截止日期后90日历日</w:t>
            </w:r>
          </w:p>
        </w:tc>
        <w:tc>
          <w:tcPr>
            <w:tcW w:w="1123"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3FE966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4</w:t>
            </w:r>
          </w:p>
        </w:tc>
        <w:tc>
          <w:tcPr>
            <w:tcW w:w="1306" w:type="pct"/>
            <w:shd w:val="clear" w:color="auto" w:fill="auto"/>
            <w:noWrap w:val="0"/>
            <w:vAlign w:val="center"/>
          </w:tcPr>
          <w:p w14:paraId="6695762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heme="minorBidi"/>
                <w:snapToGrid w:val="0"/>
                <w:color w:val="auto"/>
                <w:kern w:val="2"/>
                <w:sz w:val="21"/>
                <w:szCs w:val="21"/>
                <w:highlight w:val="none"/>
                <w:lang w:val="en-US" w:eastAsia="zh-CN" w:bidi="ar-SA"/>
              </w:rPr>
            </w:pPr>
            <w:r>
              <w:rPr>
                <w:rFonts w:hint="eastAsia"/>
                <w:snapToGrid w:val="0"/>
                <w:color w:val="auto"/>
                <w:sz w:val="21"/>
                <w:szCs w:val="21"/>
                <w:highlight w:val="none"/>
                <w:lang w:val="en-US" w:eastAsia="zh-CN"/>
              </w:rPr>
              <w:t>参数响应</w:t>
            </w:r>
          </w:p>
        </w:tc>
        <w:tc>
          <w:tcPr>
            <w:tcW w:w="1748" w:type="pct"/>
            <w:noWrap w:val="0"/>
            <w:vAlign w:val="center"/>
          </w:tcPr>
          <w:p w14:paraId="5FCDF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采购需求章节中的参数仅供参考，但响应参数不得低于采购需求中的要求</w:t>
            </w:r>
          </w:p>
        </w:tc>
        <w:tc>
          <w:tcPr>
            <w:tcW w:w="1123"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noWrap w:val="0"/>
            <w:vAlign w:val="center"/>
          </w:tcPr>
          <w:p w14:paraId="727A18F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5</w:t>
            </w:r>
          </w:p>
        </w:tc>
        <w:tc>
          <w:tcPr>
            <w:tcW w:w="1306" w:type="pct"/>
            <w:shd w:val="clear" w:color="auto" w:fill="auto"/>
            <w:noWrap w:val="0"/>
            <w:vAlign w:val="center"/>
          </w:tcPr>
          <w:p w14:paraId="20EF89D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theme="minorBidi"/>
                <w:snapToGrid w:val="0"/>
                <w:color w:val="auto"/>
                <w:kern w:val="2"/>
                <w:sz w:val="21"/>
                <w:szCs w:val="21"/>
                <w:highlight w:val="none"/>
                <w:lang w:val="en-US" w:eastAsia="zh-CN" w:bidi="ar-SA"/>
              </w:rPr>
            </w:pPr>
            <w:r>
              <w:rPr>
                <w:rFonts w:hint="eastAsia" w:ascii="宋体" w:hAnsi="宋体" w:eastAsia="宋体" w:cstheme="minorBidi"/>
                <w:snapToGrid w:val="0"/>
                <w:color w:val="auto"/>
                <w:kern w:val="2"/>
                <w:sz w:val="21"/>
                <w:szCs w:val="21"/>
                <w:highlight w:val="none"/>
                <w:lang w:val="en-US" w:eastAsia="zh-CN" w:bidi="ar-SA"/>
              </w:rPr>
              <w:t>服务地点</w:t>
            </w:r>
          </w:p>
        </w:tc>
        <w:tc>
          <w:tcPr>
            <w:tcW w:w="1748" w:type="pct"/>
            <w:noWrap w:val="0"/>
            <w:vAlign w:val="center"/>
          </w:tcPr>
          <w:p w14:paraId="2C049B56">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新疆医科大学第一附属医院</w:t>
            </w:r>
          </w:p>
        </w:tc>
        <w:tc>
          <w:tcPr>
            <w:tcW w:w="1123"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46DDF9E7">
      <w:pPr>
        <w:pStyle w:val="23"/>
        <w:rPr>
          <w:rFonts w:hint="eastAsia" w:ascii="宋体" w:hAnsi="宋体" w:cs="宋体"/>
          <w:i w:val="0"/>
          <w:iCs w:val="0"/>
          <w:color w:val="auto"/>
          <w:highlight w:val="none"/>
        </w:rPr>
      </w:pPr>
    </w:p>
    <w:p w14:paraId="392483E7">
      <w:pPr>
        <w:rPr>
          <w:rFonts w:hint="eastAsia"/>
          <w:i w:val="0"/>
          <w:iCs w:val="0"/>
          <w:color w:val="auto"/>
          <w:highlight w:val="none"/>
          <w:lang w:val="en-US" w:eastAsia="zh-CN"/>
        </w:rPr>
      </w:pPr>
    </w:p>
    <w:p w14:paraId="10759ABD">
      <w:pPr>
        <w:rPr>
          <w:rFonts w:hint="eastAsia"/>
          <w:i w:val="0"/>
          <w:iCs w:val="0"/>
          <w:color w:val="auto"/>
          <w:highlight w:val="none"/>
          <w:lang w:val="en-US" w:eastAsia="zh-CN"/>
        </w:rPr>
      </w:pPr>
    </w:p>
    <w:p w14:paraId="7D6B098B">
      <w:pPr>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outlineLvl w:val="9"/>
        <w:rPr>
          <w:rFonts w:hint="eastAsia" w:ascii="宋体" w:hAnsi="宋体" w:eastAsia="宋体" w:cs="宋体"/>
          <w:b/>
          <w:bCs/>
          <w:i w:val="0"/>
          <w:iCs w:val="0"/>
          <w:color w:val="auto"/>
          <w:kern w:val="2"/>
          <w:sz w:val="24"/>
          <w:szCs w:val="24"/>
          <w:highlight w:val="none"/>
          <w:lang w:val="en-US" w:eastAsia="zh-CN" w:bidi="ar-SA"/>
        </w:rPr>
      </w:pPr>
    </w:p>
    <w:p w14:paraId="72095ECD">
      <w:pP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br w:type="page"/>
      </w:r>
    </w:p>
    <w:p w14:paraId="3D420025">
      <w:pPr>
        <w:pStyle w:val="5"/>
        <w:keepNext w:val="0"/>
        <w:keepLines w:val="0"/>
        <w:pageBreakBefore w:val="0"/>
        <w:widowControl w:val="0"/>
        <w:numPr>
          <w:ilvl w:val="0"/>
          <w:numId w:val="3"/>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zh-CN" w:eastAsia="zh-CN" w:bidi="ar-SA"/>
        </w:rPr>
        <w:t>评分标准</w:t>
      </w:r>
      <w:bookmarkEnd w:id="458"/>
    </w:p>
    <w:tbl>
      <w:tblPr>
        <w:tblStyle w:val="30"/>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85"/>
        <w:gridCol w:w="5820"/>
        <w:gridCol w:w="836"/>
      </w:tblGrid>
      <w:tr w14:paraId="631E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71" w:type="dxa"/>
            <w:shd w:val="clear" w:color="auto" w:fill="D8D8D8" w:themeFill="background1" w:themeFillShade="D9"/>
            <w:vAlign w:val="center"/>
          </w:tcPr>
          <w:p w14:paraId="2FB5EDF6">
            <w:pPr>
              <w:pStyle w:val="47"/>
              <w:jc w:val="center"/>
              <w:rPr>
                <w:rFonts w:cs="宋体"/>
                <w:b/>
                <w:bCs/>
                <w:color w:val="auto"/>
                <w:szCs w:val="21"/>
                <w:highlight w:val="none"/>
              </w:rPr>
            </w:pPr>
            <w:bookmarkStart w:id="459" w:name="OLE_LINK9"/>
            <w:r>
              <w:rPr>
                <w:rFonts w:hint="eastAsia" w:cs="宋体"/>
                <w:b/>
                <w:bCs/>
                <w:color w:val="auto"/>
                <w:szCs w:val="21"/>
                <w:highlight w:val="none"/>
              </w:rPr>
              <w:t>评标项目</w:t>
            </w:r>
          </w:p>
        </w:tc>
        <w:tc>
          <w:tcPr>
            <w:tcW w:w="1185" w:type="dxa"/>
            <w:shd w:val="clear" w:color="auto" w:fill="D8D8D8" w:themeFill="background1" w:themeFillShade="D9"/>
            <w:vAlign w:val="center"/>
          </w:tcPr>
          <w:p w14:paraId="0BEC2FD1">
            <w:pPr>
              <w:pStyle w:val="47"/>
              <w:jc w:val="center"/>
              <w:rPr>
                <w:rFonts w:cs="宋体"/>
                <w:b/>
                <w:bCs/>
                <w:color w:val="auto"/>
                <w:szCs w:val="21"/>
                <w:highlight w:val="none"/>
              </w:rPr>
            </w:pPr>
            <w:r>
              <w:rPr>
                <w:rFonts w:hint="eastAsia" w:cs="宋体"/>
                <w:b/>
                <w:bCs/>
                <w:color w:val="auto"/>
                <w:szCs w:val="21"/>
                <w:highlight w:val="none"/>
              </w:rPr>
              <w:t>评标</w:t>
            </w:r>
          </w:p>
          <w:p w14:paraId="4E91128A">
            <w:pPr>
              <w:pStyle w:val="47"/>
              <w:jc w:val="center"/>
              <w:rPr>
                <w:rFonts w:cs="宋体"/>
                <w:b/>
                <w:bCs/>
                <w:color w:val="auto"/>
                <w:szCs w:val="21"/>
                <w:highlight w:val="none"/>
              </w:rPr>
            </w:pPr>
            <w:r>
              <w:rPr>
                <w:rFonts w:hint="eastAsia" w:cs="宋体"/>
                <w:b/>
                <w:bCs/>
                <w:color w:val="auto"/>
                <w:szCs w:val="21"/>
                <w:highlight w:val="none"/>
              </w:rPr>
              <w:t>分项</w:t>
            </w:r>
          </w:p>
        </w:tc>
        <w:tc>
          <w:tcPr>
            <w:tcW w:w="5820" w:type="dxa"/>
            <w:shd w:val="clear" w:color="auto" w:fill="D8D8D8" w:themeFill="background1" w:themeFillShade="D9"/>
            <w:vAlign w:val="center"/>
          </w:tcPr>
          <w:p w14:paraId="63E777F4">
            <w:pPr>
              <w:pStyle w:val="47"/>
              <w:jc w:val="center"/>
              <w:rPr>
                <w:rFonts w:cs="宋体"/>
                <w:b/>
                <w:bCs/>
                <w:color w:val="auto"/>
                <w:szCs w:val="21"/>
                <w:highlight w:val="none"/>
              </w:rPr>
            </w:pPr>
            <w:r>
              <w:rPr>
                <w:rFonts w:hint="eastAsia" w:cs="宋体"/>
                <w:b/>
                <w:bCs/>
                <w:color w:val="auto"/>
                <w:szCs w:val="21"/>
                <w:highlight w:val="none"/>
              </w:rPr>
              <w:t>子项目及分值</w:t>
            </w:r>
          </w:p>
        </w:tc>
        <w:tc>
          <w:tcPr>
            <w:tcW w:w="836" w:type="dxa"/>
            <w:shd w:val="clear" w:color="auto" w:fill="D8D8D8" w:themeFill="background1" w:themeFillShade="D9"/>
            <w:vAlign w:val="center"/>
          </w:tcPr>
          <w:p w14:paraId="4DE41A21">
            <w:pPr>
              <w:pStyle w:val="47"/>
              <w:jc w:val="center"/>
              <w:rPr>
                <w:rFonts w:hint="eastAsia" w:cs="宋体"/>
                <w:b/>
                <w:bCs/>
                <w:color w:val="auto"/>
                <w:szCs w:val="21"/>
                <w:highlight w:val="none"/>
              </w:rPr>
            </w:pPr>
            <w:r>
              <w:rPr>
                <w:rFonts w:hint="eastAsia" w:cs="宋体"/>
                <w:b/>
                <w:bCs/>
                <w:color w:val="auto"/>
                <w:szCs w:val="21"/>
                <w:highlight w:val="none"/>
              </w:rPr>
              <w:t>分值</w:t>
            </w:r>
          </w:p>
        </w:tc>
      </w:tr>
      <w:tr w14:paraId="4507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1271" w:type="dxa"/>
            <w:vAlign w:val="center"/>
          </w:tcPr>
          <w:p w14:paraId="5E36ABBE">
            <w:pPr>
              <w:pStyle w:val="47"/>
              <w:jc w:val="center"/>
              <w:rPr>
                <w:rFonts w:cs="宋体"/>
                <w:color w:val="auto"/>
                <w:szCs w:val="21"/>
                <w:highlight w:val="none"/>
              </w:rPr>
            </w:pPr>
            <w:r>
              <w:rPr>
                <w:rFonts w:hint="eastAsia" w:cs="宋体"/>
                <w:color w:val="auto"/>
                <w:szCs w:val="21"/>
                <w:highlight w:val="none"/>
              </w:rPr>
              <w:t>价格部分</w:t>
            </w:r>
          </w:p>
          <w:p w14:paraId="17E84BCF">
            <w:pPr>
              <w:pStyle w:val="47"/>
              <w:jc w:val="center"/>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30</w:t>
            </w:r>
            <w:r>
              <w:rPr>
                <w:rFonts w:hint="eastAsia" w:cs="宋体"/>
                <w:color w:val="auto"/>
                <w:szCs w:val="21"/>
                <w:highlight w:val="none"/>
              </w:rPr>
              <w:t>分）</w:t>
            </w:r>
          </w:p>
        </w:tc>
        <w:tc>
          <w:tcPr>
            <w:tcW w:w="1185" w:type="dxa"/>
            <w:tcBorders>
              <w:bottom w:val="single" w:color="auto" w:sz="4" w:space="0"/>
            </w:tcBorders>
            <w:vAlign w:val="center"/>
          </w:tcPr>
          <w:p w14:paraId="6A2CD5E3">
            <w:pPr>
              <w:pStyle w:val="47"/>
              <w:jc w:val="center"/>
              <w:rPr>
                <w:rFonts w:cs="宋体"/>
                <w:color w:val="auto"/>
                <w:szCs w:val="21"/>
                <w:highlight w:val="none"/>
              </w:rPr>
            </w:pPr>
            <w:r>
              <w:rPr>
                <w:rFonts w:hint="eastAsia" w:cs="宋体"/>
                <w:color w:val="auto"/>
                <w:szCs w:val="21"/>
                <w:highlight w:val="none"/>
              </w:rPr>
              <w:t>最后</w:t>
            </w:r>
          </w:p>
          <w:p w14:paraId="5B0EAC82">
            <w:pPr>
              <w:pStyle w:val="47"/>
              <w:jc w:val="center"/>
              <w:rPr>
                <w:rFonts w:cs="宋体"/>
                <w:color w:val="auto"/>
                <w:szCs w:val="21"/>
                <w:highlight w:val="none"/>
              </w:rPr>
            </w:pPr>
            <w:r>
              <w:rPr>
                <w:rFonts w:hint="eastAsia" w:cs="宋体"/>
                <w:color w:val="auto"/>
                <w:szCs w:val="21"/>
                <w:highlight w:val="none"/>
              </w:rPr>
              <w:t>报价</w:t>
            </w:r>
          </w:p>
        </w:tc>
        <w:tc>
          <w:tcPr>
            <w:tcW w:w="5820" w:type="dxa"/>
            <w:vAlign w:val="center"/>
          </w:tcPr>
          <w:p w14:paraId="39AE19F8">
            <w:pPr>
              <w:pStyle w:val="47"/>
              <w:rPr>
                <w:rFonts w:cs="宋体"/>
                <w:color w:val="auto"/>
                <w:szCs w:val="21"/>
                <w:highlight w:val="none"/>
              </w:rPr>
            </w:pPr>
            <w:r>
              <w:rPr>
                <w:rFonts w:hint="eastAsia" w:cs="宋体"/>
                <w:color w:val="auto"/>
                <w:szCs w:val="21"/>
                <w:highlight w:val="none"/>
              </w:rPr>
              <w:t>满足竞争性磋商文件要求且最后报价最低的报价为评审基准价，其价格分为满分。其他供应商的价格分统一按照下列公式计算：</w:t>
            </w:r>
          </w:p>
          <w:p w14:paraId="308773FB">
            <w:pPr>
              <w:pStyle w:val="47"/>
              <w:rPr>
                <w:rFonts w:cs="宋体"/>
                <w:color w:val="auto"/>
                <w:szCs w:val="21"/>
                <w:highlight w:val="none"/>
              </w:rPr>
            </w:pPr>
            <w:r>
              <w:rPr>
                <w:rFonts w:hint="eastAsia" w:cs="宋体"/>
                <w:color w:val="auto"/>
                <w:szCs w:val="21"/>
                <w:highlight w:val="none"/>
              </w:rPr>
              <w:t>报价得分=</w:t>
            </w:r>
            <w:r>
              <w:rPr>
                <w:rFonts w:hint="eastAsia" w:cs="宋体"/>
                <w:color w:val="auto"/>
                <w:szCs w:val="21"/>
                <w:highlight w:val="none"/>
                <w:lang w:val="zh-CN"/>
              </w:rPr>
              <w:t>（磋商基准价/最后磋商报价）</w:t>
            </w:r>
            <w:r>
              <w:rPr>
                <w:rFonts w:hint="eastAsia" w:cs="宋体"/>
                <w:color w:val="auto"/>
                <w:szCs w:val="21"/>
                <w:highlight w:val="none"/>
              </w:rPr>
              <w:t>×价格分值</w:t>
            </w:r>
          </w:p>
          <w:p w14:paraId="33261B3F">
            <w:pPr>
              <w:pStyle w:val="47"/>
              <w:rPr>
                <w:rFonts w:cs="宋体"/>
                <w:color w:val="auto"/>
                <w:szCs w:val="21"/>
                <w:highlight w:val="none"/>
              </w:rPr>
            </w:pPr>
          </w:p>
          <w:p w14:paraId="3994C5A0">
            <w:pPr>
              <w:pStyle w:val="47"/>
              <w:rPr>
                <w:rFonts w:cs="宋体"/>
                <w:color w:val="auto"/>
                <w:szCs w:val="21"/>
                <w:highlight w:val="none"/>
              </w:rPr>
            </w:pPr>
            <w:r>
              <w:rPr>
                <w:rFonts w:hint="eastAsia" w:cs="宋体"/>
                <w:color w:val="auto"/>
                <w:szCs w:val="21"/>
                <w:highlight w:val="none"/>
              </w:rPr>
              <w:t>备注：符合供应商须知中价格扣除规定的，在评审时予以价格扣除，用扣除后的最后报价参与评审。</w:t>
            </w:r>
          </w:p>
        </w:tc>
        <w:tc>
          <w:tcPr>
            <w:tcW w:w="836" w:type="dxa"/>
            <w:vAlign w:val="center"/>
          </w:tcPr>
          <w:p w14:paraId="688ED29C">
            <w:pPr>
              <w:pStyle w:val="47"/>
              <w:ind w:firstLine="210" w:firstLineChars="100"/>
              <w:jc w:val="both"/>
              <w:rPr>
                <w:rFonts w:hint="default" w:eastAsia="宋体" w:cs="宋体"/>
                <w:color w:val="auto"/>
                <w:szCs w:val="21"/>
                <w:highlight w:val="none"/>
                <w:lang w:val="en-US" w:eastAsia="zh-CN"/>
              </w:rPr>
            </w:pPr>
            <w:r>
              <w:rPr>
                <w:rFonts w:hint="eastAsia" w:cs="宋体"/>
                <w:color w:val="auto"/>
                <w:szCs w:val="21"/>
                <w:highlight w:val="none"/>
                <w:lang w:val="en-US" w:eastAsia="zh-CN"/>
              </w:rPr>
              <w:t>30</w:t>
            </w:r>
          </w:p>
        </w:tc>
      </w:tr>
      <w:tr w14:paraId="24AE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271" w:type="dxa"/>
            <w:vMerge w:val="restart"/>
            <w:vAlign w:val="center"/>
          </w:tcPr>
          <w:p w14:paraId="2A408DA0">
            <w:pPr>
              <w:pStyle w:val="47"/>
              <w:jc w:val="center"/>
              <w:rPr>
                <w:rFonts w:cs="宋体"/>
                <w:color w:val="auto"/>
                <w:szCs w:val="21"/>
                <w:highlight w:val="none"/>
              </w:rPr>
            </w:pPr>
            <w:r>
              <w:rPr>
                <w:rFonts w:hint="eastAsia" w:cs="宋体"/>
                <w:color w:val="auto"/>
                <w:szCs w:val="21"/>
                <w:highlight w:val="none"/>
              </w:rPr>
              <w:t>商务部分</w:t>
            </w:r>
          </w:p>
          <w:p w14:paraId="2800F04C">
            <w:pPr>
              <w:pStyle w:val="47"/>
              <w:jc w:val="center"/>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19</w:t>
            </w:r>
            <w:r>
              <w:rPr>
                <w:rFonts w:hint="eastAsia" w:cs="宋体"/>
                <w:color w:val="auto"/>
                <w:szCs w:val="21"/>
                <w:highlight w:val="none"/>
              </w:rPr>
              <w:t>分）</w:t>
            </w:r>
          </w:p>
        </w:tc>
        <w:tc>
          <w:tcPr>
            <w:tcW w:w="1185" w:type="dxa"/>
            <w:vAlign w:val="center"/>
          </w:tcPr>
          <w:p w14:paraId="7C9BD7FD">
            <w:pPr>
              <w:jc w:val="center"/>
              <w:rPr>
                <w:rFonts w:cs="宋体"/>
                <w:color w:val="auto"/>
                <w:szCs w:val="21"/>
                <w:highlight w:val="none"/>
              </w:rPr>
            </w:pPr>
            <w:r>
              <w:rPr>
                <w:rFonts w:hint="eastAsia" w:ascii="宋体" w:hAnsi="宋体" w:eastAsia="宋体" w:cs="宋体"/>
                <w:sz w:val="21"/>
                <w:szCs w:val="21"/>
                <w:highlight w:val="none"/>
              </w:rPr>
              <w:t>投标人实力</w:t>
            </w:r>
          </w:p>
        </w:tc>
        <w:tc>
          <w:tcPr>
            <w:tcW w:w="5820" w:type="dxa"/>
            <w:vAlign w:val="center"/>
          </w:tcPr>
          <w:p w14:paraId="20F59569">
            <w:pPr>
              <w:jc w:val="left"/>
              <w:rPr>
                <w:rFonts w:hint="eastAsia" w:cs="宋体"/>
                <w:bCs/>
                <w:color w:val="auto"/>
                <w:sz w:val="21"/>
                <w:szCs w:val="21"/>
                <w:highlight w:val="none"/>
                <w:lang w:val="en-GB"/>
              </w:rPr>
            </w:pPr>
            <w:r>
              <w:rPr>
                <w:rStyle w:val="79"/>
                <w:rFonts w:hint="eastAsia" w:ascii="宋体" w:hAnsi="宋体" w:eastAsia="宋体" w:cs="宋体"/>
                <w:sz w:val="21"/>
                <w:szCs w:val="21"/>
                <w:highlight w:val="none"/>
              </w:rPr>
              <w:t>具备正版专业预（结）算软件10套及以上得</w:t>
            </w:r>
            <w:r>
              <w:rPr>
                <w:rStyle w:val="79"/>
                <w:rFonts w:hint="eastAsia" w:ascii="宋体" w:hAnsi="宋体" w:eastAsia="宋体" w:cs="宋体"/>
                <w:sz w:val="21"/>
                <w:szCs w:val="21"/>
                <w:highlight w:val="none"/>
                <w:lang w:val="en-US" w:eastAsia="zh-CN"/>
              </w:rPr>
              <w:t>3</w:t>
            </w:r>
            <w:r>
              <w:rPr>
                <w:rStyle w:val="79"/>
                <w:rFonts w:hint="eastAsia" w:ascii="宋体" w:hAnsi="宋体" w:eastAsia="宋体" w:cs="宋体"/>
                <w:sz w:val="21"/>
                <w:szCs w:val="21"/>
                <w:highlight w:val="none"/>
              </w:rPr>
              <w:t>分，少一套扣0.5分。</w:t>
            </w:r>
            <w:r>
              <w:rPr>
                <w:rStyle w:val="79"/>
                <w:rFonts w:hint="eastAsia" w:ascii="宋体" w:hAnsi="宋体" w:eastAsia="宋体" w:cs="宋体"/>
                <w:color w:val="FF0000"/>
                <w:sz w:val="21"/>
                <w:szCs w:val="21"/>
                <w:highlight w:val="none"/>
                <w:lang w:val="en-US" w:eastAsia="zh-CN"/>
              </w:rPr>
              <w:t>在具备10套的基础上</w:t>
            </w:r>
            <w:r>
              <w:rPr>
                <w:rStyle w:val="79"/>
                <w:rFonts w:hint="eastAsia" w:ascii="宋体" w:hAnsi="宋体" w:eastAsia="宋体" w:cs="宋体"/>
                <w:sz w:val="21"/>
                <w:szCs w:val="21"/>
                <w:highlight w:val="none"/>
              </w:rPr>
              <w:t>多一套加0.5分，增加项最多计</w:t>
            </w:r>
            <w:r>
              <w:rPr>
                <w:rStyle w:val="79"/>
                <w:rFonts w:hint="eastAsia" w:ascii="宋体" w:hAnsi="宋体" w:eastAsia="宋体" w:cs="宋体"/>
                <w:sz w:val="21"/>
                <w:szCs w:val="21"/>
                <w:highlight w:val="none"/>
                <w:lang w:val="en-US" w:eastAsia="zh-CN"/>
              </w:rPr>
              <w:t>4</w:t>
            </w:r>
            <w:r>
              <w:rPr>
                <w:rStyle w:val="79"/>
                <w:rFonts w:hint="eastAsia" w:ascii="宋体" w:hAnsi="宋体" w:eastAsia="宋体" w:cs="宋体"/>
                <w:sz w:val="21"/>
                <w:szCs w:val="21"/>
                <w:highlight w:val="none"/>
              </w:rPr>
              <w:t>项。（附</w:t>
            </w:r>
            <w:r>
              <w:rPr>
                <w:rStyle w:val="79"/>
                <w:rFonts w:hint="eastAsia" w:ascii="宋体" w:hAnsi="宋体" w:eastAsia="宋体" w:cs="宋体"/>
                <w:sz w:val="21"/>
                <w:szCs w:val="21"/>
                <w:highlight w:val="none"/>
                <w:lang w:val="en-US" w:eastAsia="zh-CN"/>
              </w:rPr>
              <w:t>该买发票、图片</w:t>
            </w:r>
            <w:r>
              <w:rPr>
                <w:rStyle w:val="79"/>
                <w:rFonts w:hint="eastAsia" w:ascii="宋体" w:hAnsi="宋体" w:eastAsia="宋体" w:cs="宋体"/>
                <w:sz w:val="21"/>
                <w:szCs w:val="21"/>
                <w:highlight w:val="none"/>
              </w:rPr>
              <w:t>以及编号等基本信息）</w:t>
            </w:r>
          </w:p>
        </w:tc>
        <w:tc>
          <w:tcPr>
            <w:tcW w:w="836" w:type="dxa"/>
            <w:vAlign w:val="center"/>
          </w:tcPr>
          <w:p w14:paraId="4B79821B">
            <w:pPr>
              <w:jc w:val="center"/>
              <w:rPr>
                <w:rStyle w:val="79"/>
                <w:rFonts w:hint="default" w:ascii="宋体" w:hAnsi="宋体" w:eastAsia="宋体" w:cs="宋体"/>
                <w:sz w:val="21"/>
                <w:szCs w:val="21"/>
                <w:highlight w:val="none"/>
                <w:lang w:val="en-US" w:eastAsia="zh-CN"/>
              </w:rPr>
            </w:pPr>
            <w:r>
              <w:rPr>
                <w:rStyle w:val="79"/>
                <w:rFonts w:hint="eastAsia" w:cs="宋体"/>
                <w:sz w:val="21"/>
                <w:szCs w:val="21"/>
                <w:highlight w:val="none"/>
                <w:lang w:val="en-US" w:eastAsia="zh-CN"/>
              </w:rPr>
              <w:t>5</w:t>
            </w:r>
          </w:p>
        </w:tc>
      </w:tr>
      <w:tr w14:paraId="242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271" w:type="dxa"/>
            <w:vMerge w:val="continue"/>
            <w:vAlign w:val="center"/>
          </w:tcPr>
          <w:p w14:paraId="279976FA">
            <w:pPr>
              <w:pStyle w:val="47"/>
              <w:jc w:val="center"/>
              <w:rPr>
                <w:rFonts w:hint="eastAsia" w:cs="宋体"/>
                <w:color w:val="auto"/>
                <w:szCs w:val="21"/>
                <w:highlight w:val="none"/>
              </w:rPr>
            </w:pPr>
          </w:p>
        </w:tc>
        <w:tc>
          <w:tcPr>
            <w:tcW w:w="1185" w:type="dxa"/>
            <w:tcBorders>
              <w:bottom w:val="single" w:color="auto" w:sz="4" w:space="0"/>
            </w:tcBorders>
            <w:vAlign w:val="center"/>
          </w:tcPr>
          <w:p w14:paraId="4AFC4BF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类似项目业绩</w:t>
            </w:r>
          </w:p>
          <w:p w14:paraId="4FC20DE4">
            <w:pPr>
              <w:jc w:val="center"/>
              <w:rPr>
                <w:rFonts w:hint="default"/>
                <w:color w:val="auto"/>
                <w:szCs w:val="21"/>
                <w:highlight w:val="none"/>
                <w:lang w:val="en-US"/>
              </w:rPr>
            </w:pPr>
          </w:p>
        </w:tc>
        <w:tc>
          <w:tcPr>
            <w:tcW w:w="5820" w:type="dxa"/>
            <w:vAlign w:val="center"/>
          </w:tcPr>
          <w:p w14:paraId="701BABAB">
            <w:pPr>
              <w:jc w:val="left"/>
              <w:rPr>
                <w:rFonts w:hint="eastAsia" w:ascii="宋体" w:hAnsi="宋体" w:eastAsia="宋体" w:cs="宋体"/>
                <w:b/>
                <w:bCs/>
                <w:color w:val="auto"/>
                <w:kern w:val="0"/>
                <w:sz w:val="21"/>
                <w:szCs w:val="21"/>
                <w:highlight w:val="none"/>
                <w:u w:val="none"/>
                <w:lang w:bidi="ar"/>
              </w:rPr>
            </w:pPr>
            <w:r>
              <w:rPr>
                <w:rStyle w:val="79"/>
                <w:rFonts w:hint="eastAsia" w:ascii="宋体" w:hAnsi="宋体" w:eastAsia="宋体" w:cs="宋体"/>
                <w:sz w:val="21"/>
                <w:szCs w:val="21"/>
                <w:highlight w:val="none"/>
              </w:rPr>
              <w:t>提供近三年已完成的类似本项目业绩3项，且累计投资金额在一亿元及以上的，得</w:t>
            </w:r>
            <w:r>
              <w:rPr>
                <w:rStyle w:val="79"/>
                <w:rFonts w:hint="eastAsia" w:ascii="宋体" w:hAnsi="宋体" w:eastAsia="宋体" w:cs="宋体"/>
                <w:sz w:val="21"/>
                <w:szCs w:val="21"/>
                <w:highlight w:val="none"/>
                <w:lang w:val="en-US" w:eastAsia="zh-CN"/>
              </w:rPr>
              <w:t>3</w:t>
            </w:r>
            <w:r>
              <w:rPr>
                <w:rStyle w:val="79"/>
                <w:rFonts w:hint="eastAsia" w:ascii="宋体" w:hAnsi="宋体" w:eastAsia="宋体" w:cs="宋体"/>
                <w:sz w:val="21"/>
                <w:szCs w:val="21"/>
                <w:highlight w:val="none"/>
              </w:rPr>
              <w:t>分；额外每多一项投资额在3000</w:t>
            </w:r>
            <w:r>
              <w:rPr>
                <w:rStyle w:val="79"/>
                <w:rFonts w:hint="eastAsia" w:ascii="宋体" w:hAnsi="宋体" w:eastAsia="宋体" w:cs="宋体"/>
                <w:sz w:val="21"/>
                <w:szCs w:val="21"/>
                <w:highlight w:val="none"/>
                <w:lang w:eastAsia="zh-CN"/>
              </w:rPr>
              <w:t>万元</w:t>
            </w:r>
            <w:r>
              <w:rPr>
                <w:rStyle w:val="79"/>
                <w:rFonts w:hint="eastAsia" w:ascii="宋体" w:hAnsi="宋体" w:eastAsia="宋体" w:cs="宋体"/>
                <w:sz w:val="21"/>
                <w:szCs w:val="21"/>
                <w:highlight w:val="none"/>
              </w:rPr>
              <w:t>以上的业绩加</w:t>
            </w:r>
            <w:r>
              <w:rPr>
                <w:rStyle w:val="79"/>
                <w:rFonts w:hint="eastAsia" w:ascii="宋体" w:hAnsi="宋体" w:eastAsia="宋体" w:cs="宋体"/>
                <w:sz w:val="21"/>
                <w:szCs w:val="21"/>
                <w:highlight w:val="none"/>
                <w:lang w:val="en-US" w:eastAsia="zh-CN"/>
              </w:rPr>
              <w:t>1</w:t>
            </w:r>
            <w:r>
              <w:rPr>
                <w:rStyle w:val="79"/>
                <w:rFonts w:hint="eastAsia" w:ascii="宋体" w:hAnsi="宋体" w:eastAsia="宋体" w:cs="宋体"/>
                <w:sz w:val="21"/>
                <w:szCs w:val="21"/>
                <w:highlight w:val="none"/>
              </w:rPr>
              <w:t>分，最多得</w:t>
            </w:r>
            <w:r>
              <w:rPr>
                <w:rStyle w:val="79"/>
                <w:rFonts w:hint="eastAsia" w:ascii="宋体" w:hAnsi="宋体" w:eastAsia="宋体" w:cs="宋体"/>
                <w:sz w:val="21"/>
                <w:szCs w:val="21"/>
                <w:highlight w:val="none"/>
                <w:lang w:val="en-US" w:eastAsia="zh-CN"/>
              </w:rPr>
              <w:t>2</w:t>
            </w:r>
            <w:r>
              <w:rPr>
                <w:rStyle w:val="79"/>
                <w:rFonts w:hint="eastAsia" w:ascii="宋体" w:hAnsi="宋体" w:eastAsia="宋体" w:cs="宋体"/>
                <w:sz w:val="21"/>
                <w:szCs w:val="21"/>
                <w:highlight w:val="none"/>
              </w:rPr>
              <w:t>分。（</w:t>
            </w:r>
            <w:r>
              <w:rPr>
                <w:rStyle w:val="79"/>
                <w:rFonts w:hint="eastAsia" w:ascii="宋体" w:hAnsi="宋体" w:eastAsia="宋体" w:cs="宋体"/>
                <w:sz w:val="21"/>
                <w:szCs w:val="21"/>
                <w:highlight w:val="none"/>
                <w:lang w:eastAsia="zh-CN"/>
              </w:rPr>
              <w:t>需</w:t>
            </w:r>
            <w:r>
              <w:rPr>
                <w:rStyle w:val="79"/>
                <w:rFonts w:hint="eastAsia" w:ascii="宋体" w:hAnsi="宋体" w:eastAsia="宋体" w:cs="宋体"/>
                <w:sz w:val="21"/>
                <w:szCs w:val="21"/>
                <w:highlight w:val="none"/>
              </w:rPr>
              <w:t>提供合同复印件）</w:t>
            </w:r>
          </w:p>
        </w:tc>
        <w:tc>
          <w:tcPr>
            <w:tcW w:w="836" w:type="dxa"/>
            <w:vAlign w:val="center"/>
          </w:tcPr>
          <w:p w14:paraId="1555F3CB">
            <w:pPr>
              <w:jc w:val="center"/>
              <w:rPr>
                <w:rStyle w:val="79"/>
                <w:rFonts w:hint="eastAsia" w:ascii="宋体" w:hAnsi="宋体" w:eastAsia="宋体" w:cs="宋体"/>
                <w:sz w:val="21"/>
                <w:szCs w:val="21"/>
                <w:highlight w:val="none"/>
                <w:lang w:val="en-US" w:eastAsia="zh-CN"/>
              </w:rPr>
            </w:pPr>
            <w:r>
              <w:rPr>
                <w:rStyle w:val="79"/>
                <w:rFonts w:hint="eastAsia" w:cs="宋体"/>
                <w:sz w:val="21"/>
                <w:szCs w:val="21"/>
                <w:highlight w:val="none"/>
                <w:lang w:val="en-US" w:eastAsia="zh-CN"/>
              </w:rPr>
              <w:t>5</w:t>
            </w:r>
          </w:p>
        </w:tc>
      </w:tr>
      <w:tr w14:paraId="34C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271" w:type="dxa"/>
            <w:vMerge w:val="continue"/>
            <w:vAlign w:val="center"/>
          </w:tcPr>
          <w:p w14:paraId="3F014D85">
            <w:pPr>
              <w:pStyle w:val="47"/>
              <w:jc w:val="center"/>
              <w:rPr>
                <w:rFonts w:hint="eastAsia" w:cs="宋体"/>
                <w:color w:val="auto"/>
                <w:szCs w:val="21"/>
                <w:highlight w:val="none"/>
              </w:rPr>
            </w:pPr>
          </w:p>
        </w:tc>
        <w:tc>
          <w:tcPr>
            <w:tcW w:w="1185" w:type="dxa"/>
            <w:vMerge w:val="restart"/>
            <w:vAlign w:val="center"/>
          </w:tcPr>
          <w:p w14:paraId="3356E84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p w14:paraId="6808AAB8">
            <w:pPr>
              <w:pStyle w:val="47"/>
              <w:jc w:val="both"/>
              <w:rPr>
                <w:rFonts w:hint="eastAsia" w:ascii="宋体" w:hAnsi="宋体" w:eastAsia="宋体" w:cs="宋体"/>
                <w:i w:val="0"/>
                <w:iCs w:val="0"/>
                <w:color w:val="auto"/>
                <w:kern w:val="0"/>
                <w:sz w:val="21"/>
                <w:szCs w:val="21"/>
                <w:highlight w:val="none"/>
                <w:u w:val="none"/>
                <w:lang w:val="en-US" w:eastAsia="zh-CN" w:bidi="ar"/>
              </w:rPr>
            </w:pPr>
          </w:p>
        </w:tc>
        <w:tc>
          <w:tcPr>
            <w:tcW w:w="5820" w:type="dxa"/>
            <w:vAlign w:val="center"/>
          </w:tcPr>
          <w:p w14:paraId="764F9C45">
            <w:pPr>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1"/>
                <w:szCs w:val="21"/>
                <w:highlight w:val="none"/>
              </w:rPr>
              <w:t>拟派项目负责人</w:t>
            </w:r>
            <w:r>
              <w:rPr>
                <w:rFonts w:hint="eastAsia" w:ascii="宋体" w:hAnsi="宋体" w:eastAsia="宋体" w:cs="宋体"/>
                <w:sz w:val="21"/>
                <w:szCs w:val="21"/>
                <w:highlight w:val="none"/>
                <w:lang w:eastAsia="zh-CN"/>
              </w:rPr>
              <w:t>须</w:t>
            </w:r>
            <w:r>
              <w:rPr>
                <w:rFonts w:hint="eastAsia" w:ascii="宋体" w:hAnsi="宋体" w:eastAsia="宋体" w:cs="宋体"/>
                <w:sz w:val="21"/>
                <w:szCs w:val="21"/>
                <w:highlight w:val="none"/>
              </w:rPr>
              <w:t>具备国家一级注册造价工程师，在本单位注册且在有效期内的，得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cs="宋体"/>
                <w:color w:val="FF0000"/>
                <w:sz w:val="21"/>
                <w:szCs w:val="21"/>
                <w:highlight w:val="none"/>
                <w:lang w:val="en-US" w:eastAsia="zh-CN"/>
              </w:rPr>
              <w:t>同时</w:t>
            </w:r>
            <w:r>
              <w:rPr>
                <w:rFonts w:hint="eastAsia" w:ascii="宋体" w:hAnsi="宋体" w:eastAsia="宋体" w:cs="宋体"/>
                <w:sz w:val="21"/>
                <w:szCs w:val="21"/>
                <w:highlight w:val="none"/>
              </w:rPr>
              <w:t>具有高级工程师职称</w:t>
            </w:r>
            <w:r>
              <w:rPr>
                <w:rFonts w:hint="eastAsia" w:cs="宋体"/>
                <w:color w:val="FF0000"/>
                <w:sz w:val="21"/>
                <w:szCs w:val="21"/>
                <w:highlight w:val="none"/>
                <w:lang w:val="en-US" w:eastAsia="zh-CN"/>
              </w:rPr>
              <w:t>再加</w:t>
            </w:r>
            <w:r>
              <w:rPr>
                <w:rFonts w:hint="eastAsia" w:ascii="宋体" w:hAnsi="宋体" w:eastAsia="宋体" w:cs="宋体"/>
                <w:color w:val="FF0000"/>
                <w:sz w:val="21"/>
                <w:szCs w:val="21"/>
                <w:highlight w:val="none"/>
                <w:lang w:val="en-US" w:eastAsia="zh-CN"/>
              </w:rPr>
              <w:t>1</w:t>
            </w:r>
            <w:r>
              <w:rPr>
                <w:rFonts w:hint="eastAsia" w:ascii="宋体" w:hAnsi="宋体" w:eastAsia="宋体" w:cs="宋体"/>
                <w:color w:val="FF0000"/>
                <w:sz w:val="21"/>
                <w:szCs w:val="21"/>
                <w:highlight w:val="none"/>
              </w:rPr>
              <w:t>分</w:t>
            </w:r>
            <w:r>
              <w:rPr>
                <w:rFonts w:hint="eastAsia" w:cs="宋体"/>
                <w:sz w:val="21"/>
                <w:szCs w:val="21"/>
                <w:highlight w:val="none"/>
                <w:lang w:eastAsia="zh-CN"/>
              </w:rPr>
              <w:t>，</w:t>
            </w:r>
            <w:r>
              <w:rPr>
                <w:rFonts w:hint="eastAsia" w:cs="宋体"/>
                <w:sz w:val="21"/>
                <w:szCs w:val="21"/>
                <w:highlight w:val="none"/>
                <w:lang w:val="en-US" w:eastAsia="zh-CN"/>
              </w:rPr>
              <w:t>此项满分3分</w:t>
            </w:r>
            <w:r>
              <w:rPr>
                <w:rFonts w:hint="eastAsia" w:ascii="宋体" w:hAnsi="宋体" w:eastAsia="宋体" w:cs="宋体"/>
                <w:sz w:val="21"/>
                <w:szCs w:val="21"/>
                <w:highlight w:val="none"/>
              </w:rPr>
              <w:t>。（需提供相应证书）</w:t>
            </w:r>
          </w:p>
        </w:tc>
        <w:tc>
          <w:tcPr>
            <w:tcW w:w="836" w:type="dxa"/>
            <w:vAlign w:val="center"/>
          </w:tcPr>
          <w:p w14:paraId="0F813552">
            <w:pPr>
              <w:jc w:val="cente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3</w:t>
            </w:r>
          </w:p>
        </w:tc>
      </w:tr>
      <w:tr w14:paraId="20DE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71" w:type="dxa"/>
            <w:vMerge w:val="continue"/>
            <w:vAlign w:val="center"/>
          </w:tcPr>
          <w:p w14:paraId="363D6EDC">
            <w:pPr>
              <w:pStyle w:val="47"/>
              <w:jc w:val="center"/>
              <w:rPr>
                <w:rFonts w:cs="宋体"/>
                <w:color w:val="auto"/>
                <w:szCs w:val="21"/>
                <w:highlight w:val="none"/>
              </w:rPr>
            </w:pPr>
          </w:p>
        </w:tc>
        <w:tc>
          <w:tcPr>
            <w:tcW w:w="1185" w:type="dxa"/>
            <w:vMerge w:val="continue"/>
            <w:shd w:val="clear" w:color="auto" w:fill="auto"/>
            <w:vAlign w:val="center"/>
          </w:tcPr>
          <w:p w14:paraId="5C52CDB9">
            <w:pPr>
              <w:widowControl/>
              <w:rPr>
                <w:rFonts w:ascii="宋体" w:hAnsi="宋体" w:eastAsia="宋体" w:cstheme="minorBidi"/>
                <w:color w:val="auto"/>
                <w:kern w:val="2"/>
                <w:sz w:val="21"/>
                <w:szCs w:val="21"/>
                <w:highlight w:val="none"/>
                <w:lang w:val="en-US" w:eastAsia="zh-CN" w:bidi="ar-SA"/>
              </w:rPr>
            </w:pPr>
          </w:p>
        </w:tc>
        <w:tc>
          <w:tcPr>
            <w:tcW w:w="5820" w:type="dxa"/>
            <w:shd w:val="clear" w:color="auto" w:fill="auto"/>
            <w:vAlign w:val="center"/>
          </w:tcPr>
          <w:p w14:paraId="2DA3DD42">
            <w:pPr>
              <w:jc w:val="left"/>
              <w:rPr>
                <w:rFonts w:hint="eastAsia" w:ascii="Calibri" w:hAnsi="Calibri" w:eastAsia="宋体" w:cs="Calibri"/>
                <w:color w:val="auto"/>
                <w:kern w:val="2"/>
                <w:sz w:val="21"/>
                <w:szCs w:val="21"/>
                <w:highlight w:val="none"/>
                <w:lang w:val="en-US" w:eastAsia="zh-CN" w:bidi="ar-SA"/>
              </w:rPr>
            </w:pPr>
            <w:r>
              <w:rPr>
                <w:rFonts w:hint="eastAsia" w:ascii="宋体" w:hAnsi="宋体" w:eastAsia="宋体" w:cs="宋体"/>
                <w:sz w:val="21"/>
                <w:szCs w:val="21"/>
                <w:highlight w:val="none"/>
              </w:rPr>
              <w:t>项目负责人近三年负责一项5千万元及以上的投资项目得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分，每增加一项5千万元及以上项目业绩加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分，最多记取</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项业绩（须提供造价咨询合同复印件）</w:t>
            </w:r>
          </w:p>
        </w:tc>
        <w:tc>
          <w:tcPr>
            <w:tcW w:w="836" w:type="dxa"/>
            <w:shd w:val="clear" w:color="auto" w:fill="auto"/>
            <w:vAlign w:val="center"/>
          </w:tcPr>
          <w:p w14:paraId="048C0747">
            <w:pPr>
              <w:jc w:val="cente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2</w:t>
            </w:r>
          </w:p>
        </w:tc>
      </w:tr>
      <w:tr w14:paraId="5F7A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1271" w:type="dxa"/>
            <w:vMerge w:val="continue"/>
            <w:vAlign w:val="center"/>
          </w:tcPr>
          <w:p w14:paraId="43D2B1AD">
            <w:pPr>
              <w:pStyle w:val="47"/>
              <w:jc w:val="center"/>
              <w:rPr>
                <w:rFonts w:cs="宋体"/>
                <w:color w:val="auto"/>
                <w:szCs w:val="21"/>
                <w:highlight w:val="none"/>
              </w:rPr>
            </w:pPr>
          </w:p>
        </w:tc>
        <w:tc>
          <w:tcPr>
            <w:tcW w:w="1185" w:type="dxa"/>
            <w:vAlign w:val="center"/>
          </w:tcPr>
          <w:p w14:paraId="2D72E1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项目组专业技术人员</w:t>
            </w:r>
          </w:p>
          <w:p w14:paraId="1F23E66A">
            <w:pPr>
              <w:widowControl/>
              <w:rPr>
                <w:color w:val="auto"/>
                <w:sz w:val="21"/>
                <w:szCs w:val="21"/>
                <w:highlight w:val="none"/>
              </w:rPr>
            </w:pPr>
          </w:p>
        </w:tc>
        <w:tc>
          <w:tcPr>
            <w:tcW w:w="5820" w:type="dxa"/>
            <w:shd w:val="clear" w:color="auto" w:fill="auto"/>
            <w:vAlign w:val="center"/>
          </w:tcPr>
          <w:p w14:paraId="1ED1E543">
            <w:pPr>
              <w:jc w:val="left"/>
              <w:rPr>
                <w:rFonts w:ascii="Calibri" w:hAnsi="Calibri" w:cs="Calibri"/>
                <w:color w:val="auto"/>
                <w:sz w:val="21"/>
                <w:szCs w:val="21"/>
                <w:highlight w:val="none"/>
              </w:rPr>
            </w:pPr>
            <w:r>
              <w:rPr>
                <w:rFonts w:hint="eastAsia" w:ascii="宋体" w:hAnsi="宋体" w:eastAsia="宋体" w:cs="宋体"/>
                <w:sz w:val="21"/>
                <w:szCs w:val="21"/>
                <w:highlight w:val="none"/>
              </w:rPr>
              <w:t>拟派人员配备不少于4人，</w:t>
            </w:r>
            <w:r>
              <w:rPr>
                <w:rFonts w:hint="eastAsia" w:ascii="宋体" w:hAnsi="宋体" w:eastAsia="宋体" w:cs="宋体"/>
                <w:sz w:val="21"/>
                <w:szCs w:val="21"/>
                <w:highlight w:val="none"/>
                <w:lang w:eastAsia="zh-CN"/>
              </w:rPr>
              <w:t>其中</w:t>
            </w:r>
            <w:r>
              <w:rPr>
                <w:rFonts w:hint="eastAsia" w:ascii="宋体" w:hAnsi="宋体" w:eastAsia="宋体" w:cs="宋体"/>
                <w:sz w:val="21"/>
                <w:szCs w:val="21"/>
                <w:highlight w:val="none"/>
              </w:rPr>
              <w:t>中级职称不少于2人，具有国家一级注册造价工程师证书的人员不少于2人，</w:t>
            </w:r>
            <w:r>
              <w:rPr>
                <w:rFonts w:hint="eastAsia" w:ascii="宋体" w:hAnsi="宋体" w:eastAsia="宋体" w:cs="宋体"/>
                <w:sz w:val="21"/>
                <w:szCs w:val="21"/>
                <w:highlight w:val="none"/>
                <w:lang w:eastAsia="zh-CN"/>
              </w:rPr>
              <w:t>专职对接人员</w:t>
            </w:r>
            <w:r>
              <w:rPr>
                <w:rFonts w:hint="eastAsia" w:ascii="宋体" w:hAnsi="宋体" w:eastAsia="宋体" w:cs="宋体"/>
                <w:sz w:val="21"/>
                <w:szCs w:val="21"/>
                <w:highlight w:val="none"/>
                <w:lang w:val="en-US" w:eastAsia="zh-CN"/>
              </w:rPr>
              <w:t>1人，</w:t>
            </w:r>
            <w:r>
              <w:rPr>
                <w:rFonts w:hint="eastAsia" w:ascii="宋体" w:hAnsi="宋体" w:eastAsia="宋体" w:cs="宋体"/>
                <w:sz w:val="21"/>
                <w:szCs w:val="21"/>
                <w:highlight w:val="none"/>
              </w:rPr>
              <w:t>均满足得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分，否则不得分。在此基础上项目组其他人员中有中级以上职称的每人加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分；提供相应项目组造价人员简历、业绩证明，否则不</w:t>
            </w:r>
            <w:r>
              <w:rPr>
                <w:rFonts w:hint="eastAsia" w:ascii="宋体" w:hAnsi="宋体" w:eastAsia="宋体" w:cs="宋体"/>
                <w:sz w:val="21"/>
                <w:szCs w:val="21"/>
                <w:highlight w:val="none"/>
                <w:lang w:eastAsia="zh-CN"/>
              </w:rPr>
              <w:t>计分</w:t>
            </w:r>
            <w:r>
              <w:rPr>
                <w:rFonts w:hint="eastAsia" w:ascii="宋体" w:hAnsi="宋体" w:eastAsia="宋体" w:cs="宋体"/>
                <w:sz w:val="21"/>
                <w:szCs w:val="21"/>
                <w:highlight w:val="none"/>
              </w:rPr>
              <w:t>。</w:t>
            </w:r>
          </w:p>
        </w:tc>
        <w:tc>
          <w:tcPr>
            <w:tcW w:w="836" w:type="dxa"/>
            <w:shd w:val="clear" w:color="auto" w:fill="auto"/>
            <w:vAlign w:val="center"/>
          </w:tcPr>
          <w:p w14:paraId="5BEA9B74">
            <w:pPr>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4</w:t>
            </w:r>
          </w:p>
        </w:tc>
      </w:tr>
      <w:tr w14:paraId="5A0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71" w:type="dxa"/>
            <w:vMerge w:val="restart"/>
            <w:vAlign w:val="center"/>
          </w:tcPr>
          <w:p w14:paraId="7411CBF3">
            <w:pPr>
              <w:pStyle w:val="47"/>
              <w:jc w:val="center"/>
              <w:rPr>
                <w:rFonts w:cs="宋体"/>
                <w:color w:val="auto"/>
                <w:szCs w:val="21"/>
                <w:highlight w:val="none"/>
              </w:rPr>
            </w:pPr>
            <w:r>
              <w:rPr>
                <w:rFonts w:hint="eastAsia" w:cs="宋体"/>
                <w:color w:val="auto"/>
                <w:szCs w:val="21"/>
                <w:highlight w:val="none"/>
                <w:lang w:val="en-US" w:eastAsia="zh-CN"/>
              </w:rPr>
              <w:t>技术</w:t>
            </w:r>
            <w:r>
              <w:rPr>
                <w:rFonts w:hint="eastAsia" w:cs="宋体"/>
                <w:color w:val="auto"/>
                <w:szCs w:val="21"/>
                <w:highlight w:val="none"/>
              </w:rPr>
              <w:t>部分</w:t>
            </w:r>
          </w:p>
          <w:p w14:paraId="26CF498D">
            <w:pPr>
              <w:pStyle w:val="47"/>
              <w:jc w:val="center"/>
              <w:rPr>
                <w:rFonts w:hint="eastAsia"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51</w:t>
            </w:r>
            <w:r>
              <w:rPr>
                <w:rFonts w:hint="eastAsia" w:cs="宋体"/>
                <w:color w:val="auto"/>
                <w:szCs w:val="21"/>
                <w:highlight w:val="none"/>
              </w:rPr>
              <w:t>分）</w:t>
            </w:r>
          </w:p>
        </w:tc>
        <w:tc>
          <w:tcPr>
            <w:tcW w:w="1185" w:type="dxa"/>
            <w:tcBorders>
              <w:top w:val="single" w:color="auto" w:sz="4" w:space="0"/>
            </w:tcBorders>
            <w:vAlign w:val="center"/>
          </w:tcPr>
          <w:p w14:paraId="54FFCB1C">
            <w:pPr>
              <w:pStyle w:val="67"/>
              <w:spacing w:line="360" w:lineRule="exact"/>
              <w:rPr>
                <w:rFonts w:ascii="宋体" w:hAnsi="宋体" w:eastAsia="宋体" w:cstheme="minorBidi"/>
                <w:b w:val="0"/>
                <w:color w:val="auto"/>
                <w:kern w:val="2"/>
                <w:sz w:val="21"/>
                <w:szCs w:val="21"/>
                <w:highlight w:val="none"/>
              </w:rPr>
            </w:pPr>
          </w:p>
          <w:p w14:paraId="358977C8">
            <w:pPr>
              <w:bidi w:val="0"/>
              <w:rPr>
                <w:rFonts w:hint="eastAsia"/>
                <w:color w:val="auto"/>
                <w:highlight w:val="none"/>
              </w:rPr>
            </w:pPr>
            <w:r>
              <w:rPr>
                <w:rFonts w:hint="eastAsia" w:ascii="宋体" w:hAnsi="宋体" w:eastAsia="宋体" w:cs="宋体"/>
                <w:b w:val="0"/>
                <w:bCs/>
                <w:color w:val="auto"/>
                <w:sz w:val="21"/>
                <w:szCs w:val="21"/>
                <w:highlight w:val="none"/>
                <w:lang w:val="en-US" w:eastAsia="zh-CN"/>
              </w:rPr>
              <w:t>总体构思</w:t>
            </w:r>
          </w:p>
          <w:p w14:paraId="042DCC72">
            <w:pPr>
              <w:bidi w:val="0"/>
              <w:ind w:firstLine="553" w:firstLineChars="0"/>
              <w:jc w:val="left"/>
              <w:rPr>
                <w:rFonts w:hint="eastAsia"/>
                <w:color w:val="auto"/>
                <w:highlight w:val="none"/>
              </w:rPr>
            </w:pPr>
          </w:p>
        </w:tc>
        <w:tc>
          <w:tcPr>
            <w:tcW w:w="5820" w:type="dxa"/>
            <w:shd w:val="clear" w:color="auto" w:fill="auto"/>
            <w:vAlign w:val="center"/>
          </w:tcPr>
          <w:p w14:paraId="59A86CD0">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根据供应商提供的方案进行综合评审，方案包含以下2部分要素：</w:t>
            </w:r>
          </w:p>
          <w:p w14:paraId="5579471F">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①</w:t>
            </w:r>
            <w:r>
              <w:rPr>
                <w:rFonts w:hint="eastAsia" w:ascii="宋体" w:hAnsi="宋体" w:eastAsia="宋体" w:cstheme="minorBidi"/>
                <w:b w:val="0"/>
                <w:color w:val="auto"/>
                <w:kern w:val="2"/>
                <w:sz w:val="21"/>
                <w:szCs w:val="21"/>
                <w:highlight w:val="none"/>
                <w:lang w:val="en-US" w:eastAsia="zh-CN"/>
              </w:rPr>
              <w:t>服务大纲</w:t>
            </w:r>
            <w:r>
              <w:rPr>
                <w:rFonts w:hint="eastAsia" w:ascii="宋体" w:hAnsi="宋体" w:eastAsia="宋体" w:cstheme="minorBidi"/>
                <w:b w:val="0"/>
                <w:color w:val="auto"/>
                <w:kern w:val="2"/>
                <w:sz w:val="21"/>
                <w:szCs w:val="21"/>
                <w:highlight w:val="none"/>
              </w:rPr>
              <w:t>；②造价管理工作目标。</w:t>
            </w:r>
          </w:p>
          <w:p w14:paraId="628B6CEB">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以上内容全部内容满足需求的得</w:t>
            </w:r>
            <w:r>
              <w:rPr>
                <w:rFonts w:hint="eastAsia" w:ascii="宋体" w:hAnsi="宋体" w:eastAsia="宋体" w:cstheme="minorBidi"/>
                <w:b w:val="0"/>
                <w:color w:val="auto"/>
                <w:kern w:val="2"/>
                <w:sz w:val="21"/>
                <w:szCs w:val="21"/>
                <w:highlight w:val="none"/>
                <w:lang w:val="en-US" w:eastAsia="zh-CN"/>
              </w:rPr>
              <w:t>6</w:t>
            </w:r>
            <w:r>
              <w:rPr>
                <w:rFonts w:hint="eastAsia" w:ascii="宋体" w:hAnsi="宋体" w:eastAsia="宋体" w:cstheme="minorBidi"/>
                <w:b w:val="0"/>
                <w:color w:val="auto"/>
                <w:kern w:val="2"/>
                <w:sz w:val="21"/>
                <w:szCs w:val="21"/>
                <w:highlight w:val="none"/>
              </w:rPr>
              <w:t>分，每缺少一项扣</w:t>
            </w:r>
            <w:r>
              <w:rPr>
                <w:rFonts w:hint="eastAsia" w:ascii="宋体" w:hAnsi="宋体" w:eastAsia="宋体" w:cstheme="minorBidi"/>
                <w:b w:val="0"/>
                <w:color w:val="auto"/>
                <w:kern w:val="2"/>
                <w:sz w:val="21"/>
                <w:szCs w:val="21"/>
                <w:highlight w:val="none"/>
                <w:lang w:val="en-US" w:eastAsia="zh-CN"/>
              </w:rPr>
              <w:t>3</w:t>
            </w:r>
            <w:r>
              <w:rPr>
                <w:rFonts w:hint="eastAsia" w:ascii="宋体" w:hAnsi="宋体" w:eastAsia="宋体" w:cstheme="minorBidi"/>
                <w:b w:val="0"/>
                <w:color w:val="auto"/>
                <w:kern w:val="2"/>
                <w:sz w:val="21"/>
                <w:szCs w:val="21"/>
                <w:highlight w:val="none"/>
              </w:rPr>
              <w:t>分；每有一处不足或缺陷或不能符合项目实际情况的扣</w:t>
            </w:r>
            <w:r>
              <w:rPr>
                <w:rFonts w:hint="eastAsia" w:ascii="宋体" w:hAnsi="宋体" w:eastAsia="宋体" w:cstheme="minorBidi"/>
                <w:b w:val="0"/>
                <w:color w:val="auto"/>
                <w:kern w:val="2"/>
                <w:sz w:val="21"/>
                <w:szCs w:val="21"/>
                <w:highlight w:val="none"/>
                <w:lang w:val="en-US" w:eastAsia="zh-CN"/>
              </w:rPr>
              <w:t>1</w:t>
            </w:r>
            <w:r>
              <w:rPr>
                <w:rFonts w:hint="eastAsia" w:ascii="宋体" w:hAnsi="宋体" w:eastAsia="宋体" w:cstheme="minorBidi"/>
                <w:b w:val="0"/>
                <w:color w:val="auto"/>
                <w:kern w:val="2"/>
                <w:sz w:val="21"/>
                <w:szCs w:val="21"/>
                <w:highlight w:val="none"/>
              </w:rPr>
              <w:t>分，扣完为止。</w:t>
            </w:r>
          </w:p>
          <w:p w14:paraId="46E1D859">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836" w:type="dxa"/>
            <w:shd w:val="clear" w:color="auto" w:fill="auto"/>
            <w:vAlign w:val="center"/>
          </w:tcPr>
          <w:p w14:paraId="62AB11DB">
            <w:pPr>
              <w:pStyle w:val="67"/>
              <w:spacing w:line="360" w:lineRule="exact"/>
              <w:ind w:firstLine="210" w:firstLineChars="100"/>
              <w:jc w:val="center"/>
              <w:rPr>
                <w:rFonts w:hint="eastAsia" w:ascii="宋体" w:hAnsi="宋体" w:eastAsia="宋体" w:cstheme="minorBidi"/>
                <w:b w:val="0"/>
                <w:color w:val="auto"/>
                <w:kern w:val="2"/>
                <w:sz w:val="21"/>
                <w:szCs w:val="21"/>
                <w:highlight w:val="none"/>
                <w:lang w:val="en-US" w:eastAsia="zh-CN"/>
              </w:rPr>
            </w:pPr>
            <w:r>
              <w:rPr>
                <w:rFonts w:hint="eastAsia" w:ascii="宋体" w:hAnsi="宋体" w:eastAsia="宋体" w:cstheme="minorBidi"/>
                <w:b w:val="0"/>
                <w:color w:val="auto"/>
                <w:kern w:val="2"/>
                <w:sz w:val="21"/>
                <w:szCs w:val="21"/>
                <w:highlight w:val="none"/>
                <w:lang w:val="en-US" w:eastAsia="zh-CN"/>
              </w:rPr>
              <w:t>6</w:t>
            </w:r>
          </w:p>
        </w:tc>
      </w:tr>
      <w:tr w14:paraId="73E7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0" w:hRule="atLeast"/>
          <w:jc w:val="center"/>
        </w:trPr>
        <w:tc>
          <w:tcPr>
            <w:tcW w:w="1271" w:type="dxa"/>
            <w:vMerge w:val="continue"/>
            <w:vAlign w:val="center"/>
          </w:tcPr>
          <w:p w14:paraId="59411E80">
            <w:pPr>
              <w:pStyle w:val="47"/>
              <w:jc w:val="center"/>
              <w:rPr>
                <w:rFonts w:hint="eastAsia" w:cs="宋体"/>
                <w:color w:val="auto"/>
                <w:szCs w:val="21"/>
                <w:highlight w:val="none"/>
              </w:rPr>
            </w:pPr>
          </w:p>
        </w:tc>
        <w:tc>
          <w:tcPr>
            <w:tcW w:w="1185" w:type="dxa"/>
            <w:tcBorders>
              <w:top w:val="single" w:color="auto" w:sz="4" w:space="0"/>
            </w:tcBorders>
            <w:vAlign w:val="center"/>
          </w:tcPr>
          <w:p w14:paraId="7BC507CB">
            <w:pPr>
              <w:bidi w:val="0"/>
              <w:jc w:val="left"/>
              <w:rPr>
                <w:rFonts w:hint="eastAsia"/>
                <w:color w:val="auto"/>
                <w:highlight w:val="none"/>
              </w:rPr>
            </w:pPr>
            <w:r>
              <w:rPr>
                <w:rFonts w:hint="eastAsia" w:ascii="宋体" w:hAnsi="宋体" w:eastAsia="宋体" w:cs="宋体"/>
                <w:b w:val="0"/>
                <w:bCs/>
                <w:color w:val="auto"/>
                <w:sz w:val="21"/>
                <w:szCs w:val="21"/>
                <w:highlight w:val="none"/>
                <w:lang w:val="en-GB" w:eastAsia="zh-CN"/>
              </w:rPr>
              <w:t>造价咨询服务方案</w:t>
            </w:r>
          </w:p>
        </w:tc>
        <w:tc>
          <w:tcPr>
            <w:tcW w:w="5820" w:type="dxa"/>
            <w:shd w:val="clear" w:color="auto" w:fill="auto"/>
            <w:vAlign w:val="center"/>
          </w:tcPr>
          <w:p w14:paraId="7D413F0F">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根据供应商提供的方案进行综合评审，方案包含以下7部分要素：①造价管理工作范围和任务；②造价管理依据；③造价管理工作程序；④造价管理方案；⑤</w:t>
            </w:r>
            <w:r>
              <w:rPr>
                <w:rFonts w:hint="eastAsia" w:ascii="宋体" w:hAnsi="宋体" w:eastAsia="宋体" w:cstheme="minorBidi"/>
                <w:b w:val="0"/>
                <w:color w:val="auto"/>
                <w:kern w:val="2"/>
                <w:sz w:val="21"/>
                <w:szCs w:val="21"/>
                <w:highlight w:val="none"/>
                <w:lang w:val="en-US" w:eastAsia="zh-CN"/>
              </w:rPr>
              <w:t>风险控制方案</w:t>
            </w:r>
            <w:r>
              <w:rPr>
                <w:rFonts w:hint="eastAsia" w:ascii="宋体" w:hAnsi="宋体" w:eastAsia="宋体" w:cstheme="minorBidi"/>
                <w:b w:val="0"/>
                <w:color w:val="auto"/>
                <w:kern w:val="2"/>
                <w:sz w:val="21"/>
                <w:szCs w:val="21"/>
                <w:highlight w:val="none"/>
              </w:rPr>
              <w:t>；⑥合同管理及协调；⑦现场管理及协调。</w:t>
            </w:r>
          </w:p>
          <w:p w14:paraId="14C1AC01">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以上内容全部内容满足需求的得21分，每缺少一项扣3分；每有一处不足或缺陷或不能符合项目实际情况的扣1分，扣完为止。</w:t>
            </w:r>
          </w:p>
          <w:p w14:paraId="51167700">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06A14FA">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theme="minorBidi"/>
                <w:b w:val="0"/>
                <w:color w:val="auto"/>
                <w:kern w:val="2"/>
                <w:sz w:val="21"/>
                <w:szCs w:val="21"/>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836" w:type="dxa"/>
            <w:shd w:val="clear" w:color="auto" w:fill="auto"/>
            <w:vAlign w:val="center"/>
          </w:tcPr>
          <w:p w14:paraId="40377C3E">
            <w:pPr>
              <w:pStyle w:val="67"/>
              <w:spacing w:line="360" w:lineRule="exact"/>
              <w:jc w:val="center"/>
              <w:rPr>
                <w:rFonts w:hint="default" w:ascii="宋体" w:hAnsi="宋体" w:eastAsia="宋体" w:cstheme="minorBidi"/>
                <w:b w:val="0"/>
                <w:color w:val="auto"/>
                <w:kern w:val="2"/>
                <w:sz w:val="21"/>
                <w:szCs w:val="21"/>
                <w:highlight w:val="none"/>
                <w:lang w:val="en-US" w:eastAsia="zh-CN"/>
              </w:rPr>
            </w:pPr>
            <w:r>
              <w:rPr>
                <w:rFonts w:hint="eastAsia" w:ascii="宋体" w:hAnsi="宋体" w:eastAsia="宋体" w:cstheme="minorBidi"/>
                <w:b w:val="0"/>
                <w:color w:val="auto"/>
                <w:kern w:val="2"/>
                <w:sz w:val="21"/>
                <w:szCs w:val="21"/>
                <w:highlight w:val="none"/>
                <w:lang w:val="en-US" w:eastAsia="zh-CN"/>
              </w:rPr>
              <w:t>21</w:t>
            </w:r>
          </w:p>
        </w:tc>
      </w:tr>
      <w:tr w14:paraId="47A6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71" w:type="dxa"/>
            <w:vMerge w:val="continue"/>
            <w:vAlign w:val="center"/>
          </w:tcPr>
          <w:p w14:paraId="2EEDEDD3">
            <w:pPr>
              <w:pStyle w:val="47"/>
              <w:jc w:val="center"/>
              <w:rPr>
                <w:rFonts w:hint="eastAsia" w:cs="宋体"/>
                <w:color w:val="auto"/>
                <w:szCs w:val="21"/>
                <w:highlight w:val="none"/>
              </w:rPr>
            </w:pPr>
          </w:p>
        </w:tc>
        <w:tc>
          <w:tcPr>
            <w:tcW w:w="1185" w:type="dxa"/>
            <w:tcBorders>
              <w:top w:val="single" w:color="auto" w:sz="4" w:space="0"/>
            </w:tcBorders>
            <w:vAlign w:val="center"/>
          </w:tcPr>
          <w:p w14:paraId="240F7FC5">
            <w:pPr>
              <w:bidi w:val="0"/>
              <w:jc w:val="left"/>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US" w:eastAsia="zh-CN"/>
              </w:rPr>
              <w:t>服务进度管理及成果质量控制措施</w:t>
            </w:r>
          </w:p>
        </w:tc>
        <w:tc>
          <w:tcPr>
            <w:tcW w:w="5820" w:type="dxa"/>
            <w:shd w:val="clear" w:color="auto" w:fill="auto"/>
            <w:vAlign w:val="center"/>
          </w:tcPr>
          <w:p w14:paraId="662E6E63">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根据供应商提供的方案进行综合评审，方案包含以下5部分要素：</w:t>
            </w:r>
          </w:p>
          <w:p w14:paraId="7A6A0384">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①服务进度满足服务期限；②满足总进度计划的要求；③成果质量控制服务的过程中有关键节点质量把控方案；④成果报告文件能够提供完整；⑤文档的质量控制明确的。</w:t>
            </w:r>
          </w:p>
          <w:p w14:paraId="04433F23">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以上内容全部内容满足需求的得10分，每缺少一项扣2分；每有一处不足或缺陷或不能符合项目实际情况的扣1分，扣完为止。</w:t>
            </w:r>
          </w:p>
          <w:p w14:paraId="2541B4E7">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09D3556">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836" w:type="dxa"/>
            <w:shd w:val="clear" w:color="auto" w:fill="auto"/>
            <w:vAlign w:val="center"/>
          </w:tcPr>
          <w:p w14:paraId="709BEE76">
            <w:pPr>
              <w:pStyle w:val="67"/>
              <w:spacing w:line="360" w:lineRule="exact"/>
              <w:ind w:firstLine="210" w:firstLineChars="100"/>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10</w:t>
            </w:r>
          </w:p>
        </w:tc>
      </w:tr>
      <w:tr w14:paraId="411E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71" w:type="dxa"/>
            <w:vMerge w:val="continue"/>
            <w:vAlign w:val="center"/>
          </w:tcPr>
          <w:p w14:paraId="076AE104">
            <w:pPr>
              <w:pStyle w:val="47"/>
              <w:jc w:val="center"/>
              <w:rPr>
                <w:rFonts w:hint="eastAsia" w:cs="宋体"/>
                <w:color w:val="auto"/>
                <w:szCs w:val="21"/>
                <w:highlight w:val="none"/>
              </w:rPr>
            </w:pPr>
          </w:p>
        </w:tc>
        <w:tc>
          <w:tcPr>
            <w:tcW w:w="1185" w:type="dxa"/>
            <w:tcBorders>
              <w:top w:val="single" w:color="auto" w:sz="4" w:space="0"/>
            </w:tcBorders>
            <w:vAlign w:val="center"/>
          </w:tcPr>
          <w:p w14:paraId="75C7FAB8">
            <w:pPr>
              <w:bidi w:val="0"/>
              <w:jc w:val="left"/>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US" w:eastAsia="zh-CN"/>
              </w:rPr>
              <w:t>管理制度</w:t>
            </w:r>
          </w:p>
        </w:tc>
        <w:tc>
          <w:tcPr>
            <w:tcW w:w="5820" w:type="dxa"/>
            <w:shd w:val="clear" w:color="auto" w:fill="auto"/>
            <w:vAlign w:val="center"/>
          </w:tcPr>
          <w:p w14:paraId="345606BD">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根据供应商提供的方案进行综合评审，方案包含以下4部分要素：</w:t>
            </w:r>
          </w:p>
          <w:p w14:paraId="36AB8B8A">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①人员考核制度；②业务操作规程；③签字盖章规范,逐级审核要求，工作底稿质量要求制度；④档案管理制度。</w:t>
            </w:r>
          </w:p>
          <w:p w14:paraId="48D5616F">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以上内容全部内容满足需求的得8分，每缺少一项扣2分；每有一处不足或缺陷或不能符合项目实际情况的扣1分，扣完为止。</w:t>
            </w:r>
          </w:p>
          <w:p w14:paraId="071BE01C">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836" w:type="dxa"/>
            <w:shd w:val="clear" w:color="auto" w:fill="auto"/>
            <w:vAlign w:val="center"/>
          </w:tcPr>
          <w:p w14:paraId="068300CD">
            <w:pPr>
              <w:pStyle w:val="67"/>
              <w:spacing w:line="360" w:lineRule="exact"/>
              <w:ind w:firstLine="210" w:firstLineChars="100"/>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8</w:t>
            </w:r>
          </w:p>
        </w:tc>
      </w:tr>
      <w:tr w14:paraId="0153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271" w:type="dxa"/>
            <w:vMerge w:val="continue"/>
            <w:vAlign w:val="center"/>
          </w:tcPr>
          <w:p w14:paraId="48BC48A0">
            <w:pPr>
              <w:pStyle w:val="47"/>
              <w:jc w:val="center"/>
              <w:rPr>
                <w:rFonts w:hint="eastAsia" w:cs="宋体"/>
                <w:color w:val="auto"/>
                <w:szCs w:val="21"/>
                <w:highlight w:val="none"/>
              </w:rPr>
            </w:pPr>
          </w:p>
        </w:tc>
        <w:tc>
          <w:tcPr>
            <w:tcW w:w="1185" w:type="dxa"/>
            <w:tcBorders>
              <w:top w:val="single" w:color="auto" w:sz="4" w:space="0"/>
            </w:tcBorders>
            <w:vAlign w:val="center"/>
          </w:tcPr>
          <w:p w14:paraId="53592310">
            <w:pPr>
              <w:bidi w:val="0"/>
              <w:jc w:val="center"/>
              <w:rPr>
                <w:rFonts w:hint="eastAsia" w:ascii="宋体" w:hAnsi="宋体" w:eastAsia="宋体" w:cs="宋体"/>
                <w:b w:val="0"/>
                <w:bCs/>
                <w:color w:val="auto"/>
                <w:sz w:val="21"/>
                <w:szCs w:val="21"/>
                <w:highlight w:val="none"/>
                <w:lang w:val="en-GB" w:eastAsia="zh-CN"/>
              </w:rPr>
            </w:pPr>
            <w:r>
              <w:rPr>
                <w:rFonts w:hint="eastAsia" w:ascii="宋体" w:hAnsi="宋体" w:eastAsia="宋体" w:cs="宋体"/>
                <w:b w:val="0"/>
                <w:bCs/>
                <w:color w:val="auto"/>
                <w:sz w:val="21"/>
                <w:szCs w:val="21"/>
                <w:highlight w:val="none"/>
                <w:lang w:val="en-GB" w:eastAsia="zh-CN"/>
              </w:rPr>
              <w:t>投资控制措施</w:t>
            </w:r>
          </w:p>
        </w:tc>
        <w:tc>
          <w:tcPr>
            <w:tcW w:w="5820" w:type="dxa"/>
            <w:shd w:val="clear" w:color="auto" w:fill="auto"/>
            <w:vAlign w:val="center"/>
          </w:tcPr>
          <w:p w14:paraId="00DC0C5B">
            <w:pPr>
              <w:pStyle w:val="67"/>
              <w:spacing w:line="360" w:lineRule="exact"/>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bCs w:val="0"/>
                <w:sz w:val="21"/>
                <w:szCs w:val="21"/>
                <w:highlight w:val="none"/>
                <w:u w:val="none"/>
                <w:vertAlign w:val="baseline"/>
                <w:lang w:val="en-US" w:eastAsia="zh-CN"/>
              </w:rPr>
              <w:t>针对本项目制定科学合理的投资控制措施，包括不限于①施工图预算审核；②清单控价审核；③工程款项审核；④设计变更预算审核；⑤经济技术签证审核；⑥索赔审核及工程结算审核等。</w:t>
            </w:r>
            <w:r>
              <w:rPr>
                <w:rFonts w:hint="eastAsia" w:ascii="宋体" w:hAnsi="宋体" w:eastAsia="宋体" w:cs="宋体"/>
                <w:b w:val="0"/>
                <w:i w:val="0"/>
                <w:iCs w:val="0"/>
                <w:color w:val="auto"/>
                <w:kern w:val="0"/>
                <w:sz w:val="21"/>
                <w:szCs w:val="21"/>
                <w:highlight w:val="none"/>
                <w:u w:val="none"/>
                <w:lang w:val="en-US" w:eastAsia="zh-CN" w:bidi="ar"/>
              </w:rPr>
              <w:t>以上内容全部内容满足需求的得6分，每缺少一项扣1分；每有一处不足或缺陷或不能符合项目实际情况的扣0.5分，扣完为止。</w:t>
            </w:r>
          </w:p>
          <w:p w14:paraId="7AF3F5E3">
            <w:pPr>
              <w:pStyle w:val="67"/>
              <w:spacing w:line="360" w:lineRule="exact"/>
              <w:rPr>
                <w:rFonts w:hint="eastAsia" w:ascii="宋体" w:hAnsi="宋体" w:eastAsia="宋体" w:cstheme="minorBidi"/>
                <w:b w:val="0"/>
                <w:color w:val="auto"/>
                <w:kern w:val="2"/>
                <w:sz w:val="21"/>
                <w:szCs w:val="21"/>
                <w:highlight w:val="none"/>
              </w:rPr>
            </w:pPr>
            <w:r>
              <w:rPr>
                <w:rFonts w:hint="eastAsia" w:ascii="宋体" w:hAnsi="宋体" w:eastAsia="宋体" w:cs="宋体"/>
                <w:b w:val="0"/>
                <w:i w:val="0"/>
                <w:iCs w:val="0"/>
                <w:color w:val="auto"/>
                <w:kern w:val="0"/>
                <w:sz w:val="21"/>
                <w:szCs w:val="21"/>
                <w:highlight w:val="none"/>
                <w:u w:val="none"/>
                <w:lang w:val="en-US" w:eastAsia="zh-CN"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836" w:type="dxa"/>
            <w:shd w:val="clear" w:color="auto" w:fill="auto"/>
            <w:vAlign w:val="center"/>
          </w:tcPr>
          <w:p w14:paraId="0080BF55">
            <w:pPr>
              <w:pStyle w:val="67"/>
              <w:spacing w:line="360" w:lineRule="exact"/>
              <w:ind w:firstLine="210" w:firstLineChars="100"/>
              <w:rPr>
                <w:rFonts w:hint="default"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6</w:t>
            </w:r>
          </w:p>
        </w:tc>
      </w:tr>
      <w:tr w14:paraId="55B6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456" w:type="dxa"/>
            <w:gridSpan w:val="2"/>
            <w:vAlign w:val="center"/>
          </w:tcPr>
          <w:p w14:paraId="1004B751">
            <w:pPr>
              <w:pStyle w:val="47"/>
              <w:jc w:val="center"/>
              <w:rPr>
                <w:rFonts w:cs="宋体"/>
                <w:color w:val="auto"/>
                <w:szCs w:val="21"/>
                <w:highlight w:val="none"/>
              </w:rPr>
            </w:pPr>
            <w:r>
              <w:rPr>
                <w:rFonts w:hint="eastAsia" w:cs="宋体"/>
                <w:color w:val="auto"/>
                <w:szCs w:val="21"/>
                <w:highlight w:val="none"/>
              </w:rPr>
              <w:t>合计</w:t>
            </w:r>
          </w:p>
        </w:tc>
        <w:tc>
          <w:tcPr>
            <w:tcW w:w="6656" w:type="dxa"/>
            <w:gridSpan w:val="2"/>
            <w:tcBorders>
              <w:bottom w:val="single" w:color="auto" w:sz="4" w:space="0"/>
            </w:tcBorders>
            <w:vAlign w:val="center"/>
          </w:tcPr>
          <w:p w14:paraId="2360410F">
            <w:pPr>
              <w:pStyle w:val="47"/>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100分</w:t>
            </w:r>
          </w:p>
        </w:tc>
      </w:tr>
      <w:bookmarkEnd w:id="459"/>
    </w:tbl>
    <w:p w14:paraId="7ACBAA53">
      <w:pPr>
        <w:numPr>
          <w:ilvl w:val="0"/>
          <w:numId w:val="0"/>
        </w:numPr>
        <w:rPr>
          <w:rFonts w:hint="eastAsia"/>
          <w:highlight w:val="none"/>
          <w:lang w:val="zh-CN" w:eastAsia="zh-CN"/>
        </w:rPr>
      </w:pPr>
    </w:p>
    <w:p w14:paraId="6375DE68">
      <w:pPr>
        <w:numPr>
          <w:ilvl w:val="0"/>
          <w:numId w:val="0"/>
        </w:numPr>
        <w:rPr>
          <w:rFonts w:hint="eastAsia"/>
          <w:highlight w:val="none"/>
          <w:lang w:val="zh-CN" w:eastAsia="zh-CN"/>
        </w:rPr>
      </w:pPr>
    </w:p>
    <w:p w14:paraId="0D20272F">
      <w:pPr>
        <w:rPr>
          <w:rFonts w:hint="eastAsia" w:ascii="宋体" w:hAnsi="宋体" w:eastAsia="宋体" w:cs="宋体"/>
          <w:b/>
          <w:bCs/>
          <w:i w:val="0"/>
          <w:iCs w:val="0"/>
          <w:color w:val="auto"/>
          <w:kern w:val="44"/>
          <w:sz w:val="36"/>
          <w:szCs w:val="36"/>
          <w:highlight w:val="none"/>
          <w:lang w:val="en-US" w:eastAsia="zh-CN" w:bidi="ar-SA"/>
        </w:rPr>
      </w:pPr>
      <w:bookmarkStart w:id="460" w:name="_Toc383"/>
    </w:p>
    <w:p w14:paraId="3B426FBF">
      <w:pPr>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br w:type="page"/>
      </w:r>
    </w:p>
    <w:p w14:paraId="4965E3D0">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60"/>
    </w:p>
    <w:p w14:paraId="71DE93B7">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453FD5DE">
      <w:pPr>
        <w:pStyle w:val="12"/>
        <w:spacing w:after="0"/>
        <w:jc w:val="center"/>
        <w:rPr>
          <w:rFonts w:ascii="宋体" w:hAnsi="宋体" w:cs="宋体"/>
          <w:b/>
          <w:bCs/>
          <w:i w:val="0"/>
          <w:iCs w:val="0"/>
          <w:color w:val="auto"/>
          <w:spacing w:val="-20"/>
          <w:kern w:val="44"/>
          <w:sz w:val="48"/>
          <w:szCs w:val="48"/>
          <w:highlight w:val="none"/>
        </w:rPr>
      </w:pPr>
      <w:bookmarkStart w:id="461" w:name="_Toc3995"/>
    </w:p>
    <w:p w14:paraId="06257878">
      <w:pPr>
        <w:rPr>
          <w:rFonts w:hint="eastAsia" w:ascii="宋体" w:hAnsi="宋体" w:eastAsia="宋体" w:cs="宋体"/>
          <w:bCs/>
          <w:sz w:val="24"/>
          <w:szCs w:val="24"/>
          <w:highlight w:val="none"/>
        </w:rPr>
      </w:pPr>
    </w:p>
    <w:p w14:paraId="291CA7EB">
      <w:pPr>
        <w:rPr>
          <w:rFonts w:hint="eastAsia" w:ascii="宋体" w:hAnsi="宋体" w:eastAsia="宋体" w:cs="宋体"/>
          <w:sz w:val="24"/>
          <w:szCs w:val="24"/>
          <w:highlight w:val="none"/>
        </w:rPr>
      </w:pPr>
      <w:r>
        <w:rPr>
          <w:rFonts w:hint="eastAsia" w:ascii="宋体" w:hAnsi="宋体" w:eastAsia="宋体" w:cs="宋体"/>
          <w:bCs/>
          <w:sz w:val="24"/>
          <w:szCs w:val="24"/>
          <w:highlight w:val="none"/>
        </w:rPr>
        <w:t>GF—2015—0212</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b w:val="0"/>
          <w:bCs/>
          <w:sz w:val="24"/>
          <w:szCs w:val="24"/>
          <w:highlight w:val="none"/>
        </w:rPr>
        <w:t>合同编号：</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br w:type="textWrapping"/>
      </w:r>
    </w:p>
    <w:p w14:paraId="74F6CC9E">
      <w:pPr>
        <w:rPr>
          <w:rFonts w:hint="eastAsia" w:ascii="宋体" w:hAnsi="宋体" w:eastAsia="宋体" w:cs="宋体"/>
          <w:sz w:val="24"/>
          <w:szCs w:val="24"/>
          <w:highlight w:val="none"/>
        </w:rPr>
      </w:pPr>
    </w:p>
    <w:p w14:paraId="528943DC">
      <w:pPr>
        <w:rPr>
          <w:rFonts w:hint="eastAsia" w:ascii="宋体" w:hAnsi="宋体" w:eastAsia="宋体" w:cs="宋体"/>
          <w:sz w:val="24"/>
          <w:szCs w:val="24"/>
          <w:highlight w:val="none"/>
        </w:rPr>
      </w:pPr>
    </w:p>
    <w:p w14:paraId="43C8137D">
      <w:pPr>
        <w:rPr>
          <w:rFonts w:hint="eastAsia" w:ascii="宋体" w:hAnsi="宋体" w:eastAsia="宋体" w:cs="宋体"/>
          <w:sz w:val="24"/>
          <w:szCs w:val="24"/>
          <w:highlight w:val="none"/>
        </w:rPr>
      </w:pPr>
    </w:p>
    <w:p w14:paraId="41B5A65A">
      <w:pPr>
        <w:rPr>
          <w:rFonts w:hint="eastAsia" w:ascii="宋体" w:hAnsi="宋体" w:eastAsia="宋体" w:cs="宋体"/>
          <w:sz w:val="24"/>
          <w:szCs w:val="24"/>
          <w:highlight w:val="none"/>
        </w:rPr>
      </w:pPr>
    </w:p>
    <w:p w14:paraId="1383657F">
      <w:pPr>
        <w:rPr>
          <w:rFonts w:hint="eastAsia" w:ascii="宋体" w:hAnsi="宋体" w:eastAsia="宋体" w:cs="宋体"/>
          <w:sz w:val="24"/>
          <w:szCs w:val="24"/>
          <w:highlight w:val="none"/>
        </w:rPr>
      </w:pPr>
    </w:p>
    <w:p w14:paraId="43E5D109">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建设工程造价咨询合同</w:t>
      </w:r>
    </w:p>
    <w:p w14:paraId="675A9F60">
      <w:pPr>
        <w:pStyle w:val="68"/>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br w:type="textWrapping"/>
      </w:r>
      <w:r>
        <w:rPr>
          <w:rFonts w:hint="eastAsia" w:ascii="宋体" w:hAnsi="宋体" w:eastAsia="宋体" w:cs="宋体"/>
          <w:b/>
          <w:sz w:val="24"/>
          <w:szCs w:val="24"/>
          <w:highlight w:val="none"/>
        </w:rPr>
        <w:br w:type="textWrapping"/>
      </w:r>
    </w:p>
    <w:p w14:paraId="2B91A2F2">
      <w:pPr>
        <w:pStyle w:val="68"/>
        <w:jc w:val="center"/>
        <w:rPr>
          <w:rFonts w:hint="eastAsia" w:ascii="宋体" w:hAnsi="宋体" w:eastAsia="宋体" w:cs="宋体"/>
          <w:color w:val="auto"/>
          <w:sz w:val="24"/>
          <w:szCs w:val="24"/>
          <w:highlight w:val="none"/>
        </w:rPr>
      </w:pPr>
    </w:p>
    <w:p w14:paraId="11DBB306">
      <w:pPr>
        <w:pStyle w:val="68"/>
        <w:jc w:val="center"/>
        <w:rPr>
          <w:rFonts w:hint="eastAsia" w:ascii="宋体" w:hAnsi="宋体" w:eastAsia="宋体" w:cs="宋体"/>
          <w:color w:val="auto"/>
          <w:sz w:val="24"/>
          <w:szCs w:val="24"/>
          <w:highlight w:val="none"/>
        </w:rPr>
      </w:pPr>
    </w:p>
    <w:p w14:paraId="4551C55F">
      <w:pPr>
        <w:pStyle w:val="6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3761105</wp:posOffset>
                </wp:positionH>
                <wp:positionV relativeFrom="paragraph">
                  <wp:posOffset>267970</wp:posOffset>
                </wp:positionV>
                <wp:extent cx="2239010" cy="487680"/>
                <wp:effectExtent l="5080" t="4445" r="11430" b="10795"/>
                <wp:wrapNone/>
                <wp:docPr id="1" name="文本框 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2D676983">
                            <w:pPr>
                              <w:rPr>
                                <w:b/>
                                <w:sz w:val="24"/>
                                <w:szCs w:val="24"/>
                              </w:rPr>
                            </w:pPr>
                            <w:r>
                              <w:rPr>
                                <w:rFonts w:hint="eastAsia"/>
                                <w:b/>
                                <w:sz w:val="24"/>
                                <w:szCs w:val="24"/>
                              </w:rPr>
                              <w:t>制定</w:t>
                            </w:r>
                          </w:p>
                        </w:txbxContent>
                      </wps:txbx>
                      <wps:bodyPr upright="1">
                        <a:spAutoFit/>
                      </wps:bodyPr>
                    </wps:wsp>
                  </a:graphicData>
                </a:graphic>
              </wp:anchor>
            </w:drawing>
          </mc:Choice>
          <mc:Fallback>
            <w:pict>
              <v:shape id="_x0000_s1026" o:spid="_x0000_s1026" o:spt="202" type="#_x0000_t202" style="position:absolute;left:0pt;margin-left:296.15pt;margin-top:21.1pt;height:38.4pt;width:176.3pt;z-index:251666432;mso-width-relative:page;mso-height-relative:page;" fillcolor="#FFFFFF" filled="t" stroked="t" coordsize="21600,21600" o:gfxdata="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BYcPrYAAAACgEAAA8AAAAAAAAAAQAg&#10;AAAAIgAAAGRycy9kb3ducmV2LnhtbFBLAQIUABQAAAAIAIdO4kDXqevvDgIAAE0EAAAOAAAAAAAA&#10;AAEAIAAAACcBAABkcnMvZTJvRG9jLnhtbFBLBQYAAAAABgAGAFkBAACnBQAAAAA=&#10;">
                <v:fill on="t" focussize="0,0"/>
                <v:stroke weight="0pt" color="#FFFFFF" joinstyle="miter"/>
                <v:imagedata o:title=""/>
                <o:lock v:ext="edit" aspectratio="f"/>
                <v:textbox style="mso-fit-shape-to-text:t;">
                  <w:txbxContent>
                    <w:p w14:paraId="2D676983">
                      <w:pPr>
                        <w:rPr>
                          <w:b/>
                          <w:sz w:val="24"/>
                          <w:szCs w:val="24"/>
                        </w:rPr>
                      </w:pPr>
                      <w:r>
                        <w:rPr>
                          <w:rFonts w:hint="eastAsia"/>
                          <w:b/>
                          <w:sz w:val="24"/>
                          <w:szCs w:val="24"/>
                        </w:rPr>
                        <w:t>制定</w:t>
                      </w:r>
                    </w:p>
                  </w:txbxContent>
                </v:textbox>
              </v:shape>
            </w:pict>
          </mc:Fallback>
        </mc:AlternateContent>
      </w:r>
      <w:r>
        <w:rPr>
          <w:rFonts w:hint="eastAsia" w:ascii="宋体" w:hAnsi="宋体" w:eastAsia="宋体" w:cs="宋体"/>
          <w:color w:val="auto"/>
          <w:sz w:val="24"/>
          <w:szCs w:val="24"/>
          <w:highlight w:val="none"/>
        </w:rPr>
        <w:t xml:space="preserve">                  住 房 和 城 乡 建 设 部</w:t>
      </w:r>
    </w:p>
    <w:p w14:paraId="22D9C084">
      <w:pPr>
        <w:pStyle w:val="68"/>
        <w:ind w:firstLine="1807" w:firstLineChars="7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国家工商行政管理总局</w:t>
      </w:r>
    </w:p>
    <w:p w14:paraId="50AFF9BB">
      <w:pPr>
        <w:pStyle w:val="69"/>
        <w:spacing w:before="0" w:after="0" w:line="276" w:lineRule="auto"/>
        <w:jc w:val="center"/>
        <w:rPr>
          <w:rFonts w:hint="eastAsia" w:ascii="宋体" w:hAnsi="宋体" w:eastAsia="宋体" w:cs="宋体"/>
          <w:sz w:val="24"/>
          <w:szCs w:val="24"/>
          <w:highlight w:val="none"/>
          <w:lang w:val="zh-CN"/>
        </w:rPr>
        <w:sectPr>
          <w:headerReference r:id="rId8" w:type="default"/>
          <w:footerReference r:id="rId9" w:type="default"/>
          <w:pgSz w:w="11906" w:h="16838"/>
          <w:pgMar w:top="1418" w:right="1555" w:bottom="1418" w:left="1531" w:header="851" w:footer="992" w:gutter="0"/>
          <w:pgNumType w:fmt="decimal"/>
          <w:cols w:space="720" w:num="1"/>
          <w:titlePg/>
          <w:docGrid w:type="lines" w:linePitch="312" w:charSpace="0"/>
        </w:sectPr>
      </w:pPr>
    </w:p>
    <w:p w14:paraId="37E6E68D">
      <w:pPr>
        <w:pStyle w:val="69"/>
        <w:spacing w:before="0" w:after="0" w:line="276"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说  明</w:t>
      </w:r>
    </w:p>
    <w:p w14:paraId="126732CA">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指导建设工程造价咨询合同当事人的签约行为，维护合同当事人的合法权益，依据《中华人民共和国民法典》、《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14:paraId="4DABFD27">
      <w:pPr>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一、《示范文本》的组成</w:t>
      </w:r>
    </w:p>
    <w:p w14:paraId="5D09D837">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《示范文本》由协议书、通用条件和专用条件三部分组成。</w:t>
      </w:r>
    </w:p>
    <w:p w14:paraId="64BCCB6E">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（一）协议书</w:t>
      </w:r>
    </w:p>
    <w:p w14:paraId="5DA7BC56">
      <w:pPr>
        <w:spacing w:line="276" w:lineRule="auto"/>
        <w:ind w:left="168" w:leftChars="7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《示范文本》协议书集中约定了合同当事人基本的合同权利义务。</w:t>
      </w:r>
    </w:p>
    <w:p w14:paraId="05E07073">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（二）通用条件</w:t>
      </w:r>
    </w:p>
    <w:p w14:paraId="79A859A9">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通用条件是合同当事人根据《中华人民共和国民法典》、《中华人民共和国建筑法》等法律法规的规定，就工程造价咨询的实施及相关事项，对合同当事人的权利义务作出的原则性约定。</w:t>
      </w:r>
    </w:p>
    <w:p w14:paraId="4A9461B3">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通用条件既考虑了现行法律法规对工程发承包计价的有关要求，也考虑了工程造价咨询管理的特殊需要。</w:t>
      </w:r>
    </w:p>
    <w:p w14:paraId="6C14FD98">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（三）专用条件</w:t>
      </w:r>
    </w:p>
    <w:p w14:paraId="7BB1A25B">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14:paraId="41EDEA76">
      <w:pPr>
        <w:spacing w:line="276" w:lineRule="auto"/>
        <w:ind w:right="29" w:rightChars="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1.专用条件的编号应与相应的通用条件的编号一致；</w:t>
      </w:r>
    </w:p>
    <w:p w14:paraId="7FA226D7">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2.合同当事人可以通过对专用条件的修改，满足具体工程的特殊要求，避免直接修改通用条件；</w:t>
      </w:r>
    </w:p>
    <w:p w14:paraId="33F338E8">
      <w:pPr>
        <w:spacing w:line="27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3.在专用条件中有横道线的地方，合同当事人可针对相应的通用条件进行细化、完善、补充、修改或另行约定；如无细化、完善、补充、修改或另行约定，则填写“无”或划“/”。</w:t>
      </w:r>
    </w:p>
    <w:p w14:paraId="78482286">
      <w:pPr>
        <w:spacing w:line="276" w:lineRule="auto"/>
        <w:ind w:firstLine="480" w:firstLineChars="200"/>
        <w:rPr>
          <w:rFonts w:hint="eastAsia" w:ascii="宋体" w:hAnsi="宋体" w:eastAsia="宋体" w:cs="宋体"/>
          <w:b/>
          <w:sz w:val="24"/>
          <w:szCs w:val="24"/>
          <w:highlight w:val="none"/>
        </w:rPr>
      </w:pPr>
      <w:r>
        <w:rPr>
          <w:rFonts w:hint="eastAsia" w:ascii="宋体" w:hAnsi="宋体" w:eastAsia="宋体" w:cs="宋体"/>
          <w:bCs/>
          <w:sz w:val="24"/>
          <w:szCs w:val="24"/>
          <w:highlight w:val="none"/>
        </w:rPr>
        <w:t>二、《示范文本》的性质和适用范围</w:t>
      </w:r>
    </w:p>
    <w:p w14:paraId="669105C7">
      <w:pPr>
        <w:spacing w:line="276" w:lineRule="auto"/>
        <w:ind w:firstLine="480" w:firstLineChars="200"/>
        <w:rPr>
          <w:rFonts w:hint="eastAsia" w:ascii="宋体" w:hAnsi="宋体" w:eastAsia="宋体" w:cs="宋体"/>
          <w:sz w:val="24"/>
          <w:szCs w:val="24"/>
          <w:highlight w:val="none"/>
        </w:rPr>
        <w:sectPr>
          <w:footerReference r:id="rId11" w:type="first"/>
          <w:footerReference r:id="rId10" w:type="default"/>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sz w:val="24"/>
          <w:szCs w:val="24"/>
          <w:highlight w:val="non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14:paraId="66E44155">
      <w:pPr>
        <w:pStyle w:val="3"/>
        <w:spacing w:before="120" w:after="120"/>
        <w:jc w:val="center"/>
        <w:rPr>
          <w:rFonts w:hint="eastAsia" w:ascii="宋体" w:hAnsi="宋体" w:eastAsia="宋体" w:cs="宋体"/>
          <w:sz w:val="24"/>
          <w:szCs w:val="24"/>
          <w:highlight w:val="none"/>
          <w:u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bookmarkStart w:id="462" w:name="_Toc422322470"/>
      <w:bookmarkStart w:id="463" w:name="_Toc419045055"/>
      <w:r>
        <w:rPr>
          <w:rFonts w:hint="eastAsia" w:ascii="宋体" w:hAnsi="宋体" w:eastAsia="宋体" w:cs="宋体"/>
          <w:sz w:val="24"/>
          <w:szCs w:val="24"/>
          <w:highlight w:val="none"/>
          <w:u w:val="none"/>
        </w:rPr>
        <w:t>第一部分　协议书</w:t>
      </w:r>
      <w:bookmarkEnd w:id="462"/>
      <w:bookmarkEnd w:id="463"/>
    </w:p>
    <w:p w14:paraId="750EC1F5">
      <w:pPr>
        <w:pStyle w:val="70"/>
        <w:pageBreakBefore w:val="0"/>
        <w:widowControl/>
        <w:kinsoku/>
        <w:wordWrap/>
        <w:overflowPunct/>
        <w:topLinePunct w:val="0"/>
        <w:autoSpaceDE/>
        <w:autoSpaceDN/>
        <w:bidi w:val="0"/>
        <w:adjustRightInd/>
        <w:snapToGrid/>
        <w:spacing w:line="560" w:lineRule="exact"/>
        <w:ind w:left="480" w:leftChars="200"/>
        <w:jc w:val="left"/>
        <w:textAlignment w:val="auto"/>
        <w:rPr>
          <w:rFonts w:hint="eastAsia" w:ascii="宋体" w:hAnsi="宋体" w:eastAsia="宋体" w:cs="宋体"/>
          <w:sz w:val="24"/>
          <w:szCs w:val="24"/>
          <w:highlight w:val="none"/>
          <w:u w:val="none"/>
        </w:rPr>
      </w:pPr>
      <w:bookmarkStart w:id="464" w:name="7"/>
      <w:r>
        <w:rPr>
          <w:rFonts w:hint="eastAsia" w:ascii="宋体" w:hAnsi="宋体" w:eastAsia="宋体" w:cs="宋体"/>
          <w:sz w:val="24"/>
          <w:szCs w:val="24"/>
          <w:highlight w:val="none"/>
          <w:u w:val="none"/>
        </w:rPr>
        <w:t>委托人（全称）：</w:t>
      </w:r>
      <w:r>
        <w:rPr>
          <w:rFonts w:hint="eastAsia" w:ascii="宋体" w:hAnsi="宋体" w:eastAsia="宋体" w:cs="宋体"/>
          <w:sz w:val="24"/>
          <w:szCs w:val="24"/>
          <w:highlight w:val="none"/>
          <w:u w:val="single"/>
          <w:lang w:eastAsia="zh-CN"/>
        </w:rPr>
        <w:t>新疆医科大学第一附属医院</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xml:space="preserve"> </w:t>
      </w:r>
    </w:p>
    <w:p w14:paraId="6E41BC1B">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highlight w:val="none"/>
          <w:u w:val="none"/>
        </w:rPr>
      </w:pPr>
      <w:r>
        <w:rPr>
          <w:rFonts w:hint="eastAsia" w:ascii="宋体" w:hAnsi="宋体" w:eastAsia="宋体" w:cs="宋体"/>
          <w:sz w:val="24"/>
          <w:szCs w:val="24"/>
          <w:highlight w:val="none"/>
          <w:u w:val="none"/>
        </w:rPr>
        <w:t>咨询人（全称）：</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bCs/>
          <w:sz w:val="24"/>
          <w:szCs w:val="24"/>
          <w:highlight w:val="none"/>
          <w:u w:val="none"/>
        </w:rPr>
        <w:t xml:space="preserve">     </w:t>
      </w:r>
    </w:p>
    <w:p w14:paraId="240983B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根据《</w:t>
      </w:r>
      <w:r>
        <w:rPr>
          <w:rFonts w:hint="eastAsia" w:ascii="宋体" w:hAnsi="宋体" w:eastAsia="宋体" w:cs="宋体"/>
          <w:sz w:val="24"/>
          <w:szCs w:val="24"/>
          <w:highlight w:val="none"/>
          <w:u w:val="none"/>
        </w:rPr>
        <w:fldChar w:fldCharType="begin"/>
      </w:r>
      <w:r>
        <w:rPr>
          <w:rFonts w:hint="eastAsia" w:ascii="宋体" w:hAnsi="宋体" w:eastAsia="宋体" w:cs="宋体"/>
          <w:sz w:val="24"/>
          <w:szCs w:val="24"/>
          <w:highlight w:val="none"/>
          <w:u w:val="none"/>
        </w:rPr>
        <w:instrText xml:space="preserve"> HYPERLINK "javascript:SLC(21651,0)" </w:instrText>
      </w:r>
      <w:r>
        <w:rPr>
          <w:rFonts w:hint="eastAsia" w:ascii="宋体" w:hAnsi="宋体" w:eastAsia="宋体" w:cs="宋体"/>
          <w:sz w:val="24"/>
          <w:szCs w:val="24"/>
          <w:highlight w:val="none"/>
          <w:u w:val="none"/>
        </w:rPr>
        <w:fldChar w:fldCharType="separate"/>
      </w:r>
      <w:r>
        <w:rPr>
          <w:rStyle w:val="71"/>
          <w:rFonts w:hint="eastAsia" w:ascii="宋体" w:hAnsi="宋体" w:eastAsia="宋体" w:cs="宋体"/>
          <w:color w:val="auto"/>
          <w:sz w:val="24"/>
          <w:szCs w:val="24"/>
          <w:highlight w:val="none"/>
          <w:u w:val="none"/>
        </w:rPr>
        <w:t>中华人民共和国</w:t>
      </w:r>
      <w:r>
        <w:rPr>
          <w:rFonts w:hint="eastAsia" w:ascii="宋体" w:hAnsi="宋体" w:eastAsia="宋体" w:cs="宋体"/>
          <w:sz w:val="24"/>
          <w:szCs w:val="24"/>
          <w:highlight w:val="none"/>
          <w:u w:val="none"/>
        </w:rPr>
        <w:t>民法典</w:t>
      </w:r>
      <w:r>
        <w:rPr>
          <w:rFonts w:hint="eastAsia" w:ascii="宋体" w:hAnsi="宋体" w:eastAsia="宋体" w:cs="宋体"/>
          <w:sz w:val="24"/>
          <w:szCs w:val="24"/>
          <w:highlight w:val="none"/>
          <w:u w:val="none"/>
        </w:rPr>
        <w:fldChar w:fldCharType="end"/>
      </w:r>
      <w:r>
        <w:rPr>
          <w:rFonts w:hint="eastAsia" w:ascii="宋体" w:hAnsi="宋体" w:eastAsia="宋体" w:cs="宋体"/>
          <w:sz w:val="24"/>
          <w:szCs w:val="24"/>
          <w:highlight w:val="none"/>
          <w:u w:val="none"/>
        </w:rPr>
        <w:t>》及其他有关法律、法规，遵循平等、自</w:t>
      </w:r>
    </w:p>
    <w:p w14:paraId="6306C219">
      <w:pPr>
        <w:pStyle w:val="7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愿、公平和诚实信用的原则，双方就下述建设工程委托造价咨询与其他服务事项协商一致，订立本合同。</w:t>
      </w:r>
    </w:p>
    <w:p w14:paraId="15D54969">
      <w:pPr>
        <w:pageBreakBefore w:val="0"/>
        <w:widowControl/>
        <w:kinsoku/>
        <w:wordWrap/>
        <w:overflowPunct/>
        <w:topLinePunct w:val="0"/>
        <w:autoSpaceDE/>
        <w:autoSpaceDN/>
        <w:bidi w:val="0"/>
        <w:adjustRightInd/>
        <w:snapToGrid/>
        <w:spacing w:before="120" w:beforeLines="50" w:after="120" w:afterLines="50" w:line="560" w:lineRule="exact"/>
        <w:ind w:left="2204" w:leftChars="266" w:hanging="1566" w:hangingChars="650"/>
        <w:textAlignment w:val="auto"/>
        <w:rPr>
          <w:rFonts w:hint="eastAsia" w:ascii="宋体" w:hAnsi="宋体" w:eastAsia="宋体" w:cs="宋体"/>
          <w:sz w:val="24"/>
          <w:szCs w:val="24"/>
          <w:highlight w:val="none"/>
          <w:u w:val="none"/>
        </w:rPr>
      </w:pPr>
      <w:bookmarkStart w:id="465" w:name="_Toc422322471"/>
      <w:bookmarkStart w:id="466" w:name="_Toc419045056"/>
      <w:r>
        <w:rPr>
          <w:rStyle w:val="72"/>
          <w:rFonts w:hint="eastAsia" w:ascii="宋体" w:hAnsi="宋体" w:eastAsia="宋体" w:cs="宋体"/>
          <w:sz w:val="24"/>
          <w:szCs w:val="24"/>
          <w:highlight w:val="none"/>
          <w:u w:val="none"/>
        </w:rPr>
        <w:t>一、工程概况</w:t>
      </w:r>
      <w:bookmarkEnd w:id="465"/>
    </w:p>
    <w:p w14:paraId="2E0ADD33">
      <w:pPr>
        <w:pStyle w:val="70"/>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1.工程名称：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DD8C8D0">
      <w:pPr>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2.工程地点：</w:t>
      </w:r>
      <w:bookmarkEnd w:id="466"/>
      <w:r>
        <w:rPr>
          <w:rFonts w:hint="eastAsia" w:ascii="宋体" w:hAnsi="宋体" w:eastAsia="宋体" w:cs="宋体"/>
          <w:sz w:val="24"/>
          <w:szCs w:val="24"/>
          <w:highlight w:val="none"/>
          <w:u w:val="single"/>
          <w:lang w:eastAsia="zh-CN"/>
        </w:rPr>
        <w:t>新疆医科大学第一附属医院</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B01BA93">
      <w:pPr>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3.工程规模：______________________                                                              </w:t>
      </w:r>
    </w:p>
    <w:p w14:paraId="7F791282">
      <w:pPr>
        <w:pStyle w:val="70"/>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4.投资金额：______________________</w:t>
      </w:r>
    </w:p>
    <w:p w14:paraId="67C165B6">
      <w:pPr>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5.资金来源：______________________                                      </w:t>
      </w:r>
    </w:p>
    <w:p w14:paraId="0A23AA37">
      <w:pPr>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6.建设工期或周期：________________                                 </w:t>
      </w:r>
    </w:p>
    <w:p w14:paraId="717385CD">
      <w:pPr>
        <w:pageBreakBefore w:val="0"/>
        <w:widowControl/>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7.其他：__________________________</w:t>
      </w:r>
      <w:bookmarkEnd w:id="464"/>
    </w:p>
    <w:p w14:paraId="2A7ACC50">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467" w:name="_Toc422322472"/>
      <w:bookmarkStart w:id="468" w:name="_Toc419045059"/>
      <w:r>
        <w:rPr>
          <w:rFonts w:hint="eastAsia" w:ascii="宋体" w:hAnsi="宋体" w:eastAsia="宋体" w:cs="宋体"/>
          <w:sz w:val="24"/>
          <w:szCs w:val="24"/>
          <w:highlight w:val="none"/>
        </w:rPr>
        <w:t>二、服务范围及工作内容</w:t>
      </w:r>
      <w:bookmarkEnd w:id="467"/>
      <w:bookmarkEnd w:id="468"/>
    </w:p>
    <w:p w14:paraId="0C8A07EC">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bookmarkStart w:id="469" w:name="_Toc419045060"/>
      <w:bookmarkStart w:id="470" w:name="_Toc422322473"/>
      <w:bookmarkStart w:id="471" w:name="9"/>
      <w:r>
        <w:rPr>
          <w:rFonts w:hint="eastAsia" w:ascii="宋体" w:hAnsi="宋体" w:eastAsia="宋体" w:cs="宋体"/>
          <w:sz w:val="24"/>
          <w:szCs w:val="24"/>
          <w:highlight w:val="none"/>
        </w:rPr>
        <w:t>本合同造价咨询业务范围包括：</w:t>
      </w:r>
    </w:p>
    <w:p w14:paraId="76A5D89F">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造价咨询业务范围包括但不限于以下工作内容：</w:t>
      </w:r>
    </w:p>
    <w:p w14:paraId="428CE60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（一）招标阶段</w:t>
      </w:r>
    </w:p>
    <w:p w14:paraId="714AEC90">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1、协助委托人进行招标规划、合同策划并提出合同建议，对招标文件与工程造价控制相关的条款提出咨询意见；</w:t>
      </w:r>
    </w:p>
    <w:p w14:paraId="052FA6CB">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2、招标控制价或标底、工程量清单的编制及审核（包括图纸变更增加的工作量）；</w:t>
      </w:r>
    </w:p>
    <w:p w14:paraId="65B7C024">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3、对中标人投标文件进行清标，并编制清标报告；</w:t>
      </w:r>
    </w:p>
    <w:p w14:paraId="065A89D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4、协助委托人与有关单位进行合同谈判；</w:t>
      </w:r>
    </w:p>
    <w:p w14:paraId="629D3569">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（二）施工阶段全过程造价控制</w:t>
      </w:r>
    </w:p>
    <w:p w14:paraId="77CFDB81">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1、工程造价进度控制：</w:t>
      </w:r>
    </w:p>
    <w:p w14:paraId="1E2D71F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1.1、为委托人提供工程成本控制的建议，运用技术、合同等手段有效控制成本。</w:t>
      </w:r>
    </w:p>
    <w:p w14:paraId="6CC28C64">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1.2、对重大的工程变更或设计变更进行造价估算，并分析对工程目标成本的影响，作为委托人决策的依据。</w:t>
      </w:r>
    </w:p>
    <w:p w14:paraId="773527F3">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1.3、对工程洽商进行造价估算和费用审核。</w:t>
      </w:r>
    </w:p>
    <w:p w14:paraId="2A8D48A0">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1.4、依据合同条款规定的程序进行工程计量，审核所有与本工程相关的付款申请，复核已完工程主要项目工程量，并向委托人提供中期付款意见，经委托人认可后作为支付当期进度款的依据。</w:t>
      </w:r>
    </w:p>
    <w:p w14:paraId="7BD1ED8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1.5、对承包人提出的工期和费用索赔事项提供专业审核意见，协助委托人与索赔单位进行商务谈判，以解决索赔事项。</w:t>
      </w:r>
    </w:p>
    <w:p w14:paraId="2F866DA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1.6、对承包人提出的合同争议或纠纷，提供合同条款规定方面的专业意见；协助委托人与承包人谈判，以解决合同争议或纠纷。</w:t>
      </w:r>
    </w:p>
    <w:p w14:paraId="02D144E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1.7、提供月度造价咨询服务报告，对最终的工程结算造价做出审核，分析本次审核的最终工程结算造价与前次审核的最终工程结算造价的差异原因。</w:t>
      </w:r>
    </w:p>
    <w:p w14:paraId="2CF0D194">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1.8、按委托人要求出席与所提供服务相关的工程会议，包括设计协调会、合同谈判会议、招投标及合同造价管理例会、现场会、专题讨论会等，以解决工程成本控制问题。</w:t>
      </w:r>
    </w:p>
    <w:p w14:paraId="0348704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2、工程进度款与变更、签证的审核与确定</w:t>
      </w:r>
    </w:p>
    <w:p w14:paraId="76F0CB54">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2.1要配合委托人作好概算调整、工程经济纠纷中工程量的鉴定、工程进度款准确支付，保证工程按期交工。</w:t>
      </w:r>
    </w:p>
    <w:p w14:paraId="47653048">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2.2要配合业主在监理公司确认的工程量的基础上，进行量、价的复核。即咨询人对各子项的工程量、单价进行确认，监理方和咨询方应做到精诚团结，互相协作，保证进度款量、价的准确性。</w:t>
      </w:r>
    </w:p>
    <w:p w14:paraId="6AECECB1">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咨询人常驻人员应每天到施工现场，了解现场施工进度情况，做好随访记录，对于有可能出现的变更、签证应及时做好造价对比分析，为业主提供决策依据。对现场已经发生的重大变更、签证应及时到达现场复核工作量，做好材料分析，确定造价。在确定主要材料价格时，应及时参与市场调查，提供材料信息，做到心中有数。</w:t>
      </w:r>
    </w:p>
    <w:p w14:paraId="1704B24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2.4 对于特殊施工工艺的项目或出现定额与实际不符的项目，应掌握其施工工艺流程及做法，现场测定其损耗，编制好换算子目，有必要时报定额站审批备案，为结算做好充分的准备工作。</w:t>
      </w:r>
    </w:p>
    <w:p w14:paraId="09A8C316">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2.5咨询人应按照委托人要求，按期保质保量做好工程竣工结算等工作；配合委托人及监理单位做好招投标及工程索赔的管理工作；做好主要设备和材料询价采购审核等。</w:t>
      </w:r>
    </w:p>
    <w:p w14:paraId="0A1EA0B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3、主要要求</w:t>
      </w:r>
    </w:p>
    <w:p w14:paraId="218DA886">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3.1咨询方的主要工作是配合业主对工程造价（进度、变更、签证、结算）进行控制，其目的是在工程合同的基础上做到确定与控制工程造价的目标。</w:t>
      </w:r>
    </w:p>
    <w:p w14:paraId="5DAAADFC">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3.2工程款使用计划应在合理的施工组织设计及工程合同价款的基础上编制，编制内容应与工程合同确定的工程款支付方式相一致，在设计或施工进度变化较大的情况下应按需进行动态调整；工程进度款的审核与确定报告应符合施工合同相关支付条款的要求，所套用的计价项目应正确，工程量的核定应与施工进度状况相一致，中期付款报告的签发程序及时间应符合施工合同要求。</w:t>
      </w:r>
    </w:p>
    <w:p w14:paraId="62056783">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3.3工程变更与工程现场签证审核的依据应充分，设计变更手续、签证程序应齐全，内容与实际情况应相符，所选用的计价方式应合理并符合施工合同规定，工程变更的数量（包括核增与核减）应考虑全面。</w:t>
      </w:r>
    </w:p>
    <w:p w14:paraId="632E106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（三）项目竣工结算及结算审核阶段</w:t>
      </w:r>
    </w:p>
    <w:p w14:paraId="56821D4C">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1、主要工作</w:t>
      </w:r>
    </w:p>
    <w:p w14:paraId="45991C3D">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当建设项目达到交工条件并通过五方验收后,应督促施工方尽早编制竣工结算书，及时做好审核工作,其目的是反映建设工程项目实际造价和投资效果。</w:t>
      </w:r>
    </w:p>
    <w:p w14:paraId="27EBF0DF">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1.1、拟订工程结算实施方案、原则和程序；保证竣工结算包括分阶段的结算顺利进行。</w:t>
      </w:r>
    </w:p>
    <w:p w14:paraId="5345ABC4">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1.2、核对工程量、单价、费率；对不明确的问题定性、定量、定价，协调工程结算中的疑难分歧，达成协议或形成会商纪要，促使双方在合法、合理、公平状况下进行结算。</w:t>
      </w:r>
    </w:p>
    <w:p w14:paraId="2DC432A9">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1.3、向委托人提交全部工程结算审核报告、合同管理及执行情况的专题总结报告。</w:t>
      </w:r>
    </w:p>
    <w:p w14:paraId="014A065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1.4、协助委托人做好成本管理总结和竣工结算资料汇总工作。</w:t>
      </w:r>
    </w:p>
    <w:p w14:paraId="7CA17DDF">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1.5、协助委托人做好项目竣工决算审计工作，直至通过竣工决算审计。</w:t>
      </w:r>
    </w:p>
    <w:p w14:paraId="023CABC8">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1.6、咨询人应配合委托人做好工程过程中跟踪审计、各阶段财政审计、上级部门审计等有关的其他服务。</w:t>
      </w:r>
    </w:p>
    <w:p w14:paraId="27D37F01">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1.7资料的收集</w:t>
      </w:r>
    </w:p>
    <w:p w14:paraId="62AF58E1">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在工程交工后，应配合业主对结算资料进行整理,分类汇总，检查资料的合理性(变更应有设计院出具、签证应四方签字认可[业主方、监理方、施工方、咨询方])。</w:t>
      </w:r>
    </w:p>
    <w:p w14:paraId="0EAA850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2、结算的审核</w:t>
      </w:r>
    </w:p>
    <w:p w14:paraId="58C5EBB0">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收到结算书后，咨询方应先安排各专业技术人员严格按照合同、图纸及有关资料，依据现行计价规范、估价、政策性文件逐一对量、价进行自审，自审完后，在业主的安排与共同参与下,与施工方进行逐项核对，站在公正的基础上，把好造价关。审核过程应公开、透明。</w:t>
      </w:r>
    </w:p>
    <w:p w14:paraId="0F2A1A80">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3、工作要求</w:t>
      </w:r>
    </w:p>
    <w:p w14:paraId="04126240">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3.1要确保编制咨询成果文件所需依据的完备性，成果结论的真实性和科学性。</w:t>
      </w:r>
    </w:p>
    <w:p w14:paraId="35CC63A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竣工结算应严格依据施工合同的规定执行，对工程量计算与计价、相关费用的核定、设计变更、工程签证的手续齐全性及实际竣工项目状况的一致性进行审核，确保计算无误、计价正确、深度符合规定要求、计算和结论清楚、附表齐全。</w:t>
      </w:r>
    </w:p>
    <w:p w14:paraId="62CD7DF2">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3.3咨询报告盖章顺序：施工单位——咨询单位——委托单位；咨询报告一式</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份。</w:t>
      </w:r>
    </w:p>
    <w:p w14:paraId="3A7BF310">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3.4当建设项目达到交工条件通过五方验收后,应督促施工方尽早编制竣工结算书，及时做好审核工作。</w:t>
      </w:r>
    </w:p>
    <w:p w14:paraId="28A4FEE6">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（四）保障措施</w:t>
      </w:r>
    </w:p>
    <w:p w14:paraId="25B75C96">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咨询人应选派业务精通，责任心强,具有良好职业道德的不同专业的(土建、水暖、电气等)技术人员，组成跟踪服务项目管理部，项目负责人必须常驻现场。咨询人必须在投标文件中列明常驻现场代表及造价咨询人员的人数及分工（具有注册造价师人员不得少于3人，并配备相关造价人员不少于5人，其中常驻现场人员不得少于3人），所有工作人员必须具备国家规定的相关人员执业资格，并且具有与招标项目规模和复杂程度相适应的专业技术力量，根据工程进度计划及时调备与工程相适应的专业技术工作人员。</w:t>
      </w:r>
    </w:p>
    <w:p w14:paraId="51588359">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2、质量把关措施</w:t>
      </w:r>
    </w:p>
    <w:p w14:paraId="5299767A">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由造价人员计算发生的各项工程量及造价，自审后报项目管理负责人校核，复审结果由技术总负责人专审后签字出件。实行三审制度，加强技术人员的综合管理，严禁与施工单位进行不正当的交往，中标后五日内签署廉政协议书。</w:t>
      </w:r>
    </w:p>
    <w:p w14:paraId="605714FC">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（2）咨询人与施工单位之间如有违规行为，一经发现，</w:t>
      </w:r>
      <w:r>
        <w:rPr>
          <w:rFonts w:hint="eastAsia" w:ascii="宋体" w:hAnsi="宋体" w:eastAsia="宋体" w:cs="宋体"/>
          <w:sz w:val="24"/>
          <w:szCs w:val="24"/>
          <w:highlight w:val="none"/>
          <w:lang w:eastAsia="zh-CN"/>
        </w:rPr>
        <w:t>委托人</w:t>
      </w:r>
      <w:r>
        <w:rPr>
          <w:rFonts w:hint="eastAsia" w:ascii="宋体" w:hAnsi="宋体" w:eastAsia="宋体" w:cs="宋体"/>
          <w:sz w:val="24"/>
          <w:szCs w:val="24"/>
          <w:highlight w:val="none"/>
        </w:rPr>
        <w:t>有权终止委托合同，并追究法律责任。</w:t>
      </w:r>
    </w:p>
    <w:p w14:paraId="0AC04F7E">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3、委托人安排的的其他造价咨询类事项</w:t>
      </w:r>
      <w:r>
        <w:rPr>
          <w:rFonts w:hint="eastAsia" w:ascii="宋体" w:hAnsi="宋体" w:eastAsia="宋体" w:cs="宋体"/>
          <w:sz w:val="24"/>
          <w:szCs w:val="24"/>
          <w:highlight w:val="none"/>
          <w:lang w:eastAsia="zh-CN"/>
        </w:rPr>
        <w:t>。</w:t>
      </w:r>
    </w:p>
    <w:p w14:paraId="60450A07">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三、服务期限</w:t>
      </w:r>
      <w:bookmarkEnd w:id="469"/>
      <w:bookmarkEnd w:id="470"/>
    </w:p>
    <w:p w14:paraId="3B4E918E">
      <w:pPr>
        <w:pStyle w:val="7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single"/>
        </w:rPr>
        <w:t>本合同约定的建设工程造价咨询服务自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日开始实施，至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日终结</w:t>
      </w:r>
      <w:r>
        <w:rPr>
          <w:rFonts w:hint="eastAsia" w:ascii="宋体" w:hAnsi="宋体" w:eastAsia="宋体" w:cs="宋体"/>
          <w:sz w:val="24"/>
          <w:szCs w:val="24"/>
          <w:highlight w:val="none"/>
          <w:u w:val="none"/>
        </w:rPr>
        <w:t>。</w:t>
      </w:r>
      <w:bookmarkEnd w:id="471"/>
    </w:p>
    <w:p w14:paraId="111BEEC6">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u w:val="none"/>
        </w:rPr>
      </w:pPr>
      <w:bookmarkStart w:id="472" w:name="_Toc419045061"/>
      <w:bookmarkStart w:id="473" w:name="_Toc422322474"/>
      <w:r>
        <w:rPr>
          <w:rFonts w:hint="eastAsia" w:ascii="宋体" w:hAnsi="宋体" w:eastAsia="宋体" w:cs="宋体"/>
          <w:sz w:val="24"/>
          <w:szCs w:val="24"/>
          <w:highlight w:val="none"/>
          <w:u w:val="none"/>
        </w:rPr>
        <w:t>四、质量标准</w:t>
      </w:r>
      <w:bookmarkEnd w:id="472"/>
      <w:bookmarkEnd w:id="473"/>
    </w:p>
    <w:p w14:paraId="71FDBF26">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工程造价咨询成果文件应符合：《建设工程造价咨询成果文件质量标准》CECA/GC7-2012、审计局审计标准、符合造价站的检查要求及其他现行的国家、新疆维吾尔自治区、《乌鲁木齐市建设工程造价咨询成果文件质量管理办法》及项目所在地相关部门规定的标准和要求。</w:t>
      </w:r>
    </w:p>
    <w:p w14:paraId="3FD26238">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474" w:name="_Toc419045062"/>
      <w:bookmarkStart w:id="475" w:name="_Toc422322475"/>
      <w:bookmarkStart w:id="476" w:name="12"/>
      <w:r>
        <w:rPr>
          <w:rFonts w:hint="eastAsia" w:ascii="宋体" w:hAnsi="宋体" w:eastAsia="宋体" w:cs="宋体"/>
          <w:sz w:val="24"/>
          <w:szCs w:val="24"/>
          <w:highlight w:val="none"/>
        </w:rPr>
        <w:t>五、酬金或计取方式</w:t>
      </w:r>
      <w:bookmarkEnd w:id="474"/>
      <w:bookmarkEnd w:id="475"/>
    </w:p>
    <w:p w14:paraId="79658570">
      <w:pPr>
        <w:pageBreakBefore w:val="0"/>
        <w:widowControl/>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1.酬金：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EF928C0">
      <w:pPr>
        <w:pageBreakBefore w:val="0"/>
        <w:widowControl/>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rPr>
        <w:t xml:space="preserve">   2.计取方式：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w:t>
      </w:r>
    </w:p>
    <w:p w14:paraId="34B395FB">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mallCaps/>
          <w:sz w:val="24"/>
          <w:szCs w:val="24"/>
          <w:highlight w:val="none"/>
        </w:rPr>
      </w:pPr>
      <w:r>
        <w:rPr>
          <w:rFonts w:hint="eastAsia" w:ascii="宋体" w:hAnsi="宋体" w:eastAsia="宋体" w:cs="宋体"/>
          <w:bCs/>
          <w:smallCaps/>
          <w:sz w:val="24"/>
          <w:szCs w:val="24"/>
          <w:highlight w:val="none"/>
        </w:rPr>
        <w:t xml:space="preserve"> 酬金或计取方式详见附录A。</w:t>
      </w:r>
    </w:p>
    <w:p w14:paraId="1F5E1484">
      <w:pPr>
        <w:pStyle w:val="70"/>
        <w:pageBreakBefore w:val="0"/>
        <w:widowControl/>
        <w:kinsoku/>
        <w:wordWrap/>
        <w:overflowPunct/>
        <w:topLinePunct w:val="0"/>
        <w:autoSpaceDE/>
        <w:autoSpaceDN/>
        <w:bidi w:val="0"/>
        <w:adjustRightInd/>
        <w:snapToGrid/>
        <w:spacing w:line="560" w:lineRule="exact"/>
        <w:ind w:left="482"/>
        <w:jc w:val="left"/>
        <w:textAlignment w:val="auto"/>
        <w:rPr>
          <w:rFonts w:hint="eastAsia" w:ascii="宋体" w:hAnsi="宋体" w:eastAsia="宋体" w:cs="宋体"/>
          <w:sz w:val="24"/>
          <w:szCs w:val="24"/>
          <w:highlight w:val="none"/>
        </w:rPr>
      </w:pPr>
      <w:bookmarkStart w:id="477" w:name="_Toc419045058"/>
      <w:bookmarkStart w:id="478" w:name="_Toc422322476"/>
      <w:r>
        <w:rPr>
          <w:rStyle w:val="72"/>
          <w:rFonts w:hint="eastAsia" w:ascii="宋体" w:hAnsi="宋体" w:eastAsia="宋体" w:cs="宋体"/>
          <w:sz w:val="24"/>
          <w:szCs w:val="24"/>
          <w:highlight w:val="none"/>
        </w:rPr>
        <w:t>六、合同文件的构成</w:t>
      </w:r>
      <w:bookmarkEnd w:id="477"/>
      <w:bookmarkEnd w:id="478"/>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本协议书与下列文件一起构成合同文件:</w:t>
      </w:r>
    </w:p>
    <w:p w14:paraId="359BCA46">
      <w:pPr>
        <w:pStyle w:val="70"/>
        <w:pageBreakBefore w:val="0"/>
        <w:widowControl/>
        <w:kinsoku/>
        <w:wordWrap/>
        <w:overflowPunct/>
        <w:topLinePunct w:val="0"/>
        <w:autoSpaceDE/>
        <w:autoSpaceDN/>
        <w:bidi w:val="0"/>
        <w:adjustRightInd/>
        <w:snapToGrid/>
        <w:spacing w:line="560" w:lineRule="exact"/>
        <w:ind w:left="481"/>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w:t>
      </w:r>
    </w:p>
    <w:p w14:paraId="6AEE8D62">
      <w:pPr>
        <w:pStyle w:val="70"/>
        <w:pageBreakBefore w:val="0"/>
        <w:widowControl/>
        <w:kinsoku/>
        <w:wordWrap/>
        <w:overflowPunct/>
        <w:topLinePunct w:val="0"/>
        <w:autoSpaceDE/>
        <w:autoSpaceDN/>
        <w:bidi w:val="0"/>
        <w:adjustRightInd/>
        <w:snapToGrid/>
        <w:spacing w:line="560" w:lineRule="exact"/>
        <w:ind w:left="481"/>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2.投标函及投标函附录或造价咨询服务建议书（如果有）；</w:t>
      </w:r>
    </w:p>
    <w:p w14:paraId="65870202">
      <w:pPr>
        <w:pStyle w:val="70"/>
        <w:pageBreakBefore w:val="0"/>
        <w:widowControl/>
        <w:kinsoku/>
        <w:wordWrap/>
        <w:overflowPunct/>
        <w:topLinePunct w:val="0"/>
        <w:autoSpaceDE/>
        <w:autoSpaceDN/>
        <w:bidi w:val="0"/>
        <w:adjustRightInd/>
        <w:snapToGrid/>
        <w:spacing w:line="560" w:lineRule="exact"/>
        <w:ind w:left="481"/>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3.专用条件及附录；</w:t>
      </w:r>
    </w:p>
    <w:p w14:paraId="6FA52229">
      <w:pPr>
        <w:pStyle w:val="70"/>
        <w:pageBreakBefore w:val="0"/>
        <w:widowControl/>
        <w:kinsoku/>
        <w:wordWrap/>
        <w:overflowPunct/>
        <w:topLinePunct w:val="0"/>
        <w:autoSpaceDE/>
        <w:autoSpaceDN/>
        <w:bidi w:val="0"/>
        <w:adjustRightInd/>
        <w:snapToGrid/>
        <w:spacing w:line="560" w:lineRule="exact"/>
        <w:ind w:left="481"/>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4.通用条件；</w:t>
      </w:r>
    </w:p>
    <w:p w14:paraId="5A60A4CF">
      <w:pPr>
        <w:pStyle w:val="70"/>
        <w:pageBreakBefore w:val="0"/>
        <w:widowControl/>
        <w:kinsoku/>
        <w:wordWrap/>
        <w:overflowPunct/>
        <w:topLinePunct w:val="0"/>
        <w:autoSpaceDE/>
        <w:autoSpaceDN/>
        <w:bidi w:val="0"/>
        <w:adjustRightInd/>
        <w:snapToGrid/>
        <w:spacing w:line="560" w:lineRule="exact"/>
        <w:ind w:left="481"/>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5.其他合同文件。</w:t>
      </w:r>
    </w:p>
    <w:p w14:paraId="19E07F9D">
      <w:pPr>
        <w:pStyle w:val="7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w:t>
      </w:r>
    </w:p>
    <w:p w14:paraId="1AD7385C">
      <w:pPr>
        <w:pStyle w:val="7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在合同订立及履行过程中形成的与合同有关的文件（包括补充协议）均构</w:t>
      </w:r>
    </w:p>
    <w:p w14:paraId="33857706">
      <w:pPr>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bCs/>
          <w:smallCaps/>
          <w:sz w:val="24"/>
          <w:szCs w:val="24"/>
          <w:highlight w:val="none"/>
        </w:rPr>
      </w:pPr>
      <w:r>
        <w:rPr>
          <w:rFonts w:hint="eastAsia" w:ascii="宋体" w:hAnsi="宋体" w:eastAsia="宋体" w:cs="宋体"/>
          <w:sz w:val="24"/>
          <w:szCs w:val="24"/>
          <w:highlight w:val="none"/>
        </w:rPr>
        <w:t>成合同文件的组成部分。</w:t>
      </w:r>
    </w:p>
    <w:p w14:paraId="33F6B109">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Style w:val="72"/>
          <w:rFonts w:hint="eastAsia" w:ascii="宋体" w:hAnsi="宋体" w:eastAsia="宋体" w:cs="宋体"/>
          <w:b/>
          <w:bCs w:val="0"/>
          <w:sz w:val="24"/>
          <w:szCs w:val="24"/>
          <w:highlight w:val="none"/>
        </w:rPr>
      </w:pPr>
      <w:bookmarkStart w:id="479" w:name="_Toc419045057"/>
      <w:bookmarkStart w:id="480" w:name="_Toc422322477"/>
      <w:r>
        <w:rPr>
          <w:rStyle w:val="72"/>
          <w:rFonts w:hint="eastAsia" w:ascii="宋体" w:hAnsi="宋体" w:eastAsia="宋体" w:cs="宋体"/>
          <w:b/>
          <w:bCs w:val="0"/>
          <w:sz w:val="24"/>
          <w:szCs w:val="24"/>
          <w:highlight w:val="none"/>
        </w:rPr>
        <w:t>七、</w:t>
      </w:r>
      <w:bookmarkStart w:id="481" w:name="8"/>
      <w:r>
        <w:rPr>
          <w:rStyle w:val="72"/>
          <w:rFonts w:hint="eastAsia" w:ascii="宋体" w:hAnsi="宋体" w:eastAsia="宋体" w:cs="宋体"/>
          <w:b/>
          <w:bCs w:val="0"/>
          <w:sz w:val="24"/>
          <w:szCs w:val="24"/>
          <w:highlight w:val="none"/>
        </w:rPr>
        <w:t>词语</w:t>
      </w:r>
      <w:bookmarkEnd w:id="479"/>
      <w:r>
        <w:rPr>
          <w:rStyle w:val="72"/>
          <w:rFonts w:hint="eastAsia" w:ascii="宋体" w:hAnsi="宋体" w:eastAsia="宋体" w:cs="宋体"/>
          <w:b/>
          <w:bCs w:val="0"/>
          <w:sz w:val="24"/>
          <w:szCs w:val="24"/>
          <w:highlight w:val="none"/>
        </w:rPr>
        <w:t>定义</w:t>
      </w:r>
      <w:bookmarkEnd w:id="480"/>
    </w:p>
    <w:p w14:paraId="06317529">
      <w:pPr>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协议书中相关词语的含义与通用条件中的定义与解释相同。</w:t>
      </w:r>
      <w:bookmarkEnd w:id="481"/>
    </w:p>
    <w:p w14:paraId="6226416C">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482" w:name="_Toc419045063"/>
      <w:bookmarkStart w:id="483" w:name="_Toc422322478"/>
      <w:r>
        <w:rPr>
          <w:rFonts w:hint="eastAsia" w:ascii="宋体" w:hAnsi="宋体" w:eastAsia="宋体" w:cs="宋体"/>
          <w:sz w:val="24"/>
          <w:szCs w:val="24"/>
          <w:highlight w:val="none"/>
        </w:rPr>
        <w:t>八、合同订立</w:t>
      </w:r>
      <w:bookmarkEnd w:id="482"/>
      <w:bookmarkEnd w:id="483"/>
    </w:p>
    <w:p w14:paraId="75B3EDA5">
      <w:pPr>
        <w:pStyle w:val="7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1.订立时间：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年_____月_____日。</w:t>
      </w:r>
    </w:p>
    <w:p w14:paraId="2F1B2875">
      <w:pPr>
        <w:pStyle w:val="7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2.订立地点：_______________。</w:t>
      </w:r>
    </w:p>
    <w:p w14:paraId="69464176">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484" w:name="_Toc419045064"/>
      <w:bookmarkStart w:id="485" w:name="_Toc422322479"/>
      <w:r>
        <w:rPr>
          <w:rFonts w:hint="eastAsia" w:ascii="宋体" w:hAnsi="宋体" w:eastAsia="宋体" w:cs="宋体"/>
          <w:sz w:val="24"/>
          <w:szCs w:val="24"/>
          <w:highlight w:val="none"/>
        </w:rPr>
        <w:t>九、合同生效</w:t>
      </w:r>
      <w:bookmarkEnd w:id="484"/>
      <w:bookmarkEnd w:id="485"/>
    </w:p>
    <w:p w14:paraId="0861A067">
      <w:pPr>
        <w:pStyle w:val="7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本合同自_____________</w:t>
      </w:r>
      <w:r>
        <w:rPr>
          <w:rFonts w:hint="eastAsia" w:ascii="宋体" w:hAnsi="宋体" w:eastAsia="宋体" w:cs="宋体"/>
          <w:sz w:val="24"/>
          <w:szCs w:val="24"/>
          <w:highlight w:val="none"/>
          <w:u w:val="none"/>
        </w:rPr>
        <w:t>_双方签字盖章之日___</w:t>
      </w:r>
      <w:r>
        <w:rPr>
          <w:rFonts w:hint="eastAsia" w:ascii="宋体" w:hAnsi="宋体" w:eastAsia="宋体" w:cs="宋体"/>
          <w:sz w:val="24"/>
          <w:szCs w:val="24"/>
          <w:highlight w:val="none"/>
        </w:rPr>
        <w:t>_________生效。</w:t>
      </w:r>
    </w:p>
    <w:p w14:paraId="4379EBC6">
      <w:pPr>
        <w:pStyle w:val="28"/>
        <w:pageBreakBefore w:val="0"/>
        <w:widowControl/>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486" w:name="_Toc419045065"/>
      <w:bookmarkStart w:id="487" w:name="_Toc422322480"/>
      <w:r>
        <w:rPr>
          <w:rFonts w:hint="eastAsia" w:ascii="宋体" w:hAnsi="宋体" w:eastAsia="宋体" w:cs="宋体"/>
          <w:sz w:val="24"/>
          <w:szCs w:val="24"/>
          <w:highlight w:val="none"/>
        </w:rPr>
        <w:t>十、合同份数</w:t>
      </w:r>
      <w:bookmarkEnd w:id="486"/>
      <w:bookmarkEnd w:id="487"/>
    </w:p>
    <w:p w14:paraId="7AA9A13F">
      <w:pPr>
        <w:pStyle w:val="7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本合同一式_</w:t>
      </w:r>
      <w:r>
        <w:rPr>
          <w:rFonts w:hint="eastAsia" w:ascii="宋体" w:hAnsi="宋体" w:eastAsia="宋体" w:cs="宋体"/>
          <w:sz w:val="24"/>
          <w:szCs w:val="24"/>
          <w:highlight w:val="none"/>
          <w:lang w:eastAsia="zh-CN"/>
        </w:rPr>
        <w:t>肆</w:t>
      </w:r>
      <w:r>
        <w:rPr>
          <w:rFonts w:hint="eastAsia" w:ascii="宋体" w:hAnsi="宋体" w:eastAsia="宋体" w:cs="宋体"/>
          <w:sz w:val="24"/>
          <w:szCs w:val="24"/>
          <w:highlight w:val="none"/>
        </w:rPr>
        <w:t>_份，具有同等法律效力，其中委托人执_</w:t>
      </w:r>
      <w:r>
        <w:rPr>
          <w:rFonts w:hint="eastAsia" w:ascii="宋体" w:hAnsi="宋体" w:eastAsia="宋体" w:cs="宋体"/>
          <w:sz w:val="24"/>
          <w:szCs w:val="24"/>
          <w:highlight w:val="none"/>
          <w:u w:val="single"/>
          <w:lang w:eastAsia="zh-CN"/>
        </w:rPr>
        <w:t>叁</w:t>
      </w:r>
      <w:r>
        <w:rPr>
          <w:rFonts w:hint="eastAsia" w:ascii="宋体" w:hAnsi="宋体" w:eastAsia="宋体" w:cs="宋体"/>
          <w:sz w:val="24"/>
          <w:szCs w:val="24"/>
          <w:highlight w:val="none"/>
        </w:rPr>
        <w:t>_份，咨询人执_</w:t>
      </w:r>
      <w:r>
        <w:rPr>
          <w:rFonts w:hint="eastAsia" w:ascii="宋体" w:hAnsi="宋体" w:eastAsia="宋体" w:cs="宋体"/>
          <w:sz w:val="24"/>
          <w:szCs w:val="24"/>
          <w:highlight w:val="none"/>
          <w:u w:val="single"/>
          <w:lang w:eastAsia="zh-CN"/>
        </w:rPr>
        <w:t>壹</w:t>
      </w:r>
      <w:r>
        <w:rPr>
          <w:rFonts w:hint="eastAsia" w:ascii="宋体" w:hAnsi="宋体" w:eastAsia="宋体" w:cs="宋体"/>
          <w:sz w:val="24"/>
          <w:szCs w:val="24"/>
          <w:highlight w:val="none"/>
        </w:rPr>
        <w:t>_份。</w:t>
      </w:r>
    </w:p>
    <w:bookmarkEnd w:id="476"/>
    <w:p w14:paraId="669D253A">
      <w:pPr>
        <w:pStyle w:val="7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bookmarkStart w:id="488" w:name="_Toc419045066"/>
      <w:bookmarkStart w:id="489" w:name="_Toc422322481"/>
      <w:r>
        <w:rPr>
          <w:rFonts w:hint="eastAsia" w:ascii="宋体" w:hAnsi="宋体" w:eastAsia="宋体" w:cs="宋体"/>
          <w:sz w:val="24"/>
          <w:szCs w:val="24"/>
          <w:highlight w:val="none"/>
        </w:rPr>
        <w:t xml:space="preserve">委 托 人：___________（盖章）       咨 询 人：___________（盖章）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法定代表人或其授权的                法定代表人或其授权的</w:t>
      </w:r>
    </w:p>
    <w:p w14:paraId="6A696D21">
      <w:pPr>
        <w:pStyle w:val="70"/>
        <w:pageBreakBefore w:val="0"/>
        <w:widowControl/>
        <w:kinsoku/>
        <w:wordWrap/>
        <w:overflowPunct/>
        <w:topLinePunct w:val="0"/>
        <w:autoSpaceDE/>
        <w:autoSpaceDN/>
        <w:bidi w:val="0"/>
        <w:adjustRightInd/>
        <w:snapToGrid/>
        <w:spacing w:line="560" w:lineRule="exact"/>
        <w:ind w:right="-1757" w:rightChars="-732"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代理人：_________（签字）           代理人：_________（签字）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组织机构代码：                      组织机构代码：</w:t>
      </w:r>
    </w:p>
    <w:p w14:paraId="6BE25773">
      <w:pPr>
        <w:pStyle w:val="70"/>
        <w:pageBreakBefore w:val="0"/>
        <w:widowControl/>
        <w:kinsoku/>
        <w:wordWrap/>
        <w:overflowPunct/>
        <w:topLinePunct w:val="0"/>
        <w:autoSpaceDE/>
        <w:autoSpaceDN/>
        <w:bidi w:val="0"/>
        <w:adjustRightInd/>
        <w:snapToGrid/>
        <w:spacing w:line="560" w:lineRule="exact"/>
        <w:ind w:right="-1757" w:rightChars="-732"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纳税人识别码：                      纳税人识别码：</w:t>
      </w:r>
    </w:p>
    <w:p w14:paraId="1B74A35B">
      <w:pPr>
        <w:pStyle w:val="70"/>
        <w:pageBreakBefore w:val="0"/>
        <w:widowControl/>
        <w:kinsoku/>
        <w:wordWrap/>
        <w:overflowPunct/>
        <w:topLinePunct w:val="0"/>
        <w:autoSpaceDE/>
        <w:autoSpaceDN/>
        <w:bidi w:val="0"/>
        <w:adjustRightInd/>
        <w:snapToGrid/>
        <w:spacing w:line="560" w:lineRule="exact"/>
        <w:ind w:right="-1757" w:rightChars="-732"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住    所：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住 所：</w:t>
      </w:r>
    </w:p>
    <w:p w14:paraId="4205CD6B">
      <w:pPr>
        <w:pStyle w:val="70"/>
        <w:pageBreakBefore w:val="0"/>
        <w:widowControl/>
        <w:kinsoku/>
        <w:wordWrap/>
        <w:overflowPunct/>
        <w:topLinePunct w:val="0"/>
        <w:autoSpaceDE/>
        <w:autoSpaceDN/>
        <w:bidi w:val="0"/>
        <w:adjustRightInd/>
        <w:snapToGrid/>
        <w:spacing w:line="560" w:lineRule="exact"/>
        <w:ind w:right="-1757" w:rightChars="-732"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    号：                          账    号：</w:t>
      </w:r>
    </w:p>
    <w:p w14:paraId="363C467E">
      <w:pPr>
        <w:pStyle w:val="70"/>
        <w:pageBreakBefore w:val="0"/>
        <w:widowControl/>
        <w:kinsoku/>
        <w:wordWrap/>
        <w:overflowPunct/>
        <w:topLinePunct w:val="0"/>
        <w:autoSpaceDE/>
        <w:autoSpaceDN/>
        <w:bidi w:val="0"/>
        <w:adjustRightInd/>
        <w:snapToGrid/>
        <w:spacing w:line="560" w:lineRule="exact"/>
        <w:ind w:left="360" w:leftChars="150" w:right="-1757" w:rightChars="-732" w:firstLine="120" w:firstLine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14:paraId="69D7A9E8">
      <w:pPr>
        <w:pStyle w:val="70"/>
        <w:pageBreakBefore w:val="0"/>
        <w:widowControl/>
        <w:kinsoku/>
        <w:wordWrap/>
        <w:overflowPunct/>
        <w:topLinePunct w:val="0"/>
        <w:autoSpaceDE/>
        <w:autoSpaceDN/>
        <w:bidi w:val="0"/>
        <w:adjustRightInd/>
        <w:snapToGrid/>
        <w:spacing w:line="560" w:lineRule="exact"/>
        <w:ind w:left="360" w:leftChars="150" w:right="-1757" w:rightChars="-732" w:firstLine="120" w:firstLine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行号：</w:t>
      </w:r>
    </w:p>
    <w:p w14:paraId="7B8AEFBF">
      <w:pPr>
        <w:pStyle w:val="70"/>
        <w:pageBreakBefore w:val="0"/>
        <w:widowControl/>
        <w:kinsoku/>
        <w:wordWrap/>
        <w:overflowPunct/>
        <w:topLinePunct w:val="0"/>
        <w:autoSpaceDE/>
        <w:autoSpaceDN/>
        <w:bidi w:val="0"/>
        <w:adjustRightInd/>
        <w:snapToGrid/>
        <w:spacing w:line="560" w:lineRule="exact"/>
        <w:ind w:left="360" w:leftChars="150" w:right="-1757" w:rightChars="-732" w:firstLine="120" w:firstLine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                          邮政编码：</w:t>
      </w:r>
    </w:p>
    <w:p w14:paraId="5F03E58C">
      <w:pPr>
        <w:pStyle w:val="70"/>
        <w:pageBreakBefore w:val="0"/>
        <w:widowControl/>
        <w:kinsoku/>
        <w:wordWrap/>
        <w:overflowPunct/>
        <w:topLinePunct w:val="0"/>
        <w:autoSpaceDE/>
        <w:autoSpaceDN/>
        <w:bidi w:val="0"/>
        <w:adjustRightInd/>
        <w:snapToGrid/>
        <w:spacing w:line="560" w:lineRule="exact"/>
        <w:ind w:left="360" w:leftChars="150" w:right="-1757" w:rightChars="-732" w:firstLine="120" w:firstLine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                          电    话：</w:t>
      </w:r>
    </w:p>
    <w:p w14:paraId="356637BA">
      <w:pPr>
        <w:pStyle w:val="70"/>
        <w:pageBreakBefore w:val="0"/>
        <w:widowControl/>
        <w:kinsoku/>
        <w:wordWrap/>
        <w:overflowPunct/>
        <w:topLinePunct w:val="0"/>
        <w:autoSpaceDE/>
        <w:autoSpaceDN/>
        <w:bidi w:val="0"/>
        <w:adjustRightInd/>
        <w:snapToGrid/>
        <w:spacing w:line="560" w:lineRule="exact"/>
        <w:ind w:left="360" w:leftChars="150" w:right="-1757" w:rightChars="-732" w:firstLine="120" w:firstLine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传    真：                          传    真：</w:t>
      </w:r>
    </w:p>
    <w:p w14:paraId="2D6DE06E">
      <w:pPr>
        <w:pStyle w:val="70"/>
        <w:pageBreakBefore w:val="0"/>
        <w:widowControl/>
        <w:kinsoku/>
        <w:wordWrap/>
        <w:overflowPunct/>
        <w:topLinePunct w:val="0"/>
        <w:autoSpaceDE/>
        <w:autoSpaceDN/>
        <w:bidi w:val="0"/>
        <w:adjustRightInd/>
        <w:snapToGrid/>
        <w:spacing w:line="560" w:lineRule="exact"/>
        <w:ind w:left="360" w:leftChars="150" w:right="-1757" w:rightChars="-732" w:firstLine="120" w:firstLine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电子信箱：                          电子信箱：</w:t>
      </w:r>
    </w:p>
    <w:p w14:paraId="4B10ED7B">
      <w:pPr>
        <w:pageBreakBefore w:val="0"/>
        <w:widowControl/>
        <w:kinsoku/>
        <w:wordWrap/>
        <w:overflowPunct/>
        <w:topLinePunct w:val="0"/>
        <w:autoSpaceDE/>
        <w:autoSpaceDN/>
        <w:bidi w:val="0"/>
        <w:adjustRightInd/>
        <w:snapToGrid/>
        <w:spacing w:after="120" w:line="560" w:lineRule="exact"/>
        <w:jc w:val="center"/>
        <w:textAlignment w:val="auto"/>
        <w:outlineLvl w:val="9"/>
        <w:rPr>
          <w:rFonts w:hint="eastAsia" w:ascii="宋体" w:hAnsi="宋体" w:eastAsia="宋体" w:cs="宋体"/>
          <w:sz w:val="24"/>
          <w:szCs w:val="24"/>
          <w:highlight w:val="none"/>
        </w:rPr>
      </w:pPr>
    </w:p>
    <w:p w14:paraId="7172A4AC">
      <w:pPr>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14:paraId="708775D9">
      <w:pPr>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p w14:paraId="3A798EFE">
      <w:pPr>
        <w:rPr>
          <w:rFonts w:hint="eastAsia" w:ascii="宋体" w:hAnsi="宋体" w:eastAsia="宋体" w:cs="宋体"/>
          <w:sz w:val="24"/>
          <w:szCs w:val="24"/>
          <w:highlight w:val="none"/>
        </w:rPr>
      </w:pPr>
    </w:p>
    <w:p w14:paraId="189AC990">
      <w:pPr>
        <w:rPr>
          <w:rFonts w:hint="eastAsia" w:ascii="宋体" w:hAnsi="宋体" w:eastAsia="宋体" w:cs="宋体"/>
          <w:sz w:val="24"/>
          <w:szCs w:val="24"/>
          <w:highlight w:val="none"/>
        </w:rPr>
      </w:pPr>
    </w:p>
    <w:p w14:paraId="3E3A80EA">
      <w:pPr>
        <w:rPr>
          <w:rFonts w:hint="eastAsia" w:ascii="宋体" w:hAnsi="宋体" w:eastAsia="宋体" w:cs="宋体"/>
          <w:sz w:val="24"/>
          <w:szCs w:val="24"/>
          <w:highlight w:val="none"/>
        </w:rPr>
      </w:pPr>
    </w:p>
    <w:p w14:paraId="0EBE3F5F">
      <w:pPr>
        <w:rPr>
          <w:rFonts w:hint="eastAsia" w:ascii="宋体" w:hAnsi="宋体" w:eastAsia="宋体" w:cs="宋体"/>
          <w:sz w:val="24"/>
          <w:szCs w:val="24"/>
          <w:highlight w:val="none"/>
        </w:rPr>
      </w:pPr>
    </w:p>
    <w:p w14:paraId="75BFFE2E">
      <w:pPr>
        <w:rPr>
          <w:rFonts w:hint="eastAsia" w:ascii="宋体" w:hAnsi="宋体" w:eastAsia="宋体" w:cs="宋体"/>
          <w:sz w:val="24"/>
          <w:szCs w:val="24"/>
          <w:highlight w:val="none"/>
        </w:rPr>
      </w:pPr>
    </w:p>
    <w:p w14:paraId="76037430">
      <w:pPr>
        <w:rPr>
          <w:rFonts w:hint="eastAsia" w:ascii="宋体" w:hAnsi="宋体" w:eastAsia="宋体" w:cs="宋体"/>
          <w:sz w:val="24"/>
          <w:szCs w:val="24"/>
          <w:highlight w:val="none"/>
        </w:rPr>
      </w:pPr>
    </w:p>
    <w:p w14:paraId="19337121">
      <w:pPr>
        <w:rPr>
          <w:rFonts w:hint="eastAsia" w:ascii="宋体" w:hAnsi="宋体" w:eastAsia="宋体" w:cs="宋体"/>
          <w:sz w:val="24"/>
          <w:szCs w:val="24"/>
          <w:highlight w:val="none"/>
        </w:rPr>
      </w:pPr>
    </w:p>
    <w:p w14:paraId="5EF95D26">
      <w:pPr>
        <w:rPr>
          <w:rFonts w:hint="eastAsia" w:ascii="宋体" w:hAnsi="宋体" w:eastAsia="宋体" w:cs="宋体"/>
          <w:sz w:val="24"/>
          <w:szCs w:val="24"/>
          <w:highlight w:val="none"/>
        </w:rPr>
      </w:pPr>
    </w:p>
    <w:p w14:paraId="55851C07">
      <w:pPr>
        <w:rPr>
          <w:rFonts w:hint="eastAsia" w:ascii="宋体" w:hAnsi="宋体" w:eastAsia="宋体" w:cs="宋体"/>
          <w:sz w:val="24"/>
          <w:szCs w:val="24"/>
          <w:highlight w:val="none"/>
        </w:rPr>
      </w:pPr>
    </w:p>
    <w:p w14:paraId="1EFD1251">
      <w:pPr>
        <w:rPr>
          <w:rFonts w:hint="eastAsia" w:ascii="宋体" w:hAnsi="宋体" w:eastAsia="宋体" w:cs="宋体"/>
          <w:sz w:val="24"/>
          <w:szCs w:val="24"/>
          <w:highlight w:val="none"/>
        </w:rPr>
      </w:pPr>
    </w:p>
    <w:p w14:paraId="6C1EC9DC">
      <w:pPr>
        <w:rPr>
          <w:rFonts w:hint="eastAsia" w:ascii="宋体" w:hAnsi="宋体" w:eastAsia="宋体" w:cs="宋体"/>
          <w:sz w:val="24"/>
          <w:szCs w:val="24"/>
          <w:highlight w:val="none"/>
        </w:rPr>
      </w:pPr>
    </w:p>
    <w:p w14:paraId="3E9A36BC">
      <w:pPr>
        <w:rPr>
          <w:rFonts w:hint="eastAsia" w:ascii="宋体" w:hAnsi="宋体" w:eastAsia="宋体" w:cs="宋体"/>
          <w:sz w:val="24"/>
          <w:szCs w:val="24"/>
          <w:highlight w:val="none"/>
        </w:rPr>
      </w:pPr>
    </w:p>
    <w:p w14:paraId="3EA50654">
      <w:pPr>
        <w:rPr>
          <w:rFonts w:hint="eastAsia" w:ascii="宋体" w:hAnsi="宋体" w:eastAsia="宋体" w:cs="宋体"/>
          <w:sz w:val="24"/>
          <w:szCs w:val="24"/>
          <w:highlight w:val="none"/>
        </w:rPr>
      </w:pPr>
    </w:p>
    <w:p w14:paraId="5D5D7D4B">
      <w:pPr>
        <w:rPr>
          <w:rFonts w:hint="eastAsia" w:ascii="宋体" w:hAnsi="宋体" w:eastAsia="宋体" w:cs="宋体"/>
          <w:sz w:val="24"/>
          <w:szCs w:val="24"/>
          <w:highlight w:val="none"/>
        </w:rPr>
      </w:pPr>
    </w:p>
    <w:p w14:paraId="3454E8C6">
      <w:pPr>
        <w:rPr>
          <w:rFonts w:hint="eastAsia" w:ascii="宋体" w:hAnsi="宋体" w:eastAsia="宋体" w:cs="宋体"/>
          <w:sz w:val="24"/>
          <w:szCs w:val="24"/>
          <w:highlight w:val="none"/>
        </w:rPr>
      </w:pPr>
    </w:p>
    <w:p w14:paraId="03930AE3">
      <w:pPr>
        <w:rPr>
          <w:rFonts w:hint="eastAsia" w:ascii="宋体" w:hAnsi="宋体" w:eastAsia="宋体" w:cs="宋体"/>
          <w:sz w:val="24"/>
          <w:szCs w:val="24"/>
          <w:highlight w:val="none"/>
        </w:rPr>
      </w:pPr>
    </w:p>
    <w:p w14:paraId="65F23308">
      <w:pPr>
        <w:rPr>
          <w:rFonts w:hint="eastAsia" w:ascii="宋体" w:hAnsi="宋体" w:eastAsia="宋体" w:cs="宋体"/>
          <w:sz w:val="24"/>
          <w:szCs w:val="24"/>
          <w:highlight w:val="none"/>
        </w:rPr>
      </w:pPr>
    </w:p>
    <w:p w14:paraId="7700B144">
      <w:pPr>
        <w:rPr>
          <w:rFonts w:hint="eastAsia" w:ascii="宋体" w:hAnsi="宋体" w:eastAsia="宋体" w:cs="宋体"/>
          <w:sz w:val="24"/>
          <w:szCs w:val="24"/>
          <w:highlight w:val="none"/>
        </w:rPr>
      </w:pPr>
    </w:p>
    <w:p w14:paraId="4E93FB8B">
      <w:pPr>
        <w:rPr>
          <w:rFonts w:hint="eastAsia" w:ascii="宋体" w:hAnsi="宋体" w:eastAsia="宋体" w:cs="宋体"/>
          <w:sz w:val="24"/>
          <w:szCs w:val="24"/>
          <w:highlight w:val="none"/>
        </w:rPr>
      </w:pPr>
    </w:p>
    <w:p w14:paraId="74996A6E">
      <w:pPr>
        <w:rPr>
          <w:rFonts w:hint="eastAsia" w:ascii="宋体" w:hAnsi="宋体" w:eastAsia="宋体" w:cs="宋体"/>
          <w:sz w:val="24"/>
          <w:szCs w:val="24"/>
          <w:highlight w:val="none"/>
        </w:rPr>
      </w:pPr>
    </w:p>
    <w:p w14:paraId="2CA88917">
      <w:pPr>
        <w:pStyle w:val="3"/>
        <w:pageBreakBefore w:val="0"/>
        <w:widowControl/>
        <w:kinsoku/>
        <w:wordWrap/>
        <w:overflowPunct/>
        <w:topLinePunct w:val="0"/>
        <w:bidi w:val="0"/>
        <w:snapToGrid/>
        <w:spacing w:after="120"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通用条件</w:t>
      </w:r>
      <w:bookmarkEnd w:id="488"/>
      <w:bookmarkEnd w:id="489"/>
    </w:p>
    <w:p w14:paraId="383C4666">
      <w:pPr>
        <w:pStyle w:val="28"/>
        <w:pageBreakBefore w:val="0"/>
        <w:widowControl/>
        <w:kinsoku/>
        <w:wordWrap/>
        <w:overflowPunct/>
        <w:topLinePunct w:val="0"/>
        <w:bidi w:val="0"/>
        <w:snapToGrid/>
        <w:spacing w:before="0" w:after="0" w:line="560" w:lineRule="exact"/>
        <w:ind w:firstLine="241"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490" w:name="_Toc419045067"/>
      <w:bookmarkStart w:id="491" w:name="_Toc422322482"/>
      <w:r>
        <w:rPr>
          <w:rFonts w:hint="eastAsia" w:ascii="宋体" w:hAnsi="宋体" w:eastAsia="宋体" w:cs="宋体"/>
          <w:sz w:val="24"/>
          <w:szCs w:val="24"/>
          <w:highlight w:val="none"/>
        </w:rPr>
        <w:t>1.词语定义、语言、解释顺序与适用法律</w:t>
      </w:r>
      <w:bookmarkEnd w:id="490"/>
      <w:bookmarkEnd w:id="491"/>
    </w:p>
    <w:p w14:paraId="31FEF7E3">
      <w:pPr>
        <w:pStyle w:val="22"/>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 w:val="0"/>
          <w:sz w:val="24"/>
          <w:szCs w:val="24"/>
          <w:highlight w:val="none"/>
        </w:rPr>
      </w:pPr>
      <w:bookmarkStart w:id="492" w:name="_Toc422322483"/>
      <w:bookmarkStart w:id="493" w:name="_Toc419045068"/>
      <w:r>
        <w:rPr>
          <w:rFonts w:hint="eastAsia" w:ascii="宋体" w:hAnsi="宋体" w:eastAsia="宋体" w:cs="宋体"/>
          <w:b w:val="0"/>
          <w:sz w:val="24"/>
          <w:szCs w:val="24"/>
          <w:highlight w:val="none"/>
        </w:rPr>
        <w:t>1.1词语定义</w:t>
      </w:r>
      <w:bookmarkEnd w:id="492"/>
      <w:bookmarkEnd w:id="493"/>
    </w:p>
    <w:p w14:paraId="509F1A4B">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组成本合同的全部文件中的下列名词和用语应具有本款所赋予的含义：</w:t>
      </w:r>
    </w:p>
    <w:p w14:paraId="0E874984">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1.1.1“工程”是指按照本合同约定实施造价咨询与其他服务的建设工程。    </w:t>
      </w:r>
    </w:p>
    <w:p w14:paraId="3DC0CED6">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1.1.2“工程造价”是指工程项目建设过程中预计或实际支出的全部费用。</w:t>
      </w:r>
    </w:p>
    <w:p w14:paraId="4666043A">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1.1.3“委托人”是指本合同中委托造价咨询与其他服务的一方，及其合法的继承人或受让人。</w:t>
      </w:r>
    </w:p>
    <w:p w14:paraId="0216A0D3">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1.1.4“咨询人”是指本合同中提供造价咨询与其他服务的一方</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及其合法的继承人。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1.1.5“第三人”是指除委托人、咨询人以外与本咨询业务有关的当事人。</w:t>
      </w:r>
    </w:p>
    <w:p w14:paraId="22F9B892">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1.1.6“正常工作”是指本合同订立时通用条件和专用条件中约定的咨询人的工作。</w:t>
      </w:r>
    </w:p>
    <w:p w14:paraId="759FA1FA">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1.1.7“附加工作”是指咨询人根据合同条件完成的正常工作以外的工作。</w:t>
      </w:r>
    </w:p>
    <w:p w14:paraId="31F11CF7">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1.1.8“项目咨询团队”是指咨询人指派负责履行本合同的团队，其团队成员为本合同的项目咨询人员。</w:t>
      </w:r>
    </w:p>
    <w:p w14:paraId="7C7FA02A">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1.1.9“项目负责人”是指由咨询人的法定代表人书面授权，在授权范围内负责履行本合同、主持项目咨询团队工作的负责人。</w:t>
      </w:r>
    </w:p>
    <w:p w14:paraId="667FAC6B">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1.1.10“委托人代表”是指由委托人的法定代表人书面授权，在授权范围内行使委托人权利的人。</w:t>
      </w:r>
    </w:p>
    <w:p w14:paraId="6A026B8B">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1.1.11“酬金”是指咨询人履行本合同义务，委托人按照本合同约定给付咨询人的金额。</w:t>
      </w:r>
    </w:p>
    <w:p w14:paraId="7D24890B">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1.1.12“正常工作酬金”是指在协议书中载明的，咨询人完成正常工作，委托人应给付咨询人的酬金。</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1.1.13“附加工作酬金”是指咨询人完成附加工作，委托人应给付咨询人的酬金。</w:t>
      </w:r>
    </w:p>
    <w:p w14:paraId="10ECDB9B">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1.1.14 “书面形式”是指合同书、信件和数据电文（包括电报、电传、传真、电子数据交换和电子邮件）等可以有形地表现所载内容的形式。</w:t>
      </w:r>
    </w:p>
    <w:p w14:paraId="4700E879">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1.1.15 “不可抗力”是指委托人和咨询人在订立本合同时不可预见，在合同履行过程中不可避免并不能克服的自然灾害和社会性突发事件，如地震、海啸、瘟疫、水灾、骚乱、暴动、战争等情形。</w:t>
      </w:r>
    </w:p>
    <w:p w14:paraId="5502E963">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494" w:name="_Toc419045069"/>
      <w:bookmarkStart w:id="495" w:name="_Toc422322484"/>
      <w:r>
        <w:rPr>
          <w:rFonts w:hint="eastAsia" w:ascii="宋体" w:hAnsi="宋体" w:eastAsia="宋体" w:cs="宋体"/>
          <w:b w:val="0"/>
          <w:sz w:val="24"/>
          <w:szCs w:val="24"/>
          <w:highlight w:val="none"/>
        </w:rPr>
        <w:t>1.2语言</w:t>
      </w:r>
      <w:bookmarkEnd w:id="494"/>
      <w:bookmarkEnd w:id="495"/>
    </w:p>
    <w:p w14:paraId="17CADE9E">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本合同使用中文书写、解释和说明。如专用条件约定使用两种及以上语言文字时，应以中文为准。</w:t>
      </w:r>
    </w:p>
    <w:p w14:paraId="6C9F2CA3">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496" w:name="_Toc419045070"/>
      <w:bookmarkStart w:id="497" w:name="_Toc422322485"/>
      <w:r>
        <w:rPr>
          <w:rFonts w:hint="eastAsia" w:ascii="宋体" w:hAnsi="宋体" w:eastAsia="宋体" w:cs="宋体"/>
          <w:b w:val="0"/>
          <w:sz w:val="24"/>
          <w:szCs w:val="24"/>
          <w:highlight w:val="none"/>
        </w:rPr>
        <w:t>1.3合同文件的优先顺序</w:t>
      </w:r>
      <w:bookmarkEnd w:id="496"/>
      <w:bookmarkEnd w:id="497"/>
    </w:p>
    <w:p w14:paraId="633114F4">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组成本合同的下列文件彼此应能相互解释、互为说明。除专用条件另有约定外，本合同文件的解释顺序如下：</w:t>
      </w:r>
    </w:p>
    <w:p w14:paraId="2F6AB981">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1.协议书</w:t>
      </w:r>
    </w:p>
    <w:p w14:paraId="0537352B">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2.中标通知书或委托书（如果有）；</w:t>
      </w:r>
    </w:p>
    <w:p w14:paraId="615D7759">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3.专用条件及附录；</w:t>
      </w:r>
    </w:p>
    <w:p w14:paraId="5A845595">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4.通用条件；</w:t>
      </w:r>
    </w:p>
    <w:p w14:paraId="05AFF4B3">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5.投标函及投标函附录或造价咨询服务建议书（如果有）；</w:t>
      </w:r>
    </w:p>
    <w:p w14:paraId="11686D71">
      <w:pPr>
        <w:pageBreakBefore w:val="0"/>
        <w:widowControl/>
        <w:kinsoku/>
        <w:wordWrap/>
        <w:overflowPunct/>
        <w:topLinePunct w:val="0"/>
        <w:bidi w:val="0"/>
        <w:snapToGrid/>
        <w:spacing w:line="560" w:lineRule="exact"/>
        <w:ind w:firstLine="46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6.其他合同文件。</w:t>
      </w:r>
    </w:p>
    <w:p w14:paraId="4A3BC3E7">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上述各项合同文件包括合同当事人就该项合同文件所作出的补充和修改，属于同一类内容的文件，应以最新签署的为准。</w:t>
      </w:r>
    </w:p>
    <w:p w14:paraId="1A7CDBAF">
      <w:pPr>
        <w:pageBreakBefore w:val="0"/>
        <w:widowControl/>
        <w:kinsoku/>
        <w:wordWrap/>
        <w:overflowPunct/>
        <w:topLinePunct w:val="0"/>
        <w:bidi w:val="0"/>
        <w:snapToGrid/>
        <w:spacing w:line="560" w:lineRule="exact"/>
        <w:ind w:firstLine="46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在合同订立及履行过程中形成的与合同有关的文件均构成合同文件的组成部分。</w:t>
      </w:r>
    </w:p>
    <w:p w14:paraId="61CDE86D">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498" w:name="_Toc422322486"/>
      <w:bookmarkStart w:id="499" w:name="_Toc419045071"/>
      <w:r>
        <w:rPr>
          <w:rFonts w:hint="eastAsia" w:ascii="宋体" w:hAnsi="宋体" w:eastAsia="宋体" w:cs="宋体"/>
          <w:b w:val="0"/>
          <w:sz w:val="24"/>
          <w:szCs w:val="24"/>
          <w:highlight w:val="none"/>
        </w:rPr>
        <w:t>1.4适用法律</w:t>
      </w:r>
      <w:bookmarkEnd w:id="498"/>
      <w:bookmarkEnd w:id="499"/>
    </w:p>
    <w:p w14:paraId="7D258FD5">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本合同适用中华人民共和国法律、行政法规、部门规章以及工程所在地的地方性法规、自治条例、单行条例和地方政府规章等。</w:t>
      </w:r>
    </w:p>
    <w:p w14:paraId="7385BAEA">
      <w:pPr>
        <w:pageBreakBefore w:val="0"/>
        <w:widowControl/>
        <w:kinsoku/>
        <w:wordWrap/>
        <w:overflowPunct/>
        <w:topLinePunct w:val="0"/>
        <w:bidi w:val="0"/>
        <w:snapToGrid/>
        <w:spacing w:line="560" w:lineRule="exact"/>
        <w:ind w:firstLine="480" w:firstLineChars="200"/>
        <w:textAlignment w:val="auto"/>
        <w:rPr>
          <w:rStyle w:val="72"/>
          <w:rFonts w:hint="eastAsia" w:ascii="宋体" w:hAnsi="宋体" w:eastAsia="宋体" w:cs="宋体"/>
          <w:sz w:val="24"/>
          <w:szCs w:val="24"/>
          <w:highlight w:val="none"/>
        </w:rPr>
      </w:pPr>
      <w:r>
        <w:rPr>
          <w:rFonts w:hint="eastAsia" w:ascii="宋体" w:hAnsi="宋体" w:eastAsia="宋体" w:cs="宋体"/>
          <w:sz w:val="24"/>
          <w:szCs w:val="24"/>
          <w:highlight w:val="none"/>
        </w:rPr>
        <w:t>合同当事人可以在专用条件中约定本合同适用的其他规范、规程、定额、技术标准等规范性文件。</w:t>
      </w:r>
    </w:p>
    <w:p w14:paraId="79E230CB">
      <w:pPr>
        <w:pStyle w:val="28"/>
        <w:pageBreakBefore w:val="0"/>
        <w:widowControl/>
        <w:kinsoku/>
        <w:wordWrap/>
        <w:overflowPunct/>
        <w:topLinePunct w:val="0"/>
        <w:bidi w:val="0"/>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500" w:name="_Toc422322487"/>
      <w:r>
        <w:rPr>
          <w:rFonts w:hint="eastAsia" w:ascii="宋体" w:hAnsi="宋体" w:eastAsia="宋体" w:cs="宋体"/>
          <w:sz w:val="24"/>
          <w:szCs w:val="24"/>
          <w:highlight w:val="none"/>
        </w:rPr>
        <w:t>2.委托人的义务</w:t>
      </w:r>
      <w:bookmarkEnd w:id="500"/>
    </w:p>
    <w:p w14:paraId="269419DA">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01" w:name="_Toc419045072"/>
      <w:bookmarkStart w:id="502" w:name="_Toc422322488"/>
      <w:r>
        <w:rPr>
          <w:rFonts w:hint="eastAsia" w:ascii="宋体" w:hAnsi="宋体" w:eastAsia="宋体" w:cs="宋体"/>
          <w:b w:val="0"/>
          <w:sz w:val="24"/>
          <w:szCs w:val="24"/>
          <w:highlight w:val="none"/>
        </w:rPr>
        <w:t>2.1提供资料</w:t>
      </w:r>
      <w:bookmarkEnd w:id="501"/>
      <w:bookmarkEnd w:id="502"/>
    </w:p>
    <w:p w14:paraId="5CDBCBB1">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04065896">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03" w:name="_Toc422322489"/>
      <w:bookmarkStart w:id="504" w:name="_Toc419045073"/>
      <w:r>
        <w:rPr>
          <w:rFonts w:hint="eastAsia" w:ascii="宋体" w:hAnsi="宋体" w:eastAsia="宋体" w:cs="宋体"/>
          <w:b w:val="0"/>
          <w:sz w:val="24"/>
          <w:szCs w:val="24"/>
          <w:highlight w:val="none"/>
        </w:rPr>
        <w:t>2.2提供工作条件</w:t>
      </w:r>
      <w:bookmarkEnd w:id="503"/>
      <w:bookmarkEnd w:id="504"/>
    </w:p>
    <w:p w14:paraId="56F531F1">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委托人应为咨询人完成造价咨询提供必要的条件。</w:t>
      </w:r>
    </w:p>
    <w:p w14:paraId="6B569930">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2.2.1委托人需要咨询人派驻项目现场咨询人员的，除专用条件另有约定外，项目咨询人员有权无偿使用附录D中由委托人提供的房屋及设备。</w:t>
      </w:r>
    </w:p>
    <w:p w14:paraId="67816D28">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2.2.2委托人应负责与本工程造价咨询业务有关的所有外部关系的协调，为咨询人履行本合同提供必要的外部条件。</w:t>
      </w:r>
    </w:p>
    <w:p w14:paraId="07937E57">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05" w:name="_Toc419045074"/>
      <w:bookmarkStart w:id="506" w:name="_Toc422322490"/>
      <w:r>
        <w:rPr>
          <w:rFonts w:hint="eastAsia" w:ascii="宋体" w:hAnsi="宋体" w:eastAsia="宋体" w:cs="宋体"/>
          <w:b w:val="0"/>
          <w:sz w:val="24"/>
          <w:szCs w:val="24"/>
          <w:highlight w:val="none"/>
        </w:rPr>
        <w:t>2.3合理工作时限</w:t>
      </w:r>
      <w:bookmarkEnd w:id="505"/>
      <w:bookmarkEnd w:id="506"/>
    </w:p>
    <w:p w14:paraId="1EC238AE">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委托人应当为咨询人完成其咨询工作，设定合理的工作时限。</w:t>
      </w:r>
    </w:p>
    <w:p w14:paraId="2F60968F">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07" w:name="_Toc422322491"/>
      <w:bookmarkStart w:id="508" w:name="_Toc419045075"/>
      <w:r>
        <w:rPr>
          <w:rFonts w:hint="eastAsia" w:ascii="宋体" w:hAnsi="宋体" w:eastAsia="宋体" w:cs="宋体"/>
          <w:b w:val="0"/>
          <w:sz w:val="24"/>
          <w:szCs w:val="24"/>
          <w:highlight w:val="none"/>
        </w:rPr>
        <w:t>2.4委托人代表</w:t>
      </w:r>
      <w:bookmarkEnd w:id="507"/>
      <w:bookmarkEnd w:id="508"/>
    </w:p>
    <w:p w14:paraId="710F773D">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委托人应授权一名代表负责本合同的履行。委托人应在双方签订本合同7日内，将委托人代表的姓名和权限范围书面告知咨询人。委托人更换委托人代表时，应提前7日书面通知咨询人。</w:t>
      </w:r>
    </w:p>
    <w:p w14:paraId="1E4B117A">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09" w:name="_Toc419045076"/>
      <w:bookmarkStart w:id="510" w:name="_Toc422322492"/>
      <w:r>
        <w:rPr>
          <w:rFonts w:hint="eastAsia" w:ascii="宋体" w:hAnsi="宋体" w:eastAsia="宋体" w:cs="宋体"/>
          <w:b w:val="0"/>
          <w:sz w:val="24"/>
          <w:szCs w:val="24"/>
          <w:highlight w:val="none"/>
        </w:rPr>
        <w:t>2.5答复</w:t>
      </w:r>
      <w:bookmarkEnd w:id="509"/>
      <w:bookmarkEnd w:id="510"/>
    </w:p>
    <w:p w14:paraId="5B0E33DE">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委托人应当在专用条件约定的时间内就咨询人以书面形式提交并要求做出答复的事宜给予书面答复。逾期未答复的，由此造成的工作延误和损失由委托人承担。</w:t>
      </w:r>
    </w:p>
    <w:p w14:paraId="7217BAE0">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11" w:name="_Toc422322493"/>
      <w:bookmarkStart w:id="512" w:name="_Toc419045077"/>
      <w:r>
        <w:rPr>
          <w:rFonts w:hint="eastAsia" w:ascii="宋体" w:hAnsi="宋体" w:eastAsia="宋体" w:cs="宋体"/>
          <w:b w:val="0"/>
          <w:sz w:val="24"/>
          <w:szCs w:val="24"/>
          <w:highlight w:val="none"/>
        </w:rPr>
        <w:t>2.6支付</w:t>
      </w:r>
      <w:bookmarkEnd w:id="511"/>
      <w:bookmarkEnd w:id="512"/>
    </w:p>
    <w:p w14:paraId="07F9F124">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委托人应当按照合同的约定，向咨询人支付酬金。</w:t>
      </w:r>
    </w:p>
    <w:p w14:paraId="6CD3654A">
      <w:pPr>
        <w:pStyle w:val="28"/>
        <w:pageBreakBefore w:val="0"/>
        <w:widowControl/>
        <w:kinsoku/>
        <w:wordWrap/>
        <w:overflowPunct/>
        <w:topLinePunct w:val="0"/>
        <w:bidi w:val="0"/>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513" w:name="_Toc422322494"/>
      <w:bookmarkStart w:id="514" w:name="_Toc419045078"/>
      <w:r>
        <w:rPr>
          <w:rFonts w:hint="eastAsia" w:ascii="宋体" w:hAnsi="宋体" w:eastAsia="宋体" w:cs="宋体"/>
          <w:sz w:val="24"/>
          <w:szCs w:val="24"/>
          <w:highlight w:val="none"/>
        </w:rPr>
        <w:t>3.咨询人的义务</w:t>
      </w:r>
      <w:bookmarkEnd w:id="513"/>
      <w:bookmarkEnd w:id="514"/>
    </w:p>
    <w:p w14:paraId="006692B3">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15" w:name="_Toc419045080"/>
      <w:bookmarkStart w:id="516" w:name="_Toc422322495"/>
      <w:bookmarkStart w:id="517" w:name="16"/>
      <w:r>
        <w:rPr>
          <w:rFonts w:hint="eastAsia" w:ascii="宋体" w:hAnsi="宋体" w:eastAsia="宋体" w:cs="宋体"/>
          <w:b w:val="0"/>
          <w:sz w:val="24"/>
          <w:szCs w:val="24"/>
          <w:highlight w:val="none"/>
        </w:rPr>
        <w:t>3.1 项目咨询团队及人员</w:t>
      </w:r>
      <w:bookmarkEnd w:id="515"/>
      <w:bookmarkEnd w:id="516"/>
    </w:p>
    <w:p w14:paraId="71DD4B3C">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3.1.1项目咨询团队的主要人员应具有专用条件约定的资格条件，团队人员的数量应符合专用条件的约定。</w:t>
      </w:r>
    </w:p>
    <w:p w14:paraId="15CB3629">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3.1.2项目负责人</w:t>
      </w:r>
    </w:p>
    <w:p w14:paraId="501EA25D">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咨询人应以书面形式授权一名项目负责人负责履行本合同、主持项目咨询团队工作。采用招标程序签署本合同的，项目负责人应当与投标文件载明的一致。</w:t>
      </w:r>
    </w:p>
    <w:p w14:paraId="0F721779">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3.1.3在本合同履行过程中，咨询人员应保持相对稳定，以保证咨询工作正常进行。</w:t>
      </w:r>
    </w:p>
    <w:p w14:paraId="7B9A8232">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03A76BAB">
      <w:pPr>
        <w:pStyle w:val="70"/>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3.1.4咨询人员有下列情形之一，委托人要求咨询人更换的，咨询人应当更换：</w:t>
      </w:r>
    </w:p>
    <w:p w14:paraId="70424FFB">
      <w:pPr>
        <w:pStyle w:val="70"/>
        <w:pageBreakBefore w:val="0"/>
        <w:widowControl/>
        <w:kinsoku/>
        <w:wordWrap/>
        <w:overflowPunct/>
        <w:topLinePunct w:val="0"/>
        <w:bidi w:val="0"/>
        <w:snapToGrid/>
        <w:spacing w:line="560" w:lineRule="exact"/>
        <w:ind w:firstLine="33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（1）存在严重过失行为的；</w:t>
      </w:r>
    </w:p>
    <w:p w14:paraId="433FE7B3">
      <w:pPr>
        <w:pStyle w:val="70"/>
        <w:pageBreakBefore w:val="0"/>
        <w:widowControl/>
        <w:kinsoku/>
        <w:wordWrap/>
        <w:overflowPunct/>
        <w:topLinePunct w:val="0"/>
        <w:bidi w:val="0"/>
        <w:snapToGrid/>
        <w:spacing w:line="560" w:lineRule="exact"/>
        <w:ind w:firstLine="33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（2）存在违法行为不能履行职责的；</w:t>
      </w:r>
    </w:p>
    <w:p w14:paraId="7EE2C6D0">
      <w:pPr>
        <w:pStyle w:val="70"/>
        <w:pageBreakBefore w:val="0"/>
        <w:widowControl/>
        <w:kinsoku/>
        <w:wordWrap/>
        <w:overflowPunct/>
        <w:topLinePunct w:val="0"/>
        <w:bidi w:val="0"/>
        <w:snapToGrid/>
        <w:spacing w:line="560" w:lineRule="exact"/>
        <w:ind w:firstLine="33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（3）涉嫌犯罪的；</w:t>
      </w:r>
    </w:p>
    <w:p w14:paraId="35946BDE">
      <w:pPr>
        <w:pStyle w:val="70"/>
        <w:pageBreakBefore w:val="0"/>
        <w:widowControl/>
        <w:kinsoku/>
        <w:wordWrap/>
        <w:overflowPunct/>
        <w:topLinePunct w:val="0"/>
        <w:bidi w:val="0"/>
        <w:snapToGrid/>
        <w:spacing w:line="560" w:lineRule="exact"/>
        <w:ind w:firstLine="33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（4）不能胜任岗位职责的；</w:t>
      </w:r>
    </w:p>
    <w:p w14:paraId="14AB7F64">
      <w:pPr>
        <w:pStyle w:val="70"/>
        <w:pageBreakBefore w:val="0"/>
        <w:widowControl/>
        <w:kinsoku/>
        <w:wordWrap/>
        <w:overflowPunct/>
        <w:topLinePunct w:val="0"/>
        <w:bidi w:val="0"/>
        <w:snapToGrid/>
        <w:spacing w:line="560" w:lineRule="exact"/>
        <w:ind w:firstLine="33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（5）严重违反职业道德的；</w:t>
      </w:r>
    </w:p>
    <w:p w14:paraId="7AD93A3B">
      <w:pPr>
        <w:pStyle w:val="70"/>
        <w:pageBreakBefore w:val="0"/>
        <w:widowControl/>
        <w:kinsoku/>
        <w:wordWrap/>
        <w:overflowPunct/>
        <w:topLinePunct w:val="0"/>
        <w:bidi w:val="0"/>
        <w:snapToGrid/>
        <w:spacing w:line="560" w:lineRule="exact"/>
        <w:ind w:firstLine="336"/>
        <w:jc w:val="left"/>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（6）专用条件约定的其他情形。</w:t>
      </w:r>
    </w:p>
    <w:p w14:paraId="3C3776A7">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18" w:name="_Toc422322496"/>
      <w:r>
        <w:rPr>
          <w:rFonts w:hint="eastAsia" w:ascii="宋体" w:hAnsi="宋体" w:eastAsia="宋体" w:cs="宋体"/>
          <w:b w:val="0"/>
          <w:sz w:val="24"/>
          <w:szCs w:val="24"/>
          <w:highlight w:val="none"/>
        </w:rPr>
        <w:t>3.2 咨询人的工作要求</w:t>
      </w:r>
      <w:bookmarkEnd w:id="518"/>
    </w:p>
    <w:p w14:paraId="76A1FB0D">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5B2C5A40">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3.2.2咨询人应当在专用条件约定的时间内，按照专用条件约定的份数、组成向委托人提交咨询成果文件。</w:t>
      </w:r>
    </w:p>
    <w:p w14:paraId="61BC672D">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1379CF3">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3.2.3咨询人提交的工程造价咨询成果文件，除加盖咨询人单位公章、工程造价咨询企业执业印章外，还必须按要求加盖参加咨询工作人员的执业（从业）资格印章。</w:t>
      </w:r>
    </w:p>
    <w:p w14:paraId="40A8ACC4">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3.2.4咨询人应在专用条件约定的时间内，对委托人以书面形式提出的建议或者异议给予书面答复。</w:t>
      </w:r>
    </w:p>
    <w:p w14:paraId="1FFC72AC">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3.2.5咨询人从事工程造价咨询活动，应当遵循独立、客观、公正、诚</w:t>
      </w:r>
    </w:p>
    <w:p w14:paraId="4D74DC2C">
      <w:pPr>
        <w:pStyle w:val="70"/>
        <w:pageBreakBefore w:val="0"/>
        <w:widowControl/>
        <w:kinsoku/>
        <w:wordWrap/>
        <w:overflowPunct/>
        <w:topLinePunct w:val="0"/>
        <w:bidi w:val="0"/>
        <w:snapToGrid/>
        <w:spacing w:line="5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实信用的原则，不得损害社会公共利益和他人的合法权益。</w:t>
      </w:r>
    </w:p>
    <w:p w14:paraId="04B05E3D">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3.2.6咨询人承诺按照法律规定及合同约定，完成合同范围内的建设工程造价咨询服务，不转包承接的造价咨询服务业务。</w:t>
      </w:r>
    </w:p>
    <w:p w14:paraId="5B9D424E">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19" w:name="_Toc419045081"/>
      <w:bookmarkStart w:id="520" w:name="_Toc422322497"/>
      <w:r>
        <w:rPr>
          <w:rFonts w:hint="eastAsia" w:ascii="宋体" w:hAnsi="宋体" w:eastAsia="宋体" w:cs="宋体"/>
          <w:b w:val="0"/>
          <w:sz w:val="24"/>
          <w:szCs w:val="24"/>
          <w:highlight w:val="none"/>
        </w:rPr>
        <w:t>3.3咨询人的工作依据</w:t>
      </w:r>
      <w:bookmarkEnd w:id="519"/>
      <w:bookmarkEnd w:id="520"/>
    </w:p>
    <w:p w14:paraId="074EDC9D">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咨询人应在专用条件内与委托人协商明确履行本合同约定的咨询服务需要适用的技术标准、规范、定额等工作依据，但不得违反国家及工程所在地的强制性标准、规范。</w:t>
      </w:r>
    </w:p>
    <w:p w14:paraId="2301909E">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咨询人应自行配备本条所述的技术标准、规范、定额等相关资料。必须由委托人提供的资料，应在附录C中载明。需要委托人协助才能获得的资料，委托人应予以协助。</w:t>
      </w:r>
    </w:p>
    <w:p w14:paraId="735B8523">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21" w:name="_Toc419045082"/>
      <w:bookmarkStart w:id="522" w:name="_Toc422322498"/>
      <w:r>
        <w:rPr>
          <w:rFonts w:hint="eastAsia" w:ascii="宋体" w:hAnsi="宋体" w:eastAsia="宋体" w:cs="宋体"/>
          <w:b w:val="0"/>
          <w:sz w:val="24"/>
          <w:szCs w:val="24"/>
          <w:highlight w:val="none"/>
        </w:rPr>
        <w:t>3.4使用委托人房屋及设备的返还</w:t>
      </w:r>
      <w:bookmarkEnd w:id="521"/>
      <w:bookmarkEnd w:id="522"/>
    </w:p>
    <w:p w14:paraId="7513FB93">
      <w:pPr>
        <w:pStyle w:val="70"/>
        <w:pageBreakBefore w:val="0"/>
        <w:widowControl/>
        <w:kinsoku/>
        <w:wordWrap/>
        <w:overflowPunct/>
        <w:topLinePunct w:val="0"/>
        <w:bidi w:val="0"/>
        <w:snapToGrid/>
        <w:spacing w:line="560" w:lineRule="exact"/>
        <w:ind w:firstLine="360" w:firstLineChars="1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项目咨询人员使用委托人提供的房屋及设备的，咨询人应妥善使用和保管，在本合同终止时将上述房屋及设备按专用条件约定的时间和方式返还委托人。</w:t>
      </w:r>
    </w:p>
    <w:bookmarkEnd w:id="517"/>
    <w:p w14:paraId="6C7C3644">
      <w:pPr>
        <w:pageBreakBefore w:val="0"/>
        <w:widowControl/>
        <w:kinsoku/>
        <w:wordWrap/>
        <w:overflowPunct/>
        <w:topLinePunct w:val="0"/>
        <w:bidi w:val="0"/>
        <w:snapToGrid/>
        <w:spacing w:line="560" w:lineRule="exact"/>
        <w:ind w:firstLine="482" w:firstLineChars="200"/>
        <w:textAlignment w:val="auto"/>
        <w:rPr>
          <w:rStyle w:val="72"/>
          <w:rFonts w:hint="eastAsia" w:ascii="宋体" w:hAnsi="宋体" w:eastAsia="宋体" w:cs="宋体"/>
          <w:sz w:val="24"/>
          <w:szCs w:val="24"/>
          <w:highlight w:val="none"/>
        </w:rPr>
      </w:pPr>
      <w:bookmarkStart w:id="523" w:name="_Toc422322499"/>
      <w:bookmarkStart w:id="524" w:name="_Toc419045083"/>
      <w:bookmarkStart w:id="525" w:name="19"/>
      <w:r>
        <w:rPr>
          <w:rStyle w:val="72"/>
          <w:rFonts w:hint="eastAsia" w:ascii="宋体" w:hAnsi="宋体" w:eastAsia="宋体" w:cs="宋体"/>
          <w:sz w:val="24"/>
          <w:szCs w:val="24"/>
          <w:highlight w:val="none"/>
        </w:rPr>
        <w:t>4.违约责任</w:t>
      </w:r>
      <w:bookmarkEnd w:id="523"/>
      <w:bookmarkEnd w:id="524"/>
    </w:p>
    <w:p w14:paraId="57643EE8">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26" w:name="_Toc422322500"/>
      <w:r>
        <w:rPr>
          <w:rFonts w:hint="eastAsia" w:ascii="宋体" w:hAnsi="宋体" w:eastAsia="宋体" w:cs="宋体"/>
          <w:b w:val="0"/>
          <w:sz w:val="24"/>
          <w:szCs w:val="24"/>
          <w:highlight w:val="none"/>
        </w:rPr>
        <w:t>4.1委托人的违约责任</w:t>
      </w:r>
      <w:bookmarkEnd w:id="526"/>
    </w:p>
    <w:p w14:paraId="0C64469D">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4.1.1委托人不履行本合同义务或者履行义务不符合本合同约定的，应承担违约责任。双方可在专用条件中约定违约金的计算及支付方法。</w:t>
      </w:r>
    </w:p>
    <w:p w14:paraId="428F02E4">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4.1.2委托人违反本合同约定造成咨询人损失的，委托人应予以赔偿。双方可在专用条件中约定赔偿金额的确定及支付方法。</w:t>
      </w:r>
    </w:p>
    <w:p w14:paraId="306B1FC6">
      <w:pPr>
        <w:pStyle w:val="70"/>
        <w:pageBreakBefore w:val="0"/>
        <w:widowControl/>
        <w:kinsoku/>
        <w:wordWrap/>
        <w:overflowPunct/>
        <w:topLinePunct w:val="0"/>
        <w:bidi w:val="0"/>
        <w:snapToGrid/>
        <w:spacing w:line="560" w:lineRule="exact"/>
        <w:ind w:firstLine="480" w:firstLineChars="200"/>
        <w:jc w:val="left"/>
        <w:textAlignment w:val="auto"/>
        <w:rPr>
          <w:rStyle w:val="72"/>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50E61A1A">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27" w:name="_Toc419045084"/>
      <w:bookmarkStart w:id="528" w:name="_Toc422322501"/>
      <w:r>
        <w:rPr>
          <w:rFonts w:hint="eastAsia" w:ascii="宋体" w:hAnsi="宋体" w:eastAsia="宋体" w:cs="宋体"/>
          <w:b w:val="0"/>
          <w:sz w:val="24"/>
          <w:szCs w:val="24"/>
          <w:highlight w:val="none"/>
        </w:rPr>
        <w:t>4.2咨询人的违约责任</w:t>
      </w:r>
      <w:bookmarkEnd w:id="527"/>
      <w:bookmarkEnd w:id="528"/>
    </w:p>
    <w:p w14:paraId="12B955DB">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4.2.1咨询人不履行本合同义务或者履行义务不符合本合同约定的，应承担违约责任。双方可在专用条件中约定违约金的计算及支付方法。</w:t>
      </w:r>
    </w:p>
    <w:p w14:paraId="245B1719">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4.2.2因咨询人违反本合同约定给委托人造成损失的，咨询人应当赔偿委托人损失。双方可在专用条件中约定赔偿金额的确定及支付方法。</w:t>
      </w:r>
    </w:p>
    <w:p w14:paraId="24D054E6">
      <w:pPr>
        <w:pageBreakBefore w:val="0"/>
        <w:widowControl/>
        <w:kinsoku/>
        <w:wordWrap/>
        <w:overflowPunct/>
        <w:topLinePunct w:val="0"/>
        <w:bidi w:val="0"/>
        <w:snapToGrid/>
        <w:spacing w:line="560" w:lineRule="exact"/>
        <w:ind w:firstLine="482" w:firstLineChars="200"/>
        <w:textAlignment w:val="auto"/>
        <w:rPr>
          <w:rStyle w:val="72"/>
          <w:rFonts w:hint="eastAsia" w:ascii="宋体" w:hAnsi="宋体" w:eastAsia="宋体" w:cs="宋体"/>
          <w:bCs w:val="0"/>
          <w:sz w:val="24"/>
          <w:szCs w:val="24"/>
          <w:highlight w:val="none"/>
        </w:rPr>
      </w:pPr>
      <w:bookmarkStart w:id="529" w:name="_Toc419045086"/>
      <w:bookmarkStart w:id="530" w:name="_Toc422322502"/>
      <w:r>
        <w:rPr>
          <w:rStyle w:val="72"/>
          <w:rFonts w:hint="eastAsia" w:ascii="宋体" w:hAnsi="宋体" w:eastAsia="宋体" w:cs="宋体"/>
          <w:bCs w:val="0"/>
          <w:sz w:val="24"/>
          <w:szCs w:val="24"/>
          <w:highlight w:val="none"/>
        </w:rPr>
        <w:t>5.支付</w:t>
      </w:r>
      <w:bookmarkEnd w:id="529"/>
      <w:bookmarkEnd w:id="530"/>
    </w:p>
    <w:p w14:paraId="55D9197A">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sz w:val="24"/>
          <w:szCs w:val="24"/>
          <w:highlight w:val="none"/>
        </w:rPr>
      </w:pPr>
      <w:bookmarkStart w:id="531" w:name="_Toc419045087"/>
      <w:bookmarkStart w:id="532" w:name="_Toc422322503"/>
      <w:r>
        <w:rPr>
          <w:rStyle w:val="73"/>
          <w:rFonts w:hint="eastAsia" w:ascii="宋体" w:hAnsi="宋体" w:eastAsia="宋体" w:cs="宋体"/>
          <w:b w:val="0"/>
          <w:bCs w:val="0"/>
          <w:sz w:val="24"/>
          <w:szCs w:val="24"/>
          <w:highlight w:val="none"/>
        </w:rPr>
        <w:t>5.1支付货币</w:t>
      </w:r>
      <w:bookmarkEnd w:id="531"/>
      <w:bookmarkEnd w:id="532"/>
    </w:p>
    <w:p w14:paraId="16CFBAF6">
      <w:pPr>
        <w:pageBreakBefore w:val="0"/>
        <w:widowControl/>
        <w:kinsoku/>
        <w:wordWrap/>
        <w:overflowPunct/>
        <w:topLinePunct w:val="0"/>
        <w:bidi w:val="0"/>
        <w:snapToGrid/>
        <w:spacing w:line="560" w:lineRule="exact"/>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　　除专用条件另有约定外，酬金均以人民币支付。涉及外币支付的，所采用的货币种类和汇率等在专用条件中约定。</w:t>
      </w:r>
    </w:p>
    <w:p w14:paraId="77941B11">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33" w:name="_Toc422322504"/>
      <w:r>
        <w:rPr>
          <w:rFonts w:hint="eastAsia" w:ascii="宋体" w:hAnsi="宋体" w:eastAsia="宋体" w:cs="宋体"/>
          <w:b w:val="0"/>
          <w:sz w:val="24"/>
          <w:szCs w:val="24"/>
          <w:highlight w:val="none"/>
        </w:rPr>
        <w:t>5.2支付申请</w:t>
      </w:r>
      <w:bookmarkEnd w:id="533"/>
    </w:p>
    <w:p w14:paraId="4AB0D305">
      <w:pPr>
        <w:pageBreakBefore w:val="0"/>
        <w:widowControl/>
        <w:kinsoku/>
        <w:wordWrap/>
        <w:overflowPunct/>
        <w:topLinePunct w:val="0"/>
        <w:bidi w:val="0"/>
        <w:snapToGrid/>
        <w:spacing w:line="560" w:lineRule="exact"/>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　　咨询人应在本合同约定的每次应付款日期前，向委托人提交支付申请书，支付申请书的提交日期由双方在专用条件中约定。支付申请书应当说明当期应付款总额，并列出当期应支付的款项及其金额。</w:t>
      </w:r>
    </w:p>
    <w:p w14:paraId="4857CC90">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34" w:name="_Toc422322505"/>
      <w:r>
        <w:rPr>
          <w:rFonts w:hint="eastAsia" w:ascii="宋体" w:hAnsi="宋体" w:eastAsia="宋体" w:cs="宋体"/>
          <w:b w:val="0"/>
          <w:sz w:val="24"/>
          <w:szCs w:val="24"/>
          <w:highlight w:val="none"/>
        </w:rPr>
        <w:t>5.3 支付酬金</w:t>
      </w:r>
      <w:bookmarkEnd w:id="534"/>
    </w:p>
    <w:p w14:paraId="7C6981C6">
      <w:pPr>
        <w:pageBreakBefore w:val="0"/>
        <w:widowControl/>
        <w:kinsoku/>
        <w:wordWrap/>
        <w:overflowPunct/>
        <w:topLinePunct w:val="0"/>
        <w:bidi w:val="0"/>
        <w:snapToGrid/>
        <w:spacing w:line="560" w:lineRule="exact"/>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　　支付酬金包括正常工作酬金、附加工作酬金、合理化建议奖励金额及费用。</w:t>
      </w:r>
    </w:p>
    <w:p w14:paraId="1B402941">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35" w:name="_Toc422322506"/>
      <w:r>
        <w:rPr>
          <w:rFonts w:hint="eastAsia" w:ascii="宋体" w:hAnsi="宋体" w:eastAsia="宋体" w:cs="宋体"/>
          <w:b w:val="0"/>
          <w:sz w:val="24"/>
          <w:szCs w:val="24"/>
          <w:highlight w:val="none"/>
        </w:rPr>
        <w:t>5.4有异议部分的支付</w:t>
      </w:r>
      <w:bookmarkEnd w:id="535"/>
    </w:p>
    <w:p w14:paraId="4012E957">
      <w:pPr>
        <w:pageBreakBefore w:val="0"/>
        <w:widowControl/>
        <w:kinsoku/>
        <w:wordWrap/>
        <w:overflowPunct/>
        <w:topLinePunct w:val="0"/>
        <w:bidi w:val="0"/>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委托人对咨询人提交的支付申请书有异议时，应当在收到咨询人提交的支付申请书后7日内，以书面形式向咨询人发出异议通知。无异议部分的款项应按期支付，有异议部分的款项按第7条约定办理。</w:t>
      </w:r>
    </w:p>
    <w:p w14:paraId="18565754">
      <w:pPr>
        <w:pageBreakBefore w:val="0"/>
        <w:widowControl/>
        <w:kinsoku/>
        <w:wordWrap/>
        <w:overflowPunct/>
        <w:topLinePunct w:val="0"/>
        <w:bidi w:val="0"/>
        <w:snapToGrid/>
        <w:spacing w:line="560" w:lineRule="exact"/>
        <w:ind w:firstLine="482" w:firstLineChars="200"/>
        <w:textAlignment w:val="auto"/>
        <w:rPr>
          <w:rStyle w:val="72"/>
          <w:rFonts w:hint="eastAsia" w:ascii="宋体" w:hAnsi="宋体" w:eastAsia="宋体" w:cs="宋体"/>
          <w:sz w:val="24"/>
          <w:szCs w:val="24"/>
          <w:highlight w:val="none"/>
        </w:rPr>
      </w:pPr>
      <w:bookmarkStart w:id="536" w:name="_Toc419045088"/>
      <w:bookmarkStart w:id="537" w:name="_Toc422322507"/>
      <w:r>
        <w:rPr>
          <w:rStyle w:val="72"/>
          <w:rFonts w:hint="eastAsia" w:ascii="宋体" w:hAnsi="宋体" w:eastAsia="宋体" w:cs="宋体"/>
          <w:sz w:val="24"/>
          <w:szCs w:val="24"/>
          <w:highlight w:val="none"/>
        </w:rPr>
        <w:t>6.合同变更、解除与终止</w:t>
      </w:r>
      <w:bookmarkEnd w:id="536"/>
      <w:bookmarkEnd w:id="537"/>
    </w:p>
    <w:p w14:paraId="29DCF162">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bookmarkStart w:id="538" w:name="_Toc422322508"/>
      <w:bookmarkStart w:id="539" w:name="_Toc419045089"/>
      <w:r>
        <w:rPr>
          <w:rStyle w:val="73"/>
          <w:rFonts w:hint="eastAsia" w:ascii="宋体" w:hAnsi="宋体" w:eastAsia="宋体" w:cs="宋体"/>
          <w:b w:val="0"/>
          <w:sz w:val="24"/>
          <w:szCs w:val="24"/>
          <w:highlight w:val="none"/>
        </w:rPr>
        <w:t>6.1合同变更</w:t>
      </w:r>
      <w:bookmarkEnd w:id="538"/>
      <w:bookmarkEnd w:id="539"/>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6.1.1 任何一方以书面形式提出变更请求时，双方经协商一致后可进行变更。</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2EF351C7">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6.1.4 因工程规模、服务范围及工作内容的变化等导致咨询人的工作量增减时，服务酬金应作相应调整，调整方法由双方在专用条件中约定。</w:t>
      </w:r>
    </w:p>
    <w:p w14:paraId="037B1EA7">
      <w:pPr>
        <w:pageBreakBefore w:val="0"/>
        <w:widowControl/>
        <w:kinsoku/>
        <w:wordWrap/>
        <w:overflowPunct/>
        <w:topLinePunct w:val="0"/>
        <w:bidi w:val="0"/>
        <w:snapToGrid/>
        <w:spacing w:line="560" w:lineRule="exact"/>
        <w:ind w:firstLine="480" w:firstLineChars="200"/>
        <w:textAlignment w:val="auto"/>
        <w:rPr>
          <w:rStyle w:val="73"/>
          <w:rFonts w:hint="eastAsia" w:ascii="宋体" w:hAnsi="宋体" w:eastAsia="宋体" w:cs="宋体"/>
          <w:b w:val="0"/>
          <w:sz w:val="24"/>
          <w:szCs w:val="24"/>
          <w:highlight w:val="none"/>
        </w:rPr>
      </w:pPr>
      <w:bookmarkStart w:id="540" w:name="_Toc422322509"/>
      <w:bookmarkStart w:id="541" w:name="_Toc419045090"/>
      <w:r>
        <w:rPr>
          <w:rStyle w:val="73"/>
          <w:rFonts w:hint="eastAsia" w:ascii="宋体" w:hAnsi="宋体" w:eastAsia="宋体" w:cs="宋体"/>
          <w:b w:val="0"/>
          <w:bCs w:val="0"/>
          <w:sz w:val="24"/>
          <w:szCs w:val="24"/>
          <w:highlight w:val="none"/>
        </w:rPr>
        <w:t>6.2合同</w:t>
      </w:r>
      <w:r>
        <w:rPr>
          <w:rStyle w:val="73"/>
          <w:rFonts w:hint="eastAsia" w:ascii="宋体" w:hAnsi="宋体" w:eastAsia="宋体" w:cs="宋体"/>
          <w:b w:val="0"/>
          <w:sz w:val="24"/>
          <w:szCs w:val="24"/>
          <w:highlight w:val="none"/>
        </w:rPr>
        <w:t>解除</w:t>
      </w:r>
      <w:bookmarkEnd w:id="540"/>
      <w:bookmarkEnd w:id="541"/>
    </w:p>
    <w:p w14:paraId="7601CFAA">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6.2.1 委托人与咨询人协商一致，可以解除合同。</w:t>
      </w:r>
    </w:p>
    <w:p w14:paraId="0EE76BB1">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6.2.2 有下列情形之一的，合同当事人一方或双方可以解除合同：</w:t>
      </w:r>
    </w:p>
    <w:p w14:paraId="483586E2">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（1）咨询人将本合同约定的工程造价咨询服务工作全部或部分转包给他人，委托人可以解除合同；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（2）咨询人提供的造价咨询服务不符合合同约定的要求，经委托人催告仍不能达到合同约定要求的，委托人可以解除合同；</w:t>
      </w:r>
    </w:p>
    <w:p w14:paraId="10554DA5">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（3）委托人未按合同约定支付服务酬金，经咨询人催告后，在28天内仍未支付的，咨询人可以解除合同；</w:t>
      </w:r>
    </w:p>
    <w:p w14:paraId="3E53B0BB">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（4）因不可抗力致使合同无法履行；</w:t>
      </w:r>
    </w:p>
    <w:p w14:paraId="7E8A2724">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（5）因一方违约致使合同无法实际履行或实际履行已无必要。</w:t>
      </w:r>
    </w:p>
    <w:p w14:paraId="54DBD6DA">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除上述情形外，双方可以根据委托的服务范围及工作内容，在专用条件中约定解除合同的其他条件。</w:t>
      </w:r>
    </w:p>
    <w:p w14:paraId="2173A382">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6.2.3 任何一方提出解除合同的，应提前30天书面通知对方。</w:t>
      </w:r>
    </w:p>
    <w:p w14:paraId="38330AEA">
      <w:pPr>
        <w:pageBreakBefore w:val="0"/>
        <w:widowControl/>
        <w:kinsoku/>
        <w:wordWrap/>
        <w:overflowPunct/>
        <w:topLinePunct w:val="0"/>
        <w:bidi w:val="0"/>
        <w:snapToGrid/>
        <w:spacing w:line="560" w:lineRule="exact"/>
        <w:ind w:firstLine="46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6.2.4合同解除后，委托人应按照合同约定向咨询人支付已完成部分的咨询服务酬金。</w:t>
      </w:r>
    </w:p>
    <w:p w14:paraId="3BA0E8AF">
      <w:pPr>
        <w:pageBreakBefore w:val="0"/>
        <w:widowControl/>
        <w:kinsoku/>
        <w:wordWrap/>
        <w:overflowPunct/>
        <w:topLinePunct w:val="0"/>
        <w:bidi w:val="0"/>
        <w:snapToGrid/>
        <w:spacing w:line="560" w:lineRule="exact"/>
        <w:ind w:firstLine="46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3E971266">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mallCaps/>
          <w:sz w:val="24"/>
          <w:szCs w:val="24"/>
          <w:highlight w:val="none"/>
        </w:rPr>
      </w:pPr>
      <w:r>
        <w:rPr>
          <w:rFonts w:hint="eastAsia" w:ascii="宋体" w:hAnsi="宋体" w:eastAsia="宋体" w:cs="宋体"/>
          <w:sz w:val="24"/>
          <w:szCs w:val="24"/>
          <w:highlight w:val="none"/>
        </w:rPr>
        <w:t>6.2.5本合同解除后，本合同约定的有关结算、争议解决方式的条款仍然有效。</w:t>
      </w:r>
    </w:p>
    <w:p w14:paraId="3A58042D">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bookmarkStart w:id="542" w:name="_Toc422322510"/>
      <w:r>
        <w:rPr>
          <w:rStyle w:val="73"/>
          <w:rFonts w:hint="eastAsia" w:ascii="宋体" w:hAnsi="宋体" w:eastAsia="宋体" w:cs="宋体"/>
          <w:b w:val="0"/>
          <w:sz w:val="24"/>
          <w:szCs w:val="24"/>
          <w:highlight w:val="none"/>
        </w:rPr>
        <w:t>6.3 合同终止</w:t>
      </w:r>
      <w:bookmarkEnd w:id="542"/>
      <w:r>
        <w:rPr>
          <w:rFonts w:hint="eastAsia" w:ascii="宋体" w:hAnsi="宋体" w:eastAsia="宋体" w:cs="宋体"/>
          <w:b/>
          <w:bCs/>
          <w:smallCaps/>
          <w:sz w:val="24"/>
          <w:szCs w:val="24"/>
          <w:highlight w:val="none"/>
        </w:rPr>
        <w:br w:type="textWrapping"/>
      </w:r>
      <w:r>
        <w:rPr>
          <w:rFonts w:hint="eastAsia" w:ascii="宋体" w:hAnsi="宋体" w:eastAsia="宋体" w:cs="宋体"/>
          <w:b/>
          <w:bCs/>
          <w:smallCaps/>
          <w:sz w:val="24"/>
          <w:szCs w:val="24"/>
          <w:highlight w:val="none"/>
        </w:rPr>
        <w:t>　　</w:t>
      </w:r>
      <w:r>
        <w:rPr>
          <w:rFonts w:hint="eastAsia" w:ascii="宋体" w:hAnsi="宋体" w:eastAsia="宋体" w:cs="宋体"/>
          <w:bCs/>
          <w:smallCaps/>
          <w:sz w:val="24"/>
          <w:szCs w:val="24"/>
          <w:highlight w:val="none"/>
        </w:rPr>
        <w:t>除合同解除外，以下条</w:t>
      </w:r>
      <w:r>
        <w:rPr>
          <w:rFonts w:hint="eastAsia" w:ascii="宋体" w:hAnsi="宋体" w:eastAsia="宋体" w:cs="宋体"/>
          <w:sz w:val="24"/>
          <w:szCs w:val="24"/>
          <w:highlight w:val="none"/>
        </w:rPr>
        <w:t>件全部满足时，本合同终止：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（1）咨询人完成本合同约定的全部工作；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（2）委托人与咨询人结清并支付酬金；</w:t>
      </w:r>
    </w:p>
    <w:p w14:paraId="1C194C8D">
      <w:pPr>
        <w:pageBreakBefore w:val="0"/>
        <w:widowControl/>
        <w:kinsoku/>
        <w:wordWrap/>
        <w:overflowPunct/>
        <w:topLinePunct w:val="0"/>
        <w:bidi w:val="0"/>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（3）咨询人将委托人提供的资料交还。</w:t>
      </w:r>
    </w:p>
    <w:p w14:paraId="65968698">
      <w:pPr>
        <w:pageBreakBefore w:val="0"/>
        <w:widowControl/>
        <w:kinsoku/>
        <w:wordWrap/>
        <w:overflowPunct/>
        <w:topLinePunct w:val="0"/>
        <w:bidi w:val="0"/>
        <w:snapToGrid/>
        <w:spacing w:line="560" w:lineRule="exact"/>
        <w:ind w:firstLine="482" w:firstLineChars="200"/>
        <w:textAlignment w:val="auto"/>
        <w:rPr>
          <w:rStyle w:val="72"/>
          <w:rFonts w:hint="eastAsia" w:ascii="宋体" w:hAnsi="宋体" w:eastAsia="宋体" w:cs="宋体"/>
          <w:bCs w:val="0"/>
          <w:sz w:val="24"/>
          <w:szCs w:val="24"/>
          <w:highlight w:val="none"/>
        </w:rPr>
      </w:pPr>
      <w:bookmarkStart w:id="543" w:name="_Toc419045091"/>
      <w:bookmarkStart w:id="544" w:name="_Toc422322511"/>
      <w:r>
        <w:rPr>
          <w:rStyle w:val="72"/>
          <w:rFonts w:hint="eastAsia" w:ascii="宋体" w:hAnsi="宋体" w:eastAsia="宋体" w:cs="宋体"/>
          <w:bCs w:val="0"/>
          <w:sz w:val="24"/>
          <w:szCs w:val="24"/>
          <w:highlight w:val="none"/>
        </w:rPr>
        <w:t>7.争议解决</w:t>
      </w:r>
      <w:bookmarkEnd w:id="525"/>
      <w:bookmarkEnd w:id="543"/>
      <w:bookmarkEnd w:id="544"/>
    </w:p>
    <w:p w14:paraId="220E8917">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highlight w:val="none"/>
        </w:rPr>
      </w:pPr>
      <w:bookmarkStart w:id="545" w:name="_Toc422322512"/>
      <w:bookmarkStart w:id="546" w:name="_Toc419045092"/>
      <w:r>
        <w:rPr>
          <w:rStyle w:val="73"/>
          <w:rFonts w:hint="eastAsia" w:ascii="宋体" w:hAnsi="宋体" w:eastAsia="宋体" w:cs="宋体"/>
          <w:b w:val="0"/>
          <w:smallCaps/>
          <w:sz w:val="24"/>
          <w:szCs w:val="24"/>
          <w:highlight w:val="none"/>
        </w:rPr>
        <w:t>7.1协商</w:t>
      </w:r>
      <w:bookmarkEnd w:id="545"/>
      <w:bookmarkEnd w:id="546"/>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双方应本着诚实信用的原则协商解决本合同履行过程中发生的争议。</w:t>
      </w:r>
      <w:bookmarkStart w:id="547" w:name="37"/>
    </w:p>
    <w:p w14:paraId="51C845DD">
      <w:pPr>
        <w:pStyle w:val="7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b/>
          <w:bCs/>
          <w:sz w:val="24"/>
          <w:szCs w:val="24"/>
          <w:highlight w:val="none"/>
        </w:rPr>
      </w:pPr>
      <w:bookmarkStart w:id="548" w:name="_Toc419045093"/>
      <w:bookmarkStart w:id="549" w:name="_Toc422322513"/>
      <w:r>
        <w:rPr>
          <w:rStyle w:val="73"/>
          <w:rFonts w:hint="eastAsia" w:ascii="宋体" w:hAnsi="宋体" w:eastAsia="宋体" w:cs="宋体"/>
          <w:b w:val="0"/>
          <w:smallCaps/>
          <w:sz w:val="24"/>
          <w:szCs w:val="24"/>
          <w:highlight w:val="none"/>
        </w:rPr>
        <w:t>7.2</w:t>
      </w:r>
      <w:bookmarkEnd w:id="547"/>
      <w:r>
        <w:rPr>
          <w:rStyle w:val="73"/>
          <w:rFonts w:hint="eastAsia" w:ascii="宋体" w:hAnsi="宋体" w:eastAsia="宋体" w:cs="宋体"/>
          <w:b w:val="0"/>
          <w:smallCaps/>
          <w:sz w:val="24"/>
          <w:szCs w:val="24"/>
          <w:highlight w:val="none"/>
        </w:rPr>
        <w:t>调解</w:t>
      </w:r>
      <w:bookmarkEnd w:id="548"/>
      <w:bookmarkEnd w:id="549"/>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如果双方不能在14日内或双方商定的其他时间内解决本合同争议，可以将其提交给专用条件约定的或事后达成协议的调解人进行调解。</w:t>
      </w:r>
    </w:p>
    <w:p w14:paraId="001F4312">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bookmarkStart w:id="550" w:name="38"/>
      <w:bookmarkStart w:id="551" w:name="_Toc422322514"/>
      <w:bookmarkStart w:id="552" w:name="_Toc419045094"/>
      <w:r>
        <w:rPr>
          <w:rStyle w:val="73"/>
          <w:rFonts w:hint="eastAsia" w:ascii="宋体" w:hAnsi="宋体" w:eastAsia="宋体" w:cs="宋体"/>
          <w:b w:val="0"/>
          <w:smallCaps/>
          <w:sz w:val="24"/>
          <w:szCs w:val="24"/>
          <w:highlight w:val="none"/>
        </w:rPr>
        <w:t>7.</w:t>
      </w:r>
      <w:bookmarkEnd w:id="550"/>
      <w:r>
        <w:rPr>
          <w:rStyle w:val="73"/>
          <w:rFonts w:hint="eastAsia" w:ascii="宋体" w:hAnsi="宋体" w:eastAsia="宋体" w:cs="宋体"/>
          <w:b w:val="0"/>
          <w:smallCaps/>
          <w:sz w:val="24"/>
          <w:szCs w:val="24"/>
          <w:highlight w:val="none"/>
        </w:rPr>
        <w:t>3仲裁或诉讼</w:t>
      </w:r>
      <w:bookmarkEnd w:id="551"/>
      <w:bookmarkEnd w:id="552"/>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双方均有权不经调解直接向专用条件约定的仲裁机构申请仲裁或向有管辖权的人民法院提起诉讼。</w:t>
      </w:r>
    </w:p>
    <w:p w14:paraId="61236616">
      <w:pPr>
        <w:pageBreakBefore w:val="0"/>
        <w:widowControl/>
        <w:kinsoku/>
        <w:wordWrap/>
        <w:overflowPunct/>
        <w:topLinePunct w:val="0"/>
        <w:bidi w:val="0"/>
        <w:snapToGrid/>
        <w:spacing w:line="560" w:lineRule="exact"/>
        <w:ind w:firstLine="482" w:firstLineChars="200"/>
        <w:textAlignment w:val="auto"/>
        <w:rPr>
          <w:rStyle w:val="72"/>
          <w:rFonts w:hint="eastAsia" w:ascii="宋体" w:hAnsi="宋体" w:eastAsia="宋体" w:cs="宋体"/>
          <w:sz w:val="24"/>
          <w:szCs w:val="24"/>
          <w:highlight w:val="none"/>
        </w:rPr>
      </w:pPr>
      <w:bookmarkStart w:id="553" w:name="_Toc419045095"/>
      <w:bookmarkStart w:id="554" w:name="_Toc422322515"/>
      <w:r>
        <w:rPr>
          <w:rStyle w:val="72"/>
          <w:rFonts w:hint="eastAsia" w:ascii="宋体" w:hAnsi="宋体" w:eastAsia="宋体" w:cs="宋体"/>
          <w:sz w:val="24"/>
          <w:szCs w:val="24"/>
          <w:highlight w:val="none"/>
        </w:rPr>
        <w:t>8.其他</w:t>
      </w:r>
      <w:bookmarkEnd w:id="553"/>
      <w:bookmarkEnd w:id="554"/>
    </w:p>
    <w:p w14:paraId="4513FFA5">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55" w:name="39"/>
      <w:bookmarkStart w:id="556" w:name="_Toc422322516"/>
      <w:bookmarkStart w:id="557" w:name="_Toc419045096"/>
      <w:r>
        <w:rPr>
          <w:rFonts w:hint="eastAsia" w:ascii="宋体" w:hAnsi="宋体" w:eastAsia="宋体" w:cs="宋体"/>
          <w:b w:val="0"/>
          <w:smallCaps/>
          <w:sz w:val="24"/>
          <w:szCs w:val="24"/>
          <w:highlight w:val="none"/>
        </w:rPr>
        <w:t>8.1</w:t>
      </w:r>
      <w:bookmarkEnd w:id="555"/>
      <w:r>
        <w:rPr>
          <w:rFonts w:hint="eastAsia" w:ascii="宋体" w:hAnsi="宋体" w:eastAsia="宋体" w:cs="宋体"/>
          <w:b w:val="0"/>
          <w:sz w:val="24"/>
          <w:szCs w:val="24"/>
          <w:highlight w:val="none"/>
        </w:rPr>
        <w:t>考察及相关费用</w:t>
      </w:r>
      <w:bookmarkEnd w:id="556"/>
      <w:bookmarkEnd w:id="557"/>
    </w:p>
    <w:p w14:paraId="37813CFB">
      <w:pPr>
        <w:pageBreakBefore w:val="0"/>
        <w:widowControl/>
        <w:kinsoku/>
        <w:wordWrap/>
        <w:overflowPunct/>
        <w:topLinePunct w:val="0"/>
        <w:bidi w:val="0"/>
        <w:snapToGrid/>
        <w:spacing w:line="560" w:lineRule="exact"/>
        <w:ind w:firstLine="480" w:firstLineChars="200"/>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除专用条件另有约定外，咨询人经委托人同意进行考察发生的费用由委托人审核后另行支付。差旅费及相关费用的承担由双方在专用条件中约定。</w:t>
      </w:r>
    </w:p>
    <w:p w14:paraId="799F82E1">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58" w:name="_Toc422322517"/>
      <w:r>
        <w:rPr>
          <w:rFonts w:hint="eastAsia" w:ascii="宋体" w:hAnsi="宋体" w:eastAsia="宋体" w:cs="宋体"/>
          <w:b w:val="0"/>
          <w:sz w:val="24"/>
          <w:szCs w:val="24"/>
          <w:highlight w:val="none"/>
        </w:rPr>
        <w:t>8.2奖励</w:t>
      </w:r>
      <w:bookmarkEnd w:id="558"/>
    </w:p>
    <w:p w14:paraId="1EF5B987">
      <w:pPr>
        <w:pageBreakBefore w:val="0"/>
        <w:widowControl/>
        <w:kinsoku/>
        <w:wordWrap/>
        <w:overflowPunct/>
        <w:topLinePunct w:val="0"/>
        <w:bidi w:val="0"/>
        <w:snapToGrid/>
        <w:spacing w:line="560" w:lineRule="exact"/>
        <w:ind w:firstLine="480" w:firstLineChars="200"/>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14:paraId="73C59131">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59" w:name="_Toc422322518"/>
      <w:r>
        <w:rPr>
          <w:rFonts w:hint="eastAsia" w:ascii="宋体" w:hAnsi="宋体" w:eastAsia="宋体" w:cs="宋体"/>
          <w:b w:val="0"/>
          <w:sz w:val="24"/>
          <w:szCs w:val="24"/>
          <w:highlight w:val="none"/>
        </w:rPr>
        <w:t>8.3保密</w:t>
      </w:r>
      <w:bookmarkEnd w:id="559"/>
    </w:p>
    <w:p w14:paraId="0D8971F2">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在本合同履行期间或专用条件约定的期限内，双方不得泄露对方申明的保密资料，亦不得泄露与实施工程有关的第三人所提供的保密资料。保密事项在专用条件中约定。</w:t>
      </w:r>
    </w:p>
    <w:p w14:paraId="655B1A8B">
      <w:pPr>
        <w:pageBreakBefore w:val="0"/>
        <w:widowControl/>
        <w:kinsoku/>
        <w:wordWrap/>
        <w:overflowPunct/>
        <w:topLinePunct w:val="0"/>
        <w:bidi w:val="0"/>
        <w:snapToGrid/>
        <w:spacing w:line="560" w:lineRule="exact"/>
        <w:textAlignment w:val="auto"/>
        <w:rPr>
          <w:rFonts w:hint="eastAsia" w:ascii="宋体" w:hAnsi="宋体" w:eastAsia="宋体" w:cs="宋体"/>
          <w:b/>
          <w:sz w:val="24"/>
          <w:szCs w:val="24"/>
          <w:highlight w:val="none"/>
        </w:rPr>
      </w:pPr>
      <w:r>
        <w:rPr>
          <w:rFonts w:hint="eastAsia" w:ascii="宋体" w:hAnsi="宋体" w:eastAsia="宋体" w:cs="宋体"/>
          <w:bCs/>
          <w:smallCaps/>
          <w:sz w:val="24"/>
          <w:szCs w:val="24"/>
          <w:highlight w:val="none"/>
        </w:rPr>
        <w:t xml:space="preserve">　　 </w:t>
      </w:r>
      <w:bookmarkStart w:id="560" w:name="_Toc419045097"/>
      <w:bookmarkStart w:id="561" w:name="_Toc422322519"/>
      <w:r>
        <w:rPr>
          <w:rStyle w:val="73"/>
          <w:rFonts w:hint="eastAsia" w:ascii="宋体" w:hAnsi="宋体" w:eastAsia="宋体" w:cs="宋体"/>
          <w:b w:val="0"/>
          <w:sz w:val="24"/>
          <w:szCs w:val="24"/>
          <w:highlight w:val="none"/>
        </w:rPr>
        <w:t>8.4</w:t>
      </w:r>
      <w:bookmarkEnd w:id="560"/>
      <w:r>
        <w:rPr>
          <w:rStyle w:val="73"/>
          <w:rFonts w:hint="eastAsia" w:ascii="宋体" w:hAnsi="宋体" w:eastAsia="宋体" w:cs="宋体"/>
          <w:b w:val="0"/>
          <w:sz w:val="24"/>
          <w:szCs w:val="24"/>
          <w:highlight w:val="none"/>
        </w:rPr>
        <w:t>联络</w:t>
      </w:r>
      <w:bookmarkEnd w:id="561"/>
    </w:p>
    <w:p w14:paraId="4DC07A0A">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8.4.1与合同有关的通知、指示、要求、决定等，均应采用书面形式，并应在专用条件约定的期限内送达接收人和送达地点。</w:t>
      </w:r>
    </w:p>
    <w:p w14:paraId="57D44F4C">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8.4.2委托人和咨询人应在专用条件中约定各自的送达接收人、送达地点、电子邮箱。任何一方指定的接收人或送达地点或电子邮箱发生变动的，应提前3天以书面形式通知对方，否则视为未发生变动。</w:t>
      </w:r>
    </w:p>
    <w:p w14:paraId="25BD1AEE">
      <w:pPr>
        <w:pageBreakBefore w:val="0"/>
        <w:widowControl/>
        <w:tabs>
          <w:tab w:val="left" w:pos="5085"/>
        </w:tabs>
        <w:kinsoku/>
        <w:wordWrap/>
        <w:overflowPunct/>
        <w:topLinePunct w:val="0"/>
        <w:bidi w:val="0"/>
        <w:snapToGrid/>
        <w:spacing w:line="560" w:lineRule="exact"/>
        <w:ind w:firstLine="480" w:firstLineChars="200"/>
        <w:textAlignment w:val="auto"/>
        <w:rPr>
          <w:rStyle w:val="73"/>
          <w:rFonts w:hint="eastAsia" w:ascii="宋体" w:hAnsi="宋体" w:eastAsia="宋体" w:cs="宋体"/>
          <w:b w:val="0"/>
          <w:bCs w:val="0"/>
          <w:kern w:val="0"/>
          <w:sz w:val="24"/>
          <w:szCs w:val="24"/>
          <w:highlight w:val="none"/>
        </w:rPr>
      </w:pPr>
      <w:r>
        <w:rPr>
          <w:rFonts w:hint="eastAsia" w:ascii="宋体" w:hAnsi="宋体" w:eastAsia="宋体" w:cs="宋体"/>
          <w:sz w:val="24"/>
          <w:szCs w:val="24"/>
          <w:highlight w:val="none"/>
        </w:rPr>
        <w:t>8.4.3委托人和咨询人应当及时签收另一方送达至送达地点和指定接收人的往来函件，如确有充分证据证明一方无正当理由拒不签收的，视为认可往来函件的内容。</w:t>
      </w:r>
    </w:p>
    <w:p w14:paraId="2C0C4158">
      <w:pPr>
        <w:pStyle w:val="22"/>
        <w:pageBreakBefore w:val="0"/>
        <w:widowControl/>
        <w:kinsoku/>
        <w:wordWrap/>
        <w:overflowPunct/>
        <w:topLinePunct w:val="0"/>
        <w:bidi w:val="0"/>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62" w:name="_Toc422322520"/>
      <w:r>
        <w:rPr>
          <w:rFonts w:hint="eastAsia" w:ascii="宋体" w:hAnsi="宋体" w:eastAsia="宋体" w:cs="宋体"/>
          <w:b w:val="0"/>
          <w:sz w:val="24"/>
          <w:szCs w:val="24"/>
          <w:highlight w:val="none"/>
        </w:rPr>
        <w:t>8.5知识产权</w:t>
      </w:r>
      <w:bookmarkEnd w:id="562"/>
    </w:p>
    <w:p w14:paraId="526B8369">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3ECEFF81">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CBBE30A">
      <w:pPr>
        <w:pageBreakBefore w:val="0"/>
        <w:widowControl/>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双方保证在履行本合同过程中不侵犯对方及第三方的知识产权。因咨询人侵犯他人知识产权所引起的责任，由咨询人承担；因委托人提供的基础资料导致侵权的，由委托人承担责任。</w:t>
      </w:r>
    </w:p>
    <w:p w14:paraId="5BD52185">
      <w:pPr>
        <w:pageBreakBefore w:val="0"/>
        <w:widowControl/>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除专用条件另有约定外，双方均有权在履行本合同保密义务并且不损害对方利益的情况下，将履行本合同形成的有关成果文件用于企业宣传、申报奖项以及接受上级主管部门的检查。</w:t>
      </w:r>
    </w:p>
    <w:p w14:paraId="6D4BA98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563" w:name="_Toc419045098"/>
      <w:bookmarkStart w:id="564" w:name="_Toc422322521"/>
    </w:p>
    <w:p w14:paraId="592BDC4F">
      <w:pPr>
        <w:pStyle w:val="3"/>
        <w:pageBreakBefore w:val="0"/>
        <w:kinsoku/>
        <w:wordWrap/>
        <w:overflowPunct/>
        <w:topLinePunct w:val="0"/>
        <w:autoSpaceDE/>
        <w:autoSpaceDN/>
        <w:bidi w:val="0"/>
        <w:adjustRightInd/>
        <w:snapToGrid/>
        <w:spacing w:after="120"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专用条件</w:t>
      </w:r>
      <w:bookmarkEnd w:id="563"/>
      <w:bookmarkEnd w:id="564"/>
      <w:bookmarkStart w:id="565" w:name="45"/>
    </w:p>
    <w:bookmarkEnd w:id="565"/>
    <w:p w14:paraId="0F33CF60">
      <w:pPr>
        <w:pStyle w:val="28"/>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566" w:name="_Toc422322522"/>
      <w:bookmarkStart w:id="567" w:name="_Toc419045099"/>
      <w:r>
        <w:rPr>
          <w:rFonts w:hint="eastAsia" w:ascii="宋体" w:hAnsi="宋体" w:eastAsia="宋体" w:cs="宋体"/>
          <w:sz w:val="24"/>
          <w:szCs w:val="24"/>
          <w:highlight w:val="none"/>
        </w:rPr>
        <w:t>1.词语定义、语言、解释顺序与适用法律</w:t>
      </w:r>
      <w:bookmarkEnd w:id="566"/>
      <w:bookmarkEnd w:id="567"/>
    </w:p>
    <w:p w14:paraId="304252E9">
      <w:pPr>
        <w:pageBreakBefore w:val="0"/>
        <w:kinsoku/>
        <w:wordWrap/>
        <w:overflowPunct/>
        <w:topLinePunct w:val="0"/>
        <w:autoSpaceDE/>
        <w:autoSpaceDN/>
        <w:bidi w:val="0"/>
        <w:adjustRightInd/>
        <w:snapToGrid/>
        <w:spacing w:line="560" w:lineRule="exact"/>
        <w:ind w:firstLine="468"/>
        <w:textAlignment w:val="auto"/>
        <w:rPr>
          <w:rStyle w:val="73"/>
          <w:rFonts w:hint="eastAsia" w:ascii="宋体" w:hAnsi="宋体" w:eastAsia="宋体" w:cs="宋体"/>
          <w:b w:val="0"/>
          <w:sz w:val="24"/>
          <w:szCs w:val="24"/>
          <w:highlight w:val="none"/>
        </w:rPr>
      </w:pPr>
      <w:bookmarkStart w:id="568" w:name="_Toc422322524"/>
      <w:bookmarkStart w:id="569" w:name="_Toc419045101"/>
      <w:r>
        <w:rPr>
          <w:rStyle w:val="73"/>
          <w:rFonts w:hint="eastAsia" w:ascii="宋体" w:hAnsi="宋体" w:eastAsia="宋体" w:cs="宋体"/>
          <w:b w:val="0"/>
          <w:sz w:val="24"/>
          <w:szCs w:val="24"/>
          <w:highlight w:val="none"/>
        </w:rPr>
        <w:t>1.2 语言</w:t>
      </w:r>
      <w:bookmarkEnd w:id="568"/>
      <w:bookmarkEnd w:id="569"/>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本合同文件除使用中文外，还可用</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1014C90F">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70" w:name="_Toc422322525"/>
      <w:r>
        <w:rPr>
          <w:rFonts w:hint="eastAsia" w:ascii="宋体" w:hAnsi="宋体" w:eastAsia="宋体" w:cs="宋体"/>
          <w:b w:val="0"/>
          <w:sz w:val="24"/>
          <w:szCs w:val="24"/>
          <w:highlight w:val="none"/>
        </w:rPr>
        <w:t>1.3合同文件的优先顺序</w:t>
      </w:r>
      <w:bookmarkEnd w:id="570"/>
    </w:p>
    <w:p w14:paraId="3FA0B72E">
      <w:pPr>
        <w:pageBreakBefore w:val="0"/>
        <w:kinsoku/>
        <w:wordWrap/>
        <w:overflowPunct/>
        <w:topLinePunct w:val="0"/>
        <w:autoSpaceDE/>
        <w:autoSpaceDN/>
        <w:bidi w:val="0"/>
        <w:adjustRightInd/>
        <w:snapToGrid/>
        <w:spacing w:line="560" w:lineRule="exact"/>
        <w:ind w:firstLine="4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本合同文件的解释顺序为：</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p>
    <w:p w14:paraId="65C1AD00">
      <w:pPr>
        <w:pageBreakBefore w:val="0"/>
        <w:kinsoku/>
        <w:wordWrap/>
        <w:overflowPunct/>
        <w:topLinePunct w:val="0"/>
        <w:autoSpaceDE/>
        <w:autoSpaceDN/>
        <w:bidi w:val="0"/>
        <w:adjustRightInd/>
        <w:snapToGrid/>
        <w:spacing w:line="560" w:lineRule="exact"/>
        <w:ind w:firstLine="468"/>
        <w:textAlignment w:val="auto"/>
        <w:rPr>
          <w:rStyle w:val="73"/>
          <w:rFonts w:hint="eastAsia" w:ascii="宋体" w:hAnsi="宋体" w:eastAsia="宋体" w:cs="宋体"/>
          <w:b w:val="0"/>
          <w:sz w:val="24"/>
          <w:szCs w:val="24"/>
          <w:highlight w:val="none"/>
        </w:rPr>
      </w:pPr>
      <w:bookmarkStart w:id="571" w:name="_Toc422322526"/>
      <w:bookmarkStart w:id="572" w:name="_Toc419045102"/>
      <w:r>
        <w:rPr>
          <w:rStyle w:val="73"/>
          <w:rFonts w:hint="eastAsia" w:ascii="宋体" w:hAnsi="宋体" w:eastAsia="宋体" w:cs="宋体"/>
          <w:b w:val="0"/>
          <w:sz w:val="24"/>
          <w:szCs w:val="24"/>
          <w:highlight w:val="none"/>
        </w:rPr>
        <w:t>1.4适用法律</w:t>
      </w:r>
      <w:bookmarkEnd w:id="571"/>
      <w:bookmarkEnd w:id="572"/>
    </w:p>
    <w:p w14:paraId="5E8C2A21">
      <w:pPr>
        <w:pageBreakBefore w:val="0"/>
        <w:kinsoku/>
        <w:wordWrap/>
        <w:overflowPunct/>
        <w:topLinePunct w:val="0"/>
        <w:autoSpaceDE/>
        <w:autoSpaceDN/>
        <w:bidi w:val="0"/>
        <w:adjustRightInd/>
        <w:snapToGrid/>
        <w:spacing w:line="560" w:lineRule="exact"/>
        <w:ind w:left="108" w:leftChars="45"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本合同适用的其他规范性文件包括:</w:t>
      </w:r>
      <w:r>
        <w:rPr>
          <w:rFonts w:hint="eastAsia" w:ascii="宋体" w:hAnsi="宋体" w:eastAsia="宋体" w:cs="宋体"/>
          <w:sz w:val="24"/>
          <w:szCs w:val="24"/>
          <w:highlight w:val="none"/>
          <w:u w:val="single"/>
        </w:rPr>
        <w:t>《民法典》、《建筑法》及其他国家、新疆维吾尔自治区的相关规定、《乌鲁木齐市建设工程造价咨询成果文件质量管理办法》</w:t>
      </w:r>
      <w:r>
        <w:rPr>
          <w:rFonts w:hint="eastAsia" w:ascii="宋体" w:hAnsi="宋体" w:eastAsia="宋体" w:cs="宋体"/>
          <w:sz w:val="24"/>
          <w:szCs w:val="24"/>
          <w:highlight w:val="none"/>
        </w:rPr>
        <w:t>。</w:t>
      </w:r>
    </w:p>
    <w:p w14:paraId="25DF0B40">
      <w:pPr>
        <w:pStyle w:val="28"/>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573" w:name="_Toc419045103"/>
      <w:bookmarkStart w:id="574" w:name="_Toc422322527"/>
      <w:r>
        <w:rPr>
          <w:rFonts w:hint="eastAsia" w:ascii="宋体" w:hAnsi="宋体" w:eastAsia="宋体" w:cs="宋体"/>
          <w:sz w:val="24"/>
          <w:szCs w:val="24"/>
          <w:highlight w:val="none"/>
        </w:rPr>
        <w:t>2.委托人的义务</w:t>
      </w:r>
      <w:bookmarkEnd w:id="573"/>
      <w:bookmarkEnd w:id="574"/>
    </w:p>
    <w:p w14:paraId="25BFC5D7">
      <w:pPr>
        <w:pageBreakBefore w:val="0"/>
        <w:kinsoku/>
        <w:wordWrap/>
        <w:overflowPunct/>
        <w:topLinePunct w:val="0"/>
        <w:autoSpaceDE/>
        <w:autoSpaceDN/>
        <w:bidi w:val="0"/>
        <w:adjustRightInd/>
        <w:snapToGrid/>
        <w:spacing w:line="560" w:lineRule="exact"/>
        <w:ind w:firstLine="468"/>
        <w:textAlignment w:val="auto"/>
        <w:rPr>
          <w:rStyle w:val="73"/>
          <w:rFonts w:hint="eastAsia" w:ascii="宋体" w:hAnsi="宋体" w:eastAsia="宋体" w:cs="宋体"/>
          <w:b w:val="0"/>
          <w:sz w:val="24"/>
          <w:szCs w:val="24"/>
          <w:highlight w:val="none"/>
        </w:rPr>
      </w:pPr>
      <w:bookmarkStart w:id="575" w:name="_Toc419045104"/>
      <w:bookmarkStart w:id="576" w:name="_Toc422322528"/>
      <w:r>
        <w:rPr>
          <w:rStyle w:val="73"/>
          <w:rFonts w:hint="eastAsia" w:ascii="宋体" w:hAnsi="宋体" w:eastAsia="宋体" w:cs="宋体"/>
          <w:b w:val="0"/>
          <w:sz w:val="24"/>
          <w:szCs w:val="24"/>
          <w:highlight w:val="none"/>
        </w:rPr>
        <w:t>2.1提供资料</w:t>
      </w:r>
      <w:bookmarkEnd w:id="575"/>
      <w:bookmarkEnd w:id="576"/>
    </w:p>
    <w:p w14:paraId="75929AFB">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委托人按照附录C约定无偿向咨询人提供与本合同咨询业务有关资料的时间为：</w:t>
      </w:r>
      <w:r>
        <w:rPr>
          <w:rFonts w:hint="eastAsia" w:ascii="宋体" w:hAnsi="宋体" w:eastAsia="宋体" w:cs="宋体"/>
          <w:sz w:val="24"/>
          <w:szCs w:val="24"/>
          <w:highlight w:val="none"/>
          <w:u w:val="single"/>
        </w:rPr>
        <w:t>不对正常造价咨询工作构成重大延期影响均可，委托人因保证资料的完整性，如因资料不完整导致咨询人延迟交付成果，咨询人不承担相应责任</w:t>
      </w:r>
      <w:r>
        <w:rPr>
          <w:rFonts w:hint="eastAsia" w:ascii="宋体" w:hAnsi="宋体" w:eastAsia="宋体" w:cs="宋体"/>
          <w:sz w:val="24"/>
          <w:szCs w:val="24"/>
          <w:highlight w:val="none"/>
        </w:rPr>
        <w:t>。</w:t>
      </w:r>
    </w:p>
    <w:p w14:paraId="5CE4CB5E">
      <w:pPr>
        <w:pageBreakBefore w:val="0"/>
        <w:kinsoku/>
        <w:wordWrap/>
        <w:overflowPunct/>
        <w:topLinePunct w:val="0"/>
        <w:autoSpaceDE/>
        <w:autoSpaceDN/>
        <w:bidi w:val="0"/>
        <w:adjustRightInd/>
        <w:snapToGrid/>
        <w:spacing w:line="560" w:lineRule="exact"/>
        <w:ind w:firstLine="468"/>
        <w:textAlignment w:val="auto"/>
        <w:rPr>
          <w:rStyle w:val="73"/>
          <w:rFonts w:hint="eastAsia" w:ascii="宋体" w:hAnsi="宋体" w:eastAsia="宋体" w:cs="宋体"/>
          <w:b w:val="0"/>
          <w:sz w:val="24"/>
          <w:szCs w:val="24"/>
          <w:highlight w:val="none"/>
        </w:rPr>
      </w:pPr>
      <w:bookmarkStart w:id="577" w:name="_Toc422322529"/>
      <w:bookmarkStart w:id="578" w:name="_Toc419045105"/>
      <w:r>
        <w:rPr>
          <w:rStyle w:val="73"/>
          <w:rFonts w:hint="eastAsia" w:ascii="宋体" w:hAnsi="宋体" w:eastAsia="宋体" w:cs="宋体"/>
          <w:b w:val="0"/>
          <w:sz w:val="24"/>
          <w:szCs w:val="24"/>
          <w:highlight w:val="none"/>
        </w:rPr>
        <w:t>2.2提供工作条件</w:t>
      </w:r>
      <w:bookmarkEnd w:id="577"/>
      <w:bookmarkEnd w:id="578"/>
    </w:p>
    <w:p w14:paraId="30F3D05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2.2.1项目咨询人员使用附录D中由委托人提供的房屋及设备，支付使用费的标准为：</w:t>
      </w:r>
      <w:r>
        <w:rPr>
          <w:rFonts w:hint="eastAsia" w:ascii="宋体" w:hAnsi="宋体" w:eastAsia="宋体" w:cs="宋体"/>
          <w:sz w:val="24"/>
          <w:szCs w:val="24"/>
          <w:highlight w:val="none"/>
          <w:u w:val="none"/>
        </w:rPr>
        <w:t>___________/</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4054FBFD">
      <w:pPr>
        <w:pageBreakBefore w:val="0"/>
        <w:kinsoku/>
        <w:wordWrap/>
        <w:overflowPunct/>
        <w:topLinePunct w:val="0"/>
        <w:autoSpaceDE/>
        <w:autoSpaceDN/>
        <w:bidi w:val="0"/>
        <w:adjustRightInd/>
        <w:snapToGrid/>
        <w:spacing w:line="560" w:lineRule="exact"/>
        <w:textAlignment w:val="auto"/>
        <w:rPr>
          <w:rStyle w:val="73"/>
          <w:rFonts w:hint="eastAsia" w:ascii="宋体" w:hAnsi="宋体" w:eastAsia="宋体" w:cs="宋体"/>
          <w:b w:val="0"/>
          <w:sz w:val="24"/>
          <w:szCs w:val="24"/>
          <w:highlight w:val="none"/>
        </w:rPr>
      </w:pPr>
      <w:bookmarkStart w:id="579" w:name="_Toc422322530"/>
      <w:bookmarkStart w:id="580" w:name="_Toc419045106"/>
      <w:r>
        <w:rPr>
          <w:rStyle w:val="73"/>
          <w:rFonts w:hint="eastAsia" w:ascii="宋体" w:hAnsi="宋体" w:eastAsia="宋体" w:cs="宋体"/>
          <w:b w:val="0"/>
          <w:sz w:val="24"/>
          <w:szCs w:val="24"/>
          <w:highlight w:val="none"/>
        </w:rPr>
        <w:t>2.4委托人代表</w:t>
      </w:r>
      <w:bookmarkEnd w:id="579"/>
      <w:bookmarkEnd w:id="580"/>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委托人代表为：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，其权限范围：</w:t>
      </w:r>
      <w:r>
        <w:rPr>
          <w:rFonts w:hint="eastAsia" w:ascii="宋体" w:hAnsi="宋体" w:eastAsia="宋体" w:cs="宋体"/>
          <w:sz w:val="24"/>
          <w:szCs w:val="24"/>
          <w:highlight w:val="none"/>
          <w:u w:val="single"/>
        </w:rPr>
        <w:t>1、代表委托方对关于本项目工程造价方面与咨询方进行沟通协调工作；2、对咨询方出具的成果文件进行认可并接收</w:t>
      </w:r>
      <w:r>
        <w:rPr>
          <w:rFonts w:hint="eastAsia" w:ascii="宋体" w:hAnsi="宋体" w:eastAsia="宋体" w:cs="宋体"/>
          <w:sz w:val="24"/>
          <w:szCs w:val="24"/>
          <w:highlight w:val="none"/>
        </w:rPr>
        <w:t>。</w:t>
      </w:r>
    </w:p>
    <w:p w14:paraId="2A7C968B">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81" w:name="_Toc422322531"/>
      <w:r>
        <w:rPr>
          <w:rFonts w:hint="eastAsia" w:ascii="宋体" w:hAnsi="宋体" w:eastAsia="宋体" w:cs="宋体"/>
          <w:b w:val="0"/>
          <w:sz w:val="24"/>
          <w:szCs w:val="24"/>
          <w:highlight w:val="none"/>
        </w:rPr>
        <w:t>2.5答复</w:t>
      </w:r>
      <w:bookmarkEnd w:id="581"/>
    </w:p>
    <w:p w14:paraId="5598DBA8">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委托人同意在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日内，对咨询人书面提交并要求做出决定的事宜给予书面答复。逾期未答复的，视为委托人认可。</w:t>
      </w:r>
    </w:p>
    <w:p w14:paraId="3EE07538">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委托人的义务还包括：</w:t>
      </w:r>
    </w:p>
    <w:p w14:paraId="75D655CA">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1、向咨询人发出书面的任务指令，确保任务的明确性、清晰性及有效性。</w:t>
      </w:r>
    </w:p>
    <w:p w14:paraId="46935CE3">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2、当咨询人与第三方发生争议或分歧时，委托人应积极协调，并提供解决意见。</w:t>
      </w:r>
    </w:p>
    <w:p w14:paraId="33FE35F6">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3、委托人应在7日内对咨询人书面提交并要求做出答复的事宜做出书面答复。</w:t>
      </w:r>
    </w:p>
    <w:p w14:paraId="0A463EA7">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4、委托人的权利还包括：</w:t>
      </w:r>
    </w:p>
    <w:p w14:paraId="4F41C022">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4.1、在任何时间更换被认为不称职或不配合的造价咨询人员。</w:t>
      </w:r>
    </w:p>
    <w:p w14:paraId="206B226B">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4.2、咨询人发生错误，并在收到委托人书面通知的3天内，仍未采取适当措施改正错误，则委托人有权解除合同，并要求咨询人赔偿相应损失。</w:t>
      </w:r>
    </w:p>
    <w:p w14:paraId="087CC20F">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4.3、咨询人发生严重的工作延误，并在收到委托人书面通知的3天内，仍未采取适当措施加以改正，则委托人有权解除合同，并要求咨询人赔偿相应损失。</w:t>
      </w:r>
    </w:p>
    <w:p w14:paraId="498D37B8">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同一项目工程量清单和招标控制价或标底编制、施工阶段全过程造价控制、竣工结算审的服务，委托人有权指定不同的咨询单位。若由于受托人人员不到位或提交的成果文件误差率较大或私下与施工单位接触等原因造成服务质量不能满足委托方要求的情况下，委托方可随时解除该项目的委托任务或服务合同。</w:t>
      </w:r>
    </w:p>
    <w:p w14:paraId="5E5A168F">
      <w:pPr>
        <w:pStyle w:val="28"/>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582" w:name="_Toc419045107"/>
      <w:bookmarkStart w:id="583" w:name="_Toc422322532"/>
      <w:r>
        <w:rPr>
          <w:rFonts w:hint="eastAsia" w:ascii="宋体" w:hAnsi="宋体" w:eastAsia="宋体" w:cs="宋体"/>
          <w:sz w:val="24"/>
          <w:szCs w:val="24"/>
          <w:highlight w:val="none"/>
        </w:rPr>
        <w:t>3.咨询人的义务</w:t>
      </w:r>
      <w:bookmarkEnd w:id="582"/>
      <w:bookmarkEnd w:id="583"/>
    </w:p>
    <w:p w14:paraId="791EAC01">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84" w:name="_Toc419045109"/>
      <w:bookmarkStart w:id="585" w:name="_Toc422322533"/>
      <w:r>
        <w:rPr>
          <w:rFonts w:hint="eastAsia" w:ascii="宋体" w:hAnsi="宋体" w:eastAsia="宋体" w:cs="宋体"/>
          <w:b w:val="0"/>
          <w:sz w:val="24"/>
          <w:szCs w:val="24"/>
          <w:highlight w:val="none"/>
        </w:rPr>
        <w:t>3.1项目咨询团队及人员</w:t>
      </w:r>
      <w:bookmarkEnd w:id="584"/>
      <w:bookmarkEnd w:id="585"/>
    </w:p>
    <w:p w14:paraId="06E850C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3.1.1项目咨询团队的主要人员应具有_</w:t>
      </w:r>
      <w:r>
        <w:rPr>
          <w:rFonts w:hint="eastAsia" w:ascii="宋体" w:hAnsi="宋体" w:eastAsia="宋体" w:cs="宋体"/>
          <w:sz w:val="24"/>
          <w:szCs w:val="24"/>
          <w:highlight w:val="none"/>
          <w:u w:val="single"/>
        </w:rPr>
        <w:t>注册</w:t>
      </w:r>
      <w:r>
        <w:rPr>
          <w:rFonts w:hint="eastAsia" w:ascii="宋体" w:hAnsi="宋体" w:eastAsia="宋体" w:cs="宋体"/>
          <w:sz w:val="24"/>
          <w:szCs w:val="24"/>
          <w:highlight w:val="none"/>
          <w:u w:val="single"/>
          <w:lang w:val="en-US" w:eastAsia="zh-CN"/>
        </w:rPr>
        <w:t>二级</w:t>
      </w:r>
      <w:r>
        <w:rPr>
          <w:rFonts w:hint="eastAsia" w:ascii="宋体" w:hAnsi="宋体" w:eastAsia="宋体" w:cs="宋体"/>
          <w:sz w:val="24"/>
          <w:szCs w:val="24"/>
          <w:highlight w:val="none"/>
          <w:u w:val="single"/>
        </w:rPr>
        <w:t>造价工程师及以</w:t>
      </w:r>
      <w:r>
        <w:rPr>
          <w:rFonts w:hint="eastAsia" w:ascii="宋体" w:hAnsi="宋体" w:eastAsia="宋体" w:cs="宋体"/>
          <w:sz w:val="24"/>
          <w:szCs w:val="24"/>
          <w:highlight w:val="none"/>
        </w:rPr>
        <w:t>上资格条件，团队人员的数量为6人以上。</w:t>
      </w:r>
    </w:p>
    <w:p w14:paraId="17507CC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3.1.2项目负责人为：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，项目负责人为履行本合同的权限为：</w:t>
      </w:r>
      <w:r>
        <w:rPr>
          <w:rFonts w:hint="eastAsia" w:ascii="宋体" w:hAnsi="宋体" w:eastAsia="宋体" w:cs="宋体"/>
          <w:sz w:val="24"/>
          <w:szCs w:val="24"/>
          <w:highlight w:val="none"/>
          <w:u w:val="single"/>
        </w:rPr>
        <w:t xml:space="preserve">出具工程概算编制、工程量清单编制、招标控制价编制、工程预算编制、工程结算审查、工程全过程造价咨询、其他建设项目及修缮、零星维修工程造价咨询服务等报告  </w:t>
      </w:r>
      <w:r>
        <w:rPr>
          <w:rFonts w:hint="eastAsia" w:ascii="宋体" w:hAnsi="宋体" w:eastAsia="宋体" w:cs="宋体"/>
          <w:sz w:val="24"/>
          <w:szCs w:val="24"/>
          <w:highlight w:val="none"/>
        </w:rPr>
        <w:t>。</w:t>
      </w:r>
    </w:p>
    <w:p w14:paraId="4640B902">
      <w:pPr>
        <w:pStyle w:val="7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3.1.3咨询人更换项目咨询团队其他咨询人员的约定：</w:t>
      </w:r>
      <w:r>
        <w:rPr>
          <w:rFonts w:hint="eastAsia" w:ascii="宋体" w:hAnsi="宋体" w:eastAsia="宋体" w:cs="宋体"/>
          <w:sz w:val="24"/>
          <w:szCs w:val="24"/>
          <w:highlight w:val="none"/>
          <w:u w:val="single"/>
        </w:rPr>
        <w:t xml:space="preserve">原则上不允许更换，如有特殊情形，咨询人应以书面形式向委托人提出请示，经委托人书面同意后方可更换；如咨询人擅自更换，向委托人支付叁万元违约金 </w:t>
      </w:r>
      <w:r>
        <w:rPr>
          <w:rFonts w:hint="eastAsia" w:ascii="宋体" w:hAnsi="宋体" w:eastAsia="宋体" w:cs="宋体"/>
          <w:sz w:val="24"/>
          <w:szCs w:val="24"/>
          <w:highlight w:val="none"/>
        </w:rPr>
        <w:t>。</w:t>
      </w:r>
    </w:p>
    <w:p w14:paraId="4EC9B02A">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3.1.4委托人要求更换咨询人员的情形还包括：</w:t>
      </w:r>
      <w:r>
        <w:rPr>
          <w:rFonts w:hint="eastAsia" w:ascii="宋体" w:hAnsi="宋体" w:eastAsia="宋体" w:cs="宋体"/>
          <w:sz w:val="24"/>
          <w:szCs w:val="24"/>
          <w:highlight w:val="none"/>
          <w:u w:val="single"/>
        </w:rPr>
        <w:t>与该项目相关方存在利害关系必须回避的以及委托人认为咨询人员在履行职责中存在其他不当行为的，咨询人应予以更换。</w:t>
      </w:r>
    </w:p>
    <w:p w14:paraId="6DE610AB">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86" w:name="_Toc422322534"/>
      <w:bookmarkStart w:id="587" w:name="_Toc419045110"/>
      <w:r>
        <w:rPr>
          <w:rFonts w:hint="eastAsia" w:ascii="宋体" w:hAnsi="宋体" w:eastAsia="宋体" w:cs="宋体"/>
          <w:b w:val="0"/>
          <w:sz w:val="24"/>
          <w:szCs w:val="24"/>
          <w:highlight w:val="none"/>
        </w:rPr>
        <w:t>3.2咨询人的工作要求</w:t>
      </w:r>
      <w:bookmarkEnd w:id="586"/>
      <w:bookmarkEnd w:id="587"/>
    </w:p>
    <w:p w14:paraId="66C86A97">
      <w:pPr>
        <w:pageBreakBefore w:val="0"/>
        <w:kinsoku/>
        <w:wordWrap/>
        <w:overflowPunct/>
        <w:topLinePunct w:val="0"/>
        <w:autoSpaceDE/>
        <w:autoSpaceDN/>
        <w:bidi w:val="0"/>
        <w:adjustRightInd/>
        <w:snapToGrid/>
        <w:spacing w:line="560" w:lineRule="exact"/>
        <w:ind w:left="48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3.2.1咨询人向委托人提供有关资料的时间：</w:t>
      </w:r>
      <w:r>
        <w:rPr>
          <w:rFonts w:hint="eastAsia" w:ascii="宋体" w:hAnsi="宋体" w:eastAsia="宋体" w:cs="宋体"/>
          <w:sz w:val="24"/>
          <w:szCs w:val="24"/>
          <w:highlight w:val="none"/>
          <w:u w:val="single"/>
        </w:rPr>
        <w:t>_委托人发出通知后5日</w:t>
      </w:r>
    </w:p>
    <w:p w14:paraId="4CB6FA2E">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内 </w:t>
      </w:r>
      <w:r>
        <w:rPr>
          <w:rFonts w:hint="eastAsia" w:ascii="宋体" w:hAnsi="宋体" w:eastAsia="宋体" w:cs="宋体"/>
          <w:sz w:val="24"/>
          <w:szCs w:val="24"/>
          <w:highlight w:val="none"/>
        </w:rPr>
        <w:t>。咨询人向委托人提供的资料还包括：</w:t>
      </w:r>
      <w:r>
        <w:rPr>
          <w:rFonts w:hint="eastAsia" w:ascii="宋体" w:hAnsi="宋体" w:eastAsia="宋体" w:cs="宋体"/>
          <w:sz w:val="24"/>
          <w:szCs w:val="24"/>
          <w:highlight w:val="none"/>
          <w:u w:val="single"/>
        </w:rPr>
        <w:t xml:space="preserve">委托人认为必要的合理合情的其他内容  </w:t>
      </w:r>
      <w:r>
        <w:rPr>
          <w:rFonts w:hint="eastAsia" w:ascii="宋体" w:hAnsi="宋体" w:eastAsia="宋体" w:cs="宋体"/>
          <w:sz w:val="24"/>
          <w:szCs w:val="24"/>
          <w:highlight w:val="none"/>
        </w:rPr>
        <w:t>。</w:t>
      </w:r>
    </w:p>
    <w:p w14:paraId="6D4601F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3.2.2咨询人向委托人提供咨询成果文件的名称、组成、时间、份数及质量标准：满足</w:t>
      </w:r>
      <w:r>
        <w:rPr>
          <w:rFonts w:hint="eastAsia" w:ascii="宋体" w:hAnsi="宋体" w:eastAsia="宋体" w:cs="宋体"/>
          <w:sz w:val="24"/>
          <w:szCs w:val="24"/>
          <w:highlight w:val="none"/>
          <w:u w:val="single"/>
        </w:rPr>
        <w:t>国家、新疆维吾尔自治区及项目所在地相关部门的规定、委托单位相关管理办法的要求</w:t>
      </w:r>
      <w:r>
        <w:rPr>
          <w:rFonts w:hint="eastAsia" w:ascii="宋体" w:hAnsi="宋体" w:eastAsia="宋体" w:cs="宋体"/>
          <w:sz w:val="24"/>
          <w:szCs w:val="24"/>
          <w:highlight w:val="none"/>
        </w:rPr>
        <w:t>。详见附录B。</w:t>
      </w:r>
    </w:p>
    <w:p w14:paraId="13C8CCD4">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3.2.4咨询人应在收到委托人以书面形式提出的建议或者异议后__叁___日内给予书面答复。</w:t>
      </w:r>
    </w:p>
    <w:p w14:paraId="7157DA96">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88" w:name="_Toc422322535"/>
      <w:bookmarkStart w:id="589" w:name="_Toc419045111"/>
      <w:r>
        <w:rPr>
          <w:rFonts w:hint="eastAsia" w:ascii="宋体" w:hAnsi="宋体" w:eastAsia="宋体" w:cs="宋体"/>
          <w:b w:val="0"/>
          <w:sz w:val="24"/>
          <w:szCs w:val="24"/>
          <w:highlight w:val="none"/>
        </w:rPr>
        <w:t>3.3咨询人的工作依据</w:t>
      </w:r>
      <w:bookmarkEnd w:id="588"/>
      <w:bookmarkEnd w:id="589"/>
    </w:p>
    <w:p w14:paraId="7CAD93CF">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经双方协商，本合同约定的造价咨询服务适用的技术标准、规范、定额等工作依据为：</w:t>
      </w:r>
      <w:r>
        <w:rPr>
          <w:rFonts w:hint="eastAsia" w:ascii="宋体" w:hAnsi="宋体" w:eastAsia="宋体" w:cs="宋体"/>
          <w:sz w:val="24"/>
          <w:szCs w:val="24"/>
          <w:highlight w:val="none"/>
          <w:u w:val="single"/>
        </w:rPr>
        <w:t>2013《建设工程工程量清单计价规范》、2010《新疆维吾尔自治区建筑工程消耗量定额》等现行定额，相关调差费用文件，现行主管部发布的关于材料价的相关文件及新疆维吾尔自治区、市造价站有关的规章与制度等_</w:t>
      </w:r>
      <w:r>
        <w:rPr>
          <w:rFonts w:hint="eastAsia" w:ascii="宋体" w:hAnsi="宋体" w:eastAsia="宋体" w:cs="宋体"/>
          <w:sz w:val="24"/>
          <w:szCs w:val="24"/>
          <w:highlight w:val="none"/>
        </w:rPr>
        <w:t>。</w:t>
      </w:r>
    </w:p>
    <w:p w14:paraId="01CE12B8">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590" w:name="_Toc422322536"/>
      <w:bookmarkStart w:id="591" w:name="_Toc419045112"/>
      <w:r>
        <w:rPr>
          <w:rFonts w:hint="eastAsia" w:ascii="宋体" w:hAnsi="宋体" w:eastAsia="宋体" w:cs="宋体"/>
          <w:b w:val="0"/>
          <w:sz w:val="24"/>
          <w:szCs w:val="24"/>
          <w:highlight w:val="none"/>
        </w:rPr>
        <w:t>3.4使用委托人房屋及设备的返还</w:t>
      </w:r>
      <w:bookmarkEnd w:id="590"/>
      <w:bookmarkEnd w:id="591"/>
    </w:p>
    <w:p w14:paraId="47126F4F">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咨询人应在本合同终止后__</w:t>
      </w:r>
      <w:r>
        <w:rPr>
          <w:rFonts w:hint="eastAsia" w:ascii="宋体" w:hAnsi="宋体" w:eastAsia="宋体" w:cs="宋体"/>
          <w:sz w:val="24"/>
          <w:szCs w:val="24"/>
          <w:highlight w:val="none"/>
          <w:u w:val="none"/>
        </w:rPr>
        <w:t>7</w:t>
      </w:r>
      <w:r>
        <w:rPr>
          <w:rFonts w:hint="eastAsia" w:ascii="宋体" w:hAnsi="宋体" w:eastAsia="宋体" w:cs="宋体"/>
          <w:sz w:val="24"/>
          <w:szCs w:val="24"/>
          <w:highlight w:val="none"/>
        </w:rPr>
        <w:t>_日内移交委托人提供的房屋及设备，移交的方式为</w:t>
      </w:r>
      <w:r>
        <w:rPr>
          <w:rFonts w:hint="eastAsia" w:ascii="宋体" w:hAnsi="宋体" w:eastAsia="宋体" w:cs="宋体"/>
          <w:sz w:val="24"/>
          <w:szCs w:val="24"/>
          <w:highlight w:val="none"/>
          <w:u w:val="single"/>
        </w:rPr>
        <w:t>双方现场进行清点、签字确认。</w:t>
      </w:r>
    </w:p>
    <w:p w14:paraId="70A43832">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咨询人的义务还包括：</w:t>
      </w:r>
    </w:p>
    <w:p w14:paraId="544896B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1、保证编制各类造价咨询成果文件的准确性、合理性及严谨性。</w:t>
      </w:r>
    </w:p>
    <w:p w14:paraId="57078899">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2、对咨询人到工地现场执行工作人员的人身财产安全负全责。</w:t>
      </w:r>
    </w:p>
    <w:p w14:paraId="54E165FA">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咨询人在提供服务过程中向第三方发出的与本工程有关的任何文件、资料、说明、澄清或其他任何涉及委托人权利义务的文件资料，必须事先通过委托人审核和确认。委托人审核、确认并不减免咨询人在本合同项下任何义务和责任。</w:t>
      </w:r>
    </w:p>
    <w:p w14:paraId="1AADA85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4、咨询人在本合同执行过程中,非经委托人书面许可不得以委托人的名义对外作出任何承诺或者代表委托人对外执行任何事务。咨询人违反此规定导致的一切责任全部由咨询人负责承担。</w:t>
      </w:r>
    </w:p>
    <w:p w14:paraId="6EB6DF62">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5、由于咨询人的错误给委托人造成经济损失的，咨询人有责任赔偿委托人因错误部分而发生的经济损失。</w:t>
      </w:r>
    </w:p>
    <w:p w14:paraId="75EA1E9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6、咨询人应保护委托人免于因咨询人执行本合同而引起的在专利、经注册设计以及其他知识产权方面针对委托人的第三者主张权利或索赔，如出现前述情况，由咨询人负责解决并承担一切赔偿责任。</w:t>
      </w:r>
    </w:p>
    <w:p w14:paraId="35D0855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7、为了更好的编制工程量清单和招标控制价，咨询人有义务参与招标文件的编制的全过程。</w:t>
      </w:r>
    </w:p>
    <w:p w14:paraId="10956F2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8、为了更好的编制工程量清单和招标控制价，咨询人有义务对其他咨询人编制的工程量清单和招标控制价进行复核或与其他咨询人同时编制工程量清单和招标控制价。</w:t>
      </w:r>
    </w:p>
    <w:p w14:paraId="73D0CC5F">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9、咨询人有义务根据实际情况对可研估算、初设概算等内容进行分析比较，并向委托人提出造价控制的合理建议。</w:t>
      </w:r>
    </w:p>
    <w:p w14:paraId="0584D992">
      <w:pPr>
        <w:pStyle w:val="28"/>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592" w:name="_Toc419045113"/>
      <w:bookmarkStart w:id="593" w:name="_Toc422322537"/>
      <w:r>
        <w:rPr>
          <w:rFonts w:hint="eastAsia" w:ascii="宋体" w:hAnsi="宋体" w:eastAsia="宋体" w:cs="宋体"/>
          <w:sz w:val="24"/>
          <w:szCs w:val="24"/>
          <w:highlight w:val="none"/>
        </w:rPr>
        <w:t>4. 违约责任</w:t>
      </w:r>
      <w:bookmarkEnd w:id="592"/>
      <w:bookmarkEnd w:id="593"/>
    </w:p>
    <w:p w14:paraId="1CDAE6E5">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sz w:val="24"/>
          <w:szCs w:val="24"/>
          <w:highlight w:val="none"/>
        </w:rPr>
      </w:pPr>
      <w:bookmarkStart w:id="594" w:name="_Toc422322538"/>
      <w:r>
        <w:rPr>
          <w:rStyle w:val="73"/>
          <w:rFonts w:hint="eastAsia" w:ascii="宋体" w:hAnsi="宋体" w:eastAsia="宋体" w:cs="宋体"/>
          <w:b w:val="0"/>
          <w:bCs w:val="0"/>
          <w:sz w:val="24"/>
          <w:szCs w:val="24"/>
          <w:highlight w:val="none"/>
        </w:rPr>
        <w:t>4.1委托人的违约责任</w:t>
      </w:r>
      <w:bookmarkEnd w:id="594"/>
    </w:p>
    <w:p w14:paraId="70B011CA">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4.1.1委托人违约金的计算及支付方法：</w:t>
      </w:r>
      <w:r>
        <w:rPr>
          <w:rFonts w:hint="eastAsia" w:ascii="宋体" w:hAnsi="宋体" w:eastAsia="宋体" w:cs="宋体"/>
          <w:sz w:val="24"/>
          <w:szCs w:val="24"/>
          <w:highlight w:val="none"/>
          <w:lang w:val="en-US" w:eastAsia="zh-CN"/>
        </w:rPr>
        <w:t>/。</w:t>
      </w:r>
    </w:p>
    <w:p w14:paraId="42E451CD">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4.1.2委托人赔偿金额按下列方法确定并支付：</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5B344789">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4.1.3 委托人逾期付款利息按下列方法计算并支付：</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w:t>
      </w:r>
    </w:p>
    <w:p w14:paraId="1D0A2617">
      <w:pPr>
        <w:pStyle w:val="22"/>
        <w:pageBreakBefore w:val="0"/>
        <w:kinsoku/>
        <w:wordWrap/>
        <w:overflowPunct/>
        <w:topLinePunct w:val="0"/>
        <w:autoSpaceDE/>
        <w:autoSpaceDN/>
        <w:bidi w:val="0"/>
        <w:adjustRightInd/>
        <w:snapToGrid/>
        <w:spacing w:before="0" w:after="0" w:line="560" w:lineRule="exact"/>
        <w:ind w:firstLine="480" w:firstLineChars="200"/>
        <w:jc w:val="left"/>
        <w:textAlignment w:val="auto"/>
        <w:outlineLvl w:val="9"/>
        <w:rPr>
          <w:rFonts w:hint="eastAsia" w:ascii="宋体" w:hAnsi="宋体" w:eastAsia="宋体" w:cs="宋体"/>
          <w:b w:val="0"/>
          <w:sz w:val="24"/>
          <w:szCs w:val="24"/>
          <w:highlight w:val="none"/>
        </w:rPr>
      </w:pPr>
      <w:bookmarkStart w:id="595" w:name="_Toc422322539"/>
      <w:bookmarkStart w:id="596" w:name="_Toc419045114"/>
      <w:r>
        <w:rPr>
          <w:rFonts w:hint="eastAsia" w:ascii="宋体" w:hAnsi="宋体" w:eastAsia="宋体" w:cs="宋体"/>
          <w:b w:val="0"/>
          <w:sz w:val="24"/>
          <w:szCs w:val="24"/>
          <w:highlight w:val="none"/>
        </w:rPr>
        <w:t>4.2咨询人的违约责任</w:t>
      </w:r>
      <w:bookmarkEnd w:id="595"/>
    </w:p>
    <w:bookmarkEnd w:id="596"/>
    <w:p w14:paraId="44F27121">
      <w:pPr>
        <w:pageBreakBefore w:val="0"/>
        <w:kinsoku/>
        <w:wordWrap/>
        <w:overflowPunct/>
        <w:topLinePunct w:val="0"/>
        <w:autoSpaceDE/>
        <w:autoSpaceDN/>
        <w:bidi w:val="0"/>
        <w:adjustRightInd/>
        <w:snapToGrid/>
        <w:spacing w:line="560" w:lineRule="exact"/>
        <w:ind w:firstLine="439" w:firstLineChars="183"/>
        <w:textAlignment w:val="auto"/>
        <w:rPr>
          <w:rFonts w:hint="eastAsia" w:ascii="宋体" w:hAnsi="宋体" w:eastAsia="宋体" w:cs="宋体"/>
          <w:sz w:val="24"/>
          <w:szCs w:val="24"/>
          <w:highlight w:val="none"/>
        </w:rPr>
      </w:pPr>
      <w:bookmarkStart w:id="597" w:name="_Toc419045115"/>
      <w:bookmarkStart w:id="598" w:name="_Toc422322540"/>
      <w:r>
        <w:rPr>
          <w:rFonts w:hint="eastAsia" w:ascii="宋体" w:hAnsi="宋体" w:eastAsia="宋体" w:cs="宋体"/>
          <w:sz w:val="24"/>
          <w:szCs w:val="24"/>
          <w:highlight w:val="none"/>
        </w:rPr>
        <w:t>4.2.1.1咨询人提供的服务或服务结果不符合国家法律法规和本合同书的约定的，咨询人应负责无偿采取补救措施，以达到质量要求。</w:t>
      </w:r>
    </w:p>
    <w:p w14:paraId="1E5D7F94">
      <w:pPr>
        <w:pageBreakBefore w:val="0"/>
        <w:kinsoku/>
        <w:wordWrap/>
        <w:overflowPunct/>
        <w:topLinePunct w:val="0"/>
        <w:autoSpaceDE/>
        <w:autoSpaceDN/>
        <w:bidi w:val="0"/>
        <w:adjustRightInd/>
        <w:snapToGrid/>
        <w:spacing w:line="560" w:lineRule="exact"/>
        <w:ind w:firstLine="439" w:firstLineChars="1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咨询人因服务或服务结果质量不符合本约定书约定的要求给委托人造成损失时，咨询人应对因此造成的损失负全责，</w:t>
      </w:r>
      <w:r>
        <w:rPr>
          <w:rFonts w:hint="eastAsia" w:ascii="宋体" w:hAnsi="宋体" w:eastAsia="宋体" w:cs="宋体"/>
          <w:sz w:val="24"/>
          <w:szCs w:val="24"/>
          <w:highlight w:val="none"/>
          <w:lang w:eastAsia="zh-CN"/>
        </w:rPr>
        <w:t>委托人</w:t>
      </w:r>
      <w:r>
        <w:rPr>
          <w:rFonts w:hint="eastAsia" w:ascii="宋体" w:hAnsi="宋体" w:eastAsia="宋体" w:cs="宋体"/>
          <w:sz w:val="24"/>
          <w:szCs w:val="24"/>
          <w:highlight w:val="none"/>
        </w:rPr>
        <w:t>按实际经济损失乘30%计算直接从合同款中扣除，不设上限，且不足部分</w:t>
      </w:r>
      <w:r>
        <w:rPr>
          <w:rFonts w:hint="eastAsia" w:ascii="宋体" w:hAnsi="宋体" w:eastAsia="宋体" w:cs="宋体"/>
          <w:sz w:val="24"/>
          <w:szCs w:val="24"/>
          <w:highlight w:val="none"/>
          <w:lang w:eastAsia="zh-CN"/>
        </w:rPr>
        <w:t>委托人</w:t>
      </w:r>
      <w:r>
        <w:rPr>
          <w:rFonts w:hint="eastAsia" w:ascii="宋体" w:hAnsi="宋体" w:eastAsia="宋体" w:cs="宋体"/>
          <w:sz w:val="24"/>
          <w:szCs w:val="24"/>
          <w:highlight w:val="none"/>
        </w:rPr>
        <w:t>将保留追偿权并单方面终止合同。</w:t>
      </w:r>
    </w:p>
    <w:bookmarkEnd w:id="597"/>
    <w:bookmarkEnd w:id="598"/>
    <w:p w14:paraId="0264E141">
      <w:pPr>
        <w:pStyle w:val="12"/>
        <w:keepNext w:val="0"/>
        <w:keepLines w:val="0"/>
        <w:pageBreakBefore w:val="0"/>
        <w:widowControl/>
        <w:numPr>
          <w:ilvl w:val="0"/>
          <w:numId w:val="0"/>
        </w:numPr>
        <w:kinsoku/>
        <w:wordWrap/>
        <w:overflowPunct/>
        <w:topLinePunct w:val="0"/>
        <w:autoSpaceDE/>
        <w:autoSpaceDN/>
        <w:bidi w:val="0"/>
        <w:adjustRightInd/>
        <w:snapToGrid/>
        <w:spacing w:before="181" w:line="500" w:lineRule="exact"/>
        <w:ind w:left="508" w:leftChars="0"/>
        <w:textAlignment w:val="auto"/>
        <w:outlineLvl w:val="1"/>
        <w:rPr>
          <w:rFonts w:hint="eastAsia" w:ascii="宋体" w:hAnsi="宋体" w:eastAsia="宋体" w:cs="宋体"/>
          <w:b/>
          <w:bCs/>
          <w:spacing w:val="-7"/>
          <w:sz w:val="24"/>
          <w:szCs w:val="24"/>
          <w:highlight w:val="none"/>
        </w:rPr>
      </w:pPr>
      <w:bookmarkStart w:id="599" w:name="_Toc419045119"/>
      <w:bookmarkStart w:id="600" w:name="_Toc422322544"/>
      <w:r>
        <w:rPr>
          <w:rFonts w:hint="eastAsia" w:ascii="宋体" w:hAnsi="宋体" w:eastAsia="宋体" w:cs="宋体"/>
          <w:b/>
          <w:bCs/>
          <w:spacing w:val="-7"/>
          <w:sz w:val="24"/>
          <w:szCs w:val="24"/>
          <w:highlight w:val="none"/>
          <w:lang w:val="en-US" w:eastAsia="en-US" w:bidi="ar-SA"/>
        </w:rPr>
        <w:t>5.</w:t>
      </w:r>
      <w:r>
        <w:rPr>
          <w:rFonts w:hint="eastAsia" w:ascii="宋体" w:hAnsi="宋体" w:eastAsia="宋体" w:cs="宋体"/>
          <w:b/>
          <w:bCs/>
          <w:spacing w:val="-7"/>
          <w:sz w:val="24"/>
          <w:szCs w:val="24"/>
          <w:highlight w:val="none"/>
        </w:rPr>
        <w:t>支付</w:t>
      </w:r>
      <w:bookmarkStart w:id="601" w:name="bookmark156"/>
      <w:bookmarkEnd w:id="601"/>
    </w:p>
    <w:p w14:paraId="30C19DC4">
      <w:pPr>
        <w:pStyle w:val="12"/>
        <w:keepNext w:val="0"/>
        <w:keepLines w:val="0"/>
        <w:pageBreakBefore w:val="0"/>
        <w:widowControl/>
        <w:numPr>
          <w:ilvl w:val="0"/>
          <w:numId w:val="0"/>
        </w:numPr>
        <w:kinsoku/>
        <w:wordWrap/>
        <w:overflowPunct/>
        <w:topLinePunct w:val="0"/>
        <w:autoSpaceDE/>
        <w:autoSpaceDN/>
        <w:bidi w:val="0"/>
        <w:adjustRightInd/>
        <w:snapToGrid/>
        <w:spacing w:before="181" w:line="500" w:lineRule="exact"/>
        <w:ind w:left="508" w:leftChars="0"/>
        <w:textAlignment w:val="auto"/>
        <w:outlineLvl w:val="1"/>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5.1</w:t>
      </w:r>
      <w:r>
        <w:rPr>
          <w:rFonts w:hint="eastAsia" w:ascii="宋体" w:hAnsi="宋体" w:eastAsia="宋体" w:cs="宋体"/>
          <w:spacing w:val="-45"/>
          <w:sz w:val="24"/>
          <w:szCs w:val="24"/>
          <w:highlight w:val="none"/>
        </w:rPr>
        <w:t xml:space="preserve"> </w:t>
      </w:r>
      <w:r>
        <w:rPr>
          <w:rFonts w:hint="eastAsia" w:ascii="宋体" w:hAnsi="宋体" w:eastAsia="宋体" w:cs="宋体"/>
          <w:spacing w:val="-4"/>
          <w:sz w:val="24"/>
          <w:szCs w:val="24"/>
          <w:highlight w:val="none"/>
        </w:rPr>
        <w:t>支付货币</w:t>
      </w:r>
    </w:p>
    <w:p w14:paraId="785E4ABA">
      <w:pPr>
        <w:pStyle w:val="12"/>
        <w:keepNext w:val="0"/>
        <w:keepLines w:val="0"/>
        <w:pageBreakBefore w:val="0"/>
        <w:widowControl/>
        <w:kinsoku/>
        <w:wordWrap/>
        <w:overflowPunct/>
        <w:topLinePunct w:val="0"/>
        <w:autoSpaceDE/>
        <w:autoSpaceDN/>
        <w:bidi w:val="0"/>
        <w:adjustRightInd/>
        <w:snapToGrid/>
        <w:spacing w:before="183" w:line="500" w:lineRule="exact"/>
        <w:ind w:left="508"/>
        <w:textAlignment w:val="auto"/>
        <w:outlineLvl w:val="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币种为</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rPr>
        <w:t>汇率为</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rPr>
        <w:t>其他约定：</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2"/>
          <w:sz w:val="24"/>
          <w:szCs w:val="24"/>
          <w:highlight w:val="none"/>
        </w:rPr>
        <w:t>。</w:t>
      </w:r>
      <w:bookmarkStart w:id="602" w:name="bookmark157"/>
      <w:bookmarkEnd w:id="602"/>
      <w:r>
        <w:rPr>
          <w:rFonts w:hint="eastAsia" w:ascii="宋体" w:hAnsi="宋体" w:eastAsia="宋体" w:cs="宋体"/>
          <w:spacing w:val="-2"/>
          <w:sz w:val="24"/>
          <w:szCs w:val="24"/>
          <w:highlight w:val="none"/>
        </w:rPr>
        <w:t>5.2 支付申请</w:t>
      </w:r>
    </w:p>
    <w:p w14:paraId="3EDF304F">
      <w:pPr>
        <w:pStyle w:val="12"/>
        <w:keepNext w:val="0"/>
        <w:keepLines w:val="0"/>
        <w:pageBreakBefore w:val="0"/>
        <w:widowControl/>
        <w:kinsoku/>
        <w:wordWrap/>
        <w:overflowPunct/>
        <w:topLinePunct w:val="0"/>
        <w:autoSpaceDE/>
        <w:autoSpaceDN/>
        <w:bidi w:val="0"/>
        <w:adjustRightInd/>
        <w:snapToGrid/>
        <w:spacing w:before="78" w:line="500" w:lineRule="exact"/>
        <w:ind w:left="21" w:right="69" w:firstLine="494"/>
        <w:textAlignment w:val="auto"/>
        <w:rPr>
          <w:rFonts w:hint="eastAsia" w:ascii="宋体" w:hAnsi="宋体" w:eastAsia="宋体" w:cs="宋体"/>
          <w:sz w:val="24"/>
          <w:szCs w:val="24"/>
          <w:highlight w:val="none"/>
        </w:rPr>
      </w:pPr>
      <w:bookmarkStart w:id="603" w:name="bookmark76"/>
      <w:bookmarkEnd w:id="603"/>
      <w:bookmarkStart w:id="604" w:name="bookmark78"/>
      <w:bookmarkEnd w:id="604"/>
      <w:bookmarkStart w:id="605" w:name="bookmark79"/>
      <w:bookmarkEnd w:id="605"/>
      <w:bookmarkStart w:id="606" w:name="bookmark77"/>
      <w:bookmarkEnd w:id="606"/>
      <w:bookmarkStart w:id="607" w:name="bookmark75"/>
      <w:bookmarkEnd w:id="607"/>
      <w:bookmarkStart w:id="608" w:name="bookmark73"/>
      <w:bookmarkEnd w:id="608"/>
      <w:bookmarkStart w:id="609" w:name="bookmark74"/>
      <w:bookmarkEnd w:id="609"/>
      <w:bookmarkStart w:id="610" w:name="bookmark80"/>
      <w:bookmarkEnd w:id="610"/>
      <w:bookmarkStart w:id="611" w:name="bookmark81"/>
      <w:bookmarkEnd w:id="611"/>
      <w:r>
        <w:rPr>
          <w:rFonts w:hint="eastAsia" w:ascii="宋体" w:hAnsi="宋体" w:eastAsia="宋体" w:cs="宋体"/>
          <w:spacing w:val="-3"/>
          <w:sz w:val="24"/>
          <w:szCs w:val="24"/>
          <w:highlight w:val="none"/>
        </w:rPr>
        <w:t>咨询人应在本合同约定的每次应付款日期</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67"/>
          <w:sz w:val="24"/>
          <w:szCs w:val="24"/>
          <w:highlight w:val="none"/>
        </w:rPr>
        <w:t xml:space="preserve"> </w:t>
      </w:r>
      <w:r>
        <w:rPr>
          <w:rFonts w:hint="eastAsia" w:ascii="宋体" w:hAnsi="宋体" w:eastAsia="宋体" w:cs="宋体"/>
          <w:spacing w:val="-3"/>
          <w:sz w:val="24"/>
          <w:szCs w:val="24"/>
          <w:highlight w:val="none"/>
        </w:rPr>
        <w:t>日前，向委托人提交支付申</w:t>
      </w:r>
      <w:r>
        <w:rPr>
          <w:rFonts w:hint="eastAsia" w:ascii="宋体" w:hAnsi="宋体" w:eastAsia="宋体" w:cs="宋体"/>
          <w:spacing w:val="-10"/>
          <w:sz w:val="24"/>
          <w:szCs w:val="24"/>
          <w:highlight w:val="none"/>
        </w:rPr>
        <w:t>请书。</w:t>
      </w:r>
    </w:p>
    <w:p w14:paraId="5A46E09D">
      <w:pPr>
        <w:pStyle w:val="12"/>
        <w:keepNext w:val="0"/>
        <w:keepLines w:val="0"/>
        <w:pageBreakBefore w:val="0"/>
        <w:widowControl/>
        <w:kinsoku/>
        <w:wordWrap/>
        <w:overflowPunct/>
        <w:topLinePunct w:val="0"/>
        <w:autoSpaceDE/>
        <w:autoSpaceDN/>
        <w:bidi w:val="0"/>
        <w:adjustRightInd/>
        <w:snapToGrid/>
        <w:spacing w:line="500" w:lineRule="exact"/>
        <w:ind w:left="508"/>
        <w:textAlignment w:val="auto"/>
        <w:outlineLvl w:val="2"/>
        <w:rPr>
          <w:rFonts w:hint="eastAsia" w:ascii="宋体" w:hAnsi="宋体" w:eastAsia="宋体" w:cs="宋体"/>
          <w:spacing w:val="-4"/>
          <w:sz w:val="24"/>
          <w:szCs w:val="24"/>
          <w:highlight w:val="none"/>
        </w:rPr>
      </w:pPr>
      <w:bookmarkStart w:id="612" w:name="bookmark158"/>
      <w:bookmarkEnd w:id="612"/>
      <w:r>
        <w:rPr>
          <w:rFonts w:hint="eastAsia" w:ascii="宋体" w:hAnsi="宋体" w:eastAsia="宋体" w:cs="宋体"/>
          <w:spacing w:val="-4"/>
          <w:sz w:val="24"/>
          <w:szCs w:val="24"/>
          <w:highlight w:val="none"/>
        </w:rPr>
        <w:t>5.3</w:t>
      </w:r>
      <w:r>
        <w:rPr>
          <w:rFonts w:hint="eastAsia" w:ascii="宋体" w:hAnsi="宋体" w:eastAsia="宋体" w:cs="宋体"/>
          <w:spacing w:val="-45"/>
          <w:sz w:val="24"/>
          <w:szCs w:val="24"/>
          <w:highlight w:val="none"/>
        </w:rPr>
        <w:t xml:space="preserve"> </w:t>
      </w:r>
      <w:r>
        <w:rPr>
          <w:rFonts w:hint="eastAsia" w:ascii="宋体" w:hAnsi="宋体" w:eastAsia="宋体" w:cs="宋体"/>
          <w:spacing w:val="-4"/>
          <w:sz w:val="24"/>
          <w:szCs w:val="24"/>
          <w:highlight w:val="none"/>
        </w:rPr>
        <w:t>支付酬金</w:t>
      </w:r>
    </w:p>
    <w:p w14:paraId="09A95190">
      <w:pPr>
        <w:pStyle w:val="12"/>
        <w:keepNext w:val="0"/>
        <w:keepLines w:val="0"/>
        <w:pageBreakBefore w:val="0"/>
        <w:widowControl/>
        <w:kinsoku/>
        <w:wordWrap/>
        <w:overflowPunct/>
        <w:topLinePunct w:val="0"/>
        <w:autoSpaceDE/>
        <w:autoSpaceDN/>
        <w:bidi w:val="0"/>
        <w:adjustRightInd/>
        <w:snapToGrid/>
        <w:spacing w:line="500" w:lineRule="exact"/>
        <w:ind w:left="508"/>
        <w:textAlignment w:val="auto"/>
        <w:outlineLvl w:val="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正常工作酬金的支付：</w:t>
      </w:r>
    </w:p>
    <w:tbl>
      <w:tblPr>
        <w:tblStyle w:val="74"/>
        <w:tblW w:w="8159"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1"/>
        <w:gridCol w:w="1740"/>
        <w:gridCol w:w="2109"/>
        <w:gridCol w:w="2459"/>
      </w:tblGrid>
      <w:tr w14:paraId="14E1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851" w:type="dxa"/>
            <w:noWrap w:val="0"/>
            <w:vAlign w:val="top"/>
          </w:tcPr>
          <w:p w14:paraId="01211F57">
            <w:pPr>
              <w:pageBreakBefore w:val="0"/>
              <w:kinsoku/>
              <w:wordWrap/>
              <w:overflowPunct/>
              <w:topLinePunct w:val="0"/>
              <w:autoSpaceDE/>
              <w:autoSpaceDN/>
              <w:bidi w:val="0"/>
              <w:adjustRightInd/>
              <w:snapToGrid/>
              <w:spacing w:before="41" w:line="560" w:lineRule="exact"/>
              <w:ind w:left="45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支付次数</w:t>
            </w:r>
          </w:p>
        </w:tc>
        <w:tc>
          <w:tcPr>
            <w:tcW w:w="1740" w:type="dxa"/>
            <w:noWrap w:val="0"/>
            <w:vAlign w:val="top"/>
          </w:tcPr>
          <w:p w14:paraId="3A04092D">
            <w:pPr>
              <w:pageBreakBefore w:val="0"/>
              <w:kinsoku/>
              <w:wordWrap/>
              <w:overflowPunct/>
              <w:topLinePunct w:val="0"/>
              <w:autoSpaceDE/>
              <w:autoSpaceDN/>
              <w:bidi w:val="0"/>
              <w:adjustRightInd/>
              <w:snapToGrid/>
              <w:spacing w:before="41" w:line="560" w:lineRule="exact"/>
              <w:ind w:left="392"/>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支付时间</w:t>
            </w:r>
          </w:p>
        </w:tc>
        <w:tc>
          <w:tcPr>
            <w:tcW w:w="2109" w:type="dxa"/>
            <w:noWrap w:val="0"/>
            <w:vAlign w:val="top"/>
          </w:tcPr>
          <w:p w14:paraId="072B8D9E">
            <w:pPr>
              <w:pageBreakBefore w:val="0"/>
              <w:kinsoku/>
              <w:wordWrap/>
              <w:overflowPunct/>
              <w:topLinePunct w:val="0"/>
              <w:autoSpaceDE/>
              <w:autoSpaceDN/>
              <w:bidi w:val="0"/>
              <w:adjustRightInd/>
              <w:snapToGrid/>
              <w:spacing w:before="41" w:line="560" w:lineRule="exact"/>
              <w:ind w:left="57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支付比例</w:t>
            </w:r>
          </w:p>
        </w:tc>
        <w:tc>
          <w:tcPr>
            <w:tcW w:w="2459" w:type="dxa"/>
            <w:noWrap w:val="0"/>
            <w:vAlign w:val="top"/>
          </w:tcPr>
          <w:p w14:paraId="0133BA9F">
            <w:pPr>
              <w:pageBreakBefore w:val="0"/>
              <w:kinsoku/>
              <w:wordWrap/>
              <w:overflowPunct/>
              <w:topLinePunct w:val="0"/>
              <w:autoSpaceDE/>
              <w:autoSpaceDN/>
              <w:bidi w:val="0"/>
              <w:adjustRightInd/>
              <w:snapToGrid/>
              <w:spacing w:before="41" w:line="560" w:lineRule="exact"/>
              <w:ind w:left="2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支付金额（万元）</w:t>
            </w:r>
          </w:p>
        </w:tc>
      </w:tr>
      <w:tr w14:paraId="49027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51" w:type="dxa"/>
            <w:noWrap w:val="0"/>
            <w:vAlign w:val="top"/>
          </w:tcPr>
          <w:p w14:paraId="70D05BDF">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1740" w:type="dxa"/>
            <w:noWrap w:val="0"/>
            <w:vAlign w:val="top"/>
          </w:tcPr>
          <w:p w14:paraId="06A66A2C">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2109" w:type="dxa"/>
            <w:noWrap w:val="0"/>
            <w:vAlign w:val="top"/>
          </w:tcPr>
          <w:p w14:paraId="0BC97425">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2459" w:type="dxa"/>
            <w:noWrap w:val="0"/>
            <w:vAlign w:val="top"/>
          </w:tcPr>
          <w:p w14:paraId="6D9A275E">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r>
      <w:tr w14:paraId="0D6D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51" w:type="dxa"/>
            <w:noWrap w:val="0"/>
            <w:vAlign w:val="top"/>
          </w:tcPr>
          <w:p w14:paraId="754CEA15">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1740" w:type="dxa"/>
            <w:noWrap w:val="0"/>
            <w:vAlign w:val="top"/>
          </w:tcPr>
          <w:p w14:paraId="1BA561B7">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2109" w:type="dxa"/>
            <w:noWrap w:val="0"/>
            <w:vAlign w:val="top"/>
          </w:tcPr>
          <w:p w14:paraId="64FF13A8">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2459" w:type="dxa"/>
            <w:noWrap w:val="0"/>
            <w:vAlign w:val="top"/>
          </w:tcPr>
          <w:p w14:paraId="271F515B">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r>
      <w:tr w14:paraId="79549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851" w:type="dxa"/>
            <w:noWrap w:val="0"/>
            <w:vAlign w:val="top"/>
          </w:tcPr>
          <w:p w14:paraId="20AE090C">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1740" w:type="dxa"/>
            <w:noWrap w:val="0"/>
            <w:vAlign w:val="top"/>
          </w:tcPr>
          <w:p w14:paraId="3CDC7B0B">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2109" w:type="dxa"/>
            <w:noWrap w:val="0"/>
            <w:vAlign w:val="top"/>
          </w:tcPr>
          <w:p w14:paraId="5DFD1B7A">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c>
          <w:tcPr>
            <w:tcW w:w="2459" w:type="dxa"/>
            <w:noWrap w:val="0"/>
            <w:vAlign w:val="top"/>
          </w:tcPr>
          <w:p w14:paraId="3D0E2767">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p>
        </w:tc>
      </w:tr>
    </w:tbl>
    <w:p w14:paraId="4E10B216">
      <w:pPr>
        <w:pStyle w:val="28"/>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合同变更、解除与终止</w:t>
      </w:r>
      <w:bookmarkEnd w:id="599"/>
      <w:bookmarkEnd w:id="600"/>
    </w:p>
    <w:p w14:paraId="0311A510">
      <w:pPr>
        <w:pageBreakBefore w:val="0"/>
        <w:kinsoku/>
        <w:wordWrap/>
        <w:overflowPunct/>
        <w:topLinePunct w:val="0"/>
        <w:autoSpaceDE/>
        <w:autoSpaceDN/>
        <w:bidi w:val="0"/>
        <w:adjustRightInd/>
        <w:snapToGrid/>
        <w:spacing w:line="560" w:lineRule="exact"/>
        <w:ind w:firstLine="480" w:firstLineChars="200"/>
        <w:textAlignment w:val="auto"/>
        <w:rPr>
          <w:rStyle w:val="73"/>
          <w:rFonts w:hint="eastAsia" w:ascii="宋体" w:hAnsi="宋体" w:eastAsia="宋体" w:cs="宋体"/>
          <w:b w:val="0"/>
          <w:sz w:val="24"/>
          <w:szCs w:val="24"/>
          <w:highlight w:val="none"/>
        </w:rPr>
      </w:pPr>
      <w:bookmarkStart w:id="613" w:name="_Toc422322545"/>
      <w:bookmarkStart w:id="614" w:name="_Toc419045120"/>
      <w:r>
        <w:rPr>
          <w:rStyle w:val="73"/>
          <w:rFonts w:hint="eastAsia" w:ascii="宋体" w:hAnsi="宋体" w:eastAsia="宋体" w:cs="宋体"/>
          <w:b w:val="0"/>
          <w:sz w:val="24"/>
          <w:szCs w:val="24"/>
          <w:highlight w:val="none"/>
        </w:rPr>
        <w:t>6.1合同变更</w:t>
      </w:r>
      <w:bookmarkEnd w:id="613"/>
      <w:bookmarkEnd w:id="614"/>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6.1.2 除不可抗力外，因非咨询人原因导致本合同履行期限延长、内容增加时，附加工作酬金按下列方法确定：___</w:t>
      </w:r>
      <w:r>
        <w:rPr>
          <w:rFonts w:hint="eastAsia" w:ascii="宋体" w:hAnsi="宋体" w:eastAsia="宋体" w:cs="宋体"/>
          <w:sz w:val="24"/>
          <w:szCs w:val="24"/>
          <w:highlight w:val="none"/>
          <w:u w:val="none"/>
        </w:rPr>
        <w:t>___/____</w:t>
      </w:r>
      <w:r>
        <w:rPr>
          <w:rFonts w:hint="eastAsia" w:ascii="宋体" w:hAnsi="宋体" w:eastAsia="宋体" w:cs="宋体"/>
          <w:sz w:val="24"/>
          <w:szCs w:val="24"/>
          <w:highlight w:val="none"/>
        </w:rPr>
        <w:t xml:space="preserve">____。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6.1.4因工程规模、服务范围及内容的变化等导致咨询人的工作量增减时，服务酬金的调整方法：______</w:t>
      </w:r>
      <w:r>
        <w:rPr>
          <w:rFonts w:hint="eastAsia" w:ascii="宋体" w:hAnsi="宋体" w:eastAsia="宋体" w:cs="宋体"/>
          <w:sz w:val="24"/>
          <w:szCs w:val="24"/>
          <w:highlight w:val="none"/>
          <w:u w:val="none"/>
        </w:rPr>
        <w:t>_/_</w:t>
      </w:r>
      <w:r>
        <w:rPr>
          <w:rFonts w:hint="eastAsia" w:ascii="宋体" w:hAnsi="宋体" w:eastAsia="宋体" w:cs="宋体"/>
          <w:sz w:val="24"/>
          <w:szCs w:val="24"/>
          <w:highlight w:val="none"/>
        </w:rPr>
        <w:t>_______。</w:t>
      </w:r>
    </w:p>
    <w:p w14:paraId="0478AAF6">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615" w:name="_Toc422322546"/>
      <w:r>
        <w:rPr>
          <w:rFonts w:hint="eastAsia" w:ascii="宋体" w:hAnsi="宋体" w:eastAsia="宋体" w:cs="宋体"/>
          <w:b w:val="0"/>
          <w:sz w:val="24"/>
          <w:szCs w:val="24"/>
          <w:highlight w:val="none"/>
        </w:rPr>
        <w:t>6.2合同解除</w:t>
      </w:r>
      <w:bookmarkEnd w:id="615"/>
    </w:p>
    <w:p w14:paraId="5075F75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rPr>
        <w:t>6.2.2双方约定解</w:t>
      </w:r>
      <w:r>
        <w:rPr>
          <w:rFonts w:hint="eastAsia" w:ascii="宋体" w:hAnsi="宋体" w:eastAsia="宋体" w:cs="宋体"/>
          <w:sz w:val="24"/>
          <w:szCs w:val="24"/>
          <w:highlight w:val="none"/>
          <w:u w:val="none"/>
        </w:rPr>
        <w:t xml:space="preserve">除合同的条件还包括：_____/_____。 </w:t>
      </w:r>
    </w:p>
    <w:p w14:paraId="12F6515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6.2.4因不可抗力导致的合同解除，双方约定损失的分担如下：____</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rPr>
        <w:t>__ 。</w:t>
      </w:r>
    </w:p>
    <w:p w14:paraId="3D17C6D6">
      <w:pPr>
        <w:pStyle w:val="28"/>
        <w:pageBreakBefore w:val="0"/>
        <w:kinsoku/>
        <w:wordWrap/>
        <w:overflowPunct/>
        <w:topLinePunct w:val="0"/>
        <w:autoSpaceDE/>
        <w:autoSpaceDN/>
        <w:bidi w:val="0"/>
        <w:adjustRightInd/>
        <w:snapToGrid/>
        <w:spacing w:before="0" w:after="0" w:line="560" w:lineRule="exact"/>
        <w:ind w:firstLine="482" w:firstLineChars="200"/>
        <w:jc w:val="left"/>
        <w:textAlignment w:val="auto"/>
        <w:rPr>
          <w:rFonts w:hint="eastAsia" w:ascii="宋体" w:hAnsi="宋体" w:eastAsia="宋体" w:cs="宋体"/>
          <w:sz w:val="24"/>
          <w:szCs w:val="24"/>
          <w:highlight w:val="none"/>
        </w:rPr>
      </w:pPr>
      <w:bookmarkStart w:id="616" w:name="_Toc422322547"/>
      <w:bookmarkStart w:id="617" w:name="_Toc419045121"/>
      <w:r>
        <w:rPr>
          <w:rFonts w:hint="eastAsia" w:ascii="宋体" w:hAnsi="宋体" w:eastAsia="宋体" w:cs="宋体"/>
          <w:sz w:val="24"/>
          <w:szCs w:val="24"/>
          <w:highlight w:val="none"/>
        </w:rPr>
        <w:t>7. 争议解决</w:t>
      </w:r>
      <w:bookmarkEnd w:id="616"/>
      <w:bookmarkEnd w:id="617"/>
    </w:p>
    <w:p w14:paraId="081839EA">
      <w:pPr>
        <w:pageBreakBefore w:val="0"/>
        <w:kinsoku/>
        <w:wordWrap/>
        <w:overflowPunct/>
        <w:topLinePunct w:val="0"/>
        <w:autoSpaceDE/>
        <w:autoSpaceDN/>
        <w:bidi w:val="0"/>
        <w:adjustRightInd/>
        <w:snapToGrid/>
        <w:spacing w:line="560" w:lineRule="exact"/>
        <w:ind w:firstLine="480"/>
        <w:textAlignment w:val="auto"/>
        <w:rPr>
          <w:rStyle w:val="73"/>
          <w:rFonts w:hint="eastAsia" w:ascii="宋体" w:hAnsi="宋体" w:eastAsia="宋体" w:cs="宋体"/>
          <w:b w:val="0"/>
          <w:sz w:val="24"/>
          <w:szCs w:val="24"/>
          <w:highlight w:val="none"/>
        </w:rPr>
      </w:pPr>
      <w:r>
        <w:rPr>
          <w:rStyle w:val="73"/>
          <w:rFonts w:hint="eastAsia" w:ascii="宋体" w:hAnsi="宋体" w:eastAsia="宋体" w:cs="宋体"/>
          <w:b w:val="0"/>
          <w:sz w:val="24"/>
          <w:szCs w:val="24"/>
          <w:highlight w:val="none"/>
        </w:rPr>
        <w:t>建设工程造价咨询合同在履行过程中发生争议，委托人与咨询人应及时协商解决；如未能达成一致，可提交有关主管部门调解；协商或调解不成的，按下列第</w:t>
      </w:r>
      <w:r>
        <w:rPr>
          <w:rStyle w:val="73"/>
          <w:rFonts w:hint="eastAsia" w:ascii="宋体" w:hAnsi="宋体" w:eastAsia="宋体" w:cs="宋体"/>
          <w:b w:val="0"/>
          <w:sz w:val="24"/>
          <w:szCs w:val="24"/>
          <w:highlight w:val="none"/>
          <w:u w:val="single"/>
        </w:rPr>
        <w:t>（二）</w:t>
      </w:r>
      <w:r>
        <w:rPr>
          <w:rStyle w:val="73"/>
          <w:rFonts w:hint="eastAsia" w:ascii="宋体" w:hAnsi="宋体" w:eastAsia="宋体" w:cs="宋体"/>
          <w:b w:val="0"/>
          <w:sz w:val="24"/>
          <w:szCs w:val="24"/>
          <w:highlight w:val="none"/>
        </w:rPr>
        <w:t>种方式解决：</w:t>
      </w:r>
    </w:p>
    <w:p w14:paraId="50485570">
      <w:pPr>
        <w:pageBreakBefore w:val="0"/>
        <w:kinsoku/>
        <w:wordWrap/>
        <w:overflowPunct/>
        <w:topLinePunct w:val="0"/>
        <w:autoSpaceDE/>
        <w:autoSpaceDN/>
        <w:bidi w:val="0"/>
        <w:adjustRightInd/>
        <w:snapToGrid/>
        <w:spacing w:line="560" w:lineRule="exact"/>
        <w:ind w:firstLine="480"/>
        <w:textAlignment w:val="auto"/>
        <w:rPr>
          <w:rStyle w:val="73"/>
          <w:rFonts w:hint="eastAsia" w:ascii="宋体" w:hAnsi="宋体" w:eastAsia="宋体" w:cs="宋体"/>
          <w:b w:val="0"/>
          <w:sz w:val="24"/>
          <w:szCs w:val="24"/>
          <w:highlight w:val="none"/>
        </w:rPr>
      </w:pPr>
      <w:r>
        <w:rPr>
          <w:rStyle w:val="73"/>
          <w:rFonts w:hint="eastAsia" w:ascii="宋体" w:hAnsi="宋体" w:eastAsia="宋体" w:cs="宋体"/>
          <w:b w:val="0"/>
          <w:sz w:val="24"/>
          <w:szCs w:val="24"/>
          <w:highlight w:val="none"/>
        </w:rPr>
        <w:t>（一）提交</w:t>
      </w:r>
      <w:r>
        <w:rPr>
          <w:rStyle w:val="73"/>
          <w:rFonts w:hint="eastAsia" w:ascii="宋体" w:hAnsi="宋体" w:eastAsia="宋体" w:cs="宋体"/>
          <w:b w:val="0"/>
          <w:sz w:val="24"/>
          <w:szCs w:val="24"/>
          <w:highlight w:val="none"/>
          <w:u w:val="single"/>
        </w:rPr>
        <w:t>　</w:t>
      </w:r>
      <w:r>
        <w:rPr>
          <w:rStyle w:val="73"/>
          <w:rFonts w:hint="eastAsia" w:ascii="宋体" w:hAnsi="宋体" w:eastAsia="宋体" w:cs="宋体"/>
          <w:b w:val="0"/>
          <w:sz w:val="24"/>
          <w:szCs w:val="24"/>
          <w:highlight w:val="none"/>
          <w:u w:val="single"/>
          <w:lang w:val="en-US" w:eastAsia="zh-CN"/>
        </w:rPr>
        <w:t>/</w:t>
      </w:r>
      <w:r>
        <w:rPr>
          <w:rStyle w:val="73"/>
          <w:rFonts w:hint="eastAsia" w:ascii="宋体" w:hAnsi="宋体" w:eastAsia="宋体" w:cs="宋体"/>
          <w:b w:val="0"/>
          <w:sz w:val="24"/>
          <w:szCs w:val="24"/>
          <w:highlight w:val="none"/>
          <w:u w:val="single"/>
        </w:rPr>
        <w:t>　</w:t>
      </w:r>
      <w:r>
        <w:rPr>
          <w:rStyle w:val="73"/>
          <w:rFonts w:hint="eastAsia" w:ascii="宋体" w:hAnsi="宋体" w:eastAsia="宋体" w:cs="宋体"/>
          <w:b w:val="0"/>
          <w:sz w:val="24"/>
          <w:szCs w:val="24"/>
          <w:highlight w:val="none"/>
        </w:rPr>
        <w:t>仲裁委员会仲裁；</w:t>
      </w:r>
    </w:p>
    <w:p w14:paraId="2EABA226">
      <w:pPr>
        <w:pageBreakBefore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highlight w:val="none"/>
        </w:rPr>
      </w:pPr>
      <w:r>
        <w:rPr>
          <w:rStyle w:val="73"/>
          <w:rFonts w:hint="eastAsia" w:ascii="宋体" w:hAnsi="宋体" w:eastAsia="宋体" w:cs="宋体"/>
          <w:b w:val="0"/>
          <w:sz w:val="24"/>
          <w:szCs w:val="24"/>
          <w:highlight w:val="none"/>
        </w:rPr>
        <w:t>（二）依法向</w:t>
      </w:r>
      <w:r>
        <w:rPr>
          <w:rStyle w:val="73"/>
          <w:rFonts w:hint="eastAsia" w:ascii="宋体" w:hAnsi="宋体" w:eastAsia="宋体" w:cs="宋体"/>
          <w:b w:val="0"/>
          <w:sz w:val="24"/>
          <w:szCs w:val="24"/>
          <w:highlight w:val="none"/>
          <w:u w:val="single"/>
        </w:rPr>
        <w:t xml:space="preserve"> 委托人所在地  </w:t>
      </w:r>
      <w:r>
        <w:rPr>
          <w:rStyle w:val="73"/>
          <w:rFonts w:hint="eastAsia" w:ascii="宋体" w:hAnsi="宋体" w:eastAsia="宋体" w:cs="宋体"/>
          <w:b w:val="0"/>
          <w:sz w:val="24"/>
          <w:szCs w:val="24"/>
          <w:highlight w:val="none"/>
        </w:rPr>
        <w:t>人民法院起诉。</w:t>
      </w:r>
    </w:p>
    <w:p w14:paraId="2FD33D6C">
      <w:pPr>
        <w:pageBreakBefore w:val="0"/>
        <w:kinsoku/>
        <w:wordWrap/>
        <w:overflowPunct/>
        <w:topLinePunct w:val="0"/>
        <w:autoSpaceDE/>
        <w:autoSpaceDN/>
        <w:bidi w:val="0"/>
        <w:adjustRightInd/>
        <w:snapToGrid/>
        <w:spacing w:line="560" w:lineRule="exact"/>
        <w:ind w:firstLine="482" w:firstLineChars="200"/>
        <w:textAlignment w:val="auto"/>
        <w:rPr>
          <w:rStyle w:val="73"/>
          <w:rFonts w:hint="eastAsia" w:ascii="宋体" w:hAnsi="宋体" w:eastAsia="宋体" w:cs="宋体"/>
          <w:b w:val="0"/>
          <w:sz w:val="24"/>
          <w:szCs w:val="24"/>
          <w:highlight w:val="none"/>
        </w:rPr>
      </w:pPr>
      <w:bookmarkStart w:id="618" w:name="_Toc419045123"/>
      <w:bookmarkStart w:id="619" w:name="_Toc422322550"/>
      <w:r>
        <w:rPr>
          <w:rStyle w:val="72"/>
          <w:rFonts w:hint="eastAsia" w:ascii="宋体" w:hAnsi="宋体" w:eastAsia="宋体" w:cs="宋体"/>
          <w:sz w:val="24"/>
          <w:szCs w:val="24"/>
          <w:highlight w:val="none"/>
        </w:rPr>
        <w:t>8. 其他</w:t>
      </w:r>
      <w:bookmarkEnd w:id="618"/>
      <w:bookmarkEnd w:id="619"/>
    </w:p>
    <w:p w14:paraId="08859342">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620" w:name="_Toc422322551"/>
      <w:r>
        <w:rPr>
          <w:rFonts w:hint="eastAsia" w:ascii="宋体" w:hAnsi="宋体" w:eastAsia="宋体" w:cs="宋体"/>
          <w:b w:val="0"/>
          <w:sz w:val="24"/>
          <w:szCs w:val="24"/>
          <w:highlight w:val="none"/>
        </w:rPr>
        <w:t>8.1考察及相关费用</w:t>
      </w:r>
      <w:bookmarkEnd w:id="620"/>
    </w:p>
    <w:p w14:paraId="0EBD56F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咨询人经委托人同意进行考察发生的费用由</w:t>
      </w:r>
      <w:r>
        <w:rPr>
          <w:rFonts w:hint="eastAsia" w:ascii="宋体" w:hAnsi="宋体" w:eastAsia="宋体" w:cs="宋体"/>
          <w:sz w:val="24"/>
          <w:szCs w:val="24"/>
          <w:highlight w:val="none"/>
          <w:u w:val="single"/>
        </w:rPr>
        <w:t>咨询人</w:t>
      </w:r>
      <w:r>
        <w:rPr>
          <w:rFonts w:hint="eastAsia" w:ascii="宋体" w:hAnsi="宋体" w:eastAsia="宋体" w:cs="宋体"/>
          <w:sz w:val="24"/>
          <w:szCs w:val="24"/>
          <w:highlight w:val="none"/>
        </w:rPr>
        <w:t>支付。</w:t>
      </w:r>
    </w:p>
    <w:p w14:paraId="31B4F8F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差旅费及相关费用的支付：</w:t>
      </w:r>
      <w:bookmarkStart w:id="621" w:name="_Toc422322552"/>
      <w:r>
        <w:rPr>
          <w:rFonts w:hint="eastAsia" w:ascii="宋体" w:hAnsi="宋体" w:eastAsia="宋体" w:cs="宋体"/>
          <w:sz w:val="24"/>
          <w:szCs w:val="24"/>
          <w:highlight w:val="none"/>
        </w:rPr>
        <w:t xml:space="preserve">咨询人在本项目工作期间的差旅费（交通、住宿、餐饮）及其他相关费用的支付：由咨询人自行承担。     </w:t>
      </w:r>
    </w:p>
    <w:p w14:paraId="3F05FA6F">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8.2奖励</w:t>
      </w:r>
      <w:bookmarkEnd w:id="621"/>
    </w:p>
    <w:p w14:paraId="7AA24B78">
      <w:pPr>
        <w:pageBreakBefore w:val="0"/>
        <w:kinsoku/>
        <w:wordWrap/>
        <w:overflowPunct/>
        <w:topLinePunct w:val="0"/>
        <w:autoSpaceDE/>
        <w:autoSpaceDN/>
        <w:bidi w:val="0"/>
        <w:adjustRightInd/>
        <w:snapToGrid/>
        <w:spacing w:line="560" w:lineRule="exact"/>
        <w:ind w:firstLine="480" w:firstLineChars="200"/>
        <w:textAlignment w:val="auto"/>
        <w:rPr>
          <w:rStyle w:val="73"/>
          <w:rFonts w:hint="eastAsia" w:ascii="宋体" w:hAnsi="宋体" w:eastAsia="宋体" w:cs="宋体"/>
          <w:b w:val="0"/>
          <w:sz w:val="24"/>
          <w:szCs w:val="24"/>
          <w:highlight w:val="none"/>
        </w:rPr>
      </w:pPr>
      <w:r>
        <w:rPr>
          <w:rFonts w:hint="eastAsia" w:ascii="宋体" w:hAnsi="宋体" w:eastAsia="宋体" w:cs="宋体"/>
          <w:sz w:val="24"/>
          <w:szCs w:val="24"/>
          <w:highlight w:val="none"/>
        </w:rPr>
        <w:t>合理化建议的奖励金额按下列方法确定：________</w:t>
      </w:r>
      <w:r>
        <w:rPr>
          <w:rFonts w:hint="eastAsia" w:ascii="宋体" w:hAnsi="宋体" w:eastAsia="宋体" w:cs="宋体"/>
          <w:sz w:val="24"/>
          <w:szCs w:val="24"/>
          <w:highlight w:val="none"/>
          <w:u w:val="none"/>
        </w:rPr>
        <w:t>____/____</w:t>
      </w:r>
      <w:r>
        <w:rPr>
          <w:rFonts w:hint="eastAsia" w:ascii="宋体" w:hAnsi="宋体" w:eastAsia="宋体" w:cs="宋体"/>
          <w:sz w:val="24"/>
          <w:szCs w:val="24"/>
          <w:highlight w:val="none"/>
        </w:rPr>
        <w:t xml:space="preserve">_________。 </w:t>
      </w:r>
    </w:p>
    <w:p w14:paraId="0A110156">
      <w:pPr>
        <w:pStyle w:val="22"/>
        <w:pageBreakBefore w:val="0"/>
        <w:kinsoku/>
        <w:wordWrap/>
        <w:overflowPunct/>
        <w:topLinePunct w:val="0"/>
        <w:autoSpaceDE/>
        <w:autoSpaceDN/>
        <w:bidi w:val="0"/>
        <w:adjustRightInd/>
        <w:snapToGrid/>
        <w:spacing w:before="60" w:line="560" w:lineRule="exact"/>
        <w:ind w:firstLine="480" w:firstLineChars="200"/>
        <w:jc w:val="left"/>
        <w:textAlignment w:val="auto"/>
        <w:rPr>
          <w:rFonts w:hint="eastAsia" w:ascii="宋体" w:hAnsi="宋体" w:eastAsia="宋体" w:cs="宋体"/>
          <w:b w:val="0"/>
          <w:sz w:val="24"/>
          <w:szCs w:val="24"/>
          <w:highlight w:val="none"/>
        </w:rPr>
      </w:pPr>
      <w:bookmarkStart w:id="622" w:name="_Toc422322553"/>
      <w:r>
        <w:rPr>
          <w:rFonts w:hint="eastAsia" w:ascii="宋体" w:hAnsi="宋体" w:eastAsia="宋体" w:cs="宋体"/>
          <w:b w:val="0"/>
          <w:sz w:val="24"/>
          <w:szCs w:val="24"/>
          <w:highlight w:val="none"/>
        </w:rPr>
        <w:t>8.3保密</w:t>
      </w:r>
      <w:bookmarkEnd w:id="622"/>
    </w:p>
    <w:p w14:paraId="00F9FF3F">
      <w:pPr>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委托人申明的保密事项和期限：_____</w:t>
      </w:r>
      <w:r>
        <w:rPr>
          <w:rFonts w:hint="eastAsia" w:ascii="宋体" w:hAnsi="宋体" w:eastAsia="宋体" w:cs="宋体"/>
          <w:sz w:val="24"/>
          <w:szCs w:val="24"/>
          <w:highlight w:val="none"/>
          <w:u w:val="none"/>
        </w:rPr>
        <w:t>按委托人申明确定_</w:t>
      </w:r>
      <w:r>
        <w:rPr>
          <w:rFonts w:hint="eastAsia" w:ascii="宋体" w:hAnsi="宋体" w:eastAsia="宋体" w:cs="宋体"/>
          <w:sz w:val="24"/>
          <w:szCs w:val="24"/>
          <w:highlight w:val="none"/>
        </w:rPr>
        <w:t>_____________。</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咨询人申明的保密事项和期限：_____</w:t>
      </w:r>
      <w:r>
        <w:rPr>
          <w:rFonts w:hint="eastAsia" w:ascii="宋体" w:hAnsi="宋体" w:eastAsia="宋体" w:cs="宋体"/>
          <w:sz w:val="24"/>
          <w:szCs w:val="24"/>
          <w:highlight w:val="none"/>
          <w:u w:val="none"/>
        </w:rPr>
        <w:t>按咨询人申明确定_</w:t>
      </w:r>
      <w:r>
        <w:rPr>
          <w:rFonts w:hint="eastAsia" w:ascii="宋体" w:hAnsi="宋体" w:eastAsia="宋体" w:cs="宋体"/>
          <w:sz w:val="24"/>
          <w:szCs w:val="24"/>
          <w:highlight w:val="none"/>
        </w:rPr>
        <w:t xml:space="preserve">_____________。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第三人申明的保密事项和期限：_____</w:t>
      </w:r>
      <w:r>
        <w:rPr>
          <w:rFonts w:hint="eastAsia" w:ascii="宋体" w:hAnsi="宋体" w:eastAsia="宋体" w:cs="宋体"/>
          <w:sz w:val="24"/>
          <w:szCs w:val="24"/>
          <w:highlight w:val="none"/>
          <w:u w:val="none"/>
        </w:rPr>
        <w:t>按相关申明确定_</w:t>
      </w:r>
      <w:r>
        <w:rPr>
          <w:rFonts w:hint="eastAsia" w:ascii="宋体" w:hAnsi="宋体" w:eastAsia="宋体" w:cs="宋体"/>
          <w:sz w:val="24"/>
          <w:szCs w:val="24"/>
          <w:highlight w:val="none"/>
        </w:rPr>
        <w:t>_______________。</w:t>
      </w:r>
    </w:p>
    <w:p w14:paraId="0A937737">
      <w:pPr>
        <w:pageBreakBefore w:val="0"/>
        <w:kinsoku/>
        <w:wordWrap/>
        <w:overflowPunct/>
        <w:topLinePunct w:val="0"/>
        <w:autoSpaceDE/>
        <w:autoSpaceDN/>
        <w:bidi w:val="0"/>
        <w:adjustRightInd/>
        <w:snapToGrid/>
        <w:spacing w:line="560" w:lineRule="exact"/>
        <w:ind w:firstLine="360" w:firstLineChars="150"/>
        <w:textAlignment w:val="auto"/>
        <w:rPr>
          <w:rFonts w:hint="eastAsia" w:ascii="宋体" w:hAnsi="宋体" w:eastAsia="宋体" w:cs="宋体"/>
          <w:bCs/>
          <w:kern w:val="28"/>
          <w:sz w:val="24"/>
          <w:szCs w:val="24"/>
          <w:highlight w:val="none"/>
        </w:rPr>
      </w:pPr>
      <w:bookmarkStart w:id="623" w:name="_Toc422322554"/>
      <w:r>
        <w:rPr>
          <w:rStyle w:val="73"/>
          <w:rFonts w:hint="eastAsia" w:ascii="宋体" w:hAnsi="宋体" w:eastAsia="宋体" w:cs="宋体"/>
          <w:b w:val="0"/>
          <w:sz w:val="24"/>
          <w:szCs w:val="24"/>
          <w:highlight w:val="none"/>
        </w:rPr>
        <w:t>8.4联络</w:t>
      </w:r>
      <w:bookmarkEnd w:id="623"/>
    </w:p>
    <w:p w14:paraId="12DAFCF2">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8.4.1任何一方与合同有关的通知、指示、要求、决定等，均应在</w:t>
      </w:r>
      <w:r>
        <w:rPr>
          <w:rFonts w:hint="eastAsia" w:ascii="宋体" w:hAnsi="宋体" w:eastAsia="宋体" w:cs="宋体"/>
          <w:sz w:val="24"/>
          <w:szCs w:val="24"/>
          <w:highlight w:val="none"/>
          <w:u w:val="single"/>
        </w:rPr>
        <w:t xml:space="preserve">一 </w:t>
      </w:r>
      <w:r>
        <w:rPr>
          <w:rFonts w:hint="eastAsia" w:ascii="宋体" w:hAnsi="宋体" w:eastAsia="宋体" w:cs="宋体"/>
          <w:sz w:val="24"/>
          <w:szCs w:val="24"/>
          <w:highlight w:val="none"/>
        </w:rPr>
        <w:t xml:space="preserve"> </w:t>
      </w:r>
    </w:p>
    <w:p w14:paraId="0DEB07D7">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日内送达对方指定的接收人和送达地点。</w:t>
      </w:r>
    </w:p>
    <w:p w14:paraId="542D869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8.4.2委托人指定的送达接收人：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，送达地点：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0A56D8E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咨询人指定的送达接收人：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，送达地点：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756CE307">
      <w:pPr>
        <w:pageBreakBefore w:val="0"/>
        <w:kinsoku/>
        <w:wordWrap/>
        <w:overflowPunct/>
        <w:topLinePunct w:val="0"/>
        <w:autoSpaceDE/>
        <w:autoSpaceDN/>
        <w:bidi w:val="0"/>
        <w:adjustRightInd/>
        <w:snapToGrid/>
        <w:spacing w:line="560" w:lineRule="exact"/>
        <w:ind w:firstLine="360" w:firstLineChars="150"/>
        <w:textAlignment w:val="auto"/>
        <w:rPr>
          <w:rStyle w:val="73"/>
          <w:rFonts w:hint="eastAsia" w:ascii="宋体" w:hAnsi="宋体" w:eastAsia="宋体" w:cs="宋体"/>
          <w:b w:val="0"/>
          <w:sz w:val="24"/>
          <w:szCs w:val="24"/>
          <w:highlight w:val="none"/>
        </w:rPr>
      </w:pPr>
      <w:bookmarkStart w:id="624" w:name="_Toc422322555"/>
      <w:bookmarkStart w:id="625" w:name="_Toc419045124"/>
      <w:r>
        <w:rPr>
          <w:rStyle w:val="73"/>
          <w:rFonts w:hint="eastAsia" w:ascii="宋体" w:hAnsi="宋体" w:eastAsia="宋体" w:cs="宋体"/>
          <w:b w:val="0"/>
          <w:sz w:val="24"/>
          <w:szCs w:val="24"/>
          <w:highlight w:val="none"/>
        </w:rPr>
        <w:t>8.5知识产权</w:t>
      </w:r>
      <w:bookmarkEnd w:id="624"/>
      <w:bookmarkEnd w:id="625"/>
    </w:p>
    <w:p w14:paraId="1AC00B8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委托人提供给咨询人的图纸、委托人为实施工程自行编制或委托编制的技术规范以及反映委托人要求的或其他类似性质文件的著作权属于</w:t>
      </w:r>
      <w:r>
        <w:rPr>
          <w:rFonts w:hint="eastAsia" w:ascii="宋体" w:hAnsi="宋体" w:eastAsia="宋体" w:cs="宋体"/>
          <w:sz w:val="24"/>
          <w:szCs w:val="24"/>
          <w:highlight w:val="none"/>
          <w:u w:val="single"/>
        </w:rPr>
        <w:t xml:space="preserve">委托人 </w:t>
      </w:r>
      <w:r>
        <w:rPr>
          <w:rFonts w:hint="eastAsia" w:ascii="宋体" w:hAnsi="宋体" w:eastAsia="宋体" w:cs="宋体"/>
          <w:sz w:val="24"/>
          <w:szCs w:val="24"/>
          <w:highlight w:val="none"/>
        </w:rPr>
        <w:t>。</w:t>
      </w:r>
    </w:p>
    <w:p w14:paraId="0FE5375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咨询人为履行本合同约定而编制的成果文件，其著作权属于</w:t>
      </w:r>
      <w:r>
        <w:rPr>
          <w:rFonts w:hint="eastAsia" w:ascii="宋体" w:hAnsi="宋体" w:eastAsia="宋体" w:cs="宋体"/>
          <w:sz w:val="24"/>
          <w:szCs w:val="24"/>
          <w:highlight w:val="none"/>
          <w:u w:val="single"/>
        </w:rPr>
        <w:t>咨询人</w:t>
      </w:r>
      <w:r>
        <w:rPr>
          <w:rFonts w:hint="eastAsia" w:ascii="宋体" w:hAnsi="宋体" w:eastAsia="宋体" w:cs="宋体"/>
          <w:sz w:val="24"/>
          <w:szCs w:val="24"/>
          <w:highlight w:val="none"/>
        </w:rPr>
        <w:t>。</w:t>
      </w:r>
    </w:p>
    <w:p w14:paraId="06861407">
      <w:pPr>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双方将履行本合同形成的有关成果文件用于企业宣传、申报奖项以及接受上级主管部门的检查须遵守以下约定：</w:t>
      </w:r>
      <w:r>
        <w:rPr>
          <w:rFonts w:hint="eastAsia" w:ascii="宋体" w:hAnsi="宋体" w:eastAsia="宋体" w:cs="宋体"/>
          <w:sz w:val="24"/>
          <w:szCs w:val="24"/>
          <w:highlight w:val="none"/>
          <w:u w:val="single"/>
        </w:rPr>
        <w:t xml:space="preserve">1.不涉及相关方经营及商业机密；2.须经相关方书面同意；3.就相关权益达成一致意见  </w:t>
      </w:r>
      <w:bookmarkStart w:id="626" w:name="_Toc419045125"/>
      <w:bookmarkStart w:id="627" w:name="_Toc422322556"/>
      <w:r>
        <w:rPr>
          <w:rFonts w:hint="eastAsia" w:ascii="宋体" w:hAnsi="宋体" w:eastAsia="宋体" w:cs="宋体"/>
          <w:sz w:val="24"/>
          <w:szCs w:val="24"/>
          <w:highlight w:val="none"/>
        </w:rPr>
        <w:t>。</w:t>
      </w:r>
    </w:p>
    <w:p w14:paraId="13BB78FE">
      <w:pPr>
        <w:pageBreakBefore w:val="0"/>
        <w:kinsoku/>
        <w:wordWrap/>
        <w:overflowPunct/>
        <w:topLinePunct w:val="0"/>
        <w:autoSpaceDE/>
        <w:autoSpaceDN/>
        <w:bidi w:val="0"/>
        <w:adjustRightInd/>
        <w:snapToGrid/>
        <w:spacing w:line="560" w:lineRule="exact"/>
        <w:ind w:left="472"/>
        <w:textAlignment w:val="auto"/>
        <w:rPr>
          <w:rStyle w:val="72"/>
          <w:rFonts w:hint="eastAsia" w:ascii="宋体" w:hAnsi="宋体" w:eastAsia="宋体" w:cs="宋体"/>
          <w:sz w:val="24"/>
          <w:szCs w:val="24"/>
          <w:highlight w:val="none"/>
        </w:rPr>
      </w:pPr>
      <w:r>
        <w:rPr>
          <w:rStyle w:val="72"/>
          <w:rFonts w:hint="eastAsia" w:ascii="宋体" w:hAnsi="宋体" w:eastAsia="宋体" w:cs="宋体"/>
          <w:sz w:val="24"/>
          <w:szCs w:val="24"/>
          <w:highlight w:val="none"/>
        </w:rPr>
        <w:t>9.补充条款</w:t>
      </w:r>
      <w:bookmarkEnd w:id="626"/>
      <w:bookmarkEnd w:id="627"/>
    </w:p>
    <w:p w14:paraId="148F3741">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（一）咨询人应提供的成果文件</w:t>
      </w:r>
    </w:p>
    <w:p w14:paraId="7729EFB6">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1、招投标阶段：工程量清单、招标控制价或标底、其它有关咨询报告或成果文件。</w:t>
      </w:r>
    </w:p>
    <w:p w14:paraId="68006A0E">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2、建设阶段全过程造价咨询：</w:t>
      </w:r>
    </w:p>
    <w:p w14:paraId="7BB9D3D6">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中期付款审核意见、重大设计变更造价咨询意见、工程洽商现场签证审核意见及汇总表、设计变更审核意见及汇总表、其他索赔事项审核意见及汇总表、月度造价咨询情况报告等。</w:t>
      </w:r>
    </w:p>
    <w:p w14:paraId="7E40E082">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3、竣工结算及结算审核阶段：竣工结算审核报告、专题总结报告等。</w:t>
      </w:r>
    </w:p>
    <w:p w14:paraId="02190E37">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4、其他要求：招标人经过招标或谈判或询价的车辆、办公家具及餐具等设备，若需出具结算报告，咨询人需免费出具相应的咨询报告。</w:t>
      </w:r>
    </w:p>
    <w:p w14:paraId="52B14D2A">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（二）奖惩措施</w:t>
      </w:r>
    </w:p>
    <w:p w14:paraId="3643847E">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1、由于咨询人原因，未能按照委托人工作计划的时间进度要求（合理的期限内）提供完备的、令业主满意的工作成果</w:t>
      </w:r>
      <w:r>
        <w:rPr>
          <w:rFonts w:hint="eastAsia" w:ascii="宋体" w:hAnsi="宋体" w:eastAsia="宋体" w:cs="宋体"/>
          <w:b w:val="0"/>
          <w:bCs/>
          <w:color w:val="000000"/>
          <w:sz w:val="24"/>
          <w:szCs w:val="24"/>
          <w:highlight w:val="none"/>
          <w:lang w:eastAsia="zh-CN"/>
        </w:rPr>
        <w:t>。</w:t>
      </w:r>
    </w:p>
    <w:p w14:paraId="0BDD6AAD">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eastAsia="zh-CN"/>
        </w:rPr>
        <w:t>具体要求如下：</w:t>
      </w:r>
      <w:r>
        <w:rPr>
          <w:rFonts w:hint="eastAsia" w:ascii="宋体" w:hAnsi="宋体" w:eastAsia="宋体" w:cs="宋体"/>
          <w:b w:val="0"/>
          <w:bCs/>
          <w:sz w:val="24"/>
          <w:szCs w:val="24"/>
          <w:highlight w:val="none"/>
          <w:u w:val="none"/>
          <w:lang w:val="en-US" w:eastAsia="zh-CN"/>
        </w:rPr>
        <w:t>.</w:t>
      </w:r>
    </w:p>
    <w:p w14:paraId="0CFAAF3E">
      <w:pPr>
        <w:pStyle w:val="27"/>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1.1、咨询人审计人员按照委托人负责部门要求每周不少于2次查看现场并进行项目进度汇报，将每周工程进展、参加工程会议及相关审计工作情况和现场勘查照片形成书面文字，项目负责人签字后，上报委托人；未按照委托人指定时间提交并累计三次后，每次支付违约金100元，委托人有权从合同款中直接扣除；累计违约三次的，委托人暂停支付咨询费。</w:t>
      </w:r>
    </w:p>
    <w:p w14:paraId="71FF98C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1.2、咨询人对出具的审核报告负有终身解释义务，相关结算资料须完整保存。</w:t>
      </w:r>
    </w:p>
    <w:p w14:paraId="1EB925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1.3、清单控价编制流程及时限要求：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4283"/>
        <w:gridCol w:w="3384"/>
      </w:tblGrid>
      <w:tr w14:paraId="5858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5EFBB8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序号</w:t>
            </w:r>
          </w:p>
        </w:tc>
        <w:tc>
          <w:tcPr>
            <w:tcW w:w="4410" w:type="dxa"/>
            <w:noWrap w:val="0"/>
            <w:vAlign w:val="top"/>
          </w:tcPr>
          <w:p w14:paraId="73DADC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单项工程预算金额</w:t>
            </w:r>
          </w:p>
        </w:tc>
        <w:tc>
          <w:tcPr>
            <w:tcW w:w="3495" w:type="dxa"/>
            <w:noWrap w:val="0"/>
            <w:vAlign w:val="top"/>
          </w:tcPr>
          <w:p w14:paraId="0B8493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编制期限</w:t>
            </w:r>
          </w:p>
        </w:tc>
      </w:tr>
      <w:tr w14:paraId="769A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33FBDE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w:t>
            </w:r>
          </w:p>
        </w:tc>
        <w:tc>
          <w:tcPr>
            <w:tcW w:w="4410" w:type="dxa"/>
            <w:noWrap w:val="0"/>
            <w:vAlign w:val="top"/>
          </w:tcPr>
          <w:p w14:paraId="1E52D59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100万元及以下</w:t>
            </w:r>
          </w:p>
        </w:tc>
        <w:tc>
          <w:tcPr>
            <w:tcW w:w="3495" w:type="dxa"/>
            <w:noWrap w:val="0"/>
            <w:vAlign w:val="top"/>
          </w:tcPr>
          <w:p w14:paraId="54E1496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5个工作日内</w:t>
            </w:r>
          </w:p>
        </w:tc>
      </w:tr>
      <w:tr w14:paraId="015A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6F1F62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w:t>
            </w:r>
          </w:p>
        </w:tc>
        <w:tc>
          <w:tcPr>
            <w:tcW w:w="4410" w:type="dxa"/>
            <w:noWrap w:val="0"/>
            <w:vAlign w:val="top"/>
          </w:tcPr>
          <w:p w14:paraId="6FBDEAB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100万元-500万元（含）</w:t>
            </w:r>
          </w:p>
        </w:tc>
        <w:tc>
          <w:tcPr>
            <w:tcW w:w="3495" w:type="dxa"/>
            <w:noWrap w:val="0"/>
            <w:vAlign w:val="top"/>
          </w:tcPr>
          <w:p w14:paraId="07BC041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7个工作日内</w:t>
            </w:r>
          </w:p>
        </w:tc>
      </w:tr>
      <w:tr w14:paraId="15E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3A8288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3</w:t>
            </w:r>
          </w:p>
        </w:tc>
        <w:tc>
          <w:tcPr>
            <w:tcW w:w="4410" w:type="dxa"/>
            <w:noWrap w:val="0"/>
            <w:vAlign w:val="top"/>
          </w:tcPr>
          <w:p w14:paraId="709F70B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500万元-1000万元（含）</w:t>
            </w:r>
          </w:p>
        </w:tc>
        <w:tc>
          <w:tcPr>
            <w:tcW w:w="3495" w:type="dxa"/>
            <w:noWrap w:val="0"/>
            <w:vAlign w:val="top"/>
          </w:tcPr>
          <w:p w14:paraId="41ACDF7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10个工作日内</w:t>
            </w:r>
          </w:p>
        </w:tc>
      </w:tr>
      <w:tr w14:paraId="30A0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1ED87CA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4</w:t>
            </w:r>
          </w:p>
        </w:tc>
        <w:tc>
          <w:tcPr>
            <w:tcW w:w="4410" w:type="dxa"/>
            <w:noWrap w:val="0"/>
            <w:vAlign w:val="top"/>
          </w:tcPr>
          <w:p w14:paraId="43C78BD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1000万元-2000万元（含）</w:t>
            </w:r>
          </w:p>
        </w:tc>
        <w:tc>
          <w:tcPr>
            <w:tcW w:w="3495" w:type="dxa"/>
            <w:noWrap w:val="0"/>
            <w:vAlign w:val="top"/>
          </w:tcPr>
          <w:p w14:paraId="100405F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15个工作日内</w:t>
            </w:r>
          </w:p>
        </w:tc>
      </w:tr>
      <w:tr w14:paraId="7453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5987EE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5</w:t>
            </w:r>
          </w:p>
        </w:tc>
        <w:tc>
          <w:tcPr>
            <w:tcW w:w="4410" w:type="dxa"/>
            <w:noWrap w:val="0"/>
            <w:vAlign w:val="top"/>
          </w:tcPr>
          <w:p w14:paraId="7687971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2000万元以上</w:t>
            </w:r>
          </w:p>
        </w:tc>
        <w:tc>
          <w:tcPr>
            <w:tcW w:w="3495" w:type="dxa"/>
            <w:noWrap w:val="0"/>
            <w:vAlign w:val="top"/>
          </w:tcPr>
          <w:p w14:paraId="0D082F4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20个工作日内</w:t>
            </w:r>
          </w:p>
        </w:tc>
      </w:tr>
      <w:tr w14:paraId="14FA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6" w:type="dxa"/>
            <w:gridSpan w:val="3"/>
            <w:noWrap w:val="0"/>
            <w:vAlign w:val="top"/>
          </w:tcPr>
          <w:p w14:paraId="5F88166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咨询人收到无疑问的电子版图纸或参数起算，24小时内查看项目现场，后续24内书面反馈图纸或参数答疑。因咨询人单方面原因延迟提交成果文件三次及以上的，委托人可直接单方面终止合同。</w:t>
            </w:r>
          </w:p>
          <w:p w14:paraId="55F7280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以咨询人提交的成果文件为基准，经委托人复核后，误差率超过国家许可的3%及以上的，超过三个项目的，委托人有权单方面终止合同。</w:t>
            </w:r>
          </w:p>
          <w:p w14:paraId="2203FA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如对委托人造成经济损失的，委托人按实际经济损失乘30%计算直接从合同款中扣除，不设上限，且不足部分委托人将保留追偿权并单方面终止合同。</w:t>
            </w:r>
          </w:p>
        </w:tc>
      </w:tr>
    </w:tbl>
    <w:p w14:paraId="641286D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1.4、工程竣工结算审计：</w:t>
      </w:r>
    </w:p>
    <w:tbl>
      <w:tblPr>
        <w:tblStyle w:val="3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904"/>
        <w:gridCol w:w="4901"/>
      </w:tblGrid>
      <w:tr w14:paraId="6028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63" w:type="dxa"/>
            <w:noWrap w:val="0"/>
            <w:vAlign w:val="center"/>
          </w:tcPr>
          <w:p w14:paraId="4F40A3D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2904" w:type="dxa"/>
            <w:noWrap w:val="0"/>
            <w:vAlign w:val="center"/>
          </w:tcPr>
          <w:p w14:paraId="5AD1D43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工程竣工结算送审金额</w:t>
            </w:r>
          </w:p>
        </w:tc>
        <w:tc>
          <w:tcPr>
            <w:tcW w:w="4901" w:type="dxa"/>
            <w:noWrap w:val="0"/>
            <w:vAlign w:val="center"/>
          </w:tcPr>
          <w:p w14:paraId="5A59FF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审计期限</w:t>
            </w:r>
          </w:p>
        </w:tc>
      </w:tr>
      <w:tr w14:paraId="0CA0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63" w:type="dxa"/>
            <w:noWrap w:val="0"/>
            <w:vAlign w:val="center"/>
          </w:tcPr>
          <w:p w14:paraId="3FA6D9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2904" w:type="dxa"/>
            <w:noWrap w:val="0"/>
            <w:vAlign w:val="center"/>
          </w:tcPr>
          <w:p w14:paraId="24E37C8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500万元及以下</w:t>
            </w:r>
          </w:p>
        </w:tc>
        <w:tc>
          <w:tcPr>
            <w:tcW w:w="4901" w:type="dxa"/>
            <w:noWrap w:val="0"/>
            <w:vAlign w:val="center"/>
          </w:tcPr>
          <w:p w14:paraId="73463B3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从接到竣工结算报告和完整的竣工结算资料之日起20天</w:t>
            </w:r>
          </w:p>
        </w:tc>
      </w:tr>
      <w:tr w14:paraId="0E5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3" w:type="dxa"/>
            <w:noWrap w:val="0"/>
            <w:vAlign w:val="center"/>
          </w:tcPr>
          <w:p w14:paraId="5A73D1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2904" w:type="dxa"/>
            <w:noWrap w:val="0"/>
            <w:vAlign w:val="center"/>
          </w:tcPr>
          <w:p w14:paraId="46CD4EE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500万元－2000万元</w:t>
            </w:r>
          </w:p>
        </w:tc>
        <w:tc>
          <w:tcPr>
            <w:tcW w:w="4901" w:type="dxa"/>
            <w:noWrap w:val="0"/>
            <w:vAlign w:val="center"/>
          </w:tcPr>
          <w:p w14:paraId="5F5D090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从接到竣工结算报告和完整的竣工结算资料之日起30天</w:t>
            </w:r>
          </w:p>
        </w:tc>
      </w:tr>
      <w:tr w14:paraId="3A74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1574816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2904" w:type="dxa"/>
            <w:noWrap w:val="0"/>
            <w:vAlign w:val="center"/>
          </w:tcPr>
          <w:p w14:paraId="0766A73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2000万元－5000万元</w:t>
            </w:r>
          </w:p>
        </w:tc>
        <w:tc>
          <w:tcPr>
            <w:tcW w:w="4901" w:type="dxa"/>
            <w:noWrap w:val="0"/>
            <w:vAlign w:val="center"/>
          </w:tcPr>
          <w:p w14:paraId="7157549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从接到竣工结算报告和完整的竣工结算资料之日起45天</w:t>
            </w:r>
          </w:p>
        </w:tc>
      </w:tr>
      <w:tr w14:paraId="3E1F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14:paraId="4C9752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w:t>
            </w:r>
          </w:p>
        </w:tc>
        <w:tc>
          <w:tcPr>
            <w:tcW w:w="2904" w:type="dxa"/>
            <w:noWrap w:val="0"/>
            <w:vAlign w:val="center"/>
          </w:tcPr>
          <w:p w14:paraId="1296EE0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5000万元以上</w:t>
            </w:r>
          </w:p>
        </w:tc>
        <w:tc>
          <w:tcPr>
            <w:tcW w:w="4901" w:type="dxa"/>
            <w:noWrap w:val="0"/>
            <w:vAlign w:val="center"/>
          </w:tcPr>
          <w:p w14:paraId="3AB646F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从接到竣工结算报告和完整的竣工结算资料之日起60天</w:t>
            </w:r>
          </w:p>
        </w:tc>
      </w:tr>
      <w:tr w14:paraId="06C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gridSpan w:val="3"/>
            <w:noWrap w:val="0"/>
            <w:vAlign w:val="center"/>
          </w:tcPr>
          <w:p w14:paraId="09E83B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期限内未按时完成，也未及时书面反馈的，每延迟一天，罚金500元，委托人有权从造价咨询费中直接扣除，不足部分委托人保留追偿权。如不能按期完成审核，委托人将直接委托其他咨询人进行审核。原项目剩余的全过程咨询服务费将不予支付。</w:t>
            </w:r>
          </w:p>
          <w:p w14:paraId="7C2E345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如将委托人移交的相关结算资料遗失的，由咨询人自行补齐，给委托人造成影响的，委托人暂停支付咨询人造价咨询费并终止合作。</w:t>
            </w:r>
          </w:p>
          <w:p w14:paraId="3B1305C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以咨询人提交的成果文件为基准，经委托人复核后，误差率超过国家许可的3%及以上的，超过三个项目的，委托人有权单方面终止合同。</w:t>
            </w:r>
          </w:p>
          <w:p w14:paraId="10A96A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如对委托人造成经济损失的，委托人按实际经济损失乘30%计算直接从合同款中扣除，不设上限，且不足部分委托人将保留追偿权并单方面终止合同。</w:t>
            </w:r>
          </w:p>
        </w:tc>
      </w:tr>
    </w:tbl>
    <w:p w14:paraId="2C2EFB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1.5、为委托人服务的整个服务期内，咨询人任何人员不应擅自与施工单位接触，不得以任何原因透露本工程相关信息，否则，委托人有权要求咨询人承担10000-20000元/次的违约金，同时委托人有权解除造价咨询合同。；</w:t>
      </w:r>
    </w:p>
    <w:p w14:paraId="6397CED3">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1.6、咨询人审计人员所有项目资料及信息的收发，事务处理必须通过委托人负责部门（审计科）。违反该约定的，咨询人应按照委托人要求更换审计人员，咨询人拒不更换的，委托人有权解除合同并不支付未支付的酬金；</w:t>
      </w:r>
    </w:p>
    <w:p w14:paraId="30AE64D1">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咨询人审计人员须遵守国家、政府的有关法律、法规、政策和公司的规章制度，自觉遵循造价工作者的职业道德，保证审计人员遵守“客观、公正、科学、可靠”的造价咨询原则，实事求是，不隐瞒真相，不说假话，客观公正的处理问题；</w:t>
      </w:r>
    </w:p>
    <w:p w14:paraId="46542F74">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3、咨询人审计人员不得接受被审计单位及关联方任何形式的礼品，不得参加宴请以及其他娱乐活动，不得接受任何有损独立和公正判断的酬谢；</w:t>
      </w:r>
    </w:p>
    <w:p w14:paraId="0267A6EA">
      <w:pPr>
        <w:pStyle w:val="40"/>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val="0"/>
          <w:bCs/>
          <w:kern w:val="0"/>
          <w:sz w:val="24"/>
          <w:szCs w:val="24"/>
          <w:highlight w:val="none"/>
          <w:lang w:val="zh-CN" w:eastAsia="zh-CN" w:bidi="ar-SA"/>
        </w:rPr>
      </w:pPr>
      <w:r>
        <w:rPr>
          <w:rFonts w:hint="eastAsia" w:ascii="宋体" w:hAnsi="宋体" w:eastAsia="宋体" w:cs="宋体"/>
          <w:b w:val="0"/>
          <w:bCs/>
          <w:sz w:val="24"/>
          <w:szCs w:val="24"/>
          <w:highlight w:val="none"/>
          <w:lang w:val="en-US" w:eastAsia="zh-CN" w:bidi="ar-SA"/>
        </w:rPr>
        <w:t>4、</w:t>
      </w:r>
      <w:r>
        <w:rPr>
          <w:rFonts w:hint="eastAsia" w:ascii="宋体" w:hAnsi="宋体" w:eastAsia="宋体" w:cs="宋体"/>
          <w:b w:val="0"/>
          <w:bCs/>
          <w:sz w:val="24"/>
          <w:szCs w:val="24"/>
          <w:highlight w:val="none"/>
          <w:lang w:val="zh-CN" w:eastAsia="zh-CN" w:bidi="ar-SA"/>
        </w:rPr>
        <w:t>除委托人主动要求外，本合同咨询人在合同文件中所承诺的项目负责人在合同履行期间不得更换，也不得在本项目以外的项目任职。其他专业人员也必须按照咨询人在投标文件中所承诺的人员名单到位。如项目负责人</w:t>
      </w:r>
      <w:r>
        <w:rPr>
          <w:rFonts w:hint="eastAsia" w:ascii="宋体" w:hAnsi="宋体" w:eastAsia="宋体" w:cs="宋体"/>
          <w:b w:val="0"/>
          <w:bCs/>
          <w:kern w:val="0"/>
          <w:sz w:val="24"/>
          <w:szCs w:val="24"/>
          <w:highlight w:val="none"/>
          <w:lang w:val="zh-CN" w:eastAsia="zh-CN" w:bidi="ar-SA"/>
        </w:rPr>
        <w:t>在履行合同的过程中发生更换，或者委托人发现本咨询项目负责人在其他项目任职，则视为严重违约，咨询人将支付委托人</w:t>
      </w:r>
      <w:r>
        <w:rPr>
          <w:rFonts w:hint="eastAsia" w:ascii="宋体" w:hAnsi="宋体" w:eastAsia="宋体" w:cs="宋体"/>
          <w:b w:val="0"/>
          <w:bCs/>
          <w:kern w:val="0"/>
          <w:sz w:val="24"/>
          <w:szCs w:val="24"/>
          <w:highlight w:val="none"/>
          <w:lang w:val="en-US" w:eastAsia="zh-CN" w:bidi="ar-SA"/>
        </w:rPr>
        <w:t>100000</w:t>
      </w:r>
      <w:r>
        <w:rPr>
          <w:rFonts w:hint="eastAsia" w:ascii="宋体" w:hAnsi="宋体" w:eastAsia="宋体" w:cs="宋体"/>
          <w:b w:val="0"/>
          <w:bCs/>
          <w:kern w:val="0"/>
          <w:sz w:val="24"/>
          <w:szCs w:val="24"/>
          <w:highlight w:val="none"/>
          <w:lang w:val="zh-CN" w:eastAsia="zh-CN" w:bidi="ar-SA"/>
        </w:rPr>
        <w:t>元人民币的违约金，变动其他主要人员的，咨询人应向委托人支付违约金人民币</w:t>
      </w:r>
      <w:r>
        <w:rPr>
          <w:rFonts w:hint="eastAsia" w:ascii="宋体" w:hAnsi="宋体" w:eastAsia="宋体" w:cs="宋体"/>
          <w:b w:val="0"/>
          <w:bCs/>
          <w:kern w:val="0"/>
          <w:sz w:val="24"/>
          <w:szCs w:val="24"/>
          <w:highlight w:val="none"/>
          <w:lang w:val="en-US" w:eastAsia="zh-CN" w:bidi="ar-SA"/>
        </w:rPr>
        <w:t>10000</w:t>
      </w:r>
      <w:r>
        <w:rPr>
          <w:rFonts w:hint="eastAsia" w:ascii="宋体" w:hAnsi="宋体" w:eastAsia="宋体" w:cs="宋体"/>
          <w:b w:val="0"/>
          <w:bCs/>
          <w:kern w:val="0"/>
          <w:sz w:val="24"/>
          <w:szCs w:val="24"/>
          <w:highlight w:val="none"/>
          <w:lang w:val="zh-CN" w:eastAsia="zh-CN" w:bidi="ar-SA"/>
        </w:rPr>
        <w:t>元/人次；如委托人通知咨询项目负责人在要求的时间内到场参加会议或主持工作而无故不到场者，每发生一次，咨询人向委托人支付违约金</w:t>
      </w:r>
      <w:r>
        <w:rPr>
          <w:rFonts w:hint="eastAsia" w:ascii="宋体" w:hAnsi="宋体" w:eastAsia="宋体" w:cs="宋体"/>
          <w:b w:val="0"/>
          <w:bCs/>
          <w:kern w:val="0"/>
          <w:sz w:val="24"/>
          <w:szCs w:val="24"/>
          <w:highlight w:val="none"/>
          <w:lang w:val="en-US" w:eastAsia="zh-CN" w:bidi="ar-SA"/>
        </w:rPr>
        <w:t>2</w:t>
      </w:r>
      <w:r>
        <w:rPr>
          <w:rFonts w:hint="eastAsia" w:ascii="宋体" w:hAnsi="宋体" w:eastAsia="宋体" w:cs="宋体"/>
          <w:b w:val="0"/>
          <w:bCs/>
          <w:kern w:val="0"/>
          <w:sz w:val="24"/>
          <w:szCs w:val="24"/>
          <w:highlight w:val="none"/>
          <w:lang w:val="zh-CN" w:eastAsia="zh-CN" w:bidi="ar-SA"/>
        </w:rPr>
        <w:t>000元/次，因特殊情况并取得委托人同意的情况下除外；其他专业人员如发生更换也必须取得委托人的同意且人员水平不能低于代替人员的水平，并保证上述人员的调动不影响咨询服务的连续性。</w:t>
      </w:r>
    </w:p>
    <w:p w14:paraId="0F32DFCA">
      <w:pPr>
        <w:pStyle w:val="40"/>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5、咨询人如违反以上规定，委托人停止项目的委托以及审计工作，情节严重的，由有关部门依据法律规定进行处理，造成经济损失的应给委托单位相应的经济赔偿。</w:t>
      </w:r>
    </w:p>
    <w:p w14:paraId="7321930B">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（三）项目部人员安排 </w:t>
      </w:r>
    </w:p>
    <w:p w14:paraId="307D3D38">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咨询人必须在投标文件中列明常驻现场造价咨询人员的人数及分工，并且派驻的工作人员必须具备国家规定的相关人员执业资格。咨询人应当组建能够满足项目需要的项目组，具有与招标项目规模和复杂程度相适应的专业技术力量。</w:t>
      </w:r>
    </w:p>
    <w:p w14:paraId="0FC1650D">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咨询人拟投入本项目的人员名单见下表（此表应与招标文件第四篇的项目管理机构对应一致）:</w:t>
      </w:r>
    </w:p>
    <w:tbl>
      <w:tblPr>
        <w:tblStyle w:val="30"/>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237"/>
        <w:gridCol w:w="962"/>
        <w:gridCol w:w="1743"/>
        <w:gridCol w:w="1517"/>
        <w:gridCol w:w="1235"/>
      </w:tblGrid>
      <w:tr w14:paraId="4322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128" w:type="dxa"/>
            <w:noWrap w:val="0"/>
            <w:vAlign w:val="center"/>
          </w:tcPr>
          <w:p w14:paraId="5E28DBBB">
            <w:pPr>
              <w:jc w:val="center"/>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在本项目中拟任职务</w:t>
            </w:r>
          </w:p>
        </w:tc>
        <w:tc>
          <w:tcPr>
            <w:tcW w:w="1237" w:type="dxa"/>
            <w:noWrap w:val="0"/>
            <w:vAlign w:val="center"/>
          </w:tcPr>
          <w:p w14:paraId="1E70B3ED">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姓名</w:t>
            </w:r>
          </w:p>
        </w:tc>
        <w:tc>
          <w:tcPr>
            <w:tcW w:w="962" w:type="dxa"/>
            <w:noWrap w:val="0"/>
            <w:vAlign w:val="center"/>
          </w:tcPr>
          <w:p w14:paraId="6D47B773">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年龄</w:t>
            </w:r>
          </w:p>
        </w:tc>
        <w:tc>
          <w:tcPr>
            <w:tcW w:w="1743" w:type="dxa"/>
            <w:noWrap w:val="0"/>
            <w:vAlign w:val="center"/>
          </w:tcPr>
          <w:p w14:paraId="42414058">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执照资格</w:t>
            </w:r>
          </w:p>
        </w:tc>
        <w:tc>
          <w:tcPr>
            <w:tcW w:w="1517" w:type="dxa"/>
            <w:noWrap w:val="0"/>
            <w:vAlign w:val="center"/>
          </w:tcPr>
          <w:p w14:paraId="5943A3B2">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是否驻现场</w:t>
            </w:r>
          </w:p>
        </w:tc>
        <w:tc>
          <w:tcPr>
            <w:tcW w:w="1235" w:type="dxa"/>
            <w:noWrap w:val="0"/>
            <w:vAlign w:val="center"/>
          </w:tcPr>
          <w:p w14:paraId="59627E13">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专业</w:t>
            </w:r>
          </w:p>
        </w:tc>
      </w:tr>
      <w:tr w14:paraId="7219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8" w:type="dxa"/>
            <w:noWrap w:val="0"/>
            <w:vAlign w:val="center"/>
          </w:tcPr>
          <w:p w14:paraId="5BA83DF7">
            <w:pPr>
              <w:jc w:val="center"/>
              <w:rPr>
                <w:rFonts w:hint="eastAsia" w:ascii="宋体" w:hAnsi="宋体" w:eastAsia="宋体" w:cs="宋体"/>
                <w:b w:val="0"/>
                <w:bCs/>
                <w:sz w:val="24"/>
                <w:szCs w:val="24"/>
                <w:highlight w:val="none"/>
              </w:rPr>
            </w:pPr>
          </w:p>
        </w:tc>
        <w:tc>
          <w:tcPr>
            <w:tcW w:w="1237" w:type="dxa"/>
            <w:noWrap w:val="0"/>
            <w:vAlign w:val="center"/>
          </w:tcPr>
          <w:p w14:paraId="7B21F9DB">
            <w:pPr>
              <w:jc w:val="center"/>
              <w:rPr>
                <w:rFonts w:hint="eastAsia" w:ascii="宋体" w:hAnsi="宋体" w:eastAsia="宋体" w:cs="宋体"/>
                <w:b w:val="0"/>
                <w:bCs/>
                <w:sz w:val="24"/>
                <w:szCs w:val="24"/>
                <w:highlight w:val="none"/>
              </w:rPr>
            </w:pPr>
          </w:p>
        </w:tc>
        <w:tc>
          <w:tcPr>
            <w:tcW w:w="962" w:type="dxa"/>
            <w:noWrap w:val="0"/>
            <w:vAlign w:val="center"/>
          </w:tcPr>
          <w:p w14:paraId="40EADD5D">
            <w:pPr>
              <w:jc w:val="center"/>
              <w:rPr>
                <w:rFonts w:hint="eastAsia" w:ascii="宋体" w:hAnsi="宋体" w:eastAsia="宋体" w:cs="宋体"/>
                <w:b w:val="0"/>
                <w:bCs/>
                <w:sz w:val="24"/>
                <w:szCs w:val="24"/>
                <w:highlight w:val="none"/>
              </w:rPr>
            </w:pPr>
          </w:p>
        </w:tc>
        <w:tc>
          <w:tcPr>
            <w:tcW w:w="1743" w:type="dxa"/>
            <w:noWrap w:val="0"/>
            <w:vAlign w:val="center"/>
          </w:tcPr>
          <w:p w14:paraId="61B5D537">
            <w:pPr>
              <w:jc w:val="center"/>
              <w:rPr>
                <w:rFonts w:hint="eastAsia" w:ascii="宋体" w:hAnsi="宋体" w:eastAsia="宋体" w:cs="宋体"/>
                <w:b w:val="0"/>
                <w:bCs/>
                <w:sz w:val="24"/>
                <w:szCs w:val="24"/>
                <w:highlight w:val="none"/>
              </w:rPr>
            </w:pPr>
          </w:p>
        </w:tc>
        <w:tc>
          <w:tcPr>
            <w:tcW w:w="1517" w:type="dxa"/>
            <w:noWrap w:val="0"/>
            <w:vAlign w:val="center"/>
          </w:tcPr>
          <w:p w14:paraId="34149428">
            <w:pPr>
              <w:jc w:val="center"/>
              <w:rPr>
                <w:rFonts w:hint="eastAsia" w:ascii="宋体" w:hAnsi="宋体" w:eastAsia="宋体" w:cs="宋体"/>
                <w:b w:val="0"/>
                <w:bCs/>
                <w:sz w:val="24"/>
                <w:szCs w:val="24"/>
                <w:highlight w:val="none"/>
              </w:rPr>
            </w:pPr>
          </w:p>
        </w:tc>
        <w:tc>
          <w:tcPr>
            <w:tcW w:w="1235" w:type="dxa"/>
            <w:noWrap w:val="0"/>
            <w:vAlign w:val="center"/>
          </w:tcPr>
          <w:p w14:paraId="5992520F">
            <w:pPr>
              <w:jc w:val="center"/>
              <w:rPr>
                <w:rFonts w:hint="eastAsia" w:ascii="宋体" w:hAnsi="宋体" w:eastAsia="宋体" w:cs="宋体"/>
                <w:b w:val="0"/>
                <w:bCs/>
                <w:sz w:val="24"/>
                <w:szCs w:val="24"/>
                <w:highlight w:val="none"/>
              </w:rPr>
            </w:pPr>
          </w:p>
        </w:tc>
      </w:tr>
      <w:tr w14:paraId="055F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8" w:type="dxa"/>
            <w:noWrap w:val="0"/>
            <w:vAlign w:val="center"/>
          </w:tcPr>
          <w:p w14:paraId="1C30F464">
            <w:pPr>
              <w:jc w:val="center"/>
              <w:rPr>
                <w:rFonts w:hint="eastAsia" w:ascii="宋体" w:hAnsi="宋体" w:eastAsia="宋体" w:cs="宋体"/>
                <w:b w:val="0"/>
                <w:bCs/>
                <w:sz w:val="24"/>
                <w:szCs w:val="24"/>
                <w:highlight w:val="none"/>
              </w:rPr>
            </w:pPr>
          </w:p>
        </w:tc>
        <w:tc>
          <w:tcPr>
            <w:tcW w:w="1237" w:type="dxa"/>
            <w:noWrap w:val="0"/>
            <w:vAlign w:val="center"/>
          </w:tcPr>
          <w:p w14:paraId="7B94A365">
            <w:pPr>
              <w:jc w:val="center"/>
              <w:rPr>
                <w:rFonts w:hint="eastAsia" w:ascii="宋体" w:hAnsi="宋体" w:eastAsia="宋体" w:cs="宋体"/>
                <w:b w:val="0"/>
                <w:bCs/>
                <w:sz w:val="24"/>
                <w:szCs w:val="24"/>
                <w:highlight w:val="none"/>
              </w:rPr>
            </w:pPr>
          </w:p>
        </w:tc>
        <w:tc>
          <w:tcPr>
            <w:tcW w:w="962" w:type="dxa"/>
            <w:noWrap w:val="0"/>
            <w:vAlign w:val="center"/>
          </w:tcPr>
          <w:p w14:paraId="5E74012C">
            <w:pPr>
              <w:jc w:val="center"/>
              <w:rPr>
                <w:rFonts w:hint="eastAsia" w:ascii="宋体" w:hAnsi="宋体" w:eastAsia="宋体" w:cs="宋体"/>
                <w:b w:val="0"/>
                <w:bCs/>
                <w:sz w:val="24"/>
                <w:szCs w:val="24"/>
                <w:highlight w:val="none"/>
              </w:rPr>
            </w:pPr>
          </w:p>
        </w:tc>
        <w:tc>
          <w:tcPr>
            <w:tcW w:w="1743" w:type="dxa"/>
            <w:noWrap w:val="0"/>
            <w:vAlign w:val="center"/>
          </w:tcPr>
          <w:p w14:paraId="7D478794">
            <w:pPr>
              <w:jc w:val="center"/>
              <w:rPr>
                <w:rFonts w:hint="eastAsia" w:ascii="宋体" w:hAnsi="宋体" w:eastAsia="宋体" w:cs="宋体"/>
                <w:b w:val="0"/>
                <w:bCs/>
                <w:sz w:val="24"/>
                <w:szCs w:val="24"/>
                <w:highlight w:val="none"/>
              </w:rPr>
            </w:pPr>
          </w:p>
        </w:tc>
        <w:tc>
          <w:tcPr>
            <w:tcW w:w="1517" w:type="dxa"/>
            <w:noWrap w:val="0"/>
            <w:vAlign w:val="center"/>
          </w:tcPr>
          <w:p w14:paraId="3B621FA8">
            <w:pPr>
              <w:jc w:val="center"/>
              <w:rPr>
                <w:rFonts w:hint="eastAsia" w:ascii="宋体" w:hAnsi="宋体" w:eastAsia="宋体" w:cs="宋体"/>
                <w:b w:val="0"/>
                <w:bCs/>
                <w:sz w:val="24"/>
                <w:szCs w:val="24"/>
                <w:highlight w:val="none"/>
              </w:rPr>
            </w:pPr>
          </w:p>
        </w:tc>
        <w:tc>
          <w:tcPr>
            <w:tcW w:w="1235" w:type="dxa"/>
            <w:noWrap w:val="0"/>
            <w:vAlign w:val="center"/>
          </w:tcPr>
          <w:p w14:paraId="6B23ABEF">
            <w:pPr>
              <w:jc w:val="center"/>
              <w:rPr>
                <w:rFonts w:hint="eastAsia" w:ascii="宋体" w:hAnsi="宋体" w:eastAsia="宋体" w:cs="宋体"/>
                <w:b w:val="0"/>
                <w:bCs/>
                <w:sz w:val="24"/>
                <w:szCs w:val="24"/>
                <w:highlight w:val="none"/>
              </w:rPr>
            </w:pPr>
          </w:p>
        </w:tc>
      </w:tr>
      <w:tr w14:paraId="32A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8" w:type="dxa"/>
            <w:noWrap w:val="0"/>
            <w:vAlign w:val="center"/>
          </w:tcPr>
          <w:p w14:paraId="132D3D0A">
            <w:pPr>
              <w:jc w:val="center"/>
              <w:rPr>
                <w:rFonts w:hint="eastAsia" w:ascii="宋体" w:hAnsi="宋体" w:eastAsia="宋体" w:cs="宋体"/>
                <w:b w:val="0"/>
                <w:bCs/>
                <w:sz w:val="24"/>
                <w:szCs w:val="24"/>
                <w:highlight w:val="none"/>
              </w:rPr>
            </w:pPr>
          </w:p>
        </w:tc>
        <w:tc>
          <w:tcPr>
            <w:tcW w:w="1237" w:type="dxa"/>
            <w:noWrap w:val="0"/>
            <w:vAlign w:val="center"/>
          </w:tcPr>
          <w:p w14:paraId="059C92EF">
            <w:pPr>
              <w:jc w:val="center"/>
              <w:rPr>
                <w:rFonts w:hint="eastAsia" w:ascii="宋体" w:hAnsi="宋体" w:eastAsia="宋体" w:cs="宋体"/>
                <w:b w:val="0"/>
                <w:bCs/>
                <w:sz w:val="24"/>
                <w:szCs w:val="24"/>
                <w:highlight w:val="none"/>
              </w:rPr>
            </w:pPr>
          </w:p>
        </w:tc>
        <w:tc>
          <w:tcPr>
            <w:tcW w:w="962" w:type="dxa"/>
            <w:noWrap w:val="0"/>
            <w:vAlign w:val="center"/>
          </w:tcPr>
          <w:p w14:paraId="09A5F0A5">
            <w:pPr>
              <w:jc w:val="center"/>
              <w:rPr>
                <w:rFonts w:hint="eastAsia" w:ascii="宋体" w:hAnsi="宋体" w:eastAsia="宋体" w:cs="宋体"/>
                <w:b w:val="0"/>
                <w:bCs/>
                <w:sz w:val="24"/>
                <w:szCs w:val="24"/>
                <w:highlight w:val="none"/>
              </w:rPr>
            </w:pPr>
          </w:p>
        </w:tc>
        <w:tc>
          <w:tcPr>
            <w:tcW w:w="1743" w:type="dxa"/>
            <w:noWrap w:val="0"/>
            <w:vAlign w:val="center"/>
          </w:tcPr>
          <w:p w14:paraId="42857791">
            <w:pPr>
              <w:jc w:val="center"/>
              <w:rPr>
                <w:rFonts w:hint="eastAsia" w:ascii="宋体" w:hAnsi="宋体" w:eastAsia="宋体" w:cs="宋体"/>
                <w:b w:val="0"/>
                <w:bCs/>
                <w:sz w:val="24"/>
                <w:szCs w:val="24"/>
                <w:highlight w:val="none"/>
              </w:rPr>
            </w:pPr>
          </w:p>
        </w:tc>
        <w:tc>
          <w:tcPr>
            <w:tcW w:w="1517" w:type="dxa"/>
            <w:noWrap w:val="0"/>
            <w:vAlign w:val="center"/>
          </w:tcPr>
          <w:p w14:paraId="2C54F40F">
            <w:pPr>
              <w:jc w:val="center"/>
              <w:rPr>
                <w:rFonts w:hint="eastAsia" w:ascii="宋体" w:hAnsi="宋体" w:eastAsia="宋体" w:cs="宋体"/>
                <w:b w:val="0"/>
                <w:bCs/>
                <w:sz w:val="24"/>
                <w:szCs w:val="24"/>
                <w:highlight w:val="none"/>
              </w:rPr>
            </w:pPr>
          </w:p>
        </w:tc>
        <w:tc>
          <w:tcPr>
            <w:tcW w:w="1235" w:type="dxa"/>
            <w:noWrap w:val="0"/>
            <w:vAlign w:val="center"/>
          </w:tcPr>
          <w:p w14:paraId="7DD699E9">
            <w:pPr>
              <w:jc w:val="center"/>
              <w:rPr>
                <w:rFonts w:hint="eastAsia" w:ascii="宋体" w:hAnsi="宋体" w:eastAsia="宋体" w:cs="宋体"/>
                <w:b w:val="0"/>
                <w:bCs/>
                <w:sz w:val="24"/>
                <w:szCs w:val="24"/>
                <w:highlight w:val="none"/>
              </w:rPr>
            </w:pPr>
          </w:p>
        </w:tc>
      </w:tr>
      <w:tr w14:paraId="7050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8" w:type="dxa"/>
            <w:noWrap w:val="0"/>
            <w:vAlign w:val="center"/>
          </w:tcPr>
          <w:p w14:paraId="5DE5655D">
            <w:pPr>
              <w:jc w:val="center"/>
              <w:rPr>
                <w:rFonts w:hint="eastAsia" w:ascii="宋体" w:hAnsi="宋体" w:eastAsia="宋体" w:cs="宋体"/>
                <w:b w:val="0"/>
                <w:bCs/>
                <w:sz w:val="24"/>
                <w:szCs w:val="24"/>
                <w:highlight w:val="none"/>
              </w:rPr>
            </w:pPr>
          </w:p>
        </w:tc>
        <w:tc>
          <w:tcPr>
            <w:tcW w:w="1237" w:type="dxa"/>
            <w:noWrap w:val="0"/>
            <w:vAlign w:val="center"/>
          </w:tcPr>
          <w:p w14:paraId="6C6D47CF">
            <w:pPr>
              <w:jc w:val="center"/>
              <w:rPr>
                <w:rFonts w:hint="eastAsia" w:ascii="宋体" w:hAnsi="宋体" w:eastAsia="宋体" w:cs="宋体"/>
                <w:b w:val="0"/>
                <w:bCs/>
                <w:sz w:val="24"/>
                <w:szCs w:val="24"/>
                <w:highlight w:val="none"/>
              </w:rPr>
            </w:pPr>
          </w:p>
        </w:tc>
        <w:tc>
          <w:tcPr>
            <w:tcW w:w="962" w:type="dxa"/>
            <w:noWrap w:val="0"/>
            <w:vAlign w:val="center"/>
          </w:tcPr>
          <w:p w14:paraId="7DD71568">
            <w:pPr>
              <w:jc w:val="center"/>
              <w:rPr>
                <w:rFonts w:hint="eastAsia" w:ascii="宋体" w:hAnsi="宋体" w:eastAsia="宋体" w:cs="宋体"/>
                <w:b w:val="0"/>
                <w:bCs/>
                <w:sz w:val="24"/>
                <w:szCs w:val="24"/>
                <w:highlight w:val="none"/>
              </w:rPr>
            </w:pPr>
          </w:p>
        </w:tc>
        <w:tc>
          <w:tcPr>
            <w:tcW w:w="1743" w:type="dxa"/>
            <w:noWrap w:val="0"/>
            <w:vAlign w:val="center"/>
          </w:tcPr>
          <w:p w14:paraId="4151D89C">
            <w:pPr>
              <w:jc w:val="center"/>
              <w:rPr>
                <w:rFonts w:hint="eastAsia" w:ascii="宋体" w:hAnsi="宋体" w:eastAsia="宋体" w:cs="宋体"/>
                <w:b w:val="0"/>
                <w:bCs/>
                <w:sz w:val="24"/>
                <w:szCs w:val="24"/>
                <w:highlight w:val="none"/>
              </w:rPr>
            </w:pPr>
          </w:p>
        </w:tc>
        <w:tc>
          <w:tcPr>
            <w:tcW w:w="1517" w:type="dxa"/>
            <w:noWrap w:val="0"/>
            <w:vAlign w:val="center"/>
          </w:tcPr>
          <w:p w14:paraId="7B54E3EA">
            <w:pPr>
              <w:jc w:val="center"/>
              <w:rPr>
                <w:rFonts w:hint="eastAsia" w:ascii="宋体" w:hAnsi="宋体" w:eastAsia="宋体" w:cs="宋体"/>
                <w:b w:val="0"/>
                <w:bCs/>
                <w:sz w:val="24"/>
                <w:szCs w:val="24"/>
                <w:highlight w:val="none"/>
              </w:rPr>
            </w:pPr>
          </w:p>
        </w:tc>
        <w:tc>
          <w:tcPr>
            <w:tcW w:w="1235" w:type="dxa"/>
            <w:noWrap w:val="0"/>
            <w:vAlign w:val="center"/>
          </w:tcPr>
          <w:p w14:paraId="0DFB5004">
            <w:pPr>
              <w:jc w:val="center"/>
              <w:rPr>
                <w:rFonts w:hint="eastAsia" w:ascii="宋体" w:hAnsi="宋体" w:eastAsia="宋体" w:cs="宋体"/>
                <w:b w:val="0"/>
                <w:bCs/>
                <w:sz w:val="24"/>
                <w:szCs w:val="24"/>
                <w:highlight w:val="none"/>
              </w:rPr>
            </w:pPr>
          </w:p>
        </w:tc>
      </w:tr>
      <w:tr w14:paraId="226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8" w:type="dxa"/>
            <w:noWrap w:val="0"/>
            <w:vAlign w:val="top"/>
          </w:tcPr>
          <w:p w14:paraId="4C6E11D8">
            <w:pPr>
              <w:jc w:val="center"/>
              <w:rPr>
                <w:rFonts w:hint="eastAsia" w:ascii="宋体" w:hAnsi="宋体" w:eastAsia="宋体" w:cs="宋体"/>
                <w:b w:val="0"/>
                <w:bCs/>
                <w:sz w:val="24"/>
                <w:szCs w:val="24"/>
                <w:highlight w:val="none"/>
              </w:rPr>
            </w:pPr>
          </w:p>
        </w:tc>
        <w:tc>
          <w:tcPr>
            <w:tcW w:w="1237" w:type="dxa"/>
            <w:noWrap w:val="0"/>
            <w:vAlign w:val="center"/>
          </w:tcPr>
          <w:p w14:paraId="4F58C839">
            <w:pPr>
              <w:jc w:val="center"/>
              <w:rPr>
                <w:rFonts w:hint="eastAsia" w:ascii="宋体" w:hAnsi="宋体" w:eastAsia="宋体" w:cs="宋体"/>
                <w:b w:val="0"/>
                <w:bCs/>
                <w:sz w:val="24"/>
                <w:szCs w:val="24"/>
                <w:highlight w:val="none"/>
              </w:rPr>
            </w:pPr>
          </w:p>
        </w:tc>
        <w:tc>
          <w:tcPr>
            <w:tcW w:w="962" w:type="dxa"/>
            <w:noWrap w:val="0"/>
            <w:vAlign w:val="center"/>
          </w:tcPr>
          <w:p w14:paraId="1FA74409">
            <w:pPr>
              <w:jc w:val="center"/>
              <w:rPr>
                <w:rFonts w:hint="eastAsia" w:ascii="宋体" w:hAnsi="宋体" w:eastAsia="宋体" w:cs="宋体"/>
                <w:b w:val="0"/>
                <w:bCs/>
                <w:sz w:val="24"/>
                <w:szCs w:val="24"/>
                <w:highlight w:val="none"/>
              </w:rPr>
            </w:pPr>
          </w:p>
        </w:tc>
        <w:tc>
          <w:tcPr>
            <w:tcW w:w="1743" w:type="dxa"/>
            <w:noWrap w:val="0"/>
            <w:vAlign w:val="center"/>
          </w:tcPr>
          <w:p w14:paraId="24105EA9">
            <w:pPr>
              <w:jc w:val="center"/>
              <w:rPr>
                <w:rFonts w:hint="eastAsia" w:ascii="宋体" w:hAnsi="宋体" w:eastAsia="宋体" w:cs="宋体"/>
                <w:b w:val="0"/>
                <w:bCs/>
                <w:sz w:val="24"/>
                <w:szCs w:val="24"/>
                <w:highlight w:val="none"/>
              </w:rPr>
            </w:pPr>
          </w:p>
        </w:tc>
        <w:tc>
          <w:tcPr>
            <w:tcW w:w="1517" w:type="dxa"/>
            <w:noWrap w:val="0"/>
            <w:vAlign w:val="center"/>
          </w:tcPr>
          <w:p w14:paraId="413960E1">
            <w:pPr>
              <w:jc w:val="center"/>
              <w:rPr>
                <w:rFonts w:hint="eastAsia" w:ascii="宋体" w:hAnsi="宋体" w:eastAsia="宋体" w:cs="宋体"/>
                <w:b w:val="0"/>
                <w:bCs/>
                <w:sz w:val="24"/>
                <w:szCs w:val="24"/>
                <w:highlight w:val="none"/>
              </w:rPr>
            </w:pPr>
          </w:p>
        </w:tc>
        <w:tc>
          <w:tcPr>
            <w:tcW w:w="1235" w:type="dxa"/>
            <w:noWrap w:val="0"/>
            <w:vAlign w:val="center"/>
          </w:tcPr>
          <w:p w14:paraId="3FCDFBB8">
            <w:pPr>
              <w:jc w:val="center"/>
              <w:rPr>
                <w:rFonts w:hint="eastAsia" w:ascii="宋体" w:hAnsi="宋体" w:eastAsia="宋体" w:cs="宋体"/>
                <w:b w:val="0"/>
                <w:bCs/>
                <w:sz w:val="24"/>
                <w:szCs w:val="24"/>
                <w:highlight w:val="none"/>
              </w:rPr>
            </w:pPr>
          </w:p>
        </w:tc>
      </w:tr>
      <w:tr w14:paraId="1A61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8" w:type="dxa"/>
            <w:noWrap w:val="0"/>
            <w:vAlign w:val="top"/>
          </w:tcPr>
          <w:p w14:paraId="699D41F1">
            <w:pPr>
              <w:jc w:val="center"/>
              <w:rPr>
                <w:rFonts w:hint="eastAsia" w:ascii="宋体" w:hAnsi="宋体" w:eastAsia="宋体" w:cs="宋体"/>
                <w:b w:val="0"/>
                <w:bCs/>
                <w:sz w:val="24"/>
                <w:szCs w:val="24"/>
                <w:highlight w:val="none"/>
              </w:rPr>
            </w:pPr>
          </w:p>
        </w:tc>
        <w:tc>
          <w:tcPr>
            <w:tcW w:w="1237" w:type="dxa"/>
            <w:noWrap w:val="0"/>
            <w:vAlign w:val="center"/>
          </w:tcPr>
          <w:p w14:paraId="1BEEF2C5">
            <w:pPr>
              <w:jc w:val="center"/>
              <w:rPr>
                <w:rFonts w:hint="eastAsia" w:ascii="宋体" w:hAnsi="宋体" w:eastAsia="宋体" w:cs="宋体"/>
                <w:b w:val="0"/>
                <w:bCs/>
                <w:sz w:val="24"/>
                <w:szCs w:val="24"/>
                <w:highlight w:val="none"/>
              </w:rPr>
            </w:pPr>
          </w:p>
        </w:tc>
        <w:tc>
          <w:tcPr>
            <w:tcW w:w="962" w:type="dxa"/>
            <w:noWrap w:val="0"/>
            <w:vAlign w:val="center"/>
          </w:tcPr>
          <w:p w14:paraId="50FECBEA">
            <w:pPr>
              <w:jc w:val="center"/>
              <w:rPr>
                <w:rFonts w:hint="eastAsia" w:ascii="宋体" w:hAnsi="宋体" w:eastAsia="宋体" w:cs="宋体"/>
                <w:b w:val="0"/>
                <w:bCs/>
                <w:sz w:val="24"/>
                <w:szCs w:val="24"/>
                <w:highlight w:val="none"/>
              </w:rPr>
            </w:pPr>
          </w:p>
        </w:tc>
        <w:tc>
          <w:tcPr>
            <w:tcW w:w="1743" w:type="dxa"/>
            <w:noWrap w:val="0"/>
            <w:vAlign w:val="center"/>
          </w:tcPr>
          <w:p w14:paraId="793581E6">
            <w:pPr>
              <w:jc w:val="center"/>
              <w:rPr>
                <w:rFonts w:hint="eastAsia" w:ascii="宋体" w:hAnsi="宋体" w:eastAsia="宋体" w:cs="宋体"/>
                <w:b w:val="0"/>
                <w:bCs/>
                <w:sz w:val="24"/>
                <w:szCs w:val="24"/>
                <w:highlight w:val="none"/>
              </w:rPr>
            </w:pPr>
          </w:p>
        </w:tc>
        <w:tc>
          <w:tcPr>
            <w:tcW w:w="1517" w:type="dxa"/>
            <w:noWrap w:val="0"/>
            <w:vAlign w:val="center"/>
          </w:tcPr>
          <w:p w14:paraId="66BAE185">
            <w:pPr>
              <w:jc w:val="center"/>
              <w:rPr>
                <w:rFonts w:hint="eastAsia" w:ascii="宋体" w:hAnsi="宋体" w:eastAsia="宋体" w:cs="宋体"/>
                <w:b w:val="0"/>
                <w:bCs/>
                <w:sz w:val="24"/>
                <w:szCs w:val="24"/>
                <w:highlight w:val="none"/>
              </w:rPr>
            </w:pPr>
          </w:p>
        </w:tc>
        <w:tc>
          <w:tcPr>
            <w:tcW w:w="1235" w:type="dxa"/>
            <w:noWrap w:val="0"/>
            <w:vAlign w:val="center"/>
          </w:tcPr>
          <w:p w14:paraId="7ACDDA92">
            <w:pPr>
              <w:jc w:val="center"/>
              <w:rPr>
                <w:rFonts w:hint="eastAsia" w:ascii="宋体" w:hAnsi="宋体" w:eastAsia="宋体" w:cs="宋体"/>
                <w:b w:val="0"/>
                <w:bCs/>
                <w:sz w:val="24"/>
                <w:szCs w:val="24"/>
                <w:highlight w:val="none"/>
              </w:rPr>
            </w:pPr>
          </w:p>
        </w:tc>
      </w:tr>
    </w:tbl>
    <w:p w14:paraId="6B02D064">
      <w:pPr>
        <w:pStyle w:val="27"/>
        <w:spacing w:before="0" w:beforeAutospacing="0" w:after="0" w:afterAutospacing="0" w:line="560" w:lineRule="exac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咨询人应按照承诺的人员数量及名单为委托人提供咨询服务，任何人员的更换需要得到委托人的同意。</w:t>
      </w:r>
    </w:p>
    <w:p w14:paraId="603E9FFB">
      <w:pPr>
        <w:spacing w:line="360" w:lineRule="auto"/>
        <w:rPr>
          <w:rFonts w:hint="eastAsia" w:ascii="宋体" w:hAnsi="宋体" w:eastAsia="宋体" w:cs="宋体"/>
          <w:b/>
          <w:sz w:val="24"/>
          <w:szCs w:val="24"/>
          <w:highlight w:val="none"/>
          <w:u w:val="single"/>
        </w:rPr>
        <w:sectPr>
          <w:footerReference r:id="rId12" w:type="default"/>
          <w:pgSz w:w="11906" w:h="16838"/>
          <w:pgMar w:top="1440" w:right="1800" w:bottom="1440" w:left="1800" w:header="851" w:footer="992" w:gutter="0"/>
          <w:pgNumType w:fmt="decimal"/>
          <w:cols w:space="720" w:num="1"/>
          <w:docGrid w:linePitch="312" w:charSpace="0"/>
        </w:sectPr>
      </w:pPr>
    </w:p>
    <w:p w14:paraId="057C4D52">
      <w:pPr>
        <w:pStyle w:val="3"/>
        <w:spacing w:before="0" w:after="0"/>
        <w:jc w:val="center"/>
        <w:rPr>
          <w:rFonts w:hint="eastAsia" w:ascii="宋体" w:hAnsi="宋体" w:eastAsia="宋体" w:cs="宋体"/>
          <w:sz w:val="24"/>
          <w:szCs w:val="24"/>
          <w:highlight w:val="none"/>
        </w:rPr>
      </w:pPr>
      <w:bookmarkStart w:id="628" w:name="_Toc422322557"/>
      <w:bookmarkStart w:id="629" w:name="_Toc419045126"/>
      <w:r>
        <w:rPr>
          <w:rFonts w:hint="eastAsia" w:ascii="宋体" w:hAnsi="宋体" w:eastAsia="宋体" w:cs="宋体"/>
          <w:sz w:val="24"/>
          <w:szCs w:val="24"/>
          <w:highlight w:val="none"/>
        </w:rPr>
        <w:t>附录A 服务范围及工作内容、酬金一览表</w:t>
      </w:r>
      <w:bookmarkEnd w:id="628"/>
      <w:bookmarkEnd w:id="629"/>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569"/>
        <w:gridCol w:w="1637"/>
        <w:gridCol w:w="1528"/>
        <w:gridCol w:w="1946"/>
        <w:gridCol w:w="584"/>
      </w:tblGrid>
      <w:tr w14:paraId="3017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pct"/>
            <w:gridSpan w:val="2"/>
            <w:noWrap w:val="0"/>
            <w:vAlign w:val="center"/>
          </w:tcPr>
          <w:p w14:paraId="4E22BDB4">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服务范围及工作内容</w:t>
            </w:r>
          </w:p>
        </w:tc>
        <w:tc>
          <w:tcPr>
            <w:tcW w:w="2997" w:type="pct"/>
            <w:gridSpan w:val="3"/>
            <w:noWrap w:val="0"/>
            <w:vAlign w:val="top"/>
          </w:tcPr>
          <w:p w14:paraId="4D0F0D49">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酬金</w:t>
            </w:r>
          </w:p>
        </w:tc>
        <w:tc>
          <w:tcPr>
            <w:tcW w:w="342" w:type="pct"/>
            <w:noWrap w:val="0"/>
            <w:vAlign w:val="top"/>
          </w:tcPr>
          <w:p w14:paraId="60462F4C">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F14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noWrap w:val="0"/>
            <w:vAlign w:val="center"/>
          </w:tcPr>
          <w:p w14:paraId="67C37475">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服务范围</w:t>
            </w:r>
          </w:p>
        </w:tc>
        <w:tc>
          <w:tcPr>
            <w:tcW w:w="919" w:type="pct"/>
            <w:noWrap w:val="0"/>
            <w:vAlign w:val="center"/>
          </w:tcPr>
          <w:p w14:paraId="05FBC1CD">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工作内容</w:t>
            </w:r>
          </w:p>
        </w:tc>
        <w:tc>
          <w:tcPr>
            <w:tcW w:w="960" w:type="pct"/>
            <w:noWrap w:val="0"/>
            <w:vAlign w:val="top"/>
          </w:tcPr>
          <w:p w14:paraId="44EE153B">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收费基数</w:t>
            </w:r>
          </w:p>
        </w:tc>
        <w:tc>
          <w:tcPr>
            <w:tcW w:w="896" w:type="pct"/>
            <w:noWrap w:val="0"/>
            <w:vAlign w:val="top"/>
          </w:tcPr>
          <w:p w14:paraId="56DAC98C">
            <w:pPr>
              <w:pStyle w:val="27"/>
              <w:widowControl w:val="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收费标准（比例）</w:t>
            </w:r>
          </w:p>
        </w:tc>
        <w:tc>
          <w:tcPr>
            <w:tcW w:w="1140" w:type="pct"/>
            <w:noWrap w:val="0"/>
            <w:vAlign w:val="top"/>
          </w:tcPr>
          <w:p w14:paraId="436680E2">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酬金数额（单位：万元）</w:t>
            </w:r>
          </w:p>
        </w:tc>
        <w:tc>
          <w:tcPr>
            <w:tcW w:w="342" w:type="pct"/>
            <w:noWrap w:val="0"/>
            <w:vAlign w:val="top"/>
          </w:tcPr>
          <w:p w14:paraId="3151D87F">
            <w:pPr>
              <w:pStyle w:val="27"/>
              <w:widowControl w:val="0"/>
              <w:spacing w:line="360" w:lineRule="auto"/>
              <w:jc w:val="center"/>
              <w:rPr>
                <w:rFonts w:hint="eastAsia" w:ascii="宋体" w:hAnsi="宋体" w:eastAsia="宋体" w:cs="宋体"/>
                <w:sz w:val="24"/>
                <w:szCs w:val="24"/>
                <w:highlight w:val="none"/>
              </w:rPr>
            </w:pPr>
          </w:p>
        </w:tc>
      </w:tr>
      <w:tr w14:paraId="0E63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noWrap w:val="0"/>
            <w:vAlign w:val="center"/>
          </w:tcPr>
          <w:p w14:paraId="15145296">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工程概算编制</w:t>
            </w:r>
          </w:p>
        </w:tc>
        <w:tc>
          <w:tcPr>
            <w:tcW w:w="919" w:type="pct"/>
            <w:noWrap w:val="0"/>
            <w:vAlign w:val="center"/>
          </w:tcPr>
          <w:p w14:paraId="2FA40112">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4A3FDD76">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中价协2013【35】文</w:t>
            </w:r>
          </w:p>
        </w:tc>
        <w:tc>
          <w:tcPr>
            <w:tcW w:w="896" w:type="pct"/>
            <w:noWrap w:val="0"/>
            <w:vAlign w:val="top"/>
          </w:tcPr>
          <w:p w14:paraId="2CA72F64">
            <w:pPr>
              <w:pStyle w:val="27"/>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1A827E89">
            <w:pPr>
              <w:pStyle w:val="27"/>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00BDE4A4">
            <w:pPr>
              <w:pStyle w:val="27"/>
              <w:widowControl w:val="0"/>
              <w:spacing w:line="360" w:lineRule="auto"/>
              <w:jc w:val="center"/>
              <w:rPr>
                <w:rFonts w:hint="eastAsia" w:ascii="宋体" w:hAnsi="宋体" w:eastAsia="宋体" w:cs="宋体"/>
                <w:sz w:val="24"/>
                <w:szCs w:val="24"/>
                <w:highlight w:val="none"/>
              </w:rPr>
            </w:pPr>
          </w:p>
        </w:tc>
      </w:tr>
      <w:tr w14:paraId="420C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noWrap w:val="0"/>
            <w:vAlign w:val="top"/>
          </w:tcPr>
          <w:p w14:paraId="5B930F01">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工程量清单编制</w:t>
            </w:r>
          </w:p>
        </w:tc>
        <w:tc>
          <w:tcPr>
            <w:tcW w:w="919" w:type="pct"/>
            <w:noWrap w:val="0"/>
            <w:vAlign w:val="top"/>
          </w:tcPr>
          <w:p w14:paraId="07DC4BBA">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01C9627B">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中价协2013【35】文</w:t>
            </w:r>
          </w:p>
        </w:tc>
        <w:tc>
          <w:tcPr>
            <w:tcW w:w="896" w:type="pct"/>
            <w:noWrap w:val="0"/>
            <w:vAlign w:val="top"/>
          </w:tcPr>
          <w:p w14:paraId="73A8150C">
            <w:pPr>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5920BBA3">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39D2FA87">
            <w:pPr>
              <w:widowControl w:val="0"/>
              <w:spacing w:line="360" w:lineRule="auto"/>
              <w:jc w:val="center"/>
              <w:rPr>
                <w:rFonts w:hint="eastAsia" w:ascii="宋体" w:hAnsi="宋体" w:eastAsia="宋体" w:cs="宋体"/>
                <w:sz w:val="24"/>
                <w:szCs w:val="24"/>
                <w:highlight w:val="none"/>
              </w:rPr>
            </w:pPr>
          </w:p>
        </w:tc>
      </w:tr>
      <w:tr w14:paraId="3BAC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noWrap w:val="0"/>
            <w:vAlign w:val="top"/>
          </w:tcPr>
          <w:p w14:paraId="299A6E55">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招标控制价编制</w:t>
            </w:r>
          </w:p>
        </w:tc>
        <w:tc>
          <w:tcPr>
            <w:tcW w:w="919" w:type="pct"/>
            <w:noWrap w:val="0"/>
            <w:vAlign w:val="top"/>
          </w:tcPr>
          <w:p w14:paraId="203AA77C">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32B0175A">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中价协2013【35】文</w:t>
            </w:r>
          </w:p>
        </w:tc>
        <w:tc>
          <w:tcPr>
            <w:tcW w:w="896" w:type="pct"/>
            <w:noWrap w:val="0"/>
            <w:vAlign w:val="top"/>
          </w:tcPr>
          <w:p w14:paraId="25117AD8">
            <w:pPr>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27A951CF">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3B195471">
            <w:pPr>
              <w:widowControl w:val="0"/>
              <w:spacing w:line="360" w:lineRule="auto"/>
              <w:jc w:val="center"/>
              <w:rPr>
                <w:rFonts w:hint="eastAsia" w:ascii="宋体" w:hAnsi="宋体" w:eastAsia="宋体" w:cs="宋体"/>
                <w:sz w:val="24"/>
                <w:szCs w:val="24"/>
                <w:highlight w:val="none"/>
              </w:rPr>
            </w:pPr>
          </w:p>
        </w:tc>
      </w:tr>
      <w:tr w14:paraId="581A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 w:type="pct"/>
            <w:noWrap w:val="0"/>
            <w:vAlign w:val="top"/>
          </w:tcPr>
          <w:p w14:paraId="23B2A639">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工程预算编制</w:t>
            </w:r>
          </w:p>
        </w:tc>
        <w:tc>
          <w:tcPr>
            <w:tcW w:w="919" w:type="pct"/>
            <w:noWrap w:val="0"/>
            <w:vAlign w:val="top"/>
          </w:tcPr>
          <w:p w14:paraId="7DC75244">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71E43749">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中价协2013【35】文</w:t>
            </w:r>
          </w:p>
        </w:tc>
        <w:tc>
          <w:tcPr>
            <w:tcW w:w="896" w:type="pct"/>
            <w:noWrap w:val="0"/>
            <w:vAlign w:val="top"/>
          </w:tcPr>
          <w:p w14:paraId="02E12FAF">
            <w:pPr>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4C56DE72">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600D2B5B">
            <w:pPr>
              <w:widowControl w:val="0"/>
              <w:spacing w:line="360" w:lineRule="auto"/>
              <w:jc w:val="center"/>
              <w:rPr>
                <w:rFonts w:hint="eastAsia" w:ascii="宋体" w:hAnsi="宋体" w:eastAsia="宋体" w:cs="宋体"/>
                <w:sz w:val="24"/>
                <w:szCs w:val="24"/>
                <w:highlight w:val="none"/>
              </w:rPr>
            </w:pPr>
          </w:p>
        </w:tc>
      </w:tr>
      <w:tr w14:paraId="0D46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noWrap w:val="0"/>
            <w:vAlign w:val="top"/>
          </w:tcPr>
          <w:p w14:paraId="303BB5A6">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工程结算审查</w:t>
            </w:r>
          </w:p>
        </w:tc>
        <w:tc>
          <w:tcPr>
            <w:tcW w:w="919" w:type="pct"/>
            <w:noWrap w:val="0"/>
            <w:vAlign w:val="top"/>
          </w:tcPr>
          <w:p w14:paraId="2B8720D1">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2C1DE410">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中价协2013【35】文</w:t>
            </w:r>
          </w:p>
        </w:tc>
        <w:tc>
          <w:tcPr>
            <w:tcW w:w="896" w:type="pct"/>
            <w:noWrap w:val="0"/>
            <w:vAlign w:val="top"/>
          </w:tcPr>
          <w:p w14:paraId="4896236C">
            <w:pPr>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79887981">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6FEF041F">
            <w:pPr>
              <w:widowControl w:val="0"/>
              <w:spacing w:line="360" w:lineRule="auto"/>
              <w:jc w:val="center"/>
              <w:rPr>
                <w:rFonts w:hint="eastAsia" w:ascii="宋体" w:hAnsi="宋体" w:eastAsia="宋体" w:cs="宋体"/>
                <w:sz w:val="24"/>
                <w:szCs w:val="24"/>
                <w:highlight w:val="none"/>
              </w:rPr>
            </w:pPr>
          </w:p>
        </w:tc>
      </w:tr>
      <w:tr w14:paraId="1D31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 w:type="pct"/>
            <w:noWrap w:val="0"/>
            <w:vAlign w:val="top"/>
          </w:tcPr>
          <w:p w14:paraId="2BD100CA">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全过程造价咨询</w:t>
            </w:r>
          </w:p>
        </w:tc>
        <w:tc>
          <w:tcPr>
            <w:tcW w:w="919" w:type="pct"/>
            <w:noWrap w:val="0"/>
            <w:vAlign w:val="top"/>
          </w:tcPr>
          <w:p w14:paraId="7D0F2BFA">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13360FF6">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中价协2013【35】文</w:t>
            </w:r>
          </w:p>
        </w:tc>
        <w:tc>
          <w:tcPr>
            <w:tcW w:w="896" w:type="pct"/>
            <w:noWrap w:val="0"/>
            <w:vAlign w:val="top"/>
          </w:tcPr>
          <w:p w14:paraId="7536158B">
            <w:pPr>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3708817D">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039CA1FD">
            <w:pPr>
              <w:widowControl w:val="0"/>
              <w:spacing w:line="360" w:lineRule="auto"/>
              <w:jc w:val="center"/>
              <w:rPr>
                <w:rFonts w:hint="eastAsia" w:ascii="宋体" w:hAnsi="宋体" w:eastAsia="宋体" w:cs="宋体"/>
                <w:sz w:val="24"/>
                <w:szCs w:val="24"/>
                <w:highlight w:val="none"/>
              </w:rPr>
            </w:pPr>
          </w:p>
        </w:tc>
      </w:tr>
      <w:tr w14:paraId="5093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noWrap w:val="0"/>
            <w:vAlign w:val="top"/>
          </w:tcPr>
          <w:p w14:paraId="29270D40">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919" w:type="pct"/>
            <w:noWrap w:val="0"/>
            <w:vAlign w:val="top"/>
          </w:tcPr>
          <w:p w14:paraId="2E3503F1">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√编制√审核√调整</w:t>
            </w:r>
          </w:p>
        </w:tc>
        <w:tc>
          <w:tcPr>
            <w:tcW w:w="960" w:type="pct"/>
            <w:noWrap w:val="0"/>
            <w:vAlign w:val="top"/>
          </w:tcPr>
          <w:p w14:paraId="01D312D1">
            <w:pPr>
              <w:widowControl w:val="0"/>
              <w:spacing w:line="360" w:lineRule="auto"/>
              <w:jc w:val="center"/>
              <w:rPr>
                <w:rFonts w:hint="eastAsia" w:ascii="宋体" w:hAnsi="宋体" w:eastAsia="宋体" w:cs="宋体"/>
                <w:sz w:val="24"/>
                <w:szCs w:val="24"/>
                <w:highlight w:val="none"/>
              </w:rPr>
            </w:pPr>
          </w:p>
        </w:tc>
        <w:tc>
          <w:tcPr>
            <w:tcW w:w="896" w:type="pct"/>
            <w:noWrap w:val="0"/>
            <w:vAlign w:val="top"/>
          </w:tcPr>
          <w:p w14:paraId="315ABCEF">
            <w:pPr>
              <w:widowControl w:val="0"/>
              <w:spacing w:line="360" w:lineRule="auto"/>
              <w:jc w:val="center"/>
              <w:rPr>
                <w:rFonts w:hint="eastAsia" w:ascii="宋体" w:hAnsi="宋体" w:eastAsia="宋体" w:cs="宋体"/>
                <w:sz w:val="24"/>
                <w:szCs w:val="24"/>
                <w:highlight w:val="none"/>
              </w:rPr>
            </w:pPr>
          </w:p>
        </w:tc>
        <w:tc>
          <w:tcPr>
            <w:tcW w:w="1140" w:type="pct"/>
            <w:noWrap w:val="0"/>
            <w:vAlign w:val="top"/>
          </w:tcPr>
          <w:p w14:paraId="05DC034A">
            <w:pPr>
              <w:widowControl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具体项目按计算确认</w:t>
            </w:r>
          </w:p>
        </w:tc>
        <w:tc>
          <w:tcPr>
            <w:tcW w:w="342" w:type="pct"/>
            <w:noWrap w:val="0"/>
            <w:vAlign w:val="top"/>
          </w:tcPr>
          <w:p w14:paraId="689F98E9">
            <w:pPr>
              <w:widowControl w:val="0"/>
              <w:spacing w:line="360" w:lineRule="auto"/>
              <w:jc w:val="center"/>
              <w:rPr>
                <w:rFonts w:hint="eastAsia" w:ascii="宋体" w:hAnsi="宋体" w:eastAsia="宋体" w:cs="宋体"/>
                <w:sz w:val="24"/>
                <w:szCs w:val="24"/>
                <w:highlight w:val="none"/>
              </w:rPr>
            </w:pPr>
          </w:p>
        </w:tc>
      </w:tr>
    </w:tbl>
    <w:p w14:paraId="4562F27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34F007D3">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注：</w:t>
      </w:r>
      <w:r>
        <w:rPr>
          <w:rFonts w:hint="eastAsia" w:ascii="宋体" w:hAnsi="宋体" w:eastAsia="宋体" w:cs="宋体"/>
          <w:sz w:val="24"/>
          <w:szCs w:val="24"/>
          <w:highlight w:val="none"/>
        </w:rPr>
        <w:t xml:space="preserve"> 附录A中服务范围及工作内容未涉及的可在“其他”项中列明。</w:t>
      </w:r>
    </w:p>
    <w:p w14:paraId="202B16B4">
      <w:pPr>
        <w:rPr>
          <w:rFonts w:hint="eastAsia" w:ascii="宋体" w:hAnsi="宋体" w:eastAsia="宋体" w:cs="宋体"/>
          <w:sz w:val="24"/>
          <w:szCs w:val="24"/>
          <w:highlight w:val="none"/>
        </w:rPr>
      </w:pPr>
      <w:bookmarkStart w:id="630" w:name="_Toc419045127"/>
      <w:bookmarkStart w:id="631" w:name="_Toc422322558"/>
    </w:p>
    <w:p w14:paraId="3F4F1BC3">
      <w:pPr>
        <w:rPr>
          <w:rFonts w:hint="eastAsia" w:ascii="宋体" w:hAnsi="宋体" w:eastAsia="宋体" w:cs="宋体"/>
          <w:sz w:val="24"/>
          <w:szCs w:val="24"/>
          <w:highlight w:val="none"/>
        </w:rPr>
      </w:pPr>
    </w:p>
    <w:p w14:paraId="3A8E6023">
      <w:pPr>
        <w:rPr>
          <w:rFonts w:hint="eastAsia" w:ascii="宋体" w:hAnsi="宋体" w:eastAsia="宋体" w:cs="宋体"/>
          <w:sz w:val="24"/>
          <w:szCs w:val="24"/>
          <w:highlight w:val="none"/>
        </w:rPr>
      </w:pPr>
    </w:p>
    <w:p w14:paraId="595CB9D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820CD18">
      <w:pPr>
        <w:pStyle w:val="3"/>
        <w:spacing w:before="0"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附录B 咨询人提交成果文件一览表</w:t>
      </w:r>
      <w:bookmarkEnd w:id="630"/>
      <w:bookmarkEnd w:id="631"/>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993"/>
        <w:gridCol w:w="1439"/>
        <w:gridCol w:w="1415"/>
        <w:gridCol w:w="1053"/>
        <w:gridCol w:w="1699"/>
      </w:tblGrid>
      <w:tr w14:paraId="4354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542" w:type="pct"/>
            <w:noWrap w:val="0"/>
            <w:vAlign w:val="center"/>
          </w:tcPr>
          <w:p w14:paraId="150F0E34">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服务阶段</w:t>
            </w:r>
          </w:p>
        </w:tc>
        <w:tc>
          <w:tcPr>
            <w:tcW w:w="1169" w:type="pct"/>
            <w:noWrap w:val="0"/>
            <w:vAlign w:val="center"/>
          </w:tcPr>
          <w:p w14:paraId="71EF138D">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成果文件名称</w:t>
            </w:r>
          </w:p>
        </w:tc>
        <w:tc>
          <w:tcPr>
            <w:tcW w:w="844" w:type="pct"/>
            <w:noWrap w:val="0"/>
            <w:vAlign w:val="center"/>
          </w:tcPr>
          <w:p w14:paraId="0487E0F9">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成果文件组成</w:t>
            </w:r>
          </w:p>
        </w:tc>
        <w:tc>
          <w:tcPr>
            <w:tcW w:w="830" w:type="pct"/>
            <w:noWrap w:val="0"/>
            <w:vAlign w:val="center"/>
          </w:tcPr>
          <w:p w14:paraId="505981B9">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提交时间</w:t>
            </w:r>
          </w:p>
        </w:tc>
        <w:tc>
          <w:tcPr>
            <w:tcW w:w="617" w:type="pct"/>
            <w:noWrap w:val="0"/>
            <w:vAlign w:val="center"/>
          </w:tcPr>
          <w:p w14:paraId="1B58C0CD">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份数</w:t>
            </w:r>
          </w:p>
        </w:tc>
        <w:tc>
          <w:tcPr>
            <w:tcW w:w="996" w:type="pct"/>
            <w:noWrap w:val="0"/>
            <w:vAlign w:val="center"/>
          </w:tcPr>
          <w:p w14:paraId="5F10EBE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质量标准</w:t>
            </w:r>
          </w:p>
        </w:tc>
      </w:tr>
      <w:tr w14:paraId="0EBA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exact"/>
          <w:jc w:val="center"/>
        </w:trPr>
        <w:tc>
          <w:tcPr>
            <w:tcW w:w="542" w:type="pct"/>
            <w:vMerge w:val="restart"/>
            <w:noWrap w:val="0"/>
            <w:vAlign w:val="center"/>
          </w:tcPr>
          <w:p w14:paraId="3A8406A0">
            <w:pPr>
              <w:pStyle w:val="27"/>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发承包阶段</w:t>
            </w:r>
          </w:p>
        </w:tc>
        <w:tc>
          <w:tcPr>
            <w:tcW w:w="1169" w:type="pct"/>
            <w:noWrap w:val="0"/>
            <w:vAlign w:val="center"/>
          </w:tcPr>
          <w:p w14:paraId="0693440F">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工程量清单</w:t>
            </w:r>
          </w:p>
        </w:tc>
        <w:tc>
          <w:tcPr>
            <w:tcW w:w="844" w:type="pct"/>
            <w:noWrap w:val="0"/>
            <w:vAlign w:val="center"/>
          </w:tcPr>
          <w:p w14:paraId="6AA53F7C">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按照行业标准要求</w:t>
            </w:r>
          </w:p>
        </w:tc>
        <w:tc>
          <w:tcPr>
            <w:tcW w:w="830" w:type="pct"/>
            <w:noWrap w:val="0"/>
            <w:vAlign w:val="center"/>
          </w:tcPr>
          <w:p w14:paraId="27B74CA4">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按专用条款执行</w:t>
            </w:r>
          </w:p>
        </w:tc>
        <w:tc>
          <w:tcPr>
            <w:tcW w:w="617" w:type="pct"/>
            <w:noWrap w:val="0"/>
            <w:vAlign w:val="top"/>
          </w:tcPr>
          <w:p w14:paraId="5A7A876F">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份</w:t>
            </w:r>
          </w:p>
        </w:tc>
        <w:tc>
          <w:tcPr>
            <w:tcW w:w="996" w:type="pct"/>
            <w:noWrap w:val="0"/>
            <w:vAlign w:val="center"/>
          </w:tcPr>
          <w:p w14:paraId="4B794CB2">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符合国家相关标准</w:t>
            </w:r>
          </w:p>
        </w:tc>
      </w:tr>
      <w:tr w14:paraId="45D7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42" w:type="pct"/>
            <w:vMerge w:val="continue"/>
            <w:noWrap w:val="0"/>
            <w:vAlign w:val="center"/>
          </w:tcPr>
          <w:p w14:paraId="45C5534B">
            <w:pPr>
              <w:pStyle w:val="27"/>
              <w:widowControl w:val="0"/>
              <w:spacing w:line="360" w:lineRule="auto"/>
              <w:jc w:val="center"/>
              <w:rPr>
                <w:rFonts w:hint="eastAsia" w:ascii="宋体" w:hAnsi="宋体" w:eastAsia="宋体" w:cs="宋体"/>
                <w:bCs/>
                <w:sz w:val="24"/>
                <w:szCs w:val="24"/>
                <w:highlight w:val="none"/>
              </w:rPr>
            </w:pPr>
          </w:p>
        </w:tc>
        <w:tc>
          <w:tcPr>
            <w:tcW w:w="1169" w:type="pct"/>
            <w:noWrap w:val="0"/>
            <w:vAlign w:val="center"/>
          </w:tcPr>
          <w:p w14:paraId="28210DE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招标控制价</w:t>
            </w:r>
          </w:p>
        </w:tc>
        <w:tc>
          <w:tcPr>
            <w:tcW w:w="844" w:type="pct"/>
            <w:noWrap w:val="0"/>
            <w:vAlign w:val="top"/>
          </w:tcPr>
          <w:p w14:paraId="57CFF6DB">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按照行业标准要求</w:t>
            </w:r>
          </w:p>
        </w:tc>
        <w:tc>
          <w:tcPr>
            <w:tcW w:w="830" w:type="pct"/>
            <w:noWrap w:val="0"/>
            <w:vAlign w:val="center"/>
          </w:tcPr>
          <w:p w14:paraId="0DCB3283">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按专用条款执行</w:t>
            </w:r>
          </w:p>
        </w:tc>
        <w:tc>
          <w:tcPr>
            <w:tcW w:w="617" w:type="pct"/>
            <w:noWrap w:val="0"/>
            <w:vAlign w:val="top"/>
          </w:tcPr>
          <w:p w14:paraId="2696354C">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份</w:t>
            </w:r>
          </w:p>
        </w:tc>
        <w:tc>
          <w:tcPr>
            <w:tcW w:w="996" w:type="pct"/>
            <w:noWrap w:val="0"/>
            <w:vAlign w:val="center"/>
          </w:tcPr>
          <w:p w14:paraId="6DAC6490">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符合国家相关标准</w:t>
            </w:r>
          </w:p>
        </w:tc>
      </w:tr>
      <w:tr w14:paraId="6F71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542" w:type="pct"/>
            <w:vMerge w:val="continue"/>
            <w:noWrap w:val="0"/>
            <w:vAlign w:val="center"/>
          </w:tcPr>
          <w:p w14:paraId="1BD1C9A4">
            <w:pPr>
              <w:widowControl w:val="0"/>
              <w:spacing w:line="360" w:lineRule="auto"/>
              <w:jc w:val="center"/>
              <w:rPr>
                <w:rFonts w:hint="eastAsia" w:ascii="宋体" w:hAnsi="宋体" w:eastAsia="宋体" w:cs="宋体"/>
                <w:bCs/>
                <w:sz w:val="24"/>
                <w:szCs w:val="24"/>
                <w:highlight w:val="none"/>
              </w:rPr>
            </w:pPr>
          </w:p>
        </w:tc>
        <w:tc>
          <w:tcPr>
            <w:tcW w:w="1169" w:type="pct"/>
            <w:noWrap w:val="0"/>
            <w:vAlign w:val="center"/>
          </w:tcPr>
          <w:p w14:paraId="7F6F6203">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应出具的备案文件</w:t>
            </w:r>
          </w:p>
        </w:tc>
        <w:tc>
          <w:tcPr>
            <w:tcW w:w="844" w:type="pct"/>
            <w:noWrap w:val="0"/>
            <w:vAlign w:val="top"/>
          </w:tcPr>
          <w:p w14:paraId="77F25A5C">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按照行业标准要求</w:t>
            </w:r>
          </w:p>
        </w:tc>
        <w:tc>
          <w:tcPr>
            <w:tcW w:w="830" w:type="pct"/>
            <w:noWrap w:val="0"/>
            <w:vAlign w:val="center"/>
          </w:tcPr>
          <w:p w14:paraId="1662845E">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按专用条款执行</w:t>
            </w:r>
          </w:p>
        </w:tc>
        <w:tc>
          <w:tcPr>
            <w:tcW w:w="617" w:type="pct"/>
            <w:noWrap w:val="0"/>
            <w:vAlign w:val="center"/>
          </w:tcPr>
          <w:p w14:paraId="25BEEFE8">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按要求</w:t>
            </w:r>
          </w:p>
        </w:tc>
        <w:tc>
          <w:tcPr>
            <w:tcW w:w="996" w:type="pct"/>
            <w:noWrap w:val="0"/>
            <w:vAlign w:val="center"/>
          </w:tcPr>
          <w:p w14:paraId="62EFDB73">
            <w:pPr>
              <w:widowControl w:val="0"/>
              <w:spacing w:line="360" w:lineRule="auto"/>
              <w:jc w:val="center"/>
              <w:rPr>
                <w:rFonts w:hint="eastAsia" w:ascii="宋体" w:hAnsi="宋体" w:eastAsia="宋体" w:cs="宋体"/>
                <w:bCs/>
                <w:sz w:val="24"/>
                <w:szCs w:val="24"/>
                <w:highlight w:val="none"/>
              </w:rPr>
            </w:pPr>
          </w:p>
        </w:tc>
      </w:tr>
      <w:tr w14:paraId="199D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542" w:type="pct"/>
            <w:vMerge w:val="restart"/>
            <w:noWrap w:val="0"/>
            <w:vAlign w:val="center"/>
          </w:tcPr>
          <w:p w14:paraId="2E9CE574">
            <w:pPr>
              <w:pStyle w:val="27"/>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实施阶段</w:t>
            </w:r>
          </w:p>
        </w:tc>
        <w:tc>
          <w:tcPr>
            <w:tcW w:w="1169" w:type="pct"/>
            <w:noWrap w:val="0"/>
            <w:vAlign w:val="center"/>
          </w:tcPr>
          <w:p w14:paraId="466408E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进度审核报告</w:t>
            </w:r>
          </w:p>
        </w:tc>
        <w:tc>
          <w:tcPr>
            <w:tcW w:w="844" w:type="pct"/>
            <w:noWrap w:val="0"/>
            <w:vAlign w:val="center"/>
          </w:tcPr>
          <w:p w14:paraId="25D87A2A">
            <w:pPr>
              <w:widowControl w:val="0"/>
              <w:spacing w:line="360" w:lineRule="auto"/>
              <w:jc w:val="center"/>
              <w:rPr>
                <w:rFonts w:hint="eastAsia" w:ascii="宋体" w:hAnsi="宋体" w:eastAsia="宋体" w:cs="宋体"/>
                <w:bCs/>
                <w:sz w:val="24"/>
                <w:szCs w:val="24"/>
                <w:highlight w:val="none"/>
              </w:rPr>
            </w:pPr>
          </w:p>
        </w:tc>
        <w:tc>
          <w:tcPr>
            <w:tcW w:w="830" w:type="pct"/>
            <w:noWrap w:val="0"/>
            <w:vAlign w:val="center"/>
          </w:tcPr>
          <w:p w14:paraId="613E6AB2">
            <w:pPr>
              <w:widowControl w:val="0"/>
              <w:spacing w:line="360" w:lineRule="auto"/>
              <w:jc w:val="center"/>
              <w:rPr>
                <w:rFonts w:hint="eastAsia" w:ascii="宋体" w:hAnsi="宋体" w:eastAsia="宋体" w:cs="宋体"/>
                <w:bCs/>
                <w:sz w:val="24"/>
                <w:szCs w:val="24"/>
                <w:highlight w:val="none"/>
              </w:rPr>
            </w:pPr>
          </w:p>
        </w:tc>
        <w:tc>
          <w:tcPr>
            <w:tcW w:w="617" w:type="pct"/>
            <w:noWrap w:val="0"/>
            <w:vAlign w:val="top"/>
          </w:tcPr>
          <w:p w14:paraId="0996D1A0">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按要求</w:t>
            </w:r>
          </w:p>
        </w:tc>
        <w:tc>
          <w:tcPr>
            <w:tcW w:w="996" w:type="pct"/>
            <w:noWrap w:val="0"/>
            <w:vAlign w:val="top"/>
          </w:tcPr>
          <w:p w14:paraId="10922F2C">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合格</w:t>
            </w:r>
          </w:p>
        </w:tc>
      </w:tr>
      <w:tr w14:paraId="43B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542" w:type="pct"/>
            <w:vMerge w:val="continue"/>
            <w:noWrap w:val="0"/>
            <w:vAlign w:val="center"/>
          </w:tcPr>
          <w:p w14:paraId="2D98523C">
            <w:pPr>
              <w:pStyle w:val="27"/>
              <w:widowControl w:val="0"/>
              <w:spacing w:line="360" w:lineRule="auto"/>
              <w:jc w:val="center"/>
              <w:rPr>
                <w:rFonts w:hint="eastAsia" w:ascii="宋体" w:hAnsi="宋体" w:eastAsia="宋体" w:cs="宋体"/>
                <w:bCs/>
                <w:sz w:val="24"/>
                <w:szCs w:val="24"/>
                <w:highlight w:val="none"/>
              </w:rPr>
            </w:pPr>
          </w:p>
        </w:tc>
        <w:tc>
          <w:tcPr>
            <w:tcW w:w="1169" w:type="pct"/>
            <w:noWrap w:val="0"/>
            <w:vAlign w:val="center"/>
          </w:tcPr>
          <w:p w14:paraId="17449393">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经济性分析报告</w:t>
            </w:r>
          </w:p>
        </w:tc>
        <w:tc>
          <w:tcPr>
            <w:tcW w:w="844" w:type="pct"/>
            <w:noWrap w:val="0"/>
            <w:vAlign w:val="center"/>
          </w:tcPr>
          <w:p w14:paraId="4DD6E28F">
            <w:pPr>
              <w:widowControl w:val="0"/>
              <w:spacing w:line="360" w:lineRule="auto"/>
              <w:jc w:val="center"/>
              <w:rPr>
                <w:rFonts w:hint="eastAsia" w:ascii="宋体" w:hAnsi="宋体" w:eastAsia="宋体" w:cs="宋体"/>
                <w:bCs/>
                <w:sz w:val="24"/>
                <w:szCs w:val="24"/>
                <w:highlight w:val="none"/>
              </w:rPr>
            </w:pPr>
          </w:p>
        </w:tc>
        <w:tc>
          <w:tcPr>
            <w:tcW w:w="830" w:type="pct"/>
            <w:noWrap w:val="0"/>
            <w:vAlign w:val="center"/>
          </w:tcPr>
          <w:p w14:paraId="6577D51C">
            <w:pPr>
              <w:widowControl w:val="0"/>
              <w:spacing w:line="360" w:lineRule="auto"/>
              <w:jc w:val="center"/>
              <w:rPr>
                <w:rFonts w:hint="eastAsia" w:ascii="宋体" w:hAnsi="宋体" w:eastAsia="宋体" w:cs="宋体"/>
                <w:bCs/>
                <w:sz w:val="24"/>
                <w:szCs w:val="24"/>
                <w:highlight w:val="none"/>
              </w:rPr>
            </w:pPr>
          </w:p>
        </w:tc>
        <w:tc>
          <w:tcPr>
            <w:tcW w:w="617" w:type="pct"/>
            <w:noWrap w:val="0"/>
            <w:vAlign w:val="top"/>
          </w:tcPr>
          <w:p w14:paraId="1AAD3E7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按要求</w:t>
            </w:r>
          </w:p>
        </w:tc>
        <w:tc>
          <w:tcPr>
            <w:tcW w:w="996" w:type="pct"/>
            <w:noWrap w:val="0"/>
            <w:vAlign w:val="top"/>
          </w:tcPr>
          <w:p w14:paraId="11482F0E">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合格</w:t>
            </w:r>
          </w:p>
        </w:tc>
      </w:tr>
      <w:tr w14:paraId="7CF4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jc w:val="center"/>
        </w:trPr>
        <w:tc>
          <w:tcPr>
            <w:tcW w:w="542" w:type="pct"/>
            <w:vMerge w:val="continue"/>
            <w:noWrap w:val="0"/>
            <w:vAlign w:val="center"/>
          </w:tcPr>
          <w:p w14:paraId="033BB62A">
            <w:pPr>
              <w:pStyle w:val="27"/>
              <w:widowControl w:val="0"/>
              <w:spacing w:line="360" w:lineRule="auto"/>
              <w:jc w:val="center"/>
              <w:rPr>
                <w:rFonts w:hint="eastAsia" w:ascii="宋体" w:hAnsi="宋体" w:eastAsia="宋体" w:cs="宋体"/>
                <w:bCs/>
                <w:sz w:val="24"/>
                <w:szCs w:val="24"/>
                <w:highlight w:val="none"/>
              </w:rPr>
            </w:pPr>
          </w:p>
        </w:tc>
        <w:tc>
          <w:tcPr>
            <w:tcW w:w="1169" w:type="pct"/>
            <w:noWrap w:val="0"/>
            <w:vAlign w:val="center"/>
          </w:tcPr>
          <w:p w14:paraId="564D67AA">
            <w:pPr>
              <w:widowControl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工程进度情况表</w:t>
            </w:r>
          </w:p>
        </w:tc>
        <w:tc>
          <w:tcPr>
            <w:tcW w:w="844" w:type="pct"/>
            <w:noWrap w:val="0"/>
            <w:vAlign w:val="center"/>
          </w:tcPr>
          <w:p w14:paraId="43D59922">
            <w:pPr>
              <w:widowControl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电子版、纸质版</w:t>
            </w:r>
          </w:p>
        </w:tc>
        <w:tc>
          <w:tcPr>
            <w:tcW w:w="830" w:type="pct"/>
            <w:noWrap w:val="0"/>
            <w:vAlign w:val="center"/>
          </w:tcPr>
          <w:p w14:paraId="3068DBA7">
            <w:pPr>
              <w:widowControl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按专用条款执行</w:t>
            </w:r>
          </w:p>
        </w:tc>
        <w:tc>
          <w:tcPr>
            <w:tcW w:w="617" w:type="pct"/>
            <w:noWrap w:val="0"/>
            <w:vAlign w:val="center"/>
          </w:tcPr>
          <w:p w14:paraId="58B7038D">
            <w:pPr>
              <w:widowControl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1份</w:t>
            </w:r>
          </w:p>
        </w:tc>
        <w:tc>
          <w:tcPr>
            <w:tcW w:w="996" w:type="pct"/>
            <w:noWrap w:val="0"/>
            <w:vAlign w:val="center"/>
          </w:tcPr>
          <w:p w14:paraId="612E19A5">
            <w:pPr>
              <w:widowControl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符合委托人要求</w:t>
            </w:r>
          </w:p>
        </w:tc>
      </w:tr>
      <w:tr w14:paraId="207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542" w:type="pct"/>
            <w:vMerge w:val="continue"/>
            <w:noWrap w:val="0"/>
            <w:vAlign w:val="center"/>
          </w:tcPr>
          <w:p w14:paraId="7D72C145">
            <w:pPr>
              <w:pStyle w:val="27"/>
              <w:widowControl w:val="0"/>
              <w:spacing w:line="360" w:lineRule="auto"/>
              <w:jc w:val="center"/>
              <w:rPr>
                <w:rFonts w:hint="eastAsia" w:ascii="宋体" w:hAnsi="宋体" w:eastAsia="宋体" w:cs="宋体"/>
                <w:bCs/>
                <w:sz w:val="24"/>
                <w:szCs w:val="24"/>
                <w:highlight w:val="none"/>
              </w:rPr>
            </w:pPr>
          </w:p>
        </w:tc>
        <w:tc>
          <w:tcPr>
            <w:tcW w:w="1169" w:type="pct"/>
            <w:noWrap w:val="0"/>
            <w:vAlign w:val="center"/>
          </w:tcPr>
          <w:p w14:paraId="1F723E3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市场价调查成果文件</w:t>
            </w:r>
          </w:p>
        </w:tc>
        <w:tc>
          <w:tcPr>
            <w:tcW w:w="844" w:type="pct"/>
            <w:noWrap w:val="0"/>
            <w:vAlign w:val="center"/>
          </w:tcPr>
          <w:p w14:paraId="6C2E82BB">
            <w:pPr>
              <w:widowControl w:val="0"/>
              <w:spacing w:line="360" w:lineRule="auto"/>
              <w:jc w:val="center"/>
              <w:rPr>
                <w:rFonts w:hint="eastAsia" w:ascii="宋体" w:hAnsi="宋体" w:eastAsia="宋体" w:cs="宋体"/>
                <w:bCs/>
                <w:sz w:val="24"/>
                <w:szCs w:val="24"/>
                <w:highlight w:val="none"/>
              </w:rPr>
            </w:pPr>
          </w:p>
        </w:tc>
        <w:tc>
          <w:tcPr>
            <w:tcW w:w="830" w:type="pct"/>
            <w:noWrap w:val="0"/>
            <w:vAlign w:val="center"/>
          </w:tcPr>
          <w:p w14:paraId="54772494">
            <w:pPr>
              <w:widowControl w:val="0"/>
              <w:spacing w:line="360" w:lineRule="auto"/>
              <w:jc w:val="center"/>
              <w:rPr>
                <w:rFonts w:hint="eastAsia" w:ascii="宋体" w:hAnsi="宋体" w:eastAsia="宋体" w:cs="宋体"/>
                <w:bCs/>
                <w:sz w:val="24"/>
                <w:szCs w:val="24"/>
                <w:highlight w:val="none"/>
              </w:rPr>
            </w:pPr>
          </w:p>
        </w:tc>
        <w:tc>
          <w:tcPr>
            <w:tcW w:w="617" w:type="pct"/>
            <w:noWrap w:val="0"/>
            <w:vAlign w:val="top"/>
          </w:tcPr>
          <w:p w14:paraId="7F997B22">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按要求</w:t>
            </w:r>
          </w:p>
        </w:tc>
        <w:tc>
          <w:tcPr>
            <w:tcW w:w="996" w:type="pct"/>
            <w:noWrap w:val="0"/>
            <w:vAlign w:val="top"/>
          </w:tcPr>
          <w:p w14:paraId="70F08120">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合格</w:t>
            </w:r>
          </w:p>
        </w:tc>
      </w:tr>
      <w:tr w14:paraId="6657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exact"/>
          <w:jc w:val="center"/>
        </w:trPr>
        <w:tc>
          <w:tcPr>
            <w:tcW w:w="542" w:type="pct"/>
            <w:noWrap w:val="0"/>
            <w:vAlign w:val="center"/>
          </w:tcPr>
          <w:p w14:paraId="2177E410">
            <w:pPr>
              <w:pStyle w:val="27"/>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竣工阶段</w:t>
            </w:r>
          </w:p>
        </w:tc>
        <w:tc>
          <w:tcPr>
            <w:tcW w:w="1169" w:type="pct"/>
            <w:noWrap w:val="0"/>
            <w:vAlign w:val="center"/>
          </w:tcPr>
          <w:p w14:paraId="546A54B8">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工程结算相关资料（含委托人移交的所有资料）</w:t>
            </w:r>
          </w:p>
        </w:tc>
        <w:tc>
          <w:tcPr>
            <w:tcW w:w="844" w:type="pct"/>
            <w:noWrap w:val="0"/>
            <w:vAlign w:val="center"/>
          </w:tcPr>
          <w:p w14:paraId="774FAED4">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按照行业标准要求</w:t>
            </w:r>
          </w:p>
        </w:tc>
        <w:tc>
          <w:tcPr>
            <w:tcW w:w="830" w:type="pct"/>
            <w:noWrap w:val="0"/>
            <w:vAlign w:val="center"/>
          </w:tcPr>
          <w:p w14:paraId="3CA8EEC3">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按专用条款执行</w:t>
            </w:r>
          </w:p>
        </w:tc>
        <w:tc>
          <w:tcPr>
            <w:tcW w:w="617" w:type="pct"/>
            <w:noWrap w:val="0"/>
            <w:vAlign w:val="center"/>
          </w:tcPr>
          <w:p w14:paraId="422C9977">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份</w:t>
            </w:r>
          </w:p>
        </w:tc>
        <w:tc>
          <w:tcPr>
            <w:tcW w:w="996" w:type="pct"/>
            <w:noWrap w:val="0"/>
            <w:vAlign w:val="center"/>
          </w:tcPr>
          <w:p w14:paraId="1653820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符合国家相关标准 正负3%以内二审结论</w:t>
            </w:r>
          </w:p>
        </w:tc>
      </w:tr>
      <w:tr w14:paraId="2C9B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jc w:val="center"/>
        </w:trPr>
        <w:tc>
          <w:tcPr>
            <w:tcW w:w="542" w:type="pct"/>
            <w:vMerge w:val="restart"/>
            <w:noWrap w:val="0"/>
            <w:vAlign w:val="center"/>
          </w:tcPr>
          <w:p w14:paraId="36477769">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其他服务</w:t>
            </w:r>
          </w:p>
        </w:tc>
        <w:tc>
          <w:tcPr>
            <w:tcW w:w="1169" w:type="pct"/>
            <w:noWrap w:val="0"/>
            <w:vAlign w:val="center"/>
          </w:tcPr>
          <w:p w14:paraId="34EE8F2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配合二审及竣工决算审计</w:t>
            </w:r>
          </w:p>
        </w:tc>
        <w:tc>
          <w:tcPr>
            <w:tcW w:w="844" w:type="pct"/>
            <w:noWrap w:val="0"/>
            <w:vAlign w:val="center"/>
          </w:tcPr>
          <w:p w14:paraId="1FED6C51">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按照行业标准要求</w:t>
            </w:r>
          </w:p>
        </w:tc>
        <w:tc>
          <w:tcPr>
            <w:tcW w:w="830" w:type="pct"/>
            <w:noWrap w:val="0"/>
            <w:vAlign w:val="center"/>
          </w:tcPr>
          <w:p w14:paraId="3E4D3D25">
            <w:pPr>
              <w:widowControl w:val="0"/>
              <w:spacing w:line="360" w:lineRule="auto"/>
              <w:jc w:val="center"/>
              <w:rPr>
                <w:rFonts w:hint="eastAsia" w:ascii="宋体" w:hAnsi="宋体" w:eastAsia="宋体" w:cs="宋体"/>
                <w:bCs/>
                <w:sz w:val="24"/>
                <w:szCs w:val="24"/>
                <w:highlight w:val="none"/>
              </w:rPr>
            </w:pPr>
          </w:p>
        </w:tc>
        <w:tc>
          <w:tcPr>
            <w:tcW w:w="617" w:type="pct"/>
            <w:noWrap w:val="0"/>
            <w:vAlign w:val="center"/>
          </w:tcPr>
          <w:p w14:paraId="2F598FF2">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按要求</w:t>
            </w:r>
          </w:p>
        </w:tc>
        <w:tc>
          <w:tcPr>
            <w:tcW w:w="996" w:type="pct"/>
            <w:noWrap w:val="0"/>
            <w:vAlign w:val="center"/>
          </w:tcPr>
          <w:p w14:paraId="0B95B510">
            <w:pPr>
              <w:widowControl w:val="0"/>
              <w:spacing w:line="360" w:lineRule="auto"/>
              <w:jc w:val="center"/>
              <w:rPr>
                <w:rFonts w:hint="eastAsia" w:ascii="宋体" w:hAnsi="宋体" w:eastAsia="宋体" w:cs="宋体"/>
                <w:bCs/>
                <w:sz w:val="24"/>
                <w:szCs w:val="24"/>
                <w:highlight w:val="none"/>
              </w:rPr>
            </w:pPr>
          </w:p>
        </w:tc>
      </w:tr>
      <w:tr w14:paraId="78E6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exact"/>
          <w:jc w:val="center"/>
        </w:trPr>
        <w:tc>
          <w:tcPr>
            <w:tcW w:w="542" w:type="pct"/>
            <w:vMerge w:val="continue"/>
            <w:noWrap w:val="0"/>
            <w:vAlign w:val="center"/>
          </w:tcPr>
          <w:p w14:paraId="44A6AABC">
            <w:pPr>
              <w:widowControl w:val="0"/>
              <w:spacing w:line="360" w:lineRule="auto"/>
              <w:jc w:val="center"/>
              <w:rPr>
                <w:rFonts w:hint="eastAsia" w:ascii="宋体" w:hAnsi="宋体" w:eastAsia="宋体" w:cs="宋体"/>
                <w:bCs/>
                <w:sz w:val="24"/>
                <w:szCs w:val="24"/>
                <w:highlight w:val="none"/>
              </w:rPr>
            </w:pPr>
          </w:p>
        </w:tc>
        <w:tc>
          <w:tcPr>
            <w:tcW w:w="1169" w:type="pct"/>
            <w:noWrap w:val="0"/>
            <w:vAlign w:val="center"/>
          </w:tcPr>
          <w:p w14:paraId="29CF4971">
            <w:pPr>
              <w:widowControl w:val="0"/>
              <w:spacing w:line="36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背靠背复核</w:t>
            </w:r>
          </w:p>
        </w:tc>
        <w:tc>
          <w:tcPr>
            <w:tcW w:w="844" w:type="pct"/>
            <w:noWrap w:val="0"/>
            <w:vAlign w:val="center"/>
          </w:tcPr>
          <w:p w14:paraId="5723D57E">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按照行业标准要求</w:t>
            </w:r>
          </w:p>
        </w:tc>
        <w:tc>
          <w:tcPr>
            <w:tcW w:w="830" w:type="pct"/>
            <w:noWrap w:val="0"/>
            <w:vAlign w:val="center"/>
          </w:tcPr>
          <w:p w14:paraId="5FE81DEA">
            <w:pPr>
              <w:widowControl w:val="0"/>
              <w:spacing w:line="360" w:lineRule="auto"/>
              <w:jc w:val="both"/>
              <w:rPr>
                <w:rFonts w:hint="eastAsia" w:ascii="宋体" w:hAnsi="宋体" w:eastAsia="宋体" w:cs="宋体"/>
                <w:bCs/>
                <w:sz w:val="24"/>
                <w:szCs w:val="24"/>
                <w:highlight w:val="none"/>
                <w:lang w:val="en-US" w:eastAsia="zh-CN"/>
              </w:rPr>
            </w:pPr>
          </w:p>
        </w:tc>
        <w:tc>
          <w:tcPr>
            <w:tcW w:w="617" w:type="pct"/>
            <w:noWrap w:val="0"/>
            <w:vAlign w:val="center"/>
          </w:tcPr>
          <w:p w14:paraId="79CD406B">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按要求</w:t>
            </w:r>
          </w:p>
        </w:tc>
        <w:tc>
          <w:tcPr>
            <w:tcW w:w="996" w:type="pct"/>
            <w:noWrap w:val="0"/>
            <w:vAlign w:val="center"/>
          </w:tcPr>
          <w:p w14:paraId="47A66AA6">
            <w:pPr>
              <w:widowControl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符合国家相关标准</w:t>
            </w:r>
          </w:p>
        </w:tc>
      </w:tr>
      <w:bookmarkEnd w:id="461"/>
    </w:tbl>
    <w:p w14:paraId="303727D2">
      <w:pPr>
        <w:pStyle w:val="3"/>
        <w:numPr>
          <w:ilvl w:val="0"/>
          <w:numId w:val="0"/>
        </w:numPr>
        <w:ind w:left="420" w:leftChars="0" w:hanging="420" w:firstLineChars="0"/>
        <w:rPr>
          <w:i w:val="0"/>
          <w:iCs w:val="0"/>
          <w:color w:val="auto"/>
          <w:highlight w:val="none"/>
        </w:rPr>
      </w:pPr>
      <w:bookmarkStart w:id="632" w:name="_Toc4816"/>
      <w:bookmarkStart w:id="633" w:name="_Toc16349364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32"/>
      <w:bookmarkEnd w:id="633"/>
    </w:p>
    <w:p w14:paraId="6EC4C082">
      <w:pPr>
        <w:ind w:firstLine="480" w:firstLineChars="200"/>
        <w:rPr>
          <w:rFonts w:hint="eastAsia" w:cs="仿宋_GB2312"/>
          <w:i w:val="0"/>
          <w:iCs w:val="0"/>
          <w:color w:val="auto"/>
          <w:highlight w:val="none"/>
          <w:lang w:val="zh-CN"/>
        </w:rPr>
      </w:pPr>
    </w:p>
    <w:p w14:paraId="66F9DB6D">
      <w:pPr>
        <w:ind w:firstLine="480" w:firstLineChars="200"/>
        <w:rPr>
          <w:rFonts w:hint="eastAsia" w:cs="仿宋_GB2312"/>
          <w:i w:val="0"/>
          <w:iCs w:val="0"/>
          <w:color w:val="auto"/>
          <w:highlight w:val="none"/>
          <w:lang w:val="zh-CN"/>
        </w:rPr>
      </w:pPr>
    </w:p>
    <w:p w14:paraId="0F1E5057">
      <w:pPr>
        <w:ind w:firstLine="480" w:firstLineChars="200"/>
        <w:rPr>
          <w:rFonts w:hint="eastAsia" w:cs="仿宋_GB2312"/>
          <w:i w:val="0"/>
          <w:iCs w:val="0"/>
          <w:color w:val="auto"/>
          <w:highlight w:val="none"/>
          <w:lang w:val="zh-CN"/>
        </w:rPr>
      </w:pPr>
    </w:p>
    <w:p w14:paraId="02C1CDE2">
      <w:pPr>
        <w:ind w:firstLine="480" w:firstLineChars="200"/>
        <w:rPr>
          <w:rFonts w:hint="eastAsia" w:cs="仿宋_GB2312"/>
          <w:i w:val="0"/>
          <w:iCs w:val="0"/>
          <w:color w:val="auto"/>
          <w:highlight w:val="none"/>
          <w:lang w:val="zh-CN"/>
        </w:rPr>
      </w:pPr>
    </w:p>
    <w:p w14:paraId="5FD4F8BE">
      <w:pPr>
        <w:ind w:firstLine="480" w:firstLineChars="200"/>
        <w:rPr>
          <w:rFonts w:hint="eastAsia" w:cs="仿宋_GB2312"/>
          <w:i w:val="0"/>
          <w:iCs w:val="0"/>
          <w:color w:val="auto"/>
          <w:highlight w:val="none"/>
          <w:lang w:val="zh-CN"/>
        </w:rPr>
      </w:pPr>
    </w:p>
    <w:p w14:paraId="40FD170D">
      <w:pPr>
        <w:ind w:firstLine="480" w:firstLineChars="200"/>
        <w:rPr>
          <w:rFonts w:hint="eastAsia" w:cs="仿宋_GB2312"/>
          <w:i w:val="0"/>
          <w:iCs w:val="0"/>
          <w:color w:val="auto"/>
          <w:highlight w:val="none"/>
          <w:lang w:val="zh-CN"/>
        </w:rPr>
      </w:pPr>
    </w:p>
    <w:p w14:paraId="333C12D2">
      <w:pPr>
        <w:ind w:firstLine="480" w:firstLineChars="200"/>
        <w:rPr>
          <w:rFonts w:hint="eastAsia" w:cs="仿宋_GB2312"/>
          <w:i w:val="0"/>
          <w:iCs w:val="0"/>
          <w:color w:val="auto"/>
          <w:highlight w:val="none"/>
          <w:lang w:val="zh-CN"/>
        </w:rPr>
      </w:pPr>
    </w:p>
    <w:p w14:paraId="0DC5F5FB">
      <w:pPr>
        <w:ind w:firstLine="480" w:firstLineChars="200"/>
        <w:rPr>
          <w:rFonts w:hint="eastAsia" w:cs="仿宋_GB2312"/>
          <w:i w:val="0"/>
          <w:iCs w:val="0"/>
          <w:color w:val="auto"/>
          <w:highlight w:val="none"/>
          <w:lang w:val="zh-CN"/>
        </w:rPr>
      </w:pPr>
    </w:p>
    <w:p w14:paraId="7D5CE0DF">
      <w:pPr>
        <w:ind w:firstLine="480" w:firstLineChars="200"/>
        <w:rPr>
          <w:rFonts w:hint="eastAsia" w:cs="仿宋_GB2312"/>
          <w:i w:val="0"/>
          <w:iCs w:val="0"/>
          <w:color w:val="auto"/>
          <w:highlight w:val="none"/>
          <w:lang w:val="zh-CN"/>
        </w:rPr>
      </w:pPr>
    </w:p>
    <w:p w14:paraId="226FEC9F">
      <w:pPr>
        <w:ind w:firstLine="480" w:firstLineChars="200"/>
        <w:rPr>
          <w:rFonts w:hint="eastAsia" w:cs="仿宋_GB2312"/>
          <w:i w:val="0"/>
          <w:iCs w:val="0"/>
          <w:color w:val="auto"/>
          <w:highlight w:val="none"/>
          <w:lang w:val="zh-CN"/>
        </w:rPr>
      </w:pPr>
    </w:p>
    <w:p w14:paraId="3B193948">
      <w:pPr>
        <w:ind w:firstLine="480" w:firstLineChars="200"/>
        <w:rPr>
          <w:rFonts w:hint="eastAsia" w:cs="仿宋_GB2312"/>
          <w:i w:val="0"/>
          <w:iCs w:val="0"/>
          <w:color w:val="auto"/>
          <w:highlight w:val="none"/>
          <w:lang w:val="zh-CN"/>
        </w:rPr>
      </w:pPr>
    </w:p>
    <w:p w14:paraId="25528327">
      <w:pPr>
        <w:ind w:firstLine="480" w:firstLineChars="200"/>
        <w:rPr>
          <w:rFonts w:hint="eastAsia" w:cs="仿宋_GB2312"/>
          <w:i w:val="0"/>
          <w:iCs w:val="0"/>
          <w:color w:val="auto"/>
          <w:highlight w:val="none"/>
          <w:lang w:val="zh-CN"/>
        </w:rPr>
      </w:pPr>
    </w:p>
    <w:p w14:paraId="6F2846A3">
      <w:pPr>
        <w:ind w:firstLine="480" w:firstLineChars="200"/>
        <w:rPr>
          <w:rFonts w:hint="eastAsia" w:cs="仿宋_GB2312"/>
          <w:i w:val="0"/>
          <w:iCs w:val="0"/>
          <w:color w:val="auto"/>
          <w:highlight w:val="none"/>
          <w:lang w:val="zh-CN"/>
        </w:rPr>
      </w:pPr>
    </w:p>
    <w:p w14:paraId="6D7EA01B">
      <w:pPr>
        <w:ind w:firstLine="480" w:firstLineChars="200"/>
        <w:rPr>
          <w:rFonts w:hint="eastAsia" w:cs="仿宋_GB2312"/>
          <w:i w:val="0"/>
          <w:iCs w:val="0"/>
          <w:color w:val="auto"/>
          <w:highlight w:val="none"/>
          <w:lang w:val="zh-CN"/>
        </w:rPr>
      </w:pPr>
    </w:p>
    <w:p w14:paraId="1FA1C6E4">
      <w:pPr>
        <w:ind w:firstLine="480" w:firstLineChars="200"/>
        <w:rPr>
          <w:rFonts w:hint="eastAsia" w:cs="仿宋_GB2312"/>
          <w:i w:val="0"/>
          <w:iCs w:val="0"/>
          <w:color w:val="auto"/>
          <w:highlight w:val="none"/>
          <w:lang w:val="zh-CN"/>
        </w:rPr>
      </w:pPr>
    </w:p>
    <w:p w14:paraId="7080018F">
      <w:pPr>
        <w:ind w:firstLine="480" w:firstLineChars="200"/>
        <w:rPr>
          <w:rFonts w:hint="eastAsia" w:cs="仿宋_GB2312"/>
          <w:i w:val="0"/>
          <w:iCs w:val="0"/>
          <w:color w:val="auto"/>
          <w:highlight w:val="none"/>
          <w:lang w:val="zh-CN"/>
        </w:rPr>
      </w:pPr>
    </w:p>
    <w:p w14:paraId="4B79049E">
      <w:pPr>
        <w:ind w:firstLine="480" w:firstLineChars="200"/>
        <w:rPr>
          <w:rFonts w:hint="eastAsia" w:cs="仿宋_GB2312"/>
          <w:i w:val="0"/>
          <w:iCs w:val="0"/>
          <w:color w:val="auto"/>
          <w:highlight w:val="none"/>
          <w:lang w:val="zh-CN"/>
        </w:rPr>
      </w:pPr>
    </w:p>
    <w:p w14:paraId="690F05F4">
      <w:pPr>
        <w:ind w:firstLine="480" w:firstLineChars="200"/>
        <w:rPr>
          <w:rFonts w:hint="eastAsia" w:cs="仿宋_GB2312"/>
          <w:i w:val="0"/>
          <w:iCs w:val="0"/>
          <w:color w:val="auto"/>
          <w:highlight w:val="none"/>
          <w:lang w:val="zh-CN"/>
        </w:rPr>
      </w:pPr>
    </w:p>
    <w:p w14:paraId="6ED94B89">
      <w:pPr>
        <w:ind w:firstLine="480" w:firstLineChars="200"/>
        <w:rPr>
          <w:rFonts w:hint="eastAsia" w:cs="仿宋_GB2312"/>
          <w:i w:val="0"/>
          <w:iCs w:val="0"/>
          <w:color w:val="auto"/>
          <w:highlight w:val="none"/>
          <w:lang w:val="zh-CN"/>
        </w:rPr>
      </w:pPr>
    </w:p>
    <w:p w14:paraId="7DE59651">
      <w:pPr>
        <w:ind w:firstLine="480" w:firstLineChars="200"/>
        <w:rPr>
          <w:rFonts w:hint="eastAsia" w:cs="仿宋_GB2312"/>
          <w:i w:val="0"/>
          <w:iCs w:val="0"/>
          <w:color w:val="auto"/>
          <w:highlight w:val="none"/>
          <w:lang w:val="zh-CN"/>
        </w:rPr>
      </w:pPr>
    </w:p>
    <w:p w14:paraId="0D899E1D">
      <w:pPr>
        <w:ind w:firstLine="480" w:firstLineChars="200"/>
        <w:rPr>
          <w:rFonts w:hint="eastAsia" w:cs="仿宋_GB2312"/>
          <w:i w:val="0"/>
          <w:iCs w:val="0"/>
          <w:color w:val="auto"/>
          <w:highlight w:val="none"/>
          <w:lang w:val="zh-CN"/>
        </w:rPr>
      </w:pPr>
    </w:p>
    <w:p w14:paraId="6EA0DF60">
      <w:pPr>
        <w:ind w:firstLine="480" w:firstLineChars="200"/>
        <w:rPr>
          <w:rFonts w:hint="eastAsia" w:cs="仿宋_GB2312"/>
          <w:i w:val="0"/>
          <w:iCs w:val="0"/>
          <w:color w:val="auto"/>
          <w:highlight w:val="none"/>
          <w:lang w:val="zh-CN"/>
        </w:rPr>
      </w:pPr>
    </w:p>
    <w:p w14:paraId="3D40132F">
      <w:pPr>
        <w:ind w:firstLine="480" w:firstLineChars="200"/>
        <w:rPr>
          <w:rFonts w:hint="eastAsia" w:cs="仿宋_GB2312"/>
          <w:i w:val="0"/>
          <w:iCs w:val="0"/>
          <w:color w:val="auto"/>
          <w:szCs w:val="24"/>
          <w:highlight w:val="none"/>
          <w:lang w:val="zh-CN"/>
        </w:rPr>
      </w:pPr>
    </w:p>
    <w:p w14:paraId="031FC1D0">
      <w:pPr>
        <w:rPr>
          <w:rFonts w:hint="eastAsia" w:cs="仿宋_GB2312"/>
          <w:i w:val="0"/>
          <w:iCs w:val="0"/>
          <w:color w:val="auto"/>
          <w:szCs w:val="24"/>
          <w:highlight w:val="none"/>
          <w:lang w:val="zh-CN"/>
        </w:rPr>
      </w:pPr>
      <w:r>
        <w:rPr>
          <w:rFonts w:hint="eastAsia" w:cs="仿宋_GB2312"/>
          <w:i w:val="0"/>
          <w:iCs w:val="0"/>
          <w:color w:val="auto"/>
          <w:szCs w:val="24"/>
          <w:highlight w:val="none"/>
          <w:lang w:val="zh-CN"/>
        </w:rPr>
        <w:br w:type="page"/>
      </w:r>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pStyle w:val="3"/>
        <w:bidi w:val="0"/>
        <w:spacing w:line="360" w:lineRule="auto"/>
        <w:rPr>
          <w:rFonts w:hint="eastAsia"/>
          <w:color w:val="auto"/>
          <w:sz w:val="48"/>
          <w:szCs w:val="48"/>
          <w:highlight w:val="none"/>
        </w:rPr>
      </w:pPr>
      <w:bookmarkStart w:id="634" w:name="_Toc12918"/>
      <w:r>
        <w:rPr>
          <w:rFonts w:hint="eastAsia"/>
          <w:color w:val="auto"/>
          <w:sz w:val="48"/>
          <w:szCs w:val="48"/>
          <w:highlight w:val="none"/>
          <w:lang w:val="en-US" w:eastAsia="zh-CN"/>
        </w:rPr>
        <w:t>响</w:t>
      </w:r>
      <w:r>
        <w:rPr>
          <w:rFonts w:hint="eastAsia"/>
          <w:color w:val="auto"/>
          <w:sz w:val="48"/>
          <w:szCs w:val="48"/>
          <w:highlight w:val="none"/>
        </w:rPr>
        <w:t xml:space="preserve"> </w:t>
      </w:r>
      <w:r>
        <w:rPr>
          <w:rFonts w:hint="eastAsia"/>
          <w:color w:val="auto"/>
          <w:sz w:val="48"/>
          <w:szCs w:val="48"/>
          <w:highlight w:val="none"/>
          <w:lang w:val="en-US" w:eastAsia="zh-CN"/>
        </w:rPr>
        <w:t>应</w:t>
      </w:r>
      <w:r>
        <w:rPr>
          <w:rFonts w:hint="eastAsia"/>
          <w:color w:val="auto"/>
          <w:sz w:val="48"/>
          <w:szCs w:val="48"/>
          <w:highlight w:val="none"/>
        </w:rPr>
        <w:t xml:space="preserve"> 文 件</w:t>
      </w:r>
      <w:bookmarkEnd w:id="634"/>
    </w:p>
    <w:p w14:paraId="7053976A">
      <w:pPr>
        <w:pStyle w:val="3"/>
        <w:bidi w:val="0"/>
        <w:spacing w:line="360" w:lineRule="auto"/>
        <w:rPr>
          <w:rFonts w:hint="eastAsia"/>
          <w:color w:val="auto"/>
          <w:sz w:val="48"/>
          <w:szCs w:val="48"/>
          <w:highlight w:val="none"/>
        </w:rPr>
      </w:pPr>
      <w:bookmarkStart w:id="635" w:name="_Toc22197"/>
      <w:r>
        <w:rPr>
          <w:rFonts w:hint="eastAsia"/>
          <w:color w:val="auto"/>
          <w:sz w:val="48"/>
          <w:szCs w:val="48"/>
          <w:highlight w:val="none"/>
        </w:rPr>
        <w:t>资格证明文件</w:t>
      </w:r>
      <w:bookmarkEnd w:id="635"/>
    </w:p>
    <w:p w14:paraId="11B2218D">
      <w:pPr>
        <w:autoSpaceDE w:val="0"/>
        <w:autoSpaceDN w:val="0"/>
        <w:adjustRightInd w:val="0"/>
        <w:rPr>
          <w:b/>
          <w:bCs/>
          <w:i w:val="0"/>
          <w:iCs w:val="0"/>
          <w:color w:val="auto"/>
          <w:sz w:val="22"/>
          <w:highlight w:val="none"/>
        </w:rPr>
      </w:pPr>
    </w:p>
    <w:p w14:paraId="06BBF80E">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7EDE7CD9">
      <w:pPr>
        <w:autoSpaceDE w:val="0"/>
        <w:autoSpaceDN w:val="0"/>
        <w:adjustRightInd w:val="0"/>
        <w:outlineLvl w:val="9"/>
        <w:rPr>
          <w:i w:val="0"/>
          <w:iCs w:val="0"/>
          <w:color w:val="auto"/>
          <w:sz w:val="21"/>
          <w:szCs w:val="21"/>
          <w:highlight w:val="none"/>
        </w:rPr>
      </w:pPr>
    </w:p>
    <w:p w14:paraId="42DB1859">
      <w:pPr>
        <w:outlineLvl w:val="9"/>
        <w:rPr>
          <w:i w:val="0"/>
          <w:iCs w:val="0"/>
          <w:color w:val="auto"/>
          <w:highlight w:val="none"/>
        </w:rPr>
      </w:pPr>
    </w:p>
    <w:p w14:paraId="30EB22E6">
      <w:pPr>
        <w:autoSpaceDE w:val="0"/>
        <w:autoSpaceDN w:val="0"/>
        <w:adjustRightInd w:val="0"/>
        <w:outlineLvl w:val="9"/>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b/>
          <w:bCs/>
          <w:i w:val="0"/>
          <w:iCs w:val="0"/>
          <w:color w:val="auto"/>
          <w:sz w:val="28"/>
          <w:szCs w:val="28"/>
          <w:highlight w:val="none"/>
        </w:rPr>
      </w:pPr>
    </w:p>
    <w:p w14:paraId="1D6D546F">
      <w:pPr>
        <w:ind w:left="840" w:firstLine="420"/>
        <w:rPr>
          <w:b/>
          <w:bCs/>
          <w:i w:val="0"/>
          <w:iCs w:val="0"/>
          <w:color w:val="auto"/>
          <w:sz w:val="28"/>
          <w:szCs w:val="28"/>
          <w:highlight w:val="none"/>
        </w:rPr>
      </w:pPr>
    </w:p>
    <w:p w14:paraId="167EF277">
      <w:pPr>
        <w:ind w:left="840" w:firstLine="420"/>
        <w:rPr>
          <w:b/>
          <w:bCs/>
          <w:i w:val="0"/>
          <w:iCs w:val="0"/>
          <w:color w:val="auto"/>
          <w:sz w:val="28"/>
          <w:szCs w:val="28"/>
          <w:highlight w:val="none"/>
        </w:rPr>
      </w:pP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i w:val="0"/>
          <w:iCs w:val="0"/>
          <w:color w:val="auto"/>
          <w:highlight w:val="none"/>
          <w:lang w:val="zh-CN"/>
        </w:rPr>
      </w:pPr>
      <w:bookmarkStart w:id="636" w:name="_Toc155185928"/>
      <w:bookmarkStart w:id="637" w:name="_Toc163492922"/>
      <w:bookmarkStart w:id="638" w:name="_Toc163493643"/>
    </w:p>
    <w:p w14:paraId="1582779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39" w:name="_Toc2966"/>
      <w:bookmarkStart w:id="640" w:name="_Toc163492921"/>
      <w:bookmarkStart w:id="641" w:name="_Toc155185927"/>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639"/>
    </w:p>
    <w:bookmarkEnd w:id="640"/>
    <w:bookmarkEnd w:id="641"/>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36"/>
    <w:bookmarkEnd w:id="637"/>
    <w:p w14:paraId="2D14B38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344A5E2F">
      <w:pPr>
        <w:pStyle w:val="75"/>
        <w:adjustRightInd w:val="0"/>
        <w:snapToGrid w:val="0"/>
        <w:spacing w:line="360" w:lineRule="auto"/>
        <w:ind w:firstLine="420" w:firstLineChars="200"/>
        <w:jc w:val="left"/>
        <w:rPr>
          <w:rFonts w:hint="eastAsia" w:ascii="宋体" w:hAnsi="宋体" w:cs="宋体"/>
          <w:b/>
          <w:color w:val="auto"/>
          <w:sz w:val="24"/>
          <w:szCs w:val="24"/>
          <w:highlight w:val="none"/>
        </w:rPr>
      </w:pPr>
      <w:r>
        <w:rPr>
          <w:rFonts w:hint="eastAsia" w:ascii="宋体" w:hAnsi="宋体" w:eastAsia="宋体" w:cs="宋体"/>
          <w:color w:val="auto"/>
          <w:sz w:val="21"/>
          <w:szCs w:val="21"/>
          <w:highlight w:val="none"/>
          <w:lang w:val="en-US" w:eastAsia="zh-CN"/>
        </w:rPr>
        <w:t>投标时，若供应商成立超过一年需提供202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eastAsia="宋体" w:cs="宋体"/>
          <w:b w:val="0"/>
          <w:bCs/>
          <w:color w:val="auto"/>
          <w:sz w:val="21"/>
          <w:szCs w:val="21"/>
          <w:highlight w:val="none"/>
        </w:rPr>
        <w:t>。</w:t>
      </w:r>
    </w:p>
    <w:p w14:paraId="2043C0FD">
      <w:pPr>
        <w:rPr>
          <w:rFonts w:hint="eastAsia" w:ascii="宋体" w:hAnsi="宋体" w:eastAsia="宋体" w:cs="宋体"/>
          <w:b/>
          <w:bCs/>
          <w:i w:val="0"/>
          <w:iCs w:val="0"/>
          <w:color w:val="auto"/>
          <w:kern w:val="2"/>
          <w:sz w:val="24"/>
          <w:szCs w:val="24"/>
          <w:highlight w:val="none"/>
          <w:lang w:val="en-US" w:eastAsia="zh-CN" w:bidi="ar-SA"/>
        </w:rPr>
      </w:pPr>
      <w:bookmarkStart w:id="642" w:name="_Toc11370"/>
      <w:bookmarkStart w:id="643" w:name="_Toc28292"/>
      <w:r>
        <w:rPr>
          <w:rFonts w:hint="eastAsia" w:ascii="宋体" w:hAnsi="宋体" w:eastAsia="宋体" w:cs="宋体"/>
          <w:b/>
          <w:bCs/>
          <w:i w:val="0"/>
          <w:iCs w:val="0"/>
          <w:color w:val="auto"/>
          <w:kern w:val="2"/>
          <w:sz w:val="24"/>
          <w:szCs w:val="24"/>
          <w:highlight w:val="none"/>
          <w:lang w:val="en-US" w:eastAsia="zh-CN" w:bidi="ar-SA"/>
        </w:rPr>
        <w:br w:type="page"/>
      </w:r>
    </w:p>
    <w:p w14:paraId="66F77B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642"/>
      <w:bookmarkEnd w:id="643"/>
    </w:p>
    <w:p w14:paraId="0B65B40E">
      <w:pPr>
        <w:pStyle w:val="75"/>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供应商依法缴纳税收的证明材料：本项目投标截止时间前6个月内（至少提供1个月）缴纳税收的凭据（完税证、缴款书、印花税票、银行代扣（代缴）转账凭证等均可）；</w:t>
      </w:r>
    </w:p>
    <w:p w14:paraId="068ACDE1">
      <w:pPr>
        <w:pStyle w:val="75"/>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依法免税的供应商，须提供相应文件证明其依法免税。</w:t>
      </w:r>
    </w:p>
    <w:p w14:paraId="3CD5783B">
      <w:pPr>
        <w:pStyle w:val="75"/>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供应商依法缴纳社会保障资金的证明材料：本项目投标截止时间时间前6个月内（至少提供1个月）缴纳社会保险的凭据（专用收据或社会保险交纳清单）；</w:t>
      </w:r>
    </w:p>
    <w:p w14:paraId="14734AAD">
      <w:pPr>
        <w:pStyle w:val="75"/>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供应商为其他组织或自然人的，也需要按此项规定提供缴纳税收的凭据和交纳社会保险的凭据。</w:t>
      </w:r>
    </w:p>
    <w:p w14:paraId="23A11CCA">
      <w:pPr>
        <w:pStyle w:val="75"/>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pgSz w:w="11906" w:h="16838"/>
          <w:pgMar w:top="1440" w:right="1797" w:bottom="1440" w:left="1797" w:header="851" w:footer="992" w:gutter="0"/>
          <w:pgNumType w:fmt="decimal"/>
          <w:cols w:space="720" w:num="1"/>
        </w:sectPr>
      </w:pPr>
      <w:r>
        <w:rPr>
          <w:rFonts w:hint="eastAsia" w:ascii="宋体" w:hAnsi="宋体" w:eastAsia="宋体" w:cs="宋体"/>
          <w:b w:val="0"/>
          <w:bCs/>
          <w:color w:val="auto"/>
          <w:sz w:val="21"/>
          <w:szCs w:val="21"/>
          <w:highlight w:val="none"/>
        </w:rPr>
        <w:t>依法不需要缴纳社会保障资金的供应商，须提供相应文件证明其依法不需要缴纳社会保障资金。</w:t>
      </w:r>
    </w:p>
    <w:p w14:paraId="39F8B77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4" w:name="_Toc7342"/>
      <w:bookmarkStart w:id="645" w:name="_Toc19442"/>
      <w:r>
        <w:rPr>
          <w:rFonts w:hint="eastAsia" w:ascii="宋体" w:hAnsi="宋体" w:eastAsia="宋体" w:cs="宋体"/>
          <w:b/>
          <w:bCs/>
          <w:i w:val="0"/>
          <w:iCs w:val="0"/>
          <w:color w:val="auto"/>
          <w:kern w:val="2"/>
          <w:sz w:val="24"/>
          <w:szCs w:val="24"/>
          <w:highlight w:val="none"/>
          <w:lang w:val="en-US" w:eastAsia="zh-CN" w:bidi="ar-SA"/>
        </w:rPr>
        <w:t>（四）供应商须具有履行合同所必需的设备和专业技术能力，须附相关证明材料或声明：</w:t>
      </w:r>
      <w:bookmarkEnd w:id="644"/>
      <w:bookmarkEnd w:id="645"/>
    </w:p>
    <w:p w14:paraId="2CED8279">
      <w:pPr>
        <w:pStyle w:val="75"/>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18C477D2">
      <w:pPr>
        <w:pStyle w:val="75"/>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本供应商郑重声明：</w:t>
      </w:r>
    </w:p>
    <w:p w14:paraId="7802F332">
      <w:pPr>
        <w:pStyle w:val="75"/>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4091F66">
      <w:pPr>
        <w:pStyle w:val="76"/>
        <w:adjustRightInd w:val="0"/>
        <w:snapToGrid w:val="0"/>
        <w:spacing w:line="500" w:lineRule="exact"/>
        <w:rPr>
          <w:rFonts w:hint="eastAsia" w:ascii="宋体" w:hAnsi="宋体" w:cs="宋体"/>
          <w:color w:val="auto"/>
          <w:sz w:val="24"/>
          <w:szCs w:val="24"/>
          <w:highlight w:val="none"/>
        </w:rPr>
      </w:pPr>
    </w:p>
    <w:p w14:paraId="09D05F52">
      <w:pPr>
        <w:pStyle w:val="76"/>
        <w:adjustRightInd w:val="0"/>
        <w:snapToGrid w:val="0"/>
        <w:spacing w:line="500" w:lineRule="exact"/>
        <w:rPr>
          <w:rFonts w:hint="eastAsia" w:ascii="宋体" w:hAnsi="宋体" w:cs="宋体"/>
          <w:color w:val="auto"/>
          <w:sz w:val="24"/>
          <w:szCs w:val="24"/>
          <w:highlight w:val="none"/>
        </w:rPr>
      </w:pPr>
    </w:p>
    <w:p w14:paraId="06E7F57F">
      <w:pPr>
        <w:pStyle w:val="76"/>
        <w:adjustRightInd w:val="0"/>
        <w:snapToGrid w:val="0"/>
        <w:spacing w:line="500" w:lineRule="exact"/>
        <w:rPr>
          <w:rFonts w:hint="eastAsia" w:ascii="宋体" w:hAnsi="宋体" w:cs="宋体"/>
          <w:color w:val="auto"/>
          <w:sz w:val="24"/>
          <w:szCs w:val="24"/>
          <w:highlight w:val="none"/>
        </w:rPr>
      </w:pPr>
    </w:p>
    <w:p w14:paraId="0A55E66A">
      <w:pPr>
        <w:pStyle w:val="76"/>
        <w:adjustRightInd w:val="0"/>
        <w:snapToGrid w:val="0"/>
        <w:spacing w:line="500" w:lineRule="exact"/>
        <w:rPr>
          <w:rFonts w:hint="eastAsia" w:ascii="宋体" w:hAnsi="宋体" w:cs="宋体"/>
          <w:color w:val="auto"/>
          <w:sz w:val="24"/>
          <w:szCs w:val="24"/>
          <w:highlight w:val="none"/>
        </w:rPr>
      </w:pPr>
    </w:p>
    <w:p w14:paraId="6C0B4994">
      <w:pPr>
        <w:pStyle w:val="76"/>
        <w:adjustRightInd w:val="0"/>
        <w:snapToGrid w:val="0"/>
        <w:spacing w:line="500" w:lineRule="exact"/>
        <w:rPr>
          <w:rFonts w:hint="eastAsia" w:ascii="宋体" w:hAnsi="宋体" w:cs="宋体"/>
          <w:color w:val="auto"/>
          <w:sz w:val="24"/>
          <w:szCs w:val="24"/>
          <w:highlight w:val="none"/>
        </w:rPr>
      </w:pPr>
    </w:p>
    <w:p w14:paraId="5CD3836F">
      <w:pPr>
        <w:pStyle w:val="76"/>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34C7D42A">
      <w:pPr>
        <w:pStyle w:val="76"/>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14:paraId="75F21B0F">
      <w:pPr>
        <w:pStyle w:val="76"/>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08D8F77C">
      <w:pPr>
        <w:pStyle w:val="75"/>
        <w:adjustRightInd w:val="0"/>
        <w:snapToGrid w:val="0"/>
        <w:spacing w:line="360" w:lineRule="auto"/>
        <w:jc w:val="left"/>
        <w:rPr>
          <w:rFonts w:hint="eastAsia" w:ascii="宋体" w:hAnsi="宋体" w:cs="宋体"/>
          <w:b/>
          <w:color w:val="auto"/>
          <w:sz w:val="24"/>
          <w:szCs w:val="24"/>
          <w:highlight w:val="none"/>
        </w:rPr>
      </w:pPr>
    </w:p>
    <w:p w14:paraId="0D8309EE">
      <w:pPr>
        <w:pStyle w:val="67"/>
        <w:outlineLvl w:val="2"/>
        <w:rPr>
          <w:rFonts w:hint="eastAsia" w:ascii="宋体" w:hAnsi="宋体" w:eastAsia="宋体" w:cs="宋体"/>
          <w:color w:val="auto"/>
          <w:highlight w:val="none"/>
        </w:rPr>
        <w:sectPr>
          <w:pgSz w:w="11906" w:h="16838"/>
          <w:pgMar w:top="1440" w:right="1797" w:bottom="1440" w:left="1797" w:header="851" w:footer="992" w:gutter="0"/>
          <w:pgNumType w:fmt="decimal"/>
          <w:cols w:space="720" w:num="1"/>
        </w:sectPr>
      </w:pPr>
    </w:p>
    <w:p w14:paraId="086F1C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6" w:name="_Toc21544"/>
      <w:bookmarkStart w:id="647" w:name="_Toc16347"/>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646"/>
      <w:bookmarkEnd w:id="647"/>
    </w:p>
    <w:p w14:paraId="04A21087">
      <w:pPr>
        <w:pStyle w:val="75"/>
        <w:adjustRightInd w:val="0"/>
        <w:snapToGrid w:val="0"/>
        <w:spacing w:line="360" w:lineRule="auto"/>
        <w:rPr>
          <w:rFonts w:hint="eastAsia" w:ascii="宋体" w:hAnsi="宋体" w:cs="宋体"/>
          <w:color w:val="auto"/>
          <w:sz w:val="24"/>
          <w:szCs w:val="24"/>
          <w:highlight w:val="none"/>
        </w:rPr>
      </w:pPr>
    </w:p>
    <w:p w14:paraId="7D5E4B1B">
      <w:pPr>
        <w:pStyle w:val="75"/>
        <w:adjustRightInd w:val="0"/>
        <w:snapToGrid w:val="0"/>
        <w:spacing w:line="360" w:lineRule="auto"/>
        <w:rPr>
          <w:rFonts w:hint="eastAsia" w:ascii="宋体" w:hAnsi="宋体" w:cs="宋体"/>
          <w:color w:val="auto"/>
          <w:sz w:val="24"/>
          <w:szCs w:val="24"/>
          <w:highlight w:val="none"/>
        </w:rPr>
      </w:pPr>
    </w:p>
    <w:p w14:paraId="462EC1B3">
      <w:pPr>
        <w:pStyle w:val="75"/>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5AE02A31">
      <w:pPr>
        <w:pStyle w:val="77"/>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615E07B2">
      <w:pPr>
        <w:pStyle w:val="75"/>
        <w:adjustRightInd w:val="0"/>
        <w:snapToGrid w:val="0"/>
        <w:spacing w:line="360" w:lineRule="auto"/>
        <w:rPr>
          <w:rFonts w:hint="eastAsia" w:ascii="宋体" w:hAnsi="宋体" w:cs="宋体"/>
          <w:color w:val="auto"/>
          <w:sz w:val="24"/>
          <w:szCs w:val="24"/>
          <w:highlight w:val="none"/>
        </w:rPr>
      </w:pPr>
    </w:p>
    <w:p w14:paraId="0D9A0424">
      <w:pPr>
        <w:pStyle w:val="75"/>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41BE35A7">
      <w:pPr>
        <w:pStyle w:val="75"/>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251D3375">
      <w:pPr>
        <w:pStyle w:val="75"/>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064185E4">
      <w:pPr>
        <w:pStyle w:val="76"/>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2C0A3BED">
      <w:pPr>
        <w:pStyle w:val="76"/>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供应商名称（签章）：</w:t>
      </w:r>
      <w:r>
        <w:rPr>
          <w:rFonts w:hint="eastAsia" w:ascii="宋体" w:hAnsi="宋体" w:cs="宋体"/>
          <w:color w:val="auto"/>
          <w:sz w:val="24"/>
          <w:szCs w:val="24"/>
          <w:highlight w:val="none"/>
          <w:u w:val="single"/>
        </w:rPr>
        <w:t xml:space="preserve">                       </w:t>
      </w:r>
    </w:p>
    <w:p w14:paraId="0361B8A2">
      <w:pPr>
        <w:pStyle w:val="76"/>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4CF9B070">
      <w:pPr>
        <w:pStyle w:val="75"/>
        <w:adjustRightInd w:val="0"/>
        <w:snapToGrid w:val="0"/>
        <w:spacing w:line="360" w:lineRule="auto"/>
        <w:jc w:val="left"/>
        <w:rPr>
          <w:rFonts w:hint="eastAsia" w:ascii="宋体" w:hAnsi="宋体" w:cs="宋体"/>
          <w:color w:val="auto"/>
          <w:sz w:val="24"/>
          <w:szCs w:val="24"/>
          <w:highlight w:val="none"/>
        </w:rPr>
      </w:pPr>
    </w:p>
    <w:p w14:paraId="700937B6">
      <w:pPr>
        <w:pStyle w:val="75"/>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NumType w:fmt="decimal"/>
          <w:cols w:space="720" w:num="1"/>
        </w:sectPr>
      </w:pPr>
    </w:p>
    <w:p w14:paraId="2899BCE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8" w:name="_Toc32053"/>
      <w:bookmarkStart w:id="649" w:name="_Toc31574"/>
      <w:r>
        <w:rPr>
          <w:rFonts w:hint="eastAsia" w:ascii="宋体" w:hAnsi="宋体" w:eastAsia="宋体" w:cs="宋体"/>
          <w:b/>
          <w:bCs/>
          <w:i w:val="0"/>
          <w:iCs w:val="0"/>
          <w:color w:val="auto"/>
          <w:kern w:val="2"/>
          <w:sz w:val="24"/>
          <w:szCs w:val="24"/>
          <w:highlight w:val="none"/>
          <w:lang w:val="en-US" w:eastAsia="zh-CN" w:bidi="ar-SA"/>
        </w:rPr>
        <w:t>（六）供应商未列入失信被执行人、重大税收违法案件当事人名单、政府采购严重违法失信行为记录名单</w:t>
      </w:r>
      <w:bookmarkEnd w:id="648"/>
      <w:bookmarkEnd w:id="649"/>
    </w:p>
    <w:p w14:paraId="0DF2C932">
      <w:pPr>
        <w:pStyle w:val="78"/>
        <w:spacing w:line="360" w:lineRule="auto"/>
        <w:ind w:firstLine="504" w:firstLineChars="200"/>
        <w:jc w:val="left"/>
        <w:rPr>
          <w:rFonts w:hint="eastAsia" w:ascii="宋体" w:hAnsi="宋体" w:cs="宋体"/>
          <w:color w:val="auto"/>
          <w:spacing w:val="6"/>
          <w:kern w:val="0"/>
          <w:sz w:val="24"/>
          <w:szCs w:val="24"/>
          <w:highlight w:val="none"/>
        </w:rPr>
      </w:pPr>
    </w:p>
    <w:p w14:paraId="0ACD2F8E">
      <w:pPr>
        <w:pStyle w:val="78"/>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2D561571">
      <w:pPr>
        <w:pStyle w:val="78"/>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77C6D42B">
      <w:pPr>
        <w:pStyle w:val="78"/>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②不是重大税收违法案件当事人名单的供应商； </w:t>
      </w:r>
    </w:p>
    <w:p w14:paraId="0C5A46E2">
      <w:pPr>
        <w:pStyle w:val="78"/>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③未被列入政府采购严重违法失信行为记录名单。</w:t>
      </w:r>
    </w:p>
    <w:p w14:paraId="5ACDECE8">
      <w:pPr>
        <w:pStyle w:val="78"/>
        <w:spacing w:line="360" w:lineRule="auto"/>
        <w:ind w:firstLine="504" w:firstLineChars="200"/>
        <w:jc w:val="left"/>
        <w:rPr>
          <w:rFonts w:hint="eastAsia" w:ascii="宋体" w:hAnsi="宋体" w:cs="宋体"/>
          <w:color w:val="auto"/>
          <w:spacing w:val="6"/>
          <w:kern w:val="0"/>
          <w:sz w:val="24"/>
          <w:szCs w:val="24"/>
          <w:highlight w:val="none"/>
        </w:rPr>
      </w:pPr>
    </w:p>
    <w:p w14:paraId="67FB19E7">
      <w:pPr>
        <w:pStyle w:val="78"/>
        <w:spacing w:line="360" w:lineRule="auto"/>
        <w:ind w:firstLine="504" w:firstLineChars="200"/>
        <w:jc w:val="left"/>
        <w:rPr>
          <w:rFonts w:hint="eastAsia" w:ascii="宋体" w:hAnsi="宋体" w:cs="宋体"/>
          <w:color w:val="auto"/>
          <w:spacing w:val="6"/>
          <w:kern w:val="0"/>
          <w:sz w:val="24"/>
          <w:szCs w:val="24"/>
          <w:highlight w:val="none"/>
        </w:rPr>
      </w:pPr>
    </w:p>
    <w:p w14:paraId="77537818">
      <w:pPr>
        <w:pStyle w:val="78"/>
        <w:spacing w:line="360" w:lineRule="auto"/>
        <w:ind w:firstLine="504" w:firstLineChars="200"/>
        <w:jc w:val="left"/>
        <w:rPr>
          <w:rFonts w:hint="eastAsia" w:ascii="宋体" w:hAnsi="宋体" w:cs="宋体"/>
          <w:color w:val="auto"/>
          <w:spacing w:val="6"/>
          <w:kern w:val="0"/>
          <w:sz w:val="24"/>
          <w:szCs w:val="24"/>
          <w:highlight w:val="none"/>
        </w:rPr>
      </w:pPr>
    </w:p>
    <w:p w14:paraId="610AF1FD">
      <w:pPr>
        <w:pStyle w:val="78"/>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25A3CFB9">
      <w:pPr>
        <w:pStyle w:val="78"/>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282D3BE6">
      <w:pPr>
        <w:ind w:firstLine="720" w:firstLineChars="300"/>
        <w:rPr>
          <w:rFonts w:ascii="Arial" w:hAnsi="Arial" w:cs="Arial"/>
          <w:i w:val="0"/>
          <w:iCs w:val="0"/>
          <w:color w:val="auto"/>
          <w:szCs w:val="21"/>
          <w:highlight w:val="none"/>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r>
        <w:rPr>
          <w:rFonts w:ascii="Arial" w:hAnsi="Arial" w:cs="Arial"/>
          <w:i w:val="0"/>
          <w:iCs w:val="0"/>
          <w:color w:val="auto"/>
          <w:szCs w:val="21"/>
          <w:highlight w:val="none"/>
        </w:rPr>
        <w:br w:type="page"/>
      </w:r>
    </w:p>
    <w:p w14:paraId="33E55E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650" w:name="_Toc109899498"/>
      <w:bookmarkStart w:id="651" w:name="_Toc155185930"/>
      <w:bookmarkStart w:id="652" w:name="_Toc109899917"/>
      <w:bookmarkStart w:id="653" w:name="_Toc140132840"/>
      <w:bookmarkStart w:id="654" w:name="_Toc109900336"/>
      <w:bookmarkStart w:id="655" w:name="_Toc163492923"/>
      <w:bookmarkStart w:id="656" w:name="_Toc18060"/>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50"/>
      <w:bookmarkEnd w:id="651"/>
      <w:bookmarkEnd w:id="652"/>
      <w:bookmarkEnd w:id="653"/>
      <w:bookmarkEnd w:id="654"/>
      <w:bookmarkEnd w:id="655"/>
      <w:bookmarkStart w:id="657" w:name="_Toc155185931"/>
      <w:bookmarkStart w:id="658"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657"/>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656"/>
      <w:bookmarkEnd w:id="658"/>
    </w:p>
    <w:p w14:paraId="39563C7F">
      <w:pPr>
        <w:snapToGrid w:val="0"/>
        <w:spacing w:line="360" w:lineRule="auto"/>
        <w:jc w:val="center"/>
        <w:outlineLvl w:val="9"/>
        <w:rPr>
          <w:rFonts w:hint="eastAsia" w:ascii="宋体" w:hAnsi="宋体" w:cs="宋体"/>
          <w:b/>
          <w:i w:val="0"/>
          <w:iCs w:val="0"/>
          <w:color w:val="auto"/>
          <w:kern w:val="0"/>
          <w:sz w:val="32"/>
          <w:szCs w:val="32"/>
          <w:highlight w:val="none"/>
        </w:rPr>
      </w:pPr>
    </w:p>
    <w:p w14:paraId="2AA212CE">
      <w:pPr>
        <w:snapToGrid w:val="0"/>
        <w:spacing w:line="360" w:lineRule="auto"/>
        <w:jc w:val="center"/>
        <w:outlineLvl w:val="9"/>
        <w:rPr>
          <w:rFonts w:hint="eastAsia" w:ascii="宋体" w:hAnsi="宋体" w:cs="宋体"/>
          <w:b/>
          <w:i w:val="0"/>
          <w:iCs w:val="0"/>
          <w:color w:val="auto"/>
          <w:kern w:val="0"/>
          <w:sz w:val="32"/>
          <w:szCs w:val="32"/>
          <w:highlight w:val="none"/>
        </w:rPr>
      </w:pPr>
      <w:bookmarkStart w:id="659" w:name="_Toc29289"/>
      <w:bookmarkStart w:id="660" w:name="_Toc3468"/>
      <w:r>
        <w:rPr>
          <w:rFonts w:hint="eastAsia" w:ascii="宋体" w:hAnsi="宋体" w:cs="宋体"/>
          <w:b/>
          <w:i w:val="0"/>
          <w:iCs w:val="0"/>
          <w:color w:val="auto"/>
          <w:kern w:val="0"/>
          <w:sz w:val="32"/>
          <w:szCs w:val="32"/>
          <w:highlight w:val="none"/>
        </w:rPr>
        <w:t>联合体协议书</w:t>
      </w:r>
      <w:bookmarkEnd w:id="659"/>
      <w:bookmarkEnd w:id="660"/>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5649241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D56DB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07A293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1C5D81AB">
      <w:pPr>
        <w:snapToGrid w:val="0"/>
        <w:spacing w:line="360" w:lineRule="auto"/>
        <w:ind w:firstLine="576"/>
        <w:rPr>
          <w:rFonts w:ascii="宋体" w:hAnsi="宋体" w:cs="宋体"/>
          <w:i w:val="0"/>
          <w:iCs w:val="0"/>
          <w:color w:val="auto"/>
          <w:kern w:val="0"/>
          <w:sz w:val="24"/>
          <w:highlight w:val="none"/>
          <w:lang w:val="zh-CN"/>
        </w:rPr>
      </w:pPr>
      <w:bookmarkStart w:id="661"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3BADC4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7CB0A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661"/>
    <w:p w14:paraId="15AF1C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CA3168E">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7752F4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371898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189AE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31476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802B5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288D0668">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6D0ADF90">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1797DC92">
      <w:pPr>
        <w:outlineLvl w:val="9"/>
        <w:rPr>
          <w:i w:val="0"/>
          <w:iCs w:val="0"/>
          <w:color w:val="auto"/>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512156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662" w:name="_Toc163492925"/>
      <w:bookmarkStart w:id="663" w:name="_Toc162299566"/>
      <w:bookmarkStart w:id="664" w:name="_Toc722"/>
      <w:bookmarkStart w:id="665" w:name="_Toc156490356"/>
      <w:bookmarkStart w:id="666" w:name="_Hlk101169080"/>
      <w:r>
        <w:rPr>
          <w:rFonts w:hint="eastAsia" w:eastAsia="宋体" w:asciiTheme="majorHAnsi" w:hAnsiTheme="majorHAnsi"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分包意向协议书【如适用】</w:t>
      </w:r>
      <w:bookmarkEnd w:id="662"/>
      <w:bookmarkEnd w:id="663"/>
      <w:bookmarkEnd w:id="664"/>
      <w:bookmarkEnd w:id="665"/>
    </w:p>
    <w:p w14:paraId="72EF9FB2">
      <w:pPr>
        <w:snapToGrid w:val="0"/>
        <w:spacing w:line="360" w:lineRule="auto"/>
        <w:jc w:val="center"/>
        <w:outlineLvl w:val="9"/>
        <w:rPr>
          <w:rFonts w:hint="eastAsia" w:ascii="宋体" w:hAnsi="宋体" w:cs="宋体"/>
          <w:b/>
          <w:i w:val="0"/>
          <w:iCs w:val="0"/>
          <w:color w:val="auto"/>
          <w:kern w:val="0"/>
          <w:sz w:val="32"/>
          <w:szCs w:val="32"/>
          <w:highlight w:val="none"/>
        </w:rPr>
      </w:pPr>
    </w:p>
    <w:p w14:paraId="51ED9DD2">
      <w:pPr>
        <w:snapToGrid w:val="0"/>
        <w:spacing w:line="360" w:lineRule="auto"/>
        <w:jc w:val="center"/>
        <w:outlineLvl w:val="9"/>
        <w:rPr>
          <w:rFonts w:hint="eastAsia" w:ascii="宋体" w:hAnsi="宋体" w:eastAsia="宋体" w:cs="宋体"/>
          <w:b/>
          <w:i w:val="0"/>
          <w:iCs w:val="0"/>
          <w:color w:val="auto"/>
          <w:kern w:val="0"/>
          <w:sz w:val="32"/>
          <w:szCs w:val="32"/>
          <w:highlight w:val="none"/>
          <w:lang w:val="en-US" w:eastAsia="zh-CN"/>
        </w:rPr>
      </w:pPr>
      <w:bookmarkStart w:id="667" w:name="_Toc28256"/>
      <w:bookmarkStart w:id="668" w:name="_Toc28098"/>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667"/>
      <w:bookmarkEnd w:id="668"/>
    </w:p>
    <w:p w14:paraId="4E9F0BF4">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E08737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ascii="宋体" w:hAnsi="宋体" w:eastAsia="宋体" w:cs="宋体"/>
          <w:i w:val="0"/>
          <w:iCs w:val="0"/>
          <w:color w:val="auto"/>
          <w:kern w:val="0"/>
          <w:sz w:val="24"/>
          <w:szCs w:val="24"/>
          <w:highlight w:val="none"/>
        </w:rPr>
      </w:pPr>
      <w:bookmarkStart w:id="669" w:name="_Toc4735"/>
      <w:bookmarkStart w:id="670" w:name="_Toc2819"/>
      <w:r>
        <w:rPr>
          <w:rFonts w:hint="eastAsia" w:ascii="宋体" w:hAnsi="宋体" w:eastAsia="宋体" w:cs="宋体"/>
          <w:i w:val="0"/>
          <w:iCs w:val="0"/>
          <w:color w:val="auto"/>
          <w:kern w:val="0"/>
          <w:sz w:val="24"/>
          <w:szCs w:val="24"/>
          <w:highlight w:val="none"/>
        </w:rPr>
        <w:t>……</w:t>
      </w:r>
      <w:bookmarkEnd w:id="669"/>
      <w:bookmarkEnd w:id="670"/>
    </w:p>
    <w:p w14:paraId="0426889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671"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671"/>
    </w:p>
    <w:p w14:paraId="51C56E7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7F26E4A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2502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369B1B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E7AB0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32B92C8">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C79FAF7">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17F77B9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2CBB9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D83C45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A9066DF">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665C464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p w14:paraId="35CFE103">
      <w:pPr>
        <w:topLinePunct/>
        <w:ind w:firstLine="480" w:firstLineChars="200"/>
        <w:rPr>
          <w:rFonts w:hint="eastAsia"/>
          <w:i w:val="0"/>
          <w:iCs w:val="0"/>
          <w:color w:val="auto"/>
          <w:szCs w:val="32"/>
          <w:highlight w:val="none"/>
        </w:rPr>
      </w:pPr>
    </w:p>
    <w:bookmarkEnd w:id="666"/>
    <w:p w14:paraId="5775F461">
      <w:pPr>
        <w:ind w:left="2520" w:leftChars="1050"/>
        <w:rPr>
          <w:i w:val="0"/>
          <w:iCs w:val="0"/>
          <w:color w:val="auto"/>
          <w:highlight w:val="none"/>
        </w:rPr>
      </w:pPr>
      <w:r>
        <w:rPr>
          <w:rFonts w:cs="Courier New"/>
          <w:i w:val="0"/>
          <w:iCs w:val="0"/>
          <w:color w:val="auto"/>
          <w:szCs w:val="24"/>
          <w:highlight w:val="none"/>
        </w:rPr>
        <w:br w:type="page"/>
      </w:r>
    </w:p>
    <w:p w14:paraId="27442EE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72" w:name="_Toc163492926"/>
      <w:bookmarkStart w:id="673" w:name="_Toc155185932"/>
      <w:bookmarkStart w:id="674" w:name="_Toc4839"/>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72"/>
      <w:bookmarkEnd w:id="673"/>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674"/>
    </w:p>
    <w:p w14:paraId="0BDCE4AB">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75"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75"/>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7"/>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7"/>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7"/>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7"/>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7"/>
              <w:numPr>
                <w:ilvl w:val="0"/>
                <w:numId w:val="4"/>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7"/>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7"/>
              <w:numPr>
                <w:ilvl w:val="0"/>
                <w:numId w:val="4"/>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7"/>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7"/>
              <w:numPr>
                <w:ilvl w:val="0"/>
                <w:numId w:val="4"/>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7"/>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7"/>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7"/>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47"/>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7"/>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7"/>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47"/>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7"/>
              <w:numPr>
                <w:ilvl w:val="0"/>
                <w:numId w:val="5"/>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7"/>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7"/>
              <w:numPr>
                <w:ilvl w:val="0"/>
                <w:numId w:val="5"/>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7"/>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7"/>
              <w:numPr>
                <w:ilvl w:val="0"/>
                <w:numId w:val="5"/>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7"/>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7"/>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76"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676"/>
    </w:p>
    <w:p w14:paraId="17DF8322">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3"/>
          <w:rFonts w:hint="eastAsia" w:ascii="宋体" w:hAnsi="宋体" w:eastAsia="宋体" w:cs="宋体"/>
          <w:i w:val="0"/>
          <w:iCs w:val="0"/>
          <w:color w:val="auto"/>
          <w:kern w:val="0"/>
          <w:sz w:val="28"/>
          <w:szCs w:val="28"/>
          <w:highlight w:val="none"/>
          <w:lang w:val="en-US" w:eastAsia="zh-CN" w:bidi="ar"/>
        </w:rPr>
      </w:pPr>
    </w:p>
    <w:p w14:paraId="2318C2EC">
      <w:pPr>
        <w:keepNext w:val="0"/>
        <w:keepLines w:val="0"/>
        <w:widowControl/>
        <w:suppressLineNumbers w:val="0"/>
        <w:ind w:firstLine="482" w:firstLineChars="200"/>
        <w:jc w:val="left"/>
        <w:rPr>
          <w:rStyle w:val="33"/>
          <w:rFonts w:hint="eastAsia" w:ascii="宋体" w:hAnsi="宋体" w:eastAsia="宋体" w:cs="宋体"/>
          <w:i w:val="0"/>
          <w:iCs w:val="0"/>
          <w:color w:val="auto"/>
          <w:kern w:val="0"/>
          <w:sz w:val="28"/>
          <w:szCs w:val="28"/>
          <w:highlight w:val="none"/>
          <w:lang w:val="en-US" w:eastAsia="zh-CN" w:bidi="ar"/>
        </w:rPr>
      </w:pPr>
      <w:r>
        <w:rPr>
          <w:rStyle w:val="33"/>
          <w:rFonts w:hint="eastAsia" w:ascii="宋体" w:hAnsi="宋体" w:eastAsia="宋体" w:cs="宋体"/>
          <w:i w:val="0"/>
          <w:iCs w:val="0"/>
          <w:color w:val="auto"/>
          <w:kern w:val="0"/>
          <w:sz w:val="24"/>
          <w:szCs w:val="24"/>
          <w:highlight w:val="none"/>
          <w:lang w:val="en-US" w:eastAsia="zh-CN" w:bidi="ar"/>
        </w:rPr>
        <w:t>（一）关于</w:t>
      </w:r>
      <w:r>
        <w:rPr>
          <w:rStyle w:val="33"/>
          <w:rFonts w:hint="eastAsia" w:cs="宋体"/>
          <w:i w:val="0"/>
          <w:iCs w:val="0"/>
          <w:color w:val="auto"/>
          <w:kern w:val="0"/>
          <w:sz w:val="24"/>
          <w:szCs w:val="24"/>
          <w:highlight w:val="none"/>
          <w:lang w:val="en-US" w:eastAsia="zh-CN" w:bidi="ar"/>
        </w:rPr>
        <w:t>“</w:t>
      </w:r>
      <w:r>
        <w:rPr>
          <w:rStyle w:val="33"/>
          <w:rFonts w:hint="eastAsia" w:ascii="宋体" w:hAnsi="宋体" w:eastAsia="宋体" w:cs="宋体"/>
          <w:i w:val="0"/>
          <w:iCs w:val="0"/>
          <w:color w:val="auto"/>
          <w:kern w:val="0"/>
          <w:sz w:val="24"/>
          <w:szCs w:val="24"/>
          <w:highlight w:val="none"/>
          <w:lang w:val="en-US" w:eastAsia="zh-CN" w:bidi="ar"/>
        </w:rPr>
        <w:t>中小企业声明函</w:t>
      </w:r>
      <w:r>
        <w:rPr>
          <w:rStyle w:val="33"/>
          <w:rFonts w:hint="eastAsia" w:cs="宋体"/>
          <w:i w:val="0"/>
          <w:iCs w:val="0"/>
          <w:color w:val="auto"/>
          <w:kern w:val="0"/>
          <w:sz w:val="24"/>
          <w:szCs w:val="24"/>
          <w:highlight w:val="none"/>
          <w:lang w:val="en-US" w:eastAsia="zh-CN" w:bidi="ar"/>
        </w:rPr>
        <w:t>”</w:t>
      </w:r>
      <w:r>
        <w:rPr>
          <w:rStyle w:val="33"/>
          <w:rFonts w:hint="eastAsia" w:ascii="宋体" w:hAnsi="宋体" w:eastAsia="宋体" w:cs="宋体"/>
          <w:i w:val="0"/>
          <w:iCs w:val="0"/>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i w:val="0"/>
          <w:iCs w:val="0"/>
          <w:color w:val="auto"/>
          <w:kern w:val="0"/>
          <w:sz w:val="24"/>
          <w:szCs w:val="24"/>
          <w:highlight w:val="none"/>
          <w:lang w:val="en-US" w:eastAsia="zh-CN" w:bidi="ar"/>
        </w:rPr>
      </w:pPr>
      <w:r>
        <w:rPr>
          <w:rStyle w:val="33"/>
          <w:rFonts w:hint="eastAsia" w:ascii="宋体" w:hAnsi="宋体" w:eastAsia="宋体" w:cs="宋体"/>
          <w:i w:val="0"/>
          <w:iCs w:val="0"/>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i w:val="0"/>
          <w:iCs w:val="0"/>
          <w:color w:val="auto"/>
          <w:sz w:val="24"/>
          <w:szCs w:val="24"/>
          <w:highlight w:val="none"/>
        </w:rPr>
      </w:pPr>
      <w:r>
        <w:rPr>
          <w:rStyle w:val="33"/>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i w:val="0"/>
          <w:iCs w:val="0"/>
          <w:color w:val="auto"/>
          <w:sz w:val="24"/>
          <w:szCs w:val="24"/>
          <w:highlight w:val="none"/>
        </w:rPr>
      </w:pPr>
      <w:r>
        <w:rPr>
          <w:rStyle w:val="33"/>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i w:val="0"/>
          <w:iCs w:val="0"/>
          <w:color w:val="auto"/>
          <w:sz w:val="28"/>
          <w:szCs w:val="28"/>
          <w:highlight w:val="none"/>
        </w:rPr>
      </w:pPr>
      <w:r>
        <w:rPr>
          <w:rStyle w:val="33"/>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3"/>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i w:val="0"/>
          <w:iCs w:val="0"/>
          <w:color w:val="auto"/>
          <w:spacing w:val="6"/>
          <w:sz w:val="21"/>
          <w:szCs w:val="21"/>
          <w:highlight w:val="none"/>
        </w:rPr>
      </w:pPr>
      <w:bookmarkStart w:id="677"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3"/>
          <w:rFonts w:hint="eastAsia" w:ascii="宋体" w:hAnsi="宋体" w:eastAsia="宋体" w:cs="宋体"/>
          <w:b w:val="0"/>
          <w:i w:val="0"/>
          <w:iCs w:val="0"/>
          <w:color w:val="auto"/>
          <w:sz w:val="24"/>
          <w:szCs w:val="24"/>
          <w:highlight w:val="none"/>
        </w:rPr>
      </w:pPr>
      <w:r>
        <w:rPr>
          <w:rStyle w:val="33"/>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3"/>
          <w:rFonts w:hint="eastAsia" w:ascii="宋体" w:hAnsi="宋体" w:eastAsia="宋体" w:cs="宋体"/>
          <w:b w:val="0"/>
          <w:bCs w:val="0"/>
          <w:i w:val="0"/>
          <w:iCs w:val="0"/>
          <w:color w:val="auto"/>
          <w:sz w:val="24"/>
          <w:szCs w:val="24"/>
          <w:highlight w:val="none"/>
        </w:rPr>
        <w:t>       </w:t>
      </w:r>
      <w:r>
        <w:rPr>
          <w:rStyle w:val="33"/>
          <w:rFonts w:hint="eastAsia" w:cs="宋体"/>
          <w:b w:val="0"/>
          <w:bCs w:val="0"/>
          <w:i w:val="0"/>
          <w:iCs w:val="0"/>
          <w:color w:val="auto"/>
          <w:sz w:val="24"/>
          <w:szCs w:val="24"/>
          <w:highlight w:val="none"/>
          <w:lang w:val="en-US" w:eastAsia="zh-CN"/>
        </w:rPr>
        <w:t xml:space="preserve">                            </w:t>
      </w:r>
      <w:r>
        <w:rPr>
          <w:rStyle w:val="33"/>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                                                     </w:t>
      </w:r>
      <w:r>
        <w:rPr>
          <w:rStyle w:val="33"/>
          <w:rFonts w:hint="eastAsia" w:cs="宋体"/>
          <w:b w:val="0"/>
          <w:bCs w:val="0"/>
          <w:i w:val="0"/>
          <w:iCs w:val="0"/>
          <w:color w:val="auto"/>
          <w:sz w:val="24"/>
          <w:szCs w:val="24"/>
          <w:highlight w:val="none"/>
          <w:lang w:val="en-US" w:eastAsia="zh-CN"/>
        </w:rPr>
        <w:t xml:space="preserve">     </w:t>
      </w:r>
      <w:r>
        <w:rPr>
          <w:rStyle w:val="33"/>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lang w:eastAsia="zh-CN"/>
        </w:rPr>
      </w:pPr>
      <w:r>
        <w:rPr>
          <w:rStyle w:val="33"/>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i w:val="0"/>
          <w:iCs w:val="0"/>
          <w:color w:val="auto"/>
          <w:sz w:val="24"/>
          <w:szCs w:val="24"/>
          <w:highlight w:val="none"/>
          <w:lang w:eastAsia="zh-CN"/>
        </w:rPr>
        <w:t>，</w:t>
      </w:r>
      <w:r>
        <w:rPr>
          <w:rStyle w:val="33"/>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lang w:eastAsia="zh-CN"/>
        </w:rPr>
      </w:pPr>
      <w:r>
        <w:rPr>
          <w:rStyle w:val="33"/>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lang w:eastAsia="zh-CN"/>
        </w:rPr>
      </w:pPr>
      <w:r>
        <w:rPr>
          <w:rStyle w:val="33"/>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3"/>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i w:val="0"/>
          <w:iCs w:val="0"/>
          <w:color w:val="auto"/>
          <w:sz w:val="24"/>
          <w:szCs w:val="24"/>
          <w:highlight w:val="none"/>
        </w:rPr>
      </w:pPr>
      <w:r>
        <w:rPr>
          <w:rStyle w:val="33"/>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77"/>
    <w:p w14:paraId="5D4F19F2">
      <w:pPr>
        <w:pStyle w:val="1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39FE59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6"/>
        <w:spacing w:line="360" w:lineRule="auto"/>
        <w:jc w:val="center"/>
        <w:rPr>
          <w:rFonts w:hint="eastAsia" w:ascii="宋体" w:hAnsi="宋体" w:eastAsia="宋体" w:cs="宋体"/>
          <w:b/>
          <w:bCs w:val="0"/>
          <w:i w:val="0"/>
          <w:iCs w:val="0"/>
          <w:color w:val="auto"/>
          <w:sz w:val="32"/>
          <w:szCs w:val="32"/>
          <w:highlight w:val="none"/>
        </w:rPr>
      </w:pPr>
    </w:p>
    <w:p w14:paraId="3EAA5E2A">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2AA0844D">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i w:val="0"/>
          <w:iCs w:val="0"/>
          <w:color w:val="auto"/>
          <w:kern w:val="2"/>
          <w:sz w:val="24"/>
          <w:szCs w:val="24"/>
          <w:highlight w:val="none"/>
          <w:lang w:val="en-US" w:eastAsia="zh-CN" w:bidi="ar-SA"/>
        </w:rPr>
      </w:pPr>
      <w:bookmarkStart w:id="678" w:name="_Toc163492941"/>
    </w:p>
    <w:p w14:paraId="69ACD5D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78"/>
    </w:p>
    <w:p w14:paraId="57F303A4">
      <w:pPr>
        <w:pStyle w:val="40"/>
        <w:numPr>
          <w:ilvl w:val="0"/>
          <w:numId w:val="0"/>
        </w:numPr>
        <w:ind w:left="420" w:leftChars="0" w:hanging="420" w:firstLineChars="0"/>
        <w:jc w:val="center"/>
        <w:rPr>
          <w:rFonts w:hint="eastAsia"/>
          <w:b/>
          <w:bCs/>
          <w:i w:val="0"/>
          <w:iCs w:val="0"/>
          <w:color w:val="auto"/>
          <w:sz w:val="32"/>
          <w:szCs w:val="32"/>
          <w:highlight w:val="none"/>
        </w:rPr>
      </w:pPr>
    </w:p>
    <w:p w14:paraId="091B47EA">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044E1FE">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i w:val="0"/>
          <w:iCs w:val="0"/>
          <w:color w:val="auto"/>
          <w:kern w:val="2"/>
          <w:sz w:val="24"/>
          <w:szCs w:val="24"/>
          <w:highlight w:val="none"/>
          <w:lang w:val="en-US" w:eastAsia="zh-CN" w:bidi="ar-SA"/>
        </w:rPr>
      </w:pPr>
      <w:bookmarkStart w:id="679" w:name="_Toc163492942"/>
    </w:p>
    <w:p w14:paraId="1468967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680" w:name="_Toc11970"/>
      <w:r>
        <w:rPr>
          <w:rFonts w:hint="eastAsia" w:cstheme="majorBidi"/>
          <w:b/>
          <w:bCs/>
          <w:i w:val="0"/>
          <w:iCs w:val="0"/>
          <w:color w:val="auto"/>
          <w:kern w:val="2"/>
          <w:sz w:val="28"/>
          <w:szCs w:val="28"/>
          <w:highlight w:val="none"/>
          <w:lang w:val="en-US" w:eastAsia="zh-CN" w:bidi="ar-SA"/>
        </w:rPr>
        <w:t>五、不参与围标串标承诺书</w:t>
      </w:r>
      <w:bookmarkEnd w:id="680"/>
    </w:p>
    <w:p w14:paraId="415F309A">
      <w:pPr>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outlineLvl w:val="9"/>
        <w:rPr>
          <w:rFonts w:hint="eastAsia" w:eastAsia="宋体" w:asciiTheme="majorHAnsi" w:hAnsiTheme="majorHAnsi" w:cstheme="majorBidi"/>
          <w:b/>
          <w:bCs/>
          <w:i w:val="0"/>
          <w:iCs w:val="0"/>
          <w:color w:val="auto"/>
          <w:kern w:val="2"/>
          <w:sz w:val="32"/>
          <w:szCs w:val="32"/>
          <w:highlight w:val="none"/>
          <w:lang w:val="en-US" w:eastAsia="zh-CN" w:bidi="ar-SA"/>
        </w:rPr>
      </w:pPr>
    </w:p>
    <w:p w14:paraId="1FE71F6D">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2F454600">
      <w:pPr>
        <w:autoSpaceDE w:val="0"/>
        <w:autoSpaceDN w:val="0"/>
        <w:adjustRightInd w:val="0"/>
        <w:spacing w:line="560" w:lineRule="exact"/>
        <w:ind w:left="480" w:left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为诚实、客观、有序地参与</w:t>
      </w:r>
      <w:r>
        <w:rPr>
          <w:rFonts w:hint="eastAsia" w:ascii="宋体" w:hAnsi="宋体" w:eastAsia="宋体" w:cs="宋体"/>
          <w:kern w:val="0"/>
          <w:sz w:val="24"/>
          <w:szCs w:val="24"/>
          <w:highlight w:val="none"/>
          <w:u w:val="single"/>
          <w:lang w:val="zh-CN"/>
        </w:rPr>
        <w:t xml:space="preserve">                     </w:t>
      </w:r>
      <w:r>
        <w:rPr>
          <w:rFonts w:hint="eastAsia" w:ascii="宋体" w:hAnsi="宋体" w:eastAsia="宋体" w:cs="宋体"/>
          <w:kern w:val="0"/>
          <w:sz w:val="24"/>
          <w:szCs w:val="24"/>
          <w:highlight w:val="none"/>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highlight w:val="none"/>
          <w:lang w:val="zh-CN"/>
        </w:rPr>
      </w:pPr>
    </w:p>
    <w:p w14:paraId="061D9A0A">
      <w:pPr>
        <w:autoSpaceDE w:val="0"/>
        <w:autoSpaceDN w:val="0"/>
        <w:adjustRightInd w:val="0"/>
        <w:spacing w:line="56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法定代表人或委托代理人：             （签字）</w:t>
      </w:r>
    </w:p>
    <w:p w14:paraId="189F4F6A">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bCs/>
          <w:kern w:val="0"/>
          <w:sz w:val="24"/>
          <w:szCs w:val="24"/>
          <w:highlight w:val="none"/>
          <w:lang w:val="zh-CN"/>
        </w:rPr>
        <w:t xml:space="preserve">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2"/>
        <w:rPr>
          <w:rFonts w:hint="eastAsia"/>
          <w:i w:val="0"/>
          <w:iCs w:val="0"/>
          <w:color w:val="auto"/>
          <w:highlight w:val="none"/>
          <w:lang w:val="en-US" w:eastAsia="zh-CN"/>
        </w:rPr>
      </w:pPr>
    </w:p>
    <w:bookmarkEnd w:id="679"/>
    <w:p w14:paraId="13DEAFB3">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i w:val="0"/>
          <w:iCs w:val="0"/>
          <w:color w:val="auto"/>
          <w:kern w:val="2"/>
          <w:sz w:val="24"/>
          <w:szCs w:val="24"/>
          <w:highlight w:val="none"/>
          <w:lang w:val="en-US" w:eastAsia="zh-CN" w:bidi="ar-SA"/>
        </w:rPr>
      </w:pPr>
    </w:p>
    <w:p w14:paraId="2F6D172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681" w:name="_Toc6611"/>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681"/>
    </w:p>
    <w:p w14:paraId="0C24F0AE">
      <w:pPr>
        <w:pStyle w:val="36"/>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36"/>
        <w:rPr>
          <w:rFonts w:hint="eastAsia"/>
          <w:i w:val="0"/>
          <w:iCs w:val="0"/>
          <w:color w:val="auto"/>
          <w:highlight w:val="none"/>
        </w:rPr>
      </w:pPr>
    </w:p>
    <w:p w14:paraId="58A36194">
      <w:pPr>
        <w:pStyle w:val="36"/>
        <w:rPr>
          <w:rFonts w:hint="eastAsia"/>
          <w:i w:val="0"/>
          <w:iCs w:val="0"/>
          <w:color w:val="auto"/>
          <w:highlight w:val="none"/>
        </w:rPr>
      </w:pPr>
    </w:p>
    <w:p w14:paraId="3553B395">
      <w:pPr>
        <w:pStyle w:val="36"/>
        <w:rPr>
          <w:rFonts w:hint="eastAsia"/>
          <w:i w:val="0"/>
          <w:iCs w:val="0"/>
          <w:color w:val="auto"/>
          <w:highlight w:val="none"/>
        </w:rPr>
      </w:pPr>
    </w:p>
    <w:p w14:paraId="49D404FC">
      <w:pPr>
        <w:pStyle w:val="36"/>
        <w:rPr>
          <w:rFonts w:hint="eastAsia"/>
          <w:i w:val="0"/>
          <w:iCs w:val="0"/>
          <w:color w:val="auto"/>
          <w:highlight w:val="none"/>
        </w:rPr>
      </w:pPr>
    </w:p>
    <w:p w14:paraId="4B98E4B6">
      <w:pPr>
        <w:pStyle w:val="36"/>
        <w:rPr>
          <w:rFonts w:hint="eastAsia"/>
          <w:i w:val="0"/>
          <w:iCs w:val="0"/>
          <w:color w:val="auto"/>
          <w:highlight w:val="none"/>
        </w:rPr>
      </w:pPr>
    </w:p>
    <w:p w14:paraId="737FEDD3">
      <w:pPr>
        <w:pStyle w:val="36"/>
        <w:rPr>
          <w:rFonts w:hint="eastAsia"/>
          <w:i w:val="0"/>
          <w:iCs w:val="0"/>
          <w:color w:val="auto"/>
          <w:highlight w:val="none"/>
        </w:rPr>
      </w:pPr>
    </w:p>
    <w:p w14:paraId="1C876135">
      <w:pPr>
        <w:pStyle w:val="36"/>
        <w:rPr>
          <w:rFonts w:hint="eastAsia"/>
          <w:i w:val="0"/>
          <w:iCs w:val="0"/>
          <w:color w:val="auto"/>
          <w:highlight w:val="none"/>
        </w:rPr>
      </w:pPr>
    </w:p>
    <w:p w14:paraId="7E85C842">
      <w:pPr>
        <w:pStyle w:val="36"/>
        <w:rPr>
          <w:rFonts w:hint="eastAsia"/>
          <w:i w:val="0"/>
          <w:iCs w:val="0"/>
          <w:color w:val="auto"/>
          <w:highlight w:val="none"/>
        </w:rPr>
      </w:pPr>
    </w:p>
    <w:p w14:paraId="4CBE3B0D">
      <w:pPr>
        <w:pStyle w:val="36"/>
        <w:rPr>
          <w:rFonts w:hint="eastAsia"/>
          <w:i w:val="0"/>
          <w:iCs w:val="0"/>
          <w:color w:val="auto"/>
          <w:highlight w:val="none"/>
        </w:rPr>
      </w:pPr>
    </w:p>
    <w:p w14:paraId="2E6E451F">
      <w:pPr>
        <w:pStyle w:val="36"/>
        <w:rPr>
          <w:rFonts w:hint="eastAsia"/>
          <w:i w:val="0"/>
          <w:iCs w:val="0"/>
          <w:color w:val="auto"/>
          <w:highlight w:val="none"/>
        </w:rPr>
      </w:pPr>
    </w:p>
    <w:p w14:paraId="38DC2C55">
      <w:pPr>
        <w:pStyle w:val="36"/>
        <w:rPr>
          <w:rFonts w:hint="eastAsia"/>
          <w:i w:val="0"/>
          <w:iCs w:val="0"/>
          <w:color w:val="auto"/>
          <w:highlight w:val="none"/>
        </w:rPr>
      </w:pPr>
    </w:p>
    <w:p w14:paraId="04DAFD3C">
      <w:pPr>
        <w:pStyle w:val="36"/>
        <w:rPr>
          <w:rFonts w:hint="eastAsia"/>
          <w:i w:val="0"/>
          <w:iCs w:val="0"/>
          <w:color w:val="auto"/>
          <w:highlight w:val="none"/>
        </w:rPr>
      </w:pPr>
    </w:p>
    <w:p w14:paraId="51E24CDC">
      <w:pPr>
        <w:pStyle w:val="36"/>
        <w:rPr>
          <w:rFonts w:hint="eastAsia"/>
          <w:i w:val="0"/>
          <w:iCs w:val="0"/>
          <w:color w:val="auto"/>
          <w:highlight w:val="none"/>
        </w:rPr>
      </w:pPr>
    </w:p>
    <w:p w14:paraId="1AC1942E">
      <w:pPr>
        <w:pStyle w:val="36"/>
        <w:rPr>
          <w:rFonts w:hint="eastAsia"/>
          <w:i w:val="0"/>
          <w:iCs w:val="0"/>
          <w:color w:val="auto"/>
          <w:highlight w:val="none"/>
        </w:rPr>
      </w:pPr>
    </w:p>
    <w:p w14:paraId="4722E259">
      <w:pPr>
        <w:pStyle w:val="36"/>
        <w:rPr>
          <w:rFonts w:hint="eastAsia"/>
          <w:i w:val="0"/>
          <w:iCs w:val="0"/>
          <w:color w:val="auto"/>
          <w:highlight w:val="none"/>
        </w:rPr>
      </w:pPr>
    </w:p>
    <w:p w14:paraId="07033BD3">
      <w:pPr>
        <w:pStyle w:val="36"/>
        <w:rPr>
          <w:rFonts w:hint="eastAsia"/>
          <w:i w:val="0"/>
          <w:iCs w:val="0"/>
          <w:color w:val="auto"/>
          <w:highlight w:val="none"/>
        </w:rPr>
      </w:pPr>
    </w:p>
    <w:p w14:paraId="6E1D094D">
      <w:pPr>
        <w:pStyle w:val="36"/>
        <w:rPr>
          <w:rFonts w:hint="eastAsia"/>
          <w:i w:val="0"/>
          <w:iCs w:val="0"/>
          <w:color w:val="auto"/>
          <w:highlight w:val="none"/>
        </w:rPr>
      </w:pPr>
    </w:p>
    <w:p w14:paraId="23B0DB54">
      <w:pPr>
        <w:pStyle w:val="36"/>
        <w:rPr>
          <w:rFonts w:hint="eastAsia"/>
          <w:i w:val="0"/>
          <w:iCs w:val="0"/>
          <w:color w:val="auto"/>
          <w:highlight w:val="none"/>
        </w:rPr>
      </w:pPr>
    </w:p>
    <w:p w14:paraId="07159DF6">
      <w:pPr>
        <w:pStyle w:val="36"/>
        <w:rPr>
          <w:rFonts w:hint="eastAsia"/>
          <w:i w:val="0"/>
          <w:iCs w:val="0"/>
          <w:color w:val="auto"/>
          <w:highlight w:val="none"/>
        </w:rPr>
      </w:pPr>
    </w:p>
    <w:p w14:paraId="44B3A5AA">
      <w:pPr>
        <w:pStyle w:val="36"/>
        <w:rPr>
          <w:rFonts w:hint="eastAsia"/>
          <w:i w:val="0"/>
          <w:iCs w:val="0"/>
          <w:color w:val="auto"/>
          <w:highlight w:val="none"/>
        </w:rPr>
      </w:pPr>
    </w:p>
    <w:p w14:paraId="05BB178A">
      <w:pPr>
        <w:pStyle w:val="36"/>
        <w:rPr>
          <w:rFonts w:hint="eastAsia"/>
          <w:i w:val="0"/>
          <w:iCs w:val="0"/>
          <w:color w:val="auto"/>
          <w:highlight w:val="none"/>
        </w:rPr>
      </w:pPr>
    </w:p>
    <w:p w14:paraId="0E7980AB">
      <w:pPr>
        <w:pStyle w:val="36"/>
        <w:rPr>
          <w:rFonts w:hint="eastAsia"/>
          <w:i w:val="0"/>
          <w:iCs w:val="0"/>
          <w:color w:val="auto"/>
          <w:highlight w:val="none"/>
        </w:rPr>
      </w:pPr>
    </w:p>
    <w:p w14:paraId="5A09B930">
      <w:pPr>
        <w:pStyle w:val="36"/>
        <w:rPr>
          <w:rFonts w:hint="eastAsia"/>
          <w:i w:val="0"/>
          <w:iCs w:val="0"/>
          <w:color w:val="auto"/>
          <w:highlight w:val="none"/>
        </w:rPr>
      </w:pPr>
    </w:p>
    <w:p w14:paraId="3FB1F62E">
      <w:pPr>
        <w:pStyle w:val="36"/>
        <w:rPr>
          <w:rFonts w:hint="eastAsia"/>
          <w:i w:val="0"/>
          <w:iCs w:val="0"/>
          <w:color w:val="auto"/>
          <w:highlight w:val="none"/>
        </w:rPr>
      </w:pPr>
    </w:p>
    <w:p w14:paraId="674D4B47">
      <w:pPr>
        <w:pStyle w:val="36"/>
        <w:rPr>
          <w:rFonts w:hint="eastAsia"/>
          <w:i w:val="0"/>
          <w:iCs w:val="0"/>
          <w:color w:val="auto"/>
          <w:highlight w:val="none"/>
        </w:rPr>
      </w:pPr>
    </w:p>
    <w:p w14:paraId="29F4C723">
      <w:pPr>
        <w:pStyle w:val="36"/>
        <w:rPr>
          <w:rFonts w:hint="eastAsia"/>
          <w:i w:val="0"/>
          <w:iCs w:val="0"/>
          <w:color w:val="auto"/>
          <w:highlight w:val="none"/>
        </w:rPr>
      </w:pPr>
    </w:p>
    <w:p w14:paraId="1047D3EE">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FC23E9A">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79E32CA">
      <w:pPr>
        <w:autoSpaceDE w:val="0"/>
        <w:autoSpaceDN w:val="0"/>
        <w:adjustRightInd w:val="0"/>
        <w:rPr>
          <w:i w:val="0"/>
          <w:iCs w:val="0"/>
          <w:color w:val="auto"/>
          <w:sz w:val="21"/>
          <w:szCs w:val="24"/>
          <w:highlight w:val="none"/>
        </w:rPr>
      </w:pPr>
    </w:p>
    <w:p w14:paraId="2CC27B4B">
      <w:pPr>
        <w:autoSpaceDE w:val="0"/>
        <w:autoSpaceDN w:val="0"/>
        <w:adjustRightInd w:val="0"/>
        <w:rPr>
          <w:i w:val="0"/>
          <w:iCs w:val="0"/>
          <w:color w:val="auto"/>
          <w:sz w:val="21"/>
          <w:szCs w:val="24"/>
          <w:highlight w:val="none"/>
        </w:rPr>
      </w:pPr>
    </w:p>
    <w:p w14:paraId="63CA31F9">
      <w:pPr>
        <w:autoSpaceDE w:val="0"/>
        <w:autoSpaceDN w:val="0"/>
        <w:adjustRightInd w:val="0"/>
        <w:jc w:val="center"/>
        <w:rPr>
          <w:i w:val="0"/>
          <w:iCs w:val="0"/>
          <w:color w:val="auto"/>
          <w:sz w:val="21"/>
          <w:szCs w:val="24"/>
          <w:highlight w:val="none"/>
        </w:rPr>
      </w:pPr>
    </w:p>
    <w:p w14:paraId="0F2A8793">
      <w:pPr>
        <w:pStyle w:val="3"/>
        <w:bidi w:val="0"/>
        <w:spacing w:line="240" w:lineRule="auto"/>
        <w:rPr>
          <w:color w:val="auto"/>
          <w:sz w:val="72"/>
          <w:szCs w:val="72"/>
          <w:highlight w:val="none"/>
        </w:rPr>
      </w:pPr>
      <w:bookmarkStart w:id="682" w:name="_Toc2077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682"/>
    </w:p>
    <w:p w14:paraId="383861DE">
      <w:pPr>
        <w:pStyle w:val="3"/>
        <w:bidi w:val="0"/>
        <w:spacing w:line="240" w:lineRule="auto"/>
        <w:rPr>
          <w:rFonts w:hint="eastAsia"/>
          <w:color w:val="auto"/>
          <w:sz w:val="72"/>
          <w:szCs w:val="72"/>
          <w:highlight w:val="none"/>
          <w:lang w:val="en-US" w:eastAsia="zh-CN"/>
        </w:rPr>
      </w:pPr>
      <w:bookmarkStart w:id="683" w:name="_Toc25659"/>
      <w:r>
        <w:rPr>
          <w:rFonts w:hint="eastAsia"/>
          <w:color w:val="auto"/>
          <w:sz w:val="72"/>
          <w:szCs w:val="72"/>
          <w:highlight w:val="none"/>
          <w:lang w:val="en-US" w:eastAsia="zh-CN"/>
        </w:rPr>
        <w:t>报价文件</w:t>
      </w:r>
      <w:bookmarkEnd w:id="683"/>
    </w:p>
    <w:p w14:paraId="213DD66C">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798A956E">
      <w:pPr>
        <w:outlineLvl w:val="9"/>
        <w:rPr>
          <w:i w:val="0"/>
          <w:iCs w:val="0"/>
          <w:color w:val="auto"/>
          <w:sz w:val="21"/>
          <w:szCs w:val="21"/>
          <w:highlight w:val="none"/>
        </w:rPr>
      </w:pPr>
    </w:p>
    <w:p w14:paraId="24B6A268">
      <w:pPr>
        <w:outlineLvl w:val="9"/>
        <w:rPr>
          <w:i w:val="0"/>
          <w:iCs w:val="0"/>
          <w:color w:val="auto"/>
          <w:sz w:val="21"/>
          <w:szCs w:val="21"/>
          <w:highlight w:val="none"/>
        </w:rPr>
      </w:pPr>
    </w:p>
    <w:p w14:paraId="3DC104B3">
      <w:pPr>
        <w:outlineLvl w:val="9"/>
        <w:rPr>
          <w:i w:val="0"/>
          <w:iCs w:val="0"/>
          <w:color w:val="auto"/>
          <w:highlight w:val="none"/>
        </w:rPr>
      </w:pPr>
    </w:p>
    <w:p w14:paraId="74A7A117">
      <w:pPr>
        <w:autoSpaceDE w:val="0"/>
        <w:autoSpaceDN w:val="0"/>
        <w:adjustRightInd w:val="0"/>
        <w:outlineLvl w:val="9"/>
        <w:rPr>
          <w:i w:val="0"/>
          <w:iCs w:val="0"/>
          <w:color w:val="auto"/>
          <w:sz w:val="21"/>
          <w:szCs w:val="21"/>
          <w:highlight w:val="none"/>
        </w:rPr>
      </w:pPr>
    </w:p>
    <w:p w14:paraId="6EE89269">
      <w:pPr>
        <w:autoSpaceDE w:val="0"/>
        <w:autoSpaceDN w:val="0"/>
        <w:adjustRightInd w:val="0"/>
        <w:rPr>
          <w:i w:val="0"/>
          <w:iCs w:val="0"/>
          <w:color w:val="auto"/>
          <w:sz w:val="21"/>
          <w:szCs w:val="21"/>
          <w:highlight w:val="none"/>
        </w:rPr>
      </w:pPr>
    </w:p>
    <w:p w14:paraId="6F47513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173F70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01680F9">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3B6644C">
      <w:pPr>
        <w:ind w:left="840" w:firstLine="420"/>
        <w:rPr>
          <w:b/>
          <w:bCs/>
          <w:i w:val="0"/>
          <w:iCs w:val="0"/>
          <w:color w:val="auto"/>
          <w:sz w:val="28"/>
          <w:szCs w:val="28"/>
          <w:highlight w:val="none"/>
        </w:rPr>
      </w:pPr>
    </w:p>
    <w:p w14:paraId="17D47AB2">
      <w:pPr>
        <w:ind w:left="840" w:firstLine="420"/>
        <w:rPr>
          <w:b/>
          <w:bCs/>
          <w:i w:val="0"/>
          <w:iCs w:val="0"/>
          <w:color w:val="auto"/>
          <w:sz w:val="28"/>
          <w:szCs w:val="28"/>
          <w:highlight w:val="none"/>
        </w:rPr>
      </w:pPr>
    </w:p>
    <w:p w14:paraId="189AF4A8">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2B025C97">
      <w:pPr>
        <w:rPr>
          <w:i w:val="0"/>
          <w:iCs w:val="0"/>
          <w:color w:val="auto"/>
          <w:highlight w:val="none"/>
          <w:lang w:val="zh-CN"/>
        </w:rPr>
      </w:pPr>
      <w:r>
        <w:rPr>
          <w:i w:val="0"/>
          <w:iCs w:val="0"/>
          <w:color w:val="auto"/>
          <w:highlight w:val="none"/>
          <w:lang w:val="zh-CN"/>
        </w:rPr>
        <w:br w:type="page"/>
      </w:r>
    </w:p>
    <w:p w14:paraId="5A6B7717">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i w:val="0"/>
          <w:iCs w:val="0"/>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84" w:name="_Toc22453"/>
      <w:r>
        <w:rPr>
          <w:rFonts w:hint="eastAsia" w:cstheme="majorBidi"/>
          <w:b/>
          <w:bCs/>
          <w:i w:val="0"/>
          <w:iCs w:val="0"/>
          <w:color w:val="auto"/>
          <w:kern w:val="2"/>
          <w:sz w:val="32"/>
          <w:szCs w:val="32"/>
          <w:highlight w:val="none"/>
          <w:lang w:val="en-US" w:eastAsia="zh-CN" w:bidi="ar-SA"/>
        </w:rPr>
        <w:t>一、报价一览表</w:t>
      </w:r>
      <w:bookmarkEnd w:id="684"/>
    </w:p>
    <w:p w14:paraId="2AB3D72A">
      <w:pPr>
        <w:spacing w:line="300" w:lineRule="auto"/>
        <w:rPr>
          <w:rFonts w:cs="仿宋_GB2312"/>
          <w:i w:val="0"/>
          <w:iCs w:val="0"/>
          <w:color w:val="auto"/>
          <w:szCs w:val="24"/>
          <w:highlight w:val="none"/>
        </w:rPr>
      </w:pPr>
    </w:p>
    <w:p w14:paraId="2E702B2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573A0361">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D10FF2E">
            <w:pPr>
              <w:widowControl/>
              <w:autoSpaceDE w:val="0"/>
              <w:autoSpaceDN w:val="0"/>
              <w:ind w:left="851" w:hanging="851"/>
              <w:jc w:val="center"/>
              <w:textAlignment w:val="bottom"/>
              <w:rPr>
                <w:rFonts w:hint="eastAsia" w:eastAsia="宋体"/>
                <w:i w:val="0"/>
                <w:iCs w:val="0"/>
                <w:color w:val="auto"/>
                <w:szCs w:val="21"/>
                <w:highlight w:val="none"/>
                <w:lang w:eastAsia="zh-CN"/>
              </w:rPr>
            </w:pPr>
            <w:r>
              <w:rPr>
                <w:rFonts w:hint="eastAsia"/>
                <w:i w:val="0"/>
                <w:iCs w:val="0"/>
                <w:color w:val="auto"/>
                <w:szCs w:val="21"/>
                <w:highlight w:val="none"/>
                <w:lang w:val="en-US" w:eastAsia="zh-CN"/>
              </w:rPr>
              <w:t>磋商</w:t>
            </w:r>
            <w:r>
              <w:rPr>
                <w:rFonts w:hint="eastAsia"/>
                <w:i w:val="0"/>
                <w:iCs w:val="0"/>
                <w:color w:val="auto"/>
                <w:szCs w:val="21"/>
                <w:highlight w:val="none"/>
              </w:rPr>
              <w:t>报价</w:t>
            </w:r>
            <w:r>
              <w:rPr>
                <w:rFonts w:hint="eastAsia"/>
                <w:i w:val="0"/>
                <w:iCs w:val="0"/>
                <w:color w:val="auto"/>
                <w:szCs w:val="21"/>
                <w:highlight w:val="none"/>
                <w:lang w:eastAsia="zh-CN"/>
              </w:rPr>
              <w:t>（</w:t>
            </w:r>
            <w:r>
              <w:rPr>
                <w:rFonts w:hint="eastAsia"/>
                <w:i w:val="0"/>
                <w:iCs w:val="0"/>
                <w:color w:val="auto"/>
                <w:szCs w:val="21"/>
                <w:highlight w:val="none"/>
                <w:lang w:val="en-US" w:eastAsia="zh-CN"/>
              </w:rPr>
              <w:t>下浮率%</w:t>
            </w:r>
            <w:r>
              <w:rPr>
                <w:rFonts w:hint="eastAsia"/>
                <w:i w:val="0"/>
                <w:iCs w:val="0"/>
                <w:color w:val="auto"/>
                <w:szCs w:val="21"/>
                <w:highlight w:val="none"/>
                <w:lang w:eastAsia="zh-CN"/>
              </w:rPr>
              <w:t>）</w:t>
            </w:r>
          </w:p>
        </w:tc>
        <w:tc>
          <w:tcPr>
            <w:tcW w:w="2161" w:type="dxa"/>
            <w:vAlign w:val="center"/>
          </w:tcPr>
          <w:p w14:paraId="48CC1886">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2611" w:type="dxa"/>
            <w:vAlign w:val="center"/>
          </w:tcPr>
          <w:p w14:paraId="620875E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i w:val="0"/>
                <w:iCs w:val="0"/>
                <w:color w:val="auto"/>
                <w:sz w:val="28"/>
                <w:highlight w:val="none"/>
              </w:rPr>
            </w:pPr>
          </w:p>
        </w:tc>
        <w:tc>
          <w:tcPr>
            <w:tcW w:w="2352" w:type="dxa"/>
            <w:vAlign w:val="center"/>
          </w:tcPr>
          <w:p w14:paraId="5238C712">
            <w:pPr>
              <w:jc w:val="left"/>
              <w:rPr>
                <w:i w:val="0"/>
                <w:iCs w:val="0"/>
                <w:color w:val="auto"/>
                <w:sz w:val="28"/>
                <w:highlight w:val="none"/>
              </w:rPr>
            </w:pPr>
          </w:p>
        </w:tc>
        <w:tc>
          <w:tcPr>
            <w:tcW w:w="2161" w:type="dxa"/>
            <w:vAlign w:val="center"/>
          </w:tcPr>
          <w:p w14:paraId="3409D243">
            <w:pPr>
              <w:jc w:val="center"/>
              <w:rPr>
                <w:i w:val="0"/>
                <w:iCs w:val="0"/>
                <w:color w:val="auto"/>
                <w:sz w:val="28"/>
                <w:highlight w:val="none"/>
              </w:rPr>
            </w:pPr>
          </w:p>
        </w:tc>
        <w:tc>
          <w:tcPr>
            <w:tcW w:w="2611" w:type="dxa"/>
            <w:vAlign w:val="center"/>
          </w:tcPr>
          <w:p w14:paraId="35602B49">
            <w:pPr>
              <w:jc w:val="center"/>
              <w:rPr>
                <w:i w:val="0"/>
                <w:iCs w:val="0"/>
                <w:color w:val="auto"/>
                <w:sz w:val="28"/>
                <w:highlight w:val="none"/>
              </w:rPr>
            </w:pPr>
          </w:p>
        </w:tc>
      </w:tr>
    </w:tbl>
    <w:p w14:paraId="35185EF7">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12"/>
        <w:rPr>
          <w:rFonts w:cs="Arial"/>
          <w:i w:val="0"/>
          <w:iCs w:val="0"/>
          <w:color w:val="auto"/>
          <w:szCs w:val="24"/>
          <w:highlight w:val="none"/>
        </w:rPr>
      </w:pPr>
    </w:p>
    <w:p w14:paraId="4C551945">
      <w:pPr>
        <w:pStyle w:val="12"/>
        <w:rPr>
          <w:rFonts w:cs="Arial"/>
          <w:i w:val="0"/>
          <w:iCs w:val="0"/>
          <w:color w:val="auto"/>
          <w:szCs w:val="24"/>
          <w:highlight w:val="none"/>
        </w:rPr>
      </w:pPr>
    </w:p>
    <w:p w14:paraId="09ACCEBB">
      <w:pPr>
        <w:pStyle w:val="12"/>
        <w:rPr>
          <w:rFonts w:cs="Arial"/>
          <w:i w:val="0"/>
          <w:iCs w:val="0"/>
          <w:color w:val="auto"/>
          <w:szCs w:val="24"/>
          <w:highlight w:val="none"/>
        </w:rPr>
      </w:pPr>
    </w:p>
    <w:p w14:paraId="54CAC625">
      <w:pPr>
        <w:pStyle w:val="12"/>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12"/>
        <w:spacing w:line="360" w:lineRule="auto"/>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1.表中磋商报价按中价协【2013】35号文规定的《建筑工程造价咨询收费基准价》收费标准，下浮不得低于50%（含50%）。</w:t>
      </w:r>
    </w:p>
    <w:p w14:paraId="26C7BD91">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2A6849F2">
      <w:pPr>
        <w:pStyle w:val="12"/>
        <w:ind w:firstLine="420" w:firstLineChars="200"/>
        <w:rPr>
          <w:rFonts w:hint="eastAsia" w:ascii="宋体" w:hAnsi="宋体" w:eastAsia="宋体" w:cs="宋体"/>
          <w:i w:val="0"/>
          <w:iCs w:val="0"/>
          <w:color w:val="auto"/>
          <w:sz w:val="21"/>
          <w:szCs w:val="21"/>
          <w:highlight w:val="none"/>
        </w:rPr>
        <w:sectPr>
          <w:headerReference r:id="rId13" w:type="default"/>
          <w:footerReference r:id="rId14"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85" w:name="_Toc12133"/>
      <w:r>
        <w:rPr>
          <w:rFonts w:hint="eastAsia" w:cstheme="majorBidi"/>
          <w:b/>
          <w:bCs/>
          <w:i w:val="0"/>
          <w:iCs w:val="0"/>
          <w:color w:val="auto"/>
          <w:kern w:val="2"/>
          <w:sz w:val="32"/>
          <w:szCs w:val="32"/>
          <w:highlight w:val="none"/>
          <w:lang w:val="en-US" w:eastAsia="zh-CN" w:bidi="ar-SA"/>
        </w:rPr>
        <w:t>二、分项报价表</w:t>
      </w:r>
      <w:bookmarkEnd w:id="685"/>
    </w:p>
    <w:p w14:paraId="36B2988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69D3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034"/>
        <w:gridCol w:w="1500"/>
        <w:gridCol w:w="1068"/>
        <w:gridCol w:w="1314"/>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034" w:type="dxa"/>
            <w:vAlign w:val="center"/>
          </w:tcPr>
          <w:p w14:paraId="088C5C1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500" w:type="dxa"/>
            <w:vAlign w:val="center"/>
          </w:tcPr>
          <w:p w14:paraId="73E9587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8" w:type="dxa"/>
            <w:vAlign w:val="center"/>
          </w:tcPr>
          <w:p w14:paraId="46AE39C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单价（下浮率（%））</w:t>
            </w:r>
          </w:p>
        </w:tc>
        <w:tc>
          <w:tcPr>
            <w:tcW w:w="1314" w:type="dxa"/>
            <w:vAlign w:val="center"/>
          </w:tcPr>
          <w:p w14:paraId="39D5688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总价（下浮率（%））</w:t>
            </w:r>
          </w:p>
        </w:tc>
        <w:tc>
          <w:tcPr>
            <w:tcW w:w="947" w:type="dxa"/>
            <w:vAlign w:val="center"/>
          </w:tcPr>
          <w:p w14:paraId="7A26779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034" w:type="dxa"/>
            <w:vAlign w:val="center"/>
          </w:tcPr>
          <w:p w14:paraId="07A38CC0">
            <w:pPr>
              <w:adjustRightInd w:val="0"/>
              <w:snapToGrid w:val="0"/>
              <w:spacing w:line="240" w:lineRule="auto"/>
              <w:jc w:val="center"/>
              <w:rPr>
                <w:i w:val="0"/>
                <w:iCs w:val="0"/>
                <w:color w:val="auto"/>
                <w:szCs w:val="21"/>
                <w:highlight w:val="none"/>
              </w:rPr>
            </w:pPr>
          </w:p>
        </w:tc>
        <w:tc>
          <w:tcPr>
            <w:tcW w:w="1500" w:type="dxa"/>
            <w:vAlign w:val="center"/>
          </w:tcPr>
          <w:p w14:paraId="0D2CE283">
            <w:pPr>
              <w:adjustRightInd w:val="0"/>
              <w:snapToGrid w:val="0"/>
              <w:spacing w:line="240" w:lineRule="auto"/>
              <w:jc w:val="center"/>
              <w:rPr>
                <w:i w:val="0"/>
                <w:iCs w:val="0"/>
                <w:color w:val="auto"/>
                <w:szCs w:val="21"/>
                <w:highlight w:val="none"/>
              </w:rPr>
            </w:pPr>
          </w:p>
        </w:tc>
        <w:tc>
          <w:tcPr>
            <w:tcW w:w="1068" w:type="dxa"/>
            <w:vAlign w:val="center"/>
          </w:tcPr>
          <w:p w14:paraId="347A98B0">
            <w:pPr>
              <w:adjustRightInd w:val="0"/>
              <w:snapToGrid w:val="0"/>
              <w:spacing w:line="240" w:lineRule="auto"/>
              <w:jc w:val="center"/>
              <w:rPr>
                <w:i w:val="0"/>
                <w:iCs w:val="0"/>
                <w:color w:val="auto"/>
                <w:szCs w:val="21"/>
                <w:highlight w:val="none"/>
              </w:rPr>
            </w:pPr>
          </w:p>
        </w:tc>
        <w:tc>
          <w:tcPr>
            <w:tcW w:w="1314" w:type="dxa"/>
            <w:vAlign w:val="center"/>
          </w:tcPr>
          <w:p w14:paraId="439055D0">
            <w:pPr>
              <w:adjustRightInd w:val="0"/>
              <w:snapToGrid w:val="0"/>
              <w:spacing w:line="240" w:lineRule="auto"/>
              <w:jc w:val="center"/>
              <w:rPr>
                <w:i w:val="0"/>
                <w:iCs w:val="0"/>
                <w:color w:val="auto"/>
                <w:szCs w:val="21"/>
                <w:highlight w:val="none"/>
              </w:rPr>
            </w:pPr>
          </w:p>
        </w:tc>
        <w:tc>
          <w:tcPr>
            <w:tcW w:w="947" w:type="dxa"/>
            <w:vAlign w:val="center"/>
          </w:tcPr>
          <w:p w14:paraId="53350EE9">
            <w:pPr>
              <w:adjustRightInd w:val="0"/>
              <w:snapToGrid w:val="0"/>
              <w:spacing w:line="240" w:lineRule="auto"/>
              <w:jc w:val="center"/>
              <w:rPr>
                <w:i w:val="0"/>
                <w:iCs w:val="0"/>
                <w:color w:val="auto"/>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034" w:type="dxa"/>
            <w:vAlign w:val="center"/>
          </w:tcPr>
          <w:p w14:paraId="19F17531">
            <w:pPr>
              <w:adjustRightInd w:val="0"/>
              <w:snapToGrid w:val="0"/>
              <w:spacing w:line="240" w:lineRule="auto"/>
              <w:jc w:val="center"/>
              <w:rPr>
                <w:i w:val="0"/>
                <w:iCs w:val="0"/>
                <w:color w:val="auto"/>
                <w:szCs w:val="21"/>
                <w:highlight w:val="none"/>
              </w:rPr>
            </w:pPr>
          </w:p>
        </w:tc>
        <w:tc>
          <w:tcPr>
            <w:tcW w:w="1500" w:type="dxa"/>
            <w:vAlign w:val="center"/>
          </w:tcPr>
          <w:p w14:paraId="5FA2A257">
            <w:pPr>
              <w:adjustRightInd w:val="0"/>
              <w:snapToGrid w:val="0"/>
              <w:spacing w:line="240" w:lineRule="auto"/>
              <w:jc w:val="center"/>
              <w:rPr>
                <w:i w:val="0"/>
                <w:iCs w:val="0"/>
                <w:color w:val="auto"/>
                <w:szCs w:val="21"/>
                <w:highlight w:val="none"/>
              </w:rPr>
            </w:pPr>
          </w:p>
        </w:tc>
        <w:tc>
          <w:tcPr>
            <w:tcW w:w="1068" w:type="dxa"/>
            <w:vAlign w:val="center"/>
          </w:tcPr>
          <w:p w14:paraId="634862ED">
            <w:pPr>
              <w:adjustRightInd w:val="0"/>
              <w:snapToGrid w:val="0"/>
              <w:spacing w:line="240" w:lineRule="auto"/>
              <w:jc w:val="center"/>
              <w:rPr>
                <w:i w:val="0"/>
                <w:iCs w:val="0"/>
                <w:color w:val="auto"/>
                <w:szCs w:val="21"/>
                <w:highlight w:val="none"/>
              </w:rPr>
            </w:pPr>
          </w:p>
        </w:tc>
        <w:tc>
          <w:tcPr>
            <w:tcW w:w="1314" w:type="dxa"/>
            <w:vAlign w:val="center"/>
          </w:tcPr>
          <w:p w14:paraId="604070DF">
            <w:pPr>
              <w:adjustRightInd w:val="0"/>
              <w:snapToGrid w:val="0"/>
              <w:spacing w:line="240" w:lineRule="auto"/>
              <w:jc w:val="center"/>
              <w:rPr>
                <w:i w:val="0"/>
                <w:iCs w:val="0"/>
                <w:color w:val="auto"/>
                <w:szCs w:val="21"/>
                <w:highlight w:val="none"/>
              </w:rPr>
            </w:pPr>
          </w:p>
        </w:tc>
        <w:tc>
          <w:tcPr>
            <w:tcW w:w="947" w:type="dxa"/>
            <w:vAlign w:val="center"/>
          </w:tcPr>
          <w:p w14:paraId="45B52869">
            <w:pPr>
              <w:adjustRightInd w:val="0"/>
              <w:snapToGrid w:val="0"/>
              <w:spacing w:line="240" w:lineRule="auto"/>
              <w:jc w:val="center"/>
              <w:rPr>
                <w:i w:val="0"/>
                <w:iCs w:val="0"/>
                <w:color w:val="auto"/>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034" w:type="dxa"/>
            <w:vAlign w:val="center"/>
          </w:tcPr>
          <w:p w14:paraId="7605B56B">
            <w:pPr>
              <w:adjustRightInd w:val="0"/>
              <w:snapToGrid w:val="0"/>
              <w:spacing w:line="240" w:lineRule="auto"/>
              <w:jc w:val="center"/>
              <w:rPr>
                <w:i w:val="0"/>
                <w:iCs w:val="0"/>
                <w:color w:val="auto"/>
                <w:szCs w:val="21"/>
                <w:highlight w:val="none"/>
              </w:rPr>
            </w:pPr>
          </w:p>
        </w:tc>
        <w:tc>
          <w:tcPr>
            <w:tcW w:w="1500" w:type="dxa"/>
            <w:vAlign w:val="center"/>
          </w:tcPr>
          <w:p w14:paraId="2DB12A28">
            <w:pPr>
              <w:adjustRightInd w:val="0"/>
              <w:snapToGrid w:val="0"/>
              <w:spacing w:line="240" w:lineRule="auto"/>
              <w:jc w:val="center"/>
              <w:rPr>
                <w:i w:val="0"/>
                <w:iCs w:val="0"/>
                <w:color w:val="auto"/>
                <w:szCs w:val="21"/>
                <w:highlight w:val="none"/>
              </w:rPr>
            </w:pPr>
          </w:p>
        </w:tc>
        <w:tc>
          <w:tcPr>
            <w:tcW w:w="1068" w:type="dxa"/>
            <w:vAlign w:val="center"/>
          </w:tcPr>
          <w:p w14:paraId="317BFF74">
            <w:pPr>
              <w:adjustRightInd w:val="0"/>
              <w:snapToGrid w:val="0"/>
              <w:spacing w:line="240" w:lineRule="auto"/>
              <w:jc w:val="center"/>
              <w:rPr>
                <w:i w:val="0"/>
                <w:iCs w:val="0"/>
                <w:color w:val="auto"/>
                <w:szCs w:val="21"/>
                <w:highlight w:val="none"/>
              </w:rPr>
            </w:pPr>
          </w:p>
        </w:tc>
        <w:tc>
          <w:tcPr>
            <w:tcW w:w="1314" w:type="dxa"/>
            <w:vAlign w:val="center"/>
          </w:tcPr>
          <w:p w14:paraId="4B6F17D3">
            <w:pPr>
              <w:adjustRightInd w:val="0"/>
              <w:snapToGrid w:val="0"/>
              <w:spacing w:line="240" w:lineRule="auto"/>
              <w:jc w:val="center"/>
              <w:rPr>
                <w:i w:val="0"/>
                <w:iCs w:val="0"/>
                <w:color w:val="auto"/>
                <w:szCs w:val="21"/>
                <w:highlight w:val="none"/>
              </w:rPr>
            </w:pPr>
          </w:p>
        </w:tc>
        <w:tc>
          <w:tcPr>
            <w:tcW w:w="947" w:type="dxa"/>
            <w:vAlign w:val="center"/>
          </w:tcPr>
          <w:p w14:paraId="1E8ED10E">
            <w:pPr>
              <w:adjustRightInd w:val="0"/>
              <w:snapToGrid w:val="0"/>
              <w:spacing w:line="240" w:lineRule="auto"/>
              <w:jc w:val="center"/>
              <w:rPr>
                <w:i w:val="0"/>
                <w:iCs w:val="0"/>
                <w:color w:val="auto"/>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034" w:type="dxa"/>
            <w:vAlign w:val="center"/>
          </w:tcPr>
          <w:p w14:paraId="0B0031F2">
            <w:pPr>
              <w:adjustRightInd w:val="0"/>
              <w:snapToGrid w:val="0"/>
              <w:spacing w:line="240" w:lineRule="auto"/>
              <w:jc w:val="center"/>
              <w:rPr>
                <w:i w:val="0"/>
                <w:iCs w:val="0"/>
                <w:color w:val="auto"/>
                <w:szCs w:val="21"/>
                <w:highlight w:val="none"/>
              </w:rPr>
            </w:pPr>
          </w:p>
        </w:tc>
        <w:tc>
          <w:tcPr>
            <w:tcW w:w="1500" w:type="dxa"/>
            <w:vAlign w:val="center"/>
          </w:tcPr>
          <w:p w14:paraId="1A9AB905">
            <w:pPr>
              <w:adjustRightInd w:val="0"/>
              <w:snapToGrid w:val="0"/>
              <w:spacing w:line="240" w:lineRule="auto"/>
              <w:jc w:val="center"/>
              <w:rPr>
                <w:i w:val="0"/>
                <w:iCs w:val="0"/>
                <w:color w:val="auto"/>
                <w:szCs w:val="21"/>
                <w:highlight w:val="none"/>
              </w:rPr>
            </w:pPr>
          </w:p>
        </w:tc>
        <w:tc>
          <w:tcPr>
            <w:tcW w:w="1068" w:type="dxa"/>
            <w:vAlign w:val="center"/>
          </w:tcPr>
          <w:p w14:paraId="20C40B8C">
            <w:pPr>
              <w:adjustRightInd w:val="0"/>
              <w:snapToGrid w:val="0"/>
              <w:spacing w:line="240" w:lineRule="auto"/>
              <w:jc w:val="center"/>
              <w:rPr>
                <w:i w:val="0"/>
                <w:iCs w:val="0"/>
                <w:color w:val="auto"/>
                <w:szCs w:val="21"/>
                <w:highlight w:val="none"/>
              </w:rPr>
            </w:pPr>
          </w:p>
        </w:tc>
        <w:tc>
          <w:tcPr>
            <w:tcW w:w="1314" w:type="dxa"/>
            <w:vAlign w:val="center"/>
          </w:tcPr>
          <w:p w14:paraId="7FDFD679">
            <w:pPr>
              <w:adjustRightInd w:val="0"/>
              <w:snapToGrid w:val="0"/>
              <w:spacing w:line="240" w:lineRule="auto"/>
              <w:jc w:val="center"/>
              <w:rPr>
                <w:i w:val="0"/>
                <w:iCs w:val="0"/>
                <w:color w:val="auto"/>
                <w:szCs w:val="21"/>
                <w:highlight w:val="none"/>
              </w:rPr>
            </w:pPr>
          </w:p>
        </w:tc>
        <w:tc>
          <w:tcPr>
            <w:tcW w:w="947" w:type="dxa"/>
            <w:vAlign w:val="center"/>
          </w:tcPr>
          <w:p w14:paraId="3C259360">
            <w:pPr>
              <w:adjustRightInd w:val="0"/>
              <w:snapToGrid w:val="0"/>
              <w:spacing w:line="240" w:lineRule="auto"/>
              <w:jc w:val="center"/>
              <w:rPr>
                <w:i w:val="0"/>
                <w:iCs w:val="0"/>
                <w:color w:val="auto"/>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034" w:type="dxa"/>
            <w:vAlign w:val="center"/>
          </w:tcPr>
          <w:p w14:paraId="2B6E9910">
            <w:pPr>
              <w:adjustRightInd w:val="0"/>
              <w:snapToGrid w:val="0"/>
              <w:spacing w:line="240" w:lineRule="auto"/>
              <w:jc w:val="center"/>
              <w:rPr>
                <w:i w:val="0"/>
                <w:iCs w:val="0"/>
                <w:color w:val="auto"/>
                <w:szCs w:val="21"/>
                <w:highlight w:val="none"/>
              </w:rPr>
            </w:pPr>
          </w:p>
        </w:tc>
        <w:tc>
          <w:tcPr>
            <w:tcW w:w="1500" w:type="dxa"/>
            <w:vAlign w:val="center"/>
          </w:tcPr>
          <w:p w14:paraId="34E951A1">
            <w:pPr>
              <w:adjustRightInd w:val="0"/>
              <w:snapToGrid w:val="0"/>
              <w:spacing w:line="240" w:lineRule="auto"/>
              <w:jc w:val="center"/>
              <w:rPr>
                <w:i w:val="0"/>
                <w:iCs w:val="0"/>
                <w:color w:val="auto"/>
                <w:szCs w:val="21"/>
                <w:highlight w:val="none"/>
              </w:rPr>
            </w:pPr>
          </w:p>
        </w:tc>
        <w:tc>
          <w:tcPr>
            <w:tcW w:w="1068" w:type="dxa"/>
            <w:vAlign w:val="center"/>
          </w:tcPr>
          <w:p w14:paraId="5D9FC8D6">
            <w:pPr>
              <w:adjustRightInd w:val="0"/>
              <w:snapToGrid w:val="0"/>
              <w:spacing w:line="240" w:lineRule="auto"/>
              <w:jc w:val="center"/>
              <w:rPr>
                <w:i w:val="0"/>
                <w:iCs w:val="0"/>
                <w:color w:val="auto"/>
                <w:szCs w:val="21"/>
                <w:highlight w:val="none"/>
              </w:rPr>
            </w:pPr>
          </w:p>
        </w:tc>
        <w:tc>
          <w:tcPr>
            <w:tcW w:w="1314" w:type="dxa"/>
            <w:vAlign w:val="center"/>
          </w:tcPr>
          <w:p w14:paraId="7745BDE0">
            <w:pPr>
              <w:adjustRightInd w:val="0"/>
              <w:snapToGrid w:val="0"/>
              <w:spacing w:line="240" w:lineRule="auto"/>
              <w:jc w:val="center"/>
              <w:rPr>
                <w:i w:val="0"/>
                <w:iCs w:val="0"/>
                <w:color w:val="auto"/>
                <w:szCs w:val="21"/>
                <w:highlight w:val="none"/>
              </w:rPr>
            </w:pPr>
          </w:p>
        </w:tc>
        <w:tc>
          <w:tcPr>
            <w:tcW w:w="947" w:type="dxa"/>
            <w:vAlign w:val="center"/>
          </w:tcPr>
          <w:p w14:paraId="2F20BA25">
            <w:pPr>
              <w:adjustRightInd w:val="0"/>
              <w:snapToGrid w:val="0"/>
              <w:spacing w:line="240" w:lineRule="auto"/>
              <w:jc w:val="center"/>
              <w:rPr>
                <w:i w:val="0"/>
                <w:iCs w:val="0"/>
                <w:color w:val="auto"/>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034" w:type="dxa"/>
            <w:vAlign w:val="center"/>
          </w:tcPr>
          <w:p w14:paraId="63E7761B">
            <w:pPr>
              <w:adjustRightInd w:val="0"/>
              <w:snapToGrid w:val="0"/>
              <w:spacing w:line="240" w:lineRule="auto"/>
              <w:jc w:val="center"/>
              <w:rPr>
                <w:i w:val="0"/>
                <w:iCs w:val="0"/>
                <w:color w:val="auto"/>
                <w:szCs w:val="21"/>
                <w:highlight w:val="none"/>
              </w:rPr>
            </w:pPr>
          </w:p>
        </w:tc>
        <w:tc>
          <w:tcPr>
            <w:tcW w:w="1500" w:type="dxa"/>
            <w:vAlign w:val="center"/>
          </w:tcPr>
          <w:p w14:paraId="3BA61A9A">
            <w:pPr>
              <w:adjustRightInd w:val="0"/>
              <w:snapToGrid w:val="0"/>
              <w:spacing w:line="240" w:lineRule="auto"/>
              <w:jc w:val="center"/>
              <w:rPr>
                <w:i w:val="0"/>
                <w:iCs w:val="0"/>
                <w:color w:val="auto"/>
                <w:szCs w:val="21"/>
                <w:highlight w:val="none"/>
              </w:rPr>
            </w:pPr>
          </w:p>
        </w:tc>
        <w:tc>
          <w:tcPr>
            <w:tcW w:w="1068" w:type="dxa"/>
            <w:vAlign w:val="center"/>
          </w:tcPr>
          <w:p w14:paraId="7DCA522F">
            <w:pPr>
              <w:adjustRightInd w:val="0"/>
              <w:snapToGrid w:val="0"/>
              <w:spacing w:line="240" w:lineRule="auto"/>
              <w:jc w:val="center"/>
              <w:rPr>
                <w:i w:val="0"/>
                <w:iCs w:val="0"/>
                <w:color w:val="auto"/>
                <w:szCs w:val="21"/>
                <w:highlight w:val="none"/>
              </w:rPr>
            </w:pPr>
          </w:p>
        </w:tc>
        <w:tc>
          <w:tcPr>
            <w:tcW w:w="1314" w:type="dxa"/>
            <w:vAlign w:val="center"/>
          </w:tcPr>
          <w:p w14:paraId="68A27993">
            <w:pPr>
              <w:adjustRightInd w:val="0"/>
              <w:snapToGrid w:val="0"/>
              <w:spacing w:line="240" w:lineRule="auto"/>
              <w:jc w:val="center"/>
              <w:rPr>
                <w:i w:val="0"/>
                <w:iCs w:val="0"/>
                <w:color w:val="auto"/>
                <w:szCs w:val="21"/>
                <w:highlight w:val="none"/>
              </w:rPr>
            </w:pPr>
          </w:p>
        </w:tc>
        <w:tc>
          <w:tcPr>
            <w:tcW w:w="947" w:type="dxa"/>
            <w:vAlign w:val="center"/>
          </w:tcPr>
          <w:p w14:paraId="33A904F9">
            <w:pPr>
              <w:adjustRightInd w:val="0"/>
              <w:snapToGrid w:val="0"/>
              <w:spacing w:line="240" w:lineRule="auto"/>
              <w:jc w:val="center"/>
              <w:rPr>
                <w:i w:val="0"/>
                <w:iCs w:val="0"/>
                <w:color w:val="auto"/>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65" w:type="dxa"/>
            <w:vAlign w:val="center"/>
          </w:tcPr>
          <w:p w14:paraId="68C2799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034" w:type="dxa"/>
            <w:vAlign w:val="center"/>
          </w:tcPr>
          <w:p w14:paraId="7864625B">
            <w:pPr>
              <w:adjustRightInd w:val="0"/>
              <w:snapToGrid w:val="0"/>
              <w:spacing w:line="240" w:lineRule="auto"/>
              <w:jc w:val="center"/>
              <w:rPr>
                <w:i w:val="0"/>
                <w:iCs w:val="0"/>
                <w:color w:val="auto"/>
                <w:szCs w:val="21"/>
                <w:highlight w:val="none"/>
              </w:rPr>
            </w:pPr>
          </w:p>
        </w:tc>
        <w:tc>
          <w:tcPr>
            <w:tcW w:w="1500" w:type="dxa"/>
            <w:vAlign w:val="center"/>
          </w:tcPr>
          <w:p w14:paraId="2B4D906C">
            <w:pPr>
              <w:adjustRightInd w:val="0"/>
              <w:snapToGrid w:val="0"/>
              <w:spacing w:line="240" w:lineRule="auto"/>
              <w:jc w:val="center"/>
              <w:rPr>
                <w:i w:val="0"/>
                <w:iCs w:val="0"/>
                <w:color w:val="auto"/>
                <w:szCs w:val="21"/>
                <w:highlight w:val="none"/>
              </w:rPr>
            </w:pPr>
          </w:p>
        </w:tc>
        <w:tc>
          <w:tcPr>
            <w:tcW w:w="1068" w:type="dxa"/>
            <w:vAlign w:val="center"/>
          </w:tcPr>
          <w:p w14:paraId="6A8DF27F">
            <w:pPr>
              <w:adjustRightInd w:val="0"/>
              <w:snapToGrid w:val="0"/>
              <w:spacing w:line="240" w:lineRule="auto"/>
              <w:jc w:val="center"/>
              <w:rPr>
                <w:i w:val="0"/>
                <w:iCs w:val="0"/>
                <w:color w:val="auto"/>
                <w:szCs w:val="21"/>
                <w:highlight w:val="none"/>
              </w:rPr>
            </w:pPr>
          </w:p>
        </w:tc>
        <w:tc>
          <w:tcPr>
            <w:tcW w:w="1314" w:type="dxa"/>
            <w:vAlign w:val="center"/>
          </w:tcPr>
          <w:p w14:paraId="54C5FBF7">
            <w:pPr>
              <w:adjustRightInd w:val="0"/>
              <w:snapToGrid w:val="0"/>
              <w:spacing w:line="240" w:lineRule="auto"/>
              <w:jc w:val="center"/>
              <w:rPr>
                <w:i w:val="0"/>
                <w:iCs w:val="0"/>
                <w:color w:val="auto"/>
                <w:szCs w:val="21"/>
                <w:highlight w:val="none"/>
              </w:rPr>
            </w:pPr>
          </w:p>
        </w:tc>
        <w:tc>
          <w:tcPr>
            <w:tcW w:w="947" w:type="dxa"/>
            <w:vAlign w:val="center"/>
          </w:tcPr>
          <w:p w14:paraId="2690F475">
            <w:pPr>
              <w:adjustRightInd w:val="0"/>
              <w:snapToGrid w:val="0"/>
              <w:spacing w:line="240" w:lineRule="auto"/>
              <w:jc w:val="center"/>
              <w:rPr>
                <w:i w:val="0"/>
                <w:iCs w:val="0"/>
                <w:color w:val="auto"/>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034" w:type="dxa"/>
            <w:vAlign w:val="center"/>
          </w:tcPr>
          <w:p w14:paraId="7C3908AC">
            <w:pPr>
              <w:adjustRightInd w:val="0"/>
              <w:snapToGrid w:val="0"/>
              <w:spacing w:line="240" w:lineRule="auto"/>
              <w:jc w:val="center"/>
              <w:rPr>
                <w:i w:val="0"/>
                <w:iCs w:val="0"/>
                <w:color w:val="auto"/>
                <w:szCs w:val="21"/>
                <w:highlight w:val="none"/>
              </w:rPr>
            </w:pPr>
          </w:p>
        </w:tc>
        <w:tc>
          <w:tcPr>
            <w:tcW w:w="1500" w:type="dxa"/>
            <w:vAlign w:val="center"/>
          </w:tcPr>
          <w:p w14:paraId="362E8E82">
            <w:pPr>
              <w:adjustRightInd w:val="0"/>
              <w:snapToGrid w:val="0"/>
              <w:spacing w:line="240" w:lineRule="auto"/>
              <w:jc w:val="center"/>
              <w:rPr>
                <w:i w:val="0"/>
                <w:iCs w:val="0"/>
                <w:color w:val="auto"/>
                <w:szCs w:val="21"/>
                <w:highlight w:val="none"/>
              </w:rPr>
            </w:pPr>
          </w:p>
        </w:tc>
        <w:tc>
          <w:tcPr>
            <w:tcW w:w="1068" w:type="dxa"/>
            <w:vAlign w:val="center"/>
          </w:tcPr>
          <w:p w14:paraId="6F2704AB">
            <w:pPr>
              <w:adjustRightInd w:val="0"/>
              <w:snapToGrid w:val="0"/>
              <w:spacing w:line="240" w:lineRule="auto"/>
              <w:jc w:val="center"/>
              <w:rPr>
                <w:i w:val="0"/>
                <w:iCs w:val="0"/>
                <w:color w:val="auto"/>
                <w:szCs w:val="21"/>
                <w:highlight w:val="none"/>
              </w:rPr>
            </w:pPr>
          </w:p>
        </w:tc>
        <w:tc>
          <w:tcPr>
            <w:tcW w:w="1314" w:type="dxa"/>
            <w:vAlign w:val="center"/>
          </w:tcPr>
          <w:p w14:paraId="79394E0B">
            <w:pPr>
              <w:adjustRightInd w:val="0"/>
              <w:snapToGrid w:val="0"/>
              <w:spacing w:line="240" w:lineRule="auto"/>
              <w:jc w:val="center"/>
              <w:rPr>
                <w:i w:val="0"/>
                <w:iCs w:val="0"/>
                <w:color w:val="auto"/>
                <w:szCs w:val="21"/>
                <w:highlight w:val="none"/>
              </w:rPr>
            </w:pPr>
          </w:p>
        </w:tc>
        <w:tc>
          <w:tcPr>
            <w:tcW w:w="947" w:type="dxa"/>
            <w:vAlign w:val="center"/>
          </w:tcPr>
          <w:p w14:paraId="5A8DCEE1">
            <w:pPr>
              <w:adjustRightInd w:val="0"/>
              <w:snapToGrid w:val="0"/>
              <w:spacing w:line="240" w:lineRule="auto"/>
              <w:jc w:val="center"/>
              <w:rPr>
                <w:i w:val="0"/>
                <w:iCs w:val="0"/>
                <w:color w:val="auto"/>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65" w:type="dxa"/>
            <w:shd w:val="clear" w:color="auto" w:fill="auto"/>
            <w:vAlign w:val="center"/>
          </w:tcPr>
          <w:p w14:paraId="36B30C90">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034" w:type="dxa"/>
            <w:shd w:val="clear" w:color="auto" w:fill="auto"/>
            <w:vAlign w:val="center"/>
          </w:tcPr>
          <w:p w14:paraId="547CA85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500" w:type="dxa"/>
            <w:vAlign w:val="center"/>
          </w:tcPr>
          <w:p w14:paraId="7B9DBE1E">
            <w:pPr>
              <w:adjustRightInd w:val="0"/>
              <w:snapToGrid w:val="0"/>
              <w:spacing w:line="240" w:lineRule="auto"/>
              <w:jc w:val="center"/>
              <w:rPr>
                <w:i w:val="0"/>
                <w:iCs w:val="0"/>
                <w:color w:val="auto"/>
                <w:szCs w:val="21"/>
                <w:highlight w:val="none"/>
              </w:rPr>
            </w:pPr>
          </w:p>
        </w:tc>
        <w:tc>
          <w:tcPr>
            <w:tcW w:w="1068" w:type="dxa"/>
            <w:vAlign w:val="center"/>
          </w:tcPr>
          <w:p w14:paraId="6851C226">
            <w:pPr>
              <w:adjustRightInd w:val="0"/>
              <w:snapToGrid w:val="0"/>
              <w:spacing w:line="240" w:lineRule="auto"/>
              <w:jc w:val="center"/>
              <w:rPr>
                <w:i w:val="0"/>
                <w:iCs w:val="0"/>
                <w:color w:val="auto"/>
                <w:szCs w:val="21"/>
                <w:highlight w:val="none"/>
              </w:rPr>
            </w:pPr>
          </w:p>
        </w:tc>
        <w:tc>
          <w:tcPr>
            <w:tcW w:w="1314" w:type="dxa"/>
            <w:vAlign w:val="center"/>
          </w:tcPr>
          <w:p w14:paraId="39505459">
            <w:pPr>
              <w:adjustRightInd w:val="0"/>
              <w:snapToGrid w:val="0"/>
              <w:spacing w:line="240" w:lineRule="auto"/>
              <w:jc w:val="center"/>
              <w:rPr>
                <w:i w:val="0"/>
                <w:iCs w:val="0"/>
                <w:color w:val="auto"/>
                <w:szCs w:val="21"/>
                <w:highlight w:val="none"/>
              </w:rPr>
            </w:pPr>
          </w:p>
        </w:tc>
        <w:tc>
          <w:tcPr>
            <w:tcW w:w="947" w:type="dxa"/>
            <w:vAlign w:val="center"/>
          </w:tcPr>
          <w:p w14:paraId="14D910E3">
            <w:pPr>
              <w:adjustRightInd w:val="0"/>
              <w:snapToGrid w:val="0"/>
              <w:spacing w:line="240" w:lineRule="auto"/>
              <w:jc w:val="center"/>
              <w:rPr>
                <w:i w:val="0"/>
                <w:iCs w:val="0"/>
                <w:color w:val="auto"/>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i w:val="0"/>
                <w:iCs w:val="0"/>
                <w:color w:val="auto"/>
                <w:szCs w:val="21"/>
                <w:highlight w:val="none"/>
              </w:rPr>
            </w:pPr>
          </w:p>
        </w:tc>
        <w:tc>
          <w:tcPr>
            <w:tcW w:w="3034" w:type="dxa"/>
            <w:vAlign w:val="center"/>
          </w:tcPr>
          <w:p w14:paraId="6E3D4C24">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500" w:type="dxa"/>
            <w:vAlign w:val="center"/>
          </w:tcPr>
          <w:p w14:paraId="34269FA2">
            <w:pPr>
              <w:adjustRightInd w:val="0"/>
              <w:snapToGrid w:val="0"/>
              <w:spacing w:line="240" w:lineRule="auto"/>
              <w:jc w:val="center"/>
              <w:rPr>
                <w:i w:val="0"/>
                <w:iCs w:val="0"/>
                <w:color w:val="auto"/>
                <w:szCs w:val="21"/>
                <w:highlight w:val="none"/>
              </w:rPr>
            </w:pPr>
          </w:p>
        </w:tc>
        <w:tc>
          <w:tcPr>
            <w:tcW w:w="1068" w:type="dxa"/>
            <w:vAlign w:val="center"/>
          </w:tcPr>
          <w:p w14:paraId="646717F9">
            <w:pPr>
              <w:adjustRightInd w:val="0"/>
              <w:snapToGrid w:val="0"/>
              <w:spacing w:line="240" w:lineRule="auto"/>
              <w:jc w:val="center"/>
              <w:rPr>
                <w:i w:val="0"/>
                <w:iCs w:val="0"/>
                <w:color w:val="auto"/>
                <w:szCs w:val="21"/>
                <w:highlight w:val="none"/>
              </w:rPr>
            </w:pPr>
          </w:p>
        </w:tc>
        <w:tc>
          <w:tcPr>
            <w:tcW w:w="1314" w:type="dxa"/>
            <w:vAlign w:val="center"/>
          </w:tcPr>
          <w:p w14:paraId="61629B6A">
            <w:pPr>
              <w:adjustRightInd w:val="0"/>
              <w:snapToGrid w:val="0"/>
              <w:spacing w:line="240" w:lineRule="auto"/>
              <w:jc w:val="center"/>
              <w:rPr>
                <w:i w:val="0"/>
                <w:iCs w:val="0"/>
                <w:color w:val="auto"/>
                <w:szCs w:val="21"/>
                <w:highlight w:val="none"/>
              </w:rPr>
            </w:pPr>
          </w:p>
        </w:tc>
        <w:tc>
          <w:tcPr>
            <w:tcW w:w="947" w:type="dxa"/>
            <w:vAlign w:val="center"/>
          </w:tcPr>
          <w:p w14:paraId="7F337C52">
            <w:pPr>
              <w:adjustRightInd w:val="0"/>
              <w:snapToGrid w:val="0"/>
              <w:spacing w:line="240" w:lineRule="auto"/>
              <w:jc w:val="center"/>
              <w:rPr>
                <w:i w:val="0"/>
                <w:iCs w:val="0"/>
                <w:color w:val="auto"/>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034" w:type="dxa"/>
            <w:vAlign w:val="center"/>
          </w:tcPr>
          <w:p w14:paraId="5D4BF5A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500" w:type="dxa"/>
            <w:vAlign w:val="center"/>
          </w:tcPr>
          <w:p w14:paraId="3E6B6F32">
            <w:pPr>
              <w:adjustRightInd w:val="0"/>
              <w:snapToGrid w:val="0"/>
              <w:spacing w:line="240" w:lineRule="auto"/>
              <w:jc w:val="center"/>
              <w:rPr>
                <w:i w:val="0"/>
                <w:iCs w:val="0"/>
                <w:color w:val="auto"/>
                <w:szCs w:val="21"/>
                <w:highlight w:val="none"/>
              </w:rPr>
            </w:pPr>
          </w:p>
        </w:tc>
        <w:tc>
          <w:tcPr>
            <w:tcW w:w="1068" w:type="dxa"/>
            <w:vAlign w:val="center"/>
          </w:tcPr>
          <w:p w14:paraId="02B6CE3C">
            <w:pPr>
              <w:adjustRightInd w:val="0"/>
              <w:snapToGrid w:val="0"/>
              <w:spacing w:line="240" w:lineRule="auto"/>
              <w:jc w:val="center"/>
              <w:rPr>
                <w:i w:val="0"/>
                <w:iCs w:val="0"/>
                <w:color w:val="auto"/>
                <w:szCs w:val="21"/>
                <w:highlight w:val="none"/>
              </w:rPr>
            </w:pPr>
          </w:p>
        </w:tc>
        <w:tc>
          <w:tcPr>
            <w:tcW w:w="1314" w:type="dxa"/>
            <w:vAlign w:val="center"/>
          </w:tcPr>
          <w:p w14:paraId="15025601">
            <w:pPr>
              <w:adjustRightInd w:val="0"/>
              <w:snapToGrid w:val="0"/>
              <w:spacing w:line="240" w:lineRule="auto"/>
              <w:jc w:val="center"/>
              <w:rPr>
                <w:i w:val="0"/>
                <w:iCs w:val="0"/>
                <w:color w:val="auto"/>
                <w:szCs w:val="21"/>
                <w:highlight w:val="none"/>
              </w:rPr>
            </w:pPr>
          </w:p>
        </w:tc>
        <w:tc>
          <w:tcPr>
            <w:tcW w:w="947" w:type="dxa"/>
            <w:vAlign w:val="center"/>
          </w:tcPr>
          <w:p w14:paraId="39116035">
            <w:pPr>
              <w:adjustRightInd w:val="0"/>
              <w:snapToGrid w:val="0"/>
              <w:spacing w:line="240" w:lineRule="auto"/>
              <w:jc w:val="center"/>
              <w:rPr>
                <w:i w:val="0"/>
                <w:iCs w:val="0"/>
                <w:color w:val="auto"/>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67" w:type="dxa"/>
            <w:gridSpan w:val="4"/>
            <w:vAlign w:val="center"/>
          </w:tcPr>
          <w:p w14:paraId="0EDD5DA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w:t>
            </w:r>
            <w:r>
              <w:rPr>
                <w:rFonts w:hint="eastAsia"/>
                <w:i w:val="0"/>
                <w:iCs w:val="0"/>
                <w:color w:val="auto"/>
                <w:szCs w:val="21"/>
                <w:highlight w:val="none"/>
                <w:lang w:val="en-US" w:eastAsia="zh-CN"/>
              </w:rPr>
              <w:t>下浮率%</w:t>
            </w:r>
            <w:r>
              <w:rPr>
                <w:rFonts w:hint="eastAsia"/>
                <w:i w:val="0"/>
                <w:iCs w:val="0"/>
                <w:color w:val="auto"/>
                <w:szCs w:val="21"/>
                <w:highlight w:val="none"/>
              </w:rPr>
              <w:t>）</w:t>
            </w:r>
          </w:p>
        </w:tc>
        <w:tc>
          <w:tcPr>
            <w:tcW w:w="2261" w:type="dxa"/>
            <w:gridSpan w:val="2"/>
            <w:vAlign w:val="center"/>
          </w:tcPr>
          <w:p w14:paraId="0609C717">
            <w:pPr>
              <w:adjustRightInd w:val="0"/>
              <w:snapToGrid w:val="0"/>
              <w:spacing w:line="240" w:lineRule="auto"/>
              <w:jc w:val="center"/>
              <w:rPr>
                <w:i w:val="0"/>
                <w:iCs w:val="0"/>
                <w:color w:val="auto"/>
                <w:szCs w:val="21"/>
                <w:highlight w:val="none"/>
              </w:rPr>
            </w:pPr>
          </w:p>
        </w:tc>
      </w:tr>
    </w:tbl>
    <w:p w14:paraId="76D9FA12">
      <w:pPr>
        <w:pStyle w:val="12"/>
        <w:rPr>
          <w:rFonts w:hint="eastAsia"/>
          <w:b w:val="0"/>
          <w:bCs/>
          <w:i w:val="0"/>
          <w:iCs w:val="0"/>
          <w:color w:val="auto"/>
          <w:szCs w:val="21"/>
          <w:highlight w:val="none"/>
          <w:u w:val="single"/>
          <w:lang w:val="zh-CN"/>
        </w:rPr>
      </w:pPr>
    </w:p>
    <w:p w14:paraId="4ADE4675">
      <w:pPr>
        <w:spacing w:line="300" w:lineRule="auto"/>
        <w:rPr>
          <w:rFonts w:ascii="Arial" w:hAnsi="Arial" w:cs="Arial"/>
          <w:i w:val="0"/>
          <w:iCs w:val="0"/>
          <w:color w:val="auto"/>
          <w:szCs w:val="21"/>
          <w:highlight w:val="none"/>
        </w:rPr>
      </w:pPr>
    </w:p>
    <w:p w14:paraId="7856DF7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10A8DB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99A5A5">
      <w:pPr>
        <w:spacing w:line="300" w:lineRule="auto"/>
        <w:rPr>
          <w:rFonts w:ascii="Arial" w:hAnsi="Arial" w:cs="Arial"/>
          <w:i w:val="0"/>
          <w:iCs w:val="0"/>
          <w:color w:val="auto"/>
          <w:szCs w:val="21"/>
          <w:highlight w:val="none"/>
        </w:rPr>
      </w:pPr>
    </w:p>
    <w:p w14:paraId="19373AA9">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681585F">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6B43AF2E">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A59D451">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6D57530">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E7C3870">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eastAsia="宋体" w:cstheme="majorBidi"/>
          <w:b/>
          <w:bCs/>
          <w:i w:val="0"/>
          <w:iCs w:val="0"/>
          <w:color w:val="auto"/>
          <w:kern w:val="2"/>
          <w:sz w:val="32"/>
          <w:szCs w:val="32"/>
          <w:highlight w:val="none"/>
          <w:lang w:val="en-US" w:eastAsia="zh-CN" w:bidi="ar-SA"/>
        </w:rPr>
      </w:pPr>
    </w:p>
    <w:p w14:paraId="1E6B44B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cstheme="majorBidi"/>
          <w:b/>
          <w:bCs/>
          <w:i w:val="0"/>
          <w:iCs w:val="0"/>
          <w:color w:val="auto"/>
          <w:kern w:val="2"/>
          <w:sz w:val="32"/>
          <w:szCs w:val="32"/>
          <w:highlight w:val="none"/>
          <w:lang w:val="en-US" w:eastAsia="zh-CN" w:bidi="ar-SA"/>
        </w:rPr>
      </w:pPr>
      <w:r>
        <w:rPr>
          <w:rFonts w:hint="eastAsia" w:eastAsia="宋体" w:cstheme="majorBidi"/>
          <w:b/>
          <w:bCs/>
          <w:i w:val="0"/>
          <w:iCs w:val="0"/>
          <w:color w:val="auto"/>
          <w:kern w:val="2"/>
          <w:sz w:val="32"/>
          <w:szCs w:val="32"/>
          <w:highlight w:val="none"/>
          <w:lang w:val="en-US" w:eastAsia="zh-CN" w:bidi="ar-SA"/>
        </w:rPr>
        <w:t>承诺函</w:t>
      </w:r>
    </w:p>
    <w:p w14:paraId="4B97AC53">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r>
        <w:rPr>
          <w:rFonts w:hint="eastAsia" w:ascii="宋体" w:hAnsi="宋体" w:eastAsia="宋体" w:cs="宋体"/>
          <w:b/>
          <w:bCs/>
          <w:i w:val="0"/>
          <w:iCs w:val="0"/>
          <w:color w:val="auto"/>
          <w:highlight w:val="none"/>
          <w:lang w:val="en-US" w:eastAsia="zh-CN"/>
        </w:rPr>
        <w:t>新疆医科大学第一附属医院：</w:t>
      </w:r>
    </w:p>
    <w:p w14:paraId="714B6A4D">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default" w:ascii="宋体" w:hAnsi="宋体" w:eastAsia="宋体" w:cs="宋体"/>
          <w:b/>
          <w:bCs/>
          <w:i w:val="0"/>
          <w:iCs w:val="0"/>
          <w:color w:val="auto"/>
          <w:highlight w:val="none"/>
          <w:lang w:val="en-US" w:eastAsia="zh-CN"/>
        </w:rPr>
      </w:pPr>
    </w:p>
    <w:p w14:paraId="2C484C2D">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eastAsia"/>
          <w:b w:val="0"/>
          <w:bCs w:val="0"/>
          <w:highlight w:val="none"/>
          <w:lang w:val="en-US" w:eastAsia="zh-CN"/>
        </w:rPr>
      </w:pPr>
      <w:r>
        <w:rPr>
          <w:rFonts w:hint="eastAsia" w:ascii="宋体" w:hAnsi="宋体" w:eastAsia="宋体" w:cs="宋体"/>
          <w:b w:val="0"/>
          <w:bCs w:val="0"/>
          <w:i w:val="0"/>
          <w:iCs w:val="0"/>
          <w:color w:val="auto"/>
          <w:highlight w:val="none"/>
          <w:lang w:val="en-US" w:eastAsia="zh-CN"/>
        </w:rPr>
        <w:t>若我单位中标，同意以</w:t>
      </w:r>
      <w:r>
        <w:rPr>
          <w:rFonts w:hint="eastAsia"/>
          <w:b w:val="0"/>
          <w:bCs w:val="0"/>
          <w:highlight w:val="none"/>
          <w:lang w:val="en-US" w:eastAsia="zh-CN"/>
        </w:rPr>
        <w:t>2个标包中标服务商的报价最低值作为本次中标的所有服务商的统一收费标准。</w:t>
      </w:r>
    </w:p>
    <w:p w14:paraId="6E08E183">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eastAsia"/>
          <w:b w:val="0"/>
          <w:bCs w:val="0"/>
          <w:highlight w:val="none"/>
          <w:lang w:val="en-US" w:eastAsia="zh-CN"/>
        </w:rPr>
      </w:pPr>
    </w:p>
    <w:p w14:paraId="74DD45F7">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eastAsia"/>
          <w:b w:val="0"/>
          <w:bCs w:val="0"/>
          <w:highlight w:val="none"/>
          <w:lang w:val="en-US" w:eastAsia="zh-CN"/>
        </w:rPr>
      </w:pPr>
      <w:r>
        <w:rPr>
          <w:rFonts w:hint="eastAsia"/>
          <w:b w:val="0"/>
          <w:bCs w:val="0"/>
          <w:highlight w:val="none"/>
          <w:lang w:val="en-US" w:eastAsia="zh-CN"/>
        </w:rPr>
        <w:t>特此承诺。</w:t>
      </w:r>
    </w:p>
    <w:p w14:paraId="3F30BBE4">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eastAsia"/>
          <w:b/>
          <w:bCs/>
          <w:highlight w:val="none"/>
          <w:lang w:val="en-US" w:eastAsia="zh-CN"/>
        </w:rPr>
      </w:pPr>
    </w:p>
    <w:p w14:paraId="6587E764">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eastAsia"/>
          <w:b/>
          <w:bCs/>
          <w:highlight w:val="none"/>
          <w:lang w:val="en-US" w:eastAsia="zh-CN"/>
        </w:rPr>
      </w:pPr>
    </w:p>
    <w:p w14:paraId="0F041E47">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eastAsia"/>
          <w:b/>
          <w:bCs/>
          <w:highlight w:val="none"/>
          <w:lang w:val="en-US" w:eastAsia="zh-CN"/>
        </w:rPr>
      </w:pPr>
    </w:p>
    <w:p w14:paraId="4E1A944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78DADEE">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1D801C7">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ind w:firstLine="480" w:firstLineChars="200"/>
        <w:textAlignment w:val="auto"/>
        <w:rPr>
          <w:rFonts w:hint="default"/>
          <w:b/>
          <w:bCs/>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86" w:name="_Toc10600"/>
      <w:bookmarkStart w:id="687"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86"/>
    </w:p>
    <w:p w14:paraId="478C52C4">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bookmarkStart w:id="688" w:name="_Toc12759"/>
      <w:r>
        <w:rPr>
          <w:rFonts w:hint="eastAsia" w:cstheme="majorBidi"/>
          <w:b/>
          <w:bCs/>
          <w:color w:val="auto"/>
          <w:kern w:val="2"/>
          <w:sz w:val="32"/>
          <w:szCs w:val="32"/>
          <w:highlight w:val="none"/>
          <w:lang w:val="en-US" w:eastAsia="zh-CN" w:bidi="ar-SA"/>
        </w:rPr>
        <w:t>证明文件</w:t>
      </w:r>
      <w:bookmarkEnd w:id="687"/>
      <w:bookmarkEnd w:id="688"/>
      <w:r>
        <w:rPr>
          <w:rFonts w:hint="eastAsia" w:cstheme="majorBidi"/>
          <w:b/>
          <w:bCs/>
          <w:color w:val="auto"/>
          <w:kern w:val="2"/>
          <w:sz w:val="32"/>
          <w:szCs w:val="32"/>
          <w:highlight w:val="none"/>
          <w:lang w:val="en-US" w:eastAsia="zh-CN" w:bidi="ar-SA"/>
        </w:rPr>
        <w:t>【如适用】</w:t>
      </w:r>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89009C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7C90F6E">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8E1306B">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64FB4B2">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EC829F4">
      <w:pPr>
        <w:autoSpaceDE w:val="0"/>
        <w:autoSpaceDN w:val="0"/>
        <w:adjustRightInd w:val="0"/>
        <w:rPr>
          <w:i w:val="0"/>
          <w:iCs w:val="0"/>
          <w:color w:val="auto"/>
          <w:sz w:val="21"/>
          <w:szCs w:val="24"/>
          <w:highlight w:val="none"/>
        </w:rPr>
      </w:pPr>
    </w:p>
    <w:p w14:paraId="0D39B890">
      <w:pPr>
        <w:autoSpaceDE w:val="0"/>
        <w:autoSpaceDN w:val="0"/>
        <w:adjustRightInd w:val="0"/>
        <w:rPr>
          <w:i w:val="0"/>
          <w:iCs w:val="0"/>
          <w:color w:val="auto"/>
          <w:sz w:val="21"/>
          <w:szCs w:val="24"/>
          <w:highlight w:val="none"/>
        </w:rPr>
      </w:pPr>
    </w:p>
    <w:p w14:paraId="2314362E">
      <w:pPr>
        <w:autoSpaceDE w:val="0"/>
        <w:autoSpaceDN w:val="0"/>
        <w:adjustRightInd w:val="0"/>
        <w:jc w:val="center"/>
        <w:rPr>
          <w:i w:val="0"/>
          <w:iCs w:val="0"/>
          <w:color w:val="auto"/>
          <w:sz w:val="21"/>
          <w:szCs w:val="24"/>
          <w:highlight w:val="none"/>
        </w:rPr>
      </w:pPr>
    </w:p>
    <w:p w14:paraId="6E0AECFB">
      <w:pPr>
        <w:pStyle w:val="3"/>
        <w:bidi w:val="0"/>
        <w:rPr>
          <w:rFonts w:hint="eastAsia"/>
          <w:color w:val="auto"/>
          <w:sz w:val="72"/>
          <w:szCs w:val="72"/>
          <w:highlight w:val="none"/>
          <w:lang w:val="en-US" w:eastAsia="zh-CN"/>
        </w:rPr>
      </w:pPr>
      <w:bookmarkStart w:id="689" w:name="_Toc2066"/>
      <w:r>
        <w:rPr>
          <w:rFonts w:hint="eastAsia"/>
          <w:color w:val="auto"/>
          <w:sz w:val="72"/>
          <w:szCs w:val="72"/>
          <w:highlight w:val="none"/>
          <w:lang w:val="en-US" w:eastAsia="zh-CN"/>
        </w:rPr>
        <w:t>响 应 文 件</w:t>
      </w:r>
      <w:bookmarkEnd w:id="689"/>
    </w:p>
    <w:p w14:paraId="4AF2D630">
      <w:pPr>
        <w:pStyle w:val="3"/>
        <w:bidi w:val="0"/>
        <w:rPr>
          <w:rFonts w:hint="eastAsia"/>
          <w:color w:val="auto"/>
          <w:sz w:val="72"/>
          <w:szCs w:val="72"/>
          <w:highlight w:val="none"/>
          <w:lang w:val="en-US" w:eastAsia="zh-CN"/>
        </w:rPr>
      </w:pPr>
      <w:bookmarkStart w:id="690" w:name="_Toc32251"/>
      <w:r>
        <w:rPr>
          <w:rFonts w:hint="eastAsia"/>
          <w:color w:val="auto"/>
          <w:sz w:val="72"/>
          <w:szCs w:val="72"/>
          <w:highlight w:val="none"/>
          <w:lang w:val="en-US" w:eastAsia="zh-CN"/>
        </w:rPr>
        <w:t>商务技术文件</w:t>
      </w:r>
      <w:bookmarkEnd w:id="690"/>
    </w:p>
    <w:p w14:paraId="69CDC1D3">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4C52C730">
      <w:pPr>
        <w:outlineLvl w:val="9"/>
        <w:rPr>
          <w:i w:val="0"/>
          <w:iCs w:val="0"/>
          <w:color w:val="auto"/>
          <w:sz w:val="21"/>
          <w:szCs w:val="21"/>
          <w:highlight w:val="none"/>
        </w:rPr>
      </w:pPr>
    </w:p>
    <w:p w14:paraId="14C1B3A8">
      <w:pPr>
        <w:rPr>
          <w:i w:val="0"/>
          <w:iCs w:val="0"/>
          <w:color w:val="auto"/>
          <w:sz w:val="21"/>
          <w:szCs w:val="21"/>
          <w:highlight w:val="none"/>
        </w:rPr>
      </w:pPr>
    </w:p>
    <w:p w14:paraId="15227E06">
      <w:pPr>
        <w:rPr>
          <w:i w:val="0"/>
          <w:iCs w:val="0"/>
          <w:color w:val="auto"/>
          <w:highlight w:val="none"/>
        </w:rPr>
      </w:pPr>
    </w:p>
    <w:p w14:paraId="41D881B8">
      <w:pPr>
        <w:autoSpaceDE w:val="0"/>
        <w:autoSpaceDN w:val="0"/>
        <w:adjustRightInd w:val="0"/>
        <w:rPr>
          <w:i w:val="0"/>
          <w:iCs w:val="0"/>
          <w:color w:val="auto"/>
          <w:sz w:val="21"/>
          <w:szCs w:val="21"/>
          <w:highlight w:val="none"/>
        </w:rPr>
      </w:pPr>
    </w:p>
    <w:p w14:paraId="1C7F5439">
      <w:pPr>
        <w:autoSpaceDE w:val="0"/>
        <w:autoSpaceDN w:val="0"/>
        <w:adjustRightInd w:val="0"/>
        <w:rPr>
          <w:i w:val="0"/>
          <w:iCs w:val="0"/>
          <w:color w:val="auto"/>
          <w:sz w:val="21"/>
          <w:szCs w:val="21"/>
          <w:highlight w:val="none"/>
        </w:rPr>
      </w:pPr>
    </w:p>
    <w:p w14:paraId="037029E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38909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D86FB53">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C5E0224">
      <w:pPr>
        <w:jc w:val="center"/>
        <w:rPr>
          <w:rFonts w:ascii="黑体" w:hAnsi="黑体" w:eastAsia="黑体"/>
          <w:i w:val="0"/>
          <w:iCs w:val="0"/>
          <w:color w:val="auto"/>
          <w:sz w:val="32"/>
          <w:szCs w:val="32"/>
          <w:highlight w:val="none"/>
        </w:rPr>
      </w:pPr>
    </w:p>
    <w:p w14:paraId="77AC50DC">
      <w:pPr>
        <w:jc w:val="center"/>
        <w:rPr>
          <w:rFonts w:ascii="黑体" w:hAnsi="黑体" w:eastAsia="黑体"/>
          <w:i w:val="0"/>
          <w:iCs w:val="0"/>
          <w:color w:val="auto"/>
          <w:sz w:val="32"/>
          <w:szCs w:val="32"/>
          <w:highlight w:val="none"/>
        </w:rPr>
      </w:pPr>
    </w:p>
    <w:p w14:paraId="5C2AEB63">
      <w:pPr>
        <w:rPr>
          <w:i w:val="0"/>
          <w:iCs w:val="0"/>
          <w:color w:val="auto"/>
          <w:highlight w:val="none"/>
          <w:lang w:val="zh-CN"/>
        </w:rPr>
      </w:pPr>
      <w:r>
        <w:rPr>
          <w:i w:val="0"/>
          <w:iCs w:val="0"/>
          <w:color w:val="auto"/>
          <w:highlight w:val="none"/>
          <w:lang w:val="zh-CN"/>
        </w:rPr>
        <w:br w:type="page"/>
      </w:r>
    </w:p>
    <w:p w14:paraId="5A56E26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1" w:name="_Toc3577"/>
      <w:bookmarkStart w:id="692" w:name="_Toc7399"/>
      <w:bookmarkStart w:id="693" w:name="_Toc25402"/>
      <w:bookmarkStart w:id="694" w:name="_Toc155185921"/>
      <w:bookmarkStart w:id="695" w:name="_Toc109899908"/>
      <w:bookmarkStart w:id="696" w:name="_Toc140132831"/>
      <w:bookmarkStart w:id="697" w:name="_Toc109900327"/>
      <w:bookmarkStart w:id="698" w:name="_Toc163492915"/>
      <w:bookmarkStart w:id="699" w:name="_Toc109899489"/>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691"/>
      <w:bookmarkEnd w:id="692"/>
      <w:bookmarkEnd w:id="693"/>
      <w:bookmarkEnd w:id="694"/>
      <w:bookmarkEnd w:id="695"/>
      <w:bookmarkEnd w:id="696"/>
      <w:bookmarkEnd w:id="697"/>
      <w:bookmarkEnd w:id="698"/>
      <w:bookmarkEnd w:id="699"/>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u w:val="single"/>
        </w:rPr>
        <w:t xml:space="preserve">   </w:t>
      </w:r>
      <w:r>
        <w:rPr>
          <w:rFonts w:hint="eastAsia" w:cs="Arial"/>
          <w:i w:val="0"/>
          <w:iCs w:val="0"/>
          <w:color w:val="auto"/>
          <w:szCs w:val="24"/>
          <w:highlight w:val="none"/>
          <w:u w:val="single"/>
          <w:lang w:val="en-US" w:eastAsia="zh-CN"/>
        </w:rPr>
        <w:t>下浮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186FA2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D3074">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0" w:name="_Toc16089"/>
      <w:bookmarkStart w:id="701" w:name="_Toc163492918"/>
      <w:bookmarkStart w:id="702"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700"/>
      <w:bookmarkEnd w:id="701"/>
      <w:bookmarkEnd w:id="702"/>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3" w:name="_Toc155185925"/>
      <w:bookmarkStart w:id="704" w:name="_Toc163492919"/>
      <w:bookmarkStart w:id="705" w:name="_Toc6864"/>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703"/>
      <w:bookmarkEnd w:id="704"/>
      <w:bookmarkEnd w:id="705"/>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71AF9B6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cstheme="majorBidi"/>
          <w:b/>
          <w:bCs/>
          <w:i w:val="0"/>
          <w:iCs w:val="0"/>
          <w:color w:val="auto"/>
          <w:kern w:val="2"/>
          <w:sz w:val="32"/>
          <w:szCs w:val="32"/>
          <w:highlight w:val="none"/>
          <w:lang w:val="en-US" w:eastAsia="zh-CN" w:bidi="ar-SA"/>
        </w:rPr>
      </w:pPr>
      <w:bookmarkStart w:id="706" w:name="_Toc163492928"/>
      <w:bookmarkStart w:id="707" w:name="_Toc155185934"/>
      <w:bookmarkStart w:id="708" w:name="_Toc18359"/>
      <w:bookmarkStart w:id="709" w:name="_Toc163492929"/>
      <w:r>
        <w:rPr>
          <w:rFonts w:hint="eastAsia" w:eastAsia="宋体" w:cstheme="majorBidi"/>
          <w:b/>
          <w:bCs/>
          <w:i w:val="0"/>
          <w:iCs w:val="0"/>
          <w:color w:val="auto"/>
          <w:kern w:val="2"/>
          <w:sz w:val="32"/>
          <w:szCs w:val="32"/>
          <w:highlight w:val="none"/>
          <w:lang w:val="en-US" w:eastAsia="zh-CN" w:bidi="ar-SA"/>
        </w:rPr>
        <w:t>四、</w:t>
      </w:r>
      <w:bookmarkEnd w:id="706"/>
      <w:bookmarkEnd w:id="707"/>
      <w:bookmarkEnd w:id="708"/>
      <w:r>
        <w:rPr>
          <w:rFonts w:hint="eastAsia" w:eastAsia="宋体" w:cstheme="majorBidi"/>
          <w:b/>
          <w:bCs/>
          <w:i w:val="0"/>
          <w:iCs w:val="0"/>
          <w:color w:val="auto"/>
          <w:kern w:val="2"/>
          <w:sz w:val="32"/>
          <w:szCs w:val="32"/>
          <w:highlight w:val="none"/>
          <w:lang w:val="en-US" w:eastAsia="zh-CN" w:bidi="ar-SA"/>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710" w:name="_Hlk182910040"/>
      <w:r>
        <w:rPr>
          <w:rFonts w:hint="eastAsia" w:ascii="宋体" w:hAnsi="宋体" w:eastAsia="宋体" w:cs="宋体"/>
          <w:kern w:val="0"/>
          <w:sz w:val="24"/>
          <w:szCs w:val="24"/>
          <w:highlight w:val="none"/>
          <w:lang w:val="zh-CN"/>
        </w:rPr>
        <w:t>为了诚实、客观、有序地参与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kern w:val="0"/>
          <w:sz w:val="24"/>
          <w:szCs w:val="24"/>
          <w:highlight w:val="none"/>
          <w:lang w:val="zh-CN"/>
        </w:rPr>
        <w:t>采购活动，愿就以下内容作出承诺：</w:t>
      </w:r>
    </w:p>
    <w:bookmarkEnd w:id="710"/>
    <w:p w14:paraId="32FBC26E">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二、参加采购代理机构组织的采购活动时，严格按照</w:t>
      </w: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711" w:name="_Hlk182909516"/>
      <w:r>
        <w:rPr>
          <w:rFonts w:hint="eastAsia" w:ascii="宋体" w:hAnsi="宋体" w:eastAsia="宋体" w:cs="宋体"/>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711"/>
    <w:p w14:paraId="35769678">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若本企业（单位）发生有悖于上述承诺的行为或形成恶意投诉，我们自愿接受《政府采购法》等有关法律法规中对供应商的相关处理：</w:t>
      </w:r>
      <w:bookmarkStart w:id="712" w:name="_Hlk182910718"/>
      <w:r>
        <w:rPr>
          <w:rFonts w:hint="eastAsia" w:ascii="宋体" w:hAnsi="宋体" w:eastAsia="宋体" w:cs="宋体"/>
          <w:kern w:val="0"/>
          <w:sz w:val="24"/>
          <w:szCs w:val="24"/>
          <w:highlight w:val="none"/>
          <w:lang w:val="zh-CN"/>
        </w:rPr>
        <w:t>自愿放弃中标资格、限制以后投标、记入不良信用档案、没收本次投标保证金，并愿意承担由此引起的其他法律责任。</w:t>
      </w:r>
      <w:bookmarkEnd w:id="712"/>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highlight w:val="none"/>
          <w:lang w:val="zh-CN"/>
        </w:rPr>
      </w:pPr>
      <w:bookmarkStart w:id="713" w:name="_Hlk182910783"/>
      <w:r>
        <w:rPr>
          <w:rFonts w:hint="eastAsia" w:ascii="宋体" w:hAnsi="宋体" w:eastAsia="宋体" w:cs="宋体"/>
          <w:bCs/>
          <w:kern w:val="0"/>
          <w:sz w:val="24"/>
          <w:szCs w:val="24"/>
          <w:highlight w:val="none"/>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 xml:space="preserve">                     法定代表人或委托代理人：             （签字）</w:t>
      </w:r>
    </w:p>
    <w:p w14:paraId="5CBCCEF0">
      <w:pPr>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zh-CN"/>
        </w:rPr>
        <w:t xml:space="preserve">                                         年   月   日</w:t>
      </w:r>
      <w:bookmarkEnd w:id="713"/>
    </w:p>
    <w:p w14:paraId="7F3116D8">
      <w:pPr>
        <w:ind w:firstLine="4578" w:firstLineChars="1900"/>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7CB54CC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14" w:name="_Toc11276"/>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bookmarkEnd w:id="714"/>
    </w:p>
    <w:p w14:paraId="1A00EE72">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val="0"/>
          <w:bCs/>
          <w:i w:val="0"/>
          <w:iCs w:val="0"/>
          <w:color w:val="auto"/>
          <w:sz w:val="24"/>
          <w:highlight w:val="none"/>
          <w:lang w:val="en-US" w:eastAsia="zh-CN"/>
        </w:rPr>
        <w:t>其</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597D85C2">
      <w:pPr>
        <w:pStyle w:val="23"/>
        <w:rPr>
          <w:rFonts w:hint="eastAsia" w:ascii="宋体" w:hAnsi="宋体" w:cs="宋体"/>
          <w:i w:val="0"/>
          <w:iCs w:val="0"/>
          <w:color w:val="auto"/>
          <w:highlight w:val="none"/>
        </w:rPr>
      </w:pPr>
    </w:p>
    <w:tbl>
      <w:tblPr>
        <w:tblStyle w:val="30"/>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62EC5B93">
            <w:pPr>
              <w:pStyle w:val="6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_GB2312" w:hAnsi="宋体" w:eastAsia="宋体"/>
                <w:i w:val="0"/>
                <w:iCs w:val="0"/>
                <w:color w:val="auto"/>
                <w:kern w:val="0"/>
                <w:sz w:val="31"/>
                <w:szCs w:val="20"/>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noWrap w:val="0"/>
            <w:vAlign w:val="center"/>
          </w:tcPr>
          <w:p w14:paraId="6450B6FD">
            <w:pPr>
              <w:pStyle w:val="6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noWrap w:val="0"/>
            <w:vAlign w:val="center"/>
          </w:tcPr>
          <w:p w14:paraId="4892F810">
            <w:pPr>
              <w:pStyle w:val="47"/>
              <w:rPr>
                <w:rFonts w:hint="eastAsia" w:ascii="宋体" w:hAnsi="宋体" w:eastAsia="宋体" w:cstheme="minorBidi"/>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26B97350">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i w:val="0"/>
          <w:iCs w:val="0"/>
          <w:color w:val="auto"/>
          <w:kern w:val="2"/>
          <w:sz w:val="32"/>
          <w:szCs w:val="32"/>
          <w:highlight w:val="none"/>
          <w:lang w:val="en-US" w:eastAsia="zh-CN" w:bidi="ar-SA"/>
        </w:rPr>
      </w:pPr>
    </w:p>
    <w:p w14:paraId="7ECC9349">
      <w:pPr>
        <w:rPr>
          <w:rFonts w:hint="eastAsia" w:cstheme="majorBidi"/>
          <w:b/>
          <w:bCs/>
          <w:i w:val="0"/>
          <w:iCs w:val="0"/>
          <w:color w:val="auto"/>
          <w:kern w:val="2"/>
          <w:sz w:val="32"/>
          <w:szCs w:val="32"/>
          <w:highlight w:val="none"/>
          <w:lang w:val="en-US" w:eastAsia="zh-CN" w:bidi="ar-SA"/>
        </w:rPr>
      </w:pPr>
    </w:p>
    <w:p w14:paraId="479C11F3">
      <w:pPr>
        <w:rPr>
          <w:rFonts w:hint="eastAsia" w:cstheme="majorBidi"/>
          <w:b/>
          <w:bCs/>
          <w:i w:val="0"/>
          <w:iCs w:val="0"/>
          <w:color w:val="auto"/>
          <w:kern w:val="2"/>
          <w:sz w:val="32"/>
          <w:szCs w:val="32"/>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5" w:name="_Toc30110"/>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、商务响应偏离表</w:t>
      </w:r>
      <w:bookmarkEnd w:id="709"/>
      <w:bookmarkEnd w:id="715"/>
    </w:p>
    <w:p w14:paraId="6755E4D1">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47"/>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55A47B57">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47"/>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47"/>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0156411A">
            <w:pPr>
              <w:pStyle w:val="47"/>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47"/>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47"/>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47"/>
              <w:jc w:val="center"/>
              <w:rPr>
                <w:i w:val="0"/>
                <w:iCs w:val="0"/>
                <w:color w:val="auto"/>
                <w:highlight w:val="none"/>
              </w:rPr>
            </w:pPr>
          </w:p>
        </w:tc>
        <w:tc>
          <w:tcPr>
            <w:tcW w:w="1090" w:type="pct"/>
            <w:vAlign w:val="center"/>
          </w:tcPr>
          <w:p w14:paraId="59C2C317">
            <w:pPr>
              <w:pStyle w:val="47"/>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47"/>
              <w:jc w:val="center"/>
              <w:rPr>
                <w:i w:val="0"/>
                <w:iCs w:val="0"/>
                <w:color w:val="auto"/>
                <w:highlight w:val="none"/>
              </w:rPr>
            </w:pPr>
          </w:p>
        </w:tc>
        <w:tc>
          <w:tcPr>
            <w:tcW w:w="1090" w:type="pct"/>
            <w:vAlign w:val="center"/>
          </w:tcPr>
          <w:p w14:paraId="50AB520B">
            <w:pPr>
              <w:pStyle w:val="47"/>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i w:val="0"/>
                <w:iCs w:val="0"/>
                <w:color w:val="auto"/>
                <w:highlight w:val="none"/>
              </w:rPr>
            </w:pPr>
          </w:p>
        </w:tc>
        <w:tc>
          <w:tcPr>
            <w:tcW w:w="1395" w:type="pct"/>
            <w:vAlign w:val="center"/>
          </w:tcPr>
          <w:p w14:paraId="14968038">
            <w:pPr>
              <w:pStyle w:val="47"/>
              <w:jc w:val="center"/>
              <w:rPr>
                <w:i w:val="0"/>
                <w:iCs w:val="0"/>
                <w:color w:val="auto"/>
                <w:highlight w:val="none"/>
              </w:rPr>
            </w:pPr>
          </w:p>
        </w:tc>
        <w:tc>
          <w:tcPr>
            <w:tcW w:w="1002" w:type="pct"/>
            <w:vAlign w:val="center"/>
          </w:tcPr>
          <w:p w14:paraId="10A6B59E">
            <w:pPr>
              <w:pStyle w:val="47"/>
              <w:jc w:val="center"/>
              <w:rPr>
                <w:i w:val="0"/>
                <w:iCs w:val="0"/>
                <w:color w:val="auto"/>
                <w:highlight w:val="none"/>
              </w:rPr>
            </w:pPr>
          </w:p>
        </w:tc>
        <w:tc>
          <w:tcPr>
            <w:tcW w:w="1090" w:type="pct"/>
            <w:vAlign w:val="center"/>
          </w:tcPr>
          <w:p w14:paraId="61702DF6">
            <w:pPr>
              <w:pStyle w:val="47"/>
              <w:jc w:val="center"/>
              <w:rPr>
                <w:i w:val="0"/>
                <w:iCs w:val="0"/>
                <w:color w:val="auto"/>
                <w:highlight w:val="none"/>
              </w:rPr>
            </w:pPr>
          </w:p>
        </w:tc>
        <w:tc>
          <w:tcPr>
            <w:tcW w:w="1090" w:type="pct"/>
            <w:vAlign w:val="center"/>
          </w:tcPr>
          <w:p w14:paraId="0CC18FC2">
            <w:pPr>
              <w:pStyle w:val="47"/>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i w:val="0"/>
                <w:iCs w:val="0"/>
                <w:color w:val="auto"/>
                <w:highlight w:val="none"/>
              </w:rPr>
            </w:pPr>
          </w:p>
        </w:tc>
        <w:tc>
          <w:tcPr>
            <w:tcW w:w="1395" w:type="pct"/>
            <w:vAlign w:val="center"/>
          </w:tcPr>
          <w:p w14:paraId="5DDD9937">
            <w:pPr>
              <w:pStyle w:val="47"/>
              <w:jc w:val="center"/>
              <w:rPr>
                <w:i w:val="0"/>
                <w:iCs w:val="0"/>
                <w:color w:val="auto"/>
                <w:highlight w:val="none"/>
              </w:rPr>
            </w:pPr>
          </w:p>
        </w:tc>
        <w:tc>
          <w:tcPr>
            <w:tcW w:w="1002" w:type="pct"/>
            <w:vAlign w:val="center"/>
          </w:tcPr>
          <w:p w14:paraId="0B29A018">
            <w:pPr>
              <w:pStyle w:val="47"/>
              <w:jc w:val="center"/>
              <w:rPr>
                <w:i w:val="0"/>
                <w:iCs w:val="0"/>
                <w:color w:val="auto"/>
                <w:highlight w:val="none"/>
              </w:rPr>
            </w:pPr>
          </w:p>
        </w:tc>
        <w:tc>
          <w:tcPr>
            <w:tcW w:w="1090" w:type="pct"/>
            <w:vAlign w:val="center"/>
          </w:tcPr>
          <w:p w14:paraId="1FA693DE">
            <w:pPr>
              <w:pStyle w:val="47"/>
              <w:jc w:val="center"/>
              <w:rPr>
                <w:i w:val="0"/>
                <w:iCs w:val="0"/>
                <w:color w:val="auto"/>
                <w:highlight w:val="none"/>
              </w:rPr>
            </w:pPr>
          </w:p>
        </w:tc>
        <w:tc>
          <w:tcPr>
            <w:tcW w:w="1090" w:type="pct"/>
            <w:vAlign w:val="center"/>
          </w:tcPr>
          <w:p w14:paraId="3D633AB6">
            <w:pPr>
              <w:pStyle w:val="47"/>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i w:val="0"/>
                <w:iCs w:val="0"/>
                <w:color w:val="auto"/>
                <w:highlight w:val="none"/>
              </w:rPr>
            </w:pPr>
          </w:p>
        </w:tc>
        <w:tc>
          <w:tcPr>
            <w:tcW w:w="1395" w:type="pct"/>
            <w:vAlign w:val="center"/>
          </w:tcPr>
          <w:p w14:paraId="014A297F">
            <w:pPr>
              <w:pStyle w:val="47"/>
              <w:jc w:val="center"/>
              <w:rPr>
                <w:i w:val="0"/>
                <w:iCs w:val="0"/>
                <w:color w:val="auto"/>
                <w:highlight w:val="none"/>
              </w:rPr>
            </w:pPr>
          </w:p>
        </w:tc>
        <w:tc>
          <w:tcPr>
            <w:tcW w:w="1002" w:type="pct"/>
            <w:vAlign w:val="center"/>
          </w:tcPr>
          <w:p w14:paraId="51467013">
            <w:pPr>
              <w:pStyle w:val="47"/>
              <w:jc w:val="center"/>
              <w:rPr>
                <w:i w:val="0"/>
                <w:iCs w:val="0"/>
                <w:color w:val="auto"/>
                <w:highlight w:val="none"/>
              </w:rPr>
            </w:pPr>
          </w:p>
        </w:tc>
        <w:tc>
          <w:tcPr>
            <w:tcW w:w="1090" w:type="pct"/>
            <w:vAlign w:val="center"/>
          </w:tcPr>
          <w:p w14:paraId="011E40CA">
            <w:pPr>
              <w:pStyle w:val="47"/>
              <w:jc w:val="center"/>
              <w:rPr>
                <w:i w:val="0"/>
                <w:iCs w:val="0"/>
                <w:color w:val="auto"/>
                <w:highlight w:val="none"/>
              </w:rPr>
            </w:pPr>
          </w:p>
        </w:tc>
        <w:tc>
          <w:tcPr>
            <w:tcW w:w="1090" w:type="pct"/>
            <w:vAlign w:val="center"/>
          </w:tcPr>
          <w:p w14:paraId="7062C313">
            <w:pPr>
              <w:pStyle w:val="47"/>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i w:val="0"/>
                <w:iCs w:val="0"/>
                <w:color w:val="auto"/>
                <w:highlight w:val="none"/>
              </w:rPr>
            </w:pPr>
          </w:p>
        </w:tc>
        <w:tc>
          <w:tcPr>
            <w:tcW w:w="1395" w:type="pct"/>
            <w:vAlign w:val="center"/>
          </w:tcPr>
          <w:p w14:paraId="010A1BB0">
            <w:pPr>
              <w:pStyle w:val="47"/>
              <w:jc w:val="center"/>
              <w:rPr>
                <w:i w:val="0"/>
                <w:iCs w:val="0"/>
                <w:color w:val="auto"/>
                <w:highlight w:val="none"/>
              </w:rPr>
            </w:pPr>
          </w:p>
        </w:tc>
        <w:tc>
          <w:tcPr>
            <w:tcW w:w="1002" w:type="pct"/>
            <w:vAlign w:val="center"/>
          </w:tcPr>
          <w:p w14:paraId="1EE22C75">
            <w:pPr>
              <w:pStyle w:val="47"/>
              <w:jc w:val="center"/>
              <w:rPr>
                <w:i w:val="0"/>
                <w:iCs w:val="0"/>
                <w:color w:val="auto"/>
                <w:highlight w:val="none"/>
              </w:rPr>
            </w:pPr>
          </w:p>
        </w:tc>
        <w:tc>
          <w:tcPr>
            <w:tcW w:w="1090" w:type="pct"/>
            <w:vAlign w:val="center"/>
          </w:tcPr>
          <w:p w14:paraId="3C86F2CC">
            <w:pPr>
              <w:pStyle w:val="47"/>
              <w:jc w:val="center"/>
              <w:rPr>
                <w:i w:val="0"/>
                <w:iCs w:val="0"/>
                <w:color w:val="auto"/>
                <w:highlight w:val="none"/>
              </w:rPr>
            </w:pPr>
          </w:p>
        </w:tc>
        <w:tc>
          <w:tcPr>
            <w:tcW w:w="1090" w:type="pct"/>
            <w:vAlign w:val="center"/>
          </w:tcPr>
          <w:p w14:paraId="515EA04E">
            <w:pPr>
              <w:pStyle w:val="47"/>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37EFA1E0">
            <w:pPr>
              <w:pStyle w:val="47"/>
              <w:jc w:val="center"/>
              <w:rPr>
                <w:i w:val="0"/>
                <w:iCs w:val="0"/>
                <w:color w:val="auto"/>
                <w:highlight w:val="none"/>
              </w:rPr>
            </w:pPr>
          </w:p>
        </w:tc>
        <w:tc>
          <w:tcPr>
            <w:tcW w:w="1395" w:type="pct"/>
            <w:vAlign w:val="center"/>
          </w:tcPr>
          <w:p w14:paraId="1C7A6406">
            <w:pPr>
              <w:pStyle w:val="47"/>
              <w:jc w:val="center"/>
              <w:rPr>
                <w:i w:val="0"/>
                <w:iCs w:val="0"/>
                <w:color w:val="auto"/>
                <w:highlight w:val="none"/>
              </w:rPr>
            </w:pPr>
          </w:p>
        </w:tc>
        <w:tc>
          <w:tcPr>
            <w:tcW w:w="1002" w:type="pct"/>
            <w:vAlign w:val="center"/>
          </w:tcPr>
          <w:p w14:paraId="7F774DAF">
            <w:pPr>
              <w:pStyle w:val="47"/>
              <w:jc w:val="center"/>
              <w:rPr>
                <w:i w:val="0"/>
                <w:iCs w:val="0"/>
                <w:color w:val="auto"/>
                <w:highlight w:val="none"/>
              </w:rPr>
            </w:pPr>
          </w:p>
        </w:tc>
        <w:tc>
          <w:tcPr>
            <w:tcW w:w="1090" w:type="pct"/>
            <w:vAlign w:val="center"/>
          </w:tcPr>
          <w:p w14:paraId="66A55C54">
            <w:pPr>
              <w:pStyle w:val="47"/>
              <w:jc w:val="center"/>
              <w:rPr>
                <w:i w:val="0"/>
                <w:iCs w:val="0"/>
                <w:color w:val="auto"/>
                <w:highlight w:val="none"/>
              </w:rPr>
            </w:pPr>
          </w:p>
        </w:tc>
        <w:tc>
          <w:tcPr>
            <w:tcW w:w="1090" w:type="pct"/>
            <w:vAlign w:val="center"/>
          </w:tcPr>
          <w:p w14:paraId="6FC3A7DB">
            <w:pPr>
              <w:pStyle w:val="47"/>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3D84A230">
            <w:pPr>
              <w:pStyle w:val="47"/>
              <w:jc w:val="center"/>
              <w:rPr>
                <w:i w:val="0"/>
                <w:iCs w:val="0"/>
                <w:color w:val="auto"/>
                <w:highlight w:val="none"/>
              </w:rPr>
            </w:pPr>
          </w:p>
        </w:tc>
        <w:tc>
          <w:tcPr>
            <w:tcW w:w="1395" w:type="pct"/>
            <w:vAlign w:val="center"/>
          </w:tcPr>
          <w:p w14:paraId="5A1690B5">
            <w:pPr>
              <w:pStyle w:val="47"/>
              <w:jc w:val="center"/>
              <w:rPr>
                <w:i w:val="0"/>
                <w:iCs w:val="0"/>
                <w:color w:val="auto"/>
                <w:highlight w:val="none"/>
              </w:rPr>
            </w:pPr>
          </w:p>
        </w:tc>
        <w:tc>
          <w:tcPr>
            <w:tcW w:w="1002" w:type="pct"/>
            <w:vAlign w:val="center"/>
          </w:tcPr>
          <w:p w14:paraId="735418C2">
            <w:pPr>
              <w:pStyle w:val="47"/>
              <w:jc w:val="center"/>
              <w:rPr>
                <w:i w:val="0"/>
                <w:iCs w:val="0"/>
                <w:color w:val="auto"/>
                <w:highlight w:val="none"/>
              </w:rPr>
            </w:pPr>
          </w:p>
        </w:tc>
        <w:tc>
          <w:tcPr>
            <w:tcW w:w="1090" w:type="pct"/>
            <w:vAlign w:val="center"/>
          </w:tcPr>
          <w:p w14:paraId="13F6671D">
            <w:pPr>
              <w:pStyle w:val="47"/>
              <w:jc w:val="center"/>
              <w:rPr>
                <w:i w:val="0"/>
                <w:iCs w:val="0"/>
                <w:color w:val="auto"/>
                <w:highlight w:val="none"/>
              </w:rPr>
            </w:pPr>
          </w:p>
        </w:tc>
        <w:tc>
          <w:tcPr>
            <w:tcW w:w="1090" w:type="pct"/>
            <w:vAlign w:val="center"/>
          </w:tcPr>
          <w:p w14:paraId="3DC0B3BB">
            <w:pPr>
              <w:pStyle w:val="47"/>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47"/>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47"/>
              <w:jc w:val="center"/>
              <w:rPr>
                <w:i w:val="0"/>
                <w:iCs w:val="0"/>
                <w:color w:val="auto"/>
                <w:highlight w:val="none"/>
              </w:rPr>
            </w:pPr>
          </w:p>
        </w:tc>
      </w:tr>
    </w:tbl>
    <w:p w14:paraId="18714C0C">
      <w:pPr>
        <w:ind w:firstLine="480" w:firstLineChars="200"/>
        <w:rPr>
          <w:rFonts w:hint="eastAsia" w:cs="仿宋_GB2312"/>
          <w:i w:val="0"/>
          <w:iCs w:val="0"/>
          <w:color w:val="auto"/>
          <w:szCs w:val="24"/>
          <w:highlight w:val="none"/>
        </w:rPr>
      </w:pPr>
    </w:p>
    <w:p w14:paraId="5CB06622">
      <w:pPr>
        <w:ind w:firstLine="480" w:firstLineChars="200"/>
        <w:rPr>
          <w:rFonts w:cs="仿宋_GB2312"/>
          <w:i w:val="0"/>
          <w:iCs w:val="0"/>
          <w:color w:val="auto"/>
          <w:szCs w:val="24"/>
          <w:highlight w:val="none"/>
        </w:rPr>
      </w:pPr>
    </w:p>
    <w:p w14:paraId="05D78CF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5E7329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2BF54C6">
      <w:pPr>
        <w:ind w:firstLine="420"/>
        <w:rPr>
          <w:rFonts w:cs="仿宋_GB2312"/>
          <w:i w:val="0"/>
          <w:iCs w:val="0"/>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716" w:name="_Toc163492930"/>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7" w:name="_Toc20003"/>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716"/>
      <w:bookmarkEnd w:id="717"/>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30"/>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E9572F9">
            <w:pPr>
              <w:jc w:val="center"/>
              <w:rPr>
                <w:rFonts w:cs="仿宋_GB2312"/>
                <w:i w:val="0"/>
                <w:iCs w:val="0"/>
                <w:color w:val="auto"/>
                <w:sz w:val="24"/>
                <w:szCs w:val="24"/>
                <w:highlight w:val="none"/>
              </w:rPr>
            </w:pPr>
            <w:bookmarkStart w:id="718" w:name="_Hlk46779239"/>
            <w:r>
              <w:rPr>
                <w:rFonts w:hint="eastAsia" w:cs="仿宋_GB2312"/>
                <w:i w:val="0"/>
                <w:iCs w:val="0"/>
                <w:color w:val="auto"/>
                <w:sz w:val="24"/>
                <w:szCs w:val="24"/>
                <w:highlight w:val="none"/>
              </w:rPr>
              <w:t>序号</w:t>
            </w:r>
          </w:p>
        </w:tc>
        <w:tc>
          <w:tcPr>
            <w:tcW w:w="1277"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1EB410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27562AF7">
            <w:pPr>
              <w:rPr>
                <w:rFonts w:cs="仿宋_GB2312"/>
                <w:i w:val="0"/>
                <w:iCs w:val="0"/>
                <w:color w:val="auto"/>
                <w:sz w:val="24"/>
                <w:szCs w:val="24"/>
                <w:highlight w:val="none"/>
              </w:rPr>
            </w:pPr>
          </w:p>
        </w:tc>
        <w:tc>
          <w:tcPr>
            <w:tcW w:w="1317" w:type="dxa"/>
            <w:vAlign w:val="center"/>
          </w:tcPr>
          <w:p w14:paraId="02799269">
            <w:pPr>
              <w:rPr>
                <w:rFonts w:cs="仿宋_GB2312"/>
                <w:i w:val="0"/>
                <w:iCs w:val="0"/>
                <w:color w:val="auto"/>
                <w:sz w:val="24"/>
                <w:szCs w:val="24"/>
                <w:highlight w:val="none"/>
              </w:rPr>
            </w:pPr>
          </w:p>
        </w:tc>
        <w:tc>
          <w:tcPr>
            <w:tcW w:w="1543" w:type="dxa"/>
            <w:vAlign w:val="center"/>
          </w:tcPr>
          <w:p w14:paraId="6449ADDF">
            <w:pPr>
              <w:rPr>
                <w:rFonts w:cs="仿宋_GB2312"/>
                <w:i w:val="0"/>
                <w:iCs w:val="0"/>
                <w:color w:val="auto"/>
                <w:sz w:val="24"/>
                <w:szCs w:val="24"/>
                <w:highlight w:val="none"/>
              </w:rPr>
            </w:pPr>
          </w:p>
        </w:tc>
        <w:tc>
          <w:tcPr>
            <w:tcW w:w="1540" w:type="dxa"/>
            <w:vAlign w:val="center"/>
          </w:tcPr>
          <w:p w14:paraId="183C0714">
            <w:pPr>
              <w:rPr>
                <w:rFonts w:cs="仿宋_GB2312"/>
                <w:i w:val="0"/>
                <w:iCs w:val="0"/>
                <w:color w:val="auto"/>
                <w:sz w:val="24"/>
                <w:szCs w:val="24"/>
                <w:highlight w:val="none"/>
              </w:rPr>
            </w:pPr>
          </w:p>
        </w:tc>
        <w:tc>
          <w:tcPr>
            <w:tcW w:w="1530" w:type="dxa"/>
            <w:vAlign w:val="center"/>
          </w:tcPr>
          <w:p w14:paraId="4F169081">
            <w:pPr>
              <w:rPr>
                <w:rFonts w:cs="仿宋_GB2312"/>
                <w:i w:val="0"/>
                <w:iCs w:val="0"/>
                <w:color w:val="auto"/>
                <w:sz w:val="24"/>
                <w:szCs w:val="24"/>
                <w:highlight w:val="none"/>
              </w:rPr>
            </w:pPr>
          </w:p>
        </w:tc>
        <w:tc>
          <w:tcPr>
            <w:tcW w:w="1019" w:type="dxa"/>
            <w:vAlign w:val="center"/>
          </w:tcPr>
          <w:p w14:paraId="2A8AB713">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7CA4B3F3">
            <w:pPr>
              <w:rPr>
                <w:rFonts w:cs="仿宋_GB2312"/>
                <w:i w:val="0"/>
                <w:iCs w:val="0"/>
                <w:color w:val="auto"/>
                <w:sz w:val="24"/>
                <w:szCs w:val="24"/>
                <w:highlight w:val="none"/>
              </w:rPr>
            </w:pPr>
          </w:p>
        </w:tc>
        <w:tc>
          <w:tcPr>
            <w:tcW w:w="1317" w:type="dxa"/>
            <w:vAlign w:val="center"/>
          </w:tcPr>
          <w:p w14:paraId="59CCECB1">
            <w:pPr>
              <w:rPr>
                <w:rFonts w:cs="仿宋_GB2312"/>
                <w:i w:val="0"/>
                <w:iCs w:val="0"/>
                <w:color w:val="auto"/>
                <w:sz w:val="24"/>
                <w:szCs w:val="24"/>
                <w:highlight w:val="none"/>
              </w:rPr>
            </w:pPr>
          </w:p>
        </w:tc>
        <w:tc>
          <w:tcPr>
            <w:tcW w:w="1543" w:type="dxa"/>
            <w:vAlign w:val="center"/>
          </w:tcPr>
          <w:p w14:paraId="4E8043C4">
            <w:pPr>
              <w:rPr>
                <w:rFonts w:cs="仿宋_GB2312"/>
                <w:i w:val="0"/>
                <w:iCs w:val="0"/>
                <w:color w:val="auto"/>
                <w:sz w:val="24"/>
                <w:szCs w:val="24"/>
                <w:highlight w:val="none"/>
              </w:rPr>
            </w:pPr>
          </w:p>
        </w:tc>
        <w:tc>
          <w:tcPr>
            <w:tcW w:w="1540" w:type="dxa"/>
            <w:vAlign w:val="center"/>
          </w:tcPr>
          <w:p w14:paraId="2E195778">
            <w:pPr>
              <w:rPr>
                <w:rFonts w:cs="仿宋_GB2312"/>
                <w:i w:val="0"/>
                <w:iCs w:val="0"/>
                <w:color w:val="auto"/>
                <w:sz w:val="24"/>
                <w:szCs w:val="24"/>
                <w:highlight w:val="none"/>
              </w:rPr>
            </w:pPr>
          </w:p>
        </w:tc>
        <w:tc>
          <w:tcPr>
            <w:tcW w:w="1530" w:type="dxa"/>
            <w:vAlign w:val="center"/>
          </w:tcPr>
          <w:p w14:paraId="49A8CC13">
            <w:pPr>
              <w:rPr>
                <w:rFonts w:cs="仿宋_GB2312"/>
                <w:i w:val="0"/>
                <w:iCs w:val="0"/>
                <w:color w:val="auto"/>
                <w:sz w:val="24"/>
                <w:szCs w:val="24"/>
                <w:highlight w:val="none"/>
              </w:rPr>
            </w:pPr>
          </w:p>
        </w:tc>
        <w:tc>
          <w:tcPr>
            <w:tcW w:w="1019" w:type="dxa"/>
            <w:vAlign w:val="center"/>
          </w:tcPr>
          <w:p w14:paraId="53112435">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46AEF6AC">
            <w:pPr>
              <w:rPr>
                <w:rFonts w:cs="仿宋_GB2312"/>
                <w:i w:val="0"/>
                <w:iCs w:val="0"/>
                <w:color w:val="auto"/>
                <w:sz w:val="24"/>
                <w:szCs w:val="24"/>
                <w:highlight w:val="none"/>
              </w:rPr>
            </w:pPr>
          </w:p>
        </w:tc>
        <w:tc>
          <w:tcPr>
            <w:tcW w:w="1317" w:type="dxa"/>
            <w:vAlign w:val="center"/>
          </w:tcPr>
          <w:p w14:paraId="601B0208">
            <w:pPr>
              <w:rPr>
                <w:rFonts w:cs="仿宋_GB2312"/>
                <w:i w:val="0"/>
                <w:iCs w:val="0"/>
                <w:color w:val="auto"/>
                <w:sz w:val="24"/>
                <w:szCs w:val="24"/>
                <w:highlight w:val="none"/>
              </w:rPr>
            </w:pPr>
          </w:p>
        </w:tc>
        <w:tc>
          <w:tcPr>
            <w:tcW w:w="1543" w:type="dxa"/>
            <w:vAlign w:val="center"/>
          </w:tcPr>
          <w:p w14:paraId="56885EE6">
            <w:pPr>
              <w:rPr>
                <w:rFonts w:cs="仿宋_GB2312"/>
                <w:i w:val="0"/>
                <w:iCs w:val="0"/>
                <w:color w:val="auto"/>
                <w:sz w:val="24"/>
                <w:szCs w:val="24"/>
                <w:highlight w:val="none"/>
              </w:rPr>
            </w:pPr>
          </w:p>
        </w:tc>
        <w:tc>
          <w:tcPr>
            <w:tcW w:w="1540" w:type="dxa"/>
            <w:vAlign w:val="center"/>
          </w:tcPr>
          <w:p w14:paraId="00552B19">
            <w:pPr>
              <w:rPr>
                <w:rFonts w:cs="仿宋_GB2312"/>
                <w:i w:val="0"/>
                <w:iCs w:val="0"/>
                <w:color w:val="auto"/>
                <w:sz w:val="24"/>
                <w:szCs w:val="24"/>
                <w:highlight w:val="none"/>
              </w:rPr>
            </w:pPr>
          </w:p>
        </w:tc>
        <w:tc>
          <w:tcPr>
            <w:tcW w:w="1530" w:type="dxa"/>
            <w:vAlign w:val="center"/>
          </w:tcPr>
          <w:p w14:paraId="77BC6128">
            <w:pPr>
              <w:rPr>
                <w:rFonts w:cs="仿宋_GB2312"/>
                <w:i w:val="0"/>
                <w:iCs w:val="0"/>
                <w:color w:val="auto"/>
                <w:sz w:val="24"/>
                <w:szCs w:val="24"/>
                <w:highlight w:val="none"/>
              </w:rPr>
            </w:pPr>
          </w:p>
        </w:tc>
        <w:tc>
          <w:tcPr>
            <w:tcW w:w="1019" w:type="dxa"/>
            <w:vAlign w:val="center"/>
          </w:tcPr>
          <w:p w14:paraId="67F6B017">
            <w:pPr>
              <w:rPr>
                <w:rFonts w:cs="仿宋_GB2312"/>
                <w:i w:val="0"/>
                <w:iCs w:val="0"/>
                <w:color w:val="auto"/>
                <w:sz w:val="24"/>
                <w:szCs w:val="24"/>
                <w:highlight w:val="none"/>
              </w:rPr>
            </w:pPr>
          </w:p>
        </w:tc>
      </w:tr>
      <w:tr w14:paraId="7B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B3A1FEF">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65FA0920">
            <w:pPr>
              <w:rPr>
                <w:rFonts w:cs="仿宋_GB2312"/>
                <w:i w:val="0"/>
                <w:iCs w:val="0"/>
                <w:color w:val="auto"/>
                <w:sz w:val="24"/>
                <w:szCs w:val="24"/>
                <w:highlight w:val="none"/>
              </w:rPr>
            </w:pPr>
          </w:p>
        </w:tc>
        <w:tc>
          <w:tcPr>
            <w:tcW w:w="1317" w:type="dxa"/>
            <w:vAlign w:val="center"/>
          </w:tcPr>
          <w:p w14:paraId="6DD5DB71">
            <w:pPr>
              <w:rPr>
                <w:rFonts w:cs="仿宋_GB2312"/>
                <w:i w:val="0"/>
                <w:iCs w:val="0"/>
                <w:color w:val="auto"/>
                <w:sz w:val="24"/>
                <w:szCs w:val="24"/>
                <w:highlight w:val="none"/>
              </w:rPr>
            </w:pPr>
          </w:p>
        </w:tc>
        <w:tc>
          <w:tcPr>
            <w:tcW w:w="1543" w:type="dxa"/>
            <w:vAlign w:val="center"/>
          </w:tcPr>
          <w:p w14:paraId="398CC022">
            <w:pPr>
              <w:rPr>
                <w:rFonts w:cs="仿宋_GB2312"/>
                <w:i w:val="0"/>
                <w:iCs w:val="0"/>
                <w:color w:val="auto"/>
                <w:sz w:val="24"/>
                <w:szCs w:val="24"/>
                <w:highlight w:val="none"/>
              </w:rPr>
            </w:pPr>
          </w:p>
        </w:tc>
        <w:tc>
          <w:tcPr>
            <w:tcW w:w="1540" w:type="dxa"/>
            <w:vAlign w:val="center"/>
          </w:tcPr>
          <w:p w14:paraId="1A75EF0D">
            <w:pPr>
              <w:rPr>
                <w:rFonts w:cs="仿宋_GB2312"/>
                <w:i w:val="0"/>
                <w:iCs w:val="0"/>
                <w:color w:val="auto"/>
                <w:sz w:val="24"/>
                <w:szCs w:val="24"/>
                <w:highlight w:val="none"/>
              </w:rPr>
            </w:pPr>
          </w:p>
        </w:tc>
        <w:tc>
          <w:tcPr>
            <w:tcW w:w="1530" w:type="dxa"/>
            <w:vAlign w:val="center"/>
          </w:tcPr>
          <w:p w14:paraId="3EDBC798">
            <w:pPr>
              <w:rPr>
                <w:rFonts w:cs="仿宋_GB2312"/>
                <w:i w:val="0"/>
                <w:iCs w:val="0"/>
                <w:color w:val="auto"/>
                <w:sz w:val="24"/>
                <w:szCs w:val="24"/>
                <w:highlight w:val="none"/>
              </w:rPr>
            </w:pPr>
          </w:p>
        </w:tc>
        <w:tc>
          <w:tcPr>
            <w:tcW w:w="1019" w:type="dxa"/>
            <w:vAlign w:val="center"/>
          </w:tcPr>
          <w:p w14:paraId="35E8D0F8">
            <w:pPr>
              <w:rPr>
                <w:rFonts w:cs="仿宋_GB2312"/>
                <w:i w:val="0"/>
                <w:iCs w:val="0"/>
                <w:color w:val="auto"/>
                <w:sz w:val="24"/>
                <w:szCs w:val="24"/>
                <w:highlight w:val="none"/>
              </w:rPr>
            </w:pPr>
          </w:p>
        </w:tc>
      </w:tr>
      <w:tr w14:paraId="6D0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3616992">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1C32D464">
            <w:pPr>
              <w:rPr>
                <w:rFonts w:cs="仿宋_GB2312"/>
                <w:i w:val="0"/>
                <w:iCs w:val="0"/>
                <w:color w:val="auto"/>
                <w:sz w:val="24"/>
                <w:szCs w:val="24"/>
                <w:highlight w:val="none"/>
              </w:rPr>
            </w:pPr>
          </w:p>
        </w:tc>
        <w:tc>
          <w:tcPr>
            <w:tcW w:w="1317" w:type="dxa"/>
            <w:vAlign w:val="center"/>
          </w:tcPr>
          <w:p w14:paraId="0AD8FA1A">
            <w:pPr>
              <w:rPr>
                <w:rFonts w:cs="仿宋_GB2312"/>
                <w:i w:val="0"/>
                <w:iCs w:val="0"/>
                <w:color w:val="auto"/>
                <w:sz w:val="24"/>
                <w:szCs w:val="24"/>
                <w:highlight w:val="none"/>
              </w:rPr>
            </w:pPr>
          </w:p>
        </w:tc>
        <w:tc>
          <w:tcPr>
            <w:tcW w:w="1543" w:type="dxa"/>
            <w:vAlign w:val="center"/>
          </w:tcPr>
          <w:p w14:paraId="6E68A726">
            <w:pPr>
              <w:rPr>
                <w:rFonts w:cs="仿宋_GB2312"/>
                <w:i w:val="0"/>
                <w:iCs w:val="0"/>
                <w:color w:val="auto"/>
                <w:sz w:val="24"/>
                <w:szCs w:val="24"/>
                <w:highlight w:val="none"/>
              </w:rPr>
            </w:pPr>
          </w:p>
        </w:tc>
        <w:tc>
          <w:tcPr>
            <w:tcW w:w="1540" w:type="dxa"/>
            <w:vAlign w:val="center"/>
          </w:tcPr>
          <w:p w14:paraId="07C0A548">
            <w:pPr>
              <w:rPr>
                <w:rFonts w:cs="仿宋_GB2312"/>
                <w:i w:val="0"/>
                <w:iCs w:val="0"/>
                <w:color w:val="auto"/>
                <w:sz w:val="24"/>
                <w:szCs w:val="24"/>
                <w:highlight w:val="none"/>
              </w:rPr>
            </w:pPr>
          </w:p>
        </w:tc>
        <w:tc>
          <w:tcPr>
            <w:tcW w:w="1530" w:type="dxa"/>
            <w:vAlign w:val="center"/>
          </w:tcPr>
          <w:p w14:paraId="5A62627A">
            <w:pPr>
              <w:rPr>
                <w:rFonts w:cs="仿宋_GB2312"/>
                <w:i w:val="0"/>
                <w:iCs w:val="0"/>
                <w:color w:val="auto"/>
                <w:sz w:val="24"/>
                <w:szCs w:val="24"/>
                <w:highlight w:val="none"/>
              </w:rPr>
            </w:pPr>
          </w:p>
        </w:tc>
        <w:tc>
          <w:tcPr>
            <w:tcW w:w="1019" w:type="dxa"/>
            <w:vAlign w:val="center"/>
          </w:tcPr>
          <w:p w14:paraId="7C946F20">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5D94CAA1">
            <w:pPr>
              <w:rPr>
                <w:rFonts w:cs="仿宋_GB2312"/>
                <w:i w:val="0"/>
                <w:iCs w:val="0"/>
                <w:color w:val="auto"/>
                <w:sz w:val="24"/>
                <w:szCs w:val="24"/>
                <w:highlight w:val="none"/>
              </w:rPr>
            </w:pPr>
          </w:p>
        </w:tc>
        <w:tc>
          <w:tcPr>
            <w:tcW w:w="1317" w:type="dxa"/>
            <w:vAlign w:val="center"/>
          </w:tcPr>
          <w:p w14:paraId="48AC7386">
            <w:pPr>
              <w:rPr>
                <w:rFonts w:cs="仿宋_GB2312"/>
                <w:i w:val="0"/>
                <w:iCs w:val="0"/>
                <w:color w:val="auto"/>
                <w:sz w:val="24"/>
                <w:szCs w:val="24"/>
                <w:highlight w:val="none"/>
              </w:rPr>
            </w:pPr>
          </w:p>
        </w:tc>
        <w:tc>
          <w:tcPr>
            <w:tcW w:w="1543" w:type="dxa"/>
            <w:vAlign w:val="center"/>
          </w:tcPr>
          <w:p w14:paraId="20172F35">
            <w:pPr>
              <w:rPr>
                <w:rFonts w:cs="仿宋_GB2312"/>
                <w:i w:val="0"/>
                <w:iCs w:val="0"/>
                <w:color w:val="auto"/>
                <w:sz w:val="24"/>
                <w:szCs w:val="24"/>
                <w:highlight w:val="none"/>
              </w:rPr>
            </w:pPr>
          </w:p>
        </w:tc>
        <w:tc>
          <w:tcPr>
            <w:tcW w:w="1540" w:type="dxa"/>
            <w:vAlign w:val="center"/>
          </w:tcPr>
          <w:p w14:paraId="75CF74D1">
            <w:pPr>
              <w:rPr>
                <w:rFonts w:cs="仿宋_GB2312"/>
                <w:i w:val="0"/>
                <w:iCs w:val="0"/>
                <w:color w:val="auto"/>
                <w:sz w:val="24"/>
                <w:szCs w:val="24"/>
                <w:highlight w:val="none"/>
              </w:rPr>
            </w:pPr>
          </w:p>
        </w:tc>
        <w:tc>
          <w:tcPr>
            <w:tcW w:w="1530" w:type="dxa"/>
            <w:vAlign w:val="center"/>
          </w:tcPr>
          <w:p w14:paraId="52CF4BF0">
            <w:pPr>
              <w:rPr>
                <w:rFonts w:cs="仿宋_GB2312"/>
                <w:i w:val="0"/>
                <w:iCs w:val="0"/>
                <w:color w:val="auto"/>
                <w:sz w:val="24"/>
                <w:szCs w:val="24"/>
                <w:highlight w:val="none"/>
              </w:rPr>
            </w:pPr>
          </w:p>
        </w:tc>
        <w:tc>
          <w:tcPr>
            <w:tcW w:w="1019" w:type="dxa"/>
            <w:vAlign w:val="center"/>
          </w:tcPr>
          <w:p w14:paraId="32DE863A">
            <w:pPr>
              <w:rPr>
                <w:rFonts w:cs="仿宋_GB2312"/>
                <w:i w:val="0"/>
                <w:iCs w:val="0"/>
                <w:color w:val="auto"/>
                <w:sz w:val="24"/>
                <w:szCs w:val="24"/>
                <w:highlight w:val="none"/>
              </w:rPr>
            </w:pPr>
          </w:p>
        </w:tc>
      </w:tr>
      <w:bookmarkEnd w:id="718"/>
    </w:tbl>
    <w:p w14:paraId="54630C10">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9" w:name="_Toc163492931"/>
      <w:bookmarkStart w:id="720" w:name="_Toc6673"/>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719"/>
      <w:bookmarkEnd w:id="720"/>
    </w:p>
    <w:tbl>
      <w:tblPr>
        <w:tblStyle w:val="30"/>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47"/>
              <w:jc w:val="center"/>
              <w:rPr>
                <w:i w:val="0"/>
                <w:iCs w:val="0"/>
                <w:color w:val="auto"/>
                <w:highlight w:val="none"/>
              </w:rPr>
            </w:pPr>
            <w:r>
              <w:rPr>
                <w:rFonts w:hint="eastAsia"/>
                <w:i w:val="0"/>
                <w:iCs w:val="0"/>
                <w:color w:val="auto"/>
                <w:highlight w:val="none"/>
                <w:lang w:val="en-US" w:eastAsia="zh-CN"/>
              </w:rPr>
              <w:t>团队成员</w:t>
            </w:r>
          </w:p>
          <w:p w14:paraId="369C3C13">
            <w:pPr>
              <w:pStyle w:val="47"/>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47"/>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47"/>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47"/>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47"/>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47"/>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47"/>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i w:val="0"/>
                <w:iCs w:val="0"/>
                <w:color w:val="auto"/>
                <w:highlight w:val="none"/>
              </w:rPr>
            </w:pPr>
            <w:bookmarkStart w:id="721" w:name="_Toc99533292"/>
            <w:bookmarkStart w:id="722" w:name="_Toc100090784"/>
            <w:r>
              <w:rPr>
                <w:rFonts w:hint="eastAsia"/>
                <w:i w:val="0"/>
                <w:iCs w:val="0"/>
                <w:color w:val="auto"/>
                <w:highlight w:val="none"/>
              </w:rPr>
              <w:t>1</w:t>
            </w:r>
            <w:bookmarkEnd w:id="721"/>
            <w:bookmarkEnd w:id="722"/>
          </w:p>
        </w:tc>
        <w:tc>
          <w:tcPr>
            <w:tcW w:w="1143" w:type="dxa"/>
            <w:vAlign w:val="center"/>
          </w:tcPr>
          <w:p w14:paraId="1297CF0F">
            <w:pPr>
              <w:pStyle w:val="47"/>
              <w:jc w:val="center"/>
              <w:rPr>
                <w:i w:val="0"/>
                <w:iCs w:val="0"/>
                <w:color w:val="auto"/>
                <w:highlight w:val="none"/>
              </w:rPr>
            </w:pPr>
          </w:p>
        </w:tc>
        <w:tc>
          <w:tcPr>
            <w:tcW w:w="1334" w:type="dxa"/>
            <w:tcBorders>
              <w:right w:val="single" w:color="auto" w:sz="4" w:space="0"/>
            </w:tcBorders>
            <w:vAlign w:val="center"/>
          </w:tcPr>
          <w:p w14:paraId="5504C4E8">
            <w:pPr>
              <w:pStyle w:val="47"/>
              <w:jc w:val="center"/>
              <w:rPr>
                <w:i w:val="0"/>
                <w:iCs w:val="0"/>
                <w:color w:val="auto"/>
                <w:highlight w:val="none"/>
              </w:rPr>
            </w:pPr>
          </w:p>
        </w:tc>
        <w:tc>
          <w:tcPr>
            <w:tcW w:w="1188" w:type="dxa"/>
            <w:tcBorders>
              <w:left w:val="single" w:color="auto" w:sz="4" w:space="0"/>
            </w:tcBorders>
            <w:vAlign w:val="center"/>
          </w:tcPr>
          <w:p w14:paraId="08D7DF2B">
            <w:pPr>
              <w:pStyle w:val="47"/>
              <w:jc w:val="center"/>
              <w:rPr>
                <w:i w:val="0"/>
                <w:iCs w:val="0"/>
                <w:color w:val="auto"/>
                <w:highlight w:val="none"/>
              </w:rPr>
            </w:pPr>
          </w:p>
        </w:tc>
        <w:tc>
          <w:tcPr>
            <w:tcW w:w="816" w:type="dxa"/>
            <w:tcBorders>
              <w:left w:val="single" w:color="auto" w:sz="4" w:space="0"/>
            </w:tcBorders>
            <w:vAlign w:val="center"/>
          </w:tcPr>
          <w:p w14:paraId="403C3C91">
            <w:pPr>
              <w:pStyle w:val="47"/>
              <w:jc w:val="center"/>
              <w:rPr>
                <w:i w:val="0"/>
                <w:iCs w:val="0"/>
                <w:color w:val="auto"/>
                <w:highlight w:val="none"/>
              </w:rPr>
            </w:pPr>
          </w:p>
        </w:tc>
        <w:tc>
          <w:tcPr>
            <w:tcW w:w="1815" w:type="dxa"/>
            <w:vAlign w:val="center"/>
          </w:tcPr>
          <w:p w14:paraId="3BDB609C">
            <w:pPr>
              <w:pStyle w:val="47"/>
              <w:jc w:val="center"/>
              <w:rPr>
                <w:i w:val="0"/>
                <w:iCs w:val="0"/>
                <w:color w:val="auto"/>
                <w:highlight w:val="none"/>
              </w:rPr>
            </w:pPr>
          </w:p>
        </w:tc>
        <w:tc>
          <w:tcPr>
            <w:tcW w:w="1277" w:type="dxa"/>
            <w:vAlign w:val="center"/>
          </w:tcPr>
          <w:p w14:paraId="09728172">
            <w:pPr>
              <w:pStyle w:val="47"/>
              <w:jc w:val="center"/>
              <w:rPr>
                <w:i w:val="0"/>
                <w:iCs w:val="0"/>
                <w:color w:val="auto"/>
                <w:highlight w:val="none"/>
              </w:rPr>
            </w:pPr>
          </w:p>
        </w:tc>
        <w:tc>
          <w:tcPr>
            <w:tcW w:w="816" w:type="dxa"/>
            <w:vAlign w:val="center"/>
          </w:tcPr>
          <w:p w14:paraId="76A768A0">
            <w:pPr>
              <w:pStyle w:val="47"/>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i w:val="0"/>
                <w:iCs w:val="0"/>
                <w:color w:val="auto"/>
                <w:highlight w:val="none"/>
              </w:rPr>
            </w:pPr>
            <w:bookmarkStart w:id="723" w:name="_Toc100090785"/>
            <w:bookmarkStart w:id="724" w:name="_Toc99533293"/>
            <w:r>
              <w:rPr>
                <w:rFonts w:hint="eastAsia"/>
                <w:i w:val="0"/>
                <w:iCs w:val="0"/>
                <w:color w:val="auto"/>
                <w:highlight w:val="none"/>
              </w:rPr>
              <w:t>2</w:t>
            </w:r>
            <w:bookmarkEnd w:id="723"/>
            <w:bookmarkEnd w:id="724"/>
          </w:p>
        </w:tc>
        <w:tc>
          <w:tcPr>
            <w:tcW w:w="1143" w:type="dxa"/>
            <w:vAlign w:val="center"/>
          </w:tcPr>
          <w:p w14:paraId="6EAD4E38">
            <w:pPr>
              <w:pStyle w:val="47"/>
              <w:jc w:val="center"/>
              <w:rPr>
                <w:i w:val="0"/>
                <w:iCs w:val="0"/>
                <w:color w:val="auto"/>
                <w:highlight w:val="none"/>
              </w:rPr>
            </w:pPr>
          </w:p>
        </w:tc>
        <w:tc>
          <w:tcPr>
            <w:tcW w:w="1334" w:type="dxa"/>
            <w:tcBorders>
              <w:right w:val="single" w:color="auto" w:sz="4" w:space="0"/>
            </w:tcBorders>
            <w:vAlign w:val="center"/>
          </w:tcPr>
          <w:p w14:paraId="3CF94FE4">
            <w:pPr>
              <w:pStyle w:val="47"/>
              <w:jc w:val="center"/>
              <w:rPr>
                <w:i w:val="0"/>
                <w:iCs w:val="0"/>
                <w:color w:val="auto"/>
                <w:highlight w:val="none"/>
              </w:rPr>
            </w:pPr>
          </w:p>
        </w:tc>
        <w:tc>
          <w:tcPr>
            <w:tcW w:w="1188" w:type="dxa"/>
            <w:tcBorders>
              <w:left w:val="single" w:color="auto" w:sz="4" w:space="0"/>
            </w:tcBorders>
            <w:vAlign w:val="center"/>
          </w:tcPr>
          <w:p w14:paraId="194E0865">
            <w:pPr>
              <w:pStyle w:val="47"/>
              <w:jc w:val="center"/>
              <w:rPr>
                <w:i w:val="0"/>
                <w:iCs w:val="0"/>
                <w:color w:val="auto"/>
                <w:highlight w:val="none"/>
              </w:rPr>
            </w:pPr>
          </w:p>
        </w:tc>
        <w:tc>
          <w:tcPr>
            <w:tcW w:w="816" w:type="dxa"/>
            <w:tcBorders>
              <w:left w:val="single" w:color="auto" w:sz="4" w:space="0"/>
            </w:tcBorders>
            <w:vAlign w:val="center"/>
          </w:tcPr>
          <w:p w14:paraId="76D19FEB">
            <w:pPr>
              <w:pStyle w:val="47"/>
              <w:jc w:val="center"/>
              <w:rPr>
                <w:i w:val="0"/>
                <w:iCs w:val="0"/>
                <w:color w:val="auto"/>
                <w:highlight w:val="none"/>
              </w:rPr>
            </w:pPr>
          </w:p>
        </w:tc>
        <w:tc>
          <w:tcPr>
            <w:tcW w:w="1815" w:type="dxa"/>
            <w:vAlign w:val="center"/>
          </w:tcPr>
          <w:p w14:paraId="42875AB6">
            <w:pPr>
              <w:pStyle w:val="47"/>
              <w:jc w:val="center"/>
              <w:rPr>
                <w:i w:val="0"/>
                <w:iCs w:val="0"/>
                <w:color w:val="auto"/>
                <w:highlight w:val="none"/>
              </w:rPr>
            </w:pPr>
          </w:p>
        </w:tc>
        <w:tc>
          <w:tcPr>
            <w:tcW w:w="1277" w:type="dxa"/>
            <w:vAlign w:val="center"/>
          </w:tcPr>
          <w:p w14:paraId="5CD968CA">
            <w:pPr>
              <w:pStyle w:val="47"/>
              <w:jc w:val="center"/>
              <w:rPr>
                <w:i w:val="0"/>
                <w:iCs w:val="0"/>
                <w:color w:val="auto"/>
                <w:highlight w:val="none"/>
              </w:rPr>
            </w:pPr>
          </w:p>
        </w:tc>
        <w:tc>
          <w:tcPr>
            <w:tcW w:w="816" w:type="dxa"/>
            <w:vAlign w:val="center"/>
          </w:tcPr>
          <w:p w14:paraId="1528AD30">
            <w:pPr>
              <w:pStyle w:val="47"/>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i w:val="0"/>
                <w:iCs w:val="0"/>
                <w:color w:val="auto"/>
                <w:highlight w:val="none"/>
              </w:rPr>
            </w:pPr>
            <w:bookmarkStart w:id="725" w:name="_Toc100090786"/>
            <w:bookmarkStart w:id="726" w:name="_Toc99533294"/>
            <w:r>
              <w:rPr>
                <w:rFonts w:hint="eastAsia"/>
                <w:i w:val="0"/>
                <w:iCs w:val="0"/>
                <w:color w:val="auto"/>
                <w:highlight w:val="none"/>
              </w:rPr>
              <w:t>3</w:t>
            </w:r>
            <w:bookmarkEnd w:id="725"/>
            <w:bookmarkEnd w:id="726"/>
          </w:p>
        </w:tc>
        <w:tc>
          <w:tcPr>
            <w:tcW w:w="1143" w:type="dxa"/>
            <w:vAlign w:val="center"/>
          </w:tcPr>
          <w:p w14:paraId="4F647092">
            <w:pPr>
              <w:pStyle w:val="47"/>
              <w:jc w:val="center"/>
              <w:rPr>
                <w:i w:val="0"/>
                <w:iCs w:val="0"/>
                <w:color w:val="auto"/>
                <w:highlight w:val="none"/>
              </w:rPr>
            </w:pPr>
          </w:p>
        </w:tc>
        <w:tc>
          <w:tcPr>
            <w:tcW w:w="1334" w:type="dxa"/>
            <w:tcBorders>
              <w:right w:val="single" w:color="auto" w:sz="4" w:space="0"/>
            </w:tcBorders>
            <w:vAlign w:val="center"/>
          </w:tcPr>
          <w:p w14:paraId="721B9540">
            <w:pPr>
              <w:pStyle w:val="47"/>
              <w:jc w:val="center"/>
              <w:rPr>
                <w:i w:val="0"/>
                <w:iCs w:val="0"/>
                <w:color w:val="auto"/>
                <w:highlight w:val="none"/>
              </w:rPr>
            </w:pPr>
          </w:p>
        </w:tc>
        <w:tc>
          <w:tcPr>
            <w:tcW w:w="1188" w:type="dxa"/>
            <w:tcBorders>
              <w:left w:val="single" w:color="auto" w:sz="4" w:space="0"/>
            </w:tcBorders>
            <w:vAlign w:val="center"/>
          </w:tcPr>
          <w:p w14:paraId="070656BE">
            <w:pPr>
              <w:pStyle w:val="47"/>
              <w:jc w:val="center"/>
              <w:rPr>
                <w:i w:val="0"/>
                <w:iCs w:val="0"/>
                <w:color w:val="auto"/>
                <w:highlight w:val="none"/>
              </w:rPr>
            </w:pPr>
          </w:p>
        </w:tc>
        <w:tc>
          <w:tcPr>
            <w:tcW w:w="816" w:type="dxa"/>
            <w:tcBorders>
              <w:left w:val="single" w:color="auto" w:sz="4" w:space="0"/>
            </w:tcBorders>
            <w:vAlign w:val="center"/>
          </w:tcPr>
          <w:p w14:paraId="29C26F3A">
            <w:pPr>
              <w:pStyle w:val="47"/>
              <w:jc w:val="center"/>
              <w:rPr>
                <w:i w:val="0"/>
                <w:iCs w:val="0"/>
                <w:color w:val="auto"/>
                <w:highlight w:val="none"/>
              </w:rPr>
            </w:pPr>
          </w:p>
        </w:tc>
        <w:tc>
          <w:tcPr>
            <w:tcW w:w="1815" w:type="dxa"/>
            <w:vAlign w:val="center"/>
          </w:tcPr>
          <w:p w14:paraId="2A300911">
            <w:pPr>
              <w:pStyle w:val="47"/>
              <w:jc w:val="center"/>
              <w:rPr>
                <w:i w:val="0"/>
                <w:iCs w:val="0"/>
                <w:color w:val="auto"/>
                <w:highlight w:val="none"/>
              </w:rPr>
            </w:pPr>
          </w:p>
        </w:tc>
        <w:tc>
          <w:tcPr>
            <w:tcW w:w="1277" w:type="dxa"/>
            <w:vAlign w:val="center"/>
          </w:tcPr>
          <w:p w14:paraId="442A0B83">
            <w:pPr>
              <w:pStyle w:val="47"/>
              <w:jc w:val="center"/>
              <w:rPr>
                <w:i w:val="0"/>
                <w:iCs w:val="0"/>
                <w:color w:val="auto"/>
                <w:highlight w:val="none"/>
              </w:rPr>
            </w:pPr>
          </w:p>
        </w:tc>
        <w:tc>
          <w:tcPr>
            <w:tcW w:w="816" w:type="dxa"/>
            <w:vAlign w:val="center"/>
          </w:tcPr>
          <w:p w14:paraId="7425FCC3">
            <w:pPr>
              <w:pStyle w:val="47"/>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i w:val="0"/>
                <w:iCs w:val="0"/>
                <w:color w:val="auto"/>
                <w:highlight w:val="none"/>
              </w:rPr>
            </w:pPr>
            <w:bookmarkStart w:id="727" w:name="_Toc99533295"/>
            <w:bookmarkStart w:id="728" w:name="_Toc100090787"/>
            <w:r>
              <w:rPr>
                <w:rFonts w:hint="eastAsia"/>
                <w:i w:val="0"/>
                <w:iCs w:val="0"/>
                <w:color w:val="auto"/>
                <w:highlight w:val="none"/>
              </w:rPr>
              <w:t>4</w:t>
            </w:r>
            <w:bookmarkEnd w:id="727"/>
            <w:bookmarkEnd w:id="728"/>
          </w:p>
        </w:tc>
        <w:tc>
          <w:tcPr>
            <w:tcW w:w="1143" w:type="dxa"/>
            <w:vAlign w:val="center"/>
          </w:tcPr>
          <w:p w14:paraId="1B812309">
            <w:pPr>
              <w:pStyle w:val="47"/>
              <w:jc w:val="center"/>
              <w:rPr>
                <w:i w:val="0"/>
                <w:iCs w:val="0"/>
                <w:color w:val="auto"/>
                <w:highlight w:val="none"/>
              </w:rPr>
            </w:pPr>
          </w:p>
        </w:tc>
        <w:tc>
          <w:tcPr>
            <w:tcW w:w="1334" w:type="dxa"/>
            <w:tcBorders>
              <w:right w:val="single" w:color="auto" w:sz="4" w:space="0"/>
            </w:tcBorders>
            <w:vAlign w:val="center"/>
          </w:tcPr>
          <w:p w14:paraId="6BDFC0EC">
            <w:pPr>
              <w:pStyle w:val="47"/>
              <w:jc w:val="center"/>
              <w:rPr>
                <w:i w:val="0"/>
                <w:iCs w:val="0"/>
                <w:color w:val="auto"/>
                <w:highlight w:val="none"/>
              </w:rPr>
            </w:pPr>
          </w:p>
        </w:tc>
        <w:tc>
          <w:tcPr>
            <w:tcW w:w="1188" w:type="dxa"/>
            <w:tcBorders>
              <w:left w:val="single" w:color="auto" w:sz="4" w:space="0"/>
            </w:tcBorders>
            <w:vAlign w:val="center"/>
          </w:tcPr>
          <w:p w14:paraId="22C9E970">
            <w:pPr>
              <w:pStyle w:val="47"/>
              <w:jc w:val="center"/>
              <w:rPr>
                <w:i w:val="0"/>
                <w:iCs w:val="0"/>
                <w:color w:val="auto"/>
                <w:highlight w:val="none"/>
              </w:rPr>
            </w:pPr>
          </w:p>
        </w:tc>
        <w:tc>
          <w:tcPr>
            <w:tcW w:w="816" w:type="dxa"/>
            <w:tcBorders>
              <w:left w:val="single" w:color="auto" w:sz="4" w:space="0"/>
            </w:tcBorders>
            <w:vAlign w:val="center"/>
          </w:tcPr>
          <w:p w14:paraId="4C5CDD3D">
            <w:pPr>
              <w:pStyle w:val="47"/>
              <w:jc w:val="center"/>
              <w:rPr>
                <w:i w:val="0"/>
                <w:iCs w:val="0"/>
                <w:color w:val="auto"/>
                <w:highlight w:val="none"/>
              </w:rPr>
            </w:pPr>
          </w:p>
        </w:tc>
        <w:tc>
          <w:tcPr>
            <w:tcW w:w="1815" w:type="dxa"/>
            <w:vAlign w:val="center"/>
          </w:tcPr>
          <w:p w14:paraId="612FD0B4">
            <w:pPr>
              <w:pStyle w:val="47"/>
              <w:jc w:val="center"/>
              <w:rPr>
                <w:i w:val="0"/>
                <w:iCs w:val="0"/>
                <w:color w:val="auto"/>
                <w:highlight w:val="none"/>
              </w:rPr>
            </w:pPr>
          </w:p>
        </w:tc>
        <w:tc>
          <w:tcPr>
            <w:tcW w:w="1277" w:type="dxa"/>
            <w:vAlign w:val="center"/>
          </w:tcPr>
          <w:p w14:paraId="3178D2DA">
            <w:pPr>
              <w:pStyle w:val="47"/>
              <w:jc w:val="center"/>
              <w:rPr>
                <w:i w:val="0"/>
                <w:iCs w:val="0"/>
                <w:color w:val="auto"/>
                <w:highlight w:val="none"/>
              </w:rPr>
            </w:pPr>
          </w:p>
        </w:tc>
        <w:tc>
          <w:tcPr>
            <w:tcW w:w="816" w:type="dxa"/>
            <w:vAlign w:val="center"/>
          </w:tcPr>
          <w:p w14:paraId="6E00B346">
            <w:pPr>
              <w:pStyle w:val="47"/>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i w:val="0"/>
                <w:iCs w:val="0"/>
                <w:color w:val="auto"/>
                <w:highlight w:val="none"/>
              </w:rPr>
            </w:pPr>
            <w:bookmarkStart w:id="729" w:name="_Toc100090788"/>
            <w:bookmarkStart w:id="730" w:name="_Toc99533296"/>
            <w:r>
              <w:rPr>
                <w:rFonts w:hint="eastAsia"/>
                <w:i w:val="0"/>
                <w:iCs w:val="0"/>
                <w:color w:val="auto"/>
                <w:highlight w:val="none"/>
              </w:rPr>
              <w:t>5</w:t>
            </w:r>
            <w:bookmarkEnd w:id="729"/>
            <w:bookmarkEnd w:id="730"/>
          </w:p>
        </w:tc>
        <w:tc>
          <w:tcPr>
            <w:tcW w:w="1143" w:type="dxa"/>
            <w:vAlign w:val="center"/>
          </w:tcPr>
          <w:p w14:paraId="5B7E7829">
            <w:pPr>
              <w:pStyle w:val="47"/>
              <w:jc w:val="center"/>
              <w:rPr>
                <w:i w:val="0"/>
                <w:iCs w:val="0"/>
                <w:color w:val="auto"/>
                <w:highlight w:val="none"/>
              </w:rPr>
            </w:pPr>
          </w:p>
        </w:tc>
        <w:tc>
          <w:tcPr>
            <w:tcW w:w="1334" w:type="dxa"/>
            <w:tcBorders>
              <w:right w:val="single" w:color="auto" w:sz="4" w:space="0"/>
            </w:tcBorders>
            <w:vAlign w:val="center"/>
          </w:tcPr>
          <w:p w14:paraId="64924D06">
            <w:pPr>
              <w:pStyle w:val="47"/>
              <w:jc w:val="center"/>
              <w:rPr>
                <w:i w:val="0"/>
                <w:iCs w:val="0"/>
                <w:color w:val="auto"/>
                <w:highlight w:val="none"/>
              </w:rPr>
            </w:pPr>
          </w:p>
        </w:tc>
        <w:tc>
          <w:tcPr>
            <w:tcW w:w="1188" w:type="dxa"/>
            <w:tcBorders>
              <w:left w:val="single" w:color="auto" w:sz="4" w:space="0"/>
            </w:tcBorders>
            <w:vAlign w:val="center"/>
          </w:tcPr>
          <w:p w14:paraId="732FB5A2">
            <w:pPr>
              <w:pStyle w:val="47"/>
              <w:jc w:val="center"/>
              <w:rPr>
                <w:i w:val="0"/>
                <w:iCs w:val="0"/>
                <w:color w:val="auto"/>
                <w:highlight w:val="none"/>
              </w:rPr>
            </w:pPr>
          </w:p>
        </w:tc>
        <w:tc>
          <w:tcPr>
            <w:tcW w:w="816" w:type="dxa"/>
            <w:tcBorders>
              <w:left w:val="single" w:color="auto" w:sz="4" w:space="0"/>
            </w:tcBorders>
            <w:vAlign w:val="center"/>
          </w:tcPr>
          <w:p w14:paraId="1836A496">
            <w:pPr>
              <w:pStyle w:val="47"/>
              <w:jc w:val="center"/>
              <w:rPr>
                <w:i w:val="0"/>
                <w:iCs w:val="0"/>
                <w:color w:val="auto"/>
                <w:highlight w:val="none"/>
              </w:rPr>
            </w:pPr>
          </w:p>
        </w:tc>
        <w:tc>
          <w:tcPr>
            <w:tcW w:w="1815" w:type="dxa"/>
            <w:vAlign w:val="center"/>
          </w:tcPr>
          <w:p w14:paraId="1CA75C62">
            <w:pPr>
              <w:pStyle w:val="47"/>
              <w:jc w:val="center"/>
              <w:rPr>
                <w:i w:val="0"/>
                <w:iCs w:val="0"/>
                <w:color w:val="auto"/>
                <w:highlight w:val="none"/>
              </w:rPr>
            </w:pPr>
          </w:p>
        </w:tc>
        <w:tc>
          <w:tcPr>
            <w:tcW w:w="1277" w:type="dxa"/>
            <w:vAlign w:val="center"/>
          </w:tcPr>
          <w:p w14:paraId="1E804439">
            <w:pPr>
              <w:pStyle w:val="47"/>
              <w:jc w:val="center"/>
              <w:rPr>
                <w:i w:val="0"/>
                <w:iCs w:val="0"/>
                <w:color w:val="auto"/>
                <w:highlight w:val="none"/>
              </w:rPr>
            </w:pPr>
          </w:p>
        </w:tc>
        <w:tc>
          <w:tcPr>
            <w:tcW w:w="816" w:type="dxa"/>
            <w:vAlign w:val="center"/>
          </w:tcPr>
          <w:p w14:paraId="4C68F796">
            <w:pPr>
              <w:pStyle w:val="47"/>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i w:val="0"/>
                <w:iCs w:val="0"/>
                <w:color w:val="auto"/>
                <w:highlight w:val="none"/>
              </w:rPr>
            </w:pPr>
            <w:bookmarkStart w:id="731" w:name="_Toc99533297"/>
            <w:bookmarkStart w:id="732" w:name="_Toc100090789"/>
            <w:r>
              <w:rPr>
                <w:rFonts w:hint="eastAsia"/>
                <w:i w:val="0"/>
                <w:iCs w:val="0"/>
                <w:color w:val="auto"/>
                <w:highlight w:val="none"/>
              </w:rPr>
              <w:t>6</w:t>
            </w:r>
            <w:bookmarkEnd w:id="731"/>
            <w:bookmarkEnd w:id="732"/>
          </w:p>
        </w:tc>
        <w:tc>
          <w:tcPr>
            <w:tcW w:w="1143" w:type="dxa"/>
            <w:vAlign w:val="center"/>
          </w:tcPr>
          <w:p w14:paraId="1DC128CC">
            <w:pPr>
              <w:pStyle w:val="47"/>
              <w:jc w:val="center"/>
              <w:rPr>
                <w:i w:val="0"/>
                <w:iCs w:val="0"/>
                <w:color w:val="auto"/>
                <w:highlight w:val="none"/>
              </w:rPr>
            </w:pPr>
          </w:p>
        </w:tc>
        <w:tc>
          <w:tcPr>
            <w:tcW w:w="1334" w:type="dxa"/>
            <w:tcBorders>
              <w:right w:val="single" w:color="auto" w:sz="4" w:space="0"/>
            </w:tcBorders>
            <w:vAlign w:val="center"/>
          </w:tcPr>
          <w:p w14:paraId="27634594">
            <w:pPr>
              <w:pStyle w:val="47"/>
              <w:jc w:val="center"/>
              <w:rPr>
                <w:i w:val="0"/>
                <w:iCs w:val="0"/>
                <w:color w:val="auto"/>
                <w:highlight w:val="none"/>
              </w:rPr>
            </w:pPr>
          </w:p>
        </w:tc>
        <w:tc>
          <w:tcPr>
            <w:tcW w:w="1188" w:type="dxa"/>
            <w:tcBorders>
              <w:left w:val="single" w:color="auto" w:sz="4" w:space="0"/>
            </w:tcBorders>
            <w:vAlign w:val="center"/>
          </w:tcPr>
          <w:p w14:paraId="3F600965">
            <w:pPr>
              <w:pStyle w:val="47"/>
              <w:jc w:val="center"/>
              <w:rPr>
                <w:i w:val="0"/>
                <w:iCs w:val="0"/>
                <w:color w:val="auto"/>
                <w:highlight w:val="none"/>
              </w:rPr>
            </w:pPr>
          </w:p>
        </w:tc>
        <w:tc>
          <w:tcPr>
            <w:tcW w:w="816" w:type="dxa"/>
            <w:tcBorders>
              <w:left w:val="single" w:color="auto" w:sz="4" w:space="0"/>
            </w:tcBorders>
            <w:vAlign w:val="center"/>
          </w:tcPr>
          <w:p w14:paraId="73FF140B">
            <w:pPr>
              <w:pStyle w:val="47"/>
              <w:jc w:val="center"/>
              <w:rPr>
                <w:i w:val="0"/>
                <w:iCs w:val="0"/>
                <w:color w:val="auto"/>
                <w:highlight w:val="none"/>
              </w:rPr>
            </w:pPr>
          </w:p>
        </w:tc>
        <w:tc>
          <w:tcPr>
            <w:tcW w:w="1815" w:type="dxa"/>
            <w:vAlign w:val="center"/>
          </w:tcPr>
          <w:p w14:paraId="302B578C">
            <w:pPr>
              <w:pStyle w:val="47"/>
              <w:jc w:val="center"/>
              <w:rPr>
                <w:i w:val="0"/>
                <w:iCs w:val="0"/>
                <w:color w:val="auto"/>
                <w:highlight w:val="none"/>
              </w:rPr>
            </w:pPr>
          </w:p>
        </w:tc>
        <w:tc>
          <w:tcPr>
            <w:tcW w:w="1277" w:type="dxa"/>
            <w:vAlign w:val="center"/>
          </w:tcPr>
          <w:p w14:paraId="7E2F7D57">
            <w:pPr>
              <w:pStyle w:val="47"/>
              <w:jc w:val="center"/>
              <w:rPr>
                <w:i w:val="0"/>
                <w:iCs w:val="0"/>
                <w:color w:val="auto"/>
                <w:highlight w:val="none"/>
              </w:rPr>
            </w:pPr>
          </w:p>
        </w:tc>
        <w:tc>
          <w:tcPr>
            <w:tcW w:w="816" w:type="dxa"/>
            <w:vAlign w:val="center"/>
          </w:tcPr>
          <w:p w14:paraId="5B9CE425">
            <w:pPr>
              <w:pStyle w:val="47"/>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i w:val="0"/>
                <w:iCs w:val="0"/>
                <w:color w:val="auto"/>
                <w:highlight w:val="none"/>
              </w:rPr>
            </w:pPr>
            <w:bookmarkStart w:id="733" w:name="_Toc100090790"/>
            <w:bookmarkStart w:id="734" w:name="_Toc99533298"/>
            <w:r>
              <w:rPr>
                <w:rFonts w:hint="eastAsia"/>
                <w:i w:val="0"/>
                <w:iCs w:val="0"/>
                <w:color w:val="auto"/>
                <w:highlight w:val="none"/>
              </w:rPr>
              <w:t>7</w:t>
            </w:r>
            <w:bookmarkEnd w:id="733"/>
            <w:bookmarkEnd w:id="734"/>
          </w:p>
        </w:tc>
        <w:tc>
          <w:tcPr>
            <w:tcW w:w="1143" w:type="dxa"/>
            <w:vAlign w:val="center"/>
          </w:tcPr>
          <w:p w14:paraId="2E2305CD">
            <w:pPr>
              <w:pStyle w:val="47"/>
              <w:jc w:val="center"/>
              <w:rPr>
                <w:i w:val="0"/>
                <w:iCs w:val="0"/>
                <w:color w:val="auto"/>
                <w:highlight w:val="none"/>
              </w:rPr>
            </w:pPr>
          </w:p>
        </w:tc>
        <w:tc>
          <w:tcPr>
            <w:tcW w:w="1334" w:type="dxa"/>
            <w:tcBorders>
              <w:right w:val="single" w:color="auto" w:sz="4" w:space="0"/>
            </w:tcBorders>
            <w:vAlign w:val="center"/>
          </w:tcPr>
          <w:p w14:paraId="12C4C629">
            <w:pPr>
              <w:pStyle w:val="47"/>
              <w:jc w:val="center"/>
              <w:rPr>
                <w:i w:val="0"/>
                <w:iCs w:val="0"/>
                <w:color w:val="auto"/>
                <w:highlight w:val="none"/>
              </w:rPr>
            </w:pPr>
          </w:p>
        </w:tc>
        <w:tc>
          <w:tcPr>
            <w:tcW w:w="1188" w:type="dxa"/>
            <w:tcBorders>
              <w:left w:val="single" w:color="auto" w:sz="4" w:space="0"/>
            </w:tcBorders>
            <w:vAlign w:val="center"/>
          </w:tcPr>
          <w:p w14:paraId="12836729">
            <w:pPr>
              <w:pStyle w:val="47"/>
              <w:jc w:val="center"/>
              <w:rPr>
                <w:i w:val="0"/>
                <w:iCs w:val="0"/>
                <w:color w:val="auto"/>
                <w:highlight w:val="none"/>
              </w:rPr>
            </w:pPr>
          </w:p>
        </w:tc>
        <w:tc>
          <w:tcPr>
            <w:tcW w:w="816" w:type="dxa"/>
            <w:tcBorders>
              <w:left w:val="single" w:color="auto" w:sz="4" w:space="0"/>
            </w:tcBorders>
            <w:vAlign w:val="center"/>
          </w:tcPr>
          <w:p w14:paraId="3A761A55">
            <w:pPr>
              <w:pStyle w:val="47"/>
              <w:jc w:val="center"/>
              <w:rPr>
                <w:i w:val="0"/>
                <w:iCs w:val="0"/>
                <w:color w:val="auto"/>
                <w:highlight w:val="none"/>
              </w:rPr>
            </w:pPr>
          </w:p>
        </w:tc>
        <w:tc>
          <w:tcPr>
            <w:tcW w:w="1815" w:type="dxa"/>
            <w:vAlign w:val="center"/>
          </w:tcPr>
          <w:p w14:paraId="05A8DC40">
            <w:pPr>
              <w:pStyle w:val="47"/>
              <w:jc w:val="center"/>
              <w:rPr>
                <w:i w:val="0"/>
                <w:iCs w:val="0"/>
                <w:color w:val="auto"/>
                <w:highlight w:val="none"/>
              </w:rPr>
            </w:pPr>
          </w:p>
        </w:tc>
        <w:tc>
          <w:tcPr>
            <w:tcW w:w="1277" w:type="dxa"/>
            <w:vAlign w:val="center"/>
          </w:tcPr>
          <w:p w14:paraId="3829CE10">
            <w:pPr>
              <w:pStyle w:val="47"/>
              <w:jc w:val="center"/>
              <w:rPr>
                <w:i w:val="0"/>
                <w:iCs w:val="0"/>
                <w:color w:val="auto"/>
                <w:highlight w:val="none"/>
              </w:rPr>
            </w:pPr>
          </w:p>
        </w:tc>
        <w:tc>
          <w:tcPr>
            <w:tcW w:w="816" w:type="dxa"/>
            <w:vAlign w:val="center"/>
          </w:tcPr>
          <w:p w14:paraId="1DC19827">
            <w:pPr>
              <w:pStyle w:val="47"/>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i w:val="0"/>
                <w:iCs w:val="0"/>
                <w:color w:val="auto"/>
                <w:highlight w:val="none"/>
              </w:rPr>
            </w:pPr>
            <w:bookmarkStart w:id="735" w:name="_Toc99533299"/>
            <w:bookmarkStart w:id="736" w:name="_Toc100090791"/>
            <w:r>
              <w:rPr>
                <w:rFonts w:hint="eastAsia"/>
                <w:i w:val="0"/>
                <w:iCs w:val="0"/>
                <w:color w:val="auto"/>
                <w:highlight w:val="none"/>
              </w:rPr>
              <w:t>8</w:t>
            </w:r>
            <w:bookmarkEnd w:id="735"/>
            <w:bookmarkEnd w:id="736"/>
          </w:p>
        </w:tc>
        <w:tc>
          <w:tcPr>
            <w:tcW w:w="1143" w:type="dxa"/>
            <w:vAlign w:val="center"/>
          </w:tcPr>
          <w:p w14:paraId="1DDFABCF">
            <w:pPr>
              <w:pStyle w:val="47"/>
              <w:jc w:val="center"/>
              <w:rPr>
                <w:i w:val="0"/>
                <w:iCs w:val="0"/>
                <w:color w:val="auto"/>
                <w:highlight w:val="none"/>
              </w:rPr>
            </w:pPr>
          </w:p>
        </w:tc>
        <w:tc>
          <w:tcPr>
            <w:tcW w:w="1334" w:type="dxa"/>
            <w:tcBorders>
              <w:right w:val="single" w:color="auto" w:sz="4" w:space="0"/>
            </w:tcBorders>
            <w:vAlign w:val="center"/>
          </w:tcPr>
          <w:p w14:paraId="5E162308">
            <w:pPr>
              <w:pStyle w:val="47"/>
              <w:jc w:val="center"/>
              <w:rPr>
                <w:i w:val="0"/>
                <w:iCs w:val="0"/>
                <w:color w:val="auto"/>
                <w:highlight w:val="none"/>
              </w:rPr>
            </w:pPr>
          </w:p>
        </w:tc>
        <w:tc>
          <w:tcPr>
            <w:tcW w:w="1188" w:type="dxa"/>
            <w:tcBorders>
              <w:left w:val="single" w:color="auto" w:sz="4" w:space="0"/>
            </w:tcBorders>
            <w:vAlign w:val="center"/>
          </w:tcPr>
          <w:p w14:paraId="20322021">
            <w:pPr>
              <w:pStyle w:val="47"/>
              <w:jc w:val="center"/>
              <w:rPr>
                <w:i w:val="0"/>
                <w:iCs w:val="0"/>
                <w:color w:val="auto"/>
                <w:highlight w:val="none"/>
              </w:rPr>
            </w:pPr>
          </w:p>
        </w:tc>
        <w:tc>
          <w:tcPr>
            <w:tcW w:w="816" w:type="dxa"/>
            <w:tcBorders>
              <w:left w:val="single" w:color="auto" w:sz="4" w:space="0"/>
            </w:tcBorders>
            <w:vAlign w:val="center"/>
          </w:tcPr>
          <w:p w14:paraId="72151533">
            <w:pPr>
              <w:pStyle w:val="47"/>
              <w:jc w:val="center"/>
              <w:rPr>
                <w:i w:val="0"/>
                <w:iCs w:val="0"/>
                <w:color w:val="auto"/>
                <w:highlight w:val="none"/>
              </w:rPr>
            </w:pPr>
          </w:p>
        </w:tc>
        <w:tc>
          <w:tcPr>
            <w:tcW w:w="1815" w:type="dxa"/>
            <w:vAlign w:val="center"/>
          </w:tcPr>
          <w:p w14:paraId="600DF6C8">
            <w:pPr>
              <w:pStyle w:val="47"/>
              <w:jc w:val="center"/>
              <w:rPr>
                <w:i w:val="0"/>
                <w:iCs w:val="0"/>
                <w:color w:val="auto"/>
                <w:highlight w:val="none"/>
              </w:rPr>
            </w:pPr>
          </w:p>
        </w:tc>
        <w:tc>
          <w:tcPr>
            <w:tcW w:w="1277" w:type="dxa"/>
            <w:vAlign w:val="center"/>
          </w:tcPr>
          <w:p w14:paraId="7A7B9A82">
            <w:pPr>
              <w:pStyle w:val="47"/>
              <w:jc w:val="center"/>
              <w:rPr>
                <w:i w:val="0"/>
                <w:iCs w:val="0"/>
                <w:color w:val="auto"/>
                <w:highlight w:val="none"/>
              </w:rPr>
            </w:pPr>
          </w:p>
        </w:tc>
        <w:tc>
          <w:tcPr>
            <w:tcW w:w="816" w:type="dxa"/>
            <w:vAlign w:val="center"/>
          </w:tcPr>
          <w:p w14:paraId="6C2614C0">
            <w:pPr>
              <w:pStyle w:val="47"/>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i w:val="0"/>
                <w:iCs w:val="0"/>
                <w:color w:val="auto"/>
                <w:highlight w:val="none"/>
              </w:rPr>
            </w:pPr>
            <w:bookmarkStart w:id="737" w:name="_Toc99533300"/>
            <w:bookmarkStart w:id="738" w:name="_Toc100090792"/>
            <w:r>
              <w:rPr>
                <w:rFonts w:hint="eastAsia"/>
                <w:i w:val="0"/>
                <w:iCs w:val="0"/>
                <w:color w:val="auto"/>
                <w:highlight w:val="none"/>
              </w:rPr>
              <w:t>9</w:t>
            </w:r>
            <w:bookmarkEnd w:id="737"/>
            <w:bookmarkEnd w:id="738"/>
          </w:p>
        </w:tc>
        <w:tc>
          <w:tcPr>
            <w:tcW w:w="1143" w:type="dxa"/>
            <w:vAlign w:val="center"/>
          </w:tcPr>
          <w:p w14:paraId="337DC3D2">
            <w:pPr>
              <w:pStyle w:val="47"/>
              <w:jc w:val="center"/>
              <w:rPr>
                <w:i w:val="0"/>
                <w:iCs w:val="0"/>
                <w:color w:val="auto"/>
                <w:highlight w:val="none"/>
              </w:rPr>
            </w:pPr>
          </w:p>
        </w:tc>
        <w:tc>
          <w:tcPr>
            <w:tcW w:w="1334" w:type="dxa"/>
            <w:tcBorders>
              <w:right w:val="single" w:color="auto" w:sz="4" w:space="0"/>
            </w:tcBorders>
            <w:vAlign w:val="center"/>
          </w:tcPr>
          <w:p w14:paraId="7D52DCED">
            <w:pPr>
              <w:pStyle w:val="47"/>
              <w:jc w:val="center"/>
              <w:rPr>
                <w:i w:val="0"/>
                <w:iCs w:val="0"/>
                <w:color w:val="auto"/>
                <w:highlight w:val="none"/>
              </w:rPr>
            </w:pPr>
          </w:p>
        </w:tc>
        <w:tc>
          <w:tcPr>
            <w:tcW w:w="1188" w:type="dxa"/>
            <w:tcBorders>
              <w:left w:val="single" w:color="auto" w:sz="4" w:space="0"/>
            </w:tcBorders>
            <w:vAlign w:val="center"/>
          </w:tcPr>
          <w:p w14:paraId="51CA2603">
            <w:pPr>
              <w:pStyle w:val="47"/>
              <w:jc w:val="center"/>
              <w:rPr>
                <w:i w:val="0"/>
                <w:iCs w:val="0"/>
                <w:color w:val="auto"/>
                <w:highlight w:val="none"/>
              </w:rPr>
            </w:pPr>
          </w:p>
        </w:tc>
        <w:tc>
          <w:tcPr>
            <w:tcW w:w="816" w:type="dxa"/>
            <w:tcBorders>
              <w:left w:val="single" w:color="auto" w:sz="4" w:space="0"/>
            </w:tcBorders>
            <w:vAlign w:val="center"/>
          </w:tcPr>
          <w:p w14:paraId="7F7E67FB">
            <w:pPr>
              <w:pStyle w:val="47"/>
              <w:jc w:val="center"/>
              <w:rPr>
                <w:i w:val="0"/>
                <w:iCs w:val="0"/>
                <w:color w:val="auto"/>
                <w:highlight w:val="none"/>
              </w:rPr>
            </w:pPr>
          </w:p>
        </w:tc>
        <w:tc>
          <w:tcPr>
            <w:tcW w:w="1815" w:type="dxa"/>
            <w:vAlign w:val="center"/>
          </w:tcPr>
          <w:p w14:paraId="2B805583">
            <w:pPr>
              <w:pStyle w:val="47"/>
              <w:jc w:val="center"/>
              <w:rPr>
                <w:i w:val="0"/>
                <w:iCs w:val="0"/>
                <w:color w:val="auto"/>
                <w:highlight w:val="none"/>
              </w:rPr>
            </w:pPr>
          </w:p>
        </w:tc>
        <w:tc>
          <w:tcPr>
            <w:tcW w:w="1277" w:type="dxa"/>
            <w:vAlign w:val="center"/>
          </w:tcPr>
          <w:p w14:paraId="18D19DE8">
            <w:pPr>
              <w:pStyle w:val="47"/>
              <w:jc w:val="center"/>
              <w:rPr>
                <w:i w:val="0"/>
                <w:iCs w:val="0"/>
                <w:color w:val="auto"/>
                <w:highlight w:val="none"/>
              </w:rPr>
            </w:pPr>
          </w:p>
        </w:tc>
        <w:tc>
          <w:tcPr>
            <w:tcW w:w="816" w:type="dxa"/>
            <w:vAlign w:val="center"/>
          </w:tcPr>
          <w:p w14:paraId="225125A1">
            <w:pPr>
              <w:pStyle w:val="47"/>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i w:val="0"/>
                <w:iCs w:val="0"/>
                <w:color w:val="auto"/>
                <w:highlight w:val="none"/>
              </w:rPr>
            </w:pPr>
            <w:bookmarkStart w:id="739" w:name="_Toc100090793"/>
            <w:bookmarkStart w:id="740" w:name="_Toc99533301"/>
            <w:r>
              <w:rPr>
                <w:rFonts w:hint="eastAsia"/>
                <w:i w:val="0"/>
                <w:iCs w:val="0"/>
                <w:color w:val="auto"/>
                <w:highlight w:val="none"/>
              </w:rPr>
              <w:t>10</w:t>
            </w:r>
            <w:bookmarkEnd w:id="739"/>
            <w:bookmarkEnd w:id="740"/>
          </w:p>
        </w:tc>
        <w:tc>
          <w:tcPr>
            <w:tcW w:w="1143" w:type="dxa"/>
            <w:vAlign w:val="center"/>
          </w:tcPr>
          <w:p w14:paraId="55B22C5B">
            <w:pPr>
              <w:pStyle w:val="47"/>
              <w:jc w:val="center"/>
              <w:rPr>
                <w:i w:val="0"/>
                <w:iCs w:val="0"/>
                <w:color w:val="auto"/>
                <w:highlight w:val="none"/>
              </w:rPr>
            </w:pPr>
          </w:p>
        </w:tc>
        <w:tc>
          <w:tcPr>
            <w:tcW w:w="1334" w:type="dxa"/>
            <w:tcBorders>
              <w:right w:val="single" w:color="auto" w:sz="4" w:space="0"/>
            </w:tcBorders>
            <w:vAlign w:val="center"/>
          </w:tcPr>
          <w:p w14:paraId="0735224E">
            <w:pPr>
              <w:pStyle w:val="47"/>
              <w:jc w:val="center"/>
              <w:rPr>
                <w:i w:val="0"/>
                <w:iCs w:val="0"/>
                <w:color w:val="auto"/>
                <w:highlight w:val="none"/>
              </w:rPr>
            </w:pPr>
          </w:p>
        </w:tc>
        <w:tc>
          <w:tcPr>
            <w:tcW w:w="1188" w:type="dxa"/>
            <w:tcBorders>
              <w:left w:val="single" w:color="auto" w:sz="4" w:space="0"/>
            </w:tcBorders>
            <w:vAlign w:val="center"/>
          </w:tcPr>
          <w:p w14:paraId="4FBEB9BB">
            <w:pPr>
              <w:pStyle w:val="47"/>
              <w:jc w:val="center"/>
              <w:rPr>
                <w:i w:val="0"/>
                <w:iCs w:val="0"/>
                <w:color w:val="auto"/>
                <w:highlight w:val="none"/>
              </w:rPr>
            </w:pPr>
          </w:p>
        </w:tc>
        <w:tc>
          <w:tcPr>
            <w:tcW w:w="816" w:type="dxa"/>
            <w:tcBorders>
              <w:left w:val="single" w:color="auto" w:sz="4" w:space="0"/>
            </w:tcBorders>
            <w:vAlign w:val="center"/>
          </w:tcPr>
          <w:p w14:paraId="6718986B">
            <w:pPr>
              <w:pStyle w:val="47"/>
              <w:jc w:val="center"/>
              <w:rPr>
                <w:i w:val="0"/>
                <w:iCs w:val="0"/>
                <w:color w:val="auto"/>
                <w:highlight w:val="none"/>
              </w:rPr>
            </w:pPr>
          </w:p>
        </w:tc>
        <w:tc>
          <w:tcPr>
            <w:tcW w:w="1815" w:type="dxa"/>
            <w:vAlign w:val="center"/>
          </w:tcPr>
          <w:p w14:paraId="0C780C4A">
            <w:pPr>
              <w:pStyle w:val="47"/>
              <w:jc w:val="center"/>
              <w:rPr>
                <w:i w:val="0"/>
                <w:iCs w:val="0"/>
                <w:color w:val="auto"/>
                <w:highlight w:val="none"/>
              </w:rPr>
            </w:pPr>
          </w:p>
        </w:tc>
        <w:tc>
          <w:tcPr>
            <w:tcW w:w="1277" w:type="dxa"/>
            <w:vAlign w:val="center"/>
          </w:tcPr>
          <w:p w14:paraId="4C8B6CD0">
            <w:pPr>
              <w:pStyle w:val="47"/>
              <w:jc w:val="center"/>
              <w:rPr>
                <w:i w:val="0"/>
                <w:iCs w:val="0"/>
                <w:color w:val="auto"/>
                <w:highlight w:val="none"/>
              </w:rPr>
            </w:pPr>
          </w:p>
        </w:tc>
        <w:tc>
          <w:tcPr>
            <w:tcW w:w="816" w:type="dxa"/>
            <w:vAlign w:val="center"/>
          </w:tcPr>
          <w:p w14:paraId="212F0480">
            <w:pPr>
              <w:pStyle w:val="47"/>
              <w:jc w:val="center"/>
              <w:rPr>
                <w:i w:val="0"/>
                <w:iCs w:val="0"/>
                <w:color w:val="auto"/>
                <w:highlight w:val="none"/>
              </w:rPr>
            </w:pPr>
          </w:p>
        </w:tc>
      </w:tr>
    </w:tbl>
    <w:p w14:paraId="4BE49045">
      <w:pPr>
        <w:rPr>
          <w:i w:val="0"/>
          <w:iCs w:val="0"/>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41" w:name="_Toc163492934"/>
      <w:bookmarkStart w:id="742" w:name="_Toc5696"/>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、技术响应偏离表</w:t>
      </w:r>
      <w:bookmarkEnd w:id="741"/>
      <w:bookmarkEnd w:id="742"/>
    </w:p>
    <w:p w14:paraId="28A8231E">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10CF1BE4">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w:t>
      </w:r>
      <w:r>
        <w:rPr>
          <w:rFonts w:hint="eastAsia" w:cs="仿宋_GB2312"/>
          <w:i w:val="0"/>
          <w:iCs w:val="0"/>
          <w:color w:val="auto"/>
          <w:szCs w:val="24"/>
          <w:highlight w:val="none"/>
          <w:lang w:val="zh-CN"/>
        </w:rPr>
        <w:t>包号</w:t>
      </w:r>
      <w:r>
        <w:rPr>
          <w:rFonts w:hint="eastAsia" w:cs="仿宋_GB2312"/>
          <w:i w:val="0"/>
          <w:iCs w:val="0"/>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7"/>
              <w:jc w:val="center"/>
              <w:rPr>
                <w:i w:val="0"/>
                <w:iCs w:val="0"/>
                <w:color w:val="auto"/>
                <w:highlight w:val="none"/>
              </w:rPr>
            </w:pPr>
            <w:r>
              <w:rPr>
                <w:rFonts w:hint="eastAsia"/>
                <w:i w:val="0"/>
                <w:iCs w:val="0"/>
                <w:color w:val="auto"/>
                <w:highlight w:val="none"/>
              </w:rPr>
              <w:t>序号</w:t>
            </w:r>
          </w:p>
        </w:tc>
        <w:tc>
          <w:tcPr>
            <w:tcW w:w="1277" w:type="pct"/>
            <w:vAlign w:val="center"/>
          </w:tcPr>
          <w:p w14:paraId="0C5608DB">
            <w:pPr>
              <w:pStyle w:val="47"/>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0B845CF1">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F79E073">
            <w:pPr>
              <w:pStyle w:val="47"/>
              <w:jc w:val="center"/>
              <w:rPr>
                <w:i w:val="0"/>
                <w:iCs w:val="0"/>
                <w:color w:val="auto"/>
                <w:highlight w:val="none"/>
              </w:rPr>
            </w:pPr>
            <w:r>
              <w:rPr>
                <w:rFonts w:hint="eastAsia"/>
                <w:i w:val="0"/>
                <w:iCs w:val="0"/>
                <w:color w:val="auto"/>
                <w:highlight w:val="none"/>
              </w:rPr>
              <w:t>对应简述</w:t>
            </w:r>
          </w:p>
        </w:tc>
        <w:tc>
          <w:tcPr>
            <w:tcW w:w="1200" w:type="pct"/>
            <w:vAlign w:val="center"/>
          </w:tcPr>
          <w:p w14:paraId="4AB4E9C3">
            <w:pPr>
              <w:pStyle w:val="47"/>
              <w:jc w:val="center"/>
              <w:rPr>
                <w:i w:val="0"/>
                <w:iCs w:val="0"/>
                <w:color w:val="auto"/>
                <w:highlight w:val="none"/>
              </w:rPr>
            </w:pPr>
            <w:r>
              <w:rPr>
                <w:rFonts w:hint="eastAsia"/>
                <w:i w:val="0"/>
                <w:iCs w:val="0"/>
                <w:color w:val="auto"/>
                <w:highlight w:val="none"/>
              </w:rPr>
              <w:t>响应情况</w:t>
            </w:r>
          </w:p>
        </w:tc>
        <w:tc>
          <w:tcPr>
            <w:tcW w:w="1200" w:type="pct"/>
            <w:vAlign w:val="center"/>
          </w:tcPr>
          <w:p w14:paraId="09D725B9">
            <w:pPr>
              <w:pStyle w:val="47"/>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7"/>
              <w:jc w:val="center"/>
              <w:rPr>
                <w:i w:val="0"/>
                <w:iCs w:val="0"/>
                <w:color w:val="auto"/>
                <w:highlight w:val="none"/>
              </w:rPr>
            </w:pPr>
            <w:r>
              <w:rPr>
                <w:rFonts w:hint="eastAsia"/>
                <w:i w:val="0"/>
                <w:iCs w:val="0"/>
                <w:color w:val="auto"/>
                <w:highlight w:val="none"/>
              </w:rPr>
              <w:t>1</w:t>
            </w:r>
          </w:p>
        </w:tc>
        <w:tc>
          <w:tcPr>
            <w:tcW w:w="1277" w:type="pct"/>
            <w:vAlign w:val="center"/>
          </w:tcPr>
          <w:p w14:paraId="69B288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0E04AD72">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85AEA1C">
            <w:pPr>
              <w:pStyle w:val="47"/>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02D97874">
            <w:pPr>
              <w:pStyle w:val="47"/>
              <w:jc w:val="center"/>
              <w:rPr>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7"/>
              <w:jc w:val="center"/>
              <w:rPr>
                <w:i w:val="0"/>
                <w:iCs w:val="0"/>
                <w:color w:val="auto"/>
                <w:highlight w:val="none"/>
              </w:rPr>
            </w:pPr>
            <w:r>
              <w:rPr>
                <w:rFonts w:hint="eastAsia"/>
                <w:i w:val="0"/>
                <w:iCs w:val="0"/>
                <w:color w:val="auto"/>
                <w:highlight w:val="none"/>
              </w:rPr>
              <w:t>2</w:t>
            </w:r>
          </w:p>
        </w:tc>
        <w:tc>
          <w:tcPr>
            <w:tcW w:w="1277" w:type="pct"/>
            <w:vAlign w:val="center"/>
          </w:tcPr>
          <w:p w14:paraId="30E52A7F">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29A6C1E1">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D92E460">
            <w:pPr>
              <w:pStyle w:val="47"/>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63E16449">
            <w:pPr>
              <w:pStyle w:val="47"/>
              <w:jc w:val="center"/>
              <w:rPr>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7"/>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1277" w:type="pct"/>
            <w:shd w:val="clear" w:color="auto" w:fill="auto"/>
            <w:vAlign w:val="center"/>
          </w:tcPr>
          <w:p w14:paraId="6D1DD644">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913" w:type="pct"/>
            <w:shd w:val="clear" w:color="auto" w:fill="auto"/>
            <w:vAlign w:val="center"/>
          </w:tcPr>
          <w:p w14:paraId="2982168B">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1200" w:type="pct"/>
            <w:shd w:val="clear" w:color="auto" w:fill="auto"/>
            <w:vAlign w:val="center"/>
          </w:tcPr>
          <w:p w14:paraId="78EC7D09">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响应/正偏离/负偏离</w:t>
            </w:r>
          </w:p>
        </w:tc>
        <w:tc>
          <w:tcPr>
            <w:tcW w:w="1200" w:type="pct"/>
            <w:vAlign w:val="center"/>
          </w:tcPr>
          <w:p w14:paraId="46369488">
            <w:pPr>
              <w:pStyle w:val="47"/>
              <w:jc w:val="center"/>
              <w:rPr>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7" w:type="pct"/>
            <w:vAlign w:val="center"/>
          </w:tcPr>
          <w:p w14:paraId="43874C19">
            <w:pPr>
              <w:pStyle w:val="47"/>
              <w:jc w:val="center"/>
              <w:rPr>
                <w:i w:val="0"/>
                <w:iCs w:val="0"/>
                <w:color w:val="auto"/>
                <w:highlight w:val="none"/>
              </w:rPr>
            </w:pPr>
          </w:p>
        </w:tc>
        <w:tc>
          <w:tcPr>
            <w:tcW w:w="1277" w:type="pct"/>
            <w:vAlign w:val="center"/>
          </w:tcPr>
          <w:p w14:paraId="529041E2">
            <w:pPr>
              <w:pStyle w:val="47"/>
              <w:jc w:val="center"/>
              <w:rPr>
                <w:i w:val="0"/>
                <w:iCs w:val="0"/>
                <w:color w:val="auto"/>
                <w:highlight w:val="none"/>
              </w:rPr>
            </w:pPr>
          </w:p>
        </w:tc>
        <w:tc>
          <w:tcPr>
            <w:tcW w:w="913" w:type="pct"/>
            <w:vAlign w:val="center"/>
          </w:tcPr>
          <w:p w14:paraId="301E476D">
            <w:pPr>
              <w:pStyle w:val="47"/>
              <w:jc w:val="center"/>
              <w:rPr>
                <w:i w:val="0"/>
                <w:iCs w:val="0"/>
                <w:color w:val="auto"/>
                <w:highlight w:val="none"/>
              </w:rPr>
            </w:pPr>
          </w:p>
        </w:tc>
        <w:tc>
          <w:tcPr>
            <w:tcW w:w="1200" w:type="pct"/>
            <w:vAlign w:val="center"/>
          </w:tcPr>
          <w:p w14:paraId="06F8AED7">
            <w:pPr>
              <w:pStyle w:val="47"/>
              <w:jc w:val="center"/>
              <w:rPr>
                <w:i w:val="0"/>
                <w:iCs w:val="0"/>
                <w:color w:val="auto"/>
                <w:highlight w:val="none"/>
              </w:rPr>
            </w:pPr>
          </w:p>
        </w:tc>
        <w:tc>
          <w:tcPr>
            <w:tcW w:w="1200" w:type="pct"/>
            <w:vAlign w:val="center"/>
          </w:tcPr>
          <w:p w14:paraId="0CE9DF45">
            <w:pPr>
              <w:pStyle w:val="47"/>
              <w:jc w:val="center"/>
              <w:rPr>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7"/>
              <w:jc w:val="center"/>
              <w:rPr>
                <w:i w:val="0"/>
                <w:iCs w:val="0"/>
                <w:color w:val="auto"/>
                <w:highlight w:val="none"/>
              </w:rPr>
            </w:pPr>
          </w:p>
        </w:tc>
        <w:tc>
          <w:tcPr>
            <w:tcW w:w="1277" w:type="pct"/>
            <w:vAlign w:val="center"/>
          </w:tcPr>
          <w:p w14:paraId="77107295">
            <w:pPr>
              <w:pStyle w:val="47"/>
              <w:jc w:val="center"/>
              <w:rPr>
                <w:i w:val="0"/>
                <w:iCs w:val="0"/>
                <w:color w:val="auto"/>
                <w:highlight w:val="none"/>
              </w:rPr>
            </w:pPr>
          </w:p>
        </w:tc>
        <w:tc>
          <w:tcPr>
            <w:tcW w:w="913" w:type="pct"/>
            <w:vAlign w:val="center"/>
          </w:tcPr>
          <w:p w14:paraId="4D01D78E">
            <w:pPr>
              <w:pStyle w:val="47"/>
              <w:jc w:val="center"/>
              <w:rPr>
                <w:i w:val="0"/>
                <w:iCs w:val="0"/>
                <w:color w:val="auto"/>
                <w:highlight w:val="none"/>
              </w:rPr>
            </w:pPr>
          </w:p>
        </w:tc>
        <w:tc>
          <w:tcPr>
            <w:tcW w:w="1200" w:type="pct"/>
            <w:vAlign w:val="center"/>
          </w:tcPr>
          <w:p w14:paraId="6D546857">
            <w:pPr>
              <w:pStyle w:val="47"/>
              <w:jc w:val="center"/>
              <w:rPr>
                <w:i w:val="0"/>
                <w:iCs w:val="0"/>
                <w:color w:val="auto"/>
                <w:highlight w:val="none"/>
              </w:rPr>
            </w:pPr>
          </w:p>
        </w:tc>
        <w:tc>
          <w:tcPr>
            <w:tcW w:w="1200" w:type="pct"/>
            <w:vAlign w:val="center"/>
          </w:tcPr>
          <w:p w14:paraId="2E1B7D0B">
            <w:pPr>
              <w:pStyle w:val="47"/>
              <w:jc w:val="center"/>
              <w:rPr>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7"/>
              <w:jc w:val="center"/>
              <w:rPr>
                <w:i w:val="0"/>
                <w:iCs w:val="0"/>
                <w:color w:val="auto"/>
                <w:highlight w:val="none"/>
              </w:rPr>
            </w:pPr>
          </w:p>
        </w:tc>
        <w:tc>
          <w:tcPr>
            <w:tcW w:w="1277" w:type="pct"/>
            <w:vAlign w:val="center"/>
          </w:tcPr>
          <w:p w14:paraId="5C7E043B">
            <w:pPr>
              <w:pStyle w:val="47"/>
              <w:jc w:val="center"/>
              <w:rPr>
                <w:i w:val="0"/>
                <w:iCs w:val="0"/>
                <w:color w:val="auto"/>
                <w:highlight w:val="none"/>
              </w:rPr>
            </w:pPr>
          </w:p>
        </w:tc>
        <w:tc>
          <w:tcPr>
            <w:tcW w:w="913" w:type="pct"/>
            <w:vAlign w:val="center"/>
          </w:tcPr>
          <w:p w14:paraId="64166C7A">
            <w:pPr>
              <w:pStyle w:val="47"/>
              <w:jc w:val="center"/>
              <w:rPr>
                <w:i w:val="0"/>
                <w:iCs w:val="0"/>
                <w:color w:val="auto"/>
                <w:highlight w:val="none"/>
              </w:rPr>
            </w:pPr>
          </w:p>
        </w:tc>
        <w:tc>
          <w:tcPr>
            <w:tcW w:w="1200" w:type="pct"/>
            <w:vAlign w:val="center"/>
          </w:tcPr>
          <w:p w14:paraId="2817CCE5">
            <w:pPr>
              <w:pStyle w:val="47"/>
              <w:jc w:val="center"/>
              <w:rPr>
                <w:i w:val="0"/>
                <w:iCs w:val="0"/>
                <w:color w:val="auto"/>
                <w:highlight w:val="none"/>
              </w:rPr>
            </w:pPr>
          </w:p>
        </w:tc>
        <w:tc>
          <w:tcPr>
            <w:tcW w:w="1200" w:type="pct"/>
            <w:vAlign w:val="center"/>
          </w:tcPr>
          <w:p w14:paraId="184E3F96">
            <w:pPr>
              <w:pStyle w:val="47"/>
              <w:jc w:val="center"/>
              <w:rPr>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7"/>
              <w:jc w:val="center"/>
              <w:rPr>
                <w:i w:val="0"/>
                <w:iCs w:val="0"/>
                <w:color w:val="auto"/>
                <w:highlight w:val="none"/>
              </w:rPr>
            </w:pPr>
            <w:r>
              <w:rPr>
                <w:rFonts w:hint="eastAsia"/>
                <w:i w:val="0"/>
                <w:iCs w:val="0"/>
                <w:color w:val="auto"/>
                <w:highlight w:val="none"/>
              </w:rPr>
              <w:t>……</w:t>
            </w:r>
          </w:p>
        </w:tc>
        <w:tc>
          <w:tcPr>
            <w:tcW w:w="1277" w:type="pct"/>
            <w:vAlign w:val="center"/>
          </w:tcPr>
          <w:p w14:paraId="7D0AF02A">
            <w:pPr>
              <w:pStyle w:val="47"/>
              <w:jc w:val="center"/>
              <w:rPr>
                <w:i w:val="0"/>
                <w:iCs w:val="0"/>
                <w:color w:val="auto"/>
                <w:highlight w:val="none"/>
              </w:rPr>
            </w:pPr>
            <w:r>
              <w:rPr>
                <w:rFonts w:hint="eastAsia"/>
                <w:i w:val="0"/>
                <w:iCs w:val="0"/>
                <w:color w:val="auto"/>
                <w:highlight w:val="none"/>
              </w:rPr>
              <w:t>…………</w:t>
            </w:r>
          </w:p>
        </w:tc>
        <w:tc>
          <w:tcPr>
            <w:tcW w:w="913" w:type="pct"/>
            <w:vAlign w:val="center"/>
          </w:tcPr>
          <w:p w14:paraId="6EC8C4F3">
            <w:pPr>
              <w:pStyle w:val="47"/>
              <w:jc w:val="center"/>
              <w:rPr>
                <w:i w:val="0"/>
                <w:iCs w:val="0"/>
                <w:color w:val="auto"/>
                <w:highlight w:val="none"/>
              </w:rPr>
            </w:pPr>
            <w:r>
              <w:rPr>
                <w:rFonts w:hint="eastAsia"/>
                <w:i w:val="0"/>
                <w:iCs w:val="0"/>
                <w:color w:val="auto"/>
                <w:highlight w:val="none"/>
              </w:rPr>
              <w:t>………………</w:t>
            </w:r>
          </w:p>
        </w:tc>
        <w:tc>
          <w:tcPr>
            <w:tcW w:w="1200" w:type="pct"/>
            <w:vAlign w:val="center"/>
          </w:tcPr>
          <w:p w14:paraId="59EB3DF9">
            <w:pPr>
              <w:pStyle w:val="47"/>
              <w:jc w:val="center"/>
              <w:rPr>
                <w:i w:val="0"/>
                <w:iCs w:val="0"/>
                <w:color w:val="auto"/>
                <w:highlight w:val="none"/>
              </w:rPr>
            </w:pPr>
            <w:r>
              <w:rPr>
                <w:rFonts w:hint="eastAsia"/>
                <w:i w:val="0"/>
                <w:iCs w:val="0"/>
                <w:color w:val="auto"/>
                <w:highlight w:val="none"/>
              </w:rPr>
              <w:t>…………</w:t>
            </w:r>
          </w:p>
        </w:tc>
        <w:tc>
          <w:tcPr>
            <w:tcW w:w="1200" w:type="pct"/>
            <w:vAlign w:val="center"/>
          </w:tcPr>
          <w:p w14:paraId="1BF96619">
            <w:pPr>
              <w:pStyle w:val="47"/>
              <w:jc w:val="center"/>
              <w:rPr>
                <w:i w:val="0"/>
                <w:iCs w:val="0"/>
                <w:color w:val="auto"/>
                <w:highlight w:val="none"/>
              </w:rPr>
            </w:pPr>
          </w:p>
        </w:tc>
      </w:tr>
    </w:tbl>
    <w:p w14:paraId="7C3C980E">
      <w:pPr>
        <w:ind w:firstLine="480" w:firstLineChars="200"/>
        <w:rPr>
          <w:rFonts w:cs="仿宋_GB2312"/>
          <w:i w:val="0"/>
          <w:iCs w:val="0"/>
          <w:color w:val="auto"/>
          <w:szCs w:val="24"/>
          <w:highlight w:val="none"/>
        </w:rPr>
      </w:pPr>
    </w:p>
    <w:p w14:paraId="21BED63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4B913A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20290568">
      <w:pPr>
        <w:ind w:firstLine="420"/>
        <w:rPr>
          <w:rFonts w:hint="eastAsia" w:cs="仿宋_GB2312"/>
          <w:i w:val="0"/>
          <w:iCs w:val="0"/>
          <w:color w:val="auto"/>
          <w:szCs w:val="24"/>
          <w:highlight w:val="none"/>
          <w:lang w:val="en-US" w:eastAsia="zh-CN"/>
        </w:rPr>
      </w:pPr>
      <w:bookmarkStart w:id="743" w:name="_Toc163492935"/>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1B34CEFE">
      <w:pPr>
        <w:ind w:firstLine="420"/>
        <w:rPr>
          <w:rFonts w:cs="仿宋_GB2312"/>
          <w:i w:val="0"/>
          <w:iCs w:val="0"/>
          <w:color w:val="auto"/>
          <w:sz w:val="21"/>
          <w:szCs w:val="21"/>
          <w:highlight w:val="none"/>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0063359F">
      <w:pPr>
        <w:pStyle w:val="16"/>
        <w:spacing w:line="360" w:lineRule="auto"/>
        <w:jc w:val="center"/>
        <w:rPr>
          <w:rFonts w:hint="eastAsia" w:ascii="方正小标宋_GBK" w:hAnsi="方正小标宋_GBK" w:eastAsia="方正小标宋_GBK" w:cs="方正小标宋_GBK"/>
          <w:bCs/>
          <w:i w:val="0"/>
          <w:iCs w:val="0"/>
          <w:color w:val="auto"/>
          <w:sz w:val="36"/>
          <w:szCs w:val="36"/>
          <w:highlight w:val="none"/>
          <w:lang w:val="en-US" w:eastAsia="zh-CN"/>
        </w:rPr>
      </w:pP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44" w:name="_Toc8317"/>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743"/>
      <w:bookmarkEnd w:id="744"/>
    </w:p>
    <w:p w14:paraId="3878D3F5">
      <w:pPr>
        <w:pStyle w:val="36"/>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7EE77353">
      <w:pPr>
        <w:pStyle w:val="36"/>
        <w:rPr>
          <w:i w:val="0"/>
          <w:iCs w:val="0"/>
          <w:color w:val="auto"/>
          <w:highlight w:val="none"/>
        </w:rPr>
      </w:pPr>
      <w:r>
        <w:rPr>
          <w:i w:val="0"/>
          <w:iCs w:val="0"/>
          <w:color w:val="auto"/>
          <w:highlight w:val="none"/>
        </w:rPr>
        <w:br w:type="page"/>
      </w:r>
    </w:p>
    <w:p w14:paraId="7AD86D6F">
      <w:pPr>
        <w:pStyle w:val="16"/>
        <w:spacing w:line="360" w:lineRule="auto"/>
        <w:jc w:val="center"/>
        <w:rPr>
          <w:rFonts w:hint="eastAsia" w:cstheme="minorBidi"/>
          <w:b/>
          <w:bCs/>
          <w:i w:val="0"/>
          <w:iCs w:val="0"/>
          <w:color w:val="auto"/>
          <w:kern w:val="2"/>
          <w:sz w:val="44"/>
          <w:szCs w:val="44"/>
          <w:highlight w:val="none"/>
          <w:lang w:val="en-US" w:eastAsia="zh-CN" w:bidi="ar-SA"/>
        </w:rPr>
      </w:pPr>
      <w:bookmarkStart w:id="745" w:name="_Toc163492936"/>
    </w:p>
    <w:p w14:paraId="68D392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46" w:name="_Toc26972"/>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一</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745"/>
      <w:bookmarkEnd w:id="746"/>
    </w:p>
    <w:p w14:paraId="6EF40482">
      <w:pPr>
        <w:pStyle w:val="36"/>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6"/>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6"/>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6"/>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6"/>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6"/>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6"/>
        <w:rPr>
          <w:rFonts w:hint="eastAsia" w:ascii="宋体" w:hAnsi="宋体" w:eastAsia="宋体" w:cs="宋体"/>
          <w:i w:val="0"/>
          <w:iCs w:val="0"/>
          <w:color w:val="auto"/>
          <w:sz w:val="24"/>
          <w:szCs w:val="24"/>
          <w:highlight w:val="none"/>
          <w:lang w:val="en-US" w:eastAsia="zh-CN"/>
        </w:rPr>
      </w:pPr>
    </w:p>
    <w:p w14:paraId="2D6AF8D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6"/>
        <w:rPr>
          <w:rFonts w:hint="default"/>
          <w:i w:val="0"/>
          <w:iCs w:val="0"/>
          <w:color w:val="auto"/>
          <w:sz w:val="28"/>
          <w:szCs w:val="28"/>
          <w:highlight w:val="none"/>
          <w:lang w:val="en-US" w:eastAsia="zh-CN"/>
        </w:rPr>
      </w:pPr>
    </w:p>
    <w:p w14:paraId="07564543">
      <w:pPr>
        <w:pStyle w:val="36"/>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36"/>
        <w:rPr>
          <w:rFonts w:hint="eastAsia"/>
          <w:i w:val="0"/>
          <w:iCs w:val="0"/>
          <w:color w:val="auto"/>
          <w:highlight w:val="none"/>
        </w:rPr>
      </w:pPr>
    </w:p>
    <w:p w14:paraId="19B7C1E0">
      <w:pPr>
        <w:pStyle w:val="36"/>
        <w:rPr>
          <w:rFonts w:hint="eastAsia"/>
          <w:i w:val="0"/>
          <w:iCs w:val="0"/>
          <w:color w:val="auto"/>
          <w:highlight w:val="none"/>
        </w:rPr>
      </w:pPr>
    </w:p>
    <w:bookmarkEnd w:id="638"/>
    <w:p w14:paraId="7CB0AFFA">
      <w:pPr>
        <w:rPr>
          <w:i w:val="0"/>
          <w:i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17F1">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37239">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237239">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0C708CA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F968F">
                          <w:pPr>
                            <w:pStyle w:val="18"/>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2F968F">
                    <w:pPr>
                      <w:pStyle w:val="18"/>
                    </w:pPr>
                    <w:r>
                      <w:fldChar w:fldCharType="begin"/>
                    </w:r>
                    <w:r>
                      <w:instrText xml:space="preserve"> PAGE  \* MERGEFORMAT </w:instrText>
                    </w:r>
                    <w:r>
                      <w:fldChar w:fldCharType="separate"/>
                    </w:r>
                    <w:r>
                      <w:t>- 6 -</w:t>
                    </w:r>
                    <w:r>
                      <w:fldChar w:fldCharType="end"/>
                    </w:r>
                  </w:p>
                </w:txbxContent>
              </v:textbox>
            </v:shape>
          </w:pict>
        </mc:Fallback>
      </mc:AlternateContent>
    </w:r>
  </w:p>
  <w:p w14:paraId="1D038EF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B651">
    <w:pPr>
      <w:pStyle w:val="18"/>
      <w:jc w:val="center"/>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CD3EE">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B1CD3EE">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D077">
    <w:pPr>
      <w:pStyle w:val="18"/>
      <w:jc w:val="center"/>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C4A5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2C4A5A">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F43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17529">
                          <w:pPr>
                            <w:pStyle w:val="18"/>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FD17529">
                    <w:pPr>
                      <w:pStyle w:val="18"/>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5EFE">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7D861">
                          <w:pPr>
                            <w:pStyle w:val="18"/>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57D861">
                    <w:pPr>
                      <w:pStyle w:val="18"/>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974CE">
                          <w:pPr>
                            <w:pStyle w:val="18"/>
                          </w:pPr>
                          <w:r>
                            <w:fldChar w:fldCharType="begin"/>
                          </w:r>
                          <w:r>
                            <w:instrText xml:space="preserve"> PAGE  \* MERGEFORMAT </w:instrText>
                          </w:r>
                          <w:r>
                            <w:fldChar w:fldCharType="separate"/>
                          </w:r>
                          <w:r>
                            <w:t>- 88 -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52974CE">
                    <w:pPr>
                      <w:pStyle w:val="18"/>
                    </w:pPr>
                    <w:r>
                      <w:fldChar w:fldCharType="begin"/>
                    </w:r>
                    <w:r>
                      <w:instrText xml:space="preserve"> PAGE  \* MERGEFORMAT </w:instrText>
                    </w:r>
                    <w:r>
                      <w:fldChar w:fldCharType="separate"/>
                    </w:r>
                    <w:r>
                      <w:t>- 88 -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9"/>
      <w:tabs>
        <w:tab w:val="left" w:pos="3120"/>
      </w:tabs>
      <w:spacing w:line="240" w:lineRule="auto"/>
      <w:jc w:val="right"/>
      <w:rPr>
        <w:sz w:val="18"/>
        <w:szCs w:val="18"/>
      </w:rPr>
    </w:pPr>
    <w:r>
      <w:rPr>
        <w:rFonts w:hint="eastAsia"/>
        <w:sz w:val="18"/>
        <w:szCs w:val="18"/>
        <w:lang w:val="en-US" w:eastAsia="zh-CN"/>
      </w:rPr>
      <w:t>新疆医科大学第一附属医院建设工程造价咨询服务项目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3D8A">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9"/>
      <w:spacing w:line="240" w:lineRule="auto"/>
    </w:pPr>
    <w:r>
      <w:rPr>
        <w:rFonts w:hint="eastAsia"/>
        <w:sz w:val="24"/>
        <w:szCs w:val="24"/>
        <w:lang w:val="en-US" w:eastAsia="zh-CN"/>
      </w:rPr>
      <w:t xml:space="preserve">                                 </w:t>
    </w:r>
    <w:r>
      <w:rPr>
        <w:rFonts w:hint="eastAsia"/>
        <w:sz w:val="18"/>
        <w:szCs w:val="18"/>
        <w:lang w:val="en-US" w:eastAsia="zh-CN"/>
      </w:rPr>
      <w:t>新疆医科大学第一附属医院建设工程造价咨询服务项目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CA23C"/>
    <w:multiLevelType w:val="singleLevel"/>
    <w:tmpl w:val="8BCCA23C"/>
    <w:lvl w:ilvl="0" w:tentative="0">
      <w:start w:val="1"/>
      <w:numFmt w:val="decimal"/>
      <w:suff w:val="nothing"/>
      <w:lvlText w:val="%1、"/>
      <w:lvlJc w:val="left"/>
    </w:lvl>
  </w:abstractNum>
  <w:abstractNum w:abstractNumId="1">
    <w:nsid w:val="E5D967F6"/>
    <w:multiLevelType w:val="singleLevel"/>
    <w:tmpl w:val="E5D967F6"/>
    <w:lvl w:ilvl="0" w:tentative="0">
      <w:start w:val="3"/>
      <w:numFmt w:val="chineseCounting"/>
      <w:suff w:val="space"/>
      <w:lvlText w:val="第%1章"/>
      <w:lvlJc w:val="left"/>
      <w:rPr>
        <w:rFonts w:hint="eastAsia"/>
      </w:r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1F9104"/>
    <w:multiLevelType w:val="singleLevel"/>
    <w:tmpl w:val="1F1F9104"/>
    <w:lvl w:ilvl="0" w:tentative="0">
      <w:start w:val="3"/>
      <w:numFmt w:val="chineseCounting"/>
      <w:suff w:val="nothing"/>
      <w:lvlText w:val="（%1）"/>
      <w:lvlJc w:val="left"/>
      <w:rPr>
        <w:rFonts w:hint="eastAsia"/>
      </w:rPr>
    </w:lvl>
  </w:abstractNum>
  <w:abstractNum w:abstractNumId="4">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mZWRiOWJiYzljYjk2MDYxNDQ2NjM1ZjRlMTAxMzk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3625FC"/>
    <w:rsid w:val="014F6641"/>
    <w:rsid w:val="01521C8D"/>
    <w:rsid w:val="015D2962"/>
    <w:rsid w:val="01633E9B"/>
    <w:rsid w:val="0168325F"/>
    <w:rsid w:val="017B5688"/>
    <w:rsid w:val="01A544B3"/>
    <w:rsid w:val="01AE3368"/>
    <w:rsid w:val="01D17056"/>
    <w:rsid w:val="021D673F"/>
    <w:rsid w:val="02557C87"/>
    <w:rsid w:val="02690376"/>
    <w:rsid w:val="02691984"/>
    <w:rsid w:val="028642E4"/>
    <w:rsid w:val="02B01361"/>
    <w:rsid w:val="02C72207"/>
    <w:rsid w:val="02D63692"/>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4716CB"/>
    <w:rsid w:val="056F2E0E"/>
    <w:rsid w:val="05816FE5"/>
    <w:rsid w:val="05834B0B"/>
    <w:rsid w:val="05A056BD"/>
    <w:rsid w:val="05B40D8D"/>
    <w:rsid w:val="05B44CC5"/>
    <w:rsid w:val="05C07B0D"/>
    <w:rsid w:val="05C80770"/>
    <w:rsid w:val="05DB04A3"/>
    <w:rsid w:val="05E530D0"/>
    <w:rsid w:val="065B3392"/>
    <w:rsid w:val="06874187"/>
    <w:rsid w:val="069C40D7"/>
    <w:rsid w:val="06A20FC1"/>
    <w:rsid w:val="06A411DD"/>
    <w:rsid w:val="06C07699"/>
    <w:rsid w:val="070E75E1"/>
    <w:rsid w:val="07577FFE"/>
    <w:rsid w:val="075C55D2"/>
    <w:rsid w:val="076B1CFB"/>
    <w:rsid w:val="07B0770E"/>
    <w:rsid w:val="07B436A2"/>
    <w:rsid w:val="07C47C51"/>
    <w:rsid w:val="07C531B9"/>
    <w:rsid w:val="07CA07CF"/>
    <w:rsid w:val="07CB4548"/>
    <w:rsid w:val="07DF250D"/>
    <w:rsid w:val="07F920A1"/>
    <w:rsid w:val="08027530"/>
    <w:rsid w:val="080D4B60"/>
    <w:rsid w:val="081941FC"/>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B6548"/>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96A37"/>
    <w:rsid w:val="0D8C18C1"/>
    <w:rsid w:val="0DA85BF2"/>
    <w:rsid w:val="0DB00467"/>
    <w:rsid w:val="0DDA3736"/>
    <w:rsid w:val="0DF2282E"/>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102869DB"/>
    <w:rsid w:val="10520096"/>
    <w:rsid w:val="10637A13"/>
    <w:rsid w:val="10861954"/>
    <w:rsid w:val="10A36062"/>
    <w:rsid w:val="10A5627E"/>
    <w:rsid w:val="10BD35C7"/>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465F"/>
    <w:rsid w:val="12FC7CAB"/>
    <w:rsid w:val="133A3ECC"/>
    <w:rsid w:val="135B6761"/>
    <w:rsid w:val="13623FB2"/>
    <w:rsid w:val="13931986"/>
    <w:rsid w:val="139A7BF0"/>
    <w:rsid w:val="13A73607"/>
    <w:rsid w:val="13B93B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07AB2"/>
    <w:rsid w:val="1606331B"/>
    <w:rsid w:val="163D4862"/>
    <w:rsid w:val="164764AC"/>
    <w:rsid w:val="164E4CC1"/>
    <w:rsid w:val="165247B2"/>
    <w:rsid w:val="16556050"/>
    <w:rsid w:val="168164BC"/>
    <w:rsid w:val="169923E1"/>
    <w:rsid w:val="16994D22"/>
    <w:rsid w:val="169B3FD3"/>
    <w:rsid w:val="169D3553"/>
    <w:rsid w:val="16AC04CA"/>
    <w:rsid w:val="16B56AEF"/>
    <w:rsid w:val="16B84207"/>
    <w:rsid w:val="16BC7E7D"/>
    <w:rsid w:val="16EB2510"/>
    <w:rsid w:val="16F35A55"/>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9FB3354"/>
    <w:rsid w:val="1A240213"/>
    <w:rsid w:val="1A2E5016"/>
    <w:rsid w:val="1A2F0966"/>
    <w:rsid w:val="1A402B73"/>
    <w:rsid w:val="1A5B175B"/>
    <w:rsid w:val="1A5F124B"/>
    <w:rsid w:val="1A6920CA"/>
    <w:rsid w:val="1A705206"/>
    <w:rsid w:val="1A8D2B13"/>
    <w:rsid w:val="1AC452ED"/>
    <w:rsid w:val="1AC92B69"/>
    <w:rsid w:val="1ACA63E0"/>
    <w:rsid w:val="1ADF238C"/>
    <w:rsid w:val="1AE71241"/>
    <w:rsid w:val="1AF92BB3"/>
    <w:rsid w:val="1B2341DB"/>
    <w:rsid w:val="1B261FB1"/>
    <w:rsid w:val="1B3A3A66"/>
    <w:rsid w:val="1B3C158C"/>
    <w:rsid w:val="1B4548E5"/>
    <w:rsid w:val="1B684130"/>
    <w:rsid w:val="1B950C9D"/>
    <w:rsid w:val="1BAE1B3B"/>
    <w:rsid w:val="1BC7354C"/>
    <w:rsid w:val="1BCA303C"/>
    <w:rsid w:val="1BFB6D69"/>
    <w:rsid w:val="1C033E58"/>
    <w:rsid w:val="1C071B9A"/>
    <w:rsid w:val="1C0A1F8C"/>
    <w:rsid w:val="1C0C0F5F"/>
    <w:rsid w:val="1C0F6CA1"/>
    <w:rsid w:val="1C4C3A51"/>
    <w:rsid w:val="1C766D20"/>
    <w:rsid w:val="1C80194D"/>
    <w:rsid w:val="1C827F34"/>
    <w:rsid w:val="1CA76EDA"/>
    <w:rsid w:val="1CB33AD0"/>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23CFB"/>
    <w:rsid w:val="1E5E7A6C"/>
    <w:rsid w:val="1E6E4153"/>
    <w:rsid w:val="1ECA4622"/>
    <w:rsid w:val="1EE12B77"/>
    <w:rsid w:val="1EE77A61"/>
    <w:rsid w:val="1EEE7042"/>
    <w:rsid w:val="1EFC175F"/>
    <w:rsid w:val="1F3F5AE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1FB3203"/>
    <w:rsid w:val="220426D8"/>
    <w:rsid w:val="22124DF5"/>
    <w:rsid w:val="224F1BA5"/>
    <w:rsid w:val="22623FCE"/>
    <w:rsid w:val="22631AF5"/>
    <w:rsid w:val="228A64AF"/>
    <w:rsid w:val="228A7081"/>
    <w:rsid w:val="228D6B72"/>
    <w:rsid w:val="22BD2FB3"/>
    <w:rsid w:val="22C00CF5"/>
    <w:rsid w:val="22C04851"/>
    <w:rsid w:val="22CE1AC1"/>
    <w:rsid w:val="230E1A60"/>
    <w:rsid w:val="23206B65"/>
    <w:rsid w:val="232474D6"/>
    <w:rsid w:val="23377209"/>
    <w:rsid w:val="23775858"/>
    <w:rsid w:val="239F090A"/>
    <w:rsid w:val="23B56380"/>
    <w:rsid w:val="23C72304"/>
    <w:rsid w:val="23F46EA8"/>
    <w:rsid w:val="241F37F9"/>
    <w:rsid w:val="243279D1"/>
    <w:rsid w:val="243521E7"/>
    <w:rsid w:val="24653902"/>
    <w:rsid w:val="247D7043"/>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2912E0"/>
    <w:rsid w:val="26490DAB"/>
    <w:rsid w:val="265C0D35"/>
    <w:rsid w:val="26667E05"/>
    <w:rsid w:val="26771661"/>
    <w:rsid w:val="26865A28"/>
    <w:rsid w:val="26881050"/>
    <w:rsid w:val="26976211"/>
    <w:rsid w:val="26A30712"/>
    <w:rsid w:val="26A634E3"/>
    <w:rsid w:val="26F64CE5"/>
    <w:rsid w:val="271B0BF0"/>
    <w:rsid w:val="271C2272"/>
    <w:rsid w:val="272F1FA5"/>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AC6CED"/>
    <w:rsid w:val="29BA46F0"/>
    <w:rsid w:val="29C61D8F"/>
    <w:rsid w:val="29C91AA7"/>
    <w:rsid w:val="29D62BAC"/>
    <w:rsid w:val="29F63376"/>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991EFB"/>
    <w:rsid w:val="2DC773DC"/>
    <w:rsid w:val="2DD03D81"/>
    <w:rsid w:val="2E310CF9"/>
    <w:rsid w:val="2E3F6F72"/>
    <w:rsid w:val="2E497DF1"/>
    <w:rsid w:val="2EB536D8"/>
    <w:rsid w:val="2ECD316E"/>
    <w:rsid w:val="2EDA313F"/>
    <w:rsid w:val="2EEE0998"/>
    <w:rsid w:val="2F0F7C3C"/>
    <w:rsid w:val="2F1C6FCF"/>
    <w:rsid w:val="2F5C7FF7"/>
    <w:rsid w:val="2F5E167A"/>
    <w:rsid w:val="2F880DEC"/>
    <w:rsid w:val="3034062C"/>
    <w:rsid w:val="3040584C"/>
    <w:rsid w:val="30471E4B"/>
    <w:rsid w:val="30536D05"/>
    <w:rsid w:val="305F1B4D"/>
    <w:rsid w:val="305F7D9F"/>
    <w:rsid w:val="30705B08"/>
    <w:rsid w:val="30766E97"/>
    <w:rsid w:val="307A6987"/>
    <w:rsid w:val="30C220DC"/>
    <w:rsid w:val="30C82535"/>
    <w:rsid w:val="30E56588"/>
    <w:rsid w:val="30E91417"/>
    <w:rsid w:val="311C5295"/>
    <w:rsid w:val="31293F09"/>
    <w:rsid w:val="312F089B"/>
    <w:rsid w:val="314F3970"/>
    <w:rsid w:val="3159659D"/>
    <w:rsid w:val="319D72B9"/>
    <w:rsid w:val="31B41A25"/>
    <w:rsid w:val="31CD0D39"/>
    <w:rsid w:val="31D2634F"/>
    <w:rsid w:val="320504D2"/>
    <w:rsid w:val="32513718"/>
    <w:rsid w:val="32690A61"/>
    <w:rsid w:val="326A47D9"/>
    <w:rsid w:val="32B1065A"/>
    <w:rsid w:val="32CB5278"/>
    <w:rsid w:val="32D54B9D"/>
    <w:rsid w:val="32E4458C"/>
    <w:rsid w:val="32E77BD8"/>
    <w:rsid w:val="331C3BA9"/>
    <w:rsid w:val="332D26D2"/>
    <w:rsid w:val="33443C83"/>
    <w:rsid w:val="33710AF6"/>
    <w:rsid w:val="3378107E"/>
    <w:rsid w:val="337C47C4"/>
    <w:rsid w:val="337F6063"/>
    <w:rsid w:val="338F44F8"/>
    <w:rsid w:val="33997124"/>
    <w:rsid w:val="339C2C4F"/>
    <w:rsid w:val="33BA52ED"/>
    <w:rsid w:val="33BC1065"/>
    <w:rsid w:val="33D95773"/>
    <w:rsid w:val="34256C0A"/>
    <w:rsid w:val="34311A53"/>
    <w:rsid w:val="344D7F0F"/>
    <w:rsid w:val="34621C0C"/>
    <w:rsid w:val="34C74160"/>
    <w:rsid w:val="34F6131F"/>
    <w:rsid w:val="34FA3BF3"/>
    <w:rsid w:val="35213875"/>
    <w:rsid w:val="35393B3B"/>
    <w:rsid w:val="353B5F42"/>
    <w:rsid w:val="3566572C"/>
    <w:rsid w:val="356E1305"/>
    <w:rsid w:val="3571636E"/>
    <w:rsid w:val="3581750F"/>
    <w:rsid w:val="358362DE"/>
    <w:rsid w:val="358F4AB7"/>
    <w:rsid w:val="35990AF0"/>
    <w:rsid w:val="35A63D7A"/>
    <w:rsid w:val="35C506A4"/>
    <w:rsid w:val="35C8047F"/>
    <w:rsid w:val="35DF76EE"/>
    <w:rsid w:val="35FB2318"/>
    <w:rsid w:val="35FE6638"/>
    <w:rsid w:val="36021D61"/>
    <w:rsid w:val="360867F6"/>
    <w:rsid w:val="360F7B72"/>
    <w:rsid w:val="36213401"/>
    <w:rsid w:val="36237179"/>
    <w:rsid w:val="36392E40"/>
    <w:rsid w:val="366B4E04"/>
    <w:rsid w:val="36794FEB"/>
    <w:rsid w:val="3687595A"/>
    <w:rsid w:val="368816D2"/>
    <w:rsid w:val="36AC716F"/>
    <w:rsid w:val="36B77FD3"/>
    <w:rsid w:val="36D87F64"/>
    <w:rsid w:val="36F32FEF"/>
    <w:rsid w:val="37090944"/>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97524"/>
    <w:rsid w:val="387E0FDF"/>
    <w:rsid w:val="388760E5"/>
    <w:rsid w:val="389575CF"/>
    <w:rsid w:val="38BF7329"/>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46550"/>
    <w:rsid w:val="3C5A58BF"/>
    <w:rsid w:val="3C5E715D"/>
    <w:rsid w:val="3C73274D"/>
    <w:rsid w:val="3C794420"/>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B22D7D"/>
    <w:rsid w:val="3DC56D68"/>
    <w:rsid w:val="3E10092B"/>
    <w:rsid w:val="3E18333B"/>
    <w:rsid w:val="3E3E7246"/>
    <w:rsid w:val="3E4B1963"/>
    <w:rsid w:val="3E75253C"/>
    <w:rsid w:val="3E774506"/>
    <w:rsid w:val="3E7C7D6E"/>
    <w:rsid w:val="3E8135D7"/>
    <w:rsid w:val="3E8978EB"/>
    <w:rsid w:val="3EB94B1E"/>
    <w:rsid w:val="3EC84D62"/>
    <w:rsid w:val="3EED2A1A"/>
    <w:rsid w:val="3F06343F"/>
    <w:rsid w:val="3F9133A5"/>
    <w:rsid w:val="3F9D61EE"/>
    <w:rsid w:val="3FA806EF"/>
    <w:rsid w:val="3FB11C9A"/>
    <w:rsid w:val="3FCE0156"/>
    <w:rsid w:val="401B1A9A"/>
    <w:rsid w:val="4041090E"/>
    <w:rsid w:val="40580367"/>
    <w:rsid w:val="405C46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5553C3"/>
    <w:rsid w:val="425567DB"/>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734176"/>
    <w:rsid w:val="43866F99"/>
    <w:rsid w:val="43AE0DEC"/>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9F0E74"/>
    <w:rsid w:val="45C2075D"/>
    <w:rsid w:val="45C5024D"/>
    <w:rsid w:val="45C960B4"/>
    <w:rsid w:val="46144D30"/>
    <w:rsid w:val="46477F15"/>
    <w:rsid w:val="464A2BEB"/>
    <w:rsid w:val="46511AE0"/>
    <w:rsid w:val="46640D4A"/>
    <w:rsid w:val="4669643F"/>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432C1"/>
    <w:rsid w:val="49E54A1A"/>
    <w:rsid w:val="49E8275C"/>
    <w:rsid w:val="49E97107"/>
    <w:rsid w:val="49F72CCF"/>
    <w:rsid w:val="4A001853"/>
    <w:rsid w:val="4A05330E"/>
    <w:rsid w:val="4A0B36CD"/>
    <w:rsid w:val="4A1E1CDA"/>
    <w:rsid w:val="4A2A68D0"/>
    <w:rsid w:val="4A331C29"/>
    <w:rsid w:val="4A45195C"/>
    <w:rsid w:val="4A510301"/>
    <w:rsid w:val="4A630034"/>
    <w:rsid w:val="4A69564B"/>
    <w:rsid w:val="4A7638C4"/>
    <w:rsid w:val="4A897A9B"/>
    <w:rsid w:val="4A8F2BD7"/>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5B60AE"/>
    <w:rsid w:val="4E60561F"/>
    <w:rsid w:val="4E656129"/>
    <w:rsid w:val="4E8A5B90"/>
    <w:rsid w:val="4EA76741"/>
    <w:rsid w:val="4ECB3430"/>
    <w:rsid w:val="4ED92673"/>
    <w:rsid w:val="4F2A1121"/>
    <w:rsid w:val="4F391364"/>
    <w:rsid w:val="4F7B05C2"/>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A3386B"/>
    <w:rsid w:val="51E657D3"/>
    <w:rsid w:val="51EB4B97"/>
    <w:rsid w:val="520D0FB1"/>
    <w:rsid w:val="5248023B"/>
    <w:rsid w:val="52775DEE"/>
    <w:rsid w:val="5290573F"/>
    <w:rsid w:val="52A315B0"/>
    <w:rsid w:val="52D65847"/>
    <w:rsid w:val="52D95337"/>
    <w:rsid w:val="52DD4E28"/>
    <w:rsid w:val="52E166C3"/>
    <w:rsid w:val="531620E8"/>
    <w:rsid w:val="531A2419"/>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1C8F"/>
    <w:rsid w:val="551E7032"/>
    <w:rsid w:val="552C5BF2"/>
    <w:rsid w:val="55363627"/>
    <w:rsid w:val="555E38D2"/>
    <w:rsid w:val="55603AEE"/>
    <w:rsid w:val="55613AAD"/>
    <w:rsid w:val="55AE2AAB"/>
    <w:rsid w:val="55CA0F67"/>
    <w:rsid w:val="55EB160A"/>
    <w:rsid w:val="55F935FB"/>
    <w:rsid w:val="563805C7"/>
    <w:rsid w:val="56717635"/>
    <w:rsid w:val="56AF7299"/>
    <w:rsid w:val="56BD287A"/>
    <w:rsid w:val="56D57BC4"/>
    <w:rsid w:val="56DB78D0"/>
    <w:rsid w:val="56E47D90"/>
    <w:rsid w:val="56EB54B8"/>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7F64296"/>
    <w:rsid w:val="58105524"/>
    <w:rsid w:val="581E6BA0"/>
    <w:rsid w:val="582B2191"/>
    <w:rsid w:val="583C7C96"/>
    <w:rsid w:val="585A65D3"/>
    <w:rsid w:val="5875340D"/>
    <w:rsid w:val="587A0A23"/>
    <w:rsid w:val="588C69A8"/>
    <w:rsid w:val="58A27B6E"/>
    <w:rsid w:val="58A77FDA"/>
    <w:rsid w:val="58B57CAD"/>
    <w:rsid w:val="58BA19B2"/>
    <w:rsid w:val="58CD149A"/>
    <w:rsid w:val="58CD4FF7"/>
    <w:rsid w:val="58D444DA"/>
    <w:rsid w:val="58DB172F"/>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0A402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AFF16B3"/>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A25BDF"/>
    <w:rsid w:val="5CB85FBE"/>
    <w:rsid w:val="5CBA3AE4"/>
    <w:rsid w:val="5CCC1A69"/>
    <w:rsid w:val="5D192C76"/>
    <w:rsid w:val="5D5201C0"/>
    <w:rsid w:val="5D5D706F"/>
    <w:rsid w:val="5D600B2F"/>
    <w:rsid w:val="5DD10903"/>
    <w:rsid w:val="5DF254FF"/>
    <w:rsid w:val="5E0E058B"/>
    <w:rsid w:val="5E135D11"/>
    <w:rsid w:val="5E48575F"/>
    <w:rsid w:val="5E4C2B6B"/>
    <w:rsid w:val="5E8A398A"/>
    <w:rsid w:val="5E954808"/>
    <w:rsid w:val="5E9B59CB"/>
    <w:rsid w:val="5EB10F16"/>
    <w:rsid w:val="5EEE3F19"/>
    <w:rsid w:val="5F0279C4"/>
    <w:rsid w:val="5F0C439F"/>
    <w:rsid w:val="5F313E05"/>
    <w:rsid w:val="5F645F89"/>
    <w:rsid w:val="5F8D1984"/>
    <w:rsid w:val="5F961333"/>
    <w:rsid w:val="5FC058B5"/>
    <w:rsid w:val="5FC30F01"/>
    <w:rsid w:val="5FE40C3F"/>
    <w:rsid w:val="602B6AA7"/>
    <w:rsid w:val="60433DF0"/>
    <w:rsid w:val="604C539B"/>
    <w:rsid w:val="6065645C"/>
    <w:rsid w:val="60681AA9"/>
    <w:rsid w:val="607C0C87"/>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D495B"/>
    <w:rsid w:val="61EE5FDE"/>
    <w:rsid w:val="61FA0313"/>
    <w:rsid w:val="623B56C7"/>
    <w:rsid w:val="62516C98"/>
    <w:rsid w:val="626F5370"/>
    <w:rsid w:val="627B5AC3"/>
    <w:rsid w:val="6285516C"/>
    <w:rsid w:val="62A74B0A"/>
    <w:rsid w:val="62B249B4"/>
    <w:rsid w:val="62E53885"/>
    <w:rsid w:val="630A6E47"/>
    <w:rsid w:val="632A1297"/>
    <w:rsid w:val="633F11E7"/>
    <w:rsid w:val="6356208C"/>
    <w:rsid w:val="635F7193"/>
    <w:rsid w:val="636724EC"/>
    <w:rsid w:val="63732C3E"/>
    <w:rsid w:val="63C11BFC"/>
    <w:rsid w:val="63C17E4E"/>
    <w:rsid w:val="63C94F54"/>
    <w:rsid w:val="63DE27AE"/>
    <w:rsid w:val="63F41FD1"/>
    <w:rsid w:val="640D6BEF"/>
    <w:rsid w:val="640F3F59"/>
    <w:rsid w:val="64170648"/>
    <w:rsid w:val="64356146"/>
    <w:rsid w:val="646D1D84"/>
    <w:rsid w:val="647A41FA"/>
    <w:rsid w:val="64A62BA0"/>
    <w:rsid w:val="64B41760"/>
    <w:rsid w:val="64E419AA"/>
    <w:rsid w:val="652341F0"/>
    <w:rsid w:val="654E5711"/>
    <w:rsid w:val="6554084E"/>
    <w:rsid w:val="65554CF2"/>
    <w:rsid w:val="657333CA"/>
    <w:rsid w:val="65907AD8"/>
    <w:rsid w:val="65984BDE"/>
    <w:rsid w:val="65B23EF2"/>
    <w:rsid w:val="65B35574"/>
    <w:rsid w:val="65B676EF"/>
    <w:rsid w:val="65BD2836"/>
    <w:rsid w:val="65C6174B"/>
    <w:rsid w:val="65C77271"/>
    <w:rsid w:val="65C854C3"/>
    <w:rsid w:val="65F91B21"/>
    <w:rsid w:val="660E3AE9"/>
    <w:rsid w:val="6618187B"/>
    <w:rsid w:val="662A7F2C"/>
    <w:rsid w:val="662D17CA"/>
    <w:rsid w:val="664B39FF"/>
    <w:rsid w:val="6659611C"/>
    <w:rsid w:val="666D5A54"/>
    <w:rsid w:val="667E2026"/>
    <w:rsid w:val="6682540E"/>
    <w:rsid w:val="66C37A39"/>
    <w:rsid w:val="66CF2882"/>
    <w:rsid w:val="671958AB"/>
    <w:rsid w:val="67332E10"/>
    <w:rsid w:val="67515045"/>
    <w:rsid w:val="6759039D"/>
    <w:rsid w:val="67742766"/>
    <w:rsid w:val="67BF46A4"/>
    <w:rsid w:val="67C56744"/>
    <w:rsid w:val="68040309"/>
    <w:rsid w:val="6804655B"/>
    <w:rsid w:val="683E2528"/>
    <w:rsid w:val="68525518"/>
    <w:rsid w:val="685742B4"/>
    <w:rsid w:val="686D2352"/>
    <w:rsid w:val="688A2F04"/>
    <w:rsid w:val="68907DEF"/>
    <w:rsid w:val="68F6059A"/>
    <w:rsid w:val="69004F74"/>
    <w:rsid w:val="69005532"/>
    <w:rsid w:val="69112CDD"/>
    <w:rsid w:val="69194288"/>
    <w:rsid w:val="691F185D"/>
    <w:rsid w:val="69354EFB"/>
    <w:rsid w:val="6937396B"/>
    <w:rsid w:val="69627CBF"/>
    <w:rsid w:val="697119CE"/>
    <w:rsid w:val="699A7177"/>
    <w:rsid w:val="69BD0841"/>
    <w:rsid w:val="69C75B99"/>
    <w:rsid w:val="69D16911"/>
    <w:rsid w:val="69F30635"/>
    <w:rsid w:val="6A211646"/>
    <w:rsid w:val="6A2820A4"/>
    <w:rsid w:val="6A3550F2"/>
    <w:rsid w:val="6A570BC4"/>
    <w:rsid w:val="6A61050B"/>
    <w:rsid w:val="6A627569"/>
    <w:rsid w:val="6A841BD5"/>
    <w:rsid w:val="6A9516EC"/>
    <w:rsid w:val="6A9701E5"/>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9126D"/>
    <w:rsid w:val="6BEF307E"/>
    <w:rsid w:val="6BF15048"/>
    <w:rsid w:val="6C134FBF"/>
    <w:rsid w:val="6C3F4006"/>
    <w:rsid w:val="6C4E4249"/>
    <w:rsid w:val="6C5E0930"/>
    <w:rsid w:val="6C756915"/>
    <w:rsid w:val="6C841DBF"/>
    <w:rsid w:val="6C8C6B1F"/>
    <w:rsid w:val="6C982286"/>
    <w:rsid w:val="6CA83959"/>
    <w:rsid w:val="6CB00A5F"/>
    <w:rsid w:val="6D0668D1"/>
    <w:rsid w:val="6D1C52DE"/>
    <w:rsid w:val="6D21195D"/>
    <w:rsid w:val="6D2C27DC"/>
    <w:rsid w:val="6D2F7BD6"/>
    <w:rsid w:val="6D501E74"/>
    <w:rsid w:val="6D527D69"/>
    <w:rsid w:val="6D785A21"/>
    <w:rsid w:val="6D7D1F79"/>
    <w:rsid w:val="6D8C327A"/>
    <w:rsid w:val="6D8F4B19"/>
    <w:rsid w:val="6DA93E2C"/>
    <w:rsid w:val="6DAF51BB"/>
    <w:rsid w:val="6DB85E1E"/>
    <w:rsid w:val="6DCC7B1B"/>
    <w:rsid w:val="6DD8026E"/>
    <w:rsid w:val="6DDB7D5E"/>
    <w:rsid w:val="6DDD7632"/>
    <w:rsid w:val="6DFC6876"/>
    <w:rsid w:val="6DFC6CEF"/>
    <w:rsid w:val="6E1F649C"/>
    <w:rsid w:val="6E245261"/>
    <w:rsid w:val="6E313E22"/>
    <w:rsid w:val="6E3A4A84"/>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12050"/>
    <w:rsid w:val="7012394F"/>
    <w:rsid w:val="7020414E"/>
    <w:rsid w:val="70457711"/>
    <w:rsid w:val="70785D38"/>
    <w:rsid w:val="70A1528F"/>
    <w:rsid w:val="70A73F27"/>
    <w:rsid w:val="70B75478"/>
    <w:rsid w:val="70BB28C7"/>
    <w:rsid w:val="70BD374B"/>
    <w:rsid w:val="70CB230C"/>
    <w:rsid w:val="71306613"/>
    <w:rsid w:val="713559D7"/>
    <w:rsid w:val="71390503"/>
    <w:rsid w:val="714F4CEB"/>
    <w:rsid w:val="71526589"/>
    <w:rsid w:val="715E4F2E"/>
    <w:rsid w:val="71630796"/>
    <w:rsid w:val="716D6F1F"/>
    <w:rsid w:val="71B44B4E"/>
    <w:rsid w:val="71B763EC"/>
    <w:rsid w:val="71C254BD"/>
    <w:rsid w:val="71C50B09"/>
    <w:rsid w:val="71D13952"/>
    <w:rsid w:val="71D90A58"/>
    <w:rsid w:val="72087019"/>
    <w:rsid w:val="722C0883"/>
    <w:rsid w:val="723E2669"/>
    <w:rsid w:val="72404633"/>
    <w:rsid w:val="727367B7"/>
    <w:rsid w:val="727918F3"/>
    <w:rsid w:val="72C11AE7"/>
    <w:rsid w:val="72C9533D"/>
    <w:rsid w:val="72D54D7C"/>
    <w:rsid w:val="72D57472"/>
    <w:rsid w:val="72FD42D3"/>
    <w:rsid w:val="72FF629D"/>
    <w:rsid w:val="73104006"/>
    <w:rsid w:val="73261A7B"/>
    <w:rsid w:val="733107D8"/>
    <w:rsid w:val="73586098"/>
    <w:rsid w:val="735C724B"/>
    <w:rsid w:val="737C169B"/>
    <w:rsid w:val="739F7299"/>
    <w:rsid w:val="73F17589"/>
    <w:rsid w:val="73FE47A6"/>
    <w:rsid w:val="74367A9C"/>
    <w:rsid w:val="745C084D"/>
    <w:rsid w:val="745D6531"/>
    <w:rsid w:val="74600FBD"/>
    <w:rsid w:val="74744A68"/>
    <w:rsid w:val="749426E4"/>
    <w:rsid w:val="749A44CF"/>
    <w:rsid w:val="74AE3AD6"/>
    <w:rsid w:val="74DA2B1D"/>
    <w:rsid w:val="74DD362F"/>
    <w:rsid w:val="750E6C6B"/>
    <w:rsid w:val="7516167C"/>
    <w:rsid w:val="75287D2D"/>
    <w:rsid w:val="757A4300"/>
    <w:rsid w:val="75C30533"/>
    <w:rsid w:val="75C37A55"/>
    <w:rsid w:val="75D43A11"/>
    <w:rsid w:val="75D91027"/>
    <w:rsid w:val="75EF2AAE"/>
    <w:rsid w:val="760342F6"/>
    <w:rsid w:val="760D2A7F"/>
    <w:rsid w:val="761E2EDE"/>
    <w:rsid w:val="761E423E"/>
    <w:rsid w:val="762A7AD4"/>
    <w:rsid w:val="76437692"/>
    <w:rsid w:val="76A86FD7"/>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1C2D04"/>
    <w:rsid w:val="78250553"/>
    <w:rsid w:val="785C1A9B"/>
    <w:rsid w:val="78694F99"/>
    <w:rsid w:val="78746DE5"/>
    <w:rsid w:val="787853A5"/>
    <w:rsid w:val="78A21BA4"/>
    <w:rsid w:val="78A376CA"/>
    <w:rsid w:val="78C556E9"/>
    <w:rsid w:val="78C7160B"/>
    <w:rsid w:val="78D930EC"/>
    <w:rsid w:val="78EA5EF2"/>
    <w:rsid w:val="78EA7B1D"/>
    <w:rsid w:val="791A5BDE"/>
    <w:rsid w:val="791B3704"/>
    <w:rsid w:val="7924080B"/>
    <w:rsid w:val="792F71B0"/>
    <w:rsid w:val="795A422D"/>
    <w:rsid w:val="795F5CE7"/>
    <w:rsid w:val="79823784"/>
    <w:rsid w:val="799314ED"/>
    <w:rsid w:val="79BA191D"/>
    <w:rsid w:val="79C107B1"/>
    <w:rsid w:val="79C1605A"/>
    <w:rsid w:val="79C77685"/>
    <w:rsid w:val="79D12015"/>
    <w:rsid w:val="79E306C6"/>
    <w:rsid w:val="79F3642F"/>
    <w:rsid w:val="79F857F4"/>
    <w:rsid w:val="7A1C14E2"/>
    <w:rsid w:val="7A270B71"/>
    <w:rsid w:val="7A275176"/>
    <w:rsid w:val="7A320D06"/>
    <w:rsid w:val="7A4A0950"/>
    <w:rsid w:val="7A61783D"/>
    <w:rsid w:val="7A6548DF"/>
    <w:rsid w:val="7A772BBC"/>
    <w:rsid w:val="7A805F15"/>
    <w:rsid w:val="7A9E45ED"/>
    <w:rsid w:val="7AAA4D40"/>
    <w:rsid w:val="7AAF7244"/>
    <w:rsid w:val="7ACF29F8"/>
    <w:rsid w:val="7AD149C3"/>
    <w:rsid w:val="7AEF6BF7"/>
    <w:rsid w:val="7B0459CB"/>
    <w:rsid w:val="7B0A68E9"/>
    <w:rsid w:val="7B227779"/>
    <w:rsid w:val="7B3B1E3C"/>
    <w:rsid w:val="7B4300FB"/>
    <w:rsid w:val="7B5771E6"/>
    <w:rsid w:val="7B727E9F"/>
    <w:rsid w:val="7C0C5586"/>
    <w:rsid w:val="7C240B22"/>
    <w:rsid w:val="7C286864"/>
    <w:rsid w:val="7C432127"/>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090C23"/>
    <w:rsid w:val="7E114D79"/>
    <w:rsid w:val="7E1F3C97"/>
    <w:rsid w:val="7E2B6198"/>
    <w:rsid w:val="7E350DC4"/>
    <w:rsid w:val="7E590F57"/>
    <w:rsid w:val="7E65740D"/>
    <w:rsid w:val="7E663674"/>
    <w:rsid w:val="7E7A2C7B"/>
    <w:rsid w:val="7E90249F"/>
    <w:rsid w:val="7E92445B"/>
    <w:rsid w:val="7EBC14E6"/>
    <w:rsid w:val="7EED306E"/>
    <w:rsid w:val="7F032C71"/>
    <w:rsid w:val="7F052D52"/>
    <w:rsid w:val="7F0D7F93"/>
    <w:rsid w:val="7F1B445E"/>
    <w:rsid w:val="7F21759B"/>
    <w:rsid w:val="7F2B657D"/>
    <w:rsid w:val="7F511C2E"/>
    <w:rsid w:val="7F8567C3"/>
    <w:rsid w:val="7F86582B"/>
    <w:rsid w:val="7F8D4BB9"/>
    <w:rsid w:val="7F9B559F"/>
    <w:rsid w:val="7FA07C1C"/>
    <w:rsid w:val="7FA77AA0"/>
    <w:rsid w:val="7FE72592"/>
    <w:rsid w:val="7FEB2B3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jc w:val="both"/>
      <w:textAlignment w:val="baseline"/>
    </w:pPr>
    <w:rPr>
      <w:rFonts w:ascii="Times New Roman" w:hAnsi="Times New Roman" w:eastAsia="宋体" w:cs="Times New Roman"/>
    </w:rPr>
  </w:style>
  <w:style w:type="paragraph" w:styleId="7">
    <w:name w:val="toc 7"/>
    <w:basedOn w:val="1"/>
    <w:next w:val="1"/>
    <w:autoRedefine/>
    <w:unhideWhenUsed/>
    <w:qFormat/>
    <w:uiPriority w:val="39"/>
    <w:pPr>
      <w:ind w:left="1440"/>
    </w:pPr>
    <w:rPr>
      <w:rFonts w:asciiTheme="minorHAnsi" w:eastAsiaTheme="minorHAnsi"/>
      <w:sz w:val="18"/>
      <w:szCs w:val="18"/>
    </w:rPr>
  </w:style>
  <w:style w:type="paragraph" w:styleId="8">
    <w:name w:val="Normal Indent"/>
    <w:basedOn w:val="1"/>
    <w:next w:val="1"/>
    <w:unhideWhenUsed/>
    <w:qFormat/>
    <w:uiPriority w:val="0"/>
    <w:pPr>
      <w:ind w:firstLine="420" w:firstLineChars="200"/>
    </w:pPr>
    <w:rPr>
      <w:rFonts w:ascii="Calibri" w:hAnsi="Calibri"/>
      <w:szCs w:val="22"/>
    </w:rPr>
  </w:style>
  <w:style w:type="paragraph" w:styleId="9">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annotation text"/>
    <w:basedOn w:val="1"/>
    <w:link w:val="48"/>
    <w:qFormat/>
    <w:uiPriority w:val="0"/>
    <w:pPr>
      <w:spacing w:line="240" w:lineRule="auto"/>
    </w:pPr>
    <w:rPr>
      <w:rFonts w:asciiTheme="minorHAnsi" w:hAnsiTheme="minorHAnsi" w:eastAsiaTheme="minorEastAsia"/>
      <w:sz w:val="21"/>
      <w:szCs w:val="24"/>
    </w:rPr>
  </w:style>
  <w:style w:type="paragraph" w:styleId="11">
    <w:name w:val="Body Text 3"/>
    <w:basedOn w:val="1"/>
    <w:link w:val="44"/>
    <w:semiHidden/>
    <w:unhideWhenUsed/>
    <w:qFormat/>
    <w:uiPriority w:val="99"/>
    <w:pPr>
      <w:spacing w:after="120"/>
    </w:pPr>
    <w:rPr>
      <w:sz w:val="16"/>
      <w:szCs w:val="16"/>
    </w:rPr>
  </w:style>
  <w:style w:type="paragraph" w:styleId="12">
    <w:name w:val="Body Text"/>
    <w:basedOn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8"/>
    <w:unhideWhenUsed/>
    <w:qFormat/>
    <w:uiPriority w:val="99"/>
    <w:pPr>
      <w:tabs>
        <w:tab w:val="center" w:pos="4153"/>
        <w:tab w:val="right" w:pos="8306"/>
      </w:tabs>
      <w:snapToGrid w:val="0"/>
    </w:pPr>
    <w:rPr>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Subtitle"/>
    <w:basedOn w:val="1"/>
    <w:next w:val="1"/>
    <w:link w:val="73"/>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Normal (Web)"/>
    <w:basedOn w:val="1"/>
    <w:qFormat/>
    <w:uiPriority w:val="0"/>
    <w:pPr>
      <w:widowControl/>
      <w:spacing w:before="100" w:beforeAutospacing="1" w:after="100" w:afterAutospacing="1" w:line="240" w:lineRule="auto"/>
    </w:pPr>
    <w:rPr>
      <w:rFonts w:cs="宋体"/>
      <w:kern w:val="0"/>
      <w:szCs w:val="20"/>
    </w:rPr>
  </w:style>
  <w:style w:type="paragraph" w:styleId="28">
    <w:name w:val="Title"/>
    <w:basedOn w:val="1"/>
    <w:next w:val="1"/>
    <w:link w:val="72"/>
    <w:qFormat/>
    <w:uiPriority w:val="10"/>
    <w:pPr>
      <w:spacing w:before="60" w:after="60"/>
      <w:jc w:val="center"/>
      <w:outlineLvl w:val="0"/>
    </w:pPr>
    <w:rPr>
      <w:rFonts w:ascii="Cambria" w:hAnsi="Cambria" w:cs="Times New Roman"/>
      <w:b/>
      <w:bCs/>
      <w:szCs w:val="32"/>
    </w:rPr>
  </w:style>
  <w:style w:type="paragraph" w:styleId="29">
    <w:name w:val="annotation subject"/>
    <w:basedOn w:val="10"/>
    <w:next w:val="10"/>
    <w:link w:val="53"/>
    <w:semiHidden/>
    <w:unhideWhenUsed/>
    <w:qFormat/>
    <w:uiPriority w:val="99"/>
    <w:pPr>
      <w:spacing w:line="360" w:lineRule="auto"/>
    </w:pPr>
    <w:rPr>
      <w:rFonts w:ascii="宋体" w:hAnsi="宋体" w:eastAsia="宋体"/>
      <w:b/>
      <w:bCs/>
      <w:sz w:val="24"/>
      <w:szCs w:val="22"/>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semiHidden/>
    <w:unhideWhenUsed/>
    <w:qFormat/>
    <w:uiPriority w:val="99"/>
    <w:rPr>
      <w:sz w:val="21"/>
      <w:szCs w:val="21"/>
    </w:rPr>
  </w:style>
  <w:style w:type="paragraph" w:customStyle="1" w:styleId="36">
    <w:name w:val="正文缩进2"/>
    <w:basedOn w:val="1"/>
    <w:qFormat/>
    <w:uiPriority w:val="0"/>
    <w:pPr>
      <w:wordWrap w:val="0"/>
      <w:ind w:firstLine="200" w:firstLineChars="200"/>
    </w:pPr>
  </w:style>
  <w:style w:type="character" w:customStyle="1" w:styleId="37">
    <w:name w:val="页眉 字符"/>
    <w:basedOn w:val="32"/>
    <w:link w:val="19"/>
    <w:qFormat/>
    <w:uiPriority w:val="99"/>
    <w:rPr>
      <w:rFonts w:eastAsia="宋体"/>
      <w:sz w:val="18"/>
      <w:szCs w:val="18"/>
    </w:rPr>
  </w:style>
  <w:style w:type="character" w:customStyle="1" w:styleId="38">
    <w:name w:val="页脚 字符"/>
    <w:basedOn w:val="32"/>
    <w:link w:val="18"/>
    <w:qFormat/>
    <w:uiPriority w:val="99"/>
    <w:rPr>
      <w:rFonts w:eastAsia="宋体"/>
      <w:sz w:val="18"/>
      <w:szCs w:val="18"/>
    </w:rPr>
  </w:style>
  <w:style w:type="character" w:customStyle="1" w:styleId="39">
    <w:name w:val="标题 1 字符"/>
    <w:basedOn w:val="32"/>
    <w:link w:val="3"/>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字符"/>
    <w:basedOn w:val="32"/>
    <w:link w:val="4"/>
    <w:qFormat/>
    <w:uiPriority w:val="9"/>
    <w:rPr>
      <w:rFonts w:eastAsia="宋体" w:asciiTheme="majorHAnsi" w:hAnsiTheme="majorHAnsi" w:cstheme="majorBidi"/>
      <w:b/>
      <w:bCs/>
      <w:sz w:val="32"/>
      <w:szCs w:val="32"/>
    </w:rPr>
  </w:style>
  <w:style w:type="character" w:customStyle="1" w:styleId="42">
    <w:name w:val="未处理的提及1"/>
    <w:basedOn w:val="32"/>
    <w:semiHidden/>
    <w:unhideWhenUsed/>
    <w:qFormat/>
    <w:uiPriority w:val="99"/>
    <w:rPr>
      <w:color w:val="605E5C"/>
      <w:shd w:val="clear" w:color="auto" w:fill="E1DFDD"/>
    </w:rPr>
  </w:style>
  <w:style w:type="character" w:customStyle="1" w:styleId="43">
    <w:name w:val="正文文本 字符"/>
    <w:basedOn w:val="32"/>
    <w:link w:val="12"/>
    <w:qFormat/>
    <w:uiPriority w:val="99"/>
    <w:rPr>
      <w:rFonts w:ascii="Times New Roman" w:hAnsi="Times New Roman" w:eastAsia="宋体" w:cs="Times New Roman"/>
      <w:kern w:val="0"/>
      <w:sz w:val="20"/>
      <w:szCs w:val="20"/>
    </w:rPr>
  </w:style>
  <w:style w:type="character" w:customStyle="1" w:styleId="44">
    <w:name w:val="正文文本 3 字符"/>
    <w:basedOn w:val="32"/>
    <w:link w:val="11"/>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2"/>
    <w:link w:val="10"/>
    <w:qFormat/>
    <w:uiPriority w:val="0"/>
    <w:rPr>
      <w:szCs w:val="24"/>
    </w:rPr>
  </w:style>
  <w:style w:type="character" w:customStyle="1" w:styleId="49">
    <w:name w:val="列表段落 字符"/>
    <w:link w:val="40"/>
    <w:qFormat/>
    <w:uiPriority w:val="34"/>
    <w:rPr>
      <w:rFonts w:ascii="宋体" w:hAnsi="宋体" w:eastAsia="宋体"/>
      <w:sz w:val="24"/>
    </w:rPr>
  </w:style>
  <w:style w:type="character" w:customStyle="1" w:styleId="50">
    <w:name w:val="标题 3 字符"/>
    <w:basedOn w:val="32"/>
    <w:link w:val="5"/>
    <w:autoRedefine/>
    <w:qFormat/>
    <w:uiPriority w:val="9"/>
    <w:rPr>
      <w:rFonts w:ascii="宋体" w:hAnsi="宋体" w:eastAsia="宋体"/>
      <w:b/>
      <w:bCs/>
      <w:sz w:val="32"/>
      <w:szCs w:val="32"/>
    </w:rPr>
  </w:style>
  <w:style w:type="character" w:customStyle="1" w:styleId="51">
    <w:name w:val="标题 4 字符"/>
    <w:basedOn w:val="32"/>
    <w:link w:val="6"/>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9"/>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1"/>
    <w:autoRedefine/>
    <w:qFormat/>
    <w:uiPriority w:val="0"/>
    <w:pPr>
      <w:widowControl w:val="0"/>
      <w:jc w:val="both"/>
    </w:pPr>
    <w:rPr>
      <w:rFonts w:ascii="Calibri" w:hAnsi="Calibri" w:eastAsia="宋体" w:cs="Times New Roman"/>
      <w:lang w:val="en-US" w:eastAsia="zh-CN" w:bidi="ar-SA"/>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列出段落1"/>
    <w:basedOn w:val="1"/>
    <w:autoRedefine/>
    <w:qFormat/>
    <w:uiPriority w:val="0"/>
    <w:pPr>
      <w:ind w:firstLine="420" w:firstLineChars="200"/>
    </w:pPr>
    <w:rPr>
      <w:szCs w:val="21"/>
    </w:rPr>
  </w:style>
  <w:style w:type="paragraph" w:customStyle="1" w:styleId="62">
    <w:name w:val="Normal_22"/>
    <w:autoRedefine/>
    <w:qFormat/>
    <w:uiPriority w:val="0"/>
    <w:rPr>
      <w:rFonts w:ascii="Times New Roman" w:hAnsi="Times New Roman" w:eastAsia="Times New Roman" w:cs="Times New Roman"/>
      <w:sz w:val="24"/>
      <w:szCs w:val="24"/>
      <w:lang w:bidi="ar-SA"/>
    </w:rPr>
  </w:style>
  <w:style w:type="paragraph" w:customStyle="1" w:styleId="63">
    <w:name w:val="Char Char Char Char Char Char Char1 Char"/>
    <w:basedOn w:val="1"/>
    <w:autoRedefine/>
    <w:qFormat/>
    <w:uiPriority w:val="0"/>
    <w:rPr>
      <w:rFonts w:ascii="Arial" w:hAnsi="Arial" w:eastAsia="宋体" w:cs="Arial"/>
      <w:sz w:val="24"/>
    </w:rPr>
  </w:style>
  <w:style w:type="paragraph" w:customStyle="1" w:styleId="6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5">
    <w:name w:val="正"/>
    <w:basedOn w:val="59"/>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6">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7">
    <w:name w:val="Normal_3"/>
    <w:qFormat/>
    <w:uiPriority w:val="0"/>
    <w:rPr>
      <w:rFonts w:ascii="黑体" w:hAnsi="黑体" w:eastAsia="黑体" w:cs="Times New Roman"/>
      <w:b/>
      <w:sz w:val="32"/>
      <w:szCs w:val="24"/>
      <w:lang w:val="en-US" w:eastAsia="zh-CN" w:bidi="ar-SA"/>
    </w:rPr>
  </w:style>
  <w:style w:type="paragraph" w:customStyle="1" w:styleId="68">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69">
    <w:name w:val="_Style 4"/>
    <w:basedOn w:val="3"/>
    <w:next w:val="1"/>
    <w:qFormat/>
    <w:uiPriority w:val="0"/>
    <w:pPr>
      <w:widowControl w:val="0"/>
      <w:spacing w:line="576" w:lineRule="auto"/>
      <w:jc w:val="both"/>
      <w:outlineLvl w:val="9"/>
    </w:pPr>
    <w:rPr>
      <w:rFonts w:ascii="Calibri" w:hAnsi="Calibri" w:cs="Times New Roman"/>
    </w:rPr>
  </w:style>
  <w:style w:type="paragraph" w:customStyle="1" w:styleId="70">
    <w:name w:val="p0"/>
    <w:basedOn w:val="1"/>
    <w:qFormat/>
    <w:uiPriority w:val="0"/>
    <w:pPr>
      <w:jc w:val="both"/>
    </w:pPr>
    <w:rPr>
      <w:rFonts w:ascii="Times New Roman" w:hAnsi="Times New Roman" w:cs="Times New Roman"/>
      <w:sz w:val="21"/>
      <w:szCs w:val="21"/>
    </w:rPr>
  </w:style>
  <w:style w:type="character" w:customStyle="1" w:styleId="71">
    <w:name w:val="15"/>
    <w:qFormat/>
    <w:uiPriority w:val="0"/>
    <w:rPr>
      <w:rFonts w:hint="default" w:ascii="Times New Roman" w:hAnsi="Times New Roman" w:cs="Times New Roman"/>
      <w:color w:val="464445"/>
      <w:u w:val="none"/>
    </w:rPr>
  </w:style>
  <w:style w:type="character" w:customStyle="1" w:styleId="72">
    <w:name w:val="标题 字符"/>
    <w:link w:val="28"/>
    <w:qFormat/>
    <w:uiPriority w:val="10"/>
    <w:rPr>
      <w:rFonts w:ascii="Cambria" w:hAnsi="Cambria" w:cs="Times New Roman"/>
      <w:b/>
      <w:bCs/>
      <w:szCs w:val="32"/>
    </w:rPr>
  </w:style>
  <w:style w:type="character" w:customStyle="1" w:styleId="73">
    <w:name w:val="副标题 字符"/>
    <w:link w:val="22"/>
    <w:qFormat/>
    <w:uiPriority w:val="11"/>
    <w:rPr>
      <w:rFonts w:ascii="Calibri Light" w:hAnsi="Calibri Light" w:cs="Times New Roman"/>
      <w:b/>
      <w:bCs/>
      <w:kern w:val="28"/>
      <w:sz w:val="32"/>
      <w:szCs w:val="32"/>
    </w:rPr>
  </w:style>
  <w:style w:type="table" w:customStyle="1" w:styleId="74">
    <w:name w:val="Table Normal"/>
    <w:unhideWhenUsed/>
    <w:qFormat/>
    <w:uiPriority w:val="2"/>
    <w:tblPr>
      <w:tblCellMar>
        <w:top w:w="0" w:type="dxa"/>
        <w:left w:w="0" w:type="dxa"/>
        <w:bottom w:w="0" w:type="dxa"/>
        <w:right w:w="0" w:type="dxa"/>
      </w:tblCellMar>
    </w:tblPr>
  </w:style>
  <w:style w:type="paragraph" w:customStyle="1" w:styleId="75">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7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28675</Words>
  <Characters>30851</Characters>
  <Lines>294</Lines>
  <Paragraphs>82</Paragraphs>
  <TotalTime>6</TotalTime>
  <ScaleCrop>false</ScaleCrop>
  <LinksUpToDate>false</LinksUpToDate>
  <CharactersWithSpaces>31690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天亮了</cp:lastModifiedBy>
  <cp:lastPrinted>2024-12-28T09:35:00Z</cp:lastPrinted>
  <dcterms:modified xsi:type="dcterms:W3CDTF">2026-04-27T07:58:07Z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EF722639EB3F42298CFA0F4EE657F1B7_13</vt:lpwstr>
  </property>
  <property fmtid="{D5CDD505-2E9C-101B-9397-08002B2CF9AE}" pid="4" name="KSOTemplateDocerSaveRecord">
    <vt:lpwstr>eyJoZGlkIjoiNjcyNGM0ZWQ4YjEwMDE1MjU4OWFlOGU0MjA3MjFiZjEiLCJ1c2VySWQiOiIyODk0OTk0OTUifQ==</vt:lpwstr>
  </property>
</Properties>
</file>