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08DAD7">
      <w:pPr>
        <w:jc w:val="center"/>
        <w:rPr>
          <w:rFonts w:hint="eastAsia" w:ascii="宋体" w:hAnsi="宋体" w:cs="宋体"/>
          <w:b/>
          <w:bCs/>
          <w:color w:val="auto"/>
          <w:sz w:val="44"/>
          <w:szCs w:val="44"/>
          <w:highlight w:val="none"/>
        </w:rPr>
      </w:pPr>
      <w:bookmarkStart w:id="0" w:name="_Hlk99472014"/>
      <w:bookmarkStart w:id="1" w:name="第二部分第六章"/>
    </w:p>
    <w:p w14:paraId="6E171D31">
      <w:pPr>
        <w:spacing w:line="500" w:lineRule="exact"/>
        <w:jc w:val="center"/>
        <w:rPr>
          <w:rFonts w:hint="eastAsia" w:ascii="宋体" w:hAnsi="宋体" w:eastAsia="宋体" w:cs="宋体"/>
          <w:b/>
          <w:color w:val="auto"/>
          <w:sz w:val="48"/>
          <w:szCs w:val="48"/>
          <w:highlight w:val="none"/>
          <w:lang w:eastAsia="zh-CN" w:bidi="ar"/>
        </w:rPr>
      </w:pPr>
      <w:r>
        <w:rPr>
          <w:rFonts w:hint="eastAsia" w:ascii="宋体" w:hAnsi="宋体" w:cs="宋体"/>
          <w:b/>
          <w:color w:val="auto"/>
          <w:sz w:val="48"/>
          <w:szCs w:val="48"/>
          <w:highlight w:val="none"/>
          <w:lang w:eastAsia="zh-CN" w:bidi="ar"/>
        </w:rPr>
        <w:t>吐鲁番市高昌区人民医院彩色多普勒超声诊断仪等设备采购项目</w:t>
      </w:r>
    </w:p>
    <w:p w14:paraId="409DA98E">
      <w:pPr>
        <w:spacing w:line="500" w:lineRule="exact"/>
        <w:jc w:val="center"/>
        <w:rPr>
          <w:rFonts w:hint="eastAsia" w:ascii="宋体" w:hAnsi="宋体" w:cs="宋体"/>
          <w:b/>
          <w:color w:val="auto"/>
          <w:sz w:val="30"/>
          <w:szCs w:val="30"/>
          <w:highlight w:val="none"/>
          <w:lang w:bidi="ar"/>
        </w:rPr>
      </w:pPr>
    </w:p>
    <w:p w14:paraId="59FE4A78">
      <w:pPr>
        <w:spacing w:line="500" w:lineRule="exact"/>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lang w:bidi="ar"/>
        </w:rPr>
        <w:t>(项目编号</w:t>
      </w:r>
      <w:r>
        <w:rPr>
          <w:rFonts w:hint="eastAsia" w:ascii="宋体" w:hAnsi="宋体" w:cs="宋体"/>
          <w:b/>
          <w:color w:val="auto"/>
          <w:sz w:val="30"/>
          <w:szCs w:val="30"/>
          <w:highlight w:val="none"/>
          <w:lang w:bidi="ar"/>
        </w:rPr>
        <w:t>：</w:t>
      </w:r>
      <w:r>
        <w:rPr>
          <w:rFonts w:hint="eastAsia" w:ascii="宋体" w:hAnsi="宋体" w:cs="宋体"/>
          <w:b/>
          <w:color w:val="auto"/>
          <w:sz w:val="30"/>
          <w:szCs w:val="30"/>
          <w:highlight w:val="none"/>
          <w:lang w:eastAsia="zh-CN" w:bidi="ar"/>
        </w:rPr>
        <w:t>ZYZB-2026-Z-050</w:t>
      </w:r>
      <w:r>
        <w:rPr>
          <w:rFonts w:hint="eastAsia" w:ascii="宋体" w:hAnsi="宋体" w:cs="宋体"/>
          <w:b/>
          <w:color w:val="auto"/>
          <w:sz w:val="30"/>
          <w:szCs w:val="30"/>
          <w:highlight w:val="none"/>
          <w:lang w:bidi="ar"/>
        </w:rPr>
        <w:t>)</w:t>
      </w:r>
    </w:p>
    <w:p w14:paraId="57D72582">
      <w:pPr>
        <w:pStyle w:val="44"/>
        <w:widowControl w:val="0"/>
        <w:spacing w:before="0" w:beforeAutospacing="0" w:after="0" w:afterAutospacing="0"/>
        <w:ind w:left="228" w:hanging="228" w:hangingChars="95"/>
        <w:jc w:val="both"/>
        <w:rPr>
          <w:rFonts w:hint="eastAsia"/>
          <w:color w:val="auto"/>
          <w:highlight w:val="none"/>
        </w:rPr>
      </w:pPr>
      <w:bookmarkStart w:id="120" w:name="_GoBack"/>
      <w:bookmarkEnd w:id="120"/>
    </w:p>
    <w:p w14:paraId="09189032">
      <w:pPr>
        <w:pStyle w:val="44"/>
        <w:widowControl w:val="0"/>
        <w:spacing w:before="0" w:beforeAutospacing="0" w:after="0" w:afterAutospacing="0"/>
        <w:jc w:val="both"/>
        <w:rPr>
          <w:rFonts w:hint="eastAsia"/>
          <w:color w:val="auto"/>
          <w:highlight w:val="none"/>
        </w:rPr>
      </w:pPr>
    </w:p>
    <w:p w14:paraId="08FA66C6">
      <w:pPr>
        <w:pStyle w:val="44"/>
        <w:widowControl w:val="0"/>
        <w:spacing w:before="0" w:beforeAutospacing="0" w:after="0" w:afterAutospacing="0"/>
        <w:jc w:val="both"/>
        <w:rPr>
          <w:rFonts w:hint="eastAsia"/>
          <w:color w:val="auto"/>
          <w:highlight w:val="none"/>
        </w:rPr>
      </w:pPr>
    </w:p>
    <w:p w14:paraId="7F97455B">
      <w:pPr>
        <w:pStyle w:val="44"/>
        <w:widowControl w:val="0"/>
        <w:spacing w:before="0" w:beforeAutospacing="0" w:after="0" w:afterAutospacing="0"/>
        <w:ind w:left="480" w:hanging="480" w:hangingChars="200"/>
        <w:jc w:val="both"/>
        <w:rPr>
          <w:rFonts w:hint="eastAsia"/>
          <w:color w:val="auto"/>
          <w:highlight w:val="none"/>
        </w:rPr>
      </w:pPr>
    </w:p>
    <w:p w14:paraId="4CB8530B">
      <w:pPr>
        <w:jc w:val="center"/>
        <w:rPr>
          <w:rFonts w:hint="eastAsia" w:ascii="宋体" w:hAnsi="宋体" w:eastAsia="宋体" w:cs="宋体"/>
          <w:b/>
          <w:bCs/>
          <w:color w:val="auto"/>
          <w:sz w:val="72"/>
          <w:szCs w:val="72"/>
          <w:highlight w:val="none"/>
          <w:lang w:eastAsia="zh-CN"/>
        </w:rPr>
      </w:pPr>
      <w:r>
        <w:rPr>
          <w:rFonts w:hint="eastAsia" w:ascii="宋体" w:hAnsi="宋体" w:cs="宋体"/>
          <w:b/>
          <w:bCs/>
          <w:color w:val="auto"/>
          <w:sz w:val="72"/>
          <w:szCs w:val="72"/>
          <w:highlight w:val="none"/>
          <w:lang w:eastAsia="zh-CN" w:bidi="ar"/>
        </w:rPr>
        <w:t>招标文件</w:t>
      </w:r>
    </w:p>
    <w:p w14:paraId="2DFD9560">
      <w:pPr>
        <w:spacing w:line="500" w:lineRule="exact"/>
        <w:jc w:val="left"/>
        <w:rPr>
          <w:rFonts w:hint="eastAsia" w:ascii="宋体" w:hAnsi="宋体" w:cs="宋体"/>
          <w:b/>
          <w:color w:val="auto"/>
          <w:sz w:val="30"/>
          <w:szCs w:val="30"/>
          <w:highlight w:val="none"/>
        </w:rPr>
      </w:pPr>
    </w:p>
    <w:p w14:paraId="751E418E">
      <w:pPr>
        <w:pStyle w:val="44"/>
        <w:widowControl w:val="0"/>
        <w:spacing w:before="0" w:beforeAutospacing="0" w:after="0" w:afterAutospacing="0"/>
        <w:ind w:firstLine="480" w:firstLineChars="200"/>
        <w:jc w:val="both"/>
        <w:rPr>
          <w:color w:val="auto"/>
          <w:highlight w:val="none"/>
        </w:rPr>
      </w:pPr>
    </w:p>
    <w:p w14:paraId="5B0477A3">
      <w:pPr>
        <w:pStyle w:val="44"/>
        <w:widowControl w:val="0"/>
        <w:spacing w:before="0" w:beforeAutospacing="0" w:after="0" w:afterAutospacing="0"/>
        <w:jc w:val="both"/>
        <w:rPr>
          <w:color w:val="auto"/>
          <w:highlight w:val="none"/>
        </w:rPr>
      </w:pPr>
    </w:p>
    <w:p w14:paraId="0B2339F7">
      <w:pPr>
        <w:pBdr>
          <w:bottom w:val="double" w:color="auto" w:sz="6" w:space="0"/>
        </w:pBdr>
        <w:spacing w:line="500" w:lineRule="exact"/>
        <w:rPr>
          <w:rFonts w:hint="eastAsia" w:ascii="宋体" w:hAnsi="宋体" w:cs="宋体"/>
          <w:b/>
          <w:color w:val="auto"/>
          <w:kern w:val="0"/>
          <w:sz w:val="32"/>
          <w:szCs w:val="32"/>
          <w:highlight w:val="none"/>
        </w:rPr>
      </w:pPr>
    </w:p>
    <w:p w14:paraId="3225BCF7">
      <w:pPr>
        <w:pBdr>
          <w:bottom w:val="single" w:color="auto" w:sz="6" w:space="10"/>
        </w:pBdr>
        <w:spacing w:before="120" w:beforeLines="50" w:after="120" w:afterLines="50" w:line="500" w:lineRule="exact"/>
        <w:ind w:firstLine="1063" w:firstLineChars="353"/>
        <w:jc w:val="left"/>
        <w:rPr>
          <w:rFonts w:hint="eastAsia" w:ascii="宋体" w:hAnsi="宋体" w:cs="宋体"/>
          <w:b/>
          <w:color w:val="auto"/>
          <w:kern w:val="0"/>
          <w:sz w:val="30"/>
          <w:szCs w:val="30"/>
          <w:highlight w:val="none"/>
          <w:lang w:bidi="ar"/>
        </w:rPr>
      </w:pPr>
      <w:r>
        <w:rPr>
          <w:rFonts w:hint="eastAsia" w:ascii="宋体" w:hAnsi="宋体" w:cs="宋体"/>
          <w:b/>
          <w:color w:val="auto"/>
          <w:kern w:val="0"/>
          <w:sz w:val="30"/>
          <w:szCs w:val="30"/>
          <w:highlight w:val="none"/>
          <w:lang w:bidi="ar"/>
        </w:rPr>
        <w:t>采 购 人：吐鲁番市高昌区人民医院</w:t>
      </w:r>
    </w:p>
    <w:p w14:paraId="36CDB144">
      <w:pPr>
        <w:pBdr>
          <w:bottom w:val="single" w:color="auto" w:sz="6" w:space="10"/>
        </w:pBdr>
        <w:spacing w:before="120" w:beforeLines="50" w:after="120" w:afterLines="50" w:line="500" w:lineRule="exact"/>
        <w:ind w:firstLine="1063" w:firstLineChars="353"/>
        <w:jc w:val="left"/>
        <w:rPr>
          <w:rFonts w:hint="eastAsia" w:ascii="宋体" w:hAnsi="宋体" w:cs="宋体"/>
          <w:b/>
          <w:color w:val="auto"/>
          <w:kern w:val="0"/>
          <w:sz w:val="30"/>
          <w:szCs w:val="30"/>
          <w:highlight w:val="none"/>
          <w:lang w:bidi="ar"/>
        </w:rPr>
      </w:pPr>
      <w:r>
        <w:rPr>
          <w:rFonts w:hint="eastAsia" w:ascii="宋体" w:hAnsi="宋体" w:cs="宋体"/>
          <w:b/>
          <w:color w:val="auto"/>
          <w:kern w:val="0"/>
          <w:sz w:val="30"/>
          <w:szCs w:val="30"/>
          <w:highlight w:val="none"/>
          <w:lang w:bidi="ar"/>
        </w:rPr>
        <w:t>联系人：吕建锋</w:t>
      </w:r>
    </w:p>
    <w:p w14:paraId="2770EE80">
      <w:pPr>
        <w:pBdr>
          <w:bottom w:val="single" w:color="auto" w:sz="6" w:space="10"/>
        </w:pBdr>
        <w:spacing w:before="120" w:beforeLines="50" w:after="120" w:afterLines="50" w:line="500" w:lineRule="exact"/>
        <w:ind w:firstLine="1063" w:firstLineChars="353"/>
        <w:jc w:val="left"/>
        <w:rPr>
          <w:rFonts w:hint="eastAsia" w:ascii="宋体" w:hAnsi="宋体" w:cs="宋体"/>
          <w:b/>
          <w:color w:val="auto"/>
          <w:kern w:val="0"/>
          <w:sz w:val="30"/>
          <w:szCs w:val="30"/>
          <w:highlight w:val="none"/>
          <w:lang w:bidi="ar"/>
        </w:rPr>
      </w:pPr>
      <w:r>
        <w:rPr>
          <w:rFonts w:hint="eastAsia" w:ascii="宋体" w:hAnsi="宋体" w:cs="宋体"/>
          <w:b/>
          <w:color w:val="auto"/>
          <w:kern w:val="0"/>
          <w:sz w:val="30"/>
          <w:szCs w:val="30"/>
          <w:highlight w:val="none"/>
          <w:lang w:bidi="ar"/>
        </w:rPr>
        <w:t>电话：0995-6260686</w:t>
      </w:r>
    </w:p>
    <w:p w14:paraId="1CF2A33C">
      <w:pPr>
        <w:pBdr>
          <w:bottom w:val="single" w:color="auto" w:sz="6" w:space="10"/>
        </w:pBdr>
        <w:spacing w:before="120" w:beforeLines="50" w:after="120" w:afterLines="50" w:line="500" w:lineRule="exact"/>
        <w:ind w:firstLine="1063" w:firstLineChars="353"/>
        <w:jc w:val="left"/>
        <w:rPr>
          <w:rFonts w:hint="eastAsia" w:ascii="宋体" w:hAnsi="宋体" w:cs="宋体"/>
          <w:b/>
          <w:color w:val="auto"/>
          <w:kern w:val="0"/>
          <w:sz w:val="30"/>
          <w:szCs w:val="30"/>
          <w:highlight w:val="none"/>
        </w:rPr>
      </w:pPr>
      <w:r>
        <w:rPr>
          <w:rFonts w:hint="eastAsia" w:ascii="宋体" w:hAnsi="宋体" w:cs="宋体"/>
          <w:b/>
          <w:color w:val="auto"/>
          <w:kern w:val="0"/>
          <w:sz w:val="30"/>
          <w:szCs w:val="30"/>
          <w:highlight w:val="none"/>
          <w:lang w:bidi="ar"/>
        </w:rPr>
        <w:t xml:space="preserve">地址：吐鲁番市高昌区高昌南路146号 </w:t>
      </w:r>
    </w:p>
    <w:p w14:paraId="01F3BA90">
      <w:pPr>
        <w:spacing w:before="120" w:beforeLines="50" w:line="500" w:lineRule="exact"/>
        <w:ind w:firstLine="1063" w:firstLineChars="331"/>
        <w:rPr>
          <w:rFonts w:hint="eastAsia" w:ascii="宋体" w:hAnsi="宋体" w:cs="宋体"/>
          <w:b/>
          <w:color w:val="auto"/>
          <w:sz w:val="32"/>
          <w:szCs w:val="20"/>
          <w:highlight w:val="none"/>
        </w:rPr>
      </w:pPr>
      <w:r>
        <w:rPr>
          <w:rFonts w:hint="eastAsia" w:ascii="宋体" w:hAnsi="宋体" w:cs="宋体"/>
          <w:b/>
          <w:color w:val="auto"/>
          <w:sz w:val="32"/>
          <w:szCs w:val="20"/>
          <w:highlight w:val="none"/>
          <w:lang w:bidi="ar"/>
        </w:rPr>
        <w:t>代理机构：中益招标有限公司</w:t>
      </w:r>
    </w:p>
    <w:p w14:paraId="6A001BAC">
      <w:pPr>
        <w:spacing w:before="120" w:beforeLines="50" w:line="500" w:lineRule="exact"/>
        <w:ind w:firstLine="1063" w:firstLineChars="331"/>
        <w:rPr>
          <w:rFonts w:hint="eastAsia" w:ascii="宋体" w:hAnsi="宋体" w:cs="宋体"/>
          <w:b/>
          <w:color w:val="auto"/>
          <w:sz w:val="32"/>
          <w:szCs w:val="20"/>
          <w:highlight w:val="none"/>
        </w:rPr>
      </w:pPr>
      <w:r>
        <w:rPr>
          <w:rFonts w:hint="eastAsia" w:ascii="宋体" w:hAnsi="宋体" w:cs="宋体"/>
          <w:b/>
          <w:color w:val="auto"/>
          <w:sz w:val="32"/>
          <w:szCs w:val="20"/>
          <w:highlight w:val="none"/>
          <w:lang w:bidi="ar"/>
        </w:rPr>
        <w:t>联 系 人：罗雄雄</w:t>
      </w:r>
    </w:p>
    <w:p w14:paraId="4F444400">
      <w:pPr>
        <w:spacing w:before="120" w:beforeLines="50" w:line="500" w:lineRule="exact"/>
        <w:ind w:firstLine="1063" w:firstLineChars="331"/>
        <w:rPr>
          <w:rFonts w:hint="eastAsia" w:ascii="宋体" w:hAnsi="宋体" w:cs="宋体"/>
          <w:b/>
          <w:color w:val="auto"/>
          <w:sz w:val="32"/>
          <w:szCs w:val="20"/>
          <w:highlight w:val="none"/>
        </w:rPr>
      </w:pPr>
      <w:r>
        <w:rPr>
          <w:rFonts w:hint="eastAsia" w:ascii="宋体" w:hAnsi="宋体" w:cs="宋体"/>
          <w:b/>
          <w:color w:val="auto"/>
          <w:sz w:val="32"/>
          <w:szCs w:val="20"/>
          <w:highlight w:val="none"/>
          <w:lang w:bidi="ar"/>
        </w:rPr>
        <w:t xml:space="preserve">电    话：0991-3651985 </w:t>
      </w:r>
    </w:p>
    <w:p w14:paraId="1B75DB5A">
      <w:pPr>
        <w:spacing w:before="120" w:beforeLines="50" w:line="500" w:lineRule="exact"/>
        <w:ind w:firstLine="1063" w:firstLineChars="331"/>
        <w:rPr>
          <w:rFonts w:hint="eastAsia" w:ascii="宋体" w:hAnsi="宋体" w:cs="宋体"/>
          <w:b/>
          <w:color w:val="auto"/>
          <w:sz w:val="32"/>
          <w:szCs w:val="20"/>
          <w:highlight w:val="none"/>
        </w:rPr>
      </w:pPr>
      <w:r>
        <w:rPr>
          <w:rFonts w:hint="eastAsia" w:ascii="宋体" w:hAnsi="宋体" w:cs="宋体"/>
          <w:b/>
          <w:color w:val="auto"/>
          <w:sz w:val="32"/>
          <w:szCs w:val="20"/>
          <w:highlight w:val="none"/>
          <w:lang w:bidi="ar"/>
        </w:rPr>
        <w:t>地    址：新疆乌鲁木齐市新市区北京南路416号</w:t>
      </w:r>
    </w:p>
    <w:p w14:paraId="3560C223">
      <w:pPr>
        <w:spacing w:before="120" w:beforeLines="50" w:line="500" w:lineRule="exact"/>
        <w:ind w:firstLine="2666" w:firstLineChars="830"/>
        <w:rPr>
          <w:rFonts w:hint="eastAsia" w:ascii="宋体" w:hAnsi="宋体" w:cs="宋体"/>
          <w:b/>
          <w:color w:val="auto"/>
          <w:sz w:val="32"/>
          <w:szCs w:val="20"/>
          <w:highlight w:val="none"/>
        </w:rPr>
      </w:pPr>
      <w:r>
        <w:rPr>
          <w:rFonts w:hint="eastAsia" w:ascii="宋体" w:hAnsi="宋体" w:cs="宋体"/>
          <w:b/>
          <w:color w:val="auto"/>
          <w:sz w:val="32"/>
          <w:szCs w:val="20"/>
          <w:highlight w:val="none"/>
          <w:lang w:bidi="ar"/>
        </w:rPr>
        <w:t>盈科国际中心30楼</w:t>
      </w:r>
    </w:p>
    <w:p w14:paraId="2AB73C80">
      <w:pPr>
        <w:spacing w:line="500" w:lineRule="exact"/>
        <w:jc w:val="center"/>
        <w:rPr>
          <w:rFonts w:hint="eastAsia" w:ascii="宋体" w:hAnsi="宋体" w:cs="宋体"/>
          <w:b/>
          <w:color w:val="auto"/>
          <w:sz w:val="32"/>
          <w:szCs w:val="20"/>
          <w:highlight w:val="none"/>
        </w:rPr>
      </w:pPr>
    </w:p>
    <w:p w14:paraId="32FC51CD">
      <w:pPr>
        <w:pStyle w:val="44"/>
        <w:widowControl w:val="0"/>
        <w:spacing w:before="0" w:beforeAutospacing="0" w:after="0" w:afterAutospacing="0"/>
        <w:ind w:firstLine="480" w:firstLineChars="200"/>
        <w:jc w:val="both"/>
        <w:rPr>
          <w:color w:val="auto"/>
          <w:highlight w:val="none"/>
        </w:rPr>
      </w:pPr>
    </w:p>
    <w:p w14:paraId="73BE9EAE">
      <w:pPr>
        <w:pStyle w:val="44"/>
        <w:widowControl w:val="0"/>
        <w:spacing w:before="0" w:beforeAutospacing="0" w:after="0" w:afterAutospacing="0"/>
        <w:ind w:firstLine="480" w:firstLineChars="200"/>
        <w:jc w:val="both"/>
        <w:rPr>
          <w:color w:val="auto"/>
          <w:highlight w:val="none"/>
        </w:rPr>
      </w:pPr>
    </w:p>
    <w:p w14:paraId="724C516E">
      <w:pPr>
        <w:spacing w:line="500" w:lineRule="exact"/>
        <w:jc w:val="center"/>
        <w:rPr>
          <w:rFonts w:hint="eastAsia" w:ascii="宋体" w:hAnsi="宋体" w:cs="宋体"/>
          <w:b/>
          <w:color w:val="auto"/>
          <w:sz w:val="32"/>
          <w:szCs w:val="20"/>
          <w:highlight w:val="none"/>
        </w:rPr>
      </w:pPr>
      <w:r>
        <w:rPr>
          <w:rFonts w:hint="eastAsia" w:ascii="宋体" w:hAnsi="宋体" w:cs="宋体"/>
          <w:b/>
          <w:color w:val="auto"/>
          <w:sz w:val="32"/>
          <w:szCs w:val="20"/>
          <w:highlight w:val="none"/>
          <w:lang w:bidi="ar"/>
        </w:rPr>
        <w:t>二〇二</w:t>
      </w:r>
      <w:r>
        <w:rPr>
          <w:rFonts w:hint="eastAsia" w:ascii="宋体" w:hAnsi="宋体" w:cs="宋体"/>
          <w:b/>
          <w:color w:val="auto"/>
          <w:sz w:val="32"/>
          <w:szCs w:val="20"/>
          <w:highlight w:val="none"/>
          <w:lang w:val="en-US" w:eastAsia="zh-CN" w:bidi="ar"/>
        </w:rPr>
        <w:t>六</w:t>
      </w:r>
      <w:r>
        <w:rPr>
          <w:rFonts w:hint="eastAsia" w:ascii="宋体" w:hAnsi="宋体" w:cs="宋体"/>
          <w:b/>
          <w:color w:val="auto"/>
          <w:sz w:val="32"/>
          <w:szCs w:val="20"/>
          <w:highlight w:val="none"/>
          <w:lang w:bidi="ar"/>
        </w:rPr>
        <w:t>年</w:t>
      </w:r>
      <w:r>
        <w:rPr>
          <w:rFonts w:hint="eastAsia" w:ascii="宋体" w:hAnsi="宋体" w:cs="宋体"/>
          <w:b/>
          <w:color w:val="auto"/>
          <w:sz w:val="32"/>
          <w:szCs w:val="20"/>
          <w:highlight w:val="none"/>
          <w:lang w:val="en-US" w:eastAsia="zh-CN" w:bidi="ar"/>
        </w:rPr>
        <w:t>四</w:t>
      </w:r>
      <w:r>
        <w:rPr>
          <w:rFonts w:hint="eastAsia" w:ascii="宋体" w:hAnsi="宋体" w:cs="宋体"/>
          <w:b/>
          <w:color w:val="auto"/>
          <w:sz w:val="32"/>
          <w:szCs w:val="20"/>
          <w:highlight w:val="none"/>
          <w:lang w:bidi="ar"/>
        </w:rPr>
        <w:t>月</w:t>
      </w:r>
    </w:p>
    <w:p w14:paraId="6AD0ED2A">
      <w:pPr>
        <w:keepNext w:val="0"/>
        <w:keepLines w:val="0"/>
        <w:pageBreakBefore w:val="0"/>
        <w:widowControl w:val="0"/>
        <w:kinsoku/>
        <w:wordWrap/>
        <w:overflowPunct/>
        <w:topLinePunct w:val="0"/>
        <w:autoSpaceDE/>
        <w:autoSpaceDN/>
        <w:bidi w:val="0"/>
        <w:adjustRightInd/>
        <w:snapToGrid/>
        <w:spacing w:line="360" w:lineRule="auto"/>
        <w:ind w:leftChars="500"/>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32"/>
          <w:szCs w:val="40"/>
          <w:highlight w:val="none"/>
        </w:rPr>
        <w:br w:type="page"/>
      </w:r>
    </w:p>
    <w:bookmarkEnd w:id="0"/>
    <w:p w14:paraId="729068F3">
      <w:pPr>
        <w:pStyle w:val="26"/>
        <w:adjustRightInd w:val="0"/>
        <w:snapToGrid w:val="0"/>
        <w:spacing w:line="360" w:lineRule="auto"/>
        <w:jc w:val="center"/>
        <w:rPr>
          <w:rFonts w:hint="eastAsia" w:ascii="宋体" w:hAnsi="宋体" w:eastAsia="宋体" w:cs="宋体"/>
          <w:b/>
          <w:color w:val="auto"/>
          <w:spacing w:val="160"/>
          <w:sz w:val="36"/>
          <w:szCs w:val="36"/>
          <w:highlight w:val="none"/>
        </w:rPr>
      </w:pPr>
      <w:r>
        <w:rPr>
          <w:rFonts w:hint="eastAsia" w:ascii="宋体" w:hAnsi="宋体" w:eastAsia="宋体" w:cs="宋体"/>
          <w:b/>
          <w:color w:val="auto"/>
          <w:spacing w:val="160"/>
          <w:sz w:val="36"/>
          <w:szCs w:val="36"/>
          <w:highlight w:val="none"/>
        </w:rPr>
        <w:t>目录</w:t>
      </w:r>
    </w:p>
    <w:p w14:paraId="236247B5">
      <w:pPr>
        <w:pStyle w:val="33"/>
        <w:tabs>
          <w:tab w:val="right" w:leader="dot" w:pos="8312"/>
        </w:tabs>
        <w:spacing w:line="720" w:lineRule="auto"/>
        <w:rPr>
          <w:color w:val="auto"/>
          <w:sz w:val="32"/>
          <w:szCs w:val="32"/>
          <w:highlight w:val="none"/>
        </w:rPr>
      </w:pPr>
      <w:bookmarkStart w:id="2" w:name="_Toc420948005"/>
      <w:bookmarkStart w:id="3" w:name="_Toc419219491"/>
      <w:bookmarkStart w:id="4" w:name="_Toc419219410"/>
      <w:bookmarkStart w:id="5" w:name="_Toc419219645"/>
      <w:r>
        <w:rPr>
          <w:rFonts w:hint="eastAsia" w:ascii="宋体" w:hAnsi="宋体" w:eastAsia="宋体" w:cs="宋体"/>
          <w:b w:val="0"/>
          <w:color w:val="auto"/>
          <w:sz w:val="24"/>
          <w:szCs w:val="24"/>
          <w:highlight w:val="none"/>
        </w:rPr>
        <w:fldChar w:fldCharType="begin"/>
      </w:r>
      <w:r>
        <w:rPr>
          <w:rFonts w:hint="eastAsia" w:ascii="宋体" w:hAnsi="宋体" w:eastAsia="宋体" w:cs="宋体"/>
          <w:b w:val="0"/>
          <w:color w:val="auto"/>
          <w:sz w:val="24"/>
          <w:szCs w:val="24"/>
          <w:highlight w:val="none"/>
        </w:rPr>
        <w:instrText xml:space="preserve"> TOC \o "1-3" \h \z \u </w:instrText>
      </w:r>
      <w:r>
        <w:rPr>
          <w:rFonts w:hint="eastAsia" w:ascii="宋体" w:hAnsi="宋体" w:eastAsia="宋体" w:cs="宋体"/>
          <w:b w:val="0"/>
          <w:color w:val="auto"/>
          <w:sz w:val="24"/>
          <w:szCs w:val="24"/>
          <w:highlight w:val="none"/>
        </w:rPr>
        <w:fldChar w:fldCharType="separate"/>
      </w:r>
      <w:r>
        <w:rPr>
          <w:rFonts w:hint="eastAsia" w:ascii="宋体" w:hAnsi="宋体" w:eastAsia="宋体" w:cs="宋体"/>
          <w:color w:val="auto"/>
          <w:sz w:val="32"/>
          <w:szCs w:val="24"/>
          <w:highlight w:val="none"/>
        </w:rPr>
        <w:fldChar w:fldCharType="begin"/>
      </w:r>
      <w:r>
        <w:rPr>
          <w:rFonts w:hint="eastAsia" w:ascii="宋体" w:hAnsi="宋体" w:eastAsia="宋体" w:cs="宋体"/>
          <w:color w:val="auto"/>
          <w:sz w:val="32"/>
          <w:szCs w:val="24"/>
          <w:highlight w:val="none"/>
        </w:rPr>
        <w:instrText xml:space="preserve"> HYPERLINK \l _Toc30800 </w:instrText>
      </w:r>
      <w:r>
        <w:rPr>
          <w:rFonts w:hint="eastAsia" w:ascii="宋体" w:hAnsi="宋体" w:eastAsia="宋体" w:cs="宋体"/>
          <w:color w:val="auto"/>
          <w:sz w:val="32"/>
          <w:szCs w:val="24"/>
          <w:highlight w:val="none"/>
        </w:rPr>
        <w:fldChar w:fldCharType="separate"/>
      </w:r>
      <w:r>
        <w:rPr>
          <w:rFonts w:hint="eastAsia" w:ascii="宋体" w:hAnsi="宋体" w:eastAsia="宋体" w:cs="宋体"/>
          <w:color w:val="auto"/>
          <w:sz w:val="32"/>
          <w:szCs w:val="32"/>
          <w:highlight w:val="none"/>
        </w:rPr>
        <w:t xml:space="preserve">第一章  </w:t>
      </w:r>
      <w:r>
        <w:rPr>
          <w:rFonts w:hint="eastAsia" w:ascii="宋体" w:hAnsi="宋体" w:cs="宋体"/>
          <w:color w:val="auto"/>
          <w:sz w:val="32"/>
          <w:szCs w:val="32"/>
          <w:highlight w:val="none"/>
          <w:lang w:eastAsia="zh-CN"/>
        </w:rPr>
        <w:t>招标公告</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_Toc30800 \h </w:instrText>
      </w:r>
      <w:r>
        <w:rPr>
          <w:color w:val="auto"/>
          <w:sz w:val="32"/>
          <w:szCs w:val="32"/>
          <w:highlight w:val="none"/>
        </w:rPr>
        <w:fldChar w:fldCharType="separate"/>
      </w:r>
      <w:r>
        <w:rPr>
          <w:color w:val="auto"/>
          <w:sz w:val="32"/>
          <w:szCs w:val="32"/>
          <w:highlight w:val="none"/>
        </w:rPr>
        <w:t>1</w:t>
      </w:r>
      <w:r>
        <w:rPr>
          <w:color w:val="auto"/>
          <w:sz w:val="32"/>
          <w:szCs w:val="32"/>
          <w:highlight w:val="none"/>
        </w:rPr>
        <w:fldChar w:fldCharType="end"/>
      </w:r>
      <w:r>
        <w:rPr>
          <w:rFonts w:hint="eastAsia" w:ascii="宋体" w:hAnsi="宋体" w:eastAsia="宋体" w:cs="宋体"/>
          <w:color w:val="auto"/>
          <w:sz w:val="32"/>
          <w:szCs w:val="24"/>
          <w:highlight w:val="none"/>
        </w:rPr>
        <w:fldChar w:fldCharType="end"/>
      </w:r>
    </w:p>
    <w:p w14:paraId="70FD0BF8">
      <w:pPr>
        <w:pStyle w:val="33"/>
        <w:tabs>
          <w:tab w:val="right" w:leader="dot" w:pos="8312"/>
        </w:tabs>
        <w:spacing w:line="720" w:lineRule="auto"/>
        <w:rPr>
          <w:color w:val="auto"/>
          <w:sz w:val="32"/>
          <w:szCs w:val="32"/>
          <w:highlight w:val="none"/>
        </w:rPr>
      </w:pPr>
      <w:r>
        <w:rPr>
          <w:rFonts w:hint="eastAsia" w:ascii="宋体" w:hAnsi="宋体" w:eastAsia="宋体" w:cs="宋体"/>
          <w:color w:val="auto"/>
          <w:sz w:val="32"/>
          <w:szCs w:val="24"/>
          <w:highlight w:val="none"/>
        </w:rPr>
        <w:fldChar w:fldCharType="begin"/>
      </w:r>
      <w:r>
        <w:rPr>
          <w:rFonts w:hint="eastAsia" w:ascii="宋体" w:hAnsi="宋体" w:eastAsia="宋体" w:cs="宋体"/>
          <w:color w:val="auto"/>
          <w:sz w:val="32"/>
          <w:szCs w:val="24"/>
          <w:highlight w:val="none"/>
        </w:rPr>
        <w:instrText xml:space="preserve"> HYPERLINK \l _Toc13207 </w:instrText>
      </w:r>
      <w:r>
        <w:rPr>
          <w:rFonts w:hint="eastAsia" w:ascii="宋体" w:hAnsi="宋体" w:eastAsia="宋体" w:cs="宋体"/>
          <w:color w:val="auto"/>
          <w:sz w:val="32"/>
          <w:szCs w:val="24"/>
          <w:highlight w:val="none"/>
        </w:rPr>
        <w:fldChar w:fldCharType="separate"/>
      </w:r>
      <w:r>
        <w:rPr>
          <w:rFonts w:hint="eastAsia" w:ascii="宋体" w:hAnsi="宋体" w:eastAsia="宋体" w:cs="宋体"/>
          <w:bCs/>
          <w:color w:val="auto"/>
          <w:kern w:val="2"/>
          <w:sz w:val="32"/>
          <w:szCs w:val="22"/>
          <w:highlight w:val="none"/>
          <w:lang w:val="en-US" w:eastAsia="zh-CN" w:bidi="ar-SA"/>
        </w:rPr>
        <w:t>第二章</w:t>
      </w:r>
      <w:r>
        <w:rPr>
          <w:rFonts w:hint="eastAsia" w:ascii="宋体" w:hAnsi="宋体" w:cs="宋体"/>
          <w:bCs/>
          <w:color w:val="auto"/>
          <w:kern w:val="2"/>
          <w:sz w:val="32"/>
          <w:szCs w:val="22"/>
          <w:highlight w:val="none"/>
          <w:lang w:val="en-US" w:eastAsia="zh-CN" w:bidi="ar-SA"/>
        </w:rPr>
        <w:t xml:space="preserve">  </w:t>
      </w:r>
      <w:r>
        <w:rPr>
          <w:rFonts w:hint="eastAsia" w:ascii="宋体" w:hAnsi="宋体" w:eastAsia="宋体" w:cs="宋体"/>
          <w:bCs/>
          <w:color w:val="auto"/>
          <w:sz w:val="32"/>
          <w:szCs w:val="32"/>
          <w:highlight w:val="none"/>
        </w:rPr>
        <w:t>投标须知</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_Toc13207 \h </w:instrText>
      </w:r>
      <w:r>
        <w:rPr>
          <w:color w:val="auto"/>
          <w:sz w:val="32"/>
          <w:szCs w:val="32"/>
          <w:highlight w:val="none"/>
        </w:rPr>
        <w:fldChar w:fldCharType="separate"/>
      </w:r>
      <w:r>
        <w:rPr>
          <w:color w:val="auto"/>
          <w:sz w:val="32"/>
          <w:szCs w:val="32"/>
          <w:highlight w:val="none"/>
        </w:rPr>
        <w:t>6</w:t>
      </w:r>
      <w:r>
        <w:rPr>
          <w:color w:val="auto"/>
          <w:sz w:val="32"/>
          <w:szCs w:val="32"/>
          <w:highlight w:val="none"/>
        </w:rPr>
        <w:fldChar w:fldCharType="end"/>
      </w:r>
      <w:r>
        <w:rPr>
          <w:rFonts w:hint="eastAsia" w:ascii="宋体" w:hAnsi="宋体" w:eastAsia="宋体" w:cs="宋体"/>
          <w:color w:val="auto"/>
          <w:sz w:val="32"/>
          <w:szCs w:val="24"/>
          <w:highlight w:val="none"/>
        </w:rPr>
        <w:fldChar w:fldCharType="end"/>
      </w:r>
    </w:p>
    <w:p w14:paraId="53B1836F">
      <w:pPr>
        <w:pStyle w:val="33"/>
        <w:tabs>
          <w:tab w:val="right" w:leader="dot" w:pos="8312"/>
        </w:tabs>
        <w:spacing w:line="720" w:lineRule="auto"/>
        <w:rPr>
          <w:color w:val="auto"/>
          <w:sz w:val="32"/>
          <w:szCs w:val="32"/>
          <w:highlight w:val="none"/>
        </w:rPr>
      </w:pPr>
      <w:r>
        <w:rPr>
          <w:rFonts w:hint="eastAsia" w:ascii="宋体" w:hAnsi="宋体" w:eastAsia="宋体" w:cs="宋体"/>
          <w:color w:val="auto"/>
          <w:sz w:val="32"/>
          <w:szCs w:val="24"/>
          <w:highlight w:val="none"/>
        </w:rPr>
        <w:fldChar w:fldCharType="begin"/>
      </w:r>
      <w:r>
        <w:rPr>
          <w:rFonts w:hint="eastAsia" w:ascii="宋体" w:hAnsi="宋体" w:eastAsia="宋体" w:cs="宋体"/>
          <w:color w:val="auto"/>
          <w:sz w:val="32"/>
          <w:szCs w:val="24"/>
          <w:highlight w:val="none"/>
        </w:rPr>
        <w:instrText xml:space="preserve"> HYPERLINK \l _Toc21688 </w:instrText>
      </w:r>
      <w:r>
        <w:rPr>
          <w:rFonts w:hint="eastAsia" w:ascii="宋体" w:hAnsi="宋体" w:eastAsia="宋体" w:cs="宋体"/>
          <w:color w:val="auto"/>
          <w:sz w:val="32"/>
          <w:szCs w:val="24"/>
          <w:highlight w:val="none"/>
        </w:rPr>
        <w:fldChar w:fldCharType="separate"/>
      </w:r>
      <w:r>
        <w:rPr>
          <w:rFonts w:hint="eastAsia" w:ascii="宋体" w:hAnsi="宋体" w:eastAsia="宋体" w:cs="宋体"/>
          <w:bCs/>
          <w:color w:val="auto"/>
          <w:kern w:val="2"/>
          <w:sz w:val="32"/>
          <w:szCs w:val="22"/>
          <w:highlight w:val="none"/>
          <w:lang w:val="en-US" w:eastAsia="zh-CN" w:bidi="ar-SA"/>
        </w:rPr>
        <w:t>第三章</w:t>
      </w:r>
      <w:r>
        <w:rPr>
          <w:rFonts w:hint="eastAsia" w:ascii="宋体" w:hAnsi="宋体" w:cs="宋体"/>
          <w:bCs/>
          <w:color w:val="auto"/>
          <w:kern w:val="2"/>
          <w:sz w:val="32"/>
          <w:szCs w:val="22"/>
          <w:highlight w:val="none"/>
          <w:lang w:val="en-US" w:eastAsia="zh-CN" w:bidi="ar-SA"/>
        </w:rPr>
        <w:t xml:space="preserve">  </w:t>
      </w:r>
      <w:r>
        <w:rPr>
          <w:rFonts w:hint="eastAsia" w:ascii="宋体" w:hAnsi="宋体" w:cs="宋体"/>
          <w:bCs/>
          <w:color w:val="auto"/>
          <w:sz w:val="32"/>
          <w:szCs w:val="32"/>
          <w:highlight w:val="none"/>
          <w:lang w:eastAsia="zh-CN"/>
        </w:rPr>
        <w:t>评标办法</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_Toc21688 \h </w:instrText>
      </w:r>
      <w:r>
        <w:rPr>
          <w:color w:val="auto"/>
          <w:sz w:val="32"/>
          <w:szCs w:val="32"/>
          <w:highlight w:val="none"/>
        </w:rPr>
        <w:fldChar w:fldCharType="separate"/>
      </w:r>
      <w:r>
        <w:rPr>
          <w:color w:val="auto"/>
          <w:sz w:val="32"/>
          <w:szCs w:val="32"/>
          <w:highlight w:val="none"/>
        </w:rPr>
        <w:t>20</w:t>
      </w:r>
      <w:r>
        <w:rPr>
          <w:color w:val="auto"/>
          <w:sz w:val="32"/>
          <w:szCs w:val="32"/>
          <w:highlight w:val="none"/>
        </w:rPr>
        <w:fldChar w:fldCharType="end"/>
      </w:r>
      <w:r>
        <w:rPr>
          <w:rFonts w:hint="eastAsia" w:ascii="宋体" w:hAnsi="宋体" w:eastAsia="宋体" w:cs="宋体"/>
          <w:color w:val="auto"/>
          <w:sz w:val="32"/>
          <w:szCs w:val="24"/>
          <w:highlight w:val="none"/>
        </w:rPr>
        <w:fldChar w:fldCharType="end"/>
      </w:r>
    </w:p>
    <w:p w14:paraId="4C551C17">
      <w:pPr>
        <w:pStyle w:val="33"/>
        <w:tabs>
          <w:tab w:val="right" w:leader="dot" w:pos="8312"/>
        </w:tabs>
        <w:spacing w:line="720" w:lineRule="auto"/>
        <w:rPr>
          <w:color w:val="auto"/>
          <w:sz w:val="32"/>
          <w:szCs w:val="32"/>
          <w:highlight w:val="none"/>
        </w:rPr>
      </w:pPr>
      <w:r>
        <w:rPr>
          <w:rFonts w:hint="eastAsia" w:ascii="宋体" w:hAnsi="宋体" w:eastAsia="宋体" w:cs="宋体"/>
          <w:color w:val="auto"/>
          <w:sz w:val="32"/>
          <w:szCs w:val="24"/>
          <w:highlight w:val="none"/>
        </w:rPr>
        <w:fldChar w:fldCharType="begin"/>
      </w:r>
      <w:r>
        <w:rPr>
          <w:rFonts w:hint="eastAsia" w:ascii="宋体" w:hAnsi="宋体" w:eastAsia="宋体" w:cs="宋体"/>
          <w:color w:val="auto"/>
          <w:sz w:val="32"/>
          <w:szCs w:val="24"/>
          <w:highlight w:val="none"/>
        </w:rPr>
        <w:instrText xml:space="preserve"> HYPERLINK \l _Toc25844 </w:instrText>
      </w:r>
      <w:r>
        <w:rPr>
          <w:rFonts w:hint="eastAsia" w:ascii="宋体" w:hAnsi="宋体" w:eastAsia="宋体" w:cs="宋体"/>
          <w:color w:val="auto"/>
          <w:sz w:val="32"/>
          <w:szCs w:val="24"/>
          <w:highlight w:val="none"/>
        </w:rPr>
        <w:fldChar w:fldCharType="separate"/>
      </w:r>
      <w:r>
        <w:rPr>
          <w:rFonts w:hint="eastAsia" w:ascii="宋体" w:hAnsi="宋体" w:eastAsia="宋体" w:cs="宋体"/>
          <w:color w:val="auto"/>
          <w:sz w:val="32"/>
          <w:szCs w:val="32"/>
          <w:highlight w:val="none"/>
        </w:rPr>
        <w:t>第四章  采购需求</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_Toc25844 \h </w:instrText>
      </w:r>
      <w:r>
        <w:rPr>
          <w:color w:val="auto"/>
          <w:sz w:val="32"/>
          <w:szCs w:val="32"/>
          <w:highlight w:val="none"/>
        </w:rPr>
        <w:fldChar w:fldCharType="separate"/>
      </w:r>
      <w:r>
        <w:rPr>
          <w:color w:val="auto"/>
          <w:sz w:val="32"/>
          <w:szCs w:val="32"/>
          <w:highlight w:val="none"/>
        </w:rPr>
        <w:t>27</w:t>
      </w:r>
      <w:r>
        <w:rPr>
          <w:color w:val="auto"/>
          <w:sz w:val="32"/>
          <w:szCs w:val="32"/>
          <w:highlight w:val="none"/>
        </w:rPr>
        <w:fldChar w:fldCharType="end"/>
      </w:r>
      <w:r>
        <w:rPr>
          <w:rFonts w:hint="eastAsia" w:ascii="宋体" w:hAnsi="宋体" w:eastAsia="宋体" w:cs="宋体"/>
          <w:color w:val="auto"/>
          <w:sz w:val="32"/>
          <w:szCs w:val="24"/>
          <w:highlight w:val="none"/>
        </w:rPr>
        <w:fldChar w:fldCharType="end"/>
      </w:r>
    </w:p>
    <w:p w14:paraId="37714391">
      <w:pPr>
        <w:pStyle w:val="33"/>
        <w:tabs>
          <w:tab w:val="right" w:leader="dot" w:pos="8312"/>
        </w:tabs>
        <w:spacing w:line="720" w:lineRule="auto"/>
        <w:rPr>
          <w:color w:val="auto"/>
          <w:sz w:val="32"/>
          <w:szCs w:val="32"/>
          <w:highlight w:val="none"/>
        </w:rPr>
      </w:pPr>
      <w:r>
        <w:rPr>
          <w:rFonts w:hint="eastAsia" w:ascii="宋体" w:hAnsi="宋体" w:eastAsia="宋体" w:cs="宋体"/>
          <w:color w:val="auto"/>
          <w:sz w:val="32"/>
          <w:szCs w:val="24"/>
          <w:highlight w:val="none"/>
        </w:rPr>
        <w:fldChar w:fldCharType="begin"/>
      </w:r>
      <w:r>
        <w:rPr>
          <w:rFonts w:hint="eastAsia" w:ascii="宋体" w:hAnsi="宋体" w:eastAsia="宋体" w:cs="宋体"/>
          <w:color w:val="auto"/>
          <w:sz w:val="32"/>
          <w:szCs w:val="24"/>
          <w:highlight w:val="none"/>
        </w:rPr>
        <w:instrText xml:space="preserve"> HYPERLINK \l _Toc3804 </w:instrText>
      </w:r>
      <w:r>
        <w:rPr>
          <w:rFonts w:hint="eastAsia" w:ascii="宋体" w:hAnsi="宋体" w:eastAsia="宋体" w:cs="宋体"/>
          <w:color w:val="auto"/>
          <w:sz w:val="32"/>
          <w:szCs w:val="24"/>
          <w:highlight w:val="none"/>
        </w:rPr>
        <w:fldChar w:fldCharType="separate"/>
      </w:r>
      <w:r>
        <w:rPr>
          <w:rFonts w:hint="eastAsia" w:ascii="宋体" w:hAnsi="宋体" w:eastAsia="宋体" w:cs="宋体"/>
          <w:color w:val="auto"/>
          <w:sz w:val="32"/>
          <w:szCs w:val="32"/>
          <w:highlight w:val="none"/>
        </w:rPr>
        <w:t>第五章  投标文件格式</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_Toc3804 \h </w:instrText>
      </w:r>
      <w:r>
        <w:rPr>
          <w:color w:val="auto"/>
          <w:sz w:val="32"/>
          <w:szCs w:val="32"/>
          <w:highlight w:val="none"/>
        </w:rPr>
        <w:fldChar w:fldCharType="separate"/>
      </w:r>
      <w:r>
        <w:rPr>
          <w:color w:val="auto"/>
          <w:sz w:val="32"/>
          <w:szCs w:val="32"/>
          <w:highlight w:val="none"/>
        </w:rPr>
        <w:t>37</w:t>
      </w:r>
      <w:r>
        <w:rPr>
          <w:color w:val="auto"/>
          <w:sz w:val="32"/>
          <w:szCs w:val="32"/>
          <w:highlight w:val="none"/>
        </w:rPr>
        <w:fldChar w:fldCharType="end"/>
      </w:r>
      <w:r>
        <w:rPr>
          <w:rFonts w:hint="eastAsia" w:ascii="宋体" w:hAnsi="宋体" w:eastAsia="宋体" w:cs="宋体"/>
          <w:color w:val="auto"/>
          <w:sz w:val="32"/>
          <w:szCs w:val="24"/>
          <w:highlight w:val="none"/>
        </w:rPr>
        <w:fldChar w:fldCharType="end"/>
      </w:r>
    </w:p>
    <w:p w14:paraId="3FE01DD6">
      <w:pPr>
        <w:pStyle w:val="33"/>
        <w:tabs>
          <w:tab w:val="right" w:leader="dot" w:pos="8312"/>
        </w:tabs>
        <w:spacing w:line="720" w:lineRule="auto"/>
        <w:rPr>
          <w:color w:val="auto"/>
          <w:sz w:val="32"/>
          <w:szCs w:val="32"/>
          <w:highlight w:val="none"/>
        </w:rPr>
      </w:pPr>
      <w:r>
        <w:rPr>
          <w:rFonts w:hint="eastAsia" w:ascii="宋体" w:hAnsi="宋体" w:eastAsia="宋体" w:cs="宋体"/>
          <w:color w:val="auto"/>
          <w:sz w:val="32"/>
          <w:szCs w:val="24"/>
          <w:highlight w:val="none"/>
        </w:rPr>
        <w:fldChar w:fldCharType="begin"/>
      </w:r>
      <w:r>
        <w:rPr>
          <w:rFonts w:hint="eastAsia" w:ascii="宋体" w:hAnsi="宋体" w:eastAsia="宋体" w:cs="宋体"/>
          <w:color w:val="auto"/>
          <w:sz w:val="32"/>
          <w:szCs w:val="24"/>
          <w:highlight w:val="none"/>
        </w:rPr>
        <w:instrText xml:space="preserve"> HYPERLINK \l _Toc8578 </w:instrText>
      </w:r>
      <w:r>
        <w:rPr>
          <w:rFonts w:hint="eastAsia" w:ascii="宋体" w:hAnsi="宋体" w:eastAsia="宋体" w:cs="宋体"/>
          <w:color w:val="auto"/>
          <w:sz w:val="32"/>
          <w:szCs w:val="24"/>
          <w:highlight w:val="none"/>
        </w:rPr>
        <w:fldChar w:fldCharType="separate"/>
      </w:r>
      <w:r>
        <w:rPr>
          <w:rFonts w:hint="eastAsia" w:ascii="宋体" w:hAnsi="宋体" w:eastAsia="宋体" w:cs="宋体"/>
          <w:color w:val="auto"/>
          <w:sz w:val="32"/>
          <w:szCs w:val="32"/>
          <w:highlight w:val="none"/>
        </w:rPr>
        <w:t>第</w:t>
      </w:r>
      <w:r>
        <w:rPr>
          <w:rFonts w:hint="eastAsia" w:ascii="宋体" w:hAnsi="宋体" w:cs="宋体"/>
          <w:color w:val="auto"/>
          <w:sz w:val="32"/>
          <w:szCs w:val="32"/>
          <w:highlight w:val="none"/>
          <w:lang w:eastAsia="zh-CN"/>
        </w:rPr>
        <w:t>六</w:t>
      </w:r>
      <w:r>
        <w:rPr>
          <w:rFonts w:hint="eastAsia" w:ascii="宋体" w:hAnsi="宋体" w:eastAsia="宋体" w:cs="宋体"/>
          <w:color w:val="auto"/>
          <w:sz w:val="32"/>
          <w:szCs w:val="32"/>
          <w:highlight w:val="none"/>
        </w:rPr>
        <w:t xml:space="preserve">章  </w:t>
      </w:r>
      <w:r>
        <w:rPr>
          <w:rFonts w:hint="eastAsia" w:ascii="宋体" w:hAnsi="宋体" w:cs="宋体"/>
          <w:color w:val="auto"/>
          <w:sz w:val="32"/>
          <w:szCs w:val="32"/>
          <w:highlight w:val="none"/>
          <w:lang w:eastAsia="zh-CN"/>
        </w:rPr>
        <w:t>政府采购合同模板</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_Toc8578 \h </w:instrText>
      </w:r>
      <w:r>
        <w:rPr>
          <w:color w:val="auto"/>
          <w:sz w:val="32"/>
          <w:szCs w:val="32"/>
          <w:highlight w:val="none"/>
        </w:rPr>
        <w:fldChar w:fldCharType="separate"/>
      </w:r>
      <w:r>
        <w:rPr>
          <w:color w:val="auto"/>
          <w:sz w:val="32"/>
          <w:szCs w:val="32"/>
          <w:highlight w:val="none"/>
        </w:rPr>
        <w:t>65</w:t>
      </w:r>
      <w:r>
        <w:rPr>
          <w:color w:val="auto"/>
          <w:sz w:val="32"/>
          <w:szCs w:val="32"/>
          <w:highlight w:val="none"/>
        </w:rPr>
        <w:fldChar w:fldCharType="end"/>
      </w:r>
      <w:r>
        <w:rPr>
          <w:rFonts w:hint="eastAsia" w:ascii="宋体" w:hAnsi="宋体" w:eastAsia="宋体" w:cs="宋体"/>
          <w:color w:val="auto"/>
          <w:sz w:val="32"/>
          <w:szCs w:val="24"/>
          <w:highlight w:val="none"/>
        </w:rPr>
        <w:fldChar w:fldCharType="end"/>
      </w:r>
    </w:p>
    <w:p w14:paraId="56FA9184">
      <w:pPr>
        <w:spacing w:line="720" w:lineRule="auto"/>
        <w:jc w:val="center"/>
        <w:rPr>
          <w:rFonts w:hint="eastAsia" w:ascii="宋体" w:hAnsi="宋体" w:eastAsia="宋体" w:cs="宋体"/>
          <w:color w:val="auto"/>
          <w:szCs w:val="21"/>
          <w:highlight w:val="none"/>
        </w:rPr>
      </w:pPr>
      <w:r>
        <w:rPr>
          <w:rFonts w:hint="eastAsia" w:ascii="宋体" w:hAnsi="宋体" w:eastAsia="宋体" w:cs="宋体"/>
          <w:color w:val="auto"/>
          <w:sz w:val="24"/>
          <w:szCs w:val="24"/>
          <w:highlight w:val="none"/>
        </w:rPr>
        <w:fldChar w:fldCharType="end"/>
      </w:r>
      <w:bookmarkStart w:id="6" w:name="_Toc433113174"/>
    </w:p>
    <w:p w14:paraId="4EB3996A">
      <w:pPr>
        <w:pStyle w:val="20"/>
        <w:rPr>
          <w:rFonts w:hint="eastAsia" w:ascii="宋体" w:hAnsi="宋体" w:eastAsia="宋体" w:cs="宋体"/>
          <w:color w:val="auto"/>
          <w:highlight w:val="none"/>
        </w:rPr>
        <w:sectPr>
          <w:headerReference r:id="rId4" w:type="first"/>
          <w:headerReference r:id="rId3" w:type="default"/>
          <w:pgSz w:w="11906" w:h="16838"/>
          <w:pgMar w:top="1440" w:right="1797" w:bottom="1440" w:left="1797" w:header="851" w:footer="992" w:gutter="0"/>
          <w:cols w:space="720" w:num="1"/>
          <w:docGrid w:linePitch="312" w:charSpace="0"/>
        </w:sectPr>
      </w:pPr>
    </w:p>
    <w:p w14:paraId="4FD9232D">
      <w:pPr>
        <w:pStyle w:val="20"/>
        <w:rPr>
          <w:rFonts w:hint="eastAsia" w:ascii="宋体" w:hAnsi="宋体" w:eastAsia="宋体" w:cs="宋体"/>
          <w:color w:val="auto"/>
          <w:highlight w:val="none"/>
        </w:rPr>
      </w:pPr>
    </w:p>
    <w:p w14:paraId="55F759C4">
      <w:pPr>
        <w:pStyle w:val="20"/>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5B362531">
      <w:pPr>
        <w:pStyle w:val="2"/>
        <w:rPr>
          <w:rFonts w:hint="eastAsia" w:ascii="宋体" w:hAnsi="宋体" w:eastAsia="宋体" w:cs="宋体"/>
          <w:color w:val="auto"/>
          <w:highlight w:val="none"/>
        </w:rPr>
        <w:sectPr>
          <w:footerReference r:id="rId5" w:type="default"/>
          <w:type w:val="continuous"/>
          <w:pgSz w:w="11906" w:h="16838"/>
          <w:pgMar w:top="1440" w:right="1797" w:bottom="1440" w:left="1797" w:header="851" w:footer="992" w:gutter="0"/>
          <w:pgNumType w:start="1"/>
          <w:cols w:space="720" w:num="1"/>
          <w:docGrid w:linePitch="312" w:charSpace="0"/>
        </w:sectPr>
      </w:pPr>
    </w:p>
    <w:p w14:paraId="2F0A09AB">
      <w:pPr>
        <w:pStyle w:val="2"/>
        <w:rPr>
          <w:rFonts w:hint="eastAsia" w:ascii="宋体" w:hAnsi="宋体" w:eastAsia="宋体" w:cs="宋体"/>
          <w:color w:val="auto"/>
          <w:sz w:val="24"/>
          <w:szCs w:val="24"/>
          <w:highlight w:val="none"/>
          <w:lang w:eastAsia="zh-CN"/>
        </w:rPr>
      </w:pPr>
      <w:bookmarkStart w:id="7" w:name="_Toc30800"/>
      <w:r>
        <w:rPr>
          <w:rFonts w:hint="eastAsia" w:ascii="宋体" w:hAnsi="宋体" w:eastAsia="宋体" w:cs="宋体"/>
          <w:color w:val="auto"/>
          <w:highlight w:val="none"/>
        </w:rPr>
        <w:t xml:space="preserve">第一章  </w:t>
      </w:r>
      <w:bookmarkEnd w:id="2"/>
      <w:bookmarkEnd w:id="3"/>
      <w:bookmarkEnd w:id="4"/>
      <w:bookmarkEnd w:id="5"/>
      <w:bookmarkEnd w:id="6"/>
      <w:bookmarkStart w:id="8" w:name="_Toc433113175"/>
      <w:bookmarkStart w:id="9" w:name="_Toc420948006"/>
      <w:r>
        <w:rPr>
          <w:rFonts w:hint="eastAsia" w:ascii="宋体" w:hAnsi="宋体" w:cs="宋体"/>
          <w:color w:val="auto"/>
          <w:highlight w:val="none"/>
          <w:lang w:eastAsia="zh-CN"/>
        </w:rPr>
        <w:t>招标公告</w:t>
      </w:r>
      <w:bookmarkEnd w:id="7"/>
    </w:p>
    <w:p w14:paraId="78265312">
      <w:pPr>
        <w:keepNext w:val="0"/>
        <w:keepLines w:val="0"/>
        <w:widowControl/>
        <w:suppressLineNumbers w:val="0"/>
        <w:pBdr>
          <w:bottom w:val="none" w:color="auto" w:sz="0" w:space="0"/>
        </w:pBdr>
        <w:spacing w:line="450" w:lineRule="atLeast"/>
        <w:ind w:left="0" w:firstLine="0"/>
        <w:jc w:val="center"/>
        <w:rPr>
          <w:rFonts w:ascii="微软雅黑" w:hAnsi="微软雅黑" w:eastAsia="微软雅黑" w:cs="微软雅黑"/>
          <w:b/>
          <w:bCs/>
          <w:i w:val="0"/>
          <w:iCs w:val="0"/>
          <w:caps w:val="0"/>
          <w:color w:val="auto"/>
          <w:spacing w:val="0"/>
          <w:sz w:val="36"/>
          <w:szCs w:val="36"/>
          <w:highlight w:val="none"/>
        </w:rPr>
      </w:pPr>
      <w:r>
        <w:rPr>
          <w:rFonts w:hint="eastAsia" w:ascii="微软雅黑" w:hAnsi="微软雅黑" w:eastAsia="微软雅黑" w:cs="微软雅黑"/>
          <w:b/>
          <w:bCs/>
          <w:i w:val="0"/>
          <w:iCs w:val="0"/>
          <w:caps w:val="0"/>
          <w:color w:val="auto"/>
          <w:spacing w:val="0"/>
          <w:kern w:val="0"/>
          <w:sz w:val="36"/>
          <w:szCs w:val="36"/>
          <w:highlight w:val="none"/>
          <w:lang w:val="en-US" w:eastAsia="zh-CN" w:bidi="ar"/>
        </w:rPr>
        <w:t>吐鲁番市高昌区人民医院彩色多普勒超声诊断仪等设备采购项目公开招标公告</w:t>
      </w:r>
    </w:p>
    <w:p w14:paraId="7FAE7C47">
      <w:pPr>
        <w:pStyle w:val="44"/>
        <w:keepNext w:val="0"/>
        <w:keepLines w:val="0"/>
        <w:widowControl/>
        <w:suppressLineNumbers w:val="0"/>
        <w:spacing w:before="255" w:beforeAutospacing="0" w:after="255" w:afterAutospacing="0" w:line="300" w:lineRule="atLeast"/>
        <w:ind w:left="0" w:right="0"/>
        <w:jc w:val="both"/>
        <w:rPr>
          <w:rStyle w:val="50"/>
          <w:rFonts w:ascii="黑体" w:hAnsi="宋体" w:eastAsia="黑体" w:cs="黑体"/>
          <w:i w:val="0"/>
          <w:iCs w:val="0"/>
          <w:caps w:val="0"/>
          <w:color w:val="auto"/>
          <w:spacing w:val="0"/>
          <w:sz w:val="27"/>
          <w:szCs w:val="27"/>
          <w:highlight w:val="none"/>
        </w:rPr>
      </w:pPr>
      <w:r>
        <w:rPr>
          <w:color w:val="auto"/>
          <w:sz w:val="27"/>
          <w:highlight w:val="none"/>
        </w:rPr>
        <mc:AlternateContent>
          <mc:Choice Requires="wps">
            <w:drawing>
              <wp:anchor distT="0" distB="0" distL="114300" distR="114300" simplePos="0" relativeHeight="251659264" behindDoc="0" locked="0" layoutInCell="1" allowOverlap="1">
                <wp:simplePos x="0" y="0"/>
                <wp:positionH relativeFrom="column">
                  <wp:posOffset>-121920</wp:posOffset>
                </wp:positionH>
                <wp:positionV relativeFrom="paragraph">
                  <wp:posOffset>117475</wp:posOffset>
                </wp:positionV>
                <wp:extent cx="5683250" cy="1155700"/>
                <wp:effectExtent l="13970" t="13970" r="17780" b="30480"/>
                <wp:wrapNone/>
                <wp:docPr id="4" name="文本框 4"/>
                <wp:cNvGraphicFramePr/>
                <a:graphic xmlns:a="http://schemas.openxmlformats.org/drawingml/2006/main">
                  <a:graphicData uri="http://schemas.microsoft.com/office/word/2010/wordprocessingShape">
                    <wps:wsp>
                      <wps:cNvSpPr txBox="1"/>
                      <wps:spPr>
                        <a:xfrm>
                          <a:off x="885825" y="2335530"/>
                          <a:ext cx="5683250" cy="1155700"/>
                        </a:xfrm>
                        <a:prstGeom prst="rect">
                          <a:avLst/>
                        </a:prstGeom>
                        <a:solidFill>
                          <a:schemeClr val="lt1"/>
                        </a:solidFill>
                        <a:ln w="285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801598A">
                            <w:pPr>
                              <w:pStyle w:val="44"/>
                              <w:keepNext w:val="0"/>
                              <w:keepLines w:val="0"/>
                              <w:pageBreakBefore w:val="0"/>
                              <w:widowControl/>
                              <w:suppressLineNumbers w:val="0"/>
                              <w:kinsoku/>
                              <w:wordWrap/>
                              <w:overflowPunct/>
                              <w:topLinePunct w:val="0"/>
                              <w:bidi w:val="0"/>
                              <w:adjustRightInd/>
                              <w:snapToGrid/>
                              <w:spacing w:before="0" w:beforeAutospacing="0" w:after="0" w:afterAutospacing="0" w:line="400" w:lineRule="exact"/>
                              <w:ind w:left="0" w:right="0"/>
                              <w:textAlignment w:val="auto"/>
                              <w:rPr>
                                <w:sz w:val="24"/>
                                <w:szCs w:val="24"/>
                              </w:rPr>
                            </w:pPr>
                            <w:r>
                              <w:rPr>
                                <w:rFonts w:ascii="仿宋" w:hAnsi="仿宋" w:eastAsia="仿宋" w:cs="仿宋"/>
                                <w:i w:val="0"/>
                                <w:iCs w:val="0"/>
                                <w:caps w:val="0"/>
                                <w:color w:val="000000"/>
                                <w:spacing w:val="0"/>
                                <w:sz w:val="24"/>
                                <w:szCs w:val="24"/>
                              </w:rPr>
                              <w:t>项目概况</w:t>
                            </w:r>
                          </w:p>
                          <w:p w14:paraId="1A39A4D5">
                            <w:pPr>
                              <w:pStyle w:val="44"/>
                              <w:keepNext w:val="0"/>
                              <w:keepLines w:val="0"/>
                              <w:pageBreakBefore w:val="0"/>
                              <w:widowControl/>
                              <w:suppressLineNumbers w:val="0"/>
                              <w:kinsoku/>
                              <w:wordWrap/>
                              <w:overflowPunct/>
                              <w:topLinePunct w:val="0"/>
                              <w:bidi w:val="0"/>
                              <w:adjustRightInd/>
                              <w:snapToGrid/>
                              <w:spacing w:before="0" w:beforeAutospacing="0" w:after="0" w:afterAutospacing="0" w:line="400" w:lineRule="exact"/>
                              <w:ind w:left="0" w:right="0"/>
                              <w:textAlignment w:val="auto"/>
                              <w:rPr>
                                <w:sz w:val="24"/>
                                <w:szCs w:val="24"/>
                              </w:rPr>
                            </w:pPr>
                            <w:r>
                              <w:rPr>
                                <w:rFonts w:hint="eastAsia" w:ascii="仿宋" w:hAnsi="仿宋" w:eastAsia="仿宋" w:cs="仿宋"/>
                                <w:i w:val="0"/>
                                <w:iCs w:val="0"/>
                                <w:caps w:val="0"/>
                                <w:color w:val="000000"/>
                                <w:spacing w:val="0"/>
                                <w:sz w:val="24"/>
                                <w:szCs w:val="24"/>
                                <w:lang w:eastAsia="zh-CN"/>
                              </w:rPr>
                              <w:t>吐鲁番市高昌区人民医院彩色多普勒超声诊断仪等设备采购项目</w:t>
                            </w:r>
                            <w:r>
                              <w:rPr>
                                <w:rFonts w:hint="eastAsia" w:ascii="仿宋" w:hAnsi="仿宋" w:eastAsia="仿宋" w:cs="仿宋"/>
                                <w:i w:val="0"/>
                                <w:iCs w:val="0"/>
                                <w:caps w:val="0"/>
                                <w:color w:val="000000"/>
                                <w:spacing w:val="0"/>
                                <w:sz w:val="24"/>
                                <w:szCs w:val="24"/>
                              </w:rPr>
                              <w:t>的潜在投标人应在政采云平台http://www.zcygov.cn/线上报名获取招标文件，并于</w:t>
                            </w:r>
                            <w:r>
                              <w:rPr>
                                <w:rFonts w:hint="eastAsia" w:ascii="仿宋" w:hAnsi="仿宋" w:eastAsia="仿宋" w:cs="仿宋"/>
                                <w:i w:val="0"/>
                                <w:iCs w:val="0"/>
                                <w:caps w:val="0"/>
                                <w:color w:val="000000"/>
                                <w:spacing w:val="0"/>
                                <w:sz w:val="24"/>
                                <w:szCs w:val="24"/>
                                <w:lang w:eastAsia="zh-CN"/>
                              </w:rPr>
                              <w:t>2026年05月21日</w:t>
                            </w:r>
                            <w:r>
                              <w:rPr>
                                <w:rFonts w:hint="eastAsia" w:ascii="仿宋" w:hAnsi="仿宋" w:eastAsia="仿宋" w:cs="仿宋"/>
                                <w:i w:val="0"/>
                                <w:iCs w:val="0"/>
                                <w:caps w:val="0"/>
                                <w:color w:val="000000"/>
                                <w:spacing w:val="0"/>
                                <w:sz w:val="24"/>
                                <w:szCs w:val="24"/>
                                <w:lang w:val="en-US" w:eastAsia="zh-CN"/>
                              </w:rPr>
                              <w:t>11:00</w:t>
                            </w:r>
                            <w:r>
                              <w:rPr>
                                <w:rFonts w:hint="eastAsia" w:ascii="仿宋" w:hAnsi="仿宋" w:eastAsia="仿宋" w:cs="仿宋"/>
                                <w:i w:val="0"/>
                                <w:iCs w:val="0"/>
                                <w:caps w:val="0"/>
                                <w:color w:val="000000"/>
                                <w:spacing w:val="0"/>
                                <w:sz w:val="24"/>
                                <w:szCs w:val="24"/>
                              </w:rPr>
                              <w:t>（北京时间）前递交投标文件。</w:t>
                            </w:r>
                          </w:p>
                          <w:p w14:paraId="554CA53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pt;margin-top:9.25pt;height:91pt;width:447.5pt;z-index:251659264;mso-width-relative:page;mso-height-relative:page;" fillcolor="#FFFFFF [3201]" filled="t" stroked="t" coordsize="21600,21600" o:gfxdata="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2n/V8tkAAAAKAQAADwAAAAAAAAABACAAAAAiAAAAZHJzL2Rvd25yZXYueG1sUEsB&#10;AhQAFAAAAAgAh07iQABcbdRmAgAAxAQAAA4AAAAAAAAAAQAgAAAAKAEAAGRycy9lMm9Eb2MueG1s&#10;UEsFBgAAAAAGAAYAWQEAAAAGAAAAAA==&#10;">
                <v:fill on="t" focussize="0,0"/>
                <v:stroke weight="2.25pt" color="#000000 [3204]" joinstyle="round"/>
                <v:imagedata o:title=""/>
                <o:lock v:ext="edit" aspectratio="f"/>
                <v:textbox>
                  <w:txbxContent>
                    <w:p w14:paraId="6801598A">
                      <w:pPr>
                        <w:pStyle w:val="44"/>
                        <w:keepNext w:val="0"/>
                        <w:keepLines w:val="0"/>
                        <w:pageBreakBefore w:val="0"/>
                        <w:widowControl/>
                        <w:suppressLineNumbers w:val="0"/>
                        <w:kinsoku/>
                        <w:wordWrap/>
                        <w:overflowPunct/>
                        <w:topLinePunct w:val="0"/>
                        <w:bidi w:val="0"/>
                        <w:adjustRightInd/>
                        <w:snapToGrid/>
                        <w:spacing w:before="0" w:beforeAutospacing="0" w:after="0" w:afterAutospacing="0" w:line="400" w:lineRule="exact"/>
                        <w:ind w:left="0" w:right="0"/>
                        <w:textAlignment w:val="auto"/>
                        <w:rPr>
                          <w:sz w:val="24"/>
                          <w:szCs w:val="24"/>
                        </w:rPr>
                      </w:pPr>
                      <w:r>
                        <w:rPr>
                          <w:rFonts w:ascii="仿宋" w:hAnsi="仿宋" w:eastAsia="仿宋" w:cs="仿宋"/>
                          <w:i w:val="0"/>
                          <w:iCs w:val="0"/>
                          <w:caps w:val="0"/>
                          <w:color w:val="000000"/>
                          <w:spacing w:val="0"/>
                          <w:sz w:val="24"/>
                          <w:szCs w:val="24"/>
                        </w:rPr>
                        <w:t>项目概况</w:t>
                      </w:r>
                    </w:p>
                    <w:p w14:paraId="1A39A4D5">
                      <w:pPr>
                        <w:pStyle w:val="44"/>
                        <w:keepNext w:val="0"/>
                        <w:keepLines w:val="0"/>
                        <w:pageBreakBefore w:val="0"/>
                        <w:widowControl/>
                        <w:suppressLineNumbers w:val="0"/>
                        <w:kinsoku/>
                        <w:wordWrap/>
                        <w:overflowPunct/>
                        <w:topLinePunct w:val="0"/>
                        <w:bidi w:val="0"/>
                        <w:adjustRightInd/>
                        <w:snapToGrid/>
                        <w:spacing w:before="0" w:beforeAutospacing="0" w:after="0" w:afterAutospacing="0" w:line="400" w:lineRule="exact"/>
                        <w:ind w:left="0" w:right="0"/>
                        <w:textAlignment w:val="auto"/>
                        <w:rPr>
                          <w:sz w:val="24"/>
                          <w:szCs w:val="24"/>
                        </w:rPr>
                      </w:pPr>
                      <w:r>
                        <w:rPr>
                          <w:rFonts w:hint="eastAsia" w:ascii="仿宋" w:hAnsi="仿宋" w:eastAsia="仿宋" w:cs="仿宋"/>
                          <w:i w:val="0"/>
                          <w:iCs w:val="0"/>
                          <w:caps w:val="0"/>
                          <w:color w:val="000000"/>
                          <w:spacing w:val="0"/>
                          <w:sz w:val="24"/>
                          <w:szCs w:val="24"/>
                          <w:lang w:eastAsia="zh-CN"/>
                        </w:rPr>
                        <w:t>吐鲁番市高昌区人民医院彩色多普勒超声诊断仪等设备采购项目</w:t>
                      </w:r>
                      <w:r>
                        <w:rPr>
                          <w:rFonts w:hint="eastAsia" w:ascii="仿宋" w:hAnsi="仿宋" w:eastAsia="仿宋" w:cs="仿宋"/>
                          <w:i w:val="0"/>
                          <w:iCs w:val="0"/>
                          <w:caps w:val="0"/>
                          <w:color w:val="000000"/>
                          <w:spacing w:val="0"/>
                          <w:sz w:val="24"/>
                          <w:szCs w:val="24"/>
                        </w:rPr>
                        <w:t>的潜在投标人应在政采云平台http://www.zcygov.cn/线上报名获取招标文件，并于</w:t>
                      </w:r>
                      <w:r>
                        <w:rPr>
                          <w:rFonts w:hint="eastAsia" w:ascii="仿宋" w:hAnsi="仿宋" w:eastAsia="仿宋" w:cs="仿宋"/>
                          <w:i w:val="0"/>
                          <w:iCs w:val="0"/>
                          <w:caps w:val="0"/>
                          <w:color w:val="000000"/>
                          <w:spacing w:val="0"/>
                          <w:sz w:val="24"/>
                          <w:szCs w:val="24"/>
                          <w:lang w:eastAsia="zh-CN"/>
                        </w:rPr>
                        <w:t>2026年05月21日</w:t>
                      </w:r>
                      <w:r>
                        <w:rPr>
                          <w:rFonts w:hint="eastAsia" w:ascii="仿宋" w:hAnsi="仿宋" w:eastAsia="仿宋" w:cs="仿宋"/>
                          <w:i w:val="0"/>
                          <w:iCs w:val="0"/>
                          <w:caps w:val="0"/>
                          <w:color w:val="000000"/>
                          <w:spacing w:val="0"/>
                          <w:sz w:val="24"/>
                          <w:szCs w:val="24"/>
                          <w:lang w:val="en-US" w:eastAsia="zh-CN"/>
                        </w:rPr>
                        <w:t>11:00</w:t>
                      </w:r>
                      <w:r>
                        <w:rPr>
                          <w:rFonts w:hint="eastAsia" w:ascii="仿宋" w:hAnsi="仿宋" w:eastAsia="仿宋" w:cs="仿宋"/>
                          <w:i w:val="0"/>
                          <w:iCs w:val="0"/>
                          <w:caps w:val="0"/>
                          <w:color w:val="000000"/>
                          <w:spacing w:val="0"/>
                          <w:sz w:val="24"/>
                          <w:szCs w:val="24"/>
                        </w:rPr>
                        <w:t>（北京时间）前递交投标文件。</w:t>
                      </w:r>
                    </w:p>
                    <w:p w14:paraId="554CA530"/>
                  </w:txbxContent>
                </v:textbox>
              </v:shape>
            </w:pict>
          </mc:Fallback>
        </mc:AlternateContent>
      </w:r>
    </w:p>
    <w:p w14:paraId="2D2CA084">
      <w:pPr>
        <w:pStyle w:val="44"/>
        <w:keepNext w:val="0"/>
        <w:keepLines w:val="0"/>
        <w:widowControl/>
        <w:suppressLineNumbers w:val="0"/>
        <w:spacing w:before="255" w:beforeAutospacing="0" w:after="255" w:afterAutospacing="0" w:line="300" w:lineRule="atLeast"/>
        <w:ind w:left="0" w:right="0"/>
        <w:jc w:val="both"/>
        <w:rPr>
          <w:rStyle w:val="50"/>
          <w:rFonts w:ascii="黑体" w:hAnsi="宋体" w:eastAsia="黑体" w:cs="黑体"/>
          <w:i w:val="0"/>
          <w:iCs w:val="0"/>
          <w:caps w:val="0"/>
          <w:color w:val="auto"/>
          <w:spacing w:val="0"/>
          <w:sz w:val="27"/>
          <w:szCs w:val="27"/>
          <w:highlight w:val="none"/>
        </w:rPr>
      </w:pPr>
    </w:p>
    <w:p w14:paraId="7F4B2710">
      <w:pPr>
        <w:pStyle w:val="44"/>
        <w:keepNext w:val="0"/>
        <w:keepLines w:val="0"/>
        <w:pageBreakBefore w:val="0"/>
        <w:widowControl/>
        <w:suppressLineNumbers w:val="0"/>
        <w:kinsoku/>
        <w:wordWrap/>
        <w:overflowPunct/>
        <w:topLinePunct w:val="0"/>
        <w:autoSpaceDE/>
        <w:autoSpaceDN/>
        <w:bidi w:val="0"/>
        <w:adjustRightInd/>
        <w:snapToGrid/>
        <w:spacing w:before="625" w:beforeLines="200" w:beforeAutospacing="0" w:after="157" w:afterLines="50" w:afterAutospacing="0" w:line="300" w:lineRule="atLeast"/>
        <w:ind w:left="0" w:right="0"/>
        <w:jc w:val="both"/>
        <w:textAlignment w:val="auto"/>
        <w:rPr>
          <w:rFonts w:ascii="黑体" w:hAnsi="宋体" w:eastAsia="黑体" w:cs="黑体"/>
          <w:color w:val="auto"/>
          <w:sz w:val="24"/>
          <w:szCs w:val="24"/>
          <w:highlight w:val="none"/>
        </w:rPr>
      </w:pPr>
      <w:r>
        <w:rPr>
          <w:rStyle w:val="50"/>
          <w:rFonts w:ascii="黑体" w:hAnsi="宋体" w:eastAsia="黑体" w:cs="黑体"/>
          <w:i w:val="0"/>
          <w:iCs w:val="0"/>
          <w:caps w:val="0"/>
          <w:color w:val="auto"/>
          <w:spacing w:val="0"/>
          <w:sz w:val="24"/>
          <w:szCs w:val="24"/>
          <w:highlight w:val="none"/>
        </w:rPr>
        <w:t>一、项目基本情况</w:t>
      </w:r>
    </w:p>
    <w:p w14:paraId="6502410F">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rFonts w:hint="eastAsia" w:eastAsia="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rPr>
        <w:t>项目编号：</w:t>
      </w:r>
      <w:r>
        <w:rPr>
          <w:rFonts w:hint="eastAsia" w:ascii="仿宋" w:hAnsi="仿宋" w:eastAsia="仿宋" w:cs="仿宋"/>
          <w:i w:val="0"/>
          <w:iCs w:val="0"/>
          <w:caps w:val="0"/>
          <w:color w:val="auto"/>
          <w:spacing w:val="0"/>
          <w:sz w:val="24"/>
          <w:szCs w:val="24"/>
          <w:highlight w:val="none"/>
          <w:lang w:eastAsia="zh-CN"/>
        </w:rPr>
        <w:t>ZYZB-2026-Z-050</w:t>
      </w:r>
    </w:p>
    <w:p w14:paraId="45EC4BC8">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rFonts w:hint="eastAsia" w:eastAsia="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rPr>
        <w:t>项目名称：</w:t>
      </w:r>
      <w:r>
        <w:rPr>
          <w:rFonts w:hint="eastAsia" w:ascii="仿宋" w:hAnsi="仿宋" w:eastAsia="仿宋" w:cs="仿宋"/>
          <w:i w:val="0"/>
          <w:iCs w:val="0"/>
          <w:caps w:val="0"/>
          <w:color w:val="auto"/>
          <w:spacing w:val="0"/>
          <w:sz w:val="24"/>
          <w:szCs w:val="24"/>
          <w:highlight w:val="none"/>
          <w:lang w:eastAsia="zh-CN"/>
        </w:rPr>
        <w:t>吐鲁番市高昌区人民医院彩色多普勒超声诊断仪等设备采购项目</w:t>
      </w:r>
    </w:p>
    <w:p w14:paraId="5D113CC9">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rPr>
        <w:t>采购方式：公开招标</w:t>
      </w:r>
    </w:p>
    <w:p w14:paraId="1E6599F8">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rFonts w:hint="default" w:eastAsia="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rPr>
        <w:t>预算金额（元）：</w:t>
      </w:r>
      <w:r>
        <w:rPr>
          <w:rFonts w:hint="eastAsia" w:ascii="仿宋" w:hAnsi="仿宋" w:eastAsia="仿宋" w:cs="仿宋"/>
          <w:i w:val="0"/>
          <w:iCs w:val="0"/>
          <w:caps w:val="0"/>
          <w:color w:val="auto"/>
          <w:spacing w:val="0"/>
          <w:sz w:val="24"/>
          <w:szCs w:val="24"/>
          <w:highlight w:val="none"/>
          <w:lang w:val="en-US" w:eastAsia="zh-CN"/>
        </w:rPr>
        <w:t>2175000.00</w:t>
      </w:r>
    </w:p>
    <w:p w14:paraId="7A841C00">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rPr>
        <w:t>最高限价（元）：</w:t>
      </w:r>
      <w:r>
        <w:rPr>
          <w:rFonts w:hint="eastAsia" w:ascii="仿宋" w:hAnsi="仿宋" w:eastAsia="仿宋" w:cs="仿宋"/>
          <w:i w:val="0"/>
          <w:iCs w:val="0"/>
          <w:caps w:val="0"/>
          <w:color w:val="auto"/>
          <w:spacing w:val="0"/>
          <w:sz w:val="24"/>
          <w:szCs w:val="24"/>
          <w:highlight w:val="none"/>
          <w:lang w:val="en-US" w:eastAsia="zh-CN"/>
        </w:rPr>
        <w:t>2175000.00</w:t>
      </w:r>
    </w:p>
    <w:p w14:paraId="617C1D2B">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rPr>
        <w:t>采购需求：</w:t>
      </w:r>
    </w:p>
    <w:p w14:paraId="768F88FB">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标项一</w:t>
      </w:r>
    </w:p>
    <w:p w14:paraId="3BDB74F1">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标项名称:彩色多普勒超声诊断仪</w:t>
      </w:r>
      <w:r>
        <w:rPr>
          <w:rFonts w:hint="eastAsia" w:ascii="仿宋" w:hAnsi="仿宋" w:eastAsia="仿宋" w:cs="仿宋"/>
          <w:i w:val="0"/>
          <w:iCs w:val="0"/>
          <w:caps w:val="0"/>
          <w:color w:val="auto"/>
          <w:spacing w:val="0"/>
          <w:sz w:val="24"/>
          <w:szCs w:val="24"/>
          <w:highlight w:val="none"/>
          <w:shd w:val="clear" w:color="auto" w:fill="auto"/>
          <w:lang w:val="en-US" w:eastAsia="zh-CN"/>
        </w:rPr>
        <w:t>等</w:t>
      </w:r>
      <w:r>
        <w:rPr>
          <w:rFonts w:hint="eastAsia" w:ascii="仿宋" w:hAnsi="仿宋" w:eastAsia="仿宋" w:cs="仿宋"/>
          <w:i w:val="0"/>
          <w:iCs w:val="0"/>
          <w:caps w:val="0"/>
          <w:color w:val="auto"/>
          <w:spacing w:val="0"/>
          <w:sz w:val="24"/>
          <w:szCs w:val="24"/>
          <w:highlight w:val="none"/>
          <w:shd w:val="clear" w:color="auto" w:fill="auto"/>
        </w:rPr>
        <w:t>设备</w:t>
      </w:r>
      <w:r>
        <w:rPr>
          <w:rFonts w:hint="eastAsia" w:ascii="仿宋" w:hAnsi="仿宋" w:eastAsia="仿宋" w:cs="仿宋"/>
          <w:i w:val="0"/>
          <w:iCs w:val="0"/>
          <w:caps w:val="0"/>
          <w:color w:val="auto"/>
          <w:spacing w:val="0"/>
          <w:sz w:val="24"/>
          <w:szCs w:val="24"/>
          <w:highlight w:val="none"/>
          <w:lang w:eastAsia="zh-CN"/>
        </w:rPr>
        <w:t>采购</w:t>
      </w:r>
    </w:p>
    <w:p w14:paraId="745C61EC">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i w:val="0"/>
          <w:iCs w:val="0"/>
          <w:caps w:val="0"/>
          <w:color w:val="auto"/>
          <w:spacing w:val="0"/>
          <w:sz w:val="24"/>
          <w:szCs w:val="24"/>
          <w:highlight w:val="none"/>
          <w:shd w:val="clear" w:color="auto" w:fill="auto"/>
        </w:rPr>
        <w:t>数量:</w:t>
      </w:r>
      <w:r>
        <w:rPr>
          <w:rFonts w:hint="eastAsia" w:ascii="仿宋" w:hAnsi="仿宋" w:eastAsia="仿宋" w:cs="仿宋"/>
          <w:i w:val="0"/>
          <w:iCs w:val="0"/>
          <w:caps w:val="0"/>
          <w:color w:val="auto"/>
          <w:spacing w:val="0"/>
          <w:sz w:val="24"/>
          <w:szCs w:val="24"/>
          <w:highlight w:val="none"/>
          <w:shd w:val="clear" w:color="auto" w:fill="auto"/>
          <w:lang w:val="en-US" w:eastAsia="zh-CN"/>
        </w:rPr>
        <w:t>1</w:t>
      </w:r>
    </w:p>
    <w:p w14:paraId="6BEE598F">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shd w:val="clear" w:color="auto" w:fill="auto"/>
        </w:rPr>
        <w:t>预算金额（元）:</w:t>
      </w:r>
      <w:r>
        <w:rPr>
          <w:rFonts w:hint="eastAsia" w:ascii="仿宋" w:hAnsi="仿宋" w:eastAsia="仿宋" w:cs="仿宋"/>
          <w:i w:val="0"/>
          <w:iCs w:val="0"/>
          <w:caps w:val="0"/>
          <w:color w:val="auto"/>
          <w:spacing w:val="0"/>
          <w:sz w:val="24"/>
          <w:szCs w:val="24"/>
          <w:highlight w:val="none"/>
          <w:shd w:val="clear" w:color="auto" w:fill="auto"/>
          <w:lang w:eastAsia="zh-CN"/>
        </w:rPr>
        <w:t>2175000.00</w:t>
      </w:r>
    </w:p>
    <w:p w14:paraId="57E90A50">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lang w:eastAsia="zh-CN"/>
        </w:rPr>
      </w:pPr>
      <w:r>
        <w:rPr>
          <w:rFonts w:hint="eastAsia" w:ascii="仿宋" w:hAnsi="仿宋" w:eastAsia="仿宋" w:cs="仿宋"/>
          <w:i w:val="0"/>
          <w:iCs w:val="0"/>
          <w:caps w:val="0"/>
          <w:color w:val="auto"/>
          <w:spacing w:val="0"/>
          <w:sz w:val="24"/>
          <w:szCs w:val="24"/>
          <w:highlight w:val="none"/>
          <w:shd w:val="clear" w:color="auto" w:fill="auto"/>
        </w:rPr>
        <w:t>单位：</w:t>
      </w:r>
      <w:r>
        <w:rPr>
          <w:rFonts w:hint="eastAsia" w:ascii="仿宋" w:hAnsi="仿宋" w:eastAsia="仿宋" w:cs="仿宋"/>
          <w:i w:val="0"/>
          <w:iCs w:val="0"/>
          <w:caps w:val="0"/>
          <w:color w:val="auto"/>
          <w:spacing w:val="0"/>
          <w:sz w:val="24"/>
          <w:szCs w:val="24"/>
          <w:highlight w:val="none"/>
          <w:shd w:val="clear" w:color="auto" w:fill="auto"/>
          <w:lang w:val="en-US" w:eastAsia="zh-CN"/>
        </w:rPr>
        <w:t>批</w:t>
      </w:r>
    </w:p>
    <w:p w14:paraId="6BAA9361">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简要规格描述或项目基本概况介绍、用途：购置彩色多普勒超声诊断仪</w:t>
      </w:r>
      <w:r>
        <w:rPr>
          <w:rFonts w:hint="eastAsia" w:ascii="仿宋" w:hAnsi="仿宋" w:eastAsia="仿宋" w:cs="仿宋"/>
          <w:i w:val="0"/>
          <w:iCs w:val="0"/>
          <w:caps w:val="0"/>
          <w:color w:val="auto"/>
          <w:spacing w:val="0"/>
          <w:sz w:val="24"/>
          <w:szCs w:val="24"/>
          <w:highlight w:val="none"/>
          <w:shd w:val="clear" w:color="auto" w:fill="auto"/>
          <w:lang w:eastAsia="zh-CN"/>
        </w:rPr>
        <w:t>、电解质分析仪、五分类血液细胞分析、低速离心机96孔、数码液晶平板生物显微镜</w:t>
      </w:r>
      <w:r>
        <w:rPr>
          <w:rFonts w:hint="eastAsia" w:ascii="仿宋" w:hAnsi="仿宋" w:eastAsia="仿宋" w:cs="仿宋"/>
          <w:i w:val="0"/>
          <w:iCs w:val="0"/>
          <w:caps w:val="0"/>
          <w:color w:val="auto"/>
          <w:spacing w:val="0"/>
          <w:sz w:val="24"/>
          <w:szCs w:val="24"/>
          <w:highlight w:val="none"/>
          <w:shd w:val="clear" w:color="auto" w:fill="auto"/>
          <w:lang w:val="en-US" w:eastAsia="zh-CN"/>
        </w:rPr>
        <w:t>等1批医疗设备。</w:t>
      </w:r>
      <w:r>
        <w:rPr>
          <w:rFonts w:hint="eastAsia" w:ascii="仿宋" w:hAnsi="仿宋" w:eastAsia="仿宋" w:cs="仿宋"/>
          <w:i w:val="0"/>
          <w:iCs w:val="0"/>
          <w:caps w:val="0"/>
          <w:color w:val="auto"/>
          <w:spacing w:val="0"/>
          <w:sz w:val="24"/>
          <w:szCs w:val="24"/>
          <w:highlight w:val="none"/>
          <w:shd w:val="clear" w:color="auto" w:fill="auto"/>
        </w:rPr>
        <w:t>（具体内容详见招标文件）</w:t>
      </w:r>
    </w:p>
    <w:p w14:paraId="6E33CDED">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auto"/>
        </w:rPr>
        <w:t>备注：</w:t>
      </w:r>
    </w:p>
    <w:p w14:paraId="41E90FBC">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rPr>
        <w:t>合同履约期限：合同签订之日起</w:t>
      </w:r>
      <w:r>
        <w:rPr>
          <w:rFonts w:hint="eastAsia" w:ascii="仿宋" w:hAnsi="仿宋" w:eastAsia="仿宋" w:cs="仿宋"/>
          <w:i w:val="0"/>
          <w:iCs w:val="0"/>
          <w:caps w:val="0"/>
          <w:color w:val="auto"/>
          <w:spacing w:val="0"/>
          <w:sz w:val="24"/>
          <w:szCs w:val="24"/>
          <w:highlight w:val="none"/>
          <w:lang w:val="en-US" w:eastAsia="zh-CN"/>
        </w:rPr>
        <w:t>30</w:t>
      </w:r>
      <w:r>
        <w:rPr>
          <w:rFonts w:hint="eastAsia" w:ascii="仿宋" w:hAnsi="仿宋" w:eastAsia="仿宋" w:cs="仿宋"/>
          <w:i w:val="0"/>
          <w:iCs w:val="0"/>
          <w:caps w:val="0"/>
          <w:color w:val="auto"/>
          <w:spacing w:val="0"/>
          <w:sz w:val="24"/>
          <w:szCs w:val="24"/>
          <w:highlight w:val="none"/>
        </w:rPr>
        <w:t>个工作日内送至甲方指定地点并完成货物安装验收。</w:t>
      </w:r>
    </w:p>
    <w:p w14:paraId="00C55AD6">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rPr>
        <w:t>本项目（否）接受联合体投标。</w:t>
      </w:r>
    </w:p>
    <w:p w14:paraId="08037577">
      <w:pPr>
        <w:pStyle w:val="44"/>
        <w:keepNext w:val="0"/>
        <w:keepLines w:val="0"/>
        <w:widowControl/>
        <w:suppressLineNumbers w:val="0"/>
        <w:spacing w:before="75" w:beforeAutospacing="0" w:after="75" w:afterAutospacing="0" w:line="300" w:lineRule="atLeast"/>
        <w:ind w:left="0" w:right="0"/>
        <w:rPr>
          <w:color w:val="auto"/>
          <w:sz w:val="24"/>
          <w:szCs w:val="24"/>
          <w:highlight w:val="none"/>
        </w:rPr>
      </w:pPr>
    </w:p>
    <w:p w14:paraId="75E01CB1">
      <w:pPr>
        <w:pStyle w:val="44"/>
        <w:keepNext w:val="0"/>
        <w:keepLines w:val="0"/>
        <w:widowControl/>
        <w:numPr>
          <w:ilvl w:val="0"/>
          <w:numId w:val="0"/>
        </w:numPr>
        <w:suppressLineNumbers w:val="0"/>
        <w:spacing w:before="75" w:beforeAutospacing="0" w:after="75" w:afterAutospacing="0" w:line="300" w:lineRule="atLeast"/>
        <w:ind w:left="0" w:leftChars="0" w:right="0" w:rightChars="0"/>
        <w:rPr>
          <w:rStyle w:val="50"/>
          <w:rFonts w:ascii="黑体" w:hAnsi="宋体" w:eastAsia="黑体" w:cs="黑体"/>
          <w:i w:val="0"/>
          <w:iCs w:val="0"/>
          <w:caps w:val="0"/>
          <w:color w:val="auto"/>
          <w:spacing w:val="0"/>
          <w:sz w:val="24"/>
          <w:szCs w:val="24"/>
          <w:highlight w:val="none"/>
        </w:rPr>
      </w:pPr>
      <w:r>
        <w:rPr>
          <w:rFonts w:hint="eastAsia" w:ascii="黑体" w:hAnsi="宋体" w:eastAsia="黑体" w:cs="黑体"/>
          <w:b/>
          <w:bCs/>
          <w:i w:val="0"/>
          <w:iCs w:val="0"/>
          <w:caps w:val="0"/>
          <w:color w:val="auto"/>
          <w:spacing w:val="0"/>
          <w:kern w:val="0"/>
          <w:sz w:val="24"/>
          <w:szCs w:val="24"/>
          <w:highlight w:val="none"/>
          <w:lang w:val="en-US" w:eastAsia="zh-CN" w:bidi="ar-SA"/>
        </w:rPr>
        <w:t>二、</w:t>
      </w:r>
      <w:r>
        <w:rPr>
          <w:rStyle w:val="50"/>
          <w:rFonts w:ascii="黑体" w:hAnsi="宋体" w:eastAsia="黑体" w:cs="黑体"/>
          <w:i w:val="0"/>
          <w:iCs w:val="0"/>
          <w:caps w:val="0"/>
          <w:color w:val="auto"/>
          <w:spacing w:val="0"/>
          <w:sz w:val="24"/>
          <w:szCs w:val="24"/>
          <w:highlight w:val="none"/>
        </w:rPr>
        <w:t>申请人的资格要求：</w:t>
      </w:r>
    </w:p>
    <w:p w14:paraId="0E8956EC">
      <w:pPr>
        <w:pStyle w:val="4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rPr>
        <w:t>1.满足《中华人民共和国政府采购法》第二十二条规定；</w:t>
      </w:r>
    </w:p>
    <w:p w14:paraId="2131BC49">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rPr>
        <w:t>2.落实政府采购政策需满足的资格要求：</w:t>
      </w:r>
      <w:r>
        <w:rPr>
          <w:rFonts w:hint="eastAsia" w:ascii="仿宋" w:hAnsi="仿宋" w:eastAsia="仿宋" w:cs="仿宋"/>
          <w:i w:val="0"/>
          <w:iCs w:val="0"/>
          <w:caps w:val="0"/>
          <w:color w:val="auto"/>
          <w:spacing w:val="0"/>
          <w:sz w:val="24"/>
          <w:szCs w:val="24"/>
          <w:highlight w:val="none"/>
          <w:lang w:eastAsia="zh-CN"/>
        </w:rPr>
        <w:t>无</w:t>
      </w:r>
      <w:r>
        <w:rPr>
          <w:rFonts w:hint="eastAsia" w:ascii="仿宋" w:hAnsi="仿宋" w:eastAsia="仿宋" w:cs="仿宋"/>
          <w:i w:val="0"/>
          <w:iCs w:val="0"/>
          <w:caps w:val="0"/>
          <w:color w:val="auto"/>
          <w:spacing w:val="0"/>
          <w:sz w:val="24"/>
          <w:szCs w:val="24"/>
          <w:highlight w:val="none"/>
        </w:rPr>
        <w:br w:type="textWrapping"/>
      </w:r>
      <w:r>
        <w:rPr>
          <w:rFonts w:hint="eastAsia" w:ascii="仿宋" w:hAnsi="仿宋" w:eastAsia="仿宋" w:cs="仿宋"/>
          <w:i w:val="0"/>
          <w:iCs w:val="0"/>
          <w:caps w:val="0"/>
          <w:color w:val="auto"/>
          <w:spacing w:val="0"/>
          <w:sz w:val="24"/>
          <w:szCs w:val="24"/>
          <w:highlight w:val="none"/>
        </w:rPr>
        <w:t>3.本项目的特定资格要求：投标供应商所投产品属于第二类医疗器械的，提供投标供应商有效的行政主管部门颁发的医疗器械经营备案凭证（或医疗器械生产许可证或医疗器械经营许可证或其他医疗器械生产经营许可证明文件）；所投产品属于第三类医疗器械的，提供投标供应商有效的行政主管部门颁发的医疗器械生产许可证（或医疗器械经营许可证或其他医疗器械生产经营许可证明文件）</w:t>
      </w:r>
    </w:p>
    <w:p w14:paraId="2874646A">
      <w:pPr>
        <w:pStyle w:val="44"/>
        <w:keepNext w:val="0"/>
        <w:keepLines w:val="0"/>
        <w:widowControl/>
        <w:suppressLineNumbers w:val="0"/>
        <w:spacing w:before="255" w:beforeAutospacing="0" w:after="255" w:afterAutospacing="0" w:line="300" w:lineRule="atLeast"/>
        <w:ind w:left="0" w:right="0"/>
        <w:jc w:val="both"/>
        <w:rPr>
          <w:rFonts w:ascii="黑体" w:hAnsi="宋体" w:eastAsia="黑体" w:cs="黑体"/>
          <w:color w:val="auto"/>
          <w:sz w:val="24"/>
          <w:szCs w:val="24"/>
          <w:highlight w:val="none"/>
        </w:rPr>
      </w:pPr>
      <w:r>
        <w:rPr>
          <w:rStyle w:val="50"/>
          <w:rFonts w:ascii="黑体" w:hAnsi="宋体" w:eastAsia="黑体" w:cs="黑体"/>
          <w:i w:val="0"/>
          <w:iCs w:val="0"/>
          <w:caps w:val="0"/>
          <w:color w:val="auto"/>
          <w:spacing w:val="0"/>
          <w:sz w:val="24"/>
          <w:szCs w:val="24"/>
          <w:highlight w:val="none"/>
        </w:rPr>
        <w:t>三、获取招标文件</w:t>
      </w:r>
    </w:p>
    <w:p w14:paraId="47CC208D">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时间：</w:t>
      </w:r>
      <w:r>
        <w:rPr>
          <w:rFonts w:hint="eastAsia" w:ascii="仿宋" w:hAnsi="仿宋" w:eastAsia="仿宋" w:cs="仿宋"/>
          <w:i w:val="0"/>
          <w:iCs w:val="0"/>
          <w:caps w:val="0"/>
          <w:color w:val="auto"/>
          <w:spacing w:val="0"/>
          <w:sz w:val="24"/>
          <w:szCs w:val="24"/>
          <w:highlight w:val="none"/>
        </w:rPr>
        <w:t>202</w:t>
      </w:r>
      <w:r>
        <w:rPr>
          <w:rFonts w:hint="eastAsia" w:ascii="仿宋" w:hAnsi="仿宋" w:eastAsia="仿宋" w:cs="仿宋"/>
          <w:i w:val="0"/>
          <w:iCs w:val="0"/>
          <w:caps w:val="0"/>
          <w:color w:val="auto"/>
          <w:spacing w:val="0"/>
          <w:sz w:val="24"/>
          <w:szCs w:val="24"/>
          <w:highlight w:val="none"/>
          <w:lang w:val="en-US" w:eastAsia="zh-CN"/>
        </w:rPr>
        <w:t>6</w:t>
      </w:r>
      <w:r>
        <w:rPr>
          <w:rFonts w:hint="eastAsia" w:ascii="仿宋" w:hAnsi="仿宋" w:eastAsia="仿宋" w:cs="仿宋"/>
          <w:i w:val="0"/>
          <w:iCs w:val="0"/>
          <w:caps w:val="0"/>
          <w:color w:val="auto"/>
          <w:spacing w:val="0"/>
          <w:sz w:val="24"/>
          <w:szCs w:val="24"/>
          <w:highlight w:val="none"/>
        </w:rPr>
        <w:t>年</w:t>
      </w:r>
      <w:r>
        <w:rPr>
          <w:rFonts w:hint="eastAsia" w:ascii="仿宋" w:hAnsi="仿宋" w:eastAsia="仿宋" w:cs="仿宋"/>
          <w:i w:val="0"/>
          <w:iCs w:val="0"/>
          <w:caps w:val="0"/>
          <w:color w:val="auto"/>
          <w:spacing w:val="0"/>
          <w:sz w:val="24"/>
          <w:szCs w:val="24"/>
          <w:highlight w:val="none"/>
          <w:lang w:val="en-US" w:eastAsia="zh-CN"/>
        </w:rPr>
        <w:t>04</w:t>
      </w:r>
      <w:r>
        <w:rPr>
          <w:rFonts w:hint="eastAsia" w:ascii="仿宋" w:hAnsi="仿宋" w:eastAsia="仿宋" w:cs="仿宋"/>
          <w:i w:val="0"/>
          <w:iCs w:val="0"/>
          <w:caps w:val="0"/>
          <w:color w:val="auto"/>
          <w:spacing w:val="0"/>
          <w:sz w:val="24"/>
          <w:szCs w:val="24"/>
          <w:highlight w:val="none"/>
        </w:rPr>
        <w:t>月</w:t>
      </w:r>
      <w:r>
        <w:rPr>
          <w:rFonts w:hint="eastAsia" w:ascii="仿宋" w:hAnsi="仿宋" w:eastAsia="仿宋" w:cs="仿宋"/>
          <w:i w:val="0"/>
          <w:iCs w:val="0"/>
          <w:caps w:val="0"/>
          <w:color w:val="auto"/>
          <w:spacing w:val="0"/>
          <w:sz w:val="24"/>
          <w:szCs w:val="24"/>
          <w:highlight w:val="none"/>
          <w:lang w:val="en-US" w:eastAsia="zh-CN"/>
        </w:rPr>
        <w:t>27</w:t>
      </w:r>
      <w:r>
        <w:rPr>
          <w:rFonts w:hint="eastAsia" w:ascii="仿宋" w:hAnsi="仿宋" w:eastAsia="仿宋" w:cs="仿宋"/>
          <w:i w:val="0"/>
          <w:iCs w:val="0"/>
          <w:caps w:val="0"/>
          <w:color w:val="auto"/>
          <w:spacing w:val="0"/>
          <w:sz w:val="24"/>
          <w:szCs w:val="24"/>
          <w:highlight w:val="none"/>
        </w:rPr>
        <w:t>日至202</w:t>
      </w:r>
      <w:r>
        <w:rPr>
          <w:rFonts w:hint="eastAsia" w:ascii="仿宋" w:hAnsi="仿宋" w:eastAsia="仿宋" w:cs="仿宋"/>
          <w:i w:val="0"/>
          <w:iCs w:val="0"/>
          <w:caps w:val="0"/>
          <w:color w:val="auto"/>
          <w:spacing w:val="0"/>
          <w:sz w:val="24"/>
          <w:szCs w:val="24"/>
          <w:highlight w:val="none"/>
          <w:lang w:val="en-US" w:eastAsia="zh-CN"/>
        </w:rPr>
        <w:t>6</w:t>
      </w:r>
      <w:r>
        <w:rPr>
          <w:rFonts w:hint="eastAsia" w:ascii="仿宋" w:hAnsi="仿宋" w:eastAsia="仿宋" w:cs="仿宋"/>
          <w:i w:val="0"/>
          <w:iCs w:val="0"/>
          <w:caps w:val="0"/>
          <w:color w:val="auto"/>
          <w:spacing w:val="0"/>
          <w:sz w:val="24"/>
          <w:szCs w:val="24"/>
          <w:highlight w:val="none"/>
        </w:rPr>
        <w:t>年</w:t>
      </w:r>
      <w:r>
        <w:rPr>
          <w:rFonts w:hint="eastAsia" w:ascii="仿宋" w:hAnsi="仿宋" w:eastAsia="仿宋" w:cs="仿宋"/>
          <w:i w:val="0"/>
          <w:iCs w:val="0"/>
          <w:caps w:val="0"/>
          <w:color w:val="auto"/>
          <w:spacing w:val="0"/>
          <w:sz w:val="24"/>
          <w:szCs w:val="24"/>
          <w:highlight w:val="none"/>
          <w:lang w:val="en-US" w:eastAsia="zh-CN"/>
        </w:rPr>
        <w:t>05</w:t>
      </w:r>
      <w:r>
        <w:rPr>
          <w:rFonts w:hint="eastAsia" w:ascii="仿宋" w:hAnsi="仿宋" w:eastAsia="仿宋" w:cs="仿宋"/>
          <w:i w:val="0"/>
          <w:iCs w:val="0"/>
          <w:caps w:val="0"/>
          <w:color w:val="auto"/>
          <w:spacing w:val="0"/>
          <w:sz w:val="24"/>
          <w:szCs w:val="24"/>
          <w:highlight w:val="none"/>
        </w:rPr>
        <w:t>月</w:t>
      </w:r>
      <w:r>
        <w:rPr>
          <w:rFonts w:hint="eastAsia" w:ascii="仿宋" w:hAnsi="仿宋" w:eastAsia="仿宋" w:cs="仿宋"/>
          <w:i w:val="0"/>
          <w:iCs w:val="0"/>
          <w:caps w:val="0"/>
          <w:color w:val="auto"/>
          <w:spacing w:val="0"/>
          <w:sz w:val="24"/>
          <w:szCs w:val="24"/>
          <w:highlight w:val="none"/>
          <w:lang w:val="en-US" w:eastAsia="zh-CN"/>
        </w:rPr>
        <w:t>08</w:t>
      </w:r>
      <w:r>
        <w:rPr>
          <w:rFonts w:hint="eastAsia" w:ascii="仿宋" w:hAnsi="仿宋" w:eastAsia="仿宋" w:cs="仿宋"/>
          <w:i w:val="0"/>
          <w:iCs w:val="0"/>
          <w:caps w:val="0"/>
          <w:color w:val="auto"/>
          <w:spacing w:val="0"/>
          <w:sz w:val="24"/>
          <w:szCs w:val="24"/>
          <w:highlight w:val="none"/>
        </w:rPr>
        <w:t>日</w:t>
      </w:r>
      <w:r>
        <w:rPr>
          <w:rFonts w:hint="eastAsia" w:ascii="仿宋" w:hAnsi="仿宋" w:eastAsia="仿宋" w:cs="仿宋"/>
          <w:i w:val="0"/>
          <w:iCs w:val="0"/>
          <w:caps w:val="0"/>
          <w:color w:val="auto"/>
          <w:spacing w:val="0"/>
          <w:sz w:val="24"/>
          <w:szCs w:val="24"/>
          <w:highlight w:val="none"/>
        </w:rPr>
        <w:t>，每天上午00:00至12:00，下午12:00至23:59（北京时间，法定节假日除外）</w:t>
      </w:r>
    </w:p>
    <w:p w14:paraId="3439AD2C">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地点：政采云平台http://www.zcygov.cn/线上报名</w:t>
      </w:r>
    </w:p>
    <w:p w14:paraId="78452F25">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方式：线上报名及获取采购文件。供应商登陆政采云账户（网址：https://www.zcygov.cn/）,在线申请获取招标文件（登录政府采购云平台→采购项目→获取采购文件→申请，审核通过后可下载招标文件，如有操作性问题，可咨询政采云在线客服，电话：95763）</w:t>
      </w:r>
    </w:p>
    <w:p w14:paraId="00B9B9E9">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售价（元）：0</w:t>
      </w:r>
    </w:p>
    <w:p w14:paraId="159F6112">
      <w:pPr>
        <w:pStyle w:val="44"/>
        <w:keepNext w:val="0"/>
        <w:keepLines w:val="0"/>
        <w:widowControl/>
        <w:suppressLineNumbers w:val="0"/>
        <w:spacing w:before="255" w:beforeAutospacing="0" w:after="255" w:afterAutospacing="0" w:line="300" w:lineRule="atLeast"/>
        <w:ind w:left="0" w:right="0"/>
        <w:jc w:val="both"/>
        <w:rPr>
          <w:rFonts w:ascii="黑体" w:hAnsi="宋体" w:eastAsia="黑体" w:cs="黑体"/>
          <w:color w:val="auto"/>
          <w:sz w:val="24"/>
          <w:szCs w:val="24"/>
          <w:highlight w:val="none"/>
        </w:rPr>
      </w:pPr>
      <w:r>
        <w:rPr>
          <w:rStyle w:val="50"/>
          <w:rFonts w:ascii="黑体" w:hAnsi="宋体" w:eastAsia="黑体" w:cs="黑体"/>
          <w:i w:val="0"/>
          <w:iCs w:val="0"/>
          <w:caps w:val="0"/>
          <w:color w:val="auto"/>
          <w:spacing w:val="0"/>
          <w:sz w:val="24"/>
          <w:szCs w:val="24"/>
          <w:highlight w:val="none"/>
        </w:rPr>
        <w:t>四、提交投标文件截止时间、开标时间和地点</w:t>
      </w:r>
    </w:p>
    <w:p w14:paraId="24C9178F">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提交投标文件截止时间：</w:t>
      </w:r>
      <w:r>
        <w:rPr>
          <w:rFonts w:hint="eastAsia" w:ascii="仿宋" w:hAnsi="仿宋" w:eastAsia="仿宋" w:cs="仿宋"/>
          <w:i w:val="0"/>
          <w:iCs w:val="0"/>
          <w:caps w:val="0"/>
          <w:color w:val="auto"/>
          <w:spacing w:val="0"/>
          <w:sz w:val="24"/>
          <w:szCs w:val="24"/>
          <w:highlight w:val="none"/>
          <w:lang w:eastAsia="zh-CN"/>
        </w:rPr>
        <w:t>2026年05月21日 11:00</w:t>
      </w:r>
      <w:r>
        <w:rPr>
          <w:rFonts w:hint="eastAsia" w:ascii="仿宋" w:hAnsi="仿宋" w:eastAsia="仿宋" w:cs="仿宋"/>
          <w:i w:val="0"/>
          <w:iCs w:val="0"/>
          <w:caps w:val="0"/>
          <w:color w:val="auto"/>
          <w:spacing w:val="0"/>
          <w:sz w:val="24"/>
          <w:szCs w:val="24"/>
          <w:highlight w:val="none"/>
        </w:rPr>
        <w:t>（北京时间）</w:t>
      </w:r>
    </w:p>
    <w:p w14:paraId="019C99E1">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投标地点：请登录政采云投标客户端投标，将投标文件上传至政采云平台https://www.zcygov.cn/对应位置（逾期未上传的或不符合规定的投标文件将被拒绝接收）</w:t>
      </w:r>
    </w:p>
    <w:p w14:paraId="3A6610DD">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开标时间：</w:t>
      </w:r>
      <w:r>
        <w:rPr>
          <w:rFonts w:hint="eastAsia" w:ascii="仿宋" w:hAnsi="仿宋" w:eastAsia="仿宋" w:cs="仿宋"/>
          <w:i w:val="0"/>
          <w:iCs w:val="0"/>
          <w:caps w:val="0"/>
          <w:color w:val="auto"/>
          <w:spacing w:val="0"/>
          <w:sz w:val="24"/>
          <w:szCs w:val="24"/>
          <w:highlight w:val="none"/>
          <w:lang w:eastAsia="zh-CN"/>
        </w:rPr>
        <w:t>2026年05月21日 11:00</w:t>
      </w:r>
      <w:r>
        <w:rPr>
          <w:rFonts w:hint="eastAsia" w:ascii="仿宋" w:hAnsi="仿宋" w:eastAsia="仿宋" w:cs="仿宋"/>
          <w:i w:val="0"/>
          <w:iCs w:val="0"/>
          <w:caps w:val="0"/>
          <w:color w:val="auto"/>
          <w:spacing w:val="0"/>
          <w:sz w:val="24"/>
          <w:szCs w:val="24"/>
          <w:highlight w:val="none"/>
        </w:rPr>
        <w:t>（北京时间）</w:t>
      </w:r>
    </w:p>
    <w:p w14:paraId="3F286F08">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开标地点：投标人登录政采云平台https://www.zcygov.cn/，进入“项目采购-开标评标-右边选择对应项目点击“进入项目”进入开标大厅。</w:t>
      </w:r>
    </w:p>
    <w:p w14:paraId="412A6902">
      <w:pPr>
        <w:pStyle w:val="44"/>
        <w:keepNext w:val="0"/>
        <w:keepLines w:val="0"/>
        <w:widowControl/>
        <w:suppressLineNumbers w:val="0"/>
        <w:spacing w:before="255" w:beforeAutospacing="0" w:after="255" w:afterAutospacing="0" w:line="300" w:lineRule="atLeast"/>
        <w:ind w:left="0" w:right="0"/>
        <w:jc w:val="both"/>
        <w:rPr>
          <w:rFonts w:ascii="黑体" w:hAnsi="宋体" w:eastAsia="黑体" w:cs="黑体"/>
          <w:color w:val="auto"/>
          <w:sz w:val="24"/>
          <w:szCs w:val="24"/>
          <w:highlight w:val="none"/>
        </w:rPr>
      </w:pPr>
      <w:r>
        <w:rPr>
          <w:rStyle w:val="50"/>
          <w:rFonts w:ascii="黑体" w:hAnsi="宋体" w:eastAsia="黑体" w:cs="黑体"/>
          <w:i w:val="0"/>
          <w:iCs w:val="0"/>
          <w:caps w:val="0"/>
          <w:color w:val="auto"/>
          <w:spacing w:val="0"/>
          <w:sz w:val="24"/>
          <w:szCs w:val="24"/>
          <w:highlight w:val="none"/>
        </w:rPr>
        <w:t>五、公告期限</w:t>
      </w:r>
    </w:p>
    <w:p w14:paraId="5491A3EF">
      <w:pPr>
        <w:pStyle w:val="44"/>
        <w:keepNext w:val="0"/>
        <w:keepLines w:val="0"/>
        <w:widowControl/>
        <w:suppressLineNumbers w:val="0"/>
        <w:spacing w:before="75" w:beforeAutospacing="0" w:after="75" w:afterAutospacing="0"/>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自本公告发布之日起5个工作日。</w:t>
      </w:r>
    </w:p>
    <w:p w14:paraId="235377BD">
      <w:pPr>
        <w:pStyle w:val="44"/>
        <w:keepNext w:val="0"/>
        <w:keepLines w:val="0"/>
        <w:widowControl/>
        <w:suppressLineNumbers w:val="0"/>
        <w:spacing w:before="255" w:beforeAutospacing="0" w:after="255" w:afterAutospacing="0" w:line="300" w:lineRule="atLeast"/>
        <w:ind w:left="0" w:right="0"/>
        <w:jc w:val="both"/>
        <w:rPr>
          <w:rFonts w:ascii="黑体" w:hAnsi="宋体" w:eastAsia="黑体" w:cs="黑体"/>
          <w:color w:val="auto"/>
          <w:sz w:val="24"/>
          <w:szCs w:val="24"/>
          <w:highlight w:val="none"/>
        </w:rPr>
      </w:pPr>
      <w:r>
        <w:rPr>
          <w:rStyle w:val="50"/>
          <w:rFonts w:ascii="黑体" w:hAnsi="宋体" w:eastAsia="黑体" w:cs="黑体"/>
          <w:i w:val="0"/>
          <w:iCs w:val="0"/>
          <w:caps w:val="0"/>
          <w:color w:val="auto"/>
          <w:spacing w:val="0"/>
          <w:sz w:val="24"/>
          <w:szCs w:val="24"/>
          <w:highlight w:val="none"/>
        </w:rPr>
        <w:t>六、其他补充事宜</w:t>
      </w:r>
    </w:p>
    <w:p w14:paraId="35CD4FE4">
      <w:pPr>
        <w:pStyle w:val="44"/>
        <w:keepNext w:val="0"/>
        <w:keepLines w:val="0"/>
        <w:widowControl/>
        <w:suppressLineNumbers w:val="0"/>
        <w:spacing w:before="75" w:beforeAutospacing="0" w:after="75" w:afterAutospacing="0" w:line="315" w:lineRule="atLeast"/>
        <w:ind w:right="0"/>
        <w:rPr>
          <w:color w:val="auto"/>
          <w:sz w:val="24"/>
          <w:szCs w:val="24"/>
          <w:highlight w:val="none"/>
        </w:rPr>
      </w:pPr>
      <w:r>
        <w:rPr>
          <w:rFonts w:hint="eastAsia" w:ascii="仿宋" w:hAnsi="仿宋" w:eastAsia="仿宋" w:cs="仿宋"/>
          <w:i w:val="0"/>
          <w:iCs w:val="0"/>
          <w:caps w:val="0"/>
          <w:color w:val="auto"/>
          <w:spacing w:val="0"/>
          <w:sz w:val="24"/>
          <w:szCs w:val="24"/>
          <w:highlight w:val="none"/>
        </w:rPr>
        <w:t>1.本项目实行网上投标，采用电子投标文件；</w:t>
      </w:r>
      <w:r>
        <w:rPr>
          <w:rFonts w:hint="eastAsia" w:ascii="仿宋" w:hAnsi="仿宋" w:eastAsia="仿宋" w:cs="仿宋"/>
          <w:i w:val="0"/>
          <w:iCs w:val="0"/>
          <w:caps w:val="0"/>
          <w:color w:val="auto"/>
          <w:spacing w:val="0"/>
          <w:sz w:val="24"/>
          <w:szCs w:val="24"/>
          <w:highlight w:val="none"/>
        </w:rPr>
        <w:br w:type="textWrapping"/>
      </w:r>
      <w:r>
        <w:rPr>
          <w:rFonts w:hint="eastAsia" w:ascii="仿宋" w:hAnsi="仿宋" w:eastAsia="仿宋" w:cs="仿宋"/>
          <w:i w:val="0"/>
          <w:iCs w:val="0"/>
          <w:caps w:val="0"/>
          <w:color w:val="auto"/>
          <w:spacing w:val="0"/>
          <w:sz w:val="24"/>
          <w:szCs w:val="24"/>
          <w:highlight w:val="none"/>
        </w:rPr>
        <w:t>2.各供应商在开标前应确保成为新疆政府采购网正式注册入库供应商，并完成CA数字证书（符合国密标准）申领。因未注册入库、未办理CA数字证书等原因造成无法投标或投标失败等后果由供应商自行承担。有意向参与电子开评标的供应商，可访问新疆数字证书认证中心官方网站（https://www.xjca.com.cn/）或下载“新疆政务通”APP自行申领。如需咨询，请联系新疆CA服务热线0991-2819290；</w:t>
      </w:r>
      <w:r>
        <w:rPr>
          <w:rFonts w:hint="eastAsia" w:ascii="仿宋" w:hAnsi="仿宋" w:eastAsia="仿宋" w:cs="仿宋"/>
          <w:i w:val="0"/>
          <w:iCs w:val="0"/>
          <w:caps w:val="0"/>
          <w:color w:val="auto"/>
          <w:spacing w:val="0"/>
          <w:sz w:val="24"/>
          <w:szCs w:val="24"/>
          <w:highlight w:val="none"/>
        </w:rPr>
        <w:br w:type="textWrapping"/>
      </w:r>
      <w:r>
        <w:rPr>
          <w:rFonts w:hint="eastAsia" w:ascii="仿宋" w:hAnsi="仿宋" w:eastAsia="仿宋" w:cs="仿宋"/>
          <w:i w:val="0"/>
          <w:iCs w:val="0"/>
          <w:caps w:val="0"/>
          <w:color w:val="auto"/>
          <w:spacing w:val="0"/>
          <w:sz w:val="24"/>
          <w:szCs w:val="24"/>
          <w:highlight w:val="none"/>
        </w:rPr>
        <w:t>3.供应商在完成政采云电子交易客户端下载、安装后，可通过账号密码或CA登录客户端进行投标文件的制作。在使用政采云投标客户端时，建议使用WIN7及以上操作系统。客户端请至新疆政府采购网（http://www.ccgp-xinjiang.gov.cn/）下载专区查看，如遇问题可拨打政采云客户服务热线95763进行咨询。如因供应商自身原因导致在规定时间内无法正常解密的（如：浏览器故障、未安装相关驱动、网络故障、加密CA与解密CA不一致等），采购中心/代理机构不予异常处理，视为供应商自动弃标；</w:t>
      </w:r>
      <w:r>
        <w:rPr>
          <w:rFonts w:hint="eastAsia" w:ascii="仿宋" w:hAnsi="仿宋" w:eastAsia="仿宋" w:cs="仿宋"/>
          <w:i w:val="0"/>
          <w:iCs w:val="0"/>
          <w:caps w:val="0"/>
          <w:color w:val="auto"/>
          <w:spacing w:val="0"/>
          <w:sz w:val="24"/>
          <w:szCs w:val="24"/>
          <w:highlight w:val="none"/>
        </w:rPr>
        <w:br w:type="textWrapping"/>
      </w:r>
      <w:r>
        <w:rPr>
          <w:rFonts w:hint="eastAsia" w:ascii="仿宋" w:hAnsi="仿宋" w:eastAsia="仿宋" w:cs="仿宋"/>
          <w:i w:val="0"/>
          <w:iCs w:val="0"/>
          <w:caps w:val="0"/>
          <w:color w:val="auto"/>
          <w:spacing w:val="0"/>
          <w:sz w:val="24"/>
          <w:szCs w:val="24"/>
          <w:highlight w:val="none"/>
        </w:rPr>
        <w:t>4.供应商应当在投标截止时间前,将生成的“电子加密投标文件”上传递交至“政府采购云平台”,投标截止时间以后上传递交的投标文件将被“政府采购云平台”拒收；</w:t>
      </w:r>
      <w:r>
        <w:rPr>
          <w:rFonts w:hint="eastAsia" w:ascii="仿宋" w:hAnsi="仿宋" w:eastAsia="仿宋" w:cs="仿宋"/>
          <w:i w:val="0"/>
          <w:iCs w:val="0"/>
          <w:caps w:val="0"/>
          <w:color w:val="auto"/>
          <w:spacing w:val="0"/>
          <w:sz w:val="24"/>
          <w:szCs w:val="24"/>
          <w:highlight w:val="none"/>
        </w:rPr>
        <w:br w:type="textWrapping"/>
      </w:r>
      <w:r>
        <w:rPr>
          <w:rFonts w:hint="eastAsia" w:ascii="仿宋" w:hAnsi="仿宋" w:eastAsia="仿宋" w:cs="仿宋"/>
          <w:i w:val="0"/>
          <w:iCs w:val="0"/>
          <w:caps w:val="0"/>
          <w:color w:val="auto"/>
          <w:spacing w:val="0"/>
          <w:sz w:val="24"/>
          <w:szCs w:val="24"/>
          <w:highlight w:val="none"/>
        </w:rPr>
        <w:t>5.供应商在开标前须提前配置好电脑浏览器（建议使用360浏览器或谷歌浏览器）,开标时登录政采云平台，在“项目采购-开标评标”功能中，使用制作加密电子投标文件的CA锁进行解密及报价确认。本项目投标文件的解密时间定为30分钟内,若供应商在规定时间内因自身原因导致无法正常解密,后果由供应商自行承担；</w:t>
      </w:r>
      <w:r>
        <w:rPr>
          <w:rFonts w:hint="eastAsia" w:ascii="仿宋" w:hAnsi="仿宋" w:eastAsia="仿宋" w:cs="仿宋"/>
          <w:i w:val="0"/>
          <w:iCs w:val="0"/>
          <w:caps w:val="0"/>
          <w:color w:val="auto"/>
          <w:spacing w:val="0"/>
          <w:sz w:val="24"/>
          <w:szCs w:val="24"/>
          <w:highlight w:val="none"/>
        </w:rPr>
        <w:br w:type="textWrapping"/>
      </w:r>
      <w:r>
        <w:rPr>
          <w:rFonts w:hint="eastAsia" w:ascii="仿宋" w:hAnsi="仿宋" w:eastAsia="仿宋" w:cs="仿宋"/>
          <w:i w:val="0"/>
          <w:iCs w:val="0"/>
          <w:caps w:val="0"/>
          <w:color w:val="auto"/>
          <w:spacing w:val="0"/>
          <w:sz w:val="24"/>
          <w:szCs w:val="24"/>
          <w:highlight w:val="none"/>
        </w:rPr>
        <w:t>6.供应商登录政采云平台，在开标时间后30分钟内用“项目采购-开标评标”功能进行解密投标文件。若供应商在规定时间内未按时解密的，视为无效投标。解密与加密投标文件须使用同一个CA。</w:t>
      </w:r>
    </w:p>
    <w:p w14:paraId="381EDB5D">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rPr>
        <w:t>特别提示：</w:t>
      </w:r>
    </w:p>
    <w:p w14:paraId="49A12EB2">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rPr>
        <w:t>1、采购限额标准以上，200万元以下的货物和服务采购项目、400万元以下的工程采购项目，适宜由中小企业提供的，采购人应当专门面向中小企业采购。</w:t>
      </w:r>
    </w:p>
    <w:p w14:paraId="723745AE">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rPr>
        <w:t>2、超过200万元的货物和服务采购项目，预留该部分采购项目预算总额的30%以上专门面向中小企业采购，其中预留给小微企业的比例不低于60%。</w:t>
      </w:r>
    </w:p>
    <w:p w14:paraId="41477E81">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rPr>
        <w:t>3、超过400万元的工程采购项目中适宜由中小企业提供的，预留该部分采购项目预算总额的40%以上专门面向中小企业采购，其中预留给小微企业的比例不低于60%。</w:t>
      </w:r>
    </w:p>
    <w:p w14:paraId="501343DB">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20EEDFC0">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15AB58BF">
      <w:pPr>
        <w:pStyle w:val="44"/>
        <w:keepNext w:val="0"/>
        <w:keepLines w:val="0"/>
        <w:widowControl/>
        <w:suppressLineNumbers w:val="0"/>
        <w:spacing w:before="255" w:beforeAutospacing="0" w:after="255" w:afterAutospacing="0" w:line="480" w:lineRule="atLeast"/>
        <w:ind w:left="0" w:right="0"/>
        <w:jc w:val="both"/>
        <w:rPr>
          <w:rFonts w:ascii="黑体" w:hAnsi="宋体" w:eastAsia="黑体" w:cs="黑体"/>
          <w:color w:val="auto"/>
          <w:sz w:val="24"/>
          <w:szCs w:val="24"/>
          <w:highlight w:val="none"/>
        </w:rPr>
      </w:pPr>
      <w:r>
        <w:rPr>
          <w:rStyle w:val="50"/>
          <w:rFonts w:ascii="黑体" w:hAnsi="宋体" w:eastAsia="黑体" w:cs="黑体"/>
          <w:i w:val="0"/>
          <w:iCs w:val="0"/>
          <w:caps w:val="0"/>
          <w:color w:val="auto"/>
          <w:spacing w:val="0"/>
          <w:sz w:val="24"/>
          <w:szCs w:val="24"/>
          <w:highlight w:val="none"/>
        </w:rPr>
        <w:t>七、对本次采购提出询问，请按以下方式联系</w:t>
      </w:r>
    </w:p>
    <w:p w14:paraId="211C29C9">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rPr>
        <w:t>1.采购人信息</w:t>
      </w:r>
    </w:p>
    <w:p w14:paraId="0BF1A237">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rPr>
        <w:t>名 称：</w:t>
      </w:r>
      <w:r>
        <w:rPr>
          <w:rStyle w:val="61"/>
          <w:rFonts w:hint="eastAsia" w:ascii="仿宋" w:hAnsi="仿宋" w:eastAsia="仿宋" w:cs="仿宋"/>
          <w:i w:val="0"/>
          <w:iCs w:val="0"/>
          <w:caps w:val="0"/>
          <w:color w:val="auto"/>
          <w:spacing w:val="0"/>
          <w:sz w:val="24"/>
          <w:szCs w:val="24"/>
          <w:highlight w:val="none"/>
        </w:rPr>
        <w:t>吐鲁番市高昌区人民医院</w:t>
      </w:r>
    </w:p>
    <w:p w14:paraId="7F76FEFD">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rPr>
        <w:t>地 址：吐鲁番市高昌区高昌南路146号</w:t>
      </w:r>
    </w:p>
    <w:p w14:paraId="284C198B">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rPr>
        <w:t>联系方式：0995-6260686</w:t>
      </w:r>
    </w:p>
    <w:p w14:paraId="0D30AEAC">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rPr>
        <w:t>2.采购代理机构信息</w:t>
      </w:r>
    </w:p>
    <w:p w14:paraId="158C132C">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rPr>
        <w:t>名 称：</w:t>
      </w:r>
      <w:r>
        <w:rPr>
          <w:rFonts w:hint="eastAsia" w:ascii="仿宋" w:hAnsi="仿宋" w:eastAsia="仿宋" w:cs="仿宋"/>
          <w:i w:val="0"/>
          <w:iCs w:val="0"/>
          <w:caps w:val="0"/>
          <w:color w:val="auto"/>
          <w:spacing w:val="0"/>
          <w:sz w:val="24"/>
          <w:szCs w:val="24"/>
          <w:highlight w:val="none"/>
          <w:lang w:eastAsia="zh-CN"/>
        </w:rPr>
        <w:t>中益招标有限公司</w:t>
      </w:r>
    </w:p>
    <w:p w14:paraId="7FC3618B">
      <w:pPr>
        <w:pStyle w:val="44"/>
        <w:keepNext w:val="0"/>
        <w:keepLines w:val="0"/>
        <w:widowControl/>
        <w:suppressLineNumbers w:val="0"/>
        <w:spacing w:before="75" w:beforeAutospacing="0" w:after="75" w:afterAutospacing="0"/>
        <w:ind w:left="0" w:right="0" w:firstLine="420"/>
        <w:rPr>
          <w:rFonts w:hint="default" w:ascii="仿宋" w:hAnsi="仿宋" w:eastAsia="仿宋" w:cs="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rPr>
        <w:t>地 址：乌鲁木齐市北京南路盈科国际中心</w:t>
      </w:r>
      <w:r>
        <w:rPr>
          <w:rFonts w:hint="eastAsia" w:ascii="仿宋" w:hAnsi="仿宋" w:eastAsia="仿宋" w:cs="仿宋"/>
          <w:i w:val="0"/>
          <w:iCs w:val="0"/>
          <w:caps w:val="0"/>
          <w:color w:val="auto"/>
          <w:spacing w:val="0"/>
          <w:sz w:val="24"/>
          <w:szCs w:val="24"/>
          <w:highlight w:val="none"/>
          <w:lang w:val="en-US" w:eastAsia="zh-CN"/>
        </w:rPr>
        <w:t>30楼</w:t>
      </w:r>
    </w:p>
    <w:p w14:paraId="36950082">
      <w:pPr>
        <w:pStyle w:val="44"/>
        <w:keepNext w:val="0"/>
        <w:keepLines w:val="0"/>
        <w:widowControl/>
        <w:suppressLineNumbers w:val="0"/>
        <w:spacing w:before="75" w:beforeAutospacing="0" w:after="75" w:afterAutospacing="0"/>
        <w:ind w:left="0" w:right="0" w:firstLine="420"/>
        <w:rPr>
          <w:rFonts w:hint="default" w:ascii="仿宋" w:hAnsi="仿宋" w:eastAsia="仿宋" w:cs="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rPr>
        <w:t>联系方式：</w:t>
      </w:r>
      <w:r>
        <w:rPr>
          <w:rFonts w:hint="eastAsia" w:ascii="仿宋" w:hAnsi="仿宋" w:eastAsia="仿宋" w:cs="仿宋"/>
          <w:i w:val="0"/>
          <w:iCs w:val="0"/>
          <w:caps w:val="0"/>
          <w:color w:val="auto"/>
          <w:spacing w:val="0"/>
          <w:sz w:val="24"/>
          <w:szCs w:val="24"/>
          <w:highlight w:val="none"/>
          <w:lang w:val="en-US" w:eastAsia="zh-CN"/>
        </w:rPr>
        <w:t>0991-3651985</w:t>
      </w:r>
    </w:p>
    <w:p w14:paraId="5E626C6E">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rPr>
        <w:t>3.项目联系方式</w:t>
      </w:r>
    </w:p>
    <w:p w14:paraId="7E92C29E">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rPr>
        <w:t>项目联系人：</w:t>
      </w:r>
      <w:r>
        <w:rPr>
          <w:rStyle w:val="61"/>
          <w:rFonts w:hint="eastAsia" w:ascii="仿宋" w:hAnsi="仿宋" w:eastAsia="仿宋" w:cs="仿宋"/>
          <w:i w:val="0"/>
          <w:iCs w:val="0"/>
          <w:caps w:val="0"/>
          <w:color w:val="auto"/>
          <w:spacing w:val="0"/>
          <w:sz w:val="24"/>
          <w:szCs w:val="24"/>
          <w:highlight w:val="none"/>
          <w:lang w:eastAsia="zh-CN"/>
        </w:rPr>
        <w:t>罗雄雄</w:t>
      </w:r>
    </w:p>
    <w:p w14:paraId="2B924631">
      <w:pPr>
        <w:pStyle w:val="44"/>
        <w:keepNext w:val="0"/>
        <w:keepLines w:val="0"/>
        <w:widowControl/>
        <w:suppressLineNumbers w:val="0"/>
        <w:spacing w:before="75" w:beforeAutospacing="0" w:after="75" w:afterAutospacing="0"/>
        <w:ind w:left="0" w:right="0" w:firstLine="420"/>
        <w:rPr>
          <w:rFonts w:hint="default" w:ascii="仿宋" w:hAnsi="仿宋" w:eastAsia="仿宋" w:cs="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rPr>
        <w:t>电 话：</w:t>
      </w:r>
      <w:r>
        <w:rPr>
          <w:rStyle w:val="61"/>
          <w:rFonts w:hint="eastAsia" w:ascii="仿宋" w:hAnsi="仿宋" w:eastAsia="仿宋" w:cs="仿宋"/>
          <w:i w:val="0"/>
          <w:iCs w:val="0"/>
          <w:caps w:val="0"/>
          <w:color w:val="auto"/>
          <w:spacing w:val="0"/>
          <w:sz w:val="24"/>
          <w:szCs w:val="24"/>
          <w:highlight w:val="none"/>
          <w:lang w:val="en-US" w:eastAsia="zh-CN"/>
        </w:rPr>
        <w:t>15299196847</w:t>
      </w:r>
    </w:p>
    <w:p w14:paraId="2042665B">
      <w:pPr>
        <w:rPr>
          <w:rFonts w:hint="eastAsia" w:ascii="宋体" w:hAnsi="宋体" w:eastAsia="宋体" w:cs="宋体"/>
          <w:b/>
          <w:bCs/>
          <w:color w:val="auto"/>
          <w:kern w:val="2"/>
          <w:sz w:val="28"/>
          <w:szCs w:val="20"/>
          <w:highlight w:val="none"/>
          <w:lang w:val="en-US" w:eastAsia="zh-CN" w:bidi="ar-SA"/>
        </w:rPr>
      </w:pPr>
      <w:r>
        <w:rPr>
          <w:rFonts w:hint="eastAsia" w:ascii="宋体" w:hAnsi="宋体" w:eastAsia="宋体" w:cs="宋体"/>
          <w:b/>
          <w:bCs/>
          <w:color w:val="auto"/>
          <w:kern w:val="2"/>
          <w:sz w:val="28"/>
          <w:szCs w:val="20"/>
          <w:highlight w:val="none"/>
          <w:lang w:val="en-US" w:eastAsia="zh-CN" w:bidi="ar-SA"/>
        </w:rPr>
        <w:br w:type="page"/>
      </w:r>
    </w:p>
    <w:p w14:paraId="1EF3BC11">
      <w:pPr>
        <w:pStyle w:val="2"/>
        <w:keepNext/>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rFonts w:hint="eastAsia"/>
          <w:color w:val="auto"/>
          <w:highlight w:val="none"/>
        </w:rPr>
      </w:pPr>
      <w:bookmarkStart w:id="10" w:name="_Toc13207"/>
      <w:r>
        <w:rPr>
          <w:rFonts w:hint="eastAsia" w:ascii="宋体" w:hAnsi="宋体" w:eastAsia="宋体" w:cs="宋体"/>
          <w:b/>
          <w:bCs/>
          <w:color w:val="auto"/>
          <w:kern w:val="2"/>
          <w:sz w:val="28"/>
          <w:szCs w:val="20"/>
          <w:highlight w:val="none"/>
          <w:lang w:val="en-US" w:eastAsia="zh-CN" w:bidi="ar-SA"/>
        </w:rPr>
        <w:t>第二章</w:t>
      </w:r>
      <w:r>
        <w:rPr>
          <w:rFonts w:hint="eastAsia" w:ascii="宋体" w:hAnsi="宋体" w:cs="宋体"/>
          <w:b/>
          <w:bCs/>
          <w:color w:val="auto"/>
          <w:kern w:val="2"/>
          <w:sz w:val="28"/>
          <w:szCs w:val="20"/>
          <w:highlight w:val="none"/>
          <w:lang w:val="en-US" w:eastAsia="zh-CN" w:bidi="ar-SA"/>
        </w:rPr>
        <w:t xml:space="preserve">  </w:t>
      </w:r>
      <w:r>
        <w:rPr>
          <w:rStyle w:val="64"/>
          <w:rFonts w:hint="eastAsia" w:ascii="宋体" w:hAnsi="宋体" w:eastAsia="宋体" w:cs="宋体"/>
          <w:b/>
          <w:bCs/>
          <w:color w:val="auto"/>
          <w:highlight w:val="none"/>
        </w:rPr>
        <w:t>投标须知</w:t>
      </w:r>
      <w:bookmarkEnd w:id="8"/>
      <w:bookmarkEnd w:id="9"/>
      <w:bookmarkEnd w:id="10"/>
    </w:p>
    <w:p w14:paraId="6240DBD0">
      <w:pPr>
        <w:pStyle w:val="4"/>
        <w:bidi w:val="0"/>
        <w:jc w:val="center"/>
        <w:rPr>
          <w:rFonts w:hint="eastAsia" w:cs="Times New Roman"/>
          <w:color w:val="auto"/>
          <w:highlight w:val="none"/>
          <w:lang w:eastAsia="zh-CN"/>
        </w:rPr>
      </w:pPr>
      <w:bookmarkStart w:id="11" w:name="_Toc14012"/>
      <w:r>
        <w:rPr>
          <w:rFonts w:hint="eastAsia" w:cs="Times New Roman"/>
          <w:color w:val="auto"/>
          <w:highlight w:val="none"/>
          <w:lang w:eastAsia="zh-CN"/>
        </w:rPr>
        <w:t>投标须知前附表</w:t>
      </w:r>
      <w:bookmarkEnd w:id="11"/>
    </w:p>
    <w:p w14:paraId="209EE74D">
      <w:pPr>
        <w:rPr>
          <w:rFonts w:hint="eastAsia" w:ascii="宋体" w:hAnsi="宋体" w:eastAsia="宋体" w:cs="宋体"/>
          <w:color w:val="auto"/>
          <w:sz w:val="24"/>
          <w:szCs w:val="24"/>
          <w:highlight w:val="none"/>
        </w:rPr>
      </w:pPr>
    </w:p>
    <w:tbl>
      <w:tblPr>
        <w:tblStyle w:val="47"/>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4"/>
        <w:gridCol w:w="1489"/>
        <w:gridCol w:w="5076"/>
      </w:tblGrid>
      <w:tr w14:paraId="3F76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2224" w:type="dxa"/>
            <w:vAlign w:val="center"/>
          </w:tcPr>
          <w:p w14:paraId="6C1EA57D">
            <w:pPr>
              <w:adjustRightInd w:val="0"/>
              <w:snapToGrid w:val="0"/>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w:t>
            </w:r>
          </w:p>
        </w:tc>
        <w:tc>
          <w:tcPr>
            <w:tcW w:w="1489" w:type="dxa"/>
            <w:vAlign w:val="center"/>
          </w:tcPr>
          <w:p w14:paraId="0FFEEC84">
            <w:pPr>
              <w:adjustRightInd w:val="0"/>
              <w:snapToGrid w:val="0"/>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条款名称</w:t>
            </w:r>
          </w:p>
        </w:tc>
        <w:tc>
          <w:tcPr>
            <w:tcW w:w="5076" w:type="dxa"/>
            <w:vAlign w:val="center"/>
          </w:tcPr>
          <w:p w14:paraId="11AC3CBB">
            <w:pPr>
              <w:adjustRightInd w:val="0"/>
              <w:snapToGrid w:val="0"/>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编列内容规定</w:t>
            </w:r>
          </w:p>
        </w:tc>
      </w:tr>
      <w:tr w14:paraId="77830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8789" w:type="dxa"/>
            <w:gridSpan w:val="3"/>
            <w:vAlign w:val="center"/>
          </w:tcPr>
          <w:p w14:paraId="76216215">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一、说明</w:t>
            </w:r>
          </w:p>
        </w:tc>
      </w:tr>
      <w:tr w14:paraId="0DE1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4CA0093A">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第二章第1.1款</w:t>
            </w:r>
          </w:p>
        </w:tc>
        <w:tc>
          <w:tcPr>
            <w:tcW w:w="1489" w:type="dxa"/>
            <w:vAlign w:val="center"/>
          </w:tcPr>
          <w:p w14:paraId="110ED3BA">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5076" w:type="dxa"/>
            <w:vAlign w:val="center"/>
          </w:tcPr>
          <w:p w14:paraId="018A0452">
            <w:pPr>
              <w:spacing w:line="400" w:lineRule="exact"/>
              <w:jc w:val="left"/>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吐鲁番市高昌区人民医院彩色多普勒超声诊断仪等设备采购项目</w:t>
            </w:r>
          </w:p>
        </w:tc>
      </w:tr>
      <w:tr w14:paraId="4B4D7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224" w:type="dxa"/>
            <w:vAlign w:val="center"/>
          </w:tcPr>
          <w:p w14:paraId="4ADC78FD">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第二章第1.2款</w:t>
            </w:r>
          </w:p>
        </w:tc>
        <w:tc>
          <w:tcPr>
            <w:tcW w:w="1489" w:type="dxa"/>
            <w:vAlign w:val="center"/>
          </w:tcPr>
          <w:p w14:paraId="0394BB71">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采购内容</w:t>
            </w:r>
          </w:p>
        </w:tc>
        <w:tc>
          <w:tcPr>
            <w:tcW w:w="5076" w:type="dxa"/>
            <w:vAlign w:val="center"/>
          </w:tcPr>
          <w:p w14:paraId="73AAB680">
            <w:pPr>
              <w:spacing w:line="400" w:lineRule="exact"/>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购置彩色多普勒超声诊断仪</w:t>
            </w:r>
            <w:r>
              <w:rPr>
                <w:rFonts w:hint="eastAsia" w:ascii="宋体" w:hAnsi="宋体" w:cs="宋体"/>
                <w:color w:val="auto"/>
                <w:sz w:val="24"/>
                <w:szCs w:val="24"/>
                <w:highlight w:val="none"/>
                <w:lang w:eastAsia="zh-CN"/>
              </w:rPr>
              <w:t>、电解质分析仪、五分类血液细胞分析、低速离心机96孔、数码液晶平板生物显微镜</w:t>
            </w:r>
            <w:r>
              <w:rPr>
                <w:rFonts w:hint="eastAsia" w:ascii="宋体" w:hAnsi="宋体" w:cs="宋体"/>
                <w:color w:val="auto"/>
                <w:sz w:val="24"/>
                <w:szCs w:val="24"/>
                <w:highlight w:val="none"/>
                <w:lang w:val="en-US" w:eastAsia="zh-CN"/>
              </w:rPr>
              <w:t>等医疗</w:t>
            </w:r>
            <w:r>
              <w:rPr>
                <w:rFonts w:hint="eastAsia" w:ascii="宋体" w:hAnsi="宋体" w:eastAsia="宋体" w:cs="宋体"/>
                <w:color w:val="auto"/>
                <w:sz w:val="24"/>
                <w:szCs w:val="24"/>
                <w:highlight w:val="none"/>
                <w:lang w:eastAsia="zh-CN"/>
              </w:rPr>
              <w:t>设备</w:t>
            </w:r>
            <w:r>
              <w:rPr>
                <w:rFonts w:hint="eastAsia" w:ascii="宋体" w:hAnsi="宋体" w:cs="宋体"/>
                <w:color w:val="auto"/>
                <w:sz w:val="24"/>
                <w:szCs w:val="24"/>
                <w:highlight w:val="none"/>
                <w:lang w:eastAsia="zh-CN"/>
              </w:rPr>
              <w:t>，具体内容详见招标文件第四章</w:t>
            </w:r>
            <w:r>
              <w:rPr>
                <w:rFonts w:hint="eastAsia" w:ascii="宋体" w:hAnsi="宋体" w:cs="宋体"/>
                <w:color w:val="auto"/>
                <w:sz w:val="24"/>
                <w:szCs w:val="24"/>
                <w:highlight w:val="none"/>
                <w:lang w:val="en-US" w:eastAsia="zh-CN"/>
              </w:rPr>
              <w:t xml:space="preserve"> 采购需求</w:t>
            </w:r>
          </w:p>
        </w:tc>
      </w:tr>
      <w:tr w14:paraId="63EF9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30736B0D">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第二章第1.3款</w:t>
            </w:r>
          </w:p>
        </w:tc>
        <w:tc>
          <w:tcPr>
            <w:tcW w:w="1489" w:type="dxa"/>
            <w:vAlign w:val="center"/>
          </w:tcPr>
          <w:p w14:paraId="55483CFB">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采购方式</w:t>
            </w:r>
          </w:p>
        </w:tc>
        <w:tc>
          <w:tcPr>
            <w:tcW w:w="5076" w:type="dxa"/>
            <w:vAlign w:val="center"/>
          </w:tcPr>
          <w:p w14:paraId="360D71AD">
            <w:pPr>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公开招标</w:t>
            </w:r>
          </w:p>
        </w:tc>
      </w:tr>
      <w:tr w14:paraId="0D5A6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2C541773">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第二章第1.4款</w:t>
            </w:r>
          </w:p>
        </w:tc>
        <w:tc>
          <w:tcPr>
            <w:tcW w:w="1489" w:type="dxa"/>
            <w:vAlign w:val="center"/>
          </w:tcPr>
          <w:p w14:paraId="4C879050">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项目地点</w:t>
            </w:r>
          </w:p>
        </w:tc>
        <w:tc>
          <w:tcPr>
            <w:tcW w:w="5076" w:type="dxa"/>
            <w:vAlign w:val="center"/>
          </w:tcPr>
          <w:p w14:paraId="373729F2">
            <w:pPr>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采购人指定地点</w:t>
            </w:r>
          </w:p>
        </w:tc>
      </w:tr>
      <w:tr w14:paraId="464EB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7E33EDF3">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第二章第1.5款</w:t>
            </w:r>
          </w:p>
        </w:tc>
        <w:tc>
          <w:tcPr>
            <w:tcW w:w="1489" w:type="dxa"/>
            <w:vAlign w:val="center"/>
          </w:tcPr>
          <w:p w14:paraId="3915195B">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合同履行期限</w:t>
            </w:r>
          </w:p>
        </w:tc>
        <w:tc>
          <w:tcPr>
            <w:tcW w:w="5076" w:type="dxa"/>
            <w:vAlign w:val="center"/>
          </w:tcPr>
          <w:p w14:paraId="288C531B">
            <w:pPr>
              <w:spacing w:line="400" w:lineRule="exact"/>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合同签订之日起30个工作日内送至甲方指定地点并完成货物安装验收。</w:t>
            </w:r>
          </w:p>
        </w:tc>
      </w:tr>
      <w:tr w14:paraId="6046E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24" w:type="dxa"/>
            <w:vAlign w:val="center"/>
          </w:tcPr>
          <w:p w14:paraId="74836F5C">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款</w:t>
            </w:r>
          </w:p>
        </w:tc>
        <w:tc>
          <w:tcPr>
            <w:tcW w:w="1489" w:type="dxa"/>
            <w:vAlign w:val="center"/>
          </w:tcPr>
          <w:p w14:paraId="7F868DAD">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付款方式</w:t>
            </w:r>
          </w:p>
        </w:tc>
        <w:tc>
          <w:tcPr>
            <w:tcW w:w="5076" w:type="dxa"/>
            <w:vAlign w:val="center"/>
          </w:tcPr>
          <w:p w14:paraId="2F3CA2B5">
            <w:pPr>
              <w:spacing w:line="400" w:lineRule="exact"/>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1、付款币种</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eastAsia="zh-CN"/>
              </w:rPr>
              <w:t>本次招标所述的项目资金均以人民币支付。</w:t>
            </w:r>
          </w:p>
          <w:p w14:paraId="2ADE4900">
            <w:pPr>
              <w:spacing w:line="400" w:lineRule="exact"/>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2、付款方式：最终付款方式以和甲方单位签订合同为准</w:t>
            </w:r>
            <w:r>
              <w:rPr>
                <w:rFonts w:hint="eastAsia" w:ascii="宋体" w:hAnsi="宋体" w:cs="宋体"/>
                <w:color w:val="auto"/>
                <w:kern w:val="0"/>
                <w:sz w:val="24"/>
                <w:szCs w:val="24"/>
                <w:highlight w:val="none"/>
                <w:lang w:eastAsia="zh-CN"/>
              </w:rPr>
              <w:t>。</w:t>
            </w:r>
          </w:p>
        </w:tc>
      </w:tr>
      <w:tr w14:paraId="09A93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2224" w:type="dxa"/>
            <w:vAlign w:val="center"/>
          </w:tcPr>
          <w:p w14:paraId="43529506">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第二章第2.1款</w:t>
            </w:r>
          </w:p>
        </w:tc>
        <w:tc>
          <w:tcPr>
            <w:tcW w:w="1489" w:type="dxa"/>
            <w:vAlign w:val="center"/>
          </w:tcPr>
          <w:p w14:paraId="5BEF3E95">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w:t>
            </w:r>
          </w:p>
        </w:tc>
        <w:tc>
          <w:tcPr>
            <w:tcW w:w="5076" w:type="dxa"/>
            <w:vAlign w:val="center"/>
          </w:tcPr>
          <w:p w14:paraId="488367F6">
            <w:pPr>
              <w:pStyle w:val="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 购 人：吐鲁番市高昌区人民医院</w:t>
            </w:r>
          </w:p>
          <w:p w14:paraId="6C5AF840">
            <w:pPr>
              <w:pStyle w:val="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联系人：吕建锋</w:t>
            </w:r>
          </w:p>
          <w:p w14:paraId="6093DADD">
            <w:pPr>
              <w:pStyle w:val="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电话：0995-6260686</w:t>
            </w:r>
          </w:p>
          <w:p w14:paraId="34D767AF">
            <w:pPr>
              <w:pStyle w:val="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地址：吐鲁番市高昌区高昌南路146号</w:t>
            </w:r>
          </w:p>
        </w:tc>
      </w:tr>
      <w:tr w14:paraId="5928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2224" w:type="dxa"/>
            <w:vAlign w:val="center"/>
          </w:tcPr>
          <w:p w14:paraId="3F00CFA6">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第二章第2.2款</w:t>
            </w:r>
          </w:p>
        </w:tc>
        <w:tc>
          <w:tcPr>
            <w:tcW w:w="1489" w:type="dxa"/>
            <w:vAlign w:val="center"/>
          </w:tcPr>
          <w:p w14:paraId="6E43511E">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采购代理机构</w:t>
            </w:r>
          </w:p>
        </w:tc>
        <w:tc>
          <w:tcPr>
            <w:tcW w:w="5076" w:type="dxa"/>
            <w:vAlign w:val="center"/>
          </w:tcPr>
          <w:p w14:paraId="376B5131">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名称：中益招标有限公司</w:t>
            </w:r>
          </w:p>
          <w:p w14:paraId="62FC3B12">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地址：新市区北京南路416号盈科国际中心30楼3001室</w:t>
            </w:r>
          </w:p>
          <w:p w14:paraId="348A375B">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Fonts w:hint="eastAsia" w:ascii="宋体" w:hAnsi="宋体" w:cs="宋体"/>
                <w:color w:val="auto"/>
                <w:sz w:val="24"/>
                <w:szCs w:val="24"/>
                <w:highlight w:val="none"/>
                <w:lang w:eastAsia="zh-CN"/>
              </w:rPr>
              <w:t>罗雄雄</w:t>
            </w:r>
            <w:r>
              <w:rPr>
                <w:rFonts w:hint="eastAsia" w:ascii="宋体" w:hAnsi="宋体" w:eastAsia="宋体" w:cs="宋体"/>
                <w:color w:val="auto"/>
                <w:sz w:val="24"/>
                <w:szCs w:val="24"/>
                <w:highlight w:val="none"/>
              </w:rPr>
              <w:t xml:space="preserve"> </w:t>
            </w:r>
          </w:p>
          <w:p w14:paraId="73326048">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联系方式： </w:t>
            </w:r>
            <w:r>
              <w:rPr>
                <w:rFonts w:hint="eastAsia" w:ascii="宋体" w:hAnsi="宋体" w:cs="宋体"/>
                <w:color w:val="auto"/>
                <w:sz w:val="24"/>
                <w:szCs w:val="24"/>
                <w:highlight w:val="none"/>
                <w:lang w:eastAsia="zh-CN"/>
              </w:rPr>
              <w:t>15299196847</w:t>
            </w:r>
          </w:p>
        </w:tc>
      </w:tr>
      <w:tr w14:paraId="2E3EA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2224" w:type="dxa"/>
            <w:vAlign w:val="center"/>
          </w:tcPr>
          <w:p w14:paraId="22BB674F">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第二章第3.1款</w:t>
            </w:r>
          </w:p>
        </w:tc>
        <w:tc>
          <w:tcPr>
            <w:tcW w:w="1489" w:type="dxa"/>
            <w:vAlign w:val="center"/>
          </w:tcPr>
          <w:p w14:paraId="45B98964">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投标人</w:t>
            </w:r>
            <w:r>
              <w:rPr>
                <w:rFonts w:hint="eastAsia" w:ascii="宋体" w:hAnsi="宋体" w:eastAsia="宋体" w:cs="宋体"/>
                <w:color w:val="auto"/>
                <w:sz w:val="24"/>
                <w:szCs w:val="24"/>
                <w:highlight w:val="none"/>
              </w:rPr>
              <w:t>资格条件</w:t>
            </w:r>
          </w:p>
        </w:tc>
        <w:tc>
          <w:tcPr>
            <w:tcW w:w="5076" w:type="dxa"/>
            <w:vAlign w:val="center"/>
          </w:tcPr>
          <w:p w14:paraId="59E1D7EE">
            <w:pPr>
              <w:spacing w:line="400" w:lineRule="atLeas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1、满足《中华人民共和国政府采购法》第二十二条规定；</w:t>
            </w:r>
          </w:p>
          <w:p w14:paraId="18576D15">
            <w:pPr>
              <w:spacing w:line="400" w:lineRule="atLeas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2、落实政府采购政策需满足的资格要求：无。 </w:t>
            </w:r>
          </w:p>
          <w:p w14:paraId="321A7C16">
            <w:pPr>
              <w:spacing w:line="400" w:lineRule="atLeas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项目的特定资格要求：供应商所投产品属于第二类医疗器械的，提供投标供应商有效的行政主管部门颁发的医疗器械经营备案凭证（或医疗器械生产许可证或医疗器械经营许可证或其他医疗器械生产经营许可证明文件）；所投产品属于第三类医疗器械的，提供投标供应商有效的行政主管部门颁发的医疗器械生产许可证（或医疗器械经营许可证或其他医疗器械生产经营许可证明文件）</w:t>
            </w:r>
          </w:p>
          <w:p w14:paraId="3D3EDFB7">
            <w:pPr>
              <w:spacing w:line="400" w:lineRule="atLeas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4、本项目不接受联合体投标。</w:t>
            </w:r>
          </w:p>
        </w:tc>
      </w:tr>
      <w:tr w14:paraId="6BB8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2224" w:type="dxa"/>
            <w:vAlign w:val="center"/>
          </w:tcPr>
          <w:p w14:paraId="10A642A7">
            <w:pPr>
              <w:adjustRightInd w:val="0"/>
              <w:snapToGrid w:val="0"/>
              <w:spacing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第二章第3.2款（4）</w:t>
            </w:r>
          </w:p>
        </w:tc>
        <w:tc>
          <w:tcPr>
            <w:tcW w:w="1489" w:type="dxa"/>
            <w:vAlign w:val="center"/>
          </w:tcPr>
          <w:p w14:paraId="4C212666">
            <w:pPr>
              <w:adjustRightInd w:val="0"/>
              <w:snapToGrid w:val="0"/>
              <w:spacing w:line="28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信用查询时间</w:t>
            </w:r>
          </w:p>
        </w:tc>
        <w:tc>
          <w:tcPr>
            <w:tcW w:w="5076" w:type="dxa"/>
            <w:vAlign w:val="center"/>
          </w:tcPr>
          <w:p w14:paraId="2FF39BB6">
            <w:pPr>
              <w:adjustRightInd w:val="0"/>
              <w:snapToGrid w:val="0"/>
              <w:spacing w:line="2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202</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04</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27</w:t>
            </w:r>
            <w:r>
              <w:rPr>
                <w:rFonts w:hint="eastAsia" w:ascii="宋体" w:hAnsi="宋体" w:eastAsia="宋体" w:cs="宋体"/>
                <w:color w:val="auto"/>
                <w:sz w:val="24"/>
                <w:szCs w:val="24"/>
                <w:highlight w:val="none"/>
              </w:rPr>
              <w:t>日-</w:t>
            </w:r>
            <w:r>
              <w:rPr>
                <w:rFonts w:hint="eastAsia" w:ascii="宋体" w:hAnsi="宋体" w:cs="宋体"/>
                <w:color w:val="auto"/>
                <w:sz w:val="24"/>
                <w:szCs w:val="24"/>
                <w:highlight w:val="none"/>
                <w:lang w:eastAsia="zh-CN"/>
              </w:rPr>
              <w:t>2026年05月21日</w:t>
            </w:r>
            <w:r>
              <w:rPr>
                <w:rFonts w:hint="eastAsia" w:ascii="宋体" w:hAnsi="宋体" w:eastAsia="宋体" w:cs="宋体"/>
                <w:color w:val="auto"/>
                <w:sz w:val="24"/>
                <w:szCs w:val="24"/>
                <w:highlight w:val="none"/>
              </w:rPr>
              <w:t>查询</w:t>
            </w:r>
          </w:p>
        </w:tc>
      </w:tr>
      <w:tr w14:paraId="6299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3DC37056">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第二章第6.1款</w:t>
            </w:r>
          </w:p>
        </w:tc>
        <w:tc>
          <w:tcPr>
            <w:tcW w:w="1489" w:type="dxa"/>
            <w:vAlign w:val="center"/>
          </w:tcPr>
          <w:p w14:paraId="0CFA766D">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联合体形式</w:t>
            </w:r>
          </w:p>
        </w:tc>
        <w:tc>
          <w:tcPr>
            <w:tcW w:w="5076" w:type="dxa"/>
            <w:vAlign w:val="center"/>
          </w:tcPr>
          <w:p w14:paraId="39AE1ACD">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不接受</w:t>
            </w:r>
          </w:p>
        </w:tc>
      </w:tr>
      <w:tr w14:paraId="3A68B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4B47F06A">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第二章第6.2（3）款</w:t>
            </w:r>
          </w:p>
        </w:tc>
        <w:tc>
          <w:tcPr>
            <w:tcW w:w="1489" w:type="dxa"/>
            <w:vAlign w:val="center"/>
          </w:tcPr>
          <w:p w14:paraId="07234D90">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对联合体各方的要求</w:t>
            </w:r>
          </w:p>
        </w:tc>
        <w:tc>
          <w:tcPr>
            <w:tcW w:w="5076" w:type="dxa"/>
            <w:vAlign w:val="center"/>
          </w:tcPr>
          <w:p w14:paraId="03500872">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w:t>
            </w:r>
          </w:p>
        </w:tc>
      </w:tr>
      <w:tr w14:paraId="0075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38A37F95">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第二章第7.1款</w:t>
            </w:r>
          </w:p>
        </w:tc>
        <w:tc>
          <w:tcPr>
            <w:tcW w:w="1489" w:type="dxa"/>
            <w:vAlign w:val="center"/>
          </w:tcPr>
          <w:p w14:paraId="239F5289">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现场考察</w:t>
            </w:r>
          </w:p>
        </w:tc>
        <w:tc>
          <w:tcPr>
            <w:tcW w:w="5076" w:type="dxa"/>
            <w:vAlign w:val="center"/>
          </w:tcPr>
          <w:p w14:paraId="4FF8C262">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本项目不涉及</w:t>
            </w:r>
          </w:p>
        </w:tc>
      </w:tr>
      <w:tr w14:paraId="58B2A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6676B904">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第二章第8.1款</w:t>
            </w:r>
          </w:p>
        </w:tc>
        <w:tc>
          <w:tcPr>
            <w:tcW w:w="1489" w:type="dxa"/>
            <w:vAlign w:val="center"/>
          </w:tcPr>
          <w:p w14:paraId="6751DCF5">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合同</w:t>
            </w:r>
            <w:r>
              <w:rPr>
                <w:rFonts w:hint="eastAsia" w:ascii="宋体" w:hAnsi="宋体" w:eastAsia="宋体" w:cs="宋体"/>
                <w:color w:val="auto"/>
                <w:sz w:val="24"/>
                <w:szCs w:val="24"/>
                <w:highlight w:val="none"/>
              </w:rPr>
              <w:t>分包</w:t>
            </w:r>
          </w:p>
        </w:tc>
        <w:tc>
          <w:tcPr>
            <w:tcW w:w="5076" w:type="dxa"/>
            <w:vAlign w:val="center"/>
          </w:tcPr>
          <w:p w14:paraId="09CDB741">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本项目不允许合同分包</w:t>
            </w:r>
          </w:p>
        </w:tc>
      </w:tr>
      <w:tr w14:paraId="6FE4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Merge w:val="restart"/>
            <w:vAlign w:val="center"/>
          </w:tcPr>
          <w:p w14:paraId="3D2B99D6">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第二章第9.1款</w:t>
            </w:r>
          </w:p>
        </w:tc>
        <w:tc>
          <w:tcPr>
            <w:tcW w:w="1489" w:type="dxa"/>
            <w:vAlign w:val="center"/>
          </w:tcPr>
          <w:p w14:paraId="283DD218">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w:t>
            </w:r>
            <w:r>
              <w:rPr>
                <w:rFonts w:hint="eastAsia" w:ascii="宋体" w:hAnsi="宋体" w:eastAsia="宋体" w:cs="宋体"/>
                <w:bCs/>
                <w:color w:val="auto"/>
                <w:kern w:val="0"/>
                <w:sz w:val="24"/>
                <w:szCs w:val="24"/>
                <w:highlight w:val="none"/>
              </w:rPr>
              <w:t>支持</w:t>
            </w:r>
            <w:r>
              <w:rPr>
                <w:rFonts w:hint="eastAsia" w:ascii="宋体" w:hAnsi="宋体" w:eastAsia="宋体" w:cs="宋体"/>
                <w:color w:val="auto"/>
                <w:sz w:val="24"/>
                <w:szCs w:val="24"/>
                <w:highlight w:val="none"/>
              </w:rPr>
              <w:t>中小企业发展</w:t>
            </w:r>
          </w:p>
        </w:tc>
        <w:tc>
          <w:tcPr>
            <w:tcW w:w="5076" w:type="dxa"/>
            <w:vAlign w:val="center"/>
          </w:tcPr>
          <w:p w14:paraId="7985A9C4">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根据《政府采购促进中小企业发展管理办法》（财库[2020]46号）的规定，给予小型和微型企业产品的价格给予10%</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的扣除，用扣除后的价格参与评审，监狱企业、残疾人福利性质单位视同为小微企业。</w:t>
            </w:r>
          </w:p>
          <w:p w14:paraId="4A40876D">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本项目具体扣除比例为</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w:t>
            </w:r>
          </w:p>
          <w:p w14:paraId="5CB99D26">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rPr>
              <w:t>本项目所属行业：</w:t>
            </w:r>
            <w:r>
              <w:rPr>
                <w:rFonts w:hint="eastAsia" w:ascii="宋体" w:hAnsi="宋体" w:eastAsia="宋体" w:cs="宋体"/>
                <w:b/>
                <w:bCs/>
                <w:color w:val="auto"/>
                <w:sz w:val="24"/>
                <w:szCs w:val="24"/>
                <w:highlight w:val="none"/>
                <w:lang w:eastAsia="zh-CN"/>
              </w:rPr>
              <w:t>工业</w:t>
            </w:r>
          </w:p>
        </w:tc>
      </w:tr>
      <w:tr w14:paraId="6D6DE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24" w:type="dxa"/>
            <w:vMerge w:val="continue"/>
            <w:vAlign w:val="center"/>
          </w:tcPr>
          <w:p w14:paraId="4B9209EE">
            <w:pPr>
              <w:adjustRightInd w:val="0"/>
              <w:snapToGrid w:val="0"/>
              <w:spacing w:line="400" w:lineRule="exact"/>
              <w:jc w:val="center"/>
              <w:rPr>
                <w:rFonts w:hint="eastAsia" w:ascii="宋体" w:hAnsi="宋体" w:eastAsia="宋体" w:cs="宋体"/>
                <w:color w:val="auto"/>
                <w:sz w:val="24"/>
                <w:szCs w:val="24"/>
                <w:highlight w:val="none"/>
              </w:rPr>
            </w:pPr>
          </w:p>
        </w:tc>
        <w:tc>
          <w:tcPr>
            <w:tcW w:w="1489" w:type="dxa"/>
            <w:vMerge w:val="restart"/>
            <w:vAlign w:val="center"/>
          </w:tcPr>
          <w:p w14:paraId="295FE6BA">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中小微企业政策文件</w:t>
            </w:r>
          </w:p>
        </w:tc>
        <w:tc>
          <w:tcPr>
            <w:tcW w:w="5076" w:type="dxa"/>
            <w:vAlign w:val="center"/>
          </w:tcPr>
          <w:p w14:paraId="0EA1FCC6">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（1）根据财政部、工业和信息化部关于印发《政府采购促进中小企业发展管理办法》的通知(财库(2020)46 号)，投标人及其所投产品的制造商均属于《工业和信息化部、国家统计局、国家发展和改革委员会、财政部关于印发中小企业划型标准规定的通知》（工信部联企业 [2011]300 号）中规定的小型、微型企业标准的，按招标文件格式提供《中小企业声明函》。 </w:t>
            </w:r>
          </w:p>
        </w:tc>
      </w:tr>
      <w:tr w14:paraId="773D0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24" w:type="dxa"/>
            <w:vMerge w:val="continue"/>
            <w:vAlign w:val="center"/>
          </w:tcPr>
          <w:p w14:paraId="2C0613C1">
            <w:pPr>
              <w:adjustRightInd w:val="0"/>
              <w:snapToGrid w:val="0"/>
              <w:spacing w:line="400" w:lineRule="exact"/>
              <w:rPr>
                <w:color w:val="auto"/>
                <w:highlight w:val="none"/>
              </w:rPr>
            </w:pPr>
          </w:p>
        </w:tc>
        <w:tc>
          <w:tcPr>
            <w:tcW w:w="1489" w:type="dxa"/>
            <w:vMerge w:val="continue"/>
            <w:vAlign w:val="center"/>
          </w:tcPr>
          <w:p w14:paraId="64B372FD">
            <w:pPr>
              <w:adjustRightInd w:val="0"/>
              <w:snapToGrid w:val="0"/>
              <w:spacing w:line="400" w:lineRule="exact"/>
              <w:rPr>
                <w:color w:val="auto"/>
                <w:highlight w:val="none"/>
              </w:rPr>
            </w:pPr>
          </w:p>
        </w:tc>
        <w:tc>
          <w:tcPr>
            <w:tcW w:w="5076" w:type="dxa"/>
            <w:vAlign w:val="center"/>
          </w:tcPr>
          <w:p w14:paraId="29F31510">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（2）根据财政部、司令部《关于政府采购支持监狱企业发展有关问题》的通知财库[2014]68 号，监狱企业参加本项目投标时，应当提供由省级以上监狱管理局、戒毒管理局（新疆生产建设兵团）出具的属于监狱企业的证明文件。监狱企业视同小型、微型企业。 </w:t>
            </w:r>
          </w:p>
        </w:tc>
      </w:tr>
      <w:tr w14:paraId="4DE7A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24" w:type="dxa"/>
            <w:vMerge w:val="continue"/>
            <w:vAlign w:val="center"/>
          </w:tcPr>
          <w:p w14:paraId="498985EB">
            <w:pPr>
              <w:adjustRightInd w:val="0"/>
              <w:snapToGrid w:val="0"/>
              <w:spacing w:line="400" w:lineRule="exact"/>
              <w:rPr>
                <w:rFonts w:hint="eastAsia" w:ascii="宋体" w:hAnsi="宋体" w:eastAsia="宋体" w:cs="宋体"/>
                <w:color w:val="auto"/>
                <w:sz w:val="24"/>
                <w:szCs w:val="24"/>
                <w:highlight w:val="none"/>
              </w:rPr>
            </w:pPr>
          </w:p>
        </w:tc>
        <w:tc>
          <w:tcPr>
            <w:tcW w:w="1489" w:type="dxa"/>
            <w:vMerge w:val="continue"/>
            <w:vAlign w:val="center"/>
          </w:tcPr>
          <w:p w14:paraId="5177DAC6">
            <w:pPr>
              <w:adjustRightInd w:val="0"/>
              <w:snapToGrid w:val="0"/>
              <w:spacing w:line="400" w:lineRule="exact"/>
              <w:rPr>
                <w:rFonts w:hint="eastAsia" w:ascii="宋体" w:hAnsi="宋体" w:eastAsia="宋体" w:cs="宋体"/>
                <w:color w:val="auto"/>
                <w:sz w:val="24"/>
                <w:szCs w:val="24"/>
                <w:highlight w:val="none"/>
              </w:rPr>
            </w:pPr>
          </w:p>
        </w:tc>
        <w:tc>
          <w:tcPr>
            <w:tcW w:w="5076" w:type="dxa"/>
            <w:vAlign w:val="center"/>
          </w:tcPr>
          <w:p w14:paraId="514A6565">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（3）根据财政部、民政部、中国残疾人联合会《关于促进残疾人就业政府采购政策的通知》（财库[2017]141 号），在政府采购活动中，残疾人福利性单位视同小型、微型企业。投标人属于残疾人福利性单位的，按照招标文件格式提供残疾人福利性单位声明函。</w:t>
            </w:r>
          </w:p>
        </w:tc>
      </w:tr>
      <w:tr w14:paraId="181F8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jc w:val="center"/>
        </w:trPr>
        <w:tc>
          <w:tcPr>
            <w:tcW w:w="8789" w:type="dxa"/>
            <w:gridSpan w:val="3"/>
            <w:vAlign w:val="center"/>
          </w:tcPr>
          <w:p w14:paraId="2279089D">
            <w:pPr>
              <w:adjustRightInd w:val="0"/>
              <w:snapToGrid w:val="0"/>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二、招标文件</w:t>
            </w:r>
          </w:p>
        </w:tc>
      </w:tr>
      <w:tr w14:paraId="5DF2A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4ECF173F">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第二章第10.3款</w:t>
            </w:r>
          </w:p>
        </w:tc>
        <w:tc>
          <w:tcPr>
            <w:tcW w:w="1489" w:type="dxa"/>
            <w:vAlign w:val="center"/>
          </w:tcPr>
          <w:p w14:paraId="6A8E807C">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采购文件的可能实质性变动内容</w:t>
            </w:r>
          </w:p>
        </w:tc>
        <w:tc>
          <w:tcPr>
            <w:tcW w:w="5076" w:type="dxa"/>
            <w:vAlign w:val="center"/>
          </w:tcPr>
          <w:p w14:paraId="5BD95FE7">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技术、服务要求以及合同草案条款</w:t>
            </w:r>
          </w:p>
        </w:tc>
      </w:tr>
      <w:tr w14:paraId="66129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26BFBBFA">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第二章第11.1款</w:t>
            </w:r>
          </w:p>
        </w:tc>
        <w:tc>
          <w:tcPr>
            <w:tcW w:w="1489" w:type="dxa"/>
            <w:vAlign w:val="center"/>
          </w:tcPr>
          <w:p w14:paraId="12A8DD1B">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提交投标文件截止时间</w:t>
            </w:r>
          </w:p>
        </w:tc>
        <w:tc>
          <w:tcPr>
            <w:tcW w:w="5076" w:type="dxa"/>
            <w:vAlign w:val="center"/>
          </w:tcPr>
          <w:p w14:paraId="44901C40">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2026年05月21日 11:00</w:t>
            </w:r>
            <w:r>
              <w:rPr>
                <w:rFonts w:hint="eastAsia" w:ascii="宋体" w:hAnsi="宋体" w:cs="宋体"/>
                <w:color w:val="auto"/>
                <w:sz w:val="24"/>
                <w:szCs w:val="24"/>
                <w:highlight w:val="none"/>
                <w:lang w:val="en-US" w:eastAsia="zh-CN"/>
              </w:rPr>
              <w:t>（北京时间）</w:t>
            </w:r>
            <w:r>
              <w:rPr>
                <w:rFonts w:hint="eastAsia" w:ascii="宋体" w:hAnsi="宋体" w:eastAsia="宋体" w:cs="宋体"/>
                <w:color w:val="auto"/>
                <w:sz w:val="24"/>
                <w:szCs w:val="24"/>
                <w:highlight w:val="none"/>
              </w:rPr>
              <w:t>整</w:t>
            </w:r>
          </w:p>
        </w:tc>
      </w:tr>
      <w:tr w14:paraId="260DA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789" w:type="dxa"/>
            <w:gridSpan w:val="3"/>
            <w:vAlign w:val="center"/>
          </w:tcPr>
          <w:p w14:paraId="427362DA">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三、投标文件的编写</w:t>
            </w:r>
          </w:p>
        </w:tc>
      </w:tr>
      <w:tr w14:paraId="5DB35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2224" w:type="dxa"/>
            <w:vAlign w:val="center"/>
          </w:tcPr>
          <w:p w14:paraId="009CC652">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第二章第15.5款</w:t>
            </w:r>
          </w:p>
        </w:tc>
        <w:tc>
          <w:tcPr>
            <w:tcW w:w="1489" w:type="dxa"/>
            <w:vAlign w:val="center"/>
          </w:tcPr>
          <w:p w14:paraId="54D3AF43">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预算资金</w:t>
            </w:r>
          </w:p>
        </w:tc>
        <w:tc>
          <w:tcPr>
            <w:tcW w:w="5076" w:type="dxa"/>
            <w:vAlign w:val="center"/>
          </w:tcPr>
          <w:p w14:paraId="5BE17871">
            <w:pPr>
              <w:adjustRightInd w:val="0"/>
              <w:snapToGrid w:val="0"/>
              <w:spacing w:line="340" w:lineRule="exact"/>
              <w:jc w:val="left"/>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2175000.00</w:t>
            </w:r>
            <w:r>
              <w:rPr>
                <w:rFonts w:hint="eastAsia" w:ascii="宋体" w:hAnsi="宋体" w:eastAsia="宋体" w:cs="宋体"/>
                <w:bCs/>
                <w:color w:val="auto"/>
                <w:sz w:val="24"/>
                <w:szCs w:val="24"/>
                <w:highlight w:val="none"/>
                <w:lang w:eastAsia="zh-CN"/>
              </w:rPr>
              <w:t>元</w:t>
            </w:r>
          </w:p>
        </w:tc>
      </w:tr>
      <w:tr w14:paraId="31008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0B3D10FE">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第二章第16.1.4款</w:t>
            </w:r>
          </w:p>
        </w:tc>
        <w:tc>
          <w:tcPr>
            <w:tcW w:w="1489" w:type="dxa"/>
            <w:vAlign w:val="center"/>
          </w:tcPr>
          <w:p w14:paraId="4509EE8F">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业绩</w:t>
            </w:r>
            <w:r>
              <w:rPr>
                <w:rFonts w:hint="eastAsia" w:ascii="宋体" w:hAnsi="宋体" w:eastAsia="宋体" w:cs="宋体"/>
                <w:color w:val="auto"/>
                <w:sz w:val="24"/>
                <w:szCs w:val="24"/>
                <w:highlight w:val="none"/>
                <w:lang w:eastAsia="zh-CN"/>
              </w:rPr>
              <w:t>说明</w:t>
            </w:r>
          </w:p>
        </w:tc>
        <w:tc>
          <w:tcPr>
            <w:tcW w:w="5076" w:type="dxa"/>
            <w:vAlign w:val="center"/>
          </w:tcPr>
          <w:p w14:paraId="678B5B42">
            <w:pPr>
              <w:adjustRightInd w:val="0"/>
              <w:snapToGrid w:val="0"/>
              <w:spacing w:line="400" w:lineRule="exact"/>
              <w:jc w:val="left"/>
              <w:rPr>
                <w:rFonts w:hint="eastAsia" w:ascii="宋体" w:hAnsi="宋体" w:eastAsia="宋体" w:cs="宋体"/>
                <w:color w:val="auto"/>
                <w:sz w:val="24"/>
                <w:szCs w:val="24"/>
                <w:highlight w:val="none"/>
                <w:lang w:eastAsia="zh-CN"/>
              </w:rPr>
            </w:pPr>
            <w:r>
              <w:rPr>
                <w:rFonts w:hint="eastAsia" w:ascii="宋体" w:hAnsi="宋体" w:eastAsia="宋体" w:cs="宋体"/>
                <w:bCs/>
                <w:color w:val="auto"/>
                <w:sz w:val="24"/>
                <w:szCs w:val="24"/>
                <w:highlight w:val="none"/>
                <w:lang w:eastAsia="zh-CN"/>
              </w:rPr>
              <w:t>详见综合评分表</w:t>
            </w:r>
          </w:p>
        </w:tc>
      </w:tr>
      <w:tr w14:paraId="3389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Merge w:val="restart"/>
            <w:vAlign w:val="center"/>
          </w:tcPr>
          <w:p w14:paraId="79A5CE83">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第二章第17.1款</w:t>
            </w:r>
          </w:p>
        </w:tc>
        <w:tc>
          <w:tcPr>
            <w:tcW w:w="1489" w:type="dxa"/>
            <w:vMerge w:val="restart"/>
            <w:vAlign w:val="center"/>
          </w:tcPr>
          <w:p w14:paraId="478CF0E4">
            <w:pPr>
              <w:adjustRightInd w:val="0"/>
              <w:snapToGrid w:val="0"/>
              <w:spacing w:line="400" w:lineRule="exact"/>
              <w:ind w:left="-533" w:leftChars="-254" w:firstLine="609" w:firstLineChars="25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w:t>
            </w:r>
          </w:p>
        </w:tc>
        <w:tc>
          <w:tcPr>
            <w:tcW w:w="5076" w:type="dxa"/>
            <w:vAlign w:val="center"/>
          </w:tcPr>
          <w:p w14:paraId="53F2EE2C">
            <w:pPr>
              <w:numPr>
                <w:ilvl w:val="0"/>
                <w:numId w:val="0"/>
              </w:numPr>
              <w:adjustRightInd w:val="0"/>
              <w:snapToGrid w:val="0"/>
              <w:spacing w:line="400" w:lineRule="exac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kern w:val="2"/>
                <w:sz w:val="24"/>
                <w:szCs w:val="24"/>
                <w:highlight w:val="none"/>
                <w:lang w:val="en-US" w:eastAsia="zh-CN" w:bidi="ar-SA"/>
              </w:rPr>
              <w:t>1、</w:t>
            </w:r>
            <w:r>
              <w:rPr>
                <w:rFonts w:hint="eastAsia" w:ascii="宋体" w:hAnsi="宋体" w:eastAsia="宋体" w:cs="宋体"/>
                <w:bCs/>
                <w:color w:val="auto"/>
                <w:sz w:val="24"/>
                <w:szCs w:val="24"/>
                <w:highlight w:val="none"/>
                <w:lang w:val="en-US" w:eastAsia="zh-CN"/>
              </w:rPr>
              <w:t>金额：</w:t>
            </w:r>
            <w:r>
              <w:rPr>
                <w:rFonts w:hint="eastAsia" w:ascii="宋体" w:hAnsi="宋体" w:cs="宋体"/>
                <w:bCs/>
                <w:color w:val="auto"/>
                <w:sz w:val="24"/>
                <w:szCs w:val="24"/>
                <w:highlight w:val="none"/>
                <w:lang w:val="en-US" w:eastAsia="zh-CN"/>
              </w:rPr>
              <w:t>43000.00</w:t>
            </w:r>
            <w:r>
              <w:rPr>
                <w:rFonts w:hint="eastAsia" w:ascii="宋体" w:hAnsi="宋体" w:eastAsia="宋体" w:cs="宋体"/>
                <w:bCs/>
                <w:color w:val="auto"/>
                <w:sz w:val="24"/>
                <w:szCs w:val="24"/>
                <w:highlight w:val="none"/>
                <w:lang w:val="en-US" w:eastAsia="zh-CN"/>
              </w:rPr>
              <w:t>元（人民币：</w:t>
            </w:r>
            <w:r>
              <w:rPr>
                <w:rFonts w:hint="eastAsia" w:ascii="宋体" w:hAnsi="宋体" w:cs="宋体"/>
                <w:bCs/>
                <w:color w:val="auto"/>
                <w:sz w:val="24"/>
                <w:szCs w:val="24"/>
                <w:highlight w:val="none"/>
                <w:lang w:val="en-US" w:eastAsia="zh-CN"/>
              </w:rPr>
              <w:t>肆万叁仟</w:t>
            </w:r>
            <w:r>
              <w:rPr>
                <w:rFonts w:hint="eastAsia" w:ascii="宋体" w:hAnsi="宋体" w:eastAsia="宋体" w:cs="宋体"/>
                <w:bCs/>
                <w:color w:val="auto"/>
                <w:sz w:val="24"/>
                <w:szCs w:val="24"/>
                <w:highlight w:val="none"/>
                <w:lang w:val="en-US" w:eastAsia="zh-CN"/>
              </w:rPr>
              <w:t>元整）</w:t>
            </w:r>
          </w:p>
        </w:tc>
      </w:tr>
      <w:tr w14:paraId="0325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2224" w:type="dxa"/>
            <w:vMerge w:val="continue"/>
            <w:vAlign w:val="center"/>
          </w:tcPr>
          <w:p w14:paraId="055715B9">
            <w:pPr>
              <w:adjustRightInd w:val="0"/>
              <w:snapToGrid w:val="0"/>
              <w:spacing w:line="400" w:lineRule="exact"/>
              <w:jc w:val="center"/>
              <w:rPr>
                <w:rFonts w:hint="eastAsia" w:ascii="宋体" w:hAnsi="宋体" w:eastAsia="宋体" w:cs="宋体"/>
                <w:color w:val="auto"/>
                <w:sz w:val="24"/>
                <w:szCs w:val="24"/>
                <w:highlight w:val="none"/>
              </w:rPr>
            </w:pPr>
          </w:p>
        </w:tc>
        <w:tc>
          <w:tcPr>
            <w:tcW w:w="1489" w:type="dxa"/>
            <w:vMerge w:val="continue"/>
            <w:vAlign w:val="center"/>
          </w:tcPr>
          <w:p w14:paraId="0B45933A">
            <w:pPr>
              <w:adjustRightInd w:val="0"/>
              <w:snapToGrid w:val="0"/>
              <w:spacing w:line="400" w:lineRule="exact"/>
              <w:ind w:left="-533" w:leftChars="-254" w:firstLine="609" w:firstLineChars="254"/>
              <w:rPr>
                <w:rFonts w:hint="eastAsia" w:ascii="宋体" w:hAnsi="宋体" w:eastAsia="宋体" w:cs="宋体"/>
                <w:color w:val="auto"/>
                <w:sz w:val="24"/>
                <w:szCs w:val="24"/>
                <w:highlight w:val="none"/>
              </w:rPr>
            </w:pPr>
          </w:p>
        </w:tc>
        <w:tc>
          <w:tcPr>
            <w:tcW w:w="5076" w:type="dxa"/>
            <w:vAlign w:val="center"/>
          </w:tcPr>
          <w:p w14:paraId="2EE2FF66">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2、形式：以支票、汇票、本票或者金融机构、担保机构出具的保函等</w:t>
            </w:r>
            <w:r>
              <w:rPr>
                <w:rFonts w:hint="eastAsia" w:ascii="宋体" w:hAnsi="宋体" w:eastAsia="宋体" w:cs="宋体"/>
                <w:bCs/>
                <w:color w:val="auto"/>
                <w:sz w:val="24"/>
                <w:szCs w:val="24"/>
                <w:highlight w:val="none"/>
                <w:lang w:eastAsia="zh-CN"/>
              </w:rPr>
              <w:t>非现金</w:t>
            </w:r>
            <w:r>
              <w:rPr>
                <w:rFonts w:hint="eastAsia" w:ascii="宋体" w:hAnsi="宋体" w:eastAsia="宋体" w:cs="宋体"/>
                <w:bCs/>
                <w:color w:val="auto"/>
                <w:sz w:val="24"/>
                <w:szCs w:val="24"/>
                <w:highlight w:val="none"/>
              </w:rPr>
              <w:t>形式提交。</w:t>
            </w:r>
          </w:p>
          <w:p w14:paraId="056ED065">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3、递交时间：在投标截止时间前递交（以到账时间为准）；</w:t>
            </w:r>
          </w:p>
          <w:p w14:paraId="782FEC41">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4、账户信息：</w:t>
            </w:r>
          </w:p>
          <w:p w14:paraId="3AE093FB">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单位名称：中益招标有限公司新疆分公司</w:t>
            </w:r>
          </w:p>
          <w:p w14:paraId="6D2B5F2E">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开户行：招商银行股份有限公司乌鲁木齐南湖东路支行</w:t>
            </w:r>
          </w:p>
          <w:p w14:paraId="6F115C1D">
            <w:pPr>
              <w:adjustRightInd w:val="0"/>
              <w:snapToGrid w:val="0"/>
              <w:spacing w:line="360" w:lineRule="auto"/>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帐 号：991905768210301</w:t>
            </w:r>
          </w:p>
          <w:p w14:paraId="692A5833">
            <w:pPr>
              <w:adjustRightInd w:val="0"/>
              <w:snapToGrid w:val="0"/>
              <w:spacing w:line="360" w:lineRule="auto"/>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注：</w:t>
            </w:r>
          </w:p>
          <w:p w14:paraId="0A13FF5C">
            <w:pPr>
              <w:adjustRightInd w:val="0"/>
              <w:snapToGrid w:val="0"/>
              <w:spacing w:line="360" w:lineRule="auto"/>
              <w:jc w:val="left"/>
              <w:rPr>
                <w:rFonts w:hint="eastAsia" w:ascii="宋体" w:hAnsi="宋体" w:eastAsia="宋体" w:cs="宋体"/>
                <w:bCs/>
                <w:color w:val="auto"/>
                <w:sz w:val="24"/>
                <w:szCs w:val="24"/>
                <w:highlight w:val="none"/>
              </w:rPr>
            </w:pPr>
            <w:r>
              <w:rPr>
                <w:rFonts w:hint="eastAsia" w:ascii="宋体" w:hAnsi="宋体" w:eastAsia="宋体" w:cs="宋体"/>
                <w:b/>
                <w:bCs/>
                <w:color w:val="auto"/>
                <w:kern w:val="0"/>
                <w:sz w:val="24"/>
                <w:szCs w:val="24"/>
                <w:highlight w:val="none"/>
              </w:rPr>
              <w:t>用网银转账提交保证金，应当从其基本账户转入招标代理机构银行账户；未按招标要求缴纳投标保证金的，视为非实质性响应。请各投标人在缴纳保证金时注明项目名称（若字数超标，可自行简写项目名称）及项目编号，如未注明，造成保证金无法查明的，责任由投标人承担。</w:t>
            </w:r>
          </w:p>
        </w:tc>
      </w:tr>
      <w:tr w14:paraId="5F7FA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030FB927">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第二章第18.1款</w:t>
            </w:r>
          </w:p>
        </w:tc>
        <w:tc>
          <w:tcPr>
            <w:tcW w:w="1489" w:type="dxa"/>
            <w:vAlign w:val="center"/>
          </w:tcPr>
          <w:p w14:paraId="6FDAA040">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投标文件有效期</w:t>
            </w:r>
          </w:p>
        </w:tc>
        <w:tc>
          <w:tcPr>
            <w:tcW w:w="5076" w:type="dxa"/>
            <w:vAlign w:val="center"/>
          </w:tcPr>
          <w:p w14:paraId="5FA0EC73">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u w:val="single"/>
                <w:lang w:val="en-US" w:eastAsia="zh-CN"/>
              </w:rPr>
              <w:t>120</w:t>
            </w:r>
            <w:r>
              <w:rPr>
                <w:rFonts w:hint="eastAsia" w:ascii="宋体" w:hAnsi="宋体" w:eastAsia="宋体" w:cs="宋体"/>
                <w:color w:val="auto"/>
                <w:sz w:val="24"/>
                <w:szCs w:val="24"/>
                <w:highlight w:val="none"/>
              </w:rPr>
              <w:t>日（日历日）</w:t>
            </w:r>
          </w:p>
        </w:tc>
      </w:tr>
      <w:tr w14:paraId="0EF35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2224" w:type="dxa"/>
            <w:vAlign w:val="center"/>
          </w:tcPr>
          <w:p w14:paraId="4F206A3E">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第二章第19.1款</w:t>
            </w:r>
          </w:p>
        </w:tc>
        <w:tc>
          <w:tcPr>
            <w:tcW w:w="1489" w:type="dxa"/>
            <w:vAlign w:val="center"/>
          </w:tcPr>
          <w:p w14:paraId="38E8DCD9">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投标文件</w:t>
            </w:r>
            <w:r>
              <w:rPr>
                <w:rFonts w:hint="eastAsia" w:ascii="宋体" w:hAnsi="宋体" w:eastAsia="宋体" w:cs="宋体"/>
                <w:color w:val="auto"/>
                <w:sz w:val="24"/>
                <w:szCs w:val="24"/>
                <w:highlight w:val="none"/>
              </w:rPr>
              <w:t>份数</w:t>
            </w:r>
          </w:p>
        </w:tc>
        <w:tc>
          <w:tcPr>
            <w:tcW w:w="5076" w:type="dxa"/>
            <w:vAlign w:val="center"/>
          </w:tcPr>
          <w:p w14:paraId="5C29F0F2">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经加密的电子版文件一份</w:t>
            </w:r>
          </w:p>
        </w:tc>
      </w:tr>
      <w:tr w14:paraId="61B5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jc w:val="center"/>
        </w:trPr>
        <w:tc>
          <w:tcPr>
            <w:tcW w:w="8789" w:type="dxa"/>
            <w:gridSpan w:val="3"/>
            <w:vAlign w:val="center"/>
          </w:tcPr>
          <w:p w14:paraId="2108487F">
            <w:pPr>
              <w:adjustRightInd w:val="0"/>
              <w:snapToGrid w:val="0"/>
              <w:spacing w:line="400" w:lineRule="exact"/>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四、投标文件的递交</w:t>
            </w:r>
          </w:p>
        </w:tc>
      </w:tr>
      <w:tr w14:paraId="44D30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2224" w:type="dxa"/>
            <w:vAlign w:val="center"/>
          </w:tcPr>
          <w:p w14:paraId="65F6EBF3">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第二章第20.2款</w:t>
            </w:r>
          </w:p>
        </w:tc>
        <w:tc>
          <w:tcPr>
            <w:tcW w:w="1489" w:type="dxa"/>
            <w:vAlign w:val="center"/>
          </w:tcPr>
          <w:p w14:paraId="407298B3">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封套上应载明的信息</w:t>
            </w:r>
          </w:p>
        </w:tc>
        <w:tc>
          <w:tcPr>
            <w:tcW w:w="5076" w:type="dxa"/>
            <w:vAlign w:val="center"/>
          </w:tcPr>
          <w:p w14:paraId="5ABD9222">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收件人名称： </w:t>
            </w:r>
          </w:p>
          <w:p w14:paraId="00255743">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项目编号：                                         </w:t>
            </w:r>
          </w:p>
          <w:p w14:paraId="53DD3A12">
            <w:pPr>
              <w:adjustRightInd w:val="0"/>
              <w:snapToGrid w:val="0"/>
              <w:spacing w:line="400" w:lineRule="exact"/>
              <w:jc w:val="left"/>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eastAsia="zh-CN"/>
              </w:rPr>
              <w:t>标项</w:t>
            </w:r>
            <w:r>
              <w:rPr>
                <w:rFonts w:hint="eastAsia" w:ascii="宋体" w:hAnsi="宋体" w:cs="宋体"/>
                <w:color w:val="auto"/>
                <w:sz w:val="24"/>
                <w:szCs w:val="24"/>
                <w:highlight w:val="none"/>
                <w:lang w:val="en-US" w:eastAsia="zh-CN"/>
              </w:rPr>
              <w:t>:</w:t>
            </w:r>
          </w:p>
          <w:p w14:paraId="4A5B1877">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项目名称： </w:t>
            </w:r>
          </w:p>
          <w:p w14:paraId="1D087BB5">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投标人名称：                 </w:t>
            </w:r>
          </w:p>
          <w:p w14:paraId="5EF7F316">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投标人地址：                 </w:t>
            </w:r>
          </w:p>
          <w:p w14:paraId="12DBEAB7">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联 系 人：                   </w:t>
            </w:r>
          </w:p>
          <w:p w14:paraId="7E35D0E4">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联系电话：                   </w:t>
            </w:r>
          </w:p>
          <w:p w14:paraId="107FBC73">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传    真：                   </w:t>
            </w:r>
          </w:p>
          <w:p w14:paraId="0547E8AB">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在规定的开标时间 年 月 日  ： 前不得启封</w:t>
            </w:r>
          </w:p>
        </w:tc>
      </w:tr>
      <w:tr w14:paraId="429D5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5D9ABC47">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第二章第22.1款</w:t>
            </w:r>
          </w:p>
        </w:tc>
        <w:tc>
          <w:tcPr>
            <w:tcW w:w="1489" w:type="dxa"/>
            <w:vAlign w:val="center"/>
          </w:tcPr>
          <w:p w14:paraId="6B65AEE2">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投标文件的递交地点</w:t>
            </w:r>
          </w:p>
        </w:tc>
        <w:tc>
          <w:tcPr>
            <w:tcW w:w="5076" w:type="dxa"/>
            <w:vAlign w:val="center"/>
          </w:tcPr>
          <w:p w14:paraId="0015862E">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政采云平台</w:t>
            </w:r>
          </w:p>
        </w:tc>
      </w:tr>
      <w:tr w14:paraId="6FBE7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8789" w:type="dxa"/>
            <w:gridSpan w:val="3"/>
            <w:vAlign w:val="center"/>
          </w:tcPr>
          <w:p w14:paraId="186DF5F3">
            <w:pPr>
              <w:adjustRightInd w:val="0"/>
              <w:snapToGrid w:val="0"/>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五、投标文件的评审</w:t>
            </w:r>
          </w:p>
        </w:tc>
      </w:tr>
      <w:tr w14:paraId="054F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46694EFD">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第二章第29.1款</w:t>
            </w:r>
          </w:p>
        </w:tc>
        <w:tc>
          <w:tcPr>
            <w:tcW w:w="1489" w:type="dxa"/>
            <w:vAlign w:val="center"/>
          </w:tcPr>
          <w:p w14:paraId="6889F550">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评审办法</w:t>
            </w:r>
          </w:p>
        </w:tc>
        <w:tc>
          <w:tcPr>
            <w:tcW w:w="5076" w:type="dxa"/>
            <w:vAlign w:val="center"/>
          </w:tcPr>
          <w:p w14:paraId="77FBDDE2">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综合评分法</w:t>
            </w:r>
          </w:p>
        </w:tc>
      </w:tr>
      <w:tr w14:paraId="13A8B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7DD02A0F">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第二章第30.1款</w:t>
            </w:r>
          </w:p>
        </w:tc>
        <w:tc>
          <w:tcPr>
            <w:tcW w:w="1489" w:type="dxa"/>
            <w:vAlign w:val="center"/>
          </w:tcPr>
          <w:p w14:paraId="010DBDAC">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推荐的中标候选人数量</w:t>
            </w:r>
          </w:p>
        </w:tc>
        <w:tc>
          <w:tcPr>
            <w:tcW w:w="5076" w:type="dxa"/>
            <w:vAlign w:val="center"/>
          </w:tcPr>
          <w:p w14:paraId="5D8F47D2">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r>
      <w:tr w14:paraId="73AB2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8789" w:type="dxa"/>
            <w:gridSpan w:val="3"/>
            <w:vAlign w:val="center"/>
          </w:tcPr>
          <w:p w14:paraId="5BF482AA">
            <w:pPr>
              <w:adjustRightInd w:val="0"/>
              <w:snapToGrid w:val="0"/>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六、中标结果信息公布与授予合同</w:t>
            </w:r>
          </w:p>
        </w:tc>
      </w:tr>
      <w:tr w14:paraId="41F97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36A11381">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第二章第35.1款</w:t>
            </w:r>
          </w:p>
        </w:tc>
        <w:tc>
          <w:tcPr>
            <w:tcW w:w="1489" w:type="dxa"/>
            <w:vAlign w:val="center"/>
          </w:tcPr>
          <w:p w14:paraId="3B19C089">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财政部门指定发布媒体</w:t>
            </w:r>
          </w:p>
        </w:tc>
        <w:tc>
          <w:tcPr>
            <w:tcW w:w="5076" w:type="dxa"/>
            <w:vAlign w:val="center"/>
          </w:tcPr>
          <w:p w14:paraId="59E9FC06">
            <w:pPr>
              <w:adjustRightInd w:val="0"/>
              <w:snapToGrid w:val="0"/>
              <w:spacing w:line="400" w:lineRule="exact"/>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sz w:val="24"/>
                <w:szCs w:val="24"/>
                <w:highlight w:val="none"/>
              </w:rPr>
              <w:t>新疆政府采购网</w:t>
            </w:r>
          </w:p>
        </w:tc>
      </w:tr>
      <w:tr w14:paraId="156C9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224" w:type="dxa"/>
            <w:vAlign w:val="center"/>
          </w:tcPr>
          <w:p w14:paraId="50F6D991">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第二章第37.3款</w:t>
            </w:r>
          </w:p>
        </w:tc>
        <w:tc>
          <w:tcPr>
            <w:tcW w:w="1489" w:type="dxa"/>
            <w:vAlign w:val="center"/>
          </w:tcPr>
          <w:p w14:paraId="0783EF73">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履约担保</w:t>
            </w:r>
          </w:p>
        </w:tc>
        <w:tc>
          <w:tcPr>
            <w:tcW w:w="5076" w:type="dxa"/>
            <w:vAlign w:val="center"/>
          </w:tcPr>
          <w:p w14:paraId="70E16324">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自行协商</w:t>
            </w:r>
          </w:p>
        </w:tc>
      </w:tr>
      <w:tr w14:paraId="0A0CB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8789" w:type="dxa"/>
            <w:gridSpan w:val="3"/>
            <w:vAlign w:val="center"/>
          </w:tcPr>
          <w:p w14:paraId="211628EA">
            <w:pPr>
              <w:adjustRightInd w:val="0"/>
              <w:snapToGrid w:val="0"/>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七、其他规定</w:t>
            </w:r>
          </w:p>
        </w:tc>
      </w:tr>
      <w:tr w14:paraId="3742F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2224" w:type="dxa"/>
            <w:vAlign w:val="center"/>
          </w:tcPr>
          <w:p w14:paraId="402A8315">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第二章第39.1款</w:t>
            </w:r>
          </w:p>
        </w:tc>
        <w:tc>
          <w:tcPr>
            <w:tcW w:w="1489" w:type="dxa"/>
            <w:vAlign w:val="center"/>
          </w:tcPr>
          <w:p w14:paraId="778F3D82">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代理服务费</w:t>
            </w:r>
          </w:p>
        </w:tc>
        <w:tc>
          <w:tcPr>
            <w:tcW w:w="5076" w:type="dxa"/>
            <w:vAlign w:val="center"/>
          </w:tcPr>
          <w:p w14:paraId="7930C470">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中标投标人在收到中标通知书后，须向中益招标有限公司新疆分公司支付代理服务费，参照发改价格[2011]534号及计价格[2002]1980号文件计算的招标代理服务收费标准下浮20%</w:t>
            </w:r>
            <w:r>
              <w:rPr>
                <w:rFonts w:hint="eastAsia" w:ascii="宋体" w:hAnsi="宋体" w:eastAsia="宋体" w:cs="宋体"/>
                <w:color w:val="auto"/>
                <w:sz w:val="24"/>
                <w:szCs w:val="24"/>
                <w:highlight w:val="none"/>
                <w:lang w:eastAsia="zh-CN"/>
              </w:rPr>
              <w:t>收取。</w:t>
            </w:r>
          </w:p>
        </w:tc>
      </w:tr>
      <w:tr w14:paraId="0C198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3713" w:type="dxa"/>
            <w:gridSpan w:val="2"/>
            <w:vAlign w:val="center"/>
          </w:tcPr>
          <w:p w14:paraId="187D4FDE">
            <w:pPr>
              <w:adjustRightInd w:val="0"/>
              <w:snapToGrid w:val="0"/>
              <w:spacing w:line="400" w:lineRule="exact"/>
              <w:jc w:val="center"/>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eastAsia="zh-CN"/>
              </w:rPr>
              <w:t>是否允许进口</w:t>
            </w:r>
          </w:p>
        </w:tc>
        <w:tc>
          <w:tcPr>
            <w:tcW w:w="5076" w:type="dxa"/>
            <w:vAlign w:val="center"/>
          </w:tcPr>
          <w:p w14:paraId="26A1AA90">
            <w:pPr>
              <w:adjustRightInd w:val="0"/>
              <w:snapToGrid w:val="0"/>
              <w:spacing w:line="400" w:lineRule="exact"/>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eastAsia="zh-CN"/>
              </w:rPr>
              <w:t>本项目</w:t>
            </w:r>
            <w:r>
              <w:rPr>
                <w:rFonts w:hint="eastAsia" w:ascii="宋体" w:hAnsi="宋体" w:cs="宋体"/>
                <w:b/>
                <w:bCs/>
                <w:color w:val="auto"/>
                <w:sz w:val="24"/>
                <w:szCs w:val="24"/>
                <w:highlight w:val="none"/>
                <w:lang w:val="en-US" w:eastAsia="zh-CN"/>
              </w:rPr>
              <w:t>不允许采购进口品</w:t>
            </w:r>
          </w:p>
        </w:tc>
      </w:tr>
      <w:tr w14:paraId="0DDBD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3713" w:type="dxa"/>
            <w:gridSpan w:val="2"/>
            <w:vAlign w:val="center"/>
          </w:tcPr>
          <w:p w14:paraId="50174FC5">
            <w:pPr>
              <w:adjustRightInd w:val="0"/>
              <w:snapToGrid w:val="0"/>
              <w:spacing w:line="400" w:lineRule="exact"/>
              <w:jc w:val="center"/>
              <w:rPr>
                <w:rFonts w:hint="eastAsia" w:ascii="宋体" w:hAnsi="宋体" w:cs="宋体"/>
                <w:b/>
                <w:bCs/>
                <w:color w:val="auto"/>
                <w:sz w:val="24"/>
                <w:szCs w:val="24"/>
                <w:highlight w:val="none"/>
                <w:lang w:eastAsia="zh-CN"/>
              </w:rPr>
            </w:pPr>
            <w:r>
              <w:rPr>
                <w:rFonts w:hint="eastAsia" w:ascii="宋体" w:hAnsi="宋体" w:cs="宋体"/>
                <w:b/>
                <w:bCs/>
                <w:color w:val="auto"/>
                <w:sz w:val="24"/>
                <w:szCs w:val="24"/>
                <w:highlight w:val="none"/>
                <w:lang w:eastAsia="zh-CN"/>
              </w:rPr>
              <w:t>核心产品</w:t>
            </w:r>
          </w:p>
        </w:tc>
        <w:tc>
          <w:tcPr>
            <w:tcW w:w="5076" w:type="dxa"/>
            <w:vAlign w:val="center"/>
          </w:tcPr>
          <w:p w14:paraId="2F80FEB9">
            <w:pPr>
              <w:adjustRightInd w:val="0"/>
              <w:snapToGrid w:val="0"/>
              <w:spacing w:line="400" w:lineRule="exact"/>
              <w:rPr>
                <w:rFonts w:hint="default" w:ascii="宋体" w:hAnsi="宋体" w:cs="宋体"/>
                <w:b/>
                <w:bCs/>
                <w:color w:val="auto"/>
                <w:sz w:val="24"/>
                <w:szCs w:val="24"/>
                <w:highlight w:val="none"/>
                <w:lang w:val="en-US" w:eastAsia="zh-CN"/>
              </w:rPr>
            </w:pPr>
            <w:r>
              <w:rPr>
                <w:rFonts w:hint="default" w:ascii="宋体" w:hAnsi="宋体" w:cs="宋体"/>
                <w:b/>
                <w:bCs/>
                <w:color w:val="auto"/>
                <w:sz w:val="24"/>
                <w:szCs w:val="24"/>
                <w:highlight w:val="none"/>
                <w:lang w:val="en-US" w:eastAsia="zh-CN"/>
              </w:rPr>
              <w:t>彩色多普勒超声诊断仪</w:t>
            </w:r>
          </w:p>
        </w:tc>
      </w:tr>
      <w:tr w14:paraId="76FA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8789" w:type="dxa"/>
            <w:gridSpan w:val="3"/>
            <w:vAlign w:val="center"/>
          </w:tcPr>
          <w:p w14:paraId="7234F600">
            <w:pPr>
              <w:keepNext w:val="0"/>
              <w:keepLines w:val="0"/>
              <w:suppressLineNumbers w:val="0"/>
              <w:adjustRightInd w:val="0"/>
              <w:snapToGrid w:val="0"/>
              <w:spacing w:before="0" w:beforeAutospacing="0" w:after="0" w:afterAutospacing="0" w:line="400" w:lineRule="exact"/>
              <w:ind w:left="0" w:right="0"/>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相同品牌处理办法：</w:t>
            </w:r>
          </w:p>
          <w:p w14:paraId="6CD398A5">
            <w:pPr>
              <w:keepNext w:val="0"/>
              <w:keepLines w:val="0"/>
              <w:suppressLineNumbers w:val="0"/>
              <w:adjustRightInd w:val="0"/>
              <w:snapToGrid w:val="0"/>
              <w:spacing w:before="0" w:beforeAutospacing="0" w:after="0" w:afterAutospacing="0" w:line="400" w:lineRule="exact"/>
              <w:ind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712970CF">
            <w:pPr>
              <w:keepNext w:val="0"/>
              <w:keepLines w:val="0"/>
              <w:suppressLineNumbers w:val="0"/>
              <w:adjustRightInd w:val="0"/>
              <w:snapToGrid w:val="0"/>
              <w:spacing w:before="0" w:beforeAutospacing="0" w:after="0" w:afterAutospacing="0" w:line="400" w:lineRule="exact"/>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59A645E">
            <w:pPr>
              <w:adjustRightInd w:val="0"/>
              <w:snapToGrid w:val="0"/>
              <w:spacing w:line="400" w:lineRule="exact"/>
              <w:ind w:firstLine="480" w:firstLineChars="200"/>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rPr>
              <w:t>非单一产品采购项目，采购人应当根据采购项目技术构成、产品价格比重等合理确定核心产品，并在招标文件中载明。多家投标人提供的核心产品品牌相同的，按前两款规定处理。</w:t>
            </w:r>
          </w:p>
        </w:tc>
      </w:tr>
      <w:tr w14:paraId="738B7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8789" w:type="dxa"/>
            <w:gridSpan w:val="3"/>
            <w:vAlign w:val="center"/>
          </w:tcPr>
          <w:p w14:paraId="74AA0730">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rPr>
              <w:t>本采购文件规定的各项技术规格中出现的商标、名称或供应者等均不做特别指定的要求，仅作为对技术规格的描述要求，按“或相当于”理解，投标人在投标时不得低于此要求。</w:t>
            </w:r>
          </w:p>
        </w:tc>
      </w:tr>
    </w:tbl>
    <w:p w14:paraId="43EBC961">
      <w:pPr>
        <w:rPr>
          <w:rFonts w:hint="eastAsia" w:ascii="宋体" w:hAnsi="宋体" w:eastAsia="宋体" w:cs="宋体"/>
          <w:color w:val="auto"/>
          <w:highlight w:val="none"/>
        </w:rPr>
      </w:pPr>
      <w:bookmarkStart w:id="12" w:name="_Toc420948007"/>
      <w:r>
        <w:rPr>
          <w:rFonts w:hint="eastAsia" w:ascii="宋体" w:hAnsi="宋体" w:eastAsia="宋体" w:cs="宋体"/>
          <w:color w:val="auto"/>
          <w:highlight w:val="none"/>
        </w:rPr>
        <w:br w:type="page"/>
      </w:r>
    </w:p>
    <w:p w14:paraId="41AF6464">
      <w:pPr>
        <w:pStyle w:val="4"/>
        <w:bidi w:val="0"/>
        <w:jc w:val="center"/>
        <w:rPr>
          <w:rFonts w:hint="eastAsia" w:cs="Times New Roman"/>
          <w:color w:val="auto"/>
          <w:highlight w:val="none"/>
          <w:lang w:eastAsia="zh-CN"/>
        </w:rPr>
      </w:pPr>
      <w:bookmarkStart w:id="13" w:name="_Toc6225"/>
      <w:r>
        <w:rPr>
          <w:rFonts w:hint="eastAsia" w:cs="Times New Roman"/>
          <w:color w:val="auto"/>
          <w:highlight w:val="none"/>
          <w:lang w:eastAsia="zh-CN"/>
        </w:rPr>
        <w:t>投标须知正文</w:t>
      </w:r>
      <w:bookmarkEnd w:id="12"/>
      <w:bookmarkEnd w:id="13"/>
    </w:p>
    <w:p w14:paraId="6DB7F253">
      <w:pPr>
        <w:rPr>
          <w:rFonts w:hint="eastAsia" w:ascii="宋体" w:hAnsi="宋体" w:eastAsia="宋体" w:cs="宋体"/>
          <w:color w:val="auto"/>
          <w:sz w:val="24"/>
          <w:szCs w:val="24"/>
          <w:highlight w:val="none"/>
        </w:rPr>
      </w:pPr>
    </w:p>
    <w:p w14:paraId="4E6B6F02">
      <w:pPr>
        <w:bidi w:val="0"/>
        <w:spacing w:line="360" w:lineRule="auto"/>
        <w:jc w:val="left"/>
        <w:rPr>
          <w:rFonts w:hint="eastAsia" w:ascii="宋体" w:hAnsi="宋体" w:eastAsia="宋体" w:cs="宋体"/>
          <w:color w:val="auto"/>
          <w:sz w:val="24"/>
          <w:szCs w:val="24"/>
          <w:highlight w:val="none"/>
        </w:rPr>
      </w:pPr>
      <w:bookmarkStart w:id="14" w:name="_Toc420948008"/>
      <w:r>
        <w:rPr>
          <w:rFonts w:hint="eastAsia" w:ascii="宋体" w:hAnsi="宋体" w:eastAsia="宋体" w:cs="宋体"/>
          <w:color w:val="auto"/>
          <w:sz w:val="24"/>
          <w:szCs w:val="24"/>
          <w:highlight w:val="none"/>
        </w:rPr>
        <w:t>一、</w:t>
      </w:r>
      <w:r>
        <w:rPr>
          <w:rFonts w:hint="eastAsia" w:ascii="Times New Roman" w:hAnsi="Times New Roman" w:cs="Times New Roman"/>
          <w:b/>
          <w:bCs/>
          <w:color w:val="auto"/>
          <w:sz w:val="24"/>
          <w:szCs w:val="24"/>
          <w:highlight w:val="none"/>
        </w:rPr>
        <w:t>总则</w:t>
      </w:r>
    </w:p>
    <w:p w14:paraId="21970CF5">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 项目概况</w:t>
      </w:r>
    </w:p>
    <w:p w14:paraId="0EBDA16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1.1项目名称：详见投标须知前附表；</w:t>
      </w:r>
    </w:p>
    <w:p w14:paraId="572EBBE0">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1.2采购内容：详见投标须知前附表；</w:t>
      </w:r>
    </w:p>
    <w:p w14:paraId="19D6808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1.3采购方式：详见投标须知前附表；</w:t>
      </w:r>
    </w:p>
    <w:p w14:paraId="621CB1B6">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1.4项目地点：详见投标须知前附表；</w:t>
      </w:r>
    </w:p>
    <w:p w14:paraId="287E17C6">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1.5服务期限：详见投标须知前附表。</w:t>
      </w:r>
      <w:bookmarkEnd w:id="14"/>
    </w:p>
    <w:p w14:paraId="707A1C6E">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 定义</w:t>
      </w:r>
    </w:p>
    <w:p w14:paraId="67F4564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“采购人”是指依法进行政府采购的国家机关、事业单位、团体组织。本次政府采购的采购人名称、地址、电话、联系人见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w:t>
      </w:r>
    </w:p>
    <w:p w14:paraId="4176662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“采购代理机构”是指接受采购人委托，代理采购项目的采购代理机构。</w:t>
      </w:r>
    </w:p>
    <w:p w14:paraId="184826C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“投标人”是指响应采购文件要求、参加公开招标采购的法人、其他组织或者自然人。</w:t>
      </w:r>
    </w:p>
    <w:p w14:paraId="2E269BB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“服务”是指除货物和工程以外的其他政府采购对象。</w:t>
      </w:r>
    </w:p>
    <w:p w14:paraId="397FD672">
      <w:pPr>
        <w:adjustRightInd w:val="0"/>
        <w:snapToGrid w:val="0"/>
        <w:spacing w:line="360" w:lineRule="auto"/>
        <w:ind w:firstLine="422"/>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2.5偏离</w:t>
      </w:r>
    </w:p>
    <w:p w14:paraId="7BDCE2B5">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2.5.1本条所称偏离为投标文件对采购文件的偏离，即不满足、或不响应采购文件的要求。偏离分为对采购文件的实质性要求条款偏离和对采购文件的一般商务和技术条款偏离。</w:t>
      </w:r>
    </w:p>
    <w:p w14:paraId="4163ABF8">
      <w:pPr>
        <w:adjustRightInd w:val="0"/>
        <w:snapToGrid w:val="0"/>
        <w:spacing w:line="360" w:lineRule="auto"/>
        <w:ind w:firstLine="422"/>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2.6特别说明</w:t>
      </w:r>
    </w:p>
    <w:p w14:paraId="6F0A3166">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2.6.1除采购文件内有特殊说明外，本次投标响应投标人所使用的资格、信誉、荣誉、业绩与企业认证等必须为投标单位法人所拥有。</w:t>
      </w:r>
    </w:p>
    <w:p w14:paraId="4C53A745">
      <w:pPr>
        <w:adjustRightInd w:val="0"/>
        <w:snapToGrid w:val="0"/>
        <w:spacing w:line="360" w:lineRule="auto"/>
        <w:ind w:firstLine="480" w:firstLineChars="200"/>
        <w:rPr>
          <w:rFonts w:hint="eastAsia" w:ascii="宋体" w:hAnsi="宋体" w:eastAsia="宋体" w:cs="宋体"/>
          <w:b/>
          <w:color w:val="auto"/>
          <w:kern w:val="0"/>
          <w:sz w:val="24"/>
          <w:szCs w:val="24"/>
          <w:highlight w:val="none"/>
        </w:rPr>
      </w:pPr>
      <w:r>
        <w:rPr>
          <w:rFonts w:hint="eastAsia" w:ascii="宋体" w:hAnsi="宋体" w:eastAsia="宋体" w:cs="宋体"/>
          <w:color w:val="auto"/>
          <w:kern w:val="0"/>
          <w:sz w:val="24"/>
          <w:szCs w:val="24"/>
          <w:highlight w:val="none"/>
        </w:rPr>
        <w:t>2.6.2</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应仔细阅读采购文件的所有内容，按照采购文件的要求编制、提交投标文件，并对所提供的全部资料的真实性承担法律责任。</w:t>
      </w:r>
    </w:p>
    <w:p w14:paraId="1F047BCC">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2.6.3投标人在投标活动中提供任何虚假材料, 其投标文件无效并承担相应法律责任。</w:t>
      </w:r>
    </w:p>
    <w:p w14:paraId="5A67F364">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3.投标人的资格要求</w:t>
      </w:r>
    </w:p>
    <w:p w14:paraId="41BD49B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 投标人应当符合</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中规定投标人资格条件。</w:t>
      </w:r>
    </w:p>
    <w:p w14:paraId="6729D83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 投标人不得存在下列情形之一：</w:t>
      </w:r>
    </w:p>
    <w:p w14:paraId="35D7167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（l）与采购人、代理机构存在</w:t>
      </w:r>
      <w:r>
        <w:rPr>
          <w:rFonts w:hint="eastAsia" w:ascii="宋体" w:hAnsi="宋体" w:eastAsia="宋体" w:cs="宋体"/>
          <w:bCs/>
          <w:color w:val="auto"/>
          <w:sz w:val="24"/>
          <w:szCs w:val="24"/>
          <w:highlight w:val="none"/>
        </w:rPr>
        <w:t>利害关系</w:t>
      </w:r>
      <w:r>
        <w:rPr>
          <w:rFonts w:hint="eastAsia" w:ascii="宋体" w:hAnsi="宋体" w:eastAsia="宋体" w:cs="宋体"/>
          <w:color w:val="auto"/>
          <w:sz w:val="24"/>
          <w:szCs w:val="24"/>
          <w:highlight w:val="none"/>
        </w:rPr>
        <w:t>。</w:t>
      </w:r>
    </w:p>
    <w:p w14:paraId="68B8089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（2）单位负责人为同一人或者存在直接控股、管理关系的不同投标人，不得参加同一合同项下的政府采购活动。</w:t>
      </w:r>
    </w:p>
    <w:p w14:paraId="061008E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（3）除单一来源采购项目外，为采购项目提供整体设计、规范编制或者项目管理、监理、检测等服务的投标人，不得再参加该采购项目的其他采购活动。</w:t>
      </w:r>
    </w:p>
    <w:p w14:paraId="731F6F7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被列入失信被执行人、重大税收违法案件当事人名单、政府采购严重违法失信行为记录名单（处罚决定规定的时间和地域范围内）。采购人或采购代理机构将按投标人须知前附表中规定的时间查询投标人的信用记录。投标人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投标人将被认定为投标</w:t>
      </w:r>
      <w:r>
        <w:rPr>
          <w:rFonts w:hint="eastAsia" w:ascii="宋体" w:hAnsi="宋体" w:eastAsia="宋体" w:cs="宋体"/>
          <w:b/>
          <w:color w:val="auto"/>
          <w:sz w:val="24"/>
          <w:szCs w:val="24"/>
          <w:highlight w:val="none"/>
        </w:rPr>
        <w:t>无效</w:t>
      </w:r>
      <w:r>
        <w:rPr>
          <w:rFonts w:hint="eastAsia" w:ascii="宋体" w:hAnsi="宋体" w:eastAsia="宋体" w:cs="宋体"/>
          <w:color w:val="auto"/>
          <w:sz w:val="24"/>
          <w:szCs w:val="24"/>
          <w:highlight w:val="none"/>
        </w:rPr>
        <w:t>。以联合体形式参加投标的，联合体任何成员存在以上不良信用记录的，联合体投标人将被认定为投标</w:t>
      </w:r>
      <w:r>
        <w:rPr>
          <w:rFonts w:hint="eastAsia" w:ascii="宋体" w:hAnsi="宋体" w:eastAsia="宋体" w:cs="宋体"/>
          <w:b/>
          <w:color w:val="auto"/>
          <w:sz w:val="24"/>
          <w:szCs w:val="24"/>
          <w:highlight w:val="none"/>
        </w:rPr>
        <w:t>无效</w:t>
      </w:r>
      <w:r>
        <w:rPr>
          <w:rFonts w:hint="eastAsia" w:ascii="宋体" w:hAnsi="宋体" w:eastAsia="宋体" w:cs="宋体"/>
          <w:color w:val="auto"/>
          <w:sz w:val="24"/>
          <w:szCs w:val="24"/>
          <w:highlight w:val="none"/>
        </w:rPr>
        <w:t>。</w:t>
      </w:r>
    </w:p>
    <w:p w14:paraId="2C88133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或采购代理机构经办人将查询网页打印、签字并存档备查。投标人不良信用记录以采购人或采购代理机构查询结果为准。投标人自行提供的与网站信息不一致的其他证明材料亦不作为资格审查依据。在本采购文件规定的查询时间之外，网站信息发生的任何变更均不作为资格审查依据。</w:t>
      </w:r>
    </w:p>
    <w:p w14:paraId="3A645B9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 投标人具有履行合同所必需的设备和专业技术能力，在人员、设备、资金等方面具有相应能力；投标人在项目地具有技术支持和后续服务等能力。</w:t>
      </w:r>
    </w:p>
    <w:p w14:paraId="7D51D5B0">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4. 费用和知识产权 </w:t>
      </w:r>
    </w:p>
    <w:p w14:paraId="4D956B0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4.1投标人应承担其参加本采购活动自身所发生的费用。采购文件所提供的资料，是采购人现有的能被投标人利用的资料，采购人对投标人做出的任何推论、理解和结论均不负责任。</w:t>
      </w:r>
    </w:p>
    <w:p w14:paraId="52EB1A6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投标人应保证，在中华人民共和国境内使用成果、服务或其任何一部分时，不会产生因第三方提出侵犯其专利权或其它知识产权而引起的法律和经济纠纷。如投标人不拥有相应的知识产权，则在报价中须包括合法获取该知识产权的相关费用。</w:t>
      </w:r>
    </w:p>
    <w:p w14:paraId="1DF6965F">
      <w:pPr>
        <w:pStyle w:val="26"/>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5．</w:t>
      </w:r>
      <w:r>
        <w:rPr>
          <w:rFonts w:hint="eastAsia" w:ascii="宋体" w:hAnsi="宋体" w:eastAsia="宋体" w:cs="宋体"/>
          <w:b/>
          <w:bCs/>
          <w:color w:val="auto"/>
          <w:sz w:val="24"/>
          <w:szCs w:val="24"/>
          <w:highlight w:val="none"/>
        </w:rPr>
        <w:t>授权委托</w:t>
      </w:r>
    </w:p>
    <w:p w14:paraId="5395476A">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5.1投标人代表为投标人法定代表人的，应持有法定代表人身份证明。投标人代表不是投标人法定代表人的，应持有法定代表人授权书。</w:t>
      </w:r>
    </w:p>
    <w:p w14:paraId="4C11FCA8">
      <w:pPr>
        <w:pStyle w:val="26"/>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6．联合体形式</w:t>
      </w:r>
      <w:r>
        <w:rPr>
          <w:rFonts w:hint="eastAsia" w:ascii="宋体" w:hAnsi="宋体" w:eastAsia="宋体" w:cs="宋体"/>
          <w:color w:val="auto"/>
          <w:sz w:val="24"/>
          <w:szCs w:val="24"/>
          <w:highlight w:val="none"/>
        </w:rPr>
        <w:t xml:space="preserve"> </w:t>
      </w:r>
    </w:p>
    <w:p w14:paraId="0AD25688">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6.1除</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中另有规定，本次投标不接受为联合体形式的投标人。</w:t>
      </w:r>
    </w:p>
    <w:p w14:paraId="03AB805D">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6.2投标人为联合体形式的，除应符合本章第3条规定外，还应遵守以下规定：</w:t>
      </w:r>
    </w:p>
    <w:p w14:paraId="1EB5E073">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（l）联合体各方必须签订联合体协议书，明确联合体牵头人和各方的义务、工作、合同工作量比例；</w:t>
      </w:r>
    </w:p>
    <w:p w14:paraId="42505E49">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（2）联合体各方均应当符合本章第3.1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规定的投标人基本资格条件；</w:t>
      </w:r>
    </w:p>
    <w:p w14:paraId="1633E491">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（3）除</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中另有规定，联合体各方中至少有一方应当符合本章第3.1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规定的投标人特定资格条件；</w:t>
      </w:r>
    </w:p>
    <w:p w14:paraId="0375BD23">
      <w:pPr>
        <w:adjustRightInd w:val="0"/>
        <w:snapToGrid w:val="0"/>
        <w:spacing w:line="360" w:lineRule="auto"/>
        <w:ind w:firstLine="480" w:firstLineChars="20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sz w:val="24"/>
          <w:szCs w:val="24"/>
          <w:highlight w:val="none"/>
        </w:rPr>
        <w:t>（4）</w:t>
      </w:r>
      <w:r>
        <w:rPr>
          <w:rFonts w:hint="eastAsia" w:ascii="宋体" w:hAnsi="宋体" w:eastAsia="宋体" w:cs="宋体"/>
          <w:color w:val="auto"/>
          <w:kern w:val="0"/>
          <w:sz w:val="24"/>
          <w:szCs w:val="24"/>
          <w:highlight w:val="none"/>
          <w:lang w:val="zh-CN"/>
        </w:rPr>
        <w:t>联合体各方不得再单独或与其他投标人组成新的联合体参加同一项目的采购活动。</w:t>
      </w:r>
    </w:p>
    <w:p w14:paraId="137D73AD">
      <w:pPr>
        <w:adjustRightInd w:val="0"/>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
          <w:color w:val="auto"/>
          <w:sz w:val="24"/>
          <w:szCs w:val="24"/>
          <w:highlight w:val="none"/>
        </w:rPr>
        <w:t>7.现场勘察</w:t>
      </w:r>
    </w:p>
    <w:p w14:paraId="50E2166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7.1投标人应按投标须知前附表中</w:t>
      </w:r>
      <w:r>
        <w:rPr>
          <w:rFonts w:hint="eastAsia" w:ascii="宋体" w:hAnsi="宋体" w:eastAsia="宋体" w:cs="宋体"/>
          <w:color w:val="auto"/>
          <w:sz w:val="24"/>
          <w:szCs w:val="24"/>
          <w:highlight w:val="none"/>
        </w:rPr>
        <w:t>规定对采购项目现场和周围环境的现场考察。</w:t>
      </w:r>
    </w:p>
    <w:p w14:paraId="0E0345B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7.2考察现场的费用由投标人自己承担，考察期间所发生的人身伤害及财产损失由投标人自己负责。</w:t>
      </w:r>
    </w:p>
    <w:p w14:paraId="79C24874">
      <w:pPr>
        <w:adjustRightInd w:val="0"/>
        <w:snapToGrid w:val="0"/>
        <w:spacing w:line="360" w:lineRule="auto"/>
        <w:ind w:firstLine="480" w:firstLineChars="20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7.3采购人不对投标人据此而做出的推论、理解和结论负责。一旦中标，投标人不得以任何借口，而提出额外补偿，或延长合同期限的要求。</w:t>
      </w:r>
    </w:p>
    <w:p w14:paraId="6CA900E2">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8. </w:t>
      </w:r>
      <w:r>
        <w:rPr>
          <w:rFonts w:hint="eastAsia" w:ascii="宋体" w:hAnsi="宋体" w:eastAsia="宋体" w:cs="宋体"/>
          <w:b/>
          <w:color w:val="auto"/>
          <w:sz w:val="24"/>
          <w:szCs w:val="24"/>
          <w:highlight w:val="none"/>
          <w:lang w:eastAsia="zh-CN"/>
        </w:rPr>
        <w:t>合同</w:t>
      </w:r>
      <w:r>
        <w:rPr>
          <w:rFonts w:hint="eastAsia" w:ascii="宋体" w:hAnsi="宋体" w:eastAsia="宋体" w:cs="宋体"/>
          <w:b/>
          <w:color w:val="auto"/>
          <w:sz w:val="24"/>
          <w:szCs w:val="24"/>
          <w:highlight w:val="none"/>
        </w:rPr>
        <w:t>分包</w:t>
      </w:r>
    </w:p>
    <w:p w14:paraId="73B133EC">
      <w:pPr>
        <w:adjustRightInd w:val="0"/>
        <w:snapToGrid w:val="0"/>
        <w:spacing w:line="360" w:lineRule="auto"/>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w:t>
      </w:r>
      <w:r>
        <w:rPr>
          <w:rFonts w:hint="eastAsia" w:ascii="宋体" w:hAnsi="宋体" w:eastAsia="宋体" w:cs="宋体"/>
          <w:color w:val="auto"/>
          <w:sz w:val="24"/>
          <w:szCs w:val="24"/>
          <w:highlight w:val="none"/>
        </w:rPr>
        <w:t>不允许</w:t>
      </w:r>
      <w:r>
        <w:rPr>
          <w:rFonts w:hint="eastAsia" w:ascii="宋体" w:hAnsi="宋体" w:eastAsia="宋体" w:cs="宋体"/>
          <w:color w:val="auto"/>
          <w:sz w:val="24"/>
          <w:szCs w:val="24"/>
          <w:highlight w:val="none"/>
          <w:lang w:eastAsia="zh-CN"/>
        </w:rPr>
        <w:t>合同分包</w:t>
      </w:r>
    </w:p>
    <w:p w14:paraId="5721AD3B">
      <w:pPr>
        <w:adjustRightInd w:val="0"/>
        <w:snapToGrid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9.</w:t>
      </w:r>
      <w:r>
        <w:rPr>
          <w:rFonts w:hint="eastAsia" w:ascii="宋体" w:hAnsi="宋体" w:eastAsia="宋体" w:cs="宋体"/>
          <w:b/>
          <w:color w:val="auto"/>
          <w:sz w:val="24"/>
          <w:szCs w:val="24"/>
          <w:highlight w:val="none"/>
        </w:rPr>
        <w:t xml:space="preserve"> 政府采购政策支持</w:t>
      </w:r>
    </w:p>
    <w:p w14:paraId="285C32DF">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bookmarkStart w:id="15" w:name="_Toc420948009"/>
      <w:r>
        <w:rPr>
          <w:rFonts w:hint="eastAsia" w:ascii="宋体" w:hAnsi="宋体" w:eastAsia="宋体" w:cs="宋体"/>
          <w:color w:val="auto"/>
          <w:sz w:val="24"/>
          <w:szCs w:val="24"/>
          <w:highlight w:val="none"/>
        </w:rPr>
        <w:t>9.1投标人符合支持中小企业发展优惠政策的，报价可以优惠扣除。本项目价格扣除比例见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w:t>
      </w:r>
    </w:p>
    <w:p w14:paraId="1275FD12">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9.2为推进政府采购诚信体系建设，投标人在签署相关承诺，提供相关信息前，应认真阅读财政部门相关政策规定。</w:t>
      </w:r>
    </w:p>
    <w:p w14:paraId="1E9EE694">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9.3 中小企业在融资、投标保证、履约保证等方面有需求的，可查询当地政府采购管理部门相关政策，通过专业化的担保途径解决。</w:t>
      </w:r>
    </w:p>
    <w:p w14:paraId="22ECDC34">
      <w:pPr>
        <w:bidi w:val="0"/>
        <w:spacing w:line="360" w:lineRule="auto"/>
        <w:jc w:val="left"/>
        <w:rPr>
          <w:rFonts w:hint="eastAsia"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二、</w:t>
      </w:r>
      <w:bookmarkEnd w:id="15"/>
      <w:r>
        <w:rPr>
          <w:rFonts w:hint="eastAsia" w:ascii="Times New Roman" w:hAnsi="Times New Roman" w:cs="Times New Roman"/>
          <w:b/>
          <w:bCs/>
          <w:color w:val="auto"/>
          <w:sz w:val="24"/>
          <w:szCs w:val="24"/>
          <w:highlight w:val="none"/>
        </w:rPr>
        <w:t>采购文件</w:t>
      </w:r>
    </w:p>
    <w:p w14:paraId="02B1E74B">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10．采购文件的组成</w:t>
      </w:r>
    </w:p>
    <w:p w14:paraId="2B3DA8A0">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10.1 采购文件由下列文件组成：</w:t>
      </w:r>
    </w:p>
    <w:p w14:paraId="59DAB9CD">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第一章 公开招标公告</w:t>
      </w:r>
    </w:p>
    <w:p w14:paraId="474F2421">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 投标须知</w:t>
      </w:r>
    </w:p>
    <w:p w14:paraId="3B38001C">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第三章 合同协议书</w:t>
      </w:r>
    </w:p>
    <w:p w14:paraId="6B6FAE04">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第四章 采购需求</w:t>
      </w:r>
    </w:p>
    <w:p w14:paraId="5021B2F8">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第五章 投标文件格式</w:t>
      </w:r>
    </w:p>
    <w:p w14:paraId="2DB08271">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10.2</w:t>
      </w:r>
      <w:r>
        <w:rPr>
          <w:rFonts w:hint="eastAsia" w:ascii="宋体" w:hAnsi="宋体" w:eastAsia="宋体" w:cs="宋体"/>
          <w:bCs/>
          <w:color w:val="auto"/>
          <w:sz w:val="24"/>
          <w:szCs w:val="24"/>
          <w:highlight w:val="none"/>
        </w:rPr>
        <w:t>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bCs/>
          <w:color w:val="auto"/>
          <w:sz w:val="24"/>
          <w:szCs w:val="24"/>
          <w:highlight w:val="none"/>
        </w:rPr>
        <w:t>规定的</w:t>
      </w:r>
      <w:r>
        <w:rPr>
          <w:rFonts w:hint="eastAsia" w:ascii="宋体" w:hAnsi="宋体" w:eastAsia="宋体" w:cs="宋体"/>
          <w:color w:val="auto"/>
          <w:kern w:val="0"/>
          <w:sz w:val="24"/>
          <w:szCs w:val="24"/>
          <w:highlight w:val="none"/>
        </w:rPr>
        <w:t>提交</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截止时间前对</w:t>
      </w:r>
      <w:r>
        <w:rPr>
          <w:rFonts w:hint="eastAsia" w:ascii="宋体" w:hAnsi="宋体" w:eastAsia="宋体" w:cs="宋体"/>
          <w:color w:val="auto"/>
          <w:sz w:val="24"/>
          <w:szCs w:val="24"/>
          <w:highlight w:val="none"/>
        </w:rPr>
        <w:t>采购文件</w:t>
      </w:r>
      <w:r>
        <w:rPr>
          <w:rFonts w:hint="eastAsia" w:ascii="宋体" w:hAnsi="宋体" w:eastAsia="宋体" w:cs="宋体"/>
          <w:color w:val="auto"/>
          <w:kern w:val="0"/>
          <w:sz w:val="24"/>
          <w:szCs w:val="24"/>
          <w:highlight w:val="none"/>
        </w:rPr>
        <w:t>澄清或者修改内容，为</w:t>
      </w:r>
      <w:r>
        <w:rPr>
          <w:rFonts w:hint="eastAsia" w:ascii="宋体" w:hAnsi="宋体" w:eastAsia="宋体" w:cs="宋体"/>
          <w:color w:val="auto"/>
          <w:sz w:val="24"/>
          <w:szCs w:val="24"/>
          <w:highlight w:val="none"/>
        </w:rPr>
        <w:t>采购文件</w:t>
      </w:r>
      <w:r>
        <w:rPr>
          <w:rFonts w:hint="eastAsia" w:ascii="宋体" w:hAnsi="宋体" w:eastAsia="宋体" w:cs="宋体"/>
          <w:color w:val="auto"/>
          <w:kern w:val="0"/>
          <w:sz w:val="24"/>
          <w:szCs w:val="24"/>
          <w:highlight w:val="none"/>
        </w:rPr>
        <w:t>的组成部分。</w:t>
      </w:r>
    </w:p>
    <w:p w14:paraId="0732FA9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10.3 评审小组根据与投标人投标情况可能实质性变动的内容，包括采购需求中的技术、服务要求以及合同条款，在</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中明确。</w:t>
      </w:r>
    </w:p>
    <w:p w14:paraId="1948C65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10.4投标人应仔细阅读采购文件的全部内容，按照采购文件要求编制投标文件。任何对采购文件的忽略或误解不能作为投标文件存在缺陷或瑕疵的理由，其风险由投标人承担。</w:t>
      </w:r>
    </w:p>
    <w:p w14:paraId="2B417108">
      <w:pPr>
        <w:pStyle w:val="26"/>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11.</w:t>
      </w:r>
      <w:r>
        <w:rPr>
          <w:rFonts w:hint="eastAsia" w:ascii="宋体" w:hAnsi="宋体" w:eastAsia="宋体" w:cs="宋体"/>
          <w:b/>
          <w:color w:val="auto"/>
          <w:kern w:val="0"/>
          <w:sz w:val="24"/>
          <w:szCs w:val="24"/>
          <w:highlight w:val="none"/>
        </w:rPr>
        <w:t>提交投标文件</w:t>
      </w:r>
      <w:r>
        <w:rPr>
          <w:rFonts w:hint="eastAsia" w:ascii="宋体" w:hAnsi="宋体" w:eastAsia="宋体" w:cs="宋体"/>
          <w:b/>
          <w:color w:val="auto"/>
          <w:sz w:val="24"/>
          <w:szCs w:val="24"/>
          <w:highlight w:val="none"/>
        </w:rPr>
        <w:t>的</w:t>
      </w:r>
      <w:r>
        <w:rPr>
          <w:rFonts w:hint="eastAsia" w:ascii="宋体" w:hAnsi="宋体" w:eastAsia="宋体" w:cs="宋体"/>
          <w:b/>
          <w:color w:val="auto"/>
          <w:kern w:val="0"/>
          <w:sz w:val="24"/>
          <w:szCs w:val="24"/>
          <w:highlight w:val="none"/>
        </w:rPr>
        <w:t>截止</w:t>
      </w:r>
      <w:r>
        <w:rPr>
          <w:rFonts w:hint="eastAsia" w:ascii="宋体" w:hAnsi="宋体" w:eastAsia="宋体" w:cs="宋体"/>
          <w:b/>
          <w:color w:val="auto"/>
          <w:sz w:val="24"/>
          <w:szCs w:val="24"/>
          <w:highlight w:val="none"/>
        </w:rPr>
        <w:t>时间</w:t>
      </w:r>
    </w:p>
    <w:p w14:paraId="6B48ED7A">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w:t>
      </w:r>
      <w:r>
        <w:rPr>
          <w:rFonts w:hint="eastAsia" w:ascii="宋体" w:hAnsi="宋体" w:eastAsia="宋体" w:cs="宋体"/>
          <w:color w:val="auto"/>
          <w:kern w:val="0"/>
          <w:sz w:val="24"/>
          <w:szCs w:val="24"/>
          <w:highlight w:val="none"/>
        </w:rPr>
        <w:t>投标人提交投标文件截止</w:t>
      </w:r>
      <w:r>
        <w:rPr>
          <w:rFonts w:hint="eastAsia" w:ascii="宋体" w:hAnsi="宋体" w:eastAsia="宋体" w:cs="宋体"/>
          <w:color w:val="auto"/>
          <w:sz w:val="24"/>
          <w:szCs w:val="24"/>
          <w:highlight w:val="none"/>
        </w:rPr>
        <w:t>时间见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w:t>
      </w:r>
    </w:p>
    <w:p w14:paraId="22C5A0D6">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12.</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采购文件的澄清</w:t>
      </w:r>
      <w:r>
        <w:rPr>
          <w:rFonts w:hint="eastAsia" w:ascii="宋体" w:hAnsi="宋体" w:eastAsia="宋体" w:cs="宋体"/>
          <w:b/>
          <w:color w:val="auto"/>
          <w:kern w:val="0"/>
          <w:sz w:val="24"/>
          <w:szCs w:val="24"/>
          <w:highlight w:val="none"/>
          <w:lang w:val="zh-CN"/>
        </w:rPr>
        <w:t>或者</w:t>
      </w:r>
      <w:r>
        <w:rPr>
          <w:rFonts w:hint="eastAsia" w:ascii="宋体" w:hAnsi="宋体" w:eastAsia="宋体" w:cs="宋体"/>
          <w:b/>
          <w:bCs/>
          <w:color w:val="auto"/>
          <w:sz w:val="24"/>
          <w:szCs w:val="24"/>
          <w:highlight w:val="none"/>
        </w:rPr>
        <w:t>修改</w:t>
      </w:r>
    </w:p>
    <w:p w14:paraId="5603B7CA">
      <w:pPr>
        <w:adjustRightInd w:val="0"/>
        <w:snapToGrid w:val="0"/>
        <w:spacing w:line="360" w:lineRule="auto"/>
        <w:ind w:right="-105" w:rightChars="-50" w:firstLine="480" w:firstLineChars="200"/>
        <w:rPr>
          <w:rFonts w:hint="eastAsia" w:ascii="宋体" w:hAnsi="宋体" w:eastAsia="宋体" w:cs="宋体"/>
          <w:color w:val="auto"/>
          <w:kern w:val="0"/>
          <w:sz w:val="24"/>
          <w:szCs w:val="24"/>
          <w:highlight w:val="none"/>
        </w:rPr>
      </w:pPr>
      <w:bookmarkStart w:id="16" w:name="_Toc420948010"/>
      <w:r>
        <w:rPr>
          <w:rFonts w:hint="eastAsia" w:ascii="宋体" w:hAnsi="宋体" w:eastAsia="宋体" w:cs="宋体"/>
          <w:color w:val="auto"/>
          <w:sz w:val="24"/>
          <w:szCs w:val="24"/>
          <w:highlight w:val="none"/>
        </w:rPr>
        <w:t>12.1在</w:t>
      </w:r>
      <w:r>
        <w:rPr>
          <w:rFonts w:hint="eastAsia" w:ascii="宋体" w:hAnsi="宋体" w:eastAsia="宋体" w:cs="宋体"/>
          <w:bCs/>
          <w:color w:val="auto"/>
          <w:sz w:val="24"/>
          <w:szCs w:val="24"/>
          <w:highlight w:val="none"/>
        </w:rPr>
        <w:t>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bCs/>
          <w:color w:val="auto"/>
          <w:sz w:val="24"/>
          <w:szCs w:val="24"/>
          <w:highlight w:val="none"/>
        </w:rPr>
        <w:t>规定的</w:t>
      </w:r>
      <w:r>
        <w:rPr>
          <w:rFonts w:hint="eastAsia" w:ascii="宋体" w:hAnsi="宋体" w:eastAsia="宋体" w:cs="宋体"/>
          <w:color w:val="auto"/>
          <w:kern w:val="0"/>
          <w:sz w:val="24"/>
          <w:szCs w:val="24"/>
          <w:highlight w:val="none"/>
        </w:rPr>
        <w:t xml:space="preserve">提交首次投标文件截止之日前，采购人、采购代理机构或者评审小组可以对已发出的采购文件进行必要的澄清或者修改。 </w:t>
      </w:r>
    </w:p>
    <w:p w14:paraId="07DE8D1C">
      <w:pPr>
        <w:adjustRightInd w:val="0"/>
        <w:snapToGrid w:val="0"/>
        <w:spacing w:line="360" w:lineRule="auto"/>
        <w:ind w:right="-105" w:rightChars="-5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12.2</w:t>
      </w:r>
      <w:r>
        <w:rPr>
          <w:rFonts w:hint="eastAsia" w:ascii="宋体" w:hAnsi="宋体" w:eastAsia="宋体" w:cs="宋体"/>
          <w:color w:val="auto"/>
          <w:kern w:val="0"/>
          <w:sz w:val="24"/>
          <w:szCs w:val="24"/>
          <w:highlight w:val="none"/>
        </w:rPr>
        <w:t>澄清或者修改的内容可能影响投标文件编制的，采购人、采购代理机构或者评审小组应当在</w:t>
      </w:r>
      <w:r>
        <w:rPr>
          <w:rFonts w:hint="eastAsia" w:ascii="宋体" w:hAnsi="宋体" w:eastAsia="宋体" w:cs="宋体"/>
          <w:bCs/>
          <w:color w:val="auto"/>
          <w:sz w:val="24"/>
          <w:szCs w:val="24"/>
          <w:highlight w:val="none"/>
        </w:rPr>
        <w:t>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bCs/>
          <w:color w:val="auto"/>
          <w:sz w:val="24"/>
          <w:szCs w:val="24"/>
          <w:highlight w:val="none"/>
        </w:rPr>
        <w:t>规定的</w:t>
      </w:r>
      <w:r>
        <w:rPr>
          <w:rFonts w:hint="eastAsia" w:ascii="宋体" w:hAnsi="宋体" w:eastAsia="宋体" w:cs="宋体"/>
          <w:color w:val="auto"/>
          <w:kern w:val="0"/>
          <w:sz w:val="24"/>
          <w:szCs w:val="24"/>
          <w:highlight w:val="none"/>
        </w:rPr>
        <w:t>提交首次投标文件截止之日5日前，以书面形式通知所有接收采购文件的</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，不足5日的，顺延</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提交首次投标文件截止时间。</w:t>
      </w:r>
      <w:r>
        <w:rPr>
          <w:rFonts w:hint="eastAsia" w:ascii="宋体" w:hAnsi="宋体" w:eastAsia="宋体" w:cs="宋体"/>
          <w:color w:val="auto"/>
          <w:sz w:val="24"/>
          <w:szCs w:val="24"/>
          <w:highlight w:val="none"/>
        </w:rPr>
        <w:t>澄清或者修改文件作为采购文件的组成部分对投标人具有约束力。</w:t>
      </w:r>
    </w:p>
    <w:p w14:paraId="49ABB582">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12.3</w:t>
      </w:r>
      <w:r>
        <w:rPr>
          <w:rFonts w:hint="eastAsia" w:ascii="宋体" w:hAnsi="宋体" w:eastAsia="宋体" w:cs="宋体"/>
          <w:color w:val="auto"/>
          <w:kern w:val="0"/>
          <w:sz w:val="24"/>
          <w:szCs w:val="24"/>
          <w:highlight w:val="none"/>
        </w:rPr>
        <w:t>投标人认为采购文件存在歧视性条款的，应在收到采购文件之日或者采购文件公告期限届满之日起7个工作日内以书面形式向本代理机构提出。</w:t>
      </w:r>
    </w:p>
    <w:p w14:paraId="36ECAF81">
      <w:pPr>
        <w:bidi w:val="0"/>
        <w:spacing w:line="360" w:lineRule="auto"/>
        <w:jc w:val="left"/>
        <w:rPr>
          <w:rFonts w:hint="eastAsia"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三、</w:t>
      </w:r>
      <w:bookmarkEnd w:id="16"/>
      <w:r>
        <w:rPr>
          <w:rFonts w:hint="eastAsia" w:ascii="Times New Roman" w:hAnsi="Times New Roman" w:cs="Times New Roman"/>
          <w:b/>
          <w:bCs/>
          <w:color w:val="auto"/>
          <w:sz w:val="24"/>
          <w:szCs w:val="24"/>
          <w:highlight w:val="none"/>
        </w:rPr>
        <w:t>投标文件</w:t>
      </w:r>
    </w:p>
    <w:p w14:paraId="3444EB61">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13.一般要求</w:t>
      </w:r>
    </w:p>
    <w:p w14:paraId="3D7D12FB">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13.1 投标人应仔细阅读</w:t>
      </w:r>
      <w:r>
        <w:rPr>
          <w:rFonts w:hint="eastAsia" w:ascii="宋体" w:hAnsi="宋体" w:eastAsia="宋体" w:cs="宋体"/>
          <w:color w:val="auto"/>
          <w:sz w:val="24"/>
          <w:szCs w:val="24"/>
          <w:highlight w:val="none"/>
        </w:rPr>
        <w:t>采购文件</w:t>
      </w:r>
      <w:r>
        <w:rPr>
          <w:rFonts w:hint="eastAsia" w:ascii="宋体" w:hAnsi="宋体" w:eastAsia="宋体" w:cs="宋体"/>
          <w:bCs/>
          <w:color w:val="auto"/>
          <w:sz w:val="24"/>
          <w:szCs w:val="24"/>
          <w:highlight w:val="none"/>
        </w:rPr>
        <w:t>的所有内容，按</w:t>
      </w:r>
      <w:r>
        <w:rPr>
          <w:rFonts w:hint="eastAsia" w:ascii="宋体" w:hAnsi="宋体" w:eastAsia="宋体" w:cs="宋体"/>
          <w:color w:val="auto"/>
          <w:sz w:val="24"/>
          <w:szCs w:val="24"/>
          <w:highlight w:val="none"/>
        </w:rPr>
        <w:t>采购文件</w:t>
      </w:r>
      <w:r>
        <w:rPr>
          <w:rFonts w:hint="eastAsia" w:ascii="宋体" w:hAnsi="宋体" w:eastAsia="宋体" w:cs="宋体"/>
          <w:bCs/>
          <w:color w:val="auto"/>
          <w:sz w:val="24"/>
          <w:szCs w:val="24"/>
          <w:highlight w:val="none"/>
        </w:rPr>
        <w:t>的要求编制</w:t>
      </w:r>
      <w:r>
        <w:rPr>
          <w:rFonts w:hint="eastAsia" w:ascii="宋体" w:hAnsi="宋体" w:eastAsia="宋体" w:cs="宋体"/>
          <w:color w:val="auto"/>
          <w:sz w:val="24"/>
          <w:szCs w:val="24"/>
          <w:highlight w:val="none"/>
        </w:rPr>
        <w:t>投标文件</w:t>
      </w:r>
      <w:r>
        <w:rPr>
          <w:rFonts w:hint="eastAsia" w:ascii="宋体" w:hAnsi="宋体" w:eastAsia="宋体" w:cs="宋体"/>
          <w:bCs/>
          <w:color w:val="auto"/>
          <w:sz w:val="24"/>
          <w:szCs w:val="24"/>
          <w:highlight w:val="none"/>
        </w:rPr>
        <w:t>，并保证所提供的全部资料的真实性，以使其</w:t>
      </w:r>
      <w:r>
        <w:rPr>
          <w:rFonts w:hint="eastAsia" w:ascii="宋体" w:hAnsi="宋体" w:eastAsia="宋体" w:cs="宋体"/>
          <w:color w:val="auto"/>
          <w:sz w:val="24"/>
          <w:szCs w:val="24"/>
          <w:highlight w:val="none"/>
        </w:rPr>
        <w:t>投标文件</w:t>
      </w:r>
      <w:r>
        <w:rPr>
          <w:rFonts w:hint="eastAsia" w:ascii="宋体" w:hAnsi="宋体" w:eastAsia="宋体" w:cs="宋体"/>
          <w:bCs/>
          <w:color w:val="auto"/>
          <w:sz w:val="24"/>
          <w:szCs w:val="24"/>
          <w:highlight w:val="none"/>
        </w:rPr>
        <w:t>对</w:t>
      </w:r>
      <w:r>
        <w:rPr>
          <w:rFonts w:hint="eastAsia" w:ascii="宋体" w:hAnsi="宋体" w:eastAsia="宋体" w:cs="宋体"/>
          <w:color w:val="auto"/>
          <w:sz w:val="24"/>
          <w:szCs w:val="24"/>
          <w:highlight w:val="none"/>
        </w:rPr>
        <w:t>采购文件</w:t>
      </w:r>
      <w:r>
        <w:rPr>
          <w:rFonts w:hint="eastAsia" w:ascii="宋体" w:hAnsi="宋体" w:eastAsia="宋体" w:cs="宋体"/>
          <w:bCs/>
          <w:color w:val="auto"/>
          <w:sz w:val="24"/>
          <w:szCs w:val="24"/>
          <w:highlight w:val="none"/>
        </w:rPr>
        <w:t>做出实质性的响应。</w:t>
      </w:r>
    </w:p>
    <w:p w14:paraId="0739030A">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13.2 </w:t>
      </w:r>
      <w:r>
        <w:rPr>
          <w:rFonts w:hint="eastAsia" w:ascii="宋体" w:hAnsi="宋体" w:eastAsia="宋体" w:cs="宋体"/>
          <w:color w:val="auto"/>
          <w:sz w:val="24"/>
          <w:szCs w:val="24"/>
          <w:highlight w:val="none"/>
        </w:rPr>
        <w:t>投标人提交的投标文件及投标人与采购人或代理机构就有关投标的所有来往函电均使用中文。投标人可以提交其它语言的资料，但应附中文注释，在有差异时以中文为准。</w:t>
      </w:r>
    </w:p>
    <w:p w14:paraId="56036A38">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 xml:space="preserve">13.3 </w:t>
      </w:r>
      <w:r>
        <w:rPr>
          <w:rFonts w:hint="eastAsia" w:ascii="宋体" w:hAnsi="宋体" w:eastAsia="宋体" w:cs="宋体"/>
          <w:color w:val="auto"/>
          <w:sz w:val="24"/>
          <w:szCs w:val="24"/>
          <w:highlight w:val="none"/>
        </w:rPr>
        <w:t>计量单位应使用我国法定计量单位，未列明时应默认为我国法定计量单位。</w:t>
      </w:r>
    </w:p>
    <w:p w14:paraId="4572E214">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13.4 投标文件应采用书面形式，传真、电子邮件形式的投标文件概不接受。</w:t>
      </w:r>
    </w:p>
    <w:p w14:paraId="6F038CD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13.5 投标人应按采购文件中提供的投标文件格式填写。</w:t>
      </w:r>
    </w:p>
    <w:p w14:paraId="1E1D582E">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14.</w:t>
      </w:r>
      <w:r>
        <w:rPr>
          <w:rFonts w:hint="eastAsia" w:ascii="宋体" w:hAnsi="宋体" w:eastAsia="宋体" w:cs="宋体"/>
          <w:b/>
          <w:color w:val="auto"/>
          <w:sz w:val="24"/>
          <w:szCs w:val="24"/>
          <w:highlight w:val="none"/>
        </w:rPr>
        <w:t>投标文件</w:t>
      </w:r>
      <w:r>
        <w:rPr>
          <w:rFonts w:hint="eastAsia" w:ascii="宋体" w:hAnsi="宋体" w:eastAsia="宋体" w:cs="宋体"/>
          <w:b/>
          <w:bCs/>
          <w:color w:val="auto"/>
          <w:sz w:val="24"/>
          <w:szCs w:val="24"/>
          <w:highlight w:val="none"/>
        </w:rPr>
        <w:t>的组成</w:t>
      </w:r>
    </w:p>
    <w:p w14:paraId="70045EAF">
      <w:pPr>
        <w:adjustRightInd w:val="0"/>
        <w:snapToGrid w:val="0"/>
        <w:spacing w:line="360" w:lineRule="auto"/>
        <w:ind w:firstLine="480" w:firstLineChars="200"/>
        <w:jc w:val="left"/>
        <w:rPr>
          <w:rFonts w:hint="eastAsia" w:ascii="宋体" w:hAnsi="宋体" w:eastAsia="宋体" w:cs="宋体"/>
          <w:color w:val="auto"/>
          <w:sz w:val="24"/>
          <w:szCs w:val="24"/>
          <w:highlight w:val="none"/>
        </w:rPr>
      </w:pPr>
      <w:bookmarkStart w:id="17" w:name="_Toc432175092"/>
      <w:bookmarkStart w:id="18" w:name="_Toc432175154"/>
      <w:bookmarkStart w:id="19" w:name="_Toc420948011"/>
      <w:bookmarkStart w:id="20" w:name="_Toc432175034"/>
      <w:bookmarkStart w:id="21" w:name="_Toc428285922"/>
      <w:bookmarkStart w:id="22" w:name="_Toc427862404"/>
      <w:bookmarkStart w:id="23" w:name="_Toc432242402"/>
      <w:bookmarkStart w:id="24" w:name="_Toc432242303"/>
      <w:r>
        <w:rPr>
          <w:rFonts w:hint="eastAsia" w:ascii="宋体" w:hAnsi="宋体" w:eastAsia="宋体" w:cs="宋体"/>
          <w:color w:val="auto"/>
          <w:sz w:val="24"/>
          <w:szCs w:val="24"/>
          <w:highlight w:val="none"/>
        </w:rPr>
        <w:t>14.1 投标文件包括下列内容：</w:t>
      </w:r>
      <w:bookmarkEnd w:id="17"/>
      <w:bookmarkEnd w:id="18"/>
      <w:bookmarkEnd w:id="19"/>
      <w:bookmarkEnd w:id="20"/>
      <w:bookmarkEnd w:id="21"/>
      <w:bookmarkEnd w:id="22"/>
      <w:bookmarkEnd w:id="23"/>
      <w:bookmarkEnd w:id="24"/>
      <w:r>
        <w:rPr>
          <w:rFonts w:hint="eastAsia" w:ascii="宋体" w:hAnsi="宋体" w:eastAsia="宋体" w:cs="宋体"/>
          <w:color w:val="auto"/>
          <w:sz w:val="24"/>
          <w:szCs w:val="24"/>
          <w:highlight w:val="none"/>
        </w:rPr>
        <w:t xml:space="preserve"> </w:t>
      </w:r>
    </w:p>
    <w:p w14:paraId="7E4C8C03">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（1）资格性自查表</w:t>
      </w:r>
    </w:p>
    <w:p w14:paraId="7F78E678">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（2）投标函、投标声明</w:t>
      </w:r>
    </w:p>
    <w:p w14:paraId="6F13E66B">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（3）投标保证金</w:t>
      </w:r>
    </w:p>
    <w:p w14:paraId="4E7248E1">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（4）报价一览表、报价明细表及报价说明</w:t>
      </w:r>
    </w:p>
    <w:p w14:paraId="6A715A68">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（5）投标人的资格审查材料</w:t>
      </w:r>
    </w:p>
    <w:p w14:paraId="20DEAEB7">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（6）项目方案</w:t>
      </w:r>
      <w:r>
        <w:rPr>
          <w:rFonts w:hint="eastAsia" w:ascii="宋体" w:hAnsi="宋体" w:eastAsia="宋体" w:cs="宋体"/>
          <w:bCs/>
          <w:color w:val="auto"/>
          <w:sz w:val="24"/>
          <w:szCs w:val="24"/>
          <w:highlight w:val="none"/>
        </w:rPr>
        <w:tab/>
      </w:r>
    </w:p>
    <w:p w14:paraId="2AAEDF3F">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（7）响应/偏离表</w:t>
      </w:r>
      <w:r>
        <w:rPr>
          <w:rFonts w:hint="eastAsia" w:ascii="宋体" w:hAnsi="宋体" w:eastAsia="宋体" w:cs="宋体"/>
          <w:bCs/>
          <w:color w:val="auto"/>
          <w:sz w:val="24"/>
          <w:szCs w:val="24"/>
          <w:highlight w:val="none"/>
        </w:rPr>
        <w:tab/>
      </w:r>
    </w:p>
    <w:p w14:paraId="7656AFB5">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（8）投标人认为需要提供的其它资料</w:t>
      </w:r>
      <w:r>
        <w:rPr>
          <w:rFonts w:hint="eastAsia" w:ascii="宋体" w:hAnsi="宋体" w:eastAsia="宋体" w:cs="宋体"/>
          <w:bCs/>
          <w:color w:val="auto"/>
          <w:sz w:val="24"/>
          <w:szCs w:val="24"/>
          <w:highlight w:val="none"/>
        </w:rPr>
        <w:tab/>
      </w:r>
    </w:p>
    <w:p w14:paraId="24442AA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14.2根据《政府采购法》第四十二条的规定，投标人无论中标与否，其投标文件不予退还。</w:t>
      </w:r>
    </w:p>
    <w:p w14:paraId="3E7FC01E">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15.报价</w:t>
      </w:r>
    </w:p>
    <w:p w14:paraId="1DD0000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15.1投标人应当根据采购文件要求和采购内容，以</w:t>
      </w:r>
      <w:r>
        <w:rPr>
          <w:rFonts w:hint="eastAsia" w:ascii="宋体" w:hAnsi="宋体" w:eastAsia="宋体" w:cs="宋体"/>
          <w:bCs/>
          <w:color w:val="auto"/>
          <w:sz w:val="24"/>
          <w:szCs w:val="24"/>
          <w:highlight w:val="none"/>
        </w:rPr>
        <w:t>人民币</w:t>
      </w:r>
      <w:r>
        <w:rPr>
          <w:rFonts w:hint="eastAsia" w:ascii="宋体" w:hAnsi="宋体" w:eastAsia="宋体" w:cs="宋体"/>
          <w:color w:val="auto"/>
          <w:sz w:val="24"/>
          <w:szCs w:val="24"/>
          <w:highlight w:val="none"/>
        </w:rPr>
        <w:t>报价，以元为单位，保留小数点后两位。</w:t>
      </w:r>
    </w:p>
    <w:p w14:paraId="25D534EC">
      <w:pPr>
        <w:pStyle w:val="11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投标报价是履行合同的最终价格，应包括为完成本项目采购范围内所有服务费的总和，投标人应结合市场状况、工作成本进行自主报价，投标报价应包括为履行本项目所必须所须发生的全部费用和投标人应承担的一切税费，包括完成满足实体检测、节能检测要求的一切费用(含税金)，包括但不限于仪器设备费、检测费、技术工作费、报告文本费、规费及税金等一切费用（包含为达到检测条件所需的其他费用）。各综合单价不因检测数量变化、位置、市场价格波动、政策变化及所有不可预见等因素改变而增减。投标人漏报的单价或每项单价报价中漏报、少报的费用，视为此项费用已包含在已标价分项报价的单价和合价中，中标后不予调整。</w:t>
      </w:r>
    </w:p>
    <w:p w14:paraId="6EB093F2">
      <w:pPr>
        <w:pStyle w:val="11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15.3投标人应按第四章“采购需求”要求及第五章“投标文件格式”格式填写。投标人在</w:t>
      </w:r>
      <w:r>
        <w:rPr>
          <w:rFonts w:hint="eastAsia" w:ascii="宋体" w:hAnsi="宋体" w:eastAsia="宋体" w:cs="宋体"/>
          <w:bCs/>
          <w:color w:val="auto"/>
          <w:sz w:val="24"/>
          <w:szCs w:val="24"/>
          <w:highlight w:val="none"/>
        </w:rPr>
        <w:t>本章第11.1</w:t>
      </w:r>
      <w:r>
        <w:rPr>
          <w:rFonts w:hint="eastAsia" w:ascii="宋体" w:hAnsi="宋体" w:eastAsia="宋体" w:cs="宋体"/>
          <w:color w:val="auto"/>
          <w:sz w:val="24"/>
          <w:szCs w:val="24"/>
          <w:highlight w:val="none"/>
          <w:lang w:val="zh-CN"/>
        </w:rPr>
        <w:t>款</w:t>
      </w:r>
      <w:r>
        <w:rPr>
          <w:rFonts w:hint="eastAsia" w:ascii="宋体" w:hAnsi="宋体" w:eastAsia="宋体" w:cs="宋体"/>
          <w:bCs/>
          <w:color w:val="auto"/>
          <w:sz w:val="24"/>
          <w:szCs w:val="24"/>
          <w:highlight w:val="none"/>
        </w:rPr>
        <w:t>规定的</w:t>
      </w:r>
      <w:r>
        <w:rPr>
          <w:rFonts w:hint="eastAsia" w:ascii="宋体" w:hAnsi="宋体" w:eastAsia="宋体" w:cs="宋体"/>
          <w:color w:val="auto"/>
          <w:sz w:val="24"/>
          <w:szCs w:val="24"/>
          <w:highlight w:val="none"/>
        </w:rPr>
        <w:t>提交投标文件截止之日前修改报价，应同时修改其按第五章要求填写的相应表格中的报价。此修改须符合本章第21.1款的有关要求。</w:t>
      </w:r>
    </w:p>
    <w:p w14:paraId="5A5E57B8">
      <w:pPr>
        <w:pStyle w:val="11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15.4投标文件中标明的价格在合同执行过程中是固定不变的，不得以任何理由予以变更。以可变动价格提交的报价将被认为是非实质响应而被拒绝。</w:t>
      </w:r>
    </w:p>
    <w:p w14:paraId="30E8DC95">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15.5</w:t>
      </w:r>
      <w:r>
        <w:rPr>
          <w:rFonts w:hint="eastAsia" w:ascii="宋体" w:hAnsi="宋体" w:eastAsia="宋体" w:cs="宋体"/>
          <w:color w:val="auto"/>
          <w:kern w:val="0"/>
          <w:sz w:val="24"/>
          <w:szCs w:val="24"/>
          <w:highlight w:val="none"/>
          <w:lang w:val="zh-CN"/>
        </w:rPr>
        <w:t>投标人</w:t>
      </w:r>
      <w:r>
        <w:rPr>
          <w:rFonts w:hint="eastAsia" w:ascii="宋体" w:hAnsi="宋体" w:eastAsia="宋体" w:cs="宋体"/>
          <w:color w:val="auto"/>
          <w:sz w:val="24"/>
          <w:szCs w:val="24"/>
          <w:highlight w:val="none"/>
        </w:rPr>
        <w:t>的报价不得超过采购项目预算，采购项目预算见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w:t>
      </w:r>
    </w:p>
    <w:p w14:paraId="536CE55D">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15.6采购人不保证将合同授予最低报价的投标人。</w:t>
      </w:r>
    </w:p>
    <w:p w14:paraId="4101064D">
      <w:pPr>
        <w:pStyle w:val="26"/>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16.符合采购文件规定的证明文件</w:t>
      </w:r>
    </w:p>
    <w:p w14:paraId="5534BCB3">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16.1投标人</w:t>
      </w:r>
      <w:r>
        <w:rPr>
          <w:rFonts w:hint="eastAsia" w:ascii="宋体" w:hAnsi="宋体" w:eastAsia="宋体" w:cs="宋体"/>
          <w:color w:val="auto"/>
          <w:sz w:val="24"/>
          <w:szCs w:val="24"/>
          <w:highlight w:val="none"/>
        </w:rPr>
        <w:t>符合采购文件规定的资格证明文件</w:t>
      </w:r>
    </w:p>
    <w:p w14:paraId="31DBC4F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zh-CN"/>
        </w:rPr>
        <w:t>16.1.1</w:t>
      </w:r>
      <w:r>
        <w:rPr>
          <w:rFonts w:hint="eastAsia" w:ascii="宋体" w:hAnsi="宋体" w:eastAsia="宋体" w:cs="宋体"/>
          <w:color w:val="auto"/>
          <w:sz w:val="24"/>
          <w:szCs w:val="24"/>
          <w:highlight w:val="none"/>
        </w:rPr>
        <w:t>投标人应提供资格证明材料，以证实其各项条件能满足本章第3.1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规定的投标人资格条件要求。</w:t>
      </w:r>
    </w:p>
    <w:p w14:paraId="1F240209">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16.1.2</w:t>
      </w:r>
      <w:r>
        <w:rPr>
          <w:rFonts w:hint="eastAsia" w:ascii="宋体" w:hAnsi="宋体" w:eastAsia="宋体" w:cs="宋体"/>
          <w:color w:val="auto"/>
          <w:kern w:val="0"/>
          <w:sz w:val="24"/>
          <w:szCs w:val="24"/>
          <w:highlight w:val="none"/>
          <w:lang w:val="zh-CN"/>
        </w:rPr>
        <w:t>投标人</w:t>
      </w:r>
      <w:r>
        <w:rPr>
          <w:rFonts w:hint="eastAsia" w:ascii="宋体" w:hAnsi="宋体" w:eastAsia="宋体" w:cs="宋体"/>
          <w:color w:val="auto"/>
          <w:sz w:val="24"/>
          <w:szCs w:val="24"/>
          <w:highlight w:val="none"/>
        </w:rPr>
        <w:t>为联合体形式的，则应提交联合体各方资格文件、联合体协议，否则将视为非实质而被拒绝。</w:t>
      </w:r>
    </w:p>
    <w:p w14:paraId="7BA4AFF2">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zh-CN"/>
        </w:rPr>
        <w:t>16.1.3</w:t>
      </w:r>
      <w:r>
        <w:rPr>
          <w:rFonts w:hint="eastAsia" w:ascii="宋体" w:hAnsi="宋体" w:eastAsia="宋体" w:cs="宋体"/>
          <w:color w:val="auto"/>
          <w:sz w:val="24"/>
          <w:szCs w:val="24"/>
          <w:highlight w:val="none"/>
        </w:rPr>
        <w:t>至</w:t>
      </w:r>
      <w:r>
        <w:rPr>
          <w:rFonts w:hint="eastAsia" w:ascii="宋体" w:hAnsi="宋体" w:eastAsia="宋体" w:cs="宋体"/>
          <w:color w:val="auto"/>
          <w:kern w:val="0"/>
          <w:sz w:val="24"/>
          <w:szCs w:val="24"/>
          <w:highlight w:val="none"/>
        </w:rPr>
        <w:t>提交首次投标文件</w:t>
      </w:r>
      <w:r>
        <w:rPr>
          <w:rFonts w:hint="eastAsia" w:ascii="宋体" w:hAnsi="宋体" w:eastAsia="宋体" w:cs="宋体"/>
          <w:color w:val="auto"/>
          <w:sz w:val="24"/>
          <w:szCs w:val="24"/>
          <w:highlight w:val="none"/>
        </w:rPr>
        <w:t>止，投标人资格条件发生重大变化，影响或者可能影响资格条件的，投标人应更新或者补充提供的资格证明材料，以证实其各项条件仍能继续满足本章第3.1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规定的投标人资格条件要求。</w:t>
      </w:r>
    </w:p>
    <w:p w14:paraId="68F1C67D">
      <w:pPr>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16.1.4投标人应当提交符合采购文件规定的业绩证明文件,该证明文件作为投标文件的一部分，业绩证明文件要求详见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kern w:val="0"/>
          <w:sz w:val="24"/>
          <w:szCs w:val="24"/>
          <w:highlight w:val="none"/>
        </w:rPr>
        <w:t>。</w:t>
      </w:r>
    </w:p>
    <w:p w14:paraId="1D23C1A0">
      <w:pPr>
        <w:pStyle w:val="26"/>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17. 投标保证金</w:t>
      </w:r>
    </w:p>
    <w:p w14:paraId="517C61D8">
      <w:pPr>
        <w:pStyle w:val="26"/>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17.1</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规定提交投标保证金的，应按</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规定的形式、金额，在本章第11.1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w:t>
      </w:r>
      <w:r>
        <w:rPr>
          <w:rFonts w:hint="eastAsia" w:ascii="宋体" w:hAnsi="宋体" w:eastAsia="宋体" w:cs="宋体"/>
          <w:color w:val="auto"/>
          <w:kern w:val="0"/>
          <w:sz w:val="24"/>
          <w:szCs w:val="24"/>
          <w:highlight w:val="none"/>
        </w:rPr>
        <w:t>提交</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截止时间</w:t>
      </w:r>
      <w:r>
        <w:rPr>
          <w:rFonts w:hint="eastAsia" w:ascii="宋体" w:hAnsi="宋体" w:eastAsia="宋体" w:cs="宋体"/>
          <w:color w:val="auto"/>
          <w:sz w:val="24"/>
          <w:szCs w:val="24"/>
          <w:highlight w:val="none"/>
        </w:rPr>
        <w:t>前，</w:t>
      </w:r>
      <w:r>
        <w:rPr>
          <w:rFonts w:hint="eastAsia" w:ascii="宋体" w:hAnsi="宋体" w:eastAsia="宋体" w:cs="宋体"/>
          <w:bCs/>
          <w:color w:val="auto"/>
          <w:sz w:val="24"/>
          <w:szCs w:val="24"/>
          <w:highlight w:val="none"/>
        </w:rPr>
        <w:t>提交投标保证金</w:t>
      </w:r>
      <w:r>
        <w:rPr>
          <w:rFonts w:hint="eastAsia" w:ascii="宋体" w:hAnsi="宋体" w:eastAsia="宋体" w:cs="宋体"/>
          <w:color w:val="auto"/>
          <w:sz w:val="24"/>
          <w:szCs w:val="24"/>
          <w:highlight w:val="none"/>
        </w:rPr>
        <w:t>。</w:t>
      </w:r>
      <w:r>
        <w:rPr>
          <w:rFonts w:hint="eastAsia" w:ascii="宋体" w:hAnsi="宋体" w:eastAsia="宋体" w:cs="宋体"/>
          <w:bCs/>
          <w:color w:val="auto"/>
          <w:sz w:val="24"/>
          <w:szCs w:val="24"/>
          <w:highlight w:val="none"/>
        </w:rPr>
        <w:t>投标保证金有效期应当与</w:t>
      </w:r>
      <w:r>
        <w:rPr>
          <w:rFonts w:hint="eastAsia" w:ascii="宋体" w:hAnsi="宋体" w:eastAsia="宋体" w:cs="宋体"/>
          <w:color w:val="auto"/>
          <w:sz w:val="24"/>
          <w:szCs w:val="24"/>
          <w:highlight w:val="none"/>
        </w:rPr>
        <w:t>本章第18.1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规定的投标文件</w:t>
      </w:r>
      <w:r>
        <w:rPr>
          <w:rFonts w:hint="eastAsia" w:ascii="宋体" w:hAnsi="宋体" w:eastAsia="宋体" w:cs="宋体"/>
          <w:bCs/>
          <w:color w:val="auto"/>
          <w:sz w:val="24"/>
          <w:szCs w:val="24"/>
          <w:highlight w:val="none"/>
        </w:rPr>
        <w:t>有效期一致。</w:t>
      </w:r>
    </w:p>
    <w:p w14:paraId="4FFE5842">
      <w:pPr>
        <w:adjustRightInd w:val="0"/>
        <w:snapToGrid w:val="0"/>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17.2</w:t>
      </w:r>
      <w:r>
        <w:rPr>
          <w:rFonts w:hint="eastAsia" w:ascii="宋体" w:hAnsi="宋体" w:eastAsia="宋体" w:cs="宋体"/>
          <w:color w:val="auto"/>
          <w:kern w:val="0"/>
          <w:sz w:val="24"/>
          <w:szCs w:val="24"/>
          <w:highlight w:val="none"/>
          <w:lang w:val="zh-CN"/>
        </w:rPr>
        <w:t>投标人为联合体的，可以由联合体中的一方或者共同交纳投标保证金，其交纳的投标保证金，对联合体各方均具有约束力。</w:t>
      </w:r>
    </w:p>
    <w:p w14:paraId="455EB9A7">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17.3 未按采购文件规定提交投标保证金的，</w:t>
      </w:r>
      <w:r>
        <w:rPr>
          <w:rFonts w:hint="eastAsia" w:ascii="宋体" w:hAnsi="宋体" w:eastAsia="宋体" w:cs="宋体"/>
          <w:bCs/>
          <w:color w:val="auto"/>
          <w:sz w:val="24"/>
          <w:szCs w:val="24"/>
          <w:highlight w:val="none"/>
        </w:rPr>
        <w:t>其</w:t>
      </w:r>
      <w:r>
        <w:rPr>
          <w:rFonts w:hint="eastAsia" w:ascii="宋体" w:hAnsi="宋体" w:eastAsia="宋体" w:cs="宋体"/>
          <w:color w:val="auto"/>
          <w:sz w:val="24"/>
          <w:szCs w:val="24"/>
          <w:highlight w:val="none"/>
        </w:rPr>
        <w:t>投标文件</w:t>
      </w:r>
      <w:r>
        <w:rPr>
          <w:rFonts w:hint="eastAsia" w:ascii="宋体" w:hAnsi="宋体" w:eastAsia="宋体" w:cs="宋体"/>
          <w:bCs/>
          <w:color w:val="auto"/>
          <w:sz w:val="24"/>
          <w:szCs w:val="24"/>
          <w:highlight w:val="none"/>
        </w:rPr>
        <w:t>无效</w:t>
      </w:r>
      <w:r>
        <w:rPr>
          <w:rFonts w:hint="eastAsia" w:ascii="宋体" w:hAnsi="宋体" w:eastAsia="宋体" w:cs="宋体"/>
          <w:color w:val="auto"/>
          <w:sz w:val="24"/>
          <w:szCs w:val="24"/>
          <w:highlight w:val="none"/>
        </w:rPr>
        <w:t>。</w:t>
      </w:r>
    </w:p>
    <w:p w14:paraId="33F84D26">
      <w:pPr>
        <w:pStyle w:val="26"/>
        <w:tabs>
          <w:tab w:val="left" w:pos="6300"/>
        </w:tabs>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17.4代理机构在中标通知书发出后5个工作日内退还未中标投标人的投标保证金；在采购合同签定后5个工作日内退还中标投标人的投标保证金，但因投标人自身原因导致无法及时退还的除外。</w:t>
      </w:r>
    </w:p>
    <w:p w14:paraId="565AFC5B">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 xml:space="preserve">17.5 </w:t>
      </w:r>
      <w:r>
        <w:rPr>
          <w:rFonts w:hint="eastAsia" w:ascii="宋体" w:hAnsi="宋体" w:eastAsia="宋体" w:cs="宋体"/>
          <w:color w:val="auto"/>
          <w:kern w:val="0"/>
          <w:sz w:val="24"/>
          <w:szCs w:val="24"/>
          <w:highlight w:val="none"/>
        </w:rPr>
        <w:t>有下列情形之一的，投标保证金不予退还：</w:t>
      </w:r>
    </w:p>
    <w:p w14:paraId="702BB2F6">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（1）投标人在提交投标文件截止时间后撤回投标文件的；</w:t>
      </w:r>
    </w:p>
    <w:p w14:paraId="1BBEFF20">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（2）投标人在投标文件中提供虚假材料的；</w:t>
      </w:r>
    </w:p>
    <w:p w14:paraId="6D9F42F5">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（3）除因不可抗力或采购文件认可的情形以外，中标投标人不与采购人签订合同的；</w:t>
      </w:r>
    </w:p>
    <w:p w14:paraId="267ABB14">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（4）投标人与采购人、其他投标人或者采购代理机构恶意串通的；</w:t>
      </w:r>
    </w:p>
    <w:p w14:paraId="78E89003">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（5）采购文件规定的其他情形。</w:t>
      </w:r>
    </w:p>
    <w:p w14:paraId="3B5979C0">
      <w:pPr>
        <w:pStyle w:val="26"/>
        <w:adjustRightInd w:val="0"/>
        <w:snapToGrid w:val="0"/>
        <w:spacing w:line="360" w:lineRule="auto"/>
        <w:ind w:left="-2" w:leftChars="-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18.</w:t>
      </w:r>
      <w:r>
        <w:rPr>
          <w:rFonts w:hint="eastAsia" w:ascii="宋体" w:hAnsi="宋体" w:eastAsia="宋体" w:cs="宋体"/>
          <w:color w:val="auto"/>
          <w:sz w:val="24"/>
          <w:szCs w:val="24"/>
          <w:highlight w:val="none"/>
        </w:rPr>
        <w:t xml:space="preserve"> </w:t>
      </w:r>
      <w:r>
        <w:rPr>
          <w:rFonts w:hint="eastAsia" w:ascii="宋体" w:hAnsi="宋体" w:eastAsia="宋体" w:cs="宋体"/>
          <w:b/>
          <w:color w:val="auto"/>
          <w:sz w:val="24"/>
          <w:szCs w:val="24"/>
          <w:highlight w:val="none"/>
        </w:rPr>
        <w:t>投标文件有效期</w:t>
      </w:r>
    </w:p>
    <w:p w14:paraId="0D98329B">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18.1投标文件有效期见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，在此期间投标文件对投标人具有法律约束力，从本章第11.1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w:t>
      </w:r>
      <w:r>
        <w:rPr>
          <w:rFonts w:hint="eastAsia" w:ascii="宋体" w:hAnsi="宋体" w:eastAsia="宋体" w:cs="宋体"/>
          <w:color w:val="auto"/>
          <w:kern w:val="0"/>
          <w:sz w:val="24"/>
          <w:szCs w:val="24"/>
          <w:highlight w:val="none"/>
        </w:rPr>
        <w:t>提交</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截止时间</w:t>
      </w:r>
      <w:r>
        <w:rPr>
          <w:rFonts w:hint="eastAsia" w:ascii="宋体" w:hAnsi="宋体" w:eastAsia="宋体" w:cs="宋体"/>
          <w:color w:val="auto"/>
          <w:sz w:val="24"/>
          <w:szCs w:val="24"/>
          <w:highlight w:val="none"/>
        </w:rPr>
        <w:t>之日起计算。投标文件有效期不足的将被视为无效文件。</w:t>
      </w:r>
    </w:p>
    <w:p w14:paraId="153F2D7A">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19.</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投标文件的签署及规定</w:t>
      </w:r>
    </w:p>
    <w:p w14:paraId="367D131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19.1响应文件须上传政采云平台https://www.zcygov.cn/。</w:t>
      </w:r>
    </w:p>
    <w:p w14:paraId="6ED8255A">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19.2 响应文件应按磋商文件要求签章处盖单位电子章和由法定代表人或其委托代理人签字；否则，将导致响应文件无效。</w:t>
      </w:r>
    </w:p>
    <w:p w14:paraId="7C8855C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19.3 在磋商过程中，投标人按磋商文件规定和磋商小组要求提交的最后报价(或者重新提交的响应文件和最后报价)，投标人须登录政采云平台https://www.zcygov.cn/在线进行最终报价。否则，将导致最终报价无效。</w:t>
      </w:r>
    </w:p>
    <w:p w14:paraId="5EA9C714">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四、响应文件的递交</w:t>
      </w:r>
    </w:p>
    <w:p w14:paraId="16A508B9">
      <w:pPr>
        <w:adjustRightInd w:val="0"/>
        <w:snapToGrid w:val="0"/>
        <w:spacing w:line="360" w:lineRule="auto"/>
        <w:ind w:firstLine="361" w:firstLineChars="15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20. 响应文件的密封和标记</w:t>
      </w:r>
    </w:p>
    <w:p w14:paraId="367CF2D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20.1响应文件“电子版”应通过政采云投标文件制作工具进行加密，在解密时间内（自开标时间起30分钟内），投标人登录政采云平台https://www.zcygov.cn/在线进行解密。</w:t>
      </w:r>
    </w:p>
    <w:p w14:paraId="5F3FF06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20.2响应文件如果未按上述规定加密和解密，将导致代理机构无法接收响应文件。</w:t>
      </w:r>
    </w:p>
    <w:p w14:paraId="65274AFF">
      <w:pPr>
        <w:adjustRightInd w:val="0"/>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21.</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投标文件的</w:t>
      </w:r>
      <w:r>
        <w:rPr>
          <w:rFonts w:hint="eastAsia" w:ascii="宋体" w:hAnsi="宋体" w:eastAsia="宋体" w:cs="宋体"/>
          <w:b/>
          <w:color w:val="auto"/>
          <w:kern w:val="0"/>
          <w:sz w:val="24"/>
          <w:szCs w:val="24"/>
          <w:highlight w:val="none"/>
          <w:lang w:val="zh-CN"/>
        </w:rPr>
        <w:t>补充、修改或者撤回</w:t>
      </w:r>
    </w:p>
    <w:p w14:paraId="69D523C8">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21.1</w:t>
      </w:r>
      <w:r>
        <w:rPr>
          <w:rFonts w:hint="eastAsia" w:ascii="宋体" w:hAnsi="宋体" w:eastAsia="宋体" w:cs="宋体"/>
          <w:color w:val="auto"/>
          <w:kern w:val="0"/>
          <w:sz w:val="24"/>
          <w:szCs w:val="24"/>
          <w:highlight w:val="none"/>
        </w:rPr>
        <w:t>投标人在</w:t>
      </w:r>
      <w:r>
        <w:rPr>
          <w:rFonts w:hint="eastAsia" w:ascii="宋体" w:hAnsi="宋体" w:eastAsia="宋体" w:cs="宋体"/>
          <w:color w:val="auto"/>
          <w:sz w:val="24"/>
          <w:szCs w:val="24"/>
          <w:highlight w:val="none"/>
        </w:rPr>
        <w:t>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w:t>
      </w:r>
      <w:r>
        <w:rPr>
          <w:rFonts w:hint="eastAsia" w:ascii="宋体" w:hAnsi="宋体" w:eastAsia="宋体" w:cs="宋体"/>
          <w:color w:val="auto"/>
          <w:kern w:val="0"/>
          <w:sz w:val="24"/>
          <w:szCs w:val="24"/>
          <w:highlight w:val="none"/>
        </w:rPr>
        <w:t>提交</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截止时间前，可以对所提交的</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进行补充、修改或者撤回，并书面通知采购人、代理机构。</w:t>
      </w:r>
      <w:r>
        <w:rPr>
          <w:rFonts w:hint="eastAsia" w:ascii="宋体" w:hAnsi="宋体" w:eastAsia="宋体" w:cs="宋体"/>
          <w:color w:val="auto"/>
          <w:sz w:val="24"/>
          <w:szCs w:val="24"/>
          <w:highlight w:val="none"/>
        </w:rPr>
        <w:t>该通知应有投标人法定代表人或其委托代理人签字。</w:t>
      </w:r>
    </w:p>
    <w:p w14:paraId="22D06F67">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w:t>
      </w:r>
      <w:r>
        <w:rPr>
          <w:rFonts w:hint="eastAsia" w:ascii="宋体" w:hAnsi="宋体" w:eastAsia="宋体" w:cs="宋体"/>
          <w:color w:val="auto"/>
          <w:kern w:val="0"/>
          <w:sz w:val="24"/>
          <w:szCs w:val="24"/>
          <w:highlight w:val="none"/>
          <w:lang w:val="zh-CN"/>
        </w:rPr>
        <w:t>补充、修改的内容与投标文件不一致时，以补充、修改的内容为准。</w:t>
      </w:r>
    </w:p>
    <w:p w14:paraId="754AFF95">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22.</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投标文件的递交与接收</w:t>
      </w:r>
    </w:p>
    <w:p w14:paraId="3E11C4B2">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22.1 投标人应在本章第11.1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w:t>
      </w:r>
      <w:r>
        <w:rPr>
          <w:rFonts w:hint="eastAsia" w:ascii="宋体" w:hAnsi="宋体" w:eastAsia="宋体" w:cs="宋体"/>
          <w:color w:val="auto"/>
          <w:kern w:val="0"/>
          <w:sz w:val="24"/>
          <w:szCs w:val="24"/>
          <w:highlight w:val="none"/>
        </w:rPr>
        <w:t>提交</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截止时间</w:t>
      </w:r>
      <w:r>
        <w:rPr>
          <w:rFonts w:hint="eastAsia" w:ascii="宋体" w:hAnsi="宋体" w:eastAsia="宋体" w:cs="宋体"/>
          <w:color w:val="auto"/>
          <w:sz w:val="24"/>
          <w:szCs w:val="24"/>
          <w:highlight w:val="none"/>
        </w:rPr>
        <w:t>前，将投标文件送达</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中指定的地点。</w:t>
      </w:r>
      <w:r>
        <w:rPr>
          <w:rFonts w:hint="eastAsia" w:ascii="宋体" w:hAnsi="宋体" w:eastAsia="宋体" w:cs="宋体"/>
          <w:color w:val="auto"/>
          <w:kern w:val="0"/>
          <w:sz w:val="24"/>
          <w:szCs w:val="24"/>
          <w:highlight w:val="none"/>
        </w:rPr>
        <w:t>在截止时间后送达的</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，采购人、代理机构或者评审小组将拒收。</w:t>
      </w:r>
    </w:p>
    <w:p w14:paraId="52947598">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w:t>
      </w:r>
      <w:r>
        <w:rPr>
          <w:rFonts w:hint="eastAsia" w:ascii="宋体" w:hAnsi="宋体" w:eastAsia="宋体" w:cs="宋体"/>
          <w:color w:val="auto"/>
          <w:kern w:val="0"/>
          <w:sz w:val="24"/>
          <w:szCs w:val="24"/>
          <w:highlight w:val="none"/>
        </w:rPr>
        <w:t>在</w:t>
      </w:r>
      <w:r>
        <w:rPr>
          <w:rFonts w:hint="eastAsia" w:ascii="宋体" w:hAnsi="宋体" w:eastAsia="宋体" w:cs="宋体"/>
          <w:color w:val="auto"/>
          <w:sz w:val="24"/>
          <w:szCs w:val="24"/>
          <w:highlight w:val="none"/>
        </w:rPr>
        <w:t>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w:t>
      </w:r>
      <w:r>
        <w:rPr>
          <w:rFonts w:hint="eastAsia" w:ascii="宋体" w:hAnsi="宋体" w:eastAsia="宋体" w:cs="宋体"/>
          <w:color w:val="auto"/>
          <w:kern w:val="0"/>
          <w:sz w:val="24"/>
          <w:szCs w:val="24"/>
          <w:highlight w:val="none"/>
        </w:rPr>
        <w:t>提交</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截止时间后，</w:t>
      </w:r>
      <w:r>
        <w:rPr>
          <w:rFonts w:hint="eastAsia" w:ascii="宋体" w:hAnsi="宋体" w:eastAsia="宋体" w:cs="宋体"/>
          <w:color w:val="auto"/>
          <w:sz w:val="24"/>
          <w:szCs w:val="24"/>
          <w:highlight w:val="none"/>
        </w:rPr>
        <w:t>由</w:t>
      </w:r>
      <w:r>
        <w:rPr>
          <w:rFonts w:hint="eastAsia" w:ascii="宋体" w:hAnsi="宋体" w:eastAsia="宋体" w:cs="宋体"/>
          <w:bCs/>
          <w:color w:val="auto"/>
          <w:sz w:val="24"/>
          <w:szCs w:val="24"/>
          <w:highlight w:val="none"/>
        </w:rPr>
        <w:t>投标人代表</w:t>
      </w:r>
      <w:r>
        <w:rPr>
          <w:rFonts w:hint="eastAsia" w:ascii="宋体" w:hAnsi="宋体" w:eastAsia="宋体" w:cs="宋体"/>
          <w:color w:val="auto"/>
          <w:sz w:val="24"/>
          <w:szCs w:val="24"/>
          <w:highlight w:val="none"/>
        </w:rPr>
        <w:t>当场查验投标文件的密封状况，采购人或</w:t>
      </w:r>
      <w:r>
        <w:rPr>
          <w:rFonts w:hint="eastAsia" w:ascii="宋体" w:hAnsi="宋体" w:eastAsia="宋体" w:cs="宋体"/>
          <w:bCs/>
          <w:color w:val="auto"/>
          <w:sz w:val="24"/>
          <w:szCs w:val="24"/>
          <w:highlight w:val="none"/>
        </w:rPr>
        <w:t>代理机构</w:t>
      </w:r>
      <w:r>
        <w:rPr>
          <w:rFonts w:hint="eastAsia" w:ascii="宋体" w:hAnsi="宋体" w:eastAsia="宋体" w:cs="宋体"/>
          <w:color w:val="auto"/>
          <w:sz w:val="24"/>
          <w:szCs w:val="24"/>
          <w:highlight w:val="none"/>
        </w:rPr>
        <w:t>当场拆封投标文件。</w:t>
      </w:r>
    </w:p>
    <w:p w14:paraId="3F5A2B14">
      <w:pPr>
        <w:bidi w:val="0"/>
        <w:spacing w:line="360" w:lineRule="auto"/>
        <w:jc w:val="left"/>
        <w:rPr>
          <w:rFonts w:hint="eastAsia"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lang w:eastAsia="zh-CN"/>
        </w:rPr>
        <w:t>五</w:t>
      </w:r>
      <w:r>
        <w:rPr>
          <w:rFonts w:hint="eastAsia" w:ascii="Times New Roman" w:hAnsi="Times New Roman" w:cs="Times New Roman"/>
          <w:b/>
          <w:bCs/>
          <w:color w:val="auto"/>
          <w:sz w:val="24"/>
          <w:szCs w:val="24"/>
          <w:highlight w:val="none"/>
        </w:rPr>
        <w:t>、中标结果信息公布与授予合同</w:t>
      </w:r>
    </w:p>
    <w:p w14:paraId="1598F8AC">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23</w:t>
      </w:r>
      <w:r>
        <w:rPr>
          <w:rFonts w:hint="eastAsia" w:ascii="宋体" w:hAnsi="宋体" w:eastAsia="宋体" w:cs="宋体"/>
          <w:b/>
          <w:bCs/>
          <w:color w:val="auto"/>
          <w:sz w:val="24"/>
          <w:szCs w:val="24"/>
          <w:highlight w:val="none"/>
        </w:rPr>
        <w:t>.中标信息的公布</w:t>
      </w:r>
    </w:p>
    <w:p w14:paraId="0616E4C9">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.1中标投标人确定后2个工作日内，采购人或者采购代理机构应将中标结果信息在</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指定的媒体上公布。</w:t>
      </w:r>
    </w:p>
    <w:p w14:paraId="3B55387F">
      <w:pPr>
        <w:adjustRightInd w:val="0"/>
        <w:snapToGrid w:val="0"/>
        <w:spacing w:line="360" w:lineRule="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24</w:t>
      </w:r>
      <w:r>
        <w:rPr>
          <w:rFonts w:hint="eastAsia" w:ascii="宋体" w:hAnsi="宋体" w:eastAsia="宋体" w:cs="宋体"/>
          <w:b/>
          <w:bCs/>
          <w:color w:val="auto"/>
          <w:sz w:val="24"/>
          <w:szCs w:val="24"/>
          <w:highlight w:val="none"/>
        </w:rPr>
        <w:t>.询问</w:t>
      </w:r>
      <w:r>
        <w:rPr>
          <w:rFonts w:hint="eastAsia" w:ascii="宋体" w:hAnsi="宋体" w:cs="宋体"/>
          <w:b/>
          <w:bCs/>
          <w:color w:val="auto"/>
          <w:sz w:val="24"/>
          <w:szCs w:val="24"/>
          <w:highlight w:val="none"/>
          <w:lang w:eastAsia="zh-CN"/>
        </w:rPr>
        <w:t>、</w:t>
      </w:r>
      <w:r>
        <w:rPr>
          <w:rFonts w:hint="eastAsia" w:ascii="宋体" w:hAnsi="宋体" w:eastAsia="宋体" w:cs="宋体"/>
          <w:b/>
          <w:bCs/>
          <w:color w:val="auto"/>
          <w:sz w:val="24"/>
          <w:szCs w:val="24"/>
          <w:highlight w:val="none"/>
        </w:rPr>
        <w:t>质疑</w:t>
      </w:r>
      <w:r>
        <w:rPr>
          <w:rFonts w:hint="eastAsia" w:ascii="宋体" w:hAnsi="宋体" w:cs="宋体"/>
          <w:b/>
          <w:bCs/>
          <w:color w:val="auto"/>
          <w:sz w:val="24"/>
          <w:szCs w:val="24"/>
          <w:highlight w:val="none"/>
          <w:lang w:eastAsia="zh-CN"/>
        </w:rPr>
        <w:t>及投诉</w:t>
      </w:r>
    </w:p>
    <w:p w14:paraId="5AF3AC7E">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.1投标人招标文件、采购过程和中标结果使自已的权益受到损害的，可以在知道或者应知其权益受到损害之日起 7 个工作日内，按照《中华人民共和国政府采购法》、《中华人民共和国政府采购法实施条例》、《政府采购质疑和投诉办法》等法律法规的相关规定，以书面形式向采购代理机构提出质疑</w:t>
      </w:r>
      <w:r>
        <w:rPr>
          <w:rFonts w:hint="eastAsia" w:ascii="宋体" w:hAnsi="宋体" w:cs="宋体"/>
          <w:color w:val="auto"/>
          <w:sz w:val="24"/>
          <w:szCs w:val="24"/>
          <w:highlight w:val="none"/>
          <w:lang w:eastAsia="zh-CN"/>
        </w:rPr>
        <w:t>。质疑函应当包括下列内容：</w:t>
      </w:r>
    </w:p>
    <w:p w14:paraId="5F478F7A">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）投标人的姓名或者名称、地址、邮编、联系人及联系电话；</w:t>
      </w:r>
    </w:p>
    <w:p w14:paraId="506A5F66">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）质疑项目的名称、编号；</w:t>
      </w:r>
    </w:p>
    <w:p w14:paraId="5C9C13CD">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）具体、明确的质疑事项和与质疑事项相关的请求；</w:t>
      </w:r>
    </w:p>
    <w:p w14:paraId="1BB37825">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lang w:eastAsia="zh-CN"/>
        </w:rPr>
        <w:t>）事实依据；</w:t>
      </w:r>
    </w:p>
    <w:p w14:paraId="4B9784DE">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lang w:eastAsia="zh-CN"/>
        </w:rPr>
        <w:t>）必要的法律依据；</w:t>
      </w:r>
    </w:p>
    <w:p w14:paraId="78CC98FD">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lang w:eastAsia="zh-CN"/>
        </w:rPr>
        <w:t>）提出质疑的日期。</w:t>
      </w:r>
    </w:p>
    <w:p w14:paraId="3440DB78">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24.2质疑书应当附上相关证明材料，否则质疑将视为无有效证据支持，将被予以驳回，并不得以上述理由要求延长质疑有效期。未递交投标文件的供应商，其未参加后续采购活动，不得对递交投标文件截止后的采购过程、采购结果提出质疑。</w:t>
      </w:r>
    </w:p>
    <w:p w14:paraId="546D8943">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24.3质疑人可以采取直接送达或者邮寄方式提交质疑书。采购代理机构收到质疑书后，对质疑书进行审查，对符合质疑条件的将办理签收手续，自签收质疑书之日起即为受理。</w:t>
      </w:r>
    </w:p>
    <w:p w14:paraId="63508DF2">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24.4采购代理机构将在受理书面质疑后 7 个工作日内审查质疑事项，作出答复或相关处理决定，并以书面形式通知质疑人和其他相关供应商，但答复的内容不涉及商业秘密。</w:t>
      </w:r>
    </w:p>
    <w:p w14:paraId="7517AE01">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24.5 投标人进行虚假和恶意质疑的，采购代理机构将提请有关部门将其列入不良记录名单，在一至三年内禁止参加政府采购活动，并将处理决定在相关政府采购媒体上公布。</w:t>
      </w:r>
    </w:p>
    <w:p w14:paraId="1A53E4C7">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24.6质疑人对答复不满意以及采购代理机构未在规定的时间内作出答复的，可以在答复期满后 15 个工作日内向财政部门投拆。投诉书应当包括下列内容：</w:t>
      </w:r>
    </w:p>
    <w:p w14:paraId="4AD5BC2F">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（1）投诉人和被投诉人的姓名或者名称、通讯地址、邮编、联系人及联系电话；</w:t>
      </w:r>
    </w:p>
    <w:p w14:paraId="612B9E21">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（2）质疑和质疑答复情况说明及相关证明材料；</w:t>
      </w:r>
    </w:p>
    <w:p w14:paraId="3B259197">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（3）具体、明确的投诉事项和与投诉事项相关的投诉请求；</w:t>
      </w:r>
    </w:p>
    <w:p w14:paraId="55BBB54D">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（4）事实依据；</w:t>
      </w:r>
    </w:p>
    <w:p w14:paraId="48058DD6">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（5）法律依据；</w:t>
      </w:r>
    </w:p>
    <w:p w14:paraId="614C2F37">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（6）提起投诉的日期。</w:t>
      </w:r>
    </w:p>
    <w:p w14:paraId="0E7AA0C9">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24.7供应商在法定质疑期内一次性提出针对同一采购程序环节的质疑。</w:t>
      </w:r>
    </w:p>
    <w:p w14:paraId="3DE2954A">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25</w:t>
      </w:r>
      <w:r>
        <w:rPr>
          <w:rFonts w:hint="eastAsia" w:ascii="宋体" w:hAnsi="宋体" w:eastAsia="宋体" w:cs="宋体"/>
          <w:b/>
          <w:bCs/>
          <w:color w:val="auto"/>
          <w:sz w:val="24"/>
          <w:szCs w:val="24"/>
          <w:highlight w:val="none"/>
        </w:rPr>
        <w:t>.中标通知</w:t>
      </w:r>
    </w:p>
    <w:p w14:paraId="43AC33CF">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.1中标单位确定后，采购人或采购代理机构将以书面形式向中标</w:t>
      </w:r>
      <w:r>
        <w:rPr>
          <w:rFonts w:hint="eastAsia" w:ascii="宋体" w:hAnsi="宋体" w:eastAsia="宋体" w:cs="宋体"/>
          <w:color w:val="auto"/>
          <w:kern w:val="0"/>
          <w:sz w:val="24"/>
          <w:szCs w:val="24"/>
          <w:highlight w:val="none"/>
        </w:rPr>
        <w:t>单位</w:t>
      </w:r>
      <w:r>
        <w:rPr>
          <w:rFonts w:hint="eastAsia" w:ascii="宋体" w:hAnsi="宋体" w:eastAsia="宋体" w:cs="宋体"/>
          <w:color w:val="auto"/>
          <w:sz w:val="24"/>
          <w:szCs w:val="24"/>
          <w:highlight w:val="none"/>
        </w:rPr>
        <w:t>发出中标通知书。中标通知书对采购人和中标单位具有同等法律效力。</w:t>
      </w:r>
    </w:p>
    <w:p w14:paraId="1C2067EF">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.2 中标通知书是合同文件的组成部分。</w:t>
      </w:r>
    </w:p>
    <w:p w14:paraId="47683C94">
      <w:pPr>
        <w:tabs>
          <w:tab w:val="left" w:pos="7560"/>
          <w:tab w:val="left" w:pos="7740"/>
          <w:tab w:val="left" w:pos="7920"/>
        </w:tabs>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25</w:t>
      </w:r>
      <w:r>
        <w:rPr>
          <w:rFonts w:hint="eastAsia" w:ascii="宋体" w:hAnsi="宋体" w:eastAsia="宋体" w:cs="宋体"/>
          <w:color w:val="auto"/>
          <w:kern w:val="0"/>
          <w:sz w:val="24"/>
          <w:szCs w:val="24"/>
          <w:highlight w:val="none"/>
        </w:rPr>
        <w:t xml:space="preserve">.3 </w:t>
      </w:r>
      <w:r>
        <w:rPr>
          <w:rFonts w:hint="eastAsia" w:ascii="宋体" w:hAnsi="宋体" w:eastAsia="宋体" w:cs="宋体"/>
          <w:color w:val="auto"/>
          <w:sz w:val="24"/>
          <w:szCs w:val="24"/>
          <w:highlight w:val="none"/>
        </w:rPr>
        <w:t>中标单位在收到采购代理机构的中标通知书后10日内，应按照</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的规定，向采购人提交履约担保。</w:t>
      </w:r>
    </w:p>
    <w:p w14:paraId="1A2B1CFE">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.4 中标单位</w:t>
      </w:r>
      <w:r>
        <w:rPr>
          <w:rFonts w:hint="eastAsia" w:ascii="宋体" w:hAnsi="宋体" w:eastAsia="宋体" w:cs="宋体"/>
          <w:color w:val="auto"/>
          <w:spacing w:val="4"/>
          <w:sz w:val="24"/>
          <w:szCs w:val="24"/>
          <w:highlight w:val="none"/>
        </w:rPr>
        <w:t>没有按照本章第37.3</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pacing w:val="4"/>
          <w:sz w:val="24"/>
          <w:szCs w:val="24"/>
          <w:highlight w:val="none"/>
        </w:rPr>
        <w:t>规定</w:t>
      </w:r>
      <w:r>
        <w:rPr>
          <w:rFonts w:hint="eastAsia" w:ascii="宋体" w:hAnsi="宋体" w:eastAsia="宋体" w:cs="宋体"/>
          <w:color w:val="auto"/>
          <w:sz w:val="24"/>
          <w:szCs w:val="24"/>
          <w:highlight w:val="none"/>
        </w:rPr>
        <w:t>提交履约担保的</w:t>
      </w:r>
      <w:r>
        <w:rPr>
          <w:rFonts w:hint="eastAsia" w:ascii="宋体" w:hAnsi="宋体" w:eastAsia="宋体" w:cs="宋体"/>
          <w:color w:val="auto"/>
          <w:spacing w:val="4"/>
          <w:sz w:val="24"/>
          <w:szCs w:val="24"/>
          <w:highlight w:val="none"/>
        </w:rPr>
        <w:t>，视为放弃</w:t>
      </w:r>
      <w:r>
        <w:rPr>
          <w:rFonts w:hint="eastAsia" w:ascii="宋体" w:hAnsi="宋体" w:eastAsia="宋体" w:cs="宋体"/>
          <w:color w:val="auto"/>
          <w:sz w:val="24"/>
          <w:szCs w:val="24"/>
          <w:highlight w:val="none"/>
        </w:rPr>
        <w:t>中标资格</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2"/>
          <w:sz w:val="24"/>
          <w:szCs w:val="24"/>
          <w:highlight w:val="none"/>
        </w:rPr>
        <w:t>其投标保证金不予退还。</w:t>
      </w:r>
    </w:p>
    <w:p w14:paraId="12B28274">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26</w:t>
      </w:r>
      <w:r>
        <w:rPr>
          <w:rFonts w:hint="eastAsia" w:ascii="宋体" w:hAnsi="宋体" w:eastAsia="宋体" w:cs="宋体"/>
          <w:b/>
          <w:bCs/>
          <w:color w:val="auto"/>
          <w:sz w:val="24"/>
          <w:szCs w:val="24"/>
          <w:highlight w:val="none"/>
        </w:rPr>
        <w:t>.签订合同</w:t>
      </w:r>
    </w:p>
    <w:p w14:paraId="5C317C6A">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rPr>
        <w:t>.1 采购文件、中标单位的投标文件及其补充的投标文件等均为签订政府采购合同的依据。</w:t>
      </w:r>
    </w:p>
    <w:p w14:paraId="4EF07181">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rPr>
        <w:t>.2 中标单位应当在中标通知书发出之日起30日内与采购人签订政府采购合同。</w:t>
      </w:r>
    </w:p>
    <w:p w14:paraId="1444BDCA">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rPr>
        <w:t>.3 中标单位应当按照合同约定履行义务。中标单位不得向他人转让中标项目，也不得将中标项目分包后分别向他人转让。</w:t>
      </w:r>
    </w:p>
    <w:p w14:paraId="6AB8E476">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rPr>
        <w:t>.4 中标单位有下列情形之一的，责令限期改正，情节严重的，列入不良行为记录名单，在1至3年内禁止参加政府采购活动，并予以通报：</w:t>
      </w:r>
    </w:p>
    <w:p w14:paraId="3058CFFE">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（一）中标后无正当理由不与采购人签订合同的；</w:t>
      </w:r>
    </w:p>
    <w:p w14:paraId="389F40F0">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（二）未按照采购文件确定的事项签订政府采购合同，或者与采购人另行订立背离合同实质性内容的协议的；</w:t>
      </w:r>
    </w:p>
    <w:p w14:paraId="481AA079">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（三）拒绝履行合同义务的；</w:t>
      </w:r>
    </w:p>
    <w:p w14:paraId="67B57691">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（四）</w:t>
      </w:r>
      <w:r>
        <w:rPr>
          <w:rFonts w:hint="eastAsia" w:ascii="宋体" w:hAnsi="宋体" w:eastAsia="宋体" w:cs="宋体"/>
          <w:color w:val="auto"/>
          <w:kern w:val="0"/>
          <w:sz w:val="24"/>
          <w:szCs w:val="24"/>
          <w:highlight w:val="none"/>
        </w:rPr>
        <w:t>违反法律、规章、规范性文件规定的。</w:t>
      </w:r>
    </w:p>
    <w:p w14:paraId="6E8CD5A1">
      <w:pPr>
        <w:bidi w:val="0"/>
        <w:spacing w:line="360" w:lineRule="auto"/>
        <w:jc w:val="left"/>
        <w:rPr>
          <w:rFonts w:hint="eastAsia" w:ascii="Times New Roman" w:hAnsi="Times New Roman" w:cs="Times New Roman"/>
          <w:b/>
          <w:bCs/>
          <w:color w:val="auto"/>
          <w:sz w:val="24"/>
          <w:szCs w:val="24"/>
          <w:highlight w:val="none"/>
        </w:rPr>
      </w:pPr>
      <w:bookmarkStart w:id="25" w:name="_Toc425613608"/>
      <w:r>
        <w:rPr>
          <w:rFonts w:hint="eastAsia" w:ascii="Times New Roman" w:hAnsi="Times New Roman" w:cs="Times New Roman"/>
          <w:b/>
          <w:bCs/>
          <w:color w:val="auto"/>
          <w:sz w:val="24"/>
          <w:szCs w:val="24"/>
          <w:highlight w:val="none"/>
          <w:lang w:eastAsia="zh-CN"/>
        </w:rPr>
        <w:t>六</w:t>
      </w:r>
      <w:r>
        <w:rPr>
          <w:rFonts w:hint="eastAsia" w:ascii="Times New Roman" w:hAnsi="Times New Roman" w:cs="Times New Roman"/>
          <w:b/>
          <w:bCs/>
          <w:color w:val="auto"/>
          <w:sz w:val="24"/>
          <w:szCs w:val="24"/>
          <w:highlight w:val="none"/>
        </w:rPr>
        <w:t>、其他规定</w:t>
      </w:r>
      <w:bookmarkEnd w:id="25"/>
    </w:p>
    <w:p w14:paraId="156D751E">
      <w:pPr>
        <w:adjustRightInd w:val="0"/>
        <w:snapToGrid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27</w:t>
      </w:r>
      <w:r>
        <w:rPr>
          <w:rFonts w:hint="eastAsia" w:ascii="宋体" w:hAnsi="宋体" w:eastAsia="宋体" w:cs="宋体"/>
          <w:b/>
          <w:color w:val="auto"/>
          <w:sz w:val="24"/>
          <w:szCs w:val="24"/>
          <w:highlight w:val="none"/>
        </w:rPr>
        <w:t>.采购代理服务费</w:t>
      </w:r>
    </w:p>
    <w:p w14:paraId="769F1980">
      <w:pPr>
        <w:tabs>
          <w:tab w:val="left" w:pos="420"/>
          <w:tab w:val="left" w:pos="7560"/>
          <w:tab w:val="left" w:pos="7740"/>
          <w:tab w:val="left" w:pos="7920"/>
        </w:tabs>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27</w:t>
      </w:r>
      <w:r>
        <w:rPr>
          <w:rFonts w:hint="eastAsia" w:ascii="宋体" w:hAnsi="宋体" w:eastAsia="宋体" w:cs="宋体"/>
          <w:color w:val="auto"/>
          <w:sz w:val="24"/>
          <w:szCs w:val="24"/>
          <w:highlight w:val="none"/>
        </w:rPr>
        <w:t>.1采购代理机构应按</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规定收取采购代理服务费。</w:t>
      </w:r>
    </w:p>
    <w:p w14:paraId="3C754195">
      <w:pPr>
        <w:tabs>
          <w:tab w:val="left" w:pos="420"/>
          <w:tab w:val="left" w:pos="7560"/>
          <w:tab w:val="left" w:pos="7740"/>
          <w:tab w:val="left" w:pos="7920"/>
        </w:tabs>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28</w:t>
      </w:r>
      <w:r>
        <w:rPr>
          <w:rFonts w:hint="eastAsia" w:ascii="宋体" w:hAnsi="宋体" w:eastAsia="宋体" w:cs="宋体"/>
          <w:b/>
          <w:color w:val="auto"/>
          <w:sz w:val="24"/>
          <w:szCs w:val="24"/>
          <w:highlight w:val="none"/>
        </w:rPr>
        <w:t>. 其他规定</w:t>
      </w:r>
    </w:p>
    <w:p w14:paraId="282258C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rPr>
        <w:t>.1采购文件的其他规定见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w:t>
      </w:r>
    </w:p>
    <w:p w14:paraId="0E5F9498">
      <w:pPr>
        <w:rPr>
          <w:rFonts w:hint="eastAsia" w:ascii="宋体" w:hAnsi="宋体" w:eastAsia="宋体" w:cs="宋体"/>
          <w:b/>
          <w:bCs/>
          <w:color w:val="auto"/>
          <w:kern w:val="2"/>
          <w:sz w:val="28"/>
          <w:szCs w:val="20"/>
          <w:highlight w:val="none"/>
          <w:lang w:val="en-US" w:eastAsia="zh-CN" w:bidi="ar-SA"/>
        </w:rPr>
      </w:pPr>
      <w:bookmarkStart w:id="26" w:name="_Toc433113176"/>
      <w:bookmarkStart w:id="27" w:name="_Toc420948016"/>
      <w:r>
        <w:rPr>
          <w:rFonts w:hint="eastAsia" w:ascii="宋体" w:hAnsi="宋体" w:eastAsia="宋体" w:cs="宋体"/>
          <w:b/>
          <w:bCs/>
          <w:color w:val="auto"/>
          <w:kern w:val="2"/>
          <w:sz w:val="28"/>
          <w:szCs w:val="20"/>
          <w:highlight w:val="none"/>
          <w:lang w:val="en-US" w:eastAsia="zh-CN" w:bidi="ar-SA"/>
        </w:rPr>
        <w:br w:type="page"/>
      </w:r>
    </w:p>
    <w:p w14:paraId="6EA09EE4">
      <w:pPr>
        <w:pStyle w:val="2"/>
        <w:keepNext/>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rStyle w:val="64"/>
          <w:rFonts w:hint="eastAsia" w:ascii="宋体" w:hAnsi="宋体" w:cs="宋体"/>
          <w:b/>
          <w:bCs/>
          <w:color w:val="auto"/>
          <w:highlight w:val="none"/>
          <w:lang w:eastAsia="zh-CN"/>
        </w:rPr>
      </w:pPr>
      <w:bookmarkStart w:id="28" w:name="_Toc21688"/>
      <w:r>
        <w:rPr>
          <w:rFonts w:hint="eastAsia" w:ascii="宋体" w:hAnsi="宋体" w:eastAsia="宋体" w:cs="宋体"/>
          <w:b/>
          <w:bCs/>
          <w:color w:val="auto"/>
          <w:kern w:val="2"/>
          <w:sz w:val="28"/>
          <w:szCs w:val="20"/>
          <w:highlight w:val="none"/>
          <w:lang w:val="en-US" w:eastAsia="zh-CN" w:bidi="ar-SA"/>
        </w:rPr>
        <w:t>第三章</w:t>
      </w:r>
      <w:r>
        <w:rPr>
          <w:rFonts w:hint="eastAsia" w:ascii="宋体" w:hAnsi="宋体" w:cs="宋体"/>
          <w:b/>
          <w:bCs/>
          <w:color w:val="auto"/>
          <w:kern w:val="2"/>
          <w:sz w:val="28"/>
          <w:szCs w:val="20"/>
          <w:highlight w:val="none"/>
          <w:lang w:val="en-US" w:eastAsia="zh-CN" w:bidi="ar-SA"/>
        </w:rPr>
        <w:t xml:space="preserve">  </w:t>
      </w:r>
      <w:r>
        <w:rPr>
          <w:rStyle w:val="64"/>
          <w:rFonts w:hint="eastAsia" w:ascii="宋体" w:hAnsi="宋体" w:cs="宋体"/>
          <w:b/>
          <w:bCs/>
          <w:color w:val="auto"/>
          <w:highlight w:val="none"/>
          <w:lang w:eastAsia="zh-CN"/>
        </w:rPr>
        <w:t>评标办法</w:t>
      </w:r>
      <w:bookmarkEnd w:id="28"/>
    </w:p>
    <w:p w14:paraId="7344D74B">
      <w:pPr>
        <w:numPr>
          <w:ilvl w:val="0"/>
          <w:numId w:val="0"/>
        </w:numPr>
        <w:rPr>
          <w:rFonts w:hint="eastAsia"/>
          <w:color w:val="auto"/>
          <w:highlight w:val="none"/>
          <w:lang w:eastAsia="zh-CN"/>
        </w:rPr>
      </w:pPr>
    </w:p>
    <w:p w14:paraId="11D604B6">
      <w:pPr>
        <w:bidi w:val="0"/>
        <w:spacing w:line="360" w:lineRule="auto"/>
        <w:jc w:val="left"/>
        <w:rPr>
          <w:rFonts w:hint="eastAsia" w:ascii="Times New Roman" w:hAnsi="Times New Roman" w:cs="Times New Roman"/>
          <w:b/>
          <w:bCs/>
          <w:color w:val="auto"/>
          <w:sz w:val="24"/>
          <w:szCs w:val="24"/>
          <w:highlight w:val="none"/>
        </w:rPr>
      </w:pPr>
      <w:bookmarkStart w:id="29" w:name="_Toc420948013"/>
      <w:r>
        <w:rPr>
          <w:rFonts w:hint="eastAsia" w:ascii="Times New Roman" w:hAnsi="Times New Roman" w:cs="Times New Roman"/>
          <w:b/>
          <w:bCs/>
          <w:color w:val="auto"/>
          <w:sz w:val="24"/>
          <w:szCs w:val="24"/>
          <w:highlight w:val="none"/>
          <w:lang w:eastAsia="zh-CN"/>
        </w:rPr>
        <w:t>一</w:t>
      </w:r>
      <w:r>
        <w:rPr>
          <w:rFonts w:hint="eastAsia" w:ascii="Times New Roman" w:hAnsi="Times New Roman" w:cs="Times New Roman"/>
          <w:b/>
          <w:bCs/>
          <w:color w:val="auto"/>
          <w:sz w:val="24"/>
          <w:szCs w:val="24"/>
          <w:highlight w:val="none"/>
        </w:rPr>
        <w:t>、投标文件的评审</w:t>
      </w:r>
      <w:bookmarkEnd w:id="29"/>
    </w:p>
    <w:p w14:paraId="6D84AE6E">
      <w:pPr>
        <w:tabs>
          <w:tab w:val="left" w:pos="0"/>
        </w:tabs>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开标程序</w:t>
      </w:r>
    </w:p>
    <w:p w14:paraId="552DC749">
      <w:pPr>
        <w:tabs>
          <w:tab w:val="left" w:pos="0"/>
        </w:tabs>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rPr>
        <w:t>开标程序：初步审查（资格性审查、符合性审查），澄清、磋商、综合评分、推荐候选投标人</w:t>
      </w:r>
      <w:r>
        <w:rPr>
          <w:rFonts w:hint="eastAsia" w:ascii="宋体" w:hAnsi="宋体" w:eastAsia="宋体" w:cs="宋体"/>
          <w:bCs/>
          <w:color w:val="auto"/>
          <w:sz w:val="24"/>
          <w:szCs w:val="24"/>
          <w:highlight w:val="none"/>
        </w:rPr>
        <w:t>。</w:t>
      </w:r>
    </w:p>
    <w:p w14:paraId="72E92DD0">
      <w:pPr>
        <w:tabs>
          <w:tab w:val="left" w:pos="0"/>
        </w:tabs>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评审小组成员应当按照客观、公正、审慎的原则，根据采购文件规定的评审程序、评审方法和评审标准进行独立评审。</w:t>
      </w:r>
    </w:p>
    <w:p w14:paraId="63173DD6">
      <w:pPr>
        <w:tabs>
          <w:tab w:val="left" w:pos="0"/>
        </w:tabs>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初步审查</w:t>
      </w:r>
    </w:p>
    <w:p w14:paraId="0ECDD1B2">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评审小组对参加投标的单位提交的</w:t>
      </w:r>
      <w:r>
        <w:rPr>
          <w:rFonts w:hint="eastAsia" w:ascii="宋体" w:hAnsi="宋体" w:eastAsia="宋体" w:cs="宋体"/>
          <w:color w:val="auto"/>
          <w:kern w:val="0"/>
          <w:sz w:val="24"/>
          <w:szCs w:val="24"/>
          <w:highlight w:val="none"/>
        </w:rPr>
        <w:t>首次投标文件进行初步审查。</w:t>
      </w:r>
      <w:r>
        <w:rPr>
          <w:rFonts w:hint="eastAsia" w:ascii="宋体" w:hAnsi="宋体" w:eastAsia="宋体" w:cs="宋体"/>
          <w:bCs/>
          <w:color w:val="auto"/>
          <w:sz w:val="24"/>
          <w:szCs w:val="24"/>
          <w:highlight w:val="none"/>
        </w:rPr>
        <w:t>投标文件不符合资格性审查及符合性审查条件的，</w:t>
      </w:r>
      <w:r>
        <w:rPr>
          <w:rFonts w:hint="eastAsia" w:ascii="宋体" w:hAnsi="宋体" w:eastAsia="宋体" w:cs="宋体"/>
          <w:color w:val="auto"/>
          <w:kern w:val="0"/>
          <w:sz w:val="24"/>
          <w:szCs w:val="24"/>
          <w:highlight w:val="none"/>
          <w:lang w:val="zh-CN"/>
        </w:rPr>
        <w:t>其投标文件无效，</w:t>
      </w:r>
      <w:r>
        <w:rPr>
          <w:rFonts w:hint="eastAsia" w:ascii="宋体" w:hAnsi="宋体" w:eastAsia="宋体" w:cs="宋体"/>
          <w:color w:val="auto"/>
          <w:kern w:val="0"/>
          <w:sz w:val="24"/>
          <w:szCs w:val="24"/>
          <w:highlight w:val="none"/>
        </w:rPr>
        <w:t>评审小组应当告知有关</w:t>
      </w:r>
      <w:r>
        <w:rPr>
          <w:rFonts w:hint="eastAsia" w:ascii="宋体" w:hAnsi="宋体" w:eastAsia="宋体" w:cs="宋体"/>
          <w:color w:val="auto"/>
          <w:sz w:val="24"/>
          <w:szCs w:val="24"/>
          <w:highlight w:val="none"/>
        </w:rPr>
        <w:t>磋商单位</w:t>
      </w:r>
      <w:r>
        <w:rPr>
          <w:rFonts w:hint="eastAsia" w:ascii="宋体" w:hAnsi="宋体" w:eastAsia="宋体" w:cs="宋体"/>
          <w:color w:val="auto"/>
          <w:kern w:val="0"/>
          <w:sz w:val="24"/>
          <w:szCs w:val="24"/>
          <w:highlight w:val="none"/>
        </w:rPr>
        <w:t>。</w:t>
      </w:r>
    </w:p>
    <w:p w14:paraId="1A797FBB">
      <w:pPr>
        <w:tabs>
          <w:tab w:val="left" w:pos="0"/>
        </w:tabs>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资格审查</w:t>
      </w:r>
    </w:p>
    <w:p w14:paraId="6EE4CD5E">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资格性检查。依据法律法规和采购文件的规定，对投标文件中的资格证明进行审查，以确定投标人是否具备投标资格。</w:t>
      </w:r>
    </w:p>
    <w:tbl>
      <w:tblPr>
        <w:tblStyle w:val="47"/>
        <w:tblW w:w="8505"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50"/>
        <w:gridCol w:w="7455"/>
      </w:tblGrid>
      <w:tr w14:paraId="3D67FB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50" w:type="dxa"/>
            <w:tcBorders>
              <w:top w:val="single" w:color="auto" w:sz="4" w:space="0"/>
              <w:bottom w:val="single" w:color="auto" w:sz="4" w:space="0"/>
              <w:right w:val="single" w:color="auto" w:sz="4" w:space="0"/>
            </w:tcBorders>
            <w:vAlign w:val="center"/>
          </w:tcPr>
          <w:p w14:paraId="36B5D6F2">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w:t>
            </w:r>
          </w:p>
        </w:tc>
        <w:tc>
          <w:tcPr>
            <w:tcW w:w="7455" w:type="dxa"/>
            <w:tcBorders>
              <w:top w:val="single" w:color="auto" w:sz="4" w:space="0"/>
              <w:left w:val="single" w:color="auto" w:sz="4" w:space="0"/>
              <w:bottom w:val="single" w:color="auto" w:sz="4" w:space="0"/>
              <w:right w:val="single" w:color="auto" w:sz="4" w:space="0"/>
            </w:tcBorders>
            <w:vAlign w:val="center"/>
          </w:tcPr>
          <w:p w14:paraId="732AC777">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评审因素</w:t>
            </w:r>
          </w:p>
        </w:tc>
      </w:tr>
      <w:tr w14:paraId="2539A3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8" w:hRule="atLeast"/>
        </w:trPr>
        <w:tc>
          <w:tcPr>
            <w:tcW w:w="1050" w:type="dxa"/>
            <w:vMerge w:val="restart"/>
            <w:tcBorders>
              <w:top w:val="single" w:color="auto" w:sz="4" w:space="0"/>
              <w:right w:val="single" w:color="auto" w:sz="4" w:space="0"/>
            </w:tcBorders>
            <w:vAlign w:val="center"/>
          </w:tcPr>
          <w:p w14:paraId="182606B0">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资格性检查</w:t>
            </w:r>
          </w:p>
        </w:tc>
        <w:tc>
          <w:tcPr>
            <w:tcW w:w="7455" w:type="dxa"/>
            <w:tcBorders>
              <w:top w:val="single" w:color="auto" w:sz="4" w:space="0"/>
              <w:left w:val="single" w:color="auto" w:sz="4" w:space="0"/>
              <w:bottom w:val="single" w:color="auto" w:sz="4" w:space="0"/>
              <w:right w:val="single" w:color="auto" w:sz="4" w:space="0"/>
            </w:tcBorders>
            <w:vAlign w:val="center"/>
          </w:tcPr>
          <w:p w14:paraId="7516B91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1、符合《中华人民共和国政府采购法》第二十二条规定：</w:t>
            </w:r>
          </w:p>
          <w:p w14:paraId="12EDD38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1）具有独立承担民事责任的能力</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有效的营业执照复印件或其他证明材料</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0FA41A9E">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具有良好的商业信誉和健全的财务会计制度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提供上一年度经审计财务审计报告，或开标前近12个月内基本开户银行出具的资信证明；成立不满一年</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企业提供财务报表</w:t>
            </w:r>
            <w:r>
              <w:rPr>
                <w:rFonts w:hint="eastAsia" w:ascii="宋体" w:hAnsi="宋体" w:eastAsia="宋体" w:cs="宋体"/>
                <w:color w:val="auto"/>
                <w:sz w:val="24"/>
                <w:szCs w:val="24"/>
                <w:highlight w:val="none"/>
                <w:lang w:eastAsia="zh-CN"/>
              </w:rPr>
              <w:t>）</w:t>
            </w:r>
          </w:p>
          <w:p w14:paraId="250941B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具有履行合同所必需的设备和专业技术能力</w:t>
            </w:r>
            <w:r>
              <w:rPr>
                <w:rFonts w:hint="eastAsia" w:ascii="宋体" w:hAnsi="宋体" w:eastAsia="宋体" w:cs="宋体"/>
                <w:color w:val="auto"/>
                <w:sz w:val="24"/>
                <w:szCs w:val="24"/>
                <w:highlight w:val="none"/>
                <w:lang w:eastAsia="zh-CN"/>
              </w:rPr>
              <w:t>（提供承诺函）</w:t>
            </w:r>
            <w:r>
              <w:rPr>
                <w:rFonts w:hint="eastAsia" w:ascii="宋体" w:hAnsi="宋体" w:eastAsia="宋体" w:cs="宋体"/>
                <w:color w:val="auto"/>
                <w:sz w:val="24"/>
                <w:szCs w:val="24"/>
                <w:highlight w:val="none"/>
              </w:rPr>
              <w:t>；</w:t>
            </w:r>
          </w:p>
          <w:p w14:paraId="4D055F1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具有依法缴纳税收和社会保障资金的良好记录</w:t>
            </w:r>
            <w:r>
              <w:rPr>
                <w:rFonts w:hint="eastAsia" w:ascii="宋体" w:hAnsi="宋体" w:eastAsia="宋体" w:cs="宋体"/>
                <w:color w:val="auto"/>
                <w:sz w:val="24"/>
                <w:szCs w:val="24"/>
                <w:highlight w:val="none"/>
                <w:lang w:eastAsia="zh-CN"/>
              </w:rPr>
              <w:t>（提供开标前</w:t>
            </w:r>
            <w:r>
              <w:rPr>
                <w:rFonts w:hint="eastAsia" w:ascii="宋体" w:hAnsi="宋体" w:eastAsia="宋体" w:cs="宋体"/>
                <w:color w:val="auto"/>
                <w:sz w:val="24"/>
                <w:szCs w:val="24"/>
                <w:highlight w:val="none"/>
              </w:rPr>
              <w:t>近</w:t>
            </w:r>
            <w:r>
              <w:rPr>
                <w:rFonts w:hint="eastAsia" w:ascii="宋体" w:hAnsi="宋体" w:eastAsia="宋体" w:cs="宋体"/>
                <w:color w:val="auto"/>
                <w:sz w:val="24"/>
                <w:szCs w:val="24"/>
                <w:highlight w:val="none"/>
                <w:lang w:eastAsia="zh-CN"/>
              </w:rPr>
              <w:t>半年连续</w:t>
            </w:r>
            <w:r>
              <w:rPr>
                <w:rFonts w:hint="eastAsia" w:ascii="宋体" w:hAnsi="宋体" w:eastAsia="宋体" w:cs="宋体"/>
                <w:color w:val="auto"/>
                <w:sz w:val="24"/>
                <w:szCs w:val="24"/>
                <w:highlight w:val="none"/>
              </w:rPr>
              <w:t>三个月依法缴纳税收证明</w:t>
            </w:r>
            <w:r>
              <w:rPr>
                <w:rFonts w:hint="eastAsia" w:ascii="宋体" w:hAnsi="宋体" w:eastAsia="宋体" w:cs="宋体"/>
                <w:b/>
                <w:bCs/>
                <w:color w:val="auto"/>
                <w:sz w:val="24"/>
                <w:szCs w:val="24"/>
                <w:highlight w:val="none"/>
                <w:lang w:eastAsia="zh-CN"/>
              </w:rPr>
              <w:t>及</w:t>
            </w:r>
            <w:r>
              <w:rPr>
                <w:rFonts w:hint="eastAsia" w:ascii="宋体" w:hAnsi="宋体" w:eastAsia="宋体" w:cs="宋体"/>
                <w:b w:val="0"/>
                <w:bCs w:val="0"/>
                <w:color w:val="auto"/>
                <w:sz w:val="24"/>
                <w:szCs w:val="24"/>
                <w:highlight w:val="none"/>
              </w:rPr>
              <w:t>社</w:t>
            </w:r>
            <w:r>
              <w:rPr>
                <w:rFonts w:hint="eastAsia" w:ascii="宋体" w:hAnsi="宋体" w:eastAsia="宋体" w:cs="宋体"/>
                <w:color w:val="auto"/>
                <w:sz w:val="24"/>
                <w:szCs w:val="24"/>
                <w:highlight w:val="none"/>
              </w:rPr>
              <w:t>保机构出具的</w:t>
            </w:r>
            <w:r>
              <w:rPr>
                <w:rFonts w:hint="eastAsia" w:ascii="宋体" w:hAnsi="宋体" w:eastAsia="宋体" w:cs="宋体"/>
                <w:color w:val="auto"/>
                <w:sz w:val="24"/>
                <w:szCs w:val="24"/>
                <w:highlight w:val="none"/>
                <w:lang w:eastAsia="zh-CN"/>
              </w:rPr>
              <w:t>开标前</w:t>
            </w:r>
            <w:r>
              <w:rPr>
                <w:rFonts w:hint="eastAsia" w:ascii="宋体" w:hAnsi="宋体" w:eastAsia="宋体" w:cs="宋体"/>
                <w:color w:val="auto"/>
                <w:sz w:val="24"/>
                <w:szCs w:val="24"/>
                <w:highlight w:val="none"/>
              </w:rPr>
              <w:t>近</w:t>
            </w:r>
            <w:r>
              <w:rPr>
                <w:rFonts w:hint="eastAsia" w:ascii="宋体" w:hAnsi="宋体" w:eastAsia="宋体" w:cs="宋体"/>
                <w:color w:val="auto"/>
                <w:sz w:val="24"/>
                <w:szCs w:val="24"/>
                <w:highlight w:val="none"/>
                <w:lang w:eastAsia="zh-CN"/>
              </w:rPr>
              <w:t>半年连续</w:t>
            </w:r>
            <w:r>
              <w:rPr>
                <w:rFonts w:hint="eastAsia" w:ascii="宋体" w:hAnsi="宋体" w:eastAsia="宋体" w:cs="宋体"/>
                <w:color w:val="auto"/>
                <w:sz w:val="24"/>
                <w:szCs w:val="24"/>
                <w:highlight w:val="none"/>
              </w:rPr>
              <w:t>三个月社保缴纳证明（成立不足三个月的按实际时间提供）</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7F64AA2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）参加政府采购活动前三年内，在</w:t>
            </w:r>
            <w:r>
              <w:rPr>
                <w:rFonts w:hint="eastAsia" w:ascii="宋体" w:hAnsi="宋体" w:eastAsia="宋体" w:cs="宋体"/>
                <w:color w:val="auto"/>
                <w:sz w:val="24"/>
                <w:szCs w:val="24"/>
                <w:highlight w:val="none"/>
              </w:rPr>
              <w:t>经营活动中没有重大违法记录</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提供承诺函，格式自拟</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75BEC2F9">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）提供无重大违法记录声明书。</w:t>
            </w:r>
          </w:p>
        </w:tc>
      </w:tr>
      <w:tr w14:paraId="56B97A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60" w:hRule="atLeast"/>
        </w:trPr>
        <w:tc>
          <w:tcPr>
            <w:tcW w:w="1050" w:type="dxa"/>
            <w:vMerge w:val="continue"/>
            <w:tcBorders>
              <w:right w:val="single" w:color="auto" w:sz="4" w:space="0"/>
            </w:tcBorders>
            <w:vAlign w:val="center"/>
          </w:tcPr>
          <w:p w14:paraId="6C6EB431">
            <w:pPr>
              <w:spacing w:line="360" w:lineRule="exact"/>
              <w:jc w:val="center"/>
              <w:rPr>
                <w:rFonts w:hint="eastAsia" w:ascii="宋体" w:hAnsi="宋体" w:eastAsia="宋体" w:cs="宋体"/>
                <w:color w:val="auto"/>
                <w:sz w:val="24"/>
                <w:szCs w:val="24"/>
                <w:highlight w:val="none"/>
              </w:rPr>
            </w:pPr>
          </w:p>
        </w:tc>
        <w:tc>
          <w:tcPr>
            <w:tcW w:w="7455" w:type="dxa"/>
            <w:tcBorders>
              <w:top w:val="single" w:color="auto" w:sz="4" w:space="0"/>
              <w:left w:val="single" w:color="auto" w:sz="4" w:space="0"/>
              <w:bottom w:val="single" w:color="auto" w:sz="4" w:space="0"/>
              <w:right w:val="single" w:color="auto" w:sz="4" w:space="0"/>
            </w:tcBorders>
            <w:vAlign w:val="center"/>
          </w:tcPr>
          <w:p w14:paraId="7E6D3B63">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供应商所投产品属于第二类医疗器械的，提供投标供应商有效的行政主管部门颁发的医疗器械经营备案凭证（或医疗器械生产许可证或医疗器械经营许可证或其他医疗器械生产经营许可证明文件）；所投产品属于第三类医疗器械的，提供投标供应商有效的行政主管部门颁发的医疗器械生产许可证（或医疗器械经营许可证或其他医疗器械生产经营许可证明文件）（提供加盖公章的复印件）</w:t>
            </w:r>
          </w:p>
        </w:tc>
      </w:tr>
      <w:tr w14:paraId="427D76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60" w:hRule="atLeast"/>
        </w:trPr>
        <w:tc>
          <w:tcPr>
            <w:tcW w:w="1050" w:type="dxa"/>
            <w:vMerge w:val="continue"/>
            <w:tcBorders>
              <w:right w:val="single" w:color="auto" w:sz="4" w:space="0"/>
            </w:tcBorders>
            <w:vAlign w:val="center"/>
          </w:tcPr>
          <w:p w14:paraId="2DA1071A">
            <w:pPr>
              <w:spacing w:line="360" w:lineRule="exact"/>
              <w:jc w:val="center"/>
              <w:rPr>
                <w:rFonts w:hint="eastAsia" w:ascii="宋体" w:hAnsi="宋体" w:eastAsia="宋体" w:cs="宋体"/>
                <w:color w:val="auto"/>
                <w:sz w:val="24"/>
                <w:szCs w:val="24"/>
                <w:highlight w:val="none"/>
              </w:rPr>
            </w:pPr>
          </w:p>
        </w:tc>
        <w:tc>
          <w:tcPr>
            <w:tcW w:w="7455" w:type="dxa"/>
            <w:tcBorders>
              <w:top w:val="single" w:color="auto" w:sz="4" w:space="0"/>
              <w:left w:val="single" w:color="auto" w:sz="4" w:space="0"/>
              <w:bottom w:val="single" w:color="auto" w:sz="4" w:space="0"/>
              <w:right w:val="single" w:color="auto" w:sz="4" w:space="0"/>
            </w:tcBorders>
            <w:vAlign w:val="center"/>
          </w:tcPr>
          <w:p w14:paraId="3AA064FE">
            <w:pPr>
              <w:spacing w:line="36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kern w:val="0"/>
                <w:sz w:val="24"/>
                <w:szCs w:val="24"/>
                <w:highlight w:val="none"/>
              </w:rPr>
              <w:t>投标人不存在第二章投标须知正文3.2项规定</w:t>
            </w:r>
            <w:r>
              <w:rPr>
                <w:rFonts w:hint="eastAsia" w:ascii="宋体" w:hAnsi="宋体" w:eastAsia="宋体" w:cs="宋体"/>
                <w:color w:val="auto"/>
                <w:kern w:val="0"/>
                <w:sz w:val="24"/>
                <w:szCs w:val="24"/>
                <w:highlight w:val="none"/>
                <w:lang w:eastAsia="zh-CN"/>
              </w:rPr>
              <w:t>（提供承诺函）</w:t>
            </w:r>
          </w:p>
        </w:tc>
      </w:tr>
      <w:tr w14:paraId="0116A4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050" w:type="dxa"/>
            <w:tcBorders>
              <w:top w:val="single" w:color="auto" w:sz="4" w:space="0"/>
              <w:bottom w:val="single" w:color="auto" w:sz="4" w:space="0"/>
              <w:right w:val="single" w:color="auto" w:sz="4" w:space="0"/>
            </w:tcBorders>
            <w:vAlign w:val="center"/>
          </w:tcPr>
          <w:p w14:paraId="3639EA1A">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结论</w:t>
            </w:r>
          </w:p>
        </w:tc>
        <w:tc>
          <w:tcPr>
            <w:tcW w:w="7455" w:type="dxa"/>
            <w:tcBorders>
              <w:top w:val="single" w:color="auto" w:sz="4" w:space="0"/>
              <w:left w:val="single" w:color="auto" w:sz="4" w:space="0"/>
              <w:bottom w:val="single" w:color="auto" w:sz="4" w:space="0"/>
              <w:right w:val="single" w:color="auto" w:sz="4" w:space="0"/>
            </w:tcBorders>
            <w:vAlign w:val="center"/>
          </w:tcPr>
          <w:p w14:paraId="632DDCB9">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是否通过审查，进入下一阶段</w:t>
            </w:r>
          </w:p>
        </w:tc>
      </w:tr>
      <w:tr w14:paraId="595A3A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505" w:type="dxa"/>
            <w:gridSpan w:val="2"/>
            <w:tcBorders>
              <w:top w:val="single" w:color="auto" w:sz="4" w:space="0"/>
              <w:right w:val="single" w:color="auto" w:sz="4" w:space="0"/>
            </w:tcBorders>
            <w:vAlign w:val="center"/>
          </w:tcPr>
          <w:p w14:paraId="7EB49FD1">
            <w:pPr>
              <w:tabs>
                <w:tab w:val="left" w:pos="0"/>
              </w:tabs>
              <w:adjustRightInd w:val="0"/>
              <w:snapToGrid w:val="0"/>
              <w:spacing w:line="3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1）“是否通过并进入下一阶段评审”一栏应写“通过”或“不通过”。</w:t>
            </w:r>
          </w:p>
          <w:p w14:paraId="5DC2AE36">
            <w:pPr>
              <w:tabs>
                <w:tab w:val="left" w:pos="0"/>
              </w:tabs>
              <w:adjustRightInd w:val="0"/>
              <w:snapToGrid w:val="0"/>
              <w:spacing w:line="3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2）出现一个“×”的结论为“不通过”。表中全部为“√”，同意进入下一阶段评审。</w:t>
            </w:r>
          </w:p>
          <w:p w14:paraId="254BF5CD">
            <w:pPr>
              <w:spacing w:line="36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3）若审查组成员意见不一致时，则按少数服从多数的原则，由全部成员投票决定该投标人是否通过审查，进入下一阶段评审。</w:t>
            </w:r>
          </w:p>
        </w:tc>
      </w:tr>
    </w:tbl>
    <w:p w14:paraId="088C0D09">
      <w:pPr>
        <w:pStyle w:val="26"/>
        <w:adjustRightInd w:val="0"/>
        <w:snapToGrid w:val="0"/>
        <w:spacing w:line="360" w:lineRule="auto"/>
        <w:rPr>
          <w:rFonts w:hint="eastAsia" w:ascii="宋体" w:hAnsi="宋体" w:eastAsia="宋体" w:cs="宋体"/>
          <w:b/>
          <w:color w:val="auto"/>
          <w:kern w:val="0"/>
          <w:sz w:val="24"/>
          <w:szCs w:val="24"/>
          <w:highlight w:val="none"/>
        </w:rPr>
      </w:pPr>
    </w:p>
    <w:p w14:paraId="27411A76">
      <w:pPr>
        <w:tabs>
          <w:tab w:val="left" w:pos="0"/>
        </w:tabs>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符合性审查</w:t>
      </w:r>
    </w:p>
    <w:p w14:paraId="4D935664">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 xml:space="preserve">依据采购文件的规定，从投标文件的有效性、完整性和对采购文件的响应程度进行审查，以确定是否对采购文件的实质性要求作出响应 </w:t>
      </w:r>
      <w:r>
        <w:rPr>
          <w:rFonts w:hint="eastAsia" w:ascii="宋体" w:hAnsi="宋体" w:eastAsia="宋体" w:cs="宋体"/>
          <w:color w:val="auto"/>
          <w:kern w:val="0"/>
          <w:sz w:val="24"/>
          <w:szCs w:val="24"/>
          <w:highlight w:val="none"/>
        </w:rPr>
        <w:t>(包括首次</w:t>
      </w:r>
      <w:r>
        <w:rPr>
          <w:rFonts w:hint="eastAsia" w:ascii="宋体" w:hAnsi="宋体" w:eastAsia="宋体" w:cs="宋体"/>
          <w:color w:val="auto"/>
          <w:sz w:val="24"/>
          <w:szCs w:val="24"/>
          <w:highlight w:val="none"/>
        </w:rPr>
        <w:t>提交的</w:t>
      </w:r>
      <w:r>
        <w:rPr>
          <w:rFonts w:hint="eastAsia" w:ascii="宋体" w:hAnsi="宋体" w:eastAsia="宋体" w:cs="宋体"/>
          <w:color w:val="auto"/>
          <w:kern w:val="0"/>
          <w:sz w:val="24"/>
          <w:szCs w:val="24"/>
          <w:highlight w:val="none"/>
        </w:rPr>
        <w:t>投标文件、重新提交的投标文件)。</w:t>
      </w:r>
    </w:p>
    <w:tbl>
      <w:tblPr>
        <w:tblStyle w:val="47"/>
        <w:tblW w:w="8505"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4"/>
        <w:gridCol w:w="7561"/>
      </w:tblGrid>
      <w:tr w14:paraId="081087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blHeader/>
        </w:trPr>
        <w:tc>
          <w:tcPr>
            <w:tcW w:w="944" w:type="dxa"/>
            <w:tcBorders>
              <w:top w:val="single" w:color="auto" w:sz="4" w:space="0"/>
              <w:bottom w:val="single" w:color="auto" w:sz="4" w:space="0"/>
              <w:right w:val="single" w:color="auto" w:sz="4" w:space="0"/>
            </w:tcBorders>
            <w:vAlign w:val="center"/>
          </w:tcPr>
          <w:p w14:paraId="3FF9CBF7">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w:t>
            </w:r>
          </w:p>
        </w:tc>
        <w:tc>
          <w:tcPr>
            <w:tcW w:w="7561" w:type="dxa"/>
            <w:tcBorders>
              <w:top w:val="single" w:color="auto" w:sz="4" w:space="0"/>
              <w:left w:val="single" w:color="auto" w:sz="4" w:space="0"/>
              <w:bottom w:val="single" w:color="auto" w:sz="4" w:space="0"/>
              <w:right w:val="single" w:color="auto" w:sz="4" w:space="0"/>
            </w:tcBorders>
            <w:vAlign w:val="center"/>
          </w:tcPr>
          <w:p w14:paraId="16A046DA">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评审因素</w:t>
            </w:r>
          </w:p>
        </w:tc>
      </w:tr>
      <w:tr w14:paraId="1A0C67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restart"/>
            <w:tcBorders>
              <w:top w:val="single" w:color="auto" w:sz="4" w:space="0"/>
              <w:right w:val="single" w:color="auto" w:sz="4" w:space="0"/>
            </w:tcBorders>
            <w:vAlign w:val="center"/>
          </w:tcPr>
          <w:p w14:paraId="0AC8E985">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符合性检查</w:t>
            </w:r>
          </w:p>
        </w:tc>
        <w:tc>
          <w:tcPr>
            <w:tcW w:w="7561" w:type="dxa"/>
            <w:tcBorders>
              <w:top w:val="single" w:color="auto" w:sz="4" w:space="0"/>
              <w:left w:val="single" w:color="auto" w:sz="4" w:space="0"/>
              <w:bottom w:val="single" w:color="auto" w:sz="4" w:space="0"/>
              <w:right w:val="single" w:color="auto" w:sz="4" w:space="0"/>
            </w:tcBorders>
            <w:vAlign w:val="center"/>
          </w:tcPr>
          <w:p w14:paraId="6F73E9AF">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1、投标文件按照采购文件规定的内容、格式填写，字迹清晰可辨</w:t>
            </w:r>
          </w:p>
        </w:tc>
      </w:tr>
      <w:tr w14:paraId="569175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705D08B7">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tcPr>
          <w:p w14:paraId="07758CBF">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2、投标文件提供法定代表人授权委托书或提供法定代表人身份证明</w:t>
            </w:r>
          </w:p>
        </w:tc>
      </w:tr>
      <w:tr w14:paraId="54DCCD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28364F82">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vAlign w:val="center"/>
          </w:tcPr>
          <w:p w14:paraId="760C9A7C">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3、投标文件上法定代表人或其授权代理人的签字</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签章</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、投标人的单位章齐全符合采购文件规定</w:t>
            </w:r>
          </w:p>
        </w:tc>
      </w:tr>
      <w:tr w14:paraId="5B5F7A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704618FF">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vAlign w:val="center"/>
          </w:tcPr>
          <w:p w14:paraId="635E9379">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4、按规定交纳投标保证金</w:t>
            </w:r>
          </w:p>
        </w:tc>
      </w:tr>
      <w:tr w14:paraId="56100E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0CDBFBBD">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vAlign w:val="center"/>
          </w:tcPr>
          <w:p w14:paraId="4F27E3AC">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5、投标文件承诺响应有效期满足采购文件要求</w:t>
            </w:r>
          </w:p>
        </w:tc>
      </w:tr>
      <w:tr w14:paraId="4B14F8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5CFA1E5E">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vAlign w:val="center"/>
          </w:tcPr>
          <w:p w14:paraId="706067DF">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6、报价具有唯一性，未超过采购项目预算</w:t>
            </w:r>
          </w:p>
        </w:tc>
      </w:tr>
      <w:tr w14:paraId="436D84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090C353E">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vAlign w:val="center"/>
          </w:tcPr>
          <w:p w14:paraId="70DB5625">
            <w:pPr>
              <w:spacing w:line="360" w:lineRule="exact"/>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7、投标人所投产品满足采购文件“第四章 采购需求”标</w:t>
            </w:r>
            <w:r>
              <w:rPr>
                <w:rFonts w:hint="eastAsia" w:cs="宋体"/>
                <w:color w:val="auto"/>
                <w:kern w:val="0"/>
                <w:sz w:val="24"/>
                <w:szCs w:val="24"/>
                <w:highlight w:val="none"/>
                <w:lang w:val="en-US" w:eastAsia="zh-CN"/>
              </w:rPr>
              <w:t>★参数。</w:t>
            </w:r>
          </w:p>
        </w:tc>
      </w:tr>
      <w:tr w14:paraId="56ACC0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41CD3B9B">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vAlign w:val="center"/>
          </w:tcPr>
          <w:p w14:paraId="232E90FB">
            <w:pPr>
              <w:spacing w:line="360" w:lineRule="exac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、投标文件未附有采购人不能接受的条件或不符合采购文件的其他要求</w:t>
            </w:r>
          </w:p>
        </w:tc>
      </w:tr>
      <w:tr w14:paraId="3DDAEB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tcBorders>
              <w:top w:val="single" w:color="auto" w:sz="4" w:space="0"/>
              <w:bottom w:val="single" w:color="auto" w:sz="4" w:space="0"/>
              <w:right w:val="single" w:color="auto" w:sz="4" w:space="0"/>
            </w:tcBorders>
            <w:vAlign w:val="center"/>
          </w:tcPr>
          <w:p w14:paraId="7F357227">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结论</w:t>
            </w:r>
          </w:p>
        </w:tc>
        <w:tc>
          <w:tcPr>
            <w:tcW w:w="7561" w:type="dxa"/>
            <w:tcBorders>
              <w:top w:val="single" w:color="auto" w:sz="4" w:space="0"/>
              <w:left w:val="single" w:color="auto" w:sz="4" w:space="0"/>
              <w:bottom w:val="single" w:color="auto" w:sz="4" w:space="0"/>
              <w:right w:val="single" w:color="auto" w:sz="4" w:space="0"/>
            </w:tcBorders>
            <w:vAlign w:val="center"/>
          </w:tcPr>
          <w:p w14:paraId="6F5251D3">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是否通过审查，进入下一阶段</w:t>
            </w:r>
          </w:p>
        </w:tc>
      </w:tr>
      <w:tr w14:paraId="339D70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505" w:type="dxa"/>
            <w:gridSpan w:val="2"/>
            <w:tcBorders>
              <w:top w:val="single" w:color="auto" w:sz="4" w:space="0"/>
              <w:right w:val="single" w:color="auto" w:sz="4" w:space="0"/>
            </w:tcBorders>
            <w:vAlign w:val="center"/>
          </w:tcPr>
          <w:p w14:paraId="6E57FCB7">
            <w:pPr>
              <w:tabs>
                <w:tab w:val="left" w:pos="0"/>
              </w:tabs>
              <w:adjustRightInd w:val="0"/>
              <w:snapToGrid w:val="0"/>
              <w:spacing w:line="3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1）“是否通过并进入下一阶段评审”一栏应写“通过”或“不通过”。</w:t>
            </w:r>
          </w:p>
          <w:p w14:paraId="1F4972AC">
            <w:pPr>
              <w:tabs>
                <w:tab w:val="left" w:pos="0"/>
              </w:tabs>
              <w:adjustRightInd w:val="0"/>
              <w:snapToGrid w:val="0"/>
              <w:spacing w:line="3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2）出现一个“×”的结论为“不通过”。表中全部为“√”，同意进入下一阶段评审。</w:t>
            </w:r>
          </w:p>
          <w:p w14:paraId="1A21A8F7">
            <w:pPr>
              <w:spacing w:line="36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3）若专家意见不一致时，则按少数服从多数的原则，由专家投票决定该投标人是否通过审查，进入下一阶段评审。</w:t>
            </w:r>
          </w:p>
        </w:tc>
      </w:tr>
    </w:tbl>
    <w:p w14:paraId="53BCFD72">
      <w:pPr>
        <w:tabs>
          <w:tab w:val="left" w:pos="0"/>
          <w:tab w:val="left" w:pos="7560"/>
          <w:tab w:val="left" w:pos="7740"/>
          <w:tab w:val="left" w:pos="7920"/>
        </w:tabs>
        <w:adjustRightInd w:val="0"/>
        <w:snapToGrid w:val="0"/>
        <w:spacing w:line="360" w:lineRule="auto"/>
        <w:ind w:right="23" w:rightChars="11"/>
        <w:rPr>
          <w:rFonts w:hint="eastAsia" w:ascii="宋体" w:hAnsi="宋体" w:eastAsia="宋体" w:cs="宋体"/>
          <w:b/>
          <w:color w:val="auto"/>
          <w:kern w:val="0"/>
          <w:sz w:val="24"/>
          <w:szCs w:val="24"/>
          <w:highlight w:val="none"/>
        </w:rPr>
      </w:pPr>
    </w:p>
    <w:p w14:paraId="3B8A2E2E">
      <w:pPr>
        <w:tabs>
          <w:tab w:val="left" w:pos="0"/>
          <w:tab w:val="left" w:pos="7560"/>
          <w:tab w:val="left" w:pos="7740"/>
          <w:tab w:val="left" w:pos="7920"/>
        </w:tabs>
        <w:adjustRightInd w:val="0"/>
        <w:snapToGrid w:val="0"/>
        <w:spacing w:line="360" w:lineRule="auto"/>
        <w:ind w:right="23" w:rightChars="11"/>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澄清</w:t>
      </w:r>
    </w:p>
    <w:p w14:paraId="0C99CAB1">
      <w:pPr>
        <w:widowControl/>
        <w:adjustRightInd w:val="0"/>
        <w:snapToGrid w:val="0"/>
        <w:spacing w:line="360" w:lineRule="auto"/>
        <w:ind w:firstLine="42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评审小组在对投标文件(包括首次投标文件、重新提交的投标文件)的有效性、完整性和对采购文件的响应程度进行审查时，可以要求</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对投标文件中含义不明确、同类问题表述不一致或者有明显文字和计算错误的内容等作出必要的澄清、说明或者更正。该要求应当以书面形式作出。投标人的澄清、说明或者更正不得超出投标文件的范围或者改变投标文件的实质性内容。</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的澄清、说明或者更正应当采用书面形式，由其法定代表人或其委托代理人签字，</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的澄清、说明或者更正不得超出投标文件的范围或者改变投标文件的实质性内容。</w:t>
      </w:r>
    </w:p>
    <w:p w14:paraId="32524264">
      <w:pPr>
        <w:widowControl/>
        <w:adjustRightInd w:val="0"/>
        <w:snapToGrid w:val="0"/>
        <w:spacing w:line="360" w:lineRule="auto"/>
        <w:ind w:firstLine="420"/>
        <w:jc w:val="left"/>
        <w:rPr>
          <w:rFonts w:hint="eastAsia" w:ascii="宋体" w:hAnsi="宋体" w:eastAsia="宋体" w:cs="宋体"/>
          <w:b/>
          <w:color w:val="auto"/>
          <w:kern w:val="0"/>
          <w:sz w:val="24"/>
          <w:szCs w:val="24"/>
          <w:highlight w:val="none"/>
        </w:rPr>
      </w:pPr>
      <w:r>
        <w:rPr>
          <w:rFonts w:hint="eastAsia" w:ascii="宋体" w:hAnsi="宋体" w:eastAsia="宋体" w:cs="宋体"/>
          <w:color w:val="auto"/>
          <w:kern w:val="0"/>
          <w:sz w:val="24"/>
          <w:szCs w:val="24"/>
          <w:highlight w:val="none"/>
        </w:rPr>
        <w:t>报价计算错误修正的原则：报价的大写金额和小写金额不一致的，以大写金额为准；</w:t>
      </w:r>
      <w:r>
        <w:rPr>
          <w:rFonts w:hint="eastAsia" w:ascii="宋体" w:hAnsi="宋体" w:eastAsia="宋体" w:cs="宋体"/>
          <w:color w:val="auto"/>
          <w:sz w:val="24"/>
          <w:szCs w:val="24"/>
          <w:highlight w:val="none"/>
        </w:rPr>
        <w:t>总价金额与按单价汇总金额不一致的，以单价金额计算结果为准；单价金额小数点有明显错位的，应以总价为准，并修改单价。若投标人拒绝接受上述修正，在评审时将其视为无效响应</w:t>
      </w:r>
      <w:r>
        <w:rPr>
          <w:rFonts w:hint="eastAsia" w:ascii="宋体" w:hAnsi="宋体" w:eastAsia="宋体" w:cs="宋体"/>
          <w:color w:val="auto"/>
          <w:kern w:val="0"/>
          <w:sz w:val="24"/>
          <w:szCs w:val="24"/>
          <w:highlight w:val="none"/>
        </w:rPr>
        <w:t>。</w:t>
      </w:r>
    </w:p>
    <w:p w14:paraId="2FEAD4FA">
      <w:pPr>
        <w:widowControl/>
        <w:adjustRightInd w:val="0"/>
        <w:snapToGrid w:val="0"/>
        <w:spacing w:line="360" w:lineRule="auto"/>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综合评分</w:t>
      </w:r>
    </w:p>
    <w:p w14:paraId="03C8C7E1">
      <w:pPr>
        <w:adjustRightInd w:val="0"/>
        <w:snapToGrid w:val="0"/>
        <w:spacing w:line="360" w:lineRule="auto"/>
        <w:ind w:firstLine="480" w:firstLineChars="200"/>
        <w:rPr>
          <w:rFonts w:hint="eastAsia" w:ascii="宋体" w:hAnsi="宋体" w:eastAsia="宋体" w:cs="宋体"/>
          <w:bCs/>
          <w:color w:val="auto"/>
          <w:kern w:val="0"/>
          <w:sz w:val="24"/>
          <w:szCs w:val="24"/>
          <w:highlight w:val="none"/>
        </w:rPr>
      </w:pPr>
      <w:r>
        <w:rPr>
          <w:rFonts w:hint="eastAsia" w:ascii="宋体" w:hAnsi="宋体" w:eastAsia="宋体" w:cs="宋体"/>
          <w:color w:val="auto"/>
          <w:kern w:val="0"/>
          <w:sz w:val="24"/>
          <w:szCs w:val="24"/>
          <w:highlight w:val="none"/>
        </w:rPr>
        <w:t>经确定</w:t>
      </w:r>
      <w:r>
        <w:rPr>
          <w:rFonts w:hint="eastAsia" w:ascii="宋体" w:hAnsi="宋体" w:eastAsia="宋体" w:cs="宋体"/>
          <w:bCs/>
          <w:color w:val="auto"/>
          <w:kern w:val="0"/>
          <w:sz w:val="24"/>
          <w:szCs w:val="24"/>
          <w:highlight w:val="none"/>
        </w:rPr>
        <w:t>最终采购需求和提交最后报价的投标人后，由评审小组采用综合评分法对提交最后报价的投标人的投标文件和最后报价进行综合评分。</w:t>
      </w:r>
    </w:p>
    <w:p w14:paraId="6A830271">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综合评分法，是指投标文件满足采购文件全部实质性要求且按评审因素的量化指标评审得分最高的投标人为中标候选投标人的评审方法。</w:t>
      </w:r>
    </w:p>
    <w:p w14:paraId="170810D8">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评审时，评审小组各成员应当独立对每个有效响应的文件进行评价、打分，然后汇总每个投标人每项评分因素的得分。</w:t>
      </w:r>
    </w:p>
    <w:p w14:paraId="2486B138">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评分办法：综合评分法</w:t>
      </w:r>
    </w:p>
    <w:tbl>
      <w:tblPr>
        <w:tblStyle w:val="47"/>
        <w:tblW w:w="93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1"/>
        <w:gridCol w:w="1013"/>
        <w:gridCol w:w="1070"/>
        <w:gridCol w:w="6153"/>
      </w:tblGrid>
      <w:tr w14:paraId="03B87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84" w:type="dxa"/>
            <w:gridSpan w:val="2"/>
            <w:noWrap w:val="0"/>
            <w:vAlign w:val="center"/>
          </w:tcPr>
          <w:p w14:paraId="7BD6574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评标项目</w:t>
            </w:r>
          </w:p>
        </w:tc>
        <w:tc>
          <w:tcPr>
            <w:tcW w:w="1070" w:type="dxa"/>
            <w:noWrap w:val="0"/>
            <w:vAlign w:val="center"/>
          </w:tcPr>
          <w:p w14:paraId="55B6E99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评标分值</w:t>
            </w:r>
          </w:p>
        </w:tc>
        <w:tc>
          <w:tcPr>
            <w:tcW w:w="6153" w:type="dxa"/>
            <w:noWrap w:val="0"/>
            <w:vAlign w:val="center"/>
          </w:tcPr>
          <w:p w14:paraId="7246719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评标方法描述</w:t>
            </w:r>
          </w:p>
        </w:tc>
      </w:tr>
      <w:tr w14:paraId="31B33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noWrap w:val="0"/>
            <w:vAlign w:val="center"/>
          </w:tcPr>
          <w:p w14:paraId="1E7DE4F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经济部分</w:t>
            </w:r>
          </w:p>
        </w:tc>
        <w:tc>
          <w:tcPr>
            <w:tcW w:w="1013" w:type="dxa"/>
            <w:noWrap w:val="0"/>
            <w:vAlign w:val="center"/>
          </w:tcPr>
          <w:p w14:paraId="243D3C1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价格评分</w:t>
            </w:r>
          </w:p>
        </w:tc>
        <w:tc>
          <w:tcPr>
            <w:tcW w:w="1070" w:type="dxa"/>
            <w:noWrap w:val="0"/>
            <w:vAlign w:val="center"/>
          </w:tcPr>
          <w:p w14:paraId="108AA85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30分</w:t>
            </w:r>
          </w:p>
        </w:tc>
        <w:tc>
          <w:tcPr>
            <w:tcW w:w="6153" w:type="dxa"/>
            <w:noWrap w:val="0"/>
            <w:vAlign w:val="center"/>
          </w:tcPr>
          <w:p w14:paraId="02161EA3">
            <w:pPr>
              <w:widowControl/>
              <w:jc w:val="left"/>
              <w:textAlignment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基准值的确定：评标基准价=有效</w:t>
            </w:r>
            <w:r>
              <w:rPr>
                <w:rFonts w:hint="eastAsia" w:ascii="宋体" w:hAnsi="宋体" w:eastAsia="宋体" w:cs="宋体"/>
                <w:b/>
                <w:bCs/>
                <w:color w:val="auto"/>
                <w:kern w:val="0"/>
                <w:sz w:val="24"/>
                <w:szCs w:val="24"/>
                <w:highlight w:val="none"/>
                <w:lang w:eastAsia="zh-CN"/>
              </w:rPr>
              <w:t>投标报价</w:t>
            </w:r>
            <w:r>
              <w:rPr>
                <w:rFonts w:hint="eastAsia" w:ascii="宋体" w:hAnsi="宋体" w:eastAsia="宋体" w:cs="宋体"/>
                <w:b/>
                <w:bCs/>
                <w:color w:val="auto"/>
                <w:kern w:val="0"/>
                <w:sz w:val="24"/>
                <w:szCs w:val="24"/>
                <w:highlight w:val="none"/>
              </w:rPr>
              <w:t>的最低值，</w:t>
            </w:r>
          </w:p>
          <w:p w14:paraId="24B10C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eastAsia="zh-CN"/>
              </w:rPr>
            </w:pPr>
            <w:r>
              <w:rPr>
                <w:rFonts w:hint="eastAsia" w:hAnsi="宋体" w:eastAsia="宋体" w:cs="宋体"/>
                <w:color w:val="auto"/>
                <w:kern w:val="0"/>
                <w:sz w:val="24"/>
                <w:szCs w:val="24"/>
                <w:highlight w:val="none"/>
                <w:lang w:eastAsia="zh-CN"/>
              </w:rPr>
              <w:t>投标报价</w:t>
            </w:r>
            <w:r>
              <w:rPr>
                <w:rFonts w:hint="eastAsia" w:ascii="宋体" w:hAnsi="宋体" w:eastAsia="宋体" w:cs="宋体"/>
                <w:color w:val="auto"/>
                <w:kern w:val="0"/>
                <w:sz w:val="24"/>
                <w:szCs w:val="24"/>
                <w:highlight w:val="none"/>
              </w:rPr>
              <w:t>得分</w:t>
            </w:r>
            <w:r>
              <w:rPr>
                <w:rFonts w:hint="eastAsia" w:ascii="宋体" w:hAnsi="宋体" w:eastAsia="宋体" w:cs="宋体"/>
                <w:color w:val="auto"/>
                <w:sz w:val="24"/>
                <w:szCs w:val="24"/>
                <w:highlight w:val="none"/>
              </w:rPr>
              <w:t>=（评标基准价/投标报价）×30%×100。</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本项目将对小型和微型企业（含监狱企业、残疾人福利性单位）产品的价格给予 10%的扣除，用扣除后的价格参与评审打分。</w:t>
            </w:r>
            <w:r>
              <w:rPr>
                <w:rFonts w:hint="eastAsia" w:ascii="宋体" w:hAnsi="宋体" w:eastAsia="宋体" w:cs="宋体"/>
                <w:color w:val="auto"/>
                <w:sz w:val="24"/>
                <w:szCs w:val="24"/>
                <w:highlight w:val="none"/>
                <w:lang w:eastAsia="zh-CN"/>
              </w:rPr>
              <w:t>）</w:t>
            </w:r>
          </w:p>
          <w:p w14:paraId="6F81E1D5">
            <w:pPr>
              <w:pStyle w:val="26"/>
              <w:snapToGrid w:val="0"/>
              <w:spacing w:line="300" w:lineRule="exac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注：本项目不以最低</w:t>
            </w:r>
            <w:r>
              <w:rPr>
                <w:rFonts w:hint="eastAsia" w:hAnsi="宋体" w:eastAsia="宋体" w:cs="宋体"/>
                <w:b/>
                <w:bCs/>
                <w:color w:val="auto"/>
                <w:kern w:val="0"/>
                <w:sz w:val="24"/>
                <w:szCs w:val="24"/>
                <w:highlight w:val="none"/>
                <w:lang w:eastAsia="zh-CN"/>
              </w:rPr>
              <w:t>投标报价</w:t>
            </w:r>
            <w:r>
              <w:rPr>
                <w:rFonts w:hint="eastAsia" w:ascii="宋体" w:hAnsi="宋体" w:eastAsia="宋体" w:cs="宋体"/>
                <w:b/>
                <w:bCs/>
                <w:color w:val="auto"/>
                <w:kern w:val="0"/>
                <w:sz w:val="24"/>
                <w:szCs w:val="24"/>
                <w:highlight w:val="none"/>
              </w:rPr>
              <w:t>作为唯一</w:t>
            </w:r>
            <w:r>
              <w:rPr>
                <w:rFonts w:hint="eastAsia" w:hAnsi="宋体" w:eastAsia="宋体" w:cs="宋体"/>
                <w:b/>
                <w:bCs/>
                <w:color w:val="auto"/>
                <w:kern w:val="0"/>
                <w:sz w:val="24"/>
                <w:szCs w:val="24"/>
                <w:highlight w:val="none"/>
                <w:lang w:eastAsia="zh-CN"/>
              </w:rPr>
              <w:t>成交</w:t>
            </w:r>
            <w:r>
              <w:rPr>
                <w:rFonts w:hint="eastAsia" w:ascii="宋体" w:hAnsi="宋体" w:eastAsia="宋体" w:cs="宋体"/>
                <w:b/>
                <w:bCs/>
                <w:color w:val="auto"/>
                <w:kern w:val="0"/>
                <w:sz w:val="24"/>
                <w:szCs w:val="24"/>
                <w:highlight w:val="none"/>
              </w:rPr>
              <w:t>依据。</w:t>
            </w:r>
          </w:p>
          <w:p w14:paraId="5F96A9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评审中出现下列情形之一的，评审委员会应当启动异常低价投标（响应）审查程序：</w:t>
            </w:r>
          </w:p>
          <w:p w14:paraId="77EA50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1.投标（响应）报价低于全部通过符合性审查供应商投标（响应）报价平均值50%；</w:t>
            </w:r>
          </w:p>
          <w:p w14:paraId="2DA124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2.投标（响应）报价低于通过符合性审查的次低报价供应商投标（响应）报价50%；</w:t>
            </w:r>
          </w:p>
          <w:p w14:paraId="295C03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3.投标（响应）报价低于采购项目最高限价45%；</w:t>
            </w:r>
          </w:p>
          <w:p w14:paraId="21DF17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4.评审委员会基于专业判断，认为供应商报价过低，有可能影响产品质量或者不能诚信履约的其他情形。</w:t>
            </w:r>
          </w:p>
          <w:p w14:paraId="3D305F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评审委员会启动异常低价投标（响应）审查后，相关供应商在评审现场</w:t>
            </w:r>
            <w:r>
              <w:rPr>
                <w:rFonts w:hint="eastAsia" w:ascii="宋体" w:hAnsi="宋体" w:cs="宋体"/>
                <w:b/>
                <w:bCs/>
                <w:color w:val="auto"/>
                <w:sz w:val="24"/>
                <w:szCs w:val="24"/>
                <w:highlight w:val="none"/>
                <w:lang w:val="en-US" w:eastAsia="zh-CN"/>
              </w:rPr>
              <w:t>规定</w:t>
            </w:r>
            <w:r>
              <w:rPr>
                <w:rFonts w:hint="eastAsia" w:ascii="宋体" w:hAnsi="宋体" w:eastAsia="宋体" w:cs="宋体"/>
                <w:b/>
                <w:bCs/>
                <w:color w:val="auto"/>
                <w:sz w:val="24"/>
                <w:szCs w:val="24"/>
                <w:highlight w:val="none"/>
              </w:rPr>
              <w:t>的时间内对投标（响应）价格作出解释，提供项目具体成本测算等与报价合理性相关的书面说明及必要的证明材料，包括但不限于原材料成本、人工成本、制造费用等。其中，属于第3项情形，供应商已随投标（响应）文件一并提交相关书面说明及必要的证明材料的，在评审现场可不再重复提交。</w:t>
            </w:r>
          </w:p>
          <w:p w14:paraId="19CD7F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投标（响应）供应商不能提供书面说明、证明材料，或者提供的书面说明、证明材料不能证明其报价合理性的，评审委员会应当将其作为无效投标（响应）处理。</w:t>
            </w:r>
          </w:p>
        </w:tc>
      </w:tr>
      <w:tr w14:paraId="32CF4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restart"/>
            <w:noWrap w:val="0"/>
            <w:vAlign w:val="center"/>
          </w:tcPr>
          <w:p w14:paraId="421D816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商务部分</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22分</w:t>
            </w:r>
            <w:r>
              <w:rPr>
                <w:rFonts w:hint="eastAsia" w:ascii="宋体" w:hAnsi="宋体" w:cs="宋体"/>
                <w:color w:val="auto"/>
                <w:sz w:val="24"/>
                <w:szCs w:val="24"/>
                <w:highlight w:val="none"/>
                <w:lang w:eastAsia="zh-CN"/>
              </w:rPr>
              <w:t>）</w:t>
            </w:r>
          </w:p>
        </w:tc>
        <w:tc>
          <w:tcPr>
            <w:tcW w:w="1013" w:type="dxa"/>
            <w:noWrap w:val="0"/>
            <w:vAlign w:val="center"/>
          </w:tcPr>
          <w:p w14:paraId="3C44F39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类似项目业绩</w:t>
            </w:r>
          </w:p>
        </w:tc>
        <w:tc>
          <w:tcPr>
            <w:tcW w:w="1070" w:type="dxa"/>
            <w:noWrap w:val="0"/>
            <w:vAlign w:val="center"/>
          </w:tcPr>
          <w:p w14:paraId="2667E57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5分</w:t>
            </w:r>
          </w:p>
        </w:tc>
        <w:tc>
          <w:tcPr>
            <w:tcW w:w="6153" w:type="dxa"/>
            <w:noWrap w:val="0"/>
            <w:vAlign w:val="center"/>
          </w:tcPr>
          <w:p w14:paraId="54D4D1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投标人或生产厂家提供近三年</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2023年04月01日</w:t>
            </w:r>
            <w:r>
              <w:rPr>
                <w:rFonts w:hint="eastAsia" w:ascii="宋体" w:hAnsi="宋体" w:eastAsia="宋体" w:cs="宋体"/>
                <w:color w:val="auto"/>
                <w:sz w:val="24"/>
                <w:szCs w:val="24"/>
                <w:highlight w:val="none"/>
                <w:lang w:val="en-US" w:eastAsia="zh-CN"/>
              </w:rPr>
              <w:t>至今</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eastAsia="zh-CN"/>
              </w:rPr>
              <w:t>产品</w:t>
            </w:r>
            <w:r>
              <w:rPr>
                <w:rFonts w:hint="eastAsia" w:ascii="宋体" w:hAnsi="宋体" w:eastAsia="宋体" w:cs="宋体"/>
                <w:color w:val="auto"/>
                <w:sz w:val="24"/>
                <w:szCs w:val="24"/>
                <w:highlight w:val="none"/>
              </w:rPr>
              <w:t>同类或类似产品的销售业绩，每提供1份得</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本项</w:t>
            </w:r>
            <w:r>
              <w:rPr>
                <w:rFonts w:hint="eastAsia" w:ascii="宋体" w:hAnsi="宋体" w:eastAsia="宋体" w:cs="宋体"/>
                <w:color w:val="auto"/>
                <w:sz w:val="24"/>
                <w:szCs w:val="24"/>
                <w:highlight w:val="none"/>
              </w:rPr>
              <w:t>最高得5分。</w:t>
            </w:r>
            <w:r>
              <w:rPr>
                <w:rFonts w:hint="eastAsia" w:ascii="宋体" w:hAnsi="宋体" w:eastAsia="宋体" w:cs="宋体"/>
                <w:color w:val="auto"/>
                <w:sz w:val="24"/>
                <w:szCs w:val="24"/>
                <w:highlight w:val="none"/>
                <w:lang w:eastAsia="zh-CN"/>
              </w:rPr>
              <w:t>（提供类似项目业绩的中标通知书或采购合同复印件）</w:t>
            </w:r>
          </w:p>
        </w:tc>
      </w:tr>
      <w:tr w14:paraId="48DBE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5333A68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noWrap w:val="0"/>
            <w:vAlign w:val="center"/>
          </w:tcPr>
          <w:p w14:paraId="4B7FBCF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售后服务体系</w:t>
            </w:r>
          </w:p>
        </w:tc>
        <w:tc>
          <w:tcPr>
            <w:tcW w:w="1070" w:type="dxa"/>
            <w:noWrap w:val="0"/>
            <w:vAlign w:val="center"/>
          </w:tcPr>
          <w:p w14:paraId="632BF4A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分</w:t>
            </w:r>
          </w:p>
        </w:tc>
        <w:tc>
          <w:tcPr>
            <w:tcW w:w="6153" w:type="dxa"/>
            <w:noWrap w:val="0"/>
            <w:vAlign w:val="center"/>
          </w:tcPr>
          <w:p w14:paraId="7ACB28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投标人或生产厂家</w:t>
            </w:r>
            <w:r>
              <w:rPr>
                <w:rFonts w:hint="eastAsia" w:ascii="宋体" w:hAnsi="宋体" w:eastAsia="宋体" w:cs="宋体"/>
                <w:color w:val="auto"/>
                <w:sz w:val="24"/>
                <w:szCs w:val="24"/>
                <w:highlight w:val="none"/>
              </w:rPr>
              <w:t>具有专职维修工程师，保证设备的日常维护及故障排除</w:t>
            </w:r>
            <w:r>
              <w:rPr>
                <w:rFonts w:hint="eastAsia" w:ascii="宋体" w:hAnsi="宋体" w:eastAsia="宋体" w:cs="宋体"/>
                <w:color w:val="auto"/>
                <w:sz w:val="24"/>
                <w:szCs w:val="24"/>
                <w:highlight w:val="none"/>
                <w:lang w:eastAsia="zh-CN"/>
              </w:rPr>
              <w:t>的得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分（须提供</w:t>
            </w:r>
            <w:r>
              <w:rPr>
                <w:rFonts w:hint="eastAsia" w:ascii="宋体" w:hAnsi="宋体" w:cs="宋体"/>
                <w:color w:val="auto"/>
                <w:sz w:val="24"/>
                <w:szCs w:val="24"/>
                <w:highlight w:val="none"/>
                <w:lang w:val="en-US" w:eastAsia="zh-CN"/>
              </w:rPr>
              <w:t>①</w:t>
            </w:r>
            <w:r>
              <w:rPr>
                <w:rFonts w:hint="eastAsia" w:ascii="宋体" w:hAnsi="宋体" w:eastAsia="宋体" w:cs="宋体"/>
                <w:color w:val="auto"/>
                <w:sz w:val="24"/>
                <w:szCs w:val="24"/>
                <w:highlight w:val="none"/>
                <w:lang w:val="en-US" w:eastAsia="zh-CN"/>
              </w:rPr>
              <w:t>人员聘用劳动合同、</w:t>
            </w:r>
            <w:r>
              <w:rPr>
                <w:rFonts w:hint="eastAsia" w:ascii="宋体" w:hAnsi="宋体" w:cs="宋体"/>
                <w:color w:val="auto"/>
                <w:sz w:val="24"/>
                <w:szCs w:val="24"/>
                <w:highlight w:val="none"/>
                <w:lang w:val="en-US" w:eastAsia="zh-CN"/>
              </w:rPr>
              <w:t>②</w:t>
            </w:r>
            <w:r>
              <w:rPr>
                <w:rFonts w:hint="eastAsia" w:ascii="宋体" w:hAnsi="宋体" w:eastAsia="宋体" w:cs="宋体"/>
                <w:color w:val="auto"/>
                <w:sz w:val="24"/>
                <w:szCs w:val="24"/>
                <w:highlight w:val="none"/>
                <w:lang w:val="en-US" w:eastAsia="zh-CN"/>
              </w:rPr>
              <w:t>厂家专业人员认证资格证书或培训合格证书或其他培训证明等，否则不得分）；</w:t>
            </w:r>
          </w:p>
          <w:p w14:paraId="20F5ED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2、投标人</w:t>
            </w:r>
            <w:r>
              <w:rPr>
                <w:rFonts w:hint="eastAsia" w:ascii="宋体" w:hAnsi="宋体" w:eastAsia="宋体" w:cs="宋体"/>
                <w:color w:val="auto"/>
                <w:sz w:val="24"/>
                <w:szCs w:val="24"/>
                <w:highlight w:val="none"/>
              </w:rPr>
              <w:t>设有</w:t>
            </w:r>
            <w:r>
              <w:rPr>
                <w:rFonts w:hint="eastAsia" w:ascii="宋体" w:hAnsi="宋体" w:eastAsia="宋体" w:cs="宋体"/>
                <w:color w:val="auto"/>
                <w:sz w:val="24"/>
                <w:szCs w:val="24"/>
                <w:highlight w:val="none"/>
                <w:lang w:eastAsia="zh-CN"/>
              </w:rPr>
              <w:t>备品</w:t>
            </w:r>
            <w:r>
              <w:rPr>
                <w:rFonts w:hint="eastAsia" w:ascii="宋体" w:hAnsi="宋体" w:eastAsia="宋体" w:cs="宋体"/>
                <w:color w:val="auto"/>
                <w:sz w:val="24"/>
                <w:szCs w:val="24"/>
                <w:highlight w:val="none"/>
              </w:rPr>
              <w:t>备件仓库保证常规配件供应</w:t>
            </w:r>
            <w:r>
              <w:rPr>
                <w:rFonts w:hint="eastAsia" w:ascii="宋体" w:hAnsi="宋体" w:eastAsia="宋体" w:cs="宋体"/>
                <w:color w:val="auto"/>
                <w:sz w:val="24"/>
                <w:szCs w:val="24"/>
                <w:highlight w:val="none"/>
                <w:lang w:eastAsia="zh-CN"/>
              </w:rPr>
              <w:t>的得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分（须提供房屋租赁合同或房屋购买证明，否则不得分）</w:t>
            </w:r>
            <w:r>
              <w:rPr>
                <w:rFonts w:hint="eastAsia" w:ascii="宋体" w:hAnsi="宋体" w:cs="宋体"/>
                <w:color w:val="auto"/>
                <w:sz w:val="24"/>
                <w:szCs w:val="24"/>
                <w:highlight w:val="none"/>
                <w:lang w:val="en-US" w:eastAsia="zh-CN"/>
              </w:rPr>
              <w:t>。</w:t>
            </w:r>
          </w:p>
        </w:tc>
      </w:tr>
      <w:tr w14:paraId="2460A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313CC2A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noWrap w:val="0"/>
            <w:vAlign w:val="center"/>
          </w:tcPr>
          <w:p w14:paraId="3682CB9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售后服务</w:t>
            </w:r>
          </w:p>
        </w:tc>
        <w:tc>
          <w:tcPr>
            <w:tcW w:w="1070" w:type="dxa"/>
            <w:noWrap w:val="0"/>
            <w:vAlign w:val="center"/>
          </w:tcPr>
          <w:p w14:paraId="0EA079A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12分</w:t>
            </w:r>
          </w:p>
        </w:tc>
        <w:tc>
          <w:tcPr>
            <w:tcW w:w="6153" w:type="dxa"/>
            <w:noWrap w:val="0"/>
            <w:vAlign w:val="center"/>
          </w:tcPr>
          <w:p w14:paraId="61455D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提供详细售后服务，内容包括但不限于：①服务承诺；②技术服务优势；③运维管理制度；④服务指标与标准；⑤应急处理方案；⑥培训服务等，以上方案内容完整清晰明确且科学合理、可行性高具有针对性并满足采购需求的得12分；每缺少一项内容扣2分；每有一项内容不完整或未能满足采购需求的或每有一处不具有针对性或逻辑性错误的扣1分；扣完为止。</w:t>
            </w:r>
          </w:p>
        </w:tc>
      </w:tr>
      <w:tr w14:paraId="0C8D5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restart"/>
            <w:noWrap w:val="0"/>
            <w:vAlign w:val="center"/>
          </w:tcPr>
          <w:p w14:paraId="678236D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技术部分</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48分</w:t>
            </w:r>
            <w:r>
              <w:rPr>
                <w:rFonts w:hint="eastAsia" w:ascii="宋体" w:hAnsi="宋体" w:cs="宋体"/>
                <w:color w:val="auto"/>
                <w:sz w:val="24"/>
                <w:szCs w:val="24"/>
                <w:highlight w:val="none"/>
                <w:lang w:eastAsia="zh-CN"/>
              </w:rPr>
              <w:t>）</w:t>
            </w:r>
          </w:p>
        </w:tc>
        <w:tc>
          <w:tcPr>
            <w:tcW w:w="1013" w:type="dxa"/>
            <w:noWrap w:val="0"/>
            <w:vAlign w:val="center"/>
          </w:tcPr>
          <w:p w14:paraId="35553BA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技术指标</w:t>
            </w:r>
          </w:p>
        </w:tc>
        <w:tc>
          <w:tcPr>
            <w:tcW w:w="1070" w:type="dxa"/>
            <w:noWrap w:val="0"/>
            <w:vAlign w:val="center"/>
          </w:tcPr>
          <w:p w14:paraId="6406EC2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0分</w:t>
            </w:r>
          </w:p>
        </w:tc>
        <w:tc>
          <w:tcPr>
            <w:tcW w:w="6153" w:type="dxa"/>
            <w:noWrap w:val="0"/>
            <w:vAlign w:val="center"/>
          </w:tcPr>
          <w:p w14:paraId="1C3CE4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对技术参数的要求全部满足得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0分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参数不满足按每项</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分扣除，一般参数</w:t>
            </w:r>
            <w:r>
              <w:rPr>
                <w:rFonts w:hint="eastAsia" w:ascii="宋体" w:hAnsi="宋体" w:eastAsia="宋体" w:cs="宋体"/>
                <w:color w:val="auto"/>
                <w:sz w:val="24"/>
                <w:szCs w:val="24"/>
                <w:highlight w:val="none"/>
              </w:rPr>
              <w:t xml:space="preserve">不满足按每项 </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分</w:t>
            </w:r>
            <w:r>
              <w:rPr>
                <w:rFonts w:hint="eastAsia" w:ascii="宋体" w:hAnsi="宋体" w:eastAsia="宋体" w:cs="宋体"/>
                <w:color w:val="auto"/>
                <w:sz w:val="24"/>
                <w:szCs w:val="24"/>
                <w:highlight w:val="none"/>
                <w:lang w:eastAsia="zh-CN"/>
              </w:rPr>
              <w:t>扣除，扣完为止</w:t>
            </w:r>
            <w:r>
              <w:rPr>
                <w:rFonts w:hint="eastAsia" w:ascii="宋体" w:hAnsi="宋体" w:eastAsia="宋体" w:cs="宋体"/>
                <w:color w:val="auto"/>
                <w:sz w:val="24"/>
                <w:szCs w:val="24"/>
                <w:highlight w:val="none"/>
              </w:rPr>
              <w:t>。</w:t>
            </w:r>
          </w:p>
          <w:p w14:paraId="029A317D">
            <w:pPr>
              <w:pStyle w:val="20"/>
              <w:rPr>
                <w:rFonts w:hint="eastAsia" w:eastAsia="宋体"/>
                <w:color w:val="auto"/>
                <w:highlight w:val="none"/>
                <w:lang w:eastAsia="zh-CN"/>
              </w:rPr>
            </w:pPr>
            <w:r>
              <w:rPr>
                <w:rFonts w:hint="eastAsia" w:ascii="宋体" w:hAnsi="宋体" w:cs="宋体"/>
                <w:color w:val="auto"/>
                <w:sz w:val="24"/>
                <w:szCs w:val="24"/>
                <w:highlight w:val="none"/>
                <w:lang w:eastAsia="zh-CN"/>
              </w:rPr>
              <w:t>以技术偏离表为准，并提供相关证明材料，未提供视为不满足。（证明材料可以提供官网截图、检测报告、产品说明书、技术白皮书</w:t>
            </w:r>
            <w:r>
              <w:rPr>
                <w:rFonts w:hint="eastAsia" w:ascii="宋体" w:hAnsi="宋体" w:cs="宋体"/>
                <w:color w:val="auto"/>
                <w:sz w:val="24"/>
                <w:szCs w:val="24"/>
                <w:highlight w:val="none"/>
                <w:lang w:val="en-US" w:eastAsia="zh-CN"/>
              </w:rPr>
              <w:t>等可以证明技术参数的材料</w:t>
            </w:r>
            <w:r>
              <w:rPr>
                <w:rFonts w:hint="eastAsia" w:ascii="宋体" w:hAnsi="宋体" w:cs="宋体"/>
                <w:color w:val="auto"/>
                <w:sz w:val="24"/>
                <w:szCs w:val="24"/>
                <w:highlight w:val="none"/>
                <w:lang w:eastAsia="zh-CN"/>
              </w:rPr>
              <w:t>）</w:t>
            </w:r>
          </w:p>
        </w:tc>
      </w:tr>
      <w:tr w14:paraId="59DD9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0D9CCB9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shd w:val="clear" w:color="auto" w:fill="auto"/>
            <w:noWrap w:val="0"/>
            <w:vAlign w:val="center"/>
          </w:tcPr>
          <w:p w14:paraId="3CEB59C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可操作、可</w:t>
            </w:r>
          </w:p>
          <w:p w14:paraId="0516D76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维护性</w:t>
            </w:r>
          </w:p>
        </w:tc>
        <w:tc>
          <w:tcPr>
            <w:tcW w:w="1070" w:type="dxa"/>
            <w:shd w:val="clear" w:color="auto" w:fill="auto"/>
            <w:noWrap w:val="0"/>
            <w:vAlign w:val="center"/>
          </w:tcPr>
          <w:p w14:paraId="6D5D72A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4分</w:t>
            </w:r>
          </w:p>
        </w:tc>
        <w:tc>
          <w:tcPr>
            <w:tcW w:w="6153" w:type="dxa"/>
            <w:shd w:val="clear" w:color="auto" w:fill="auto"/>
            <w:noWrap w:val="0"/>
            <w:vAlign w:val="center"/>
          </w:tcPr>
          <w:p w14:paraId="14DD49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以利于临床工作需要为前提，根据设备配置符合程度综合评判：所投产品①配置齐全，②便于用户临床使用，③操作简便，④便于维护。以上符合一项得 </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 xml:space="preserve"> 分，本项最高得</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分，未提供或不符合不得分。（须提供相关证明材料）</w:t>
            </w:r>
          </w:p>
        </w:tc>
      </w:tr>
      <w:tr w14:paraId="16581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6988F92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noWrap w:val="0"/>
            <w:vAlign w:val="center"/>
          </w:tcPr>
          <w:p w14:paraId="1608AA0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设备运输方案</w:t>
            </w:r>
          </w:p>
        </w:tc>
        <w:tc>
          <w:tcPr>
            <w:tcW w:w="1070" w:type="dxa"/>
            <w:noWrap w:val="0"/>
            <w:vAlign w:val="center"/>
          </w:tcPr>
          <w:p w14:paraId="54D9980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8分</w:t>
            </w:r>
          </w:p>
        </w:tc>
        <w:tc>
          <w:tcPr>
            <w:tcW w:w="6153" w:type="dxa"/>
            <w:noWrap w:val="0"/>
            <w:vAlign w:val="center"/>
          </w:tcPr>
          <w:p w14:paraId="20F192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根据本项目需求提供详细的设备运输方案（包括但不限于）：运输目标、运输原则、运输组织机构、岗位职责、运输人员配备、运输车辆配备、运输保障承诺、应急运输管理措施等内容，得8分。每缺少一项内容扣1分；内容简单或内容有缺陷扣0.25分；未提供不得分</w:t>
            </w:r>
          </w:p>
          <w:p w14:paraId="14351E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缺陷是指①存在项目实施对象错误（例：本项目招标人为实施对象，投标人套用模板错误表述实施对象），②内容前后逻辑错误（例：同一内容前后表述不一致）、③涉及的规范、标准错误或错误的使用专业术语（例：引用非最新的规范或标准、使用非专业性语句或词语描述设备专业功能、非专业的英文缩写、关键数据的错误，导致评审专家理解上的混淆），④地点区域错误（例：实施地在乌鲁木齐，投标人投标表述为其他地区），⑤内容遗漏及不符合采购需求等（例：只简单描写标题内容，未能展开表述对应内容需要注意的事项或相关的指导文件要求等，导致评审人员对方案是否具备专业能力做出合理判断，影响了措施方案的完整性；采购需求要求中要求的内容与投标人递交的方案内容不符）。</w:t>
            </w:r>
          </w:p>
        </w:tc>
      </w:tr>
      <w:tr w14:paraId="2D798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0862F94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noWrap w:val="0"/>
            <w:vAlign w:val="center"/>
          </w:tcPr>
          <w:p w14:paraId="53EEF57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设备安装方案</w:t>
            </w:r>
          </w:p>
        </w:tc>
        <w:tc>
          <w:tcPr>
            <w:tcW w:w="1070" w:type="dxa"/>
            <w:noWrap w:val="0"/>
            <w:vAlign w:val="center"/>
          </w:tcPr>
          <w:p w14:paraId="73C67E0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4分</w:t>
            </w:r>
          </w:p>
        </w:tc>
        <w:tc>
          <w:tcPr>
            <w:tcW w:w="6153" w:type="dxa"/>
            <w:noWrap w:val="0"/>
            <w:vAlign w:val="center"/>
          </w:tcPr>
          <w:p w14:paraId="3E067E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根据本项目需求提供详细的设备安装方案（包括但不限于）：安装人员规范、安装工作准备、设备的安装程序、具体设备安装方法等内容，得4分，每缺少一项内容扣1分；内容简单或内容有缺陷扣0.5分；未提供不得分。</w:t>
            </w:r>
          </w:p>
          <w:p w14:paraId="7725F7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缺陷是指①存在项目实施对象错误（例：本项目招标人为实施对象，投标人套用模板错误表述实施对象），②内容前后逻辑错误（例：同一内容前后表述不一致）、③涉及的规范、标准错误或错误的使用专业术语（例：引用非最新的规范或标准、使用非专业性语句或词语描述设备专业功能、非专业的英文缩写、关键数据的错误，导致评审专家理解上的混淆），④地点区域错误（例：实施地在乌鲁木齐，投标人投标表述为其他地区），⑤内容遗漏及不符合采购需求等（例：只简单描写标题内容，未能展开表述对应内容需要注意的事项或相关的指导文件要求等，导致评审人员对方案是否具备专业能力做出合理判断，影响了措施方案的完整性；采购需求要求中要求的内容与投标人递交的方案内容不符）。</w:t>
            </w:r>
          </w:p>
        </w:tc>
      </w:tr>
      <w:tr w14:paraId="4AD81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34B7BB9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noWrap w:val="0"/>
            <w:vAlign w:val="center"/>
          </w:tcPr>
          <w:p w14:paraId="1D73452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设备调试方案 </w:t>
            </w:r>
          </w:p>
        </w:tc>
        <w:tc>
          <w:tcPr>
            <w:tcW w:w="1070" w:type="dxa"/>
            <w:noWrap w:val="0"/>
            <w:vAlign w:val="center"/>
          </w:tcPr>
          <w:p w14:paraId="0ECEF51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4分</w:t>
            </w:r>
          </w:p>
        </w:tc>
        <w:tc>
          <w:tcPr>
            <w:tcW w:w="6153" w:type="dxa"/>
            <w:noWrap w:val="0"/>
            <w:vAlign w:val="center"/>
          </w:tcPr>
          <w:p w14:paraId="29D38B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根据本项目需求提供详细的设备调试方案（包括但不限于）：设备调试前提条件、设备调试要求、设备调试人员配置、设备调试工作等内容，得4分，每缺少一项内容扣1分；内容简单或内容有缺陷扣0.5分；未提供不得分。</w:t>
            </w:r>
          </w:p>
          <w:p w14:paraId="0FDD75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缺陷是指①存在项目实施对象错误（例：本项目招标人为实施对象，投标人套用模板错误表述实施对象），②内容前后逻辑错误（例：同一内容前后表述不一致）、③涉及的规范、标准错误或错误的使用专业术语（例：引用非最新的规范或标准、使用非专业性语句或词语描述设备专业功能、非专业的英文缩写、关键数据的错误，导致评审专家理解上的混淆），④地点区域错误（例：实施地在乌鲁木齐，投标人投标表述为其他地区），⑤内容遗漏及不符合采购需求等（例：只简单描写标题内容，未能展开表述对应内容需要注意的事项或相关的指导文件要求等，导致评审人员对方案是否具备专业能力做出合理判断，影响了措施方案的完整性；采购需求要求中要求的内容与投标人递交的方案内容不符）。</w:t>
            </w:r>
          </w:p>
        </w:tc>
      </w:tr>
      <w:tr w14:paraId="06557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018C6E4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noWrap w:val="0"/>
            <w:vAlign w:val="center"/>
          </w:tcPr>
          <w:p w14:paraId="6D9BDFB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设备验收方案</w:t>
            </w:r>
          </w:p>
        </w:tc>
        <w:tc>
          <w:tcPr>
            <w:tcW w:w="1070" w:type="dxa"/>
            <w:noWrap w:val="0"/>
            <w:vAlign w:val="center"/>
          </w:tcPr>
          <w:p w14:paraId="0BDE5D5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8分</w:t>
            </w:r>
          </w:p>
        </w:tc>
        <w:tc>
          <w:tcPr>
            <w:tcW w:w="6153" w:type="dxa"/>
            <w:noWrap w:val="0"/>
            <w:vAlign w:val="center"/>
          </w:tcPr>
          <w:p w14:paraId="6018D2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根据本项目需求提供详细的设备验收方案（包括但不限于）：验收人员职责、验收原则、验收依据、验收标准、验收方法、验收准备、设备初运行、设备最终验收等内容，得8分。每缺少一项内容扣1分；内容简单或内容有缺陷扣0.5分；未提供不得分。</w:t>
            </w:r>
          </w:p>
          <w:p w14:paraId="7AB8C8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缺陷是指①存在项目实施对象错误（例：本项目招标人为实施对象，投标人套用模板错误表述实施对象），②内容前后逻辑错误（例：同一内容前后表述不一致）、③涉及的规范、标准错误或错误的使用专业术语（例：引用非最新的规范或标准、使用非专业性语句或词语描述设备专业功能、非专业的英文缩写、关键数据的错误，导致评审专家理解上的混淆），④地点区域错误（例：实施地在若羌县，投标人投标表述为其他地区），⑤内容遗漏及不符合采购需求等（例：只简单描写标题内容，未能展开表述对应内容需要注意的事项或相关的指导文件要求等，导致评审人员对方案是否具备专业能力做出合理判断，影响了措施方案的完整性；采购需求要求中要求的内容与投标人递交的方案内容不符）。</w:t>
            </w:r>
          </w:p>
        </w:tc>
      </w:tr>
      <w:tr w14:paraId="6A871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07" w:type="dxa"/>
            <w:gridSpan w:val="4"/>
            <w:noWrap w:val="0"/>
            <w:vAlign w:val="center"/>
          </w:tcPr>
          <w:p w14:paraId="143B3D34">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根据中华人民共和国财政部、中华人民共和国工业和信息化部《政府采购促进中小企业发展管理办法》（财库[2020]46号）文件及《关于落实好政府采购支持中小企业发展的通知》（新财购[2022]22号）的规定，属于中小企业评审优惠内容及幅度如下：</w:t>
            </w:r>
          </w:p>
          <w:p w14:paraId="61295448">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（一）中小企业（含中型、小型、微型企业）应当同时符合以下条件：</w:t>
            </w:r>
          </w:p>
          <w:p w14:paraId="7F2B6379">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①符合中小企业划分标准（按《关于印发中小企业划型标准规定的通知》（工信部联企业〔2011〕300号）执行）；</w:t>
            </w:r>
          </w:p>
          <w:p w14:paraId="69FB213F">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②提供本企业制造的货物、承担的项目或者服务，或者提供其他中小企业制造的货物。本项所称货物不包括使用大型企业注册商标的货物；</w:t>
            </w:r>
          </w:p>
          <w:p w14:paraId="36D1CE05">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③小型、微型企业提供中型企业制造的货物的，视同为中型企业。</w:t>
            </w:r>
          </w:p>
          <w:p w14:paraId="47A9A965">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监狱企业、残疾人福利性企业视同为小微企业。</w:t>
            </w:r>
          </w:p>
          <w:p w14:paraId="01F86034">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（二）价格扣除办法：对于非专门面向中小企业的项目，对</w:t>
            </w:r>
            <w:r>
              <w:rPr>
                <w:rFonts w:hint="eastAsia" w:ascii="宋体" w:hAnsi="宋体" w:eastAsia="宋体" w:cs="宋体"/>
                <w:b/>
                <w:bCs w:val="0"/>
                <w:color w:val="auto"/>
                <w:sz w:val="24"/>
                <w:szCs w:val="24"/>
                <w:highlight w:val="none"/>
              </w:rPr>
              <w:t>小型和微型</w:t>
            </w:r>
            <w:r>
              <w:rPr>
                <w:rFonts w:hint="eastAsia" w:ascii="宋体" w:hAnsi="宋体" w:eastAsia="宋体" w:cs="宋体"/>
                <w:bCs/>
                <w:color w:val="auto"/>
                <w:sz w:val="24"/>
                <w:szCs w:val="24"/>
                <w:highlight w:val="none"/>
              </w:rPr>
              <w:t>企业（或联合体各方均为小型、微型企业的）产品的价格给予10%的扣除，用扣除后的价格参与价格分的评审。</w:t>
            </w:r>
          </w:p>
          <w:p w14:paraId="105500A7">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rPr>
              <w:t>（三）小型和微型企业适用价格扣除办法时应提供的相关资料：《中小企业声明函》。</w:t>
            </w:r>
          </w:p>
        </w:tc>
      </w:tr>
    </w:tbl>
    <w:p w14:paraId="4293A867">
      <w:pPr>
        <w:pStyle w:val="20"/>
        <w:rPr>
          <w:rFonts w:hint="eastAsia" w:ascii="宋体" w:hAnsi="宋体" w:eastAsia="宋体" w:cs="宋体"/>
          <w:b/>
          <w:bCs/>
          <w:color w:val="auto"/>
          <w:sz w:val="24"/>
          <w:szCs w:val="24"/>
          <w:highlight w:val="none"/>
        </w:rPr>
      </w:pPr>
    </w:p>
    <w:p w14:paraId="73476DFC">
      <w:pPr>
        <w:widowControl/>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提出中标候选人</w:t>
      </w:r>
    </w:p>
    <w:p w14:paraId="20D96F72">
      <w:pPr>
        <w:widowControl/>
        <w:adjustRightInd w:val="0"/>
        <w:snapToGrid w:val="0"/>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rPr>
        <w:t>评审小组应当根据综合评分情况，按照评审得分由高到低顺序推荐</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名中标候选人，并编写评审报告。评审得分相同的，按照最后评审价格由低到高的顺序推荐。评审得分且最后评审价格相同的，按照技术指标优劣顺序推荐。</w:t>
      </w:r>
    </w:p>
    <w:p w14:paraId="25F86F31">
      <w:pPr>
        <w:tabs>
          <w:tab w:val="left" w:pos="0"/>
        </w:tabs>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确定中标单位</w:t>
      </w:r>
    </w:p>
    <w:p w14:paraId="6BBC9268">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采购代理机构应当在评审结束后2个工作日内将评审报告送采购人确认。</w:t>
      </w:r>
    </w:p>
    <w:p w14:paraId="2A9FD9A7">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采购人应当在收到评审报告后5个工作日内，从评审报告提出的中标候选人中，按照排序由高到低的原则确定中标单位，也可以书面授权评审小组直接确定中标单位。</w:t>
      </w:r>
    </w:p>
    <w:p w14:paraId="6AABECFF">
      <w:pPr>
        <w:pStyle w:val="26"/>
        <w:adjustRightInd w:val="0"/>
        <w:snapToGrid w:val="0"/>
        <w:spacing w:line="360" w:lineRule="auto"/>
        <w:ind w:left="632" w:hanging="723" w:hangingChars="3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终止公开招标采购</w:t>
      </w:r>
    </w:p>
    <w:p w14:paraId="16799002">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出现下列情形之一的，采购人或者采购代理机构应当终止公开招标采购活动，</w:t>
      </w:r>
      <w:r>
        <w:rPr>
          <w:rFonts w:hint="eastAsia" w:ascii="宋体" w:hAnsi="宋体" w:eastAsia="宋体" w:cs="宋体"/>
          <w:color w:val="auto"/>
          <w:sz w:val="24"/>
          <w:szCs w:val="24"/>
          <w:highlight w:val="none"/>
        </w:rPr>
        <w:t>在财政部门指定的媒体上</w:t>
      </w:r>
      <w:r>
        <w:rPr>
          <w:rFonts w:hint="eastAsia" w:ascii="宋体" w:hAnsi="宋体" w:eastAsia="宋体" w:cs="宋体"/>
          <w:color w:val="auto"/>
          <w:kern w:val="0"/>
          <w:sz w:val="24"/>
          <w:szCs w:val="24"/>
          <w:highlight w:val="none"/>
        </w:rPr>
        <w:t xml:space="preserve">发布项目终止公告并说明原因，重新开展采购活动： </w:t>
      </w:r>
    </w:p>
    <w:p w14:paraId="60AC7396">
      <w:pPr>
        <w:widowControl/>
        <w:adjustRightInd w:val="0"/>
        <w:snapToGri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（1）因情况变化，不再符合规定的公开招标采购方式适用情形的；</w:t>
      </w:r>
    </w:p>
    <w:p w14:paraId="64132EDC">
      <w:pPr>
        <w:widowControl/>
        <w:adjustRightInd w:val="0"/>
        <w:snapToGri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（2）出现影响采购公正的违法、违规行为的；</w:t>
      </w:r>
    </w:p>
    <w:p w14:paraId="558665E2">
      <w:pPr>
        <w:widowControl/>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color w:val="auto"/>
          <w:kern w:val="0"/>
          <w:sz w:val="24"/>
          <w:szCs w:val="24"/>
          <w:highlight w:val="none"/>
        </w:rPr>
        <w:t>（3）除市场竞争不充分的科研项目，以及需要扶持的科技成果转化项目外，在采购过程中符合竞争要求的投标人或者报价未超过采购预算的投标人不足3家的，或者提交最后报价的投标人少于3家的。</w:t>
      </w:r>
    </w:p>
    <w:p w14:paraId="21AAD2E5">
      <w:pPr>
        <w:widowControl/>
        <w:adjustRightInd w:val="0"/>
        <w:snapToGrid w:val="0"/>
        <w:spacing w:line="360" w:lineRule="auto"/>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重新评审</w:t>
      </w:r>
    </w:p>
    <w:p w14:paraId="169955BD">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资格性审查认定错误和分值汇总计算错误、分项评分超出评分标准范围、客观分评分不一致、经评审小组一致认定评分畸高、畸低的情形外，采购人或者采购代理机构不以任何理由组织重新评审。采购人、采购代理机构发现评审小组未按照采购文件规定的评定中标的标准进行评审的，应当重新开展采购活动，并同时书面报告本级财政部门。</w:t>
      </w:r>
    </w:p>
    <w:p w14:paraId="50A59DE0">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保密及串通行为</w:t>
      </w:r>
    </w:p>
    <w:p w14:paraId="4657AE4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评审小组成员以及与评审工作有关的人员不得泄露评审情况以及评审过程中获悉的国家秘密、商业秘密。</w:t>
      </w:r>
    </w:p>
    <w:p w14:paraId="6F98E98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不得与</w:t>
      </w:r>
      <w:r>
        <w:rPr>
          <w:rFonts w:hint="eastAsia" w:ascii="宋体" w:hAnsi="宋体" w:eastAsia="宋体" w:cs="宋体"/>
          <w:color w:val="auto"/>
          <w:kern w:val="0"/>
          <w:sz w:val="24"/>
          <w:szCs w:val="24"/>
          <w:highlight w:val="none"/>
        </w:rPr>
        <w:t>采购人、采购代理机构、其他投标人恶意</w:t>
      </w:r>
      <w:r>
        <w:rPr>
          <w:rFonts w:hint="eastAsia" w:ascii="宋体" w:hAnsi="宋体" w:eastAsia="宋体" w:cs="宋体"/>
          <w:color w:val="auto"/>
          <w:sz w:val="24"/>
          <w:szCs w:val="24"/>
          <w:highlight w:val="none"/>
        </w:rPr>
        <w:t>串通；不得向</w:t>
      </w:r>
      <w:r>
        <w:rPr>
          <w:rFonts w:hint="eastAsia" w:ascii="宋体" w:hAnsi="宋体" w:eastAsia="宋体" w:cs="宋体"/>
          <w:color w:val="auto"/>
          <w:kern w:val="0"/>
          <w:sz w:val="24"/>
          <w:szCs w:val="24"/>
          <w:highlight w:val="none"/>
        </w:rPr>
        <w:t>采购人、采购代理机构</w:t>
      </w:r>
      <w:r>
        <w:rPr>
          <w:rFonts w:hint="eastAsia" w:ascii="宋体" w:hAnsi="宋体" w:eastAsia="宋体" w:cs="宋体"/>
          <w:color w:val="auto"/>
          <w:sz w:val="24"/>
          <w:szCs w:val="24"/>
          <w:highlight w:val="none"/>
        </w:rPr>
        <w:t>或者评审小组成员行贿或者提供其他不正当利益；不得提供虚假材料谋取中标；不得以任何方式干扰、影响采购工作。</w:t>
      </w:r>
    </w:p>
    <w:p w14:paraId="0CC78BE7">
      <w:pPr>
        <w:pStyle w:val="44"/>
        <w:adjustRightInd w:val="0"/>
        <w:snapToGrid w:val="0"/>
        <w:spacing w:before="0" w:beforeAutospacing="0" w:after="0" w:afterAutospacing="0"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有下列情形之一的，</w:t>
      </w:r>
      <w:r>
        <w:rPr>
          <w:rFonts w:hint="eastAsia" w:ascii="宋体" w:hAnsi="宋体" w:eastAsia="宋体" w:cs="宋体"/>
          <w:color w:val="auto"/>
          <w:sz w:val="24"/>
          <w:szCs w:val="24"/>
          <w:highlight w:val="none"/>
          <w:lang w:val="zh-CN"/>
        </w:rPr>
        <w:t>属于恶意串通，</w:t>
      </w:r>
      <w:r>
        <w:rPr>
          <w:rFonts w:hint="eastAsia" w:ascii="宋体" w:hAnsi="宋体" w:eastAsia="宋体" w:cs="宋体"/>
          <w:color w:val="auto"/>
          <w:sz w:val="24"/>
          <w:szCs w:val="24"/>
          <w:highlight w:val="none"/>
        </w:rPr>
        <w:t>中标无效，并</w:t>
      </w:r>
      <w:r>
        <w:rPr>
          <w:rFonts w:hint="eastAsia" w:ascii="宋体" w:hAnsi="宋体" w:eastAsia="宋体" w:cs="宋体"/>
          <w:color w:val="auto"/>
          <w:sz w:val="24"/>
          <w:szCs w:val="24"/>
          <w:highlight w:val="none"/>
          <w:lang w:val="zh-CN"/>
        </w:rPr>
        <w:t>依照《政府采购法》第七十七条的规定追究法律责任：</w:t>
      </w:r>
    </w:p>
    <w:p w14:paraId="673EDBC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直接或者间接从</w:t>
      </w:r>
      <w:r>
        <w:rPr>
          <w:rFonts w:hint="eastAsia" w:ascii="宋体" w:hAnsi="宋体" w:eastAsia="宋体" w:cs="宋体"/>
          <w:bCs/>
          <w:color w:val="auto"/>
          <w:sz w:val="24"/>
          <w:szCs w:val="24"/>
          <w:highlight w:val="none"/>
        </w:rPr>
        <w:t>采购人、采购代理机构</w:t>
      </w:r>
      <w:r>
        <w:rPr>
          <w:rFonts w:hint="eastAsia" w:ascii="宋体" w:hAnsi="宋体" w:eastAsia="宋体" w:cs="宋体"/>
          <w:color w:val="auto"/>
          <w:sz w:val="24"/>
          <w:szCs w:val="24"/>
          <w:highlight w:val="none"/>
        </w:rPr>
        <w:t>获得其他</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的相应情况，并修改其投标文件的；</w:t>
      </w:r>
    </w:p>
    <w:p w14:paraId="2EFB914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bCs/>
          <w:color w:val="auto"/>
          <w:sz w:val="24"/>
          <w:szCs w:val="24"/>
          <w:highlight w:val="none"/>
        </w:rPr>
        <w:t>采购人、采购代理机构</w:t>
      </w:r>
      <w:r>
        <w:rPr>
          <w:rFonts w:hint="eastAsia" w:ascii="宋体" w:hAnsi="宋体" w:eastAsia="宋体" w:cs="宋体"/>
          <w:color w:val="auto"/>
          <w:sz w:val="24"/>
          <w:szCs w:val="24"/>
          <w:highlight w:val="none"/>
        </w:rPr>
        <w:t>授意</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撤换、修改投标文件的；</w:t>
      </w:r>
    </w:p>
    <w:p w14:paraId="2F66E0D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之间协商技术方案、合同条款以及报价等投标文件实质性内容的；</w:t>
      </w:r>
    </w:p>
    <w:p w14:paraId="6D18565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（4）属于同一集团、协会、商会等组织成员的</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按照该组织要求协同参加公开招标政府采购活动的；</w:t>
      </w:r>
    </w:p>
    <w:p w14:paraId="2EA727B6">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之间事先约定由某一特定</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中标的；</w:t>
      </w:r>
    </w:p>
    <w:p w14:paraId="27D3BCD2">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之间商定部分</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放弃提交投标文件或者退出投标或者放弃中标的；</w:t>
      </w:r>
    </w:p>
    <w:p w14:paraId="2DBB2711">
      <w:pPr>
        <w:adjustRightInd w:val="0"/>
        <w:snapToGrid w:val="0"/>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与</w:t>
      </w:r>
      <w:r>
        <w:rPr>
          <w:rFonts w:hint="eastAsia" w:ascii="宋体" w:hAnsi="宋体" w:eastAsia="宋体" w:cs="宋体"/>
          <w:bCs/>
          <w:color w:val="auto"/>
          <w:sz w:val="24"/>
          <w:szCs w:val="24"/>
          <w:highlight w:val="none"/>
        </w:rPr>
        <w:t>采购人、采购代理机构以及</w:t>
      </w:r>
      <w:r>
        <w:rPr>
          <w:rFonts w:hint="eastAsia" w:ascii="宋体" w:hAnsi="宋体" w:eastAsia="宋体" w:cs="宋体"/>
          <w:color w:val="auto"/>
          <w:sz w:val="24"/>
          <w:szCs w:val="24"/>
          <w:highlight w:val="none"/>
        </w:rPr>
        <w:t>评审小组成员之间、</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相互之间，为谋求特定</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中标或者排斥其他</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的其他串通行为的。</w:t>
      </w:r>
    </w:p>
    <w:p w14:paraId="50B09CE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（8）法律、行政法规或规章规定的其他串通行为。</w:t>
      </w:r>
    </w:p>
    <w:bookmarkEnd w:id="26"/>
    <w:bookmarkEnd w:id="27"/>
    <w:p w14:paraId="76A1D76F">
      <w:pPr>
        <w:pStyle w:val="2"/>
        <w:rPr>
          <w:rFonts w:hint="eastAsia" w:ascii="宋体" w:hAnsi="宋体" w:eastAsia="宋体" w:cs="宋体"/>
          <w:color w:val="auto"/>
          <w:highlight w:val="none"/>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30" w:name="_Toc25844"/>
      <w:bookmarkStart w:id="31" w:name="_Toc12906820"/>
      <w:bookmarkStart w:id="32" w:name="_Toc420948022"/>
      <w:bookmarkStart w:id="33" w:name="_Toc433113178"/>
    </w:p>
    <w:p w14:paraId="26C17BC8">
      <w:pPr>
        <w:pStyle w:val="2"/>
        <w:rPr>
          <w:rFonts w:hint="eastAsia" w:ascii="宋体" w:hAnsi="宋体" w:eastAsia="宋体" w:cs="宋体"/>
          <w:color w:val="auto"/>
          <w:highlight w:val="none"/>
        </w:rPr>
      </w:pPr>
      <w:r>
        <w:rPr>
          <w:rFonts w:hint="eastAsia" w:ascii="宋体" w:hAnsi="宋体" w:eastAsia="宋体" w:cs="宋体"/>
          <w:color w:val="auto"/>
          <w:highlight w:val="none"/>
        </w:rPr>
        <w:t>第四章  采购需求</w:t>
      </w:r>
      <w:bookmarkEnd w:id="30"/>
      <w:bookmarkEnd w:id="31"/>
    </w:p>
    <w:p w14:paraId="285786B5">
      <w:pPr>
        <w:pStyle w:val="4"/>
        <w:bidi w:val="0"/>
        <w:rPr>
          <w:rFonts w:hint="eastAsia"/>
          <w:color w:val="auto"/>
          <w:highlight w:val="none"/>
          <w:lang w:eastAsia="zh-CN"/>
        </w:rPr>
      </w:pPr>
      <w:bookmarkStart w:id="34" w:name="_Toc25797"/>
      <w:r>
        <w:rPr>
          <w:rFonts w:hint="eastAsia"/>
          <w:color w:val="auto"/>
          <w:highlight w:val="none"/>
          <w:lang w:eastAsia="zh-CN"/>
        </w:rPr>
        <w:t>一、技术参数要求：</w:t>
      </w:r>
      <w:bookmarkEnd w:id="34"/>
    </w:p>
    <w:tbl>
      <w:tblPr>
        <w:tblStyle w:val="47"/>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60"/>
        <w:gridCol w:w="7937"/>
      </w:tblGrid>
      <w:tr w14:paraId="29820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77" w:hRule="atLeast"/>
          <w:jc w:val="center"/>
        </w:trPr>
        <w:tc>
          <w:tcPr>
            <w:tcW w:w="1160" w:type="dxa"/>
            <w:shd w:val="clear" w:color="auto" w:fill="auto"/>
            <w:noWrap/>
            <w:vAlign w:val="center"/>
          </w:tcPr>
          <w:p w14:paraId="11133E9F">
            <w:pPr>
              <w:keepNext w:val="0"/>
              <w:keepLines w:val="0"/>
              <w:widowControl/>
              <w:suppressLineNumbers w:val="0"/>
              <w:jc w:val="both"/>
              <w:textAlignment w:val="center"/>
              <w:rPr>
                <w:rFonts w:hint="eastAsia" w:ascii="宋体" w:hAnsi="宋体" w:eastAsia="宋体" w:cs="宋体"/>
                <w:b w:val="0"/>
                <w:bCs w:val="0"/>
                <w:i w:val="0"/>
                <w:iCs w:val="0"/>
                <w:color w:val="auto"/>
                <w:sz w:val="21"/>
                <w:szCs w:val="21"/>
                <w:highlight w:val="none"/>
                <w:u w:val="none"/>
              </w:rPr>
            </w:pPr>
            <w:bookmarkStart w:id="35" w:name="_Toc14990"/>
            <w:r>
              <w:rPr>
                <w:rFonts w:hint="eastAsia" w:ascii="宋体" w:hAnsi="宋体" w:eastAsia="宋体" w:cs="宋体"/>
                <w:b w:val="0"/>
                <w:bCs w:val="0"/>
                <w:i w:val="0"/>
                <w:iCs w:val="0"/>
                <w:color w:val="auto"/>
                <w:kern w:val="0"/>
                <w:sz w:val="21"/>
                <w:szCs w:val="21"/>
                <w:highlight w:val="none"/>
                <w:u w:val="none"/>
                <w:lang w:val="en-US" w:eastAsia="zh-CN" w:bidi="ar"/>
              </w:rPr>
              <w:t>彩色多普勒超声诊断仪(5个探头)</w:t>
            </w:r>
          </w:p>
        </w:tc>
        <w:tc>
          <w:tcPr>
            <w:tcW w:w="7937" w:type="dxa"/>
            <w:shd w:val="clear" w:color="auto" w:fill="auto"/>
            <w:vAlign w:val="center"/>
          </w:tcPr>
          <w:p w14:paraId="35A42E8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一、用途：</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用于腹部、心脏、妇产、泌尿、浅表小器官与血管、儿科、肌骨神经、介入诊疗、体检及临床学术研究。须具备三类注册证</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二、 主要规格及系统概述</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1.主机系统性能概括：</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a.≥21英寸宽屏高分辨率监视器，可实现上下左右前后任意方位调节，可前后折叠 。</w:t>
            </w:r>
          </w:p>
          <w:p w14:paraId="43CEE50D">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b.液晶触摸屏≥12英寸，支持界面编辑及滑动翻页功能</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c.操作面板可调节高度、前后左右位置及旋转，支持抽拉式键盘</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d.原始数据储存，可对回放图像进行多种参数调节</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e.采用全域（全程）聚焦成像技术，</w:t>
            </w:r>
          </w:p>
          <w:p w14:paraId="33B9F734">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f.具有像素优化技术具有可调节开关。</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2.二维灰阶成像单元</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a.具有宽频可变频成像技术：灰阶、谐波、彩色、频谱支持独立变频，具体中心频率数值可视可调（附图证明）</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b.具有斑点噪声抑制技术：支持所有探头，多级可调，支持3D/4D、CFM/PDI、宽景成像、造影成像等技术</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c.空间复合成像：支持凸阵、线阵及容积探头，具有帧平均、帧速率等多种可调节参数（附图证明）</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d.组织谐波成像：可用于所有探头，频率可视可调，中心频率数值可显示</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e. 组织声束矫正技术：适用于凸阵及线阵探头，可显示具体数值（附图证明）</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f. 宽景成像：可与空间复合成像功能联合使用，自动检测扫描方向，支持旋转及测量</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 成像技术</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a 具有血管内中膜自动测量技术：可测量最大值、平均值等</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b.具有精细（微视）血流成像技术 C. 可无角度依赖，清晰显示血流动力学状态</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D. 可去掉血流周围组织回声背景，单独显示血流；也可支持组织+血流双幅显示或叠加显示的方式</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e.具有超微细血流成像技术，显示超微细血流及低速血流信号</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F. 具有二维立体血流显示技术；使二维血流显示达到三维显示效果（附图证明），立体程度可调节，可联合超低速血流技术和高穿透技术成像。</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g. 具有穿刺针增强显示功能</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h. 可独立调整穿刺针的显示增益，i.具有多角度可调功能，帮助清晰显示穿刺路径j. 能够快速识别血管结构，自动调整彩色取样框位置、角度、调整频谱取样容积和取样角度</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4 高级成像技术</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a. 具备弹性成像b. 支持凸阵、线阵/超高频线阵、腔内、面阵或单晶体等探头（附图证明） 具备弹性量化分析：动态弹性图定量分析，可同屏提供≥6个感兴趣区的硬度值和≥5个感兴趣区与参照区的硬度比</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c.具有随访功能将同一患者之前的超声图像与当前的 图像同屏对比，并可自动同步之前成像参数、体标、注释等全部初始条件可支持多模态同屏对比</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d.具有一键自动识别血管位置、自动启动彩色多普勒功能、自动调整彩色取样框位置、角度，自动启动频谱多普勒、调整频谱取样容积及角度等、自动优化频谱并自动测量。</w:t>
            </w:r>
          </w:p>
          <w:p w14:paraId="55002A8F">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▲e.具备乳腺检测智能工具包。</w:t>
            </w:r>
          </w:p>
          <w:p w14:paraId="6E1DD6C5">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▲f.具备甲状腺检查工具包。</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g. 配肝脏脂肪变定量功能具备包括静态单帧多点及动态多帧单点测量多种测量方式5测量和分析（B型、M型、频谱多普勒、彩色模式）</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a.具有产科自动测量技术，系统能根据图像识别技术自动测量胎儿的双顶径、股骨长、头围、腹围等重要的胎儿生长发育指标，并且自动测量计算数值</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b.心脏功能测量多普勒血流测量与分析 ；外周血管测量与分析；泌尿科测量与分析</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c.多普勒频谱自动包络、测量与计算，参数由客户自由选择</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d. 图像存储与(电影)回放重现单元</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e.输入/输出信号：HDMI、USB等</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f. 连通性：医学数字图像和通信DICOM 3.0版接口部件(且可以作为中央服务器远程读取、调入、存储其他彩超图像)，支持压缩和高清DICOM图像传输</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g.超声图像存档与病案管理系统</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h..固态硬盘容量≥900GB</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i. 一体化剪帖板：(在屏幕上)可以存储和回放动态及静态图像，图像大小有3种可调；在剪贴板上可以直接进行图像删除、转存或进入病案系统</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j.. USB接口支持U盘或移动硬盘快速存储屏幕上的图像</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k. 超声图像静态、动态存储，原始数据回放重现</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l.动态图像、静态图像以JPEG或WMV（MPEGVue）格式直接存储于可移动媒介</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m. 在屏剪帖板和多画面同屏回放功能，不同检查日期所存的图像可以回放至同一屏幕比较分析</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6、技术参数要求</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a.≥21英寸高分辨率监视器</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b.全方位关节臂旋转</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c.≥4 个可激活的探头接口（不包括笔式探头接口）均为无针触点式互用接口</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d.配备5把探头，</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e.频率：无针触点式宽频变频探头，所有探头及所有检查模式有中心频率显示，实现二维、谐波、彩色、多普勒频率独立可调</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f.小器官面阵或单晶体探头阵元数≥1000阵元</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 xml:space="preserve">g.配穿刺导向装置，≥3个穿刺角度 </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h.腹部凸阵探头1把 血管线阵探头1把 成人经胸相控阵探头1把</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 xml:space="preserve"> 腔内探头1把  高频小器官线阵探头1把 </w:t>
            </w:r>
          </w:p>
          <w:p w14:paraId="1F481629">
            <w:pPr>
              <w:keepNext w:val="0"/>
              <w:keepLines w:val="0"/>
              <w:widowControl/>
              <w:numPr>
                <w:ilvl w:val="0"/>
                <w:numId w:val="1"/>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二维灰阶显示主要参数：</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1.凸阵探头，18cm深度，全视野，最高线密度下，二维帧频≥40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2.凸阵探头，18cm深度，全视野，最高线密度下，彩色帧频≥16</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3.相控阵探头，18cm 深度，扫描角度 85°，最高线密度下，二维帧频 ≥50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4.相控阵探头，18cm 深度，扫描角度 85°，最高线密度下，彩色帧频 ≥20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5.回放重现： 灰阶图像回放≥1000幅、回放时间≥30秒</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6.预设条件针对不同的检查脏器，预置最佳化图像的检查条件</w:t>
            </w:r>
          </w:p>
          <w:p w14:paraId="4A963CD0">
            <w:pPr>
              <w:keepNext w:val="0"/>
              <w:keepLines w:val="0"/>
              <w:widowControl/>
              <w:numPr>
                <w:ilvl w:val="0"/>
                <w:numId w:val="2"/>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增益调节：B/M可独立调节，TGC≥8段</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8.二维腹部探头扫描深度≥55cm（附图证明）</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9.频谱多普勒--方式：PW，CW，HPRF</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10.多普勒发射频率可视可调</w:t>
            </w:r>
          </w:p>
          <w:p w14:paraId="32F1704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11.彩色多普勒--显示方式：速度方差显示、能量显示、速度显示、方差显示</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12.具有双同步/三同步显示（B/D/CFM）</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13.线阵扫描感兴趣的图像范围：-20°~+20°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14.彩色多普勒能量图 ，彩色方向性能量图</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15.B/M、PWD、Color Doppler输出功率可调</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五．其他要求</w:t>
            </w:r>
          </w:p>
          <w:p w14:paraId="4EE5B324">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sz w:val="21"/>
                <w:szCs w:val="21"/>
                <w:highlight w:val="none"/>
                <w:u w:val="none"/>
                <w:lang w:val="en-US"/>
              </w:rPr>
            </w:pPr>
            <w:r>
              <w:rPr>
                <w:rFonts w:hint="eastAsia" w:ascii="宋体" w:hAnsi="宋体" w:eastAsia="宋体" w:cs="宋体"/>
                <w:b w:val="0"/>
                <w:bCs w:val="0"/>
                <w:i w:val="0"/>
                <w:iCs w:val="0"/>
                <w:color w:val="auto"/>
                <w:kern w:val="0"/>
                <w:sz w:val="21"/>
                <w:szCs w:val="21"/>
                <w:highlight w:val="none"/>
                <w:u w:val="none"/>
                <w:lang w:val="en-US" w:eastAsia="zh-CN" w:bidi="ar"/>
              </w:rPr>
              <w:t>配工作站2套、检查床2张（可升降）、 超声专用检查医师椅子2个、配套电脑桌椅、打印机2套、探头消毒机2台，衣架2个。工作站需与医院信息化系统连接，连接产生的费用由中标方承担。</w:t>
            </w:r>
          </w:p>
        </w:tc>
      </w:tr>
      <w:tr w14:paraId="1C44D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77" w:hRule="atLeast"/>
          <w:jc w:val="center"/>
        </w:trPr>
        <w:tc>
          <w:tcPr>
            <w:tcW w:w="1160" w:type="dxa"/>
            <w:shd w:val="clear" w:color="auto" w:fill="auto"/>
            <w:noWrap/>
            <w:vAlign w:val="center"/>
          </w:tcPr>
          <w:p w14:paraId="3ADE57E0">
            <w:pPr>
              <w:keepNext w:val="0"/>
              <w:keepLines w:val="0"/>
              <w:widowControl/>
              <w:suppressLineNumbers w:val="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电解质分析仪</w:t>
            </w:r>
          </w:p>
        </w:tc>
        <w:tc>
          <w:tcPr>
            <w:tcW w:w="7937" w:type="dxa"/>
            <w:shd w:val="clear" w:color="auto" w:fill="auto"/>
            <w:vAlign w:val="center"/>
          </w:tcPr>
          <w:p w14:paraId="20131CEC">
            <w:pPr>
              <w:keepNext w:val="0"/>
              <w:keepLines w:val="0"/>
              <w:widowControl/>
              <w:numPr>
                <w:ilvl w:val="0"/>
                <w:numId w:val="3"/>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检测项目：包括：K+、Na+、Cl-等</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2.方法学：离子选择电极法</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3.测试速度：≤45s/标本</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4.样本量：≤200ul</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5.样本类型：血清、全血等</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6.▲进样系统：进样系统与仪器主机为整机一体化设计，而非组合式设计；支持离心管直接上机测试。</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7.▲样本盘：单盘≥60个样本位（含4个急诊位）</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8.能自动感应液面高度、内外壁同时清洗、能垂直和水平运动下，带防撞保护功能。</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9.Linux等操作系统，≥800×480彩色 触摸显示屏。</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10.一体化试剂包</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11.可存储≥10万个的检测结果，内嵌式条码扫描仪。</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12.输出方式：屏幕显示、高速热敏打印机、实时RS-232数据接口，支持LIS系统连接，连接产生的费用由中标单位承担</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13.质控查询范围：≥30天，可打印质控数据和曲线。</w:t>
            </w:r>
          </w:p>
          <w:p w14:paraId="0885D317">
            <w:pPr>
              <w:keepNext w:val="0"/>
              <w:keepLines w:val="0"/>
              <w:widowControl/>
              <w:numPr>
                <w:numId w:val="0"/>
              </w:numPr>
              <w:suppressLineNumbers w:val="0"/>
              <w:jc w:val="left"/>
              <w:textAlignment w:val="center"/>
              <w:rPr>
                <w:rFonts w:hint="default" w:ascii="宋体" w:hAnsi="宋体" w:cs="宋体"/>
                <w:b w:val="0"/>
                <w:bCs w:val="0"/>
                <w:i w:val="0"/>
                <w:iCs w:val="0"/>
                <w:color w:val="auto"/>
                <w:kern w:val="0"/>
                <w:sz w:val="21"/>
                <w:szCs w:val="21"/>
                <w:highlight w:val="none"/>
                <w:u w:val="none"/>
                <w:lang w:val="en-US" w:eastAsia="zh-CN" w:bidi="ar"/>
              </w:rPr>
            </w:pPr>
            <w:r>
              <w:rPr>
                <w:rFonts w:hint="eastAsia" w:ascii="宋体" w:hAnsi="宋体" w:cs="宋体"/>
                <w:b w:val="0"/>
                <w:bCs w:val="0"/>
                <w:i w:val="0"/>
                <w:iCs w:val="0"/>
                <w:color w:val="auto"/>
                <w:kern w:val="0"/>
                <w:sz w:val="21"/>
                <w:szCs w:val="21"/>
                <w:highlight w:val="none"/>
                <w:u w:val="none"/>
                <w:lang w:val="en-US" w:eastAsia="zh-CN" w:bidi="ar"/>
              </w:rPr>
              <w:t>需配备≥</w:t>
            </w:r>
            <w:r>
              <w:rPr>
                <w:rFonts w:hint="eastAsia" w:ascii="宋体" w:hAnsi="宋体" w:eastAsia="宋体" w:cs="宋体"/>
                <w:b w:val="0"/>
                <w:bCs w:val="0"/>
                <w:i w:val="0"/>
                <w:iCs w:val="0"/>
                <w:color w:val="auto"/>
                <w:kern w:val="0"/>
                <w:sz w:val="21"/>
                <w:szCs w:val="21"/>
                <w:highlight w:val="none"/>
                <w:u w:val="none"/>
                <w:lang w:val="en-US" w:eastAsia="zh-CN" w:bidi="ar"/>
              </w:rPr>
              <w:t>96孔低速离心机</w:t>
            </w:r>
            <w:r>
              <w:rPr>
                <w:rFonts w:hint="eastAsia" w:ascii="宋体" w:hAnsi="宋体" w:cs="宋体"/>
                <w:b w:val="0"/>
                <w:bCs w:val="0"/>
                <w:i w:val="0"/>
                <w:iCs w:val="0"/>
                <w:color w:val="auto"/>
                <w:kern w:val="0"/>
                <w:sz w:val="21"/>
                <w:szCs w:val="21"/>
                <w:highlight w:val="none"/>
                <w:u w:val="none"/>
                <w:lang w:val="en-US" w:eastAsia="zh-CN" w:bidi="ar"/>
              </w:rPr>
              <w:t>1台。</w:t>
            </w:r>
          </w:p>
          <w:p w14:paraId="1659BCBB">
            <w:pPr>
              <w:keepNext w:val="0"/>
              <w:keepLines w:val="0"/>
              <w:widowControl/>
              <w:numPr>
                <w:numId w:val="0"/>
              </w:numPr>
              <w:suppressLineNumbers w:val="0"/>
              <w:jc w:val="left"/>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val="0"/>
                <w:bCs w:val="0"/>
                <w:i w:val="0"/>
                <w:iCs w:val="0"/>
                <w:color w:val="auto"/>
                <w:kern w:val="0"/>
                <w:sz w:val="21"/>
                <w:szCs w:val="21"/>
                <w:highlight w:val="none"/>
                <w:u w:val="none"/>
                <w:lang w:val="en-US" w:eastAsia="zh-CN" w:bidi="ar"/>
              </w:rPr>
              <w:t>投标人所供设备需与采购人现使用试剂相适配。</w:t>
            </w:r>
          </w:p>
        </w:tc>
      </w:tr>
      <w:tr w14:paraId="2F051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77" w:hRule="atLeast"/>
          <w:jc w:val="center"/>
        </w:trPr>
        <w:tc>
          <w:tcPr>
            <w:tcW w:w="1160" w:type="dxa"/>
            <w:shd w:val="clear" w:color="auto" w:fill="auto"/>
            <w:noWrap/>
            <w:vAlign w:val="center"/>
          </w:tcPr>
          <w:p w14:paraId="4A512B55">
            <w:pPr>
              <w:keepNext w:val="0"/>
              <w:keepLines w:val="0"/>
              <w:widowControl/>
              <w:suppressLineNumbers w:val="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五分类血液细胞分析</w:t>
            </w:r>
          </w:p>
        </w:tc>
        <w:tc>
          <w:tcPr>
            <w:tcW w:w="7937" w:type="dxa"/>
            <w:shd w:val="clear" w:color="auto" w:fill="auto"/>
            <w:vAlign w:val="center"/>
          </w:tcPr>
          <w:p w14:paraId="4A74C439">
            <w:pPr>
              <w:keepNext w:val="0"/>
              <w:keepLines w:val="0"/>
              <w:widowControl/>
              <w:numPr>
                <w:ilvl w:val="0"/>
                <w:numId w:val="4"/>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适用范围：用于检测人体血液白细胞，红细胞，血红蛋白，血小板等参数。</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二、技术参数：</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1.检测原理：血液分析采用半导体激光法、鞘流电阻抗法、荧光染色法和流式细胞技术原理，CRP、SAA检测采用胶乳增强免疫散射比浊法。</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2.报告参数：血液分析报告参数≥37个，三维散点图≥3个；体液分析报告参数≥7个；CRP报告参数≥2个。</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 CBC＋DIFF＋NRBC＋CRP≥100样本/小时；CBC＋DIFF＋NRBC＋SAA ≥100样本/小时。</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▲4.单机检测速度：CBC＋DIFF＋NRBC ≥110个样本/小时。</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5.进样方式及用血量：静脉血和末梢全血均可自动批量进样或手动进样；末梢全血检测CD+CRP用血量≤40μl，末梢全血检测CD+CRP+SAA用血量≤40μl，预稀释模式CD+CRP+SAA用血量≤20μl。</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6.标配自动进样器，自动进样器内轨具有回退功能，并配开放进样或封闭进样装置。</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7.具有自动扫码进样、自动混匀、异常标本自动回退复检；自动混匀等功能</w:t>
            </w:r>
          </w:p>
          <w:p w14:paraId="2CF07D0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8.末梢血预稀释模式能进行白细胞五分类、有核红细胞、网织红细胞和CRP检测功能，有急诊插入功能。</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9.具有全自动体液（含胸水、腹水、脑脊液和浆膜液等体液）细胞计数和对体液中的白细胞进行分类的功能；具有通过高荧光体液细胞参数对肿瘤细胞进行提示功能。</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10.使用荧光染料和半导体激光检测WBC五分类，具有有核红细胞检测功能，能自动进行对白细胞计数的校正。</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11.血小板检测采用鞘流阻抗法和荧光染色法两种方法，并可转换。</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12.具有低值血小板检测功能</w:t>
            </w:r>
          </w:p>
          <w:p w14:paraId="05E9AA8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13.</w:t>
            </w:r>
            <w:r>
              <w:rPr>
                <w:rFonts w:hint="eastAsia" w:ascii="宋体" w:hAnsi="宋体" w:eastAsia="宋体" w:cs="宋体"/>
                <w:b w:val="0"/>
                <w:bCs w:val="0"/>
                <w:i w:val="0"/>
                <w:iCs w:val="0"/>
                <w:color w:val="auto"/>
                <w:kern w:val="0"/>
                <w:sz w:val="21"/>
                <w:szCs w:val="21"/>
                <w:highlight w:val="none"/>
                <w:u w:val="none"/>
                <w:lang w:val="en-US" w:eastAsia="zh-CN" w:bidi="ar"/>
              </w:rPr>
              <w:t>具有低值白细胞检测功能</w:t>
            </w:r>
          </w:p>
          <w:p w14:paraId="7852E678">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14.</w:t>
            </w:r>
            <w:r>
              <w:rPr>
                <w:rFonts w:hint="eastAsia" w:ascii="宋体" w:hAnsi="宋体" w:eastAsia="宋体" w:cs="宋体"/>
                <w:b w:val="0"/>
                <w:bCs w:val="0"/>
                <w:i w:val="0"/>
                <w:iCs w:val="0"/>
                <w:color w:val="auto"/>
                <w:kern w:val="0"/>
                <w:sz w:val="21"/>
                <w:szCs w:val="21"/>
                <w:highlight w:val="none"/>
                <w:u w:val="none"/>
                <w:lang w:val="en-US" w:eastAsia="zh-CN" w:bidi="ar"/>
              </w:rPr>
              <w:t>具有高值SAA自动稀释重测功能</w:t>
            </w:r>
          </w:p>
          <w:p w14:paraId="50314568">
            <w:pPr>
              <w:keepNext w:val="0"/>
              <w:keepLines w:val="0"/>
              <w:widowControl/>
              <w:numPr>
                <w:ilvl w:val="0"/>
                <w:numId w:val="0"/>
              </w:numPr>
              <w:suppressLineNumbers w:val="0"/>
              <w:ind w:leftChars="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15.血液分析仪可与推片染色机通过轨道连接成血液分析流水线</w:t>
            </w:r>
          </w:p>
          <w:p w14:paraId="01044134">
            <w:pPr>
              <w:keepNext w:val="0"/>
              <w:keepLines w:val="0"/>
              <w:widowControl/>
              <w:numPr>
                <w:ilvl w:val="0"/>
                <w:numId w:val="0"/>
              </w:numPr>
              <w:suppressLineNumbers w:val="0"/>
              <w:ind w:leftChars="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16.具有≥10寸彩色液晶触摸屏。</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17.线性范围（静脉血）：白细胞:（0-500）×109/L，血小板:（0-5000）×10^9/L</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18.CRP线性范围：0.2~320mg/L</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19.全血CRP\SAA检测时可校正红细胞、白细胞、血小板体积的干扰。</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20.原厂配套较准品、质控品满足溯源性要求。</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▲三、配置要求：</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1.主机及系统：1套</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2.工作站：1套（不作同品牌要求）（按院方需求）</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3.打印机：1台（不作同品牌要求）（按院方需求）</w:t>
            </w:r>
          </w:p>
          <w:p w14:paraId="7F533E79">
            <w:pPr>
              <w:keepNext w:val="0"/>
              <w:keepLines w:val="0"/>
              <w:widowControl/>
              <w:numPr>
                <w:ilvl w:val="0"/>
                <w:numId w:val="0"/>
              </w:numPr>
              <w:suppressLineNumbers w:val="0"/>
              <w:ind w:leftChars="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val="0"/>
                <w:bCs w:val="0"/>
                <w:i w:val="0"/>
                <w:iCs w:val="0"/>
                <w:color w:val="auto"/>
                <w:kern w:val="0"/>
                <w:sz w:val="21"/>
                <w:szCs w:val="21"/>
                <w:highlight w:val="none"/>
                <w:u w:val="none"/>
                <w:lang w:val="en-US" w:eastAsia="zh-CN" w:bidi="ar"/>
              </w:rPr>
              <w:t>投标人所供设备需与采购人现使用试剂相适配。</w:t>
            </w:r>
          </w:p>
        </w:tc>
      </w:tr>
      <w:tr w14:paraId="4F200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77" w:hRule="atLeast"/>
          <w:jc w:val="center"/>
        </w:trPr>
        <w:tc>
          <w:tcPr>
            <w:tcW w:w="1160" w:type="dxa"/>
            <w:shd w:val="clear" w:color="auto" w:fill="auto"/>
            <w:noWrap/>
            <w:vAlign w:val="center"/>
          </w:tcPr>
          <w:p w14:paraId="57B09396">
            <w:pPr>
              <w:keepNext w:val="0"/>
              <w:keepLines w:val="0"/>
              <w:widowControl/>
              <w:suppressLineNumbers w:val="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低速离心机96孔</w:t>
            </w:r>
          </w:p>
        </w:tc>
        <w:tc>
          <w:tcPr>
            <w:tcW w:w="7937" w:type="dxa"/>
            <w:shd w:val="clear" w:color="auto" w:fill="auto"/>
            <w:vAlign w:val="center"/>
          </w:tcPr>
          <w:p w14:paraId="0D0A6946">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1.最高转速: ≥4200rpm ,</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2.最大相对离心力: ≥3300xg ,</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3.水平转头容量: ≥4*600ml ,</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4.转速精度:≤± 10rpm ,</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5.功率:约2.0KVA ,</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6.温控范围:-20 ℃ —40 ℃ ,</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7.温控精度:≤± 2℃ ,</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8.噪音:≤60dB ,</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9.定时范围:1min --99:99:59(h:m:s) ,</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11.外形尺寸（L*W*H):约735*580*855 mm ,</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12.提篮:16*50ml尖底带盖 (2套提篮)</w:t>
            </w:r>
          </w:p>
        </w:tc>
      </w:tr>
      <w:tr w14:paraId="1CE8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77" w:hRule="atLeast"/>
          <w:jc w:val="center"/>
        </w:trPr>
        <w:tc>
          <w:tcPr>
            <w:tcW w:w="1160" w:type="dxa"/>
            <w:shd w:val="clear" w:color="auto" w:fill="auto"/>
            <w:noWrap/>
            <w:vAlign w:val="center"/>
          </w:tcPr>
          <w:p w14:paraId="7886D0B0">
            <w:pPr>
              <w:keepNext w:val="0"/>
              <w:keepLines w:val="0"/>
              <w:widowControl/>
              <w:suppressLineNumbers w:val="0"/>
              <w:jc w:val="both"/>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数码液晶平板生物显微镜</w:t>
            </w:r>
          </w:p>
        </w:tc>
        <w:tc>
          <w:tcPr>
            <w:tcW w:w="7937" w:type="dxa"/>
            <w:shd w:val="clear" w:color="auto" w:fill="auto"/>
            <w:vAlign w:val="center"/>
          </w:tcPr>
          <w:p w14:paraId="2B2604BB">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1.放大倍数：40×~1000×。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2.光学系统：无限远色差校正光学系统。</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3.目镜：高眼点平场目镜PL10×/22mm，带视度调节。显微镜目镜放大率准确度≤±0.5%。</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4.观察筒：铰链式观察筒，30°倾斜；瞳距调节范围：48~76mm。具有铰链组，360°旋转功能，眼点高度调节范围：375~428mm。</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5.物镜转换器：内倾式≥5孔物镜编码转换、能够记忆每个物镜的照明亮度、自动切换，物镜切换时，亮度自动调整。转换器稳定性≤0.003mm。</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6.聚光镜：阿贝式聚光镜，数值孔径N.A.1．25，齿轮齿条垂直升降，带可变孔径光栏，带暗场、相差附件插口。</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7.载物台：双层机械移动平台，采用陶瓷工艺、强度强、耐腐蚀。低手位X、Y方向同轴调节，X方向采用线轨传动，无齿条伸出。载物台面积≥210mm×170mm，片夹可同时夹持两块切片。平台行程≥78mm×50mm，精度≤0.1mm。载物台侧向受5N水平方向作用力的最大位移≤0.01mm， 载物台侧向受5N水平方向作用力的不重复性≤0.002mm。</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8.调焦机构：粗微调同轴，粗调行程≥25mm，微调精度2μm，全金属齿轮齿条调焦机构，带可调式平台上限位装置。</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9.物镜：无限远平场消色差物镜：4×/NA≥0.1/WD≥15mm， 10×/NA≥0.25/WD≥10.8mm，40×/NA≥0.65/WD≥0.8mm，100×/NA≥1.25/WD≥0.21mm。物镜清晰圆直径：4×物镜≥18.6mm、10×物镜≥18.5mm、40×物镜≥18.9mm、100×物镜≥18.9mm物镜放大率准确度误差范围≤±0.8%。</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10.物镜齐焦：10×→40×，≤±0.006mm，40×→100×，≤±0.005mm。</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11.照明系统：≥3W LED，带液晶显示窗口、色温可调，色温可调节范围3000K~7000K，12.机身带搬运手柄，机身带收纳仓</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13.外置式液晶数码显示模块，≥ 10寸高清屏，实时HDR，内建OSD菜单，标准C接口，内建存储 ≥16G，支持SD卡存储、外接U盘存储，最大拓展32G。屏可变仰角范围为上下左右约15度，≥1600万像素，分辨率≥1080P。</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14.图像输出接口：包括HDMI、WIFI、USB等。</w:t>
            </w:r>
          </w:p>
        </w:tc>
      </w:tr>
    </w:tbl>
    <w:p w14:paraId="03118C2D">
      <w:pPr>
        <w:pStyle w:val="4"/>
        <w:bidi w:val="0"/>
        <w:rPr>
          <w:rFonts w:hint="eastAsia"/>
          <w:color w:val="auto"/>
          <w:highlight w:val="none"/>
          <w:lang w:val="en-US" w:eastAsia="zh-CN"/>
        </w:rPr>
      </w:pPr>
    </w:p>
    <w:p w14:paraId="2FE3C6C4">
      <w:pPr>
        <w:pStyle w:val="4"/>
        <w:bidi w:val="0"/>
        <w:rPr>
          <w:rFonts w:hint="eastAsia"/>
          <w:color w:val="auto"/>
          <w:highlight w:val="none"/>
          <w:lang w:eastAsia="zh-CN"/>
        </w:rPr>
      </w:pPr>
      <w:r>
        <w:rPr>
          <w:rFonts w:hint="eastAsia"/>
          <w:color w:val="auto"/>
          <w:highlight w:val="none"/>
          <w:lang w:val="en-US" w:eastAsia="zh-CN"/>
        </w:rPr>
        <w:t>二、</w:t>
      </w:r>
      <w:r>
        <w:rPr>
          <w:rFonts w:hint="eastAsia"/>
          <w:color w:val="auto"/>
          <w:highlight w:val="none"/>
          <w:lang w:eastAsia="zh-CN"/>
        </w:rPr>
        <w:t>商务要求</w:t>
      </w:r>
      <w:bookmarkEnd w:id="35"/>
      <w:r>
        <w:rPr>
          <w:rFonts w:hint="eastAsia"/>
          <w:color w:val="auto"/>
          <w:highlight w:val="none"/>
          <w:lang w:eastAsia="zh-CN"/>
        </w:rPr>
        <w:t>：</w:t>
      </w:r>
    </w:p>
    <w:p w14:paraId="2F01C66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eastAsia="zh-CN"/>
        </w:rPr>
        <w:t>（一）</w:t>
      </w:r>
      <w:r>
        <w:rPr>
          <w:rFonts w:hint="eastAsia" w:ascii="宋体" w:hAnsi="宋体" w:eastAsia="宋体" w:cs="宋体"/>
          <w:b/>
          <w:bCs/>
          <w:color w:val="auto"/>
          <w:sz w:val="24"/>
          <w:szCs w:val="24"/>
          <w:highlight w:val="none"/>
          <w:u w:val="none"/>
        </w:rPr>
        <w:t>交</w:t>
      </w:r>
      <w:r>
        <w:rPr>
          <w:rFonts w:hint="eastAsia" w:ascii="宋体" w:hAnsi="宋体" w:eastAsia="宋体" w:cs="宋体"/>
          <w:b/>
          <w:bCs/>
          <w:color w:val="auto"/>
          <w:sz w:val="24"/>
          <w:szCs w:val="24"/>
          <w:highlight w:val="none"/>
          <w:u w:val="none"/>
          <w:lang w:eastAsia="zh-CN"/>
        </w:rPr>
        <w:t>货</w:t>
      </w:r>
      <w:r>
        <w:rPr>
          <w:rFonts w:hint="eastAsia" w:ascii="宋体" w:hAnsi="宋体" w:eastAsia="宋体" w:cs="宋体"/>
          <w:b/>
          <w:bCs/>
          <w:color w:val="auto"/>
          <w:sz w:val="24"/>
          <w:szCs w:val="24"/>
          <w:highlight w:val="none"/>
          <w:u w:val="none"/>
        </w:rPr>
        <w:t>时间</w:t>
      </w:r>
      <w:r>
        <w:rPr>
          <w:rFonts w:hint="eastAsia" w:ascii="宋体" w:hAnsi="宋体" w:eastAsia="宋体" w:cs="宋体"/>
          <w:b/>
          <w:bCs/>
          <w:color w:val="auto"/>
          <w:sz w:val="24"/>
          <w:szCs w:val="24"/>
          <w:highlight w:val="none"/>
          <w:u w:val="none"/>
          <w:lang w:val="en-US" w:eastAsia="zh-CN"/>
        </w:rPr>
        <w:t>：</w:t>
      </w:r>
      <w:r>
        <w:rPr>
          <w:rFonts w:hint="eastAsia" w:ascii="宋体" w:hAnsi="宋体" w:eastAsia="宋体" w:cs="宋体"/>
          <w:b w:val="0"/>
          <w:bCs w:val="0"/>
          <w:color w:val="auto"/>
          <w:sz w:val="24"/>
          <w:szCs w:val="24"/>
          <w:highlight w:val="none"/>
          <w:u w:val="none"/>
          <w:lang w:val="en-US" w:eastAsia="zh-CN"/>
        </w:rPr>
        <w:t>合同签订之日起30个工作日内送至甲方指定地点并完成货物安装验收。</w:t>
      </w:r>
    </w:p>
    <w:p w14:paraId="052FD35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eastAsia="zh-CN"/>
        </w:rPr>
        <w:t>（二）交货</w:t>
      </w:r>
      <w:r>
        <w:rPr>
          <w:rFonts w:hint="eastAsia" w:ascii="宋体" w:hAnsi="宋体" w:eastAsia="宋体" w:cs="宋体"/>
          <w:b/>
          <w:bCs/>
          <w:color w:val="auto"/>
          <w:sz w:val="24"/>
          <w:szCs w:val="24"/>
          <w:highlight w:val="none"/>
          <w:u w:val="none"/>
        </w:rPr>
        <w:t>地点</w:t>
      </w:r>
      <w:r>
        <w:rPr>
          <w:rFonts w:hint="eastAsia" w:ascii="宋体" w:hAnsi="宋体" w:eastAsia="宋体" w:cs="宋体"/>
          <w:b/>
          <w:bCs/>
          <w:color w:val="auto"/>
          <w:sz w:val="24"/>
          <w:szCs w:val="24"/>
          <w:highlight w:val="none"/>
          <w:u w:val="none"/>
          <w:lang w:eastAsia="zh-CN"/>
        </w:rPr>
        <w:t>：</w:t>
      </w:r>
      <w:r>
        <w:rPr>
          <w:rFonts w:hint="eastAsia" w:ascii="宋体" w:hAnsi="宋体" w:eastAsia="宋体" w:cs="宋体"/>
          <w:color w:val="auto"/>
          <w:sz w:val="24"/>
          <w:szCs w:val="24"/>
          <w:highlight w:val="none"/>
          <w:u w:val="none"/>
          <w:lang w:eastAsia="zh-CN"/>
        </w:rPr>
        <w:t>采购人指定地点</w:t>
      </w:r>
    </w:p>
    <w:p w14:paraId="2E36ADF8">
      <w:pPr>
        <w:spacing w:line="400" w:lineRule="exact"/>
        <w:jc w:val="left"/>
        <w:rPr>
          <w:rFonts w:hint="eastAsia" w:ascii="宋体" w:hAnsi="宋体" w:eastAsia="宋体" w:cs="宋体"/>
          <w:color w:val="auto"/>
          <w:kern w:val="0"/>
          <w:sz w:val="24"/>
          <w:szCs w:val="24"/>
          <w:highlight w:val="none"/>
          <w:lang w:eastAsia="zh-CN"/>
        </w:rPr>
      </w:pPr>
      <w:r>
        <w:rPr>
          <w:rFonts w:hint="eastAsia" w:ascii="宋体" w:hAnsi="宋体" w:eastAsia="宋体" w:cs="宋体"/>
          <w:b/>
          <w:bCs/>
          <w:color w:val="auto"/>
          <w:sz w:val="24"/>
          <w:szCs w:val="24"/>
          <w:highlight w:val="none"/>
          <w:u w:val="none"/>
          <w:lang w:eastAsia="zh-CN"/>
        </w:rPr>
        <w:t>（三）付款方式：</w:t>
      </w:r>
      <w:r>
        <w:rPr>
          <w:rFonts w:hint="eastAsia" w:ascii="宋体" w:hAnsi="宋体" w:eastAsia="宋体" w:cs="宋体"/>
          <w:color w:val="auto"/>
          <w:kern w:val="0"/>
          <w:sz w:val="24"/>
          <w:szCs w:val="24"/>
          <w:highlight w:val="none"/>
          <w:lang w:eastAsia="zh-CN"/>
        </w:rPr>
        <w:t>1、付款币种</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eastAsia="zh-CN"/>
        </w:rPr>
        <w:t>本次招标所述的项目资金均以人民币支付。</w:t>
      </w:r>
    </w:p>
    <w:p w14:paraId="54CA7CF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kern w:val="0"/>
          <w:sz w:val="24"/>
          <w:szCs w:val="24"/>
          <w:highlight w:val="none"/>
          <w:lang w:eastAsia="zh-CN"/>
        </w:rPr>
        <w:t>2、付款方式：最终付款方式以和甲方单位签订合同为准。</w:t>
      </w:r>
    </w:p>
    <w:p w14:paraId="1D2F2F4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i w:val="0"/>
          <w:iCs/>
          <w:color w:val="auto"/>
          <w:sz w:val="24"/>
          <w:szCs w:val="24"/>
          <w:highlight w:val="none"/>
          <w:u w:val="none"/>
        </w:rPr>
      </w:pPr>
      <w:r>
        <w:rPr>
          <w:rFonts w:hint="eastAsia" w:ascii="宋体" w:hAnsi="宋体" w:eastAsia="宋体" w:cs="宋体"/>
          <w:b/>
          <w:bCs/>
          <w:color w:val="auto"/>
          <w:sz w:val="24"/>
          <w:szCs w:val="24"/>
          <w:highlight w:val="none"/>
          <w:u w:val="none"/>
          <w:lang w:eastAsia="zh-CN"/>
        </w:rPr>
        <w:t>（四）售后服务</w:t>
      </w:r>
      <w:r>
        <w:rPr>
          <w:rFonts w:hint="eastAsia" w:ascii="宋体" w:hAnsi="宋体" w:eastAsia="宋体" w:cs="宋体"/>
          <w:b/>
          <w:bCs/>
          <w:i w:val="0"/>
          <w:iCs/>
          <w:color w:val="auto"/>
          <w:sz w:val="24"/>
          <w:szCs w:val="24"/>
          <w:highlight w:val="none"/>
          <w:u w:val="none"/>
        </w:rPr>
        <w:t>：</w:t>
      </w:r>
    </w:p>
    <w:p w14:paraId="05ACF99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color w:val="auto"/>
          <w:sz w:val="24"/>
          <w:szCs w:val="24"/>
          <w:highlight w:val="none"/>
          <w:u w:val="none"/>
          <w:lang w:eastAsia="zh-CN"/>
        </w:rPr>
      </w:pPr>
      <w:r>
        <w:rPr>
          <w:rFonts w:hint="eastAsia" w:ascii="宋体" w:hAnsi="宋体" w:eastAsia="宋体" w:cs="宋体"/>
          <w:i w:val="0"/>
          <w:iCs/>
          <w:color w:val="auto"/>
          <w:sz w:val="24"/>
          <w:szCs w:val="24"/>
          <w:highlight w:val="none"/>
          <w:u w:val="none"/>
        </w:rPr>
        <w:t>1、</w:t>
      </w:r>
      <w:r>
        <w:rPr>
          <w:rFonts w:hint="eastAsia" w:ascii="宋体" w:hAnsi="宋体" w:cs="宋体"/>
          <w:i w:val="0"/>
          <w:iCs/>
          <w:color w:val="auto"/>
          <w:sz w:val="24"/>
          <w:szCs w:val="24"/>
          <w:highlight w:val="none"/>
          <w:u w:val="none"/>
          <w:lang w:val="en-US" w:eastAsia="zh-CN"/>
        </w:rPr>
        <w:t>质保期：</w:t>
      </w:r>
      <w:r>
        <w:rPr>
          <w:rFonts w:hint="eastAsia" w:ascii="宋体" w:hAnsi="宋体" w:cs="宋体"/>
          <w:i w:val="0"/>
          <w:iCs/>
          <w:color w:val="auto"/>
          <w:sz w:val="24"/>
          <w:szCs w:val="24"/>
          <w:highlight w:val="none"/>
          <w:u w:val="none"/>
          <w:lang w:val="en-US" w:eastAsia="zh-CN"/>
        </w:rPr>
        <w:fldChar w:fldCharType="begin"/>
      </w:r>
      <w:r>
        <w:rPr>
          <w:rFonts w:hint="eastAsia" w:ascii="宋体" w:hAnsi="宋体" w:cs="宋体"/>
          <w:i w:val="0"/>
          <w:iCs/>
          <w:color w:val="auto"/>
          <w:sz w:val="24"/>
          <w:szCs w:val="24"/>
          <w:highlight w:val="none"/>
          <w:u w:val="none"/>
          <w:lang w:val="en-US" w:eastAsia="zh-CN"/>
        </w:rPr>
        <w:instrText xml:space="preserve"> EQ \o\ac(</w:instrText>
      </w:r>
      <w:r>
        <w:rPr>
          <w:rFonts w:hint="eastAsia" w:ascii="宋体" w:hAnsi="宋体" w:eastAsia="宋体" w:cs="宋体"/>
          <w:i w:val="0"/>
          <w:iCs/>
          <w:color w:val="auto"/>
          <w:kern w:val="2"/>
          <w:sz w:val="24"/>
          <w:szCs w:val="24"/>
          <w:highlight w:val="none"/>
          <w:u w:val="none"/>
          <w:lang w:val="en-US" w:eastAsia="zh-CN" w:bidi="ar-SA"/>
        </w:rPr>
        <w:instrText xml:space="preserve">○</w:instrText>
      </w:r>
      <w:r>
        <w:rPr>
          <w:rFonts w:hint="eastAsia" w:ascii="宋体" w:hAnsi="宋体" w:cs="宋体"/>
          <w:i w:val="0"/>
          <w:iCs/>
          <w:color w:val="auto"/>
          <w:sz w:val="24"/>
          <w:szCs w:val="24"/>
          <w:highlight w:val="none"/>
          <w:u w:val="none"/>
          <w:lang w:val="en-US" w:eastAsia="zh-CN"/>
        </w:rPr>
        <w:instrText xml:space="preserve">,</w:instrText>
      </w:r>
      <w:r>
        <w:rPr>
          <w:rFonts w:hint="eastAsia" w:ascii="宋体" w:hAnsi="宋体" w:eastAsia="宋体" w:cs="宋体"/>
          <w:i w:val="0"/>
          <w:iCs/>
          <w:color w:val="auto"/>
          <w:kern w:val="2"/>
          <w:position w:val="3"/>
          <w:sz w:val="16"/>
          <w:szCs w:val="24"/>
          <w:highlight w:val="none"/>
          <w:u w:val="none"/>
          <w:lang w:val="en-US" w:eastAsia="zh-CN" w:bidi="ar-SA"/>
        </w:rPr>
        <w:instrText xml:space="preserve">1</w:instrText>
      </w:r>
      <w:r>
        <w:rPr>
          <w:rFonts w:hint="eastAsia" w:ascii="宋体" w:hAnsi="宋体" w:cs="宋体"/>
          <w:i w:val="0"/>
          <w:iCs/>
          <w:color w:val="auto"/>
          <w:sz w:val="24"/>
          <w:szCs w:val="24"/>
          <w:highlight w:val="none"/>
          <w:u w:val="none"/>
          <w:lang w:val="en-US" w:eastAsia="zh-CN"/>
        </w:rPr>
        <w:instrText xml:space="preserve">)</w:instrText>
      </w:r>
      <w:r>
        <w:rPr>
          <w:rFonts w:hint="eastAsia" w:ascii="宋体" w:hAnsi="宋体" w:cs="宋体"/>
          <w:i w:val="0"/>
          <w:iCs/>
          <w:color w:val="auto"/>
          <w:sz w:val="24"/>
          <w:szCs w:val="24"/>
          <w:highlight w:val="none"/>
          <w:u w:val="none"/>
          <w:lang w:val="en-US" w:eastAsia="zh-CN"/>
        </w:rPr>
        <w:fldChar w:fldCharType="end"/>
      </w:r>
      <w:r>
        <w:rPr>
          <w:rFonts w:hint="eastAsia" w:ascii="宋体" w:hAnsi="宋体" w:eastAsia="宋体" w:cs="宋体"/>
          <w:i w:val="0"/>
          <w:iCs/>
          <w:color w:val="auto"/>
          <w:sz w:val="24"/>
          <w:szCs w:val="24"/>
          <w:highlight w:val="none"/>
          <w:u w:val="none"/>
        </w:rPr>
        <w:t>彩色多普勒超声诊断仪</w:t>
      </w:r>
      <w:r>
        <w:rPr>
          <w:rFonts w:hint="eastAsia" w:ascii="宋体" w:hAnsi="宋体" w:cs="宋体"/>
          <w:i w:val="0"/>
          <w:iCs/>
          <w:color w:val="auto"/>
          <w:sz w:val="24"/>
          <w:szCs w:val="24"/>
          <w:highlight w:val="none"/>
          <w:u w:val="none"/>
          <w:lang w:eastAsia="zh-CN"/>
        </w:rPr>
        <w:t>：</w:t>
      </w:r>
      <w:r>
        <w:rPr>
          <w:rFonts w:hint="eastAsia" w:ascii="宋体" w:hAnsi="宋体" w:eastAsia="宋体" w:cs="宋体"/>
          <w:i w:val="0"/>
          <w:iCs/>
          <w:color w:val="auto"/>
          <w:sz w:val="24"/>
          <w:szCs w:val="24"/>
          <w:highlight w:val="none"/>
          <w:u w:val="none"/>
        </w:rPr>
        <w:t>自验收合格之日起不低于</w:t>
      </w:r>
      <w:r>
        <w:rPr>
          <w:rFonts w:hint="eastAsia" w:ascii="宋体" w:hAnsi="宋体" w:cs="宋体"/>
          <w:i w:val="0"/>
          <w:iCs/>
          <w:color w:val="auto"/>
          <w:sz w:val="24"/>
          <w:szCs w:val="24"/>
          <w:highlight w:val="none"/>
          <w:u w:val="none"/>
          <w:lang w:val="en-US" w:eastAsia="zh-CN"/>
        </w:rPr>
        <w:t>5</w:t>
      </w:r>
      <w:r>
        <w:rPr>
          <w:rFonts w:hint="eastAsia" w:ascii="宋体" w:hAnsi="宋体" w:eastAsia="宋体" w:cs="宋体"/>
          <w:i w:val="0"/>
          <w:iCs/>
          <w:color w:val="auto"/>
          <w:sz w:val="24"/>
          <w:szCs w:val="24"/>
          <w:highlight w:val="none"/>
          <w:u w:val="none"/>
        </w:rPr>
        <w:t>年</w:t>
      </w:r>
      <w:r>
        <w:rPr>
          <w:rFonts w:hint="eastAsia" w:ascii="宋体" w:hAnsi="宋体" w:cs="宋体"/>
          <w:i w:val="0"/>
          <w:iCs/>
          <w:color w:val="auto"/>
          <w:sz w:val="24"/>
          <w:szCs w:val="24"/>
          <w:highlight w:val="none"/>
          <w:u w:val="none"/>
          <w:lang w:eastAsia="zh-CN"/>
        </w:rPr>
        <w:t>；</w:t>
      </w:r>
      <w:r>
        <w:rPr>
          <w:rFonts w:hint="eastAsia" w:ascii="宋体" w:hAnsi="宋体" w:cs="宋体"/>
          <w:i w:val="0"/>
          <w:iCs/>
          <w:color w:val="auto"/>
          <w:sz w:val="24"/>
          <w:szCs w:val="24"/>
          <w:highlight w:val="none"/>
          <w:u w:val="none"/>
          <w:lang w:eastAsia="zh-CN"/>
        </w:rPr>
        <w:fldChar w:fldCharType="begin"/>
      </w:r>
      <w:r>
        <w:rPr>
          <w:rFonts w:hint="eastAsia" w:ascii="宋体" w:hAnsi="宋体" w:cs="宋体"/>
          <w:i w:val="0"/>
          <w:iCs/>
          <w:color w:val="auto"/>
          <w:sz w:val="24"/>
          <w:szCs w:val="24"/>
          <w:highlight w:val="none"/>
          <w:u w:val="none"/>
          <w:lang w:eastAsia="zh-CN"/>
        </w:rPr>
        <w:instrText xml:space="preserve"> EQ \o\ac(</w:instrText>
      </w:r>
      <w:r>
        <w:rPr>
          <w:rFonts w:hint="eastAsia" w:ascii="宋体" w:hAnsi="宋体" w:eastAsia="宋体" w:cs="宋体"/>
          <w:i w:val="0"/>
          <w:iCs/>
          <w:color w:val="auto"/>
          <w:kern w:val="2"/>
          <w:sz w:val="24"/>
          <w:szCs w:val="24"/>
          <w:highlight w:val="none"/>
          <w:u w:val="none"/>
          <w:lang w:val="en-US" w:eastAsia="zh-CN" w:bidi="ar-SA"/>
        </w:rPr>
        <w:instrText xml:space="preserve">○</w:instrText>
      </w:r>
      <w:r>
        <w:rPr>
          <w:rFonts w:hint="eastAsia" w:ascii="宋体" w:hAnsi="宋体" w:cs="宋体"/>
          <w:i w:val="0"/>
          <w:iCs/>
          <w:color w:val="auto"/>
          <w:sz w:val="24"/>
          <w:szCs w:val="24"/>
          <w:highlight w:val="none"/>
          <w:u w:val="none"/>
          <w:lang w:eastAsia="zh-CN"/>
        </w:rPr>
        <w:instrText xml:space="preserve">,</w:instrText>
      </w:r>
      <w:r>
        <w:rPr>
          <w:rFonts w:hint="eastAsia" w:ascii="宋体" w:hAnsi="宋体" w:eastAsia="宋体" w:cs="宋体"/>
          <w:i w:val="0"/>
          <w:iCs/>
          <w:color w:val="auto"/>
          <w:kern w:val="2"/>
          <w:position w:val="3"/>
          <w:sz w:val="16"/>
          <w:szCs w:val="24"/>
          <w:highlight w:val="none"/>
          <w:u w:val="none"/>
          <w:lang w:val="en-US" w:eastAsia="zh-CN" w:bidi="ar-SA"/>
        </w:rPr>
        <w:instrText xml:space="preserve">2</w:instrText>
      </w:r>
      <w:r>
        <w:rPr>
          <w:rFonts w:hint="eastAsia" w:ascii="宋体" w:hAnsi="宋体" w:cs="宋体"/>
          <w:i w:val="0"/>
          <w:iCs/>
          <w:color w:val="auto"/>
          <w:sz w:val="24"/>
          <w:szCs w:val="24"/>
          <w:highlight w:val="none"/>
          <w:u w:val="none"/>
          <w:lang w:eastAsia="zh-CN"/>
        </w:rPr>
        <w:instrText xml:space="preserve">)</w:instrText>
      </w:r>
      <w:r>
        <w:rPr>
          <w:rFonts w:hint="eastAsia" w:ascii="宋体" w:hAnsi="宋体" w:cs="宋体"/>
          <w:i w:val="0"/>
          <w:iCs/>
          <w:color w:val="auto"/>
          <w:sz w:val="24"/>
          <w:szCs w:val="24"/>
          <w:highlight w:val="none"/>
          <w:u w:val="none"/>
          <w:lang w:eastAsia="zh-CN"/>
        </w:rPr>
        <w:fldChar w:fldCharType="end"/>
      </w:r>
      <w:r>
        <w:rPr>
          <w:rFonts w:hint="eastAsia" w:ascii="宋体" w:hAnsi="宋体" w:cs="宋体"/>
          <w:i w:val="0"/>
          <w:iCs/>
          <w:color w:val="auto"/>
          <w:sz w:val="24"/>
          <w:szCs w:val="24"/>
          <w:highlight w:val="none"/>
          <w:u w:val="none"/>
          <w:lang w:eastAsia="zh-CN"/>
        </w:rPr>
        <w:t>电解质分析仪、五分类血液细胞分析、低速离心机96孔、数码液晶平板生物显微镜：</w:t>
      </w:r>
      <w:r>
        <w:rPr>
          <w:rFonts w:hint="eastAsia" w:ascii="宋体" w:hAnsi="宋体" w:eastAsia="宋体" w:cs="宋体"/>
          <w:i w:val="0"/>
          <w:iCs/>
          <w:color w:val="auto"/>
          <w:sz w:val="24"/>
          <w:szCs w:val="24"/>
          <w:highlight w:val="none"/>
          <w:u w:val="none"/>
        </w:rPr>
        <w:t>自验收合格之日起不低于</w:t>
      </w:r>
      <w:r>
        <w:rPr>
          <w:rFonts w:hint="eastAsia" w:ascii="宋体" w:hAnsi="宋体" w:cs="宋体"/>
          <w:i w:val="0"/>
          <w:iCs/>
          <w:color w:val="auto"/>
          <w:sz w:val="24"/>
          <w:szCs w:val="24"/>
          <w:highlight w:val="none"/>
          <w:u w:val="none"/>
          <w:lang w:val="en-US" w:eastAsia="zh-CN"/>
        </w:rPr>
        <w:t>3</w:t>
      </w:r>
      <w:r>
        <w:rPr>
          <w:rFonts w:hint="eastAsia" w:ascii="宋体" w:hAnsi="宋体" w:eastAsia="宋体" w:cs="宋体"/>
          <w:i w:val="0"/>
          <w:iCs/>
          <w:color w:val="auto"/>
          <w:sz w:val="24"/>
          <w:szCs w:val="24"/>
          <w:highlight w:val="none"/>
          <w:u w:val="none"/>
        </w:rPr>
        <w:t>年</w:t>
      </w:r>
      <w:r>
        <w:rPr>
          <w:rFonts w:hint="eastAsia" w:ascii="宋体" w:hAnsi="宋体" w:cs="宋体"/>
          <w:i w:val="0"/>
          <w:iCs/>
          <w:color w:val="auto"/>
          <w:sz w:val="24"/>
          <w:szCs w:val="24"/>
          <w:highlight w:val="none"/>
          <w:u w:val="none"/>
          <w:lang w:eastAsia="zh-CN"/>
        </w:rPr>
        <w:t>。</w:t>
      </w:r>
    </w:p>
    <w:p w14:paraId="5E69081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color w:val="auto"/>
          <w:sz w:val="24"/>
          <w:szCs w:val="24"/>
          <w:highlight w:val="none"/>
          <w:u w:val="none"/>
        </w:rPr>
      </w:pPr>
      <w:r>
        <w:rPr>
          <w:rFonts w:hint="eastAsia" w:ascii="宋体" w:hAnsi="宋体" w:eastAsia="宋体" w:cs="宋体"/>
          <w:i w:val="0"/>
          <w:iCs/>
          <w:color w:val="auto"/>
          <w:sz w:val="24"/>
          <w:szCs w:val="24"/>
          <w:highlight w:val="none"/>
          <w:u w:val="none"/>
        </w:rPr>
        <w:t>国家主管部门或者行业标准对货物本身有更高要求的，从其规定并在合同中约定，投标人亦可提</w:t>
      </w:r>
      <w:r>
        <w:rPr>
          <w:rFonts w:hint="eastAsia" w:ascii="宋体" w:hAnsi="宋体" w:eastAsia="宋体" w:cs="宋体"/>
          <w:i w:val="0"/>
          <w:iCs/>
          <w:color w:val="auto"/>
          <w:sz w:val="24"/>
          <w:szCs w:val="24"/>
          <w:highlight w:val="none"/>
          <w:u w:val="none"/>
          <w:lang w:val="en-US" w:eastAsia="zh-CN"/>
        </w:rPr>
        <w:t>供</w:t>
      </w:r>
      <w:r>
        <w:rPr>
          <w:rFonts w:hint="eastAsia" w:ascii="宋体" w:hAnsi="宋体" w:eastAsia="宋体" w:cs="宋体"/>
          <w:i w:val="0"/>
          <w:iCs/>
          <w:color w:val="auto"/>
          <w:sz w:val="24"/>
          <w:szCs w:val="24"/>
          <w:highlight w:val="none"/>
          <w:u w:val="none"/>
        </w:rPr>
        <w:t>更长的质保期。</w:t>
      </w:r>
    </w:p>
    <w:p w14:paraId="7D01F57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color w:val="auto"/>
          <w:sz w:val="24"/>
          <w:szCs w:val="24"/>
          <w:highlight w:val="none"/>
          <w:u w:val="none"/>
        </w:rPr>
      </w:pPr>
      <w:r>
        <w:rPr>
          <w:rFonts w:hint="eastAsia" w:ascii="宋体" w:hAnsi="宋体" w:eastAsia="宋体" w:cs="宋体"/>
          <w:i w:val="0"/>
          <w:iCs/>
          <w:color w:val="auto"/>
          <w:sz w:val="24"/>
          <w:szCs w:val="24"/>
          <w:highlight w:val="none"/>
          <w:u w:val="none"/>
        </w:rPr>
        <w:t>2、中标人所供设备的型号、数量、规格及技术要求必须与合同中所规定的技术要求条款相一致；</w:t>
      </w:r>
    </w:p>
    <w:p w14:paraId="736DA9A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color w:val="auto"/>
          <w:sz w:val="24"/>
          <w:szCs w:val="24"/>
          <w:highlight w:val="none"/>
          <w:u w:val="none"/>
          <w:lang w:val="en-US" w:eastAsia="zh-CN"/>
        </w:rPr>
      </w:pPr>
      <w:r>
        <w:rPr>
          <w:rFonts w:hint="eastAsia" w:ascii="宋体" w:hAnsi="宋体" w:eastAsia="宋体" w:cs="宋体"/>
          <w:i w:val="0"/>
          <w:iCs/>
          <w:color w:val="auto"/>
          <w:sz w:val="24"/>
          <w:szCs w:val="24"/>
          <w:highlight w:val="none"/>
          <w:u w:val="none"/>
          <w:lang w:val="en-US" w:eastAsia="zh-CN"/>
        </w:rPr>
        <w:t>3、采购人对所有设备均请专家验收，若发现产品不属正品、质量有问题，甲方拒绝付款；</w:t>
      </w:r>
    </w:p>
    <w:p w14:paraId="45A603E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color w:val="auto"/>
          <w:sz w:val="24"/>
          <w:szCs w:val="24"/>
          <w:highlight w:val="none"/>
          <w:u w:val="none"/>
          <w:lang w:val="en-US" w:eastAsia="zh-CN"/>
        </w:rPr>
      </w:pPr>
      <w:r>
        <w:rPr>
          <w:rFonts w:hint="eastAsia" w:ascii="宋体" w:hAnsi="宋体" w:eastAsia="宋体" w:cs="宋体"/>
          <w:i w:val="0"/>
          <w:iCs/>
          <w:color w:val="auto"/>
          <w:sz w:val="24"/>
          <w:szCs w:val="24"/>
          <w:highlight w:val="none"/>
          <w:u w:val="none"/>
          <w:lang w:val="en-US" w:eastAsia="zh-CN"/>
        </w:rPr>
        <w:t>4、中标人提供部分产品若出现厂家停产并已升级，中标人应按升级产品的配置提供产品，价格仍按合同价；</w:t>
      </w:r>
    </w:p>
    <w:p w14:paraId="0132915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color w:val="auto"/>
          <w:sz w:val="24"/>
          <w:szCs w:val="24"/>
          <w:highlight w:val="none"/>
          <w:u w:val="none"/>
          <w:lang w:val="en-US" w:eastAsia="zh-CN"/>
        </w:rPr>
      </w:pPr>
      <w:r>
        <w:rPr>
          <w:rFonts w:hint="eastAsia" w:ascii="宋体" w:hAnsi="宋体" w:eastAsia="宋体" w:cs="宋体"/>
          <w:i w:val="0"/>
          <w:iCs/>
          <w:color w:val="auto"/>
          <w:sz w:val="24"/>
          <w:szCs w:val="24"/>
          <w:highlight w:val="none"/>
          <w:u w:val="none"/>
          <w:lang w:val="en-US" w:eastAsia="zh-CN"/>
        </w:rPr>
        <w:t>5、中标人保证所供货物应按厂家承诺的保修服务条款，免费提供因设备质量问题而必须更换的零部件或整机。</w:t>
      </w:r>
    </w:p>
    <w:p w14:paraId="043CB49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color w:val="auto"/>
          <w:sz w:val="24"/>
          <w:szCs w:val="24"/>
          <w:highlight w:val="none"/>
          <w:u w:val="none"/>
        </w:rPr>
      </w:pPr>
      <w:r>
        <w:rPr>
          <w:rFonts w:hint="eastAsia" w:ascii="宋体" w:hAnsi="宋体" w:eastAsia="宋体" w:cs="宋体"/>
          <w:i w:val="0"/>
          <w:iCs/>
          <w:color w:val="auto"/>
          <w:sz w:val="24"/>
          <w:szCs w:val="24"/>
          <w:highlight w:val="none"/>
          <w:u w:val="none"/>
          <w:lang w:val="en-US" w:eastAsia="zh-CN"/>
        </w:rPr>
        <w:t>6、</w:t>
      </w:r>
      <w:r>
        <w:rPr>
          <w:rFonts w:hint="eastAsia" w:ascii="宋体" w:hAnsi="宋体" w:eastAsia="宋体" w:cs="宋体"/>
          <w:i w:val="0"/>
          <w:iCs/>
          <w:color w:val="auto"/>
          <w:sz w:val="24"/>
          <w:szCs w:val="24"/>
          <w:highlight w:val="none"/>
          <w:u w:val="none"/>
        </w:rPr>
        <w:t>质量保证期内，如果</w:t>
      </w:r>
      <w:r>
        <w:rPr>
          <w:rFonts w:hint="eastAsia" w:ascii="宋体" w:hAnsi="宋体" w:eastAsia="宋体" w:cs="宋体"/>
          <w:i w:val="0"/>
          <w:iCs/>
          <w:color w:val="auto"/>
          <w:sz w:val="24"/>
          <w:szCs w:val="24"/>
          <w:highlight w:val="none"/>
          <w:u w:val="none"/>
          <w:lang w:val="en-US" w:eastAsia="zh-CN"/>
        </w:rPr>
        <w:t>设备发生故障</w:t>
      </w:r>
      <w:r>
        <w:rPr>
          <w:rFonts w:hint="eastAsia" w:ascii="宋体" w:hAnsi="宋体" w:eastAsia="宋体" w:cs="宋体"/>
          <w:i w:val="0"/>
          <w:iCs/>
          <w:color w:val="auto"/>
          <w:sz w:val="24"/>
          <w:szCs w:val="24"/>
          <w:highlight w:val="none"/>
          <w:u w:val="none"/>
        </w:rPr>
        <w:t>，中标人</w:t>
      </w:r>
      <w:r>
        <w:rPr>
          <w:rFonts w:hint="eastAsia" w:ascii="宋体" w:hAnsi="宋体" w:eastAsia="宋体" w:cs="宋体"/>
          <w:i w:val="0"/>
          <w:iCs/>
          <w:color w:val="auto"/>
          <w:sz w:val="24"/>
          <w:szCs w:val="24"/>
          <w:highlight w:val="none"/>
          <w:u w:val="none"/>
          <w:lang w:val="en-US" w:eastAsia="zh-CN"/>
        </w:rPr>
        <w:t>在接到用户报修电话后，应派专业工程师4小时内到达设备现场开展</w:t>
      </w:r>
      <w:r>
        <w:rPr>
          <w:rFonts w:hint="eastAsia" w:ascii="宋体" w:hAnsi="宋体" w:eastAsia="宋体" w:cs="宋体"/>
          <w:i w:val="0"/>
          <w:iCs/>
          <w:color w:val="auto"/>
          <w:sz w:val="24"/>
          <w:szCs w:val="24"/>
          <w:highlight w:val="none"/>
          <w:u w:val="none"/>
        </w:rPr>
        <w:t>维修</w:t>
      </w:r>
      <w:r>
        <w:rPr>
          <w:rFonts w:hint="eastAsia" w:ascii="宋体" w:hAnsi="宋体" w:eastAsia="宋体" w:cs="宋体"/>
          <w:i w:val="0"/>
          <w:iCs/>
          <w:color w:val="auto"/>
          <w:sz w:val="24"/>
          <w:szCs w:val="24"/>
          <w:highlight w:val="none"/>
          <w:u w:val="none"/>
          <w:lang w:val="en-US" w:eastAsia="zh-CN"/>
        </w:rPr>
        <w:t>工作，免费</w:t>
      </w:r>
      <w:r>
        <w:rPr>
          <w:rFonts w:hint="eastAsia" w:ascii="宋体" w:hAnsi="宋体" w:eastAsia="宋体" w:cs="宋体"/>
          <w:i w:val="0"/>
          <w:iCs/>
          <w:color w:val="auto"/>
          <w:sz w:val="24"/>
          <w:szCs w:val="24"/>
          <w:highlight w:val="none"/>
          <w:u w:val="none"/>
        </w:rPr>
        <w:t>更换</w:t>
      </w:r>
      <w:r>
        <w:rPr>
          <w:rFonts w:hint="eastAsia" w:ascii="宋体" w:hAnsi="宋体" w:eastAsia="宋体" w:cs="宋体"/>
          <w:i w:val="0"/>
          <w:iCs/>
          <w:color w:val="auto"/>
          <w:sz w:val="24"/>
          <w:szCs w:val="24"/>
          <w:highlight w:val="none"/>
          <w:u w:val="none"/>
          <w:lang w:val="en-US" w:eastAsia="zh-CN"/>
        </w:rPr>
        <w:t>有故障的配件</w:t>
      </w:r>
      <w:r>
        <w:rPr>
          <w:rFonts w:hint="eastAsia" w:ascii="宋体" w:hAnsi="宋体" w:eastAsia="宋体" w:cs="宋体"/>
          <w:i w:val="0"/>
          <w:iCs/>
          <w:color w:val="auto"/>
          <w:sz w:val="24"/>
          <w:szCs w:val="24"/>
          <w:highlight w:val="none"/>
          <w:u w:val="none"/>
        </w:rPr>
        <w:t>，</w:t>
      </w:r>
      <w:r>
        <w:rPr>
          <w:rFonts w:hint="eastAsia" w:ascii="宋体" w:hAnsi="宋体" w:eastAsia="宋体" w:cs="宋体"/>
          <w:i w:val="0"/>
          <w:iCs/>
          <w:color w:val="auto"/>
          <w:sz w:val="24"/>
          <w:szCs w:val="24"/>
          <w:highlight w:val="none"/>
          <w:u w:val="none"/>
          <w:lang w:val="en-US" w:eastAsia="zh-CN"/>
        </w:rPr>
        <w:t>达到设计的</w:t>
      </w:r>
      <w:r>
        <w:rPr>
          <w:rFonts w:hint="eastAsia" w:ascii="宋体" w:hAnsi="宋体" w:eastAsia="宋体" w:cs="宋体"/>
          <w:i w:val="0"/>
          <w:iCs/>
          <w:color w:val="auto"/>
          <w:sz w:val="24"/>
          <w:szCs w:val="24"/>
          <w:highlight w:val="none"/>
          <w:u w:val="none"/>
        </w:rPr>
        <w:t>技术及性能要求。如果中标人在收到通知后</w:t>
      </w:r>
      <w:r>
        <w:rPr>
          <w:rFonts w:hint="eastAsia" w:ascii="宋体" w:hAnsi="宋体" w:eastAsia="宋体" w:cs="宋体"/>
          <w:i w:val="0"/>
          <w:iCs/>
          <w:color w:val="auto"/>
          <w:sz w:val="24"/>
          <w:szCs w:val="24"/>
          <w:highlight w:val="none"/>
          <w:u w:val="none"/>
          <w:lang w:val="en-US" w:eastAsia="zh-CN"/>
        </w:rPr>
        <w:t>7</w:t>
      </w:r>
      <w:r>
        <w:rPr>
          <w:rFonts w:hint="eastAsia" w:ascii="宋体" w:hAnsi="宋体" w:eastAsia="宋体" w:cs="宋体"/>
          <w:i w:val="0"/>
          <w:iCs/>
          <w:color w:val="auto"/>
          <w:sz w:val="24"/>
          <w:szCs w:val="24"/>
          <w:highlight w:val="none"/>
          <w:u w:val="none"/>
        </w:rPr>
        <w:t>天内没有弥补缺陷，采购人可自行采取必要的补救措施，但风险和费用由中标人承担，采购人同时保留通过法律途径进行索赔的权利。</w:t>
      </w:r>
    </w:p>
    <w:p w14:paraId="1F14E4E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i w:val="0"/>
          <w:iCs/>
          <w:color w:val="auto"/>
          <w:sz w:val="24"/>
          <w:szCs w:val="24"/>
          <w:highlight w:val="none"/>
          <w:u w:val="none"/>
          <w:lang w:val="en-US" w:eastAsia="zh-CN"/>
        </w:rPr>
      </w:pPr>
      <w:r>
        <w:rPr>
          <w:rFonts w:hint="eastAsia" w:ascii="宋体" w:hAnsi="宋体" w:cs="宋体"/>
          <w:i w:val="0"/>
          <w:iCs/>
          <w:color w:val="auto"/>
          <w:sz w:val="24"/>
          <w:szCs w:val="24"/>
          <w:highlight w:val="none"/>
          <w:u w:val="none"/>
          <w:lang w:val="en-US" w:eastAsia="zh-CN"/>
        </w:rPr>
        <w:t>7、其他</w:t>
      </w:r>
    </w:p>
    <w:p w14:paraId="37FE9B6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i w:val="0"/>
          <w:iCs/>
          <w:color w:val="auto"/>
          <w:sz w:val="24"/>
          <w:szCs w:val="24"/>
          <w:highlight w:val="none"/>
          <w:u w:val="none"/>
          <w:lang w:val="en-US" w:eastAsia="zh-CN"/>
        </w:rPr>
      </w:pPr>
      <w:r>
        <w:rPr>
          <w:rFonts w:hint="default" w:ascii="宋体" w:hAnsi="宋体" w:cs="宋体"/>
          <w:i w:val="0"/>
          <w:iCs/>
          <w:color w:val="auto"/>
          <w:sz w:val="24"/>
          <w:szCs w:val="24"/>
          <w:highlight w:val="none"/>
          <w:u w:val="none"/>
          <w:lang w:val="en-US" w:eastAsia="zh-CN"/>
        </w:rPr>
        <w:fldChar w:fldCharType="begin"/>
      </w:r>
      <w:r>
        <w:rPr>
          <w:rFonts w:hint="default" w:ascii="宋体" w:hAnsi="宋体" w:cs="宋体"/>
          <w:i w:val="0"/>
          <w:iCs/>
          <w:color w:val="auto"/>
          <w:sz w:val="24"/>
          <w:szCs w:val="24"/>
          <w:highlight w:val="none"/>
          <w:u w:val="none"/>
          <w:lang w:val="en-US" w:eastAsia="zh-CN"/>
        </w:rPr>
        <w:instrText xml:space="preserve"> EQ \o\ac(</w:instrText>
      </w:r>
      <w:r>
        <w:rPr>
          <w:rFonts w:hint="eastAsia" w:ascii="宋体" w:hAnsi="宋体" w:eastAsia="宋体" w:cs="宋体"/>
          <w:i w:val="0"/>
          <w:iCs/>
          <w:color w:val="auto"/>
          <w:kern w:val="2"/>
          <w:sz w:val="24"/>
          <w:szCs w:val="24"/>
          <w:highlight w:val="none"/>
          <w:u w:val="none"/>
          <w:lang w:val="en-US" w:eastAsia="zh-CN" w:bidi="ar-SA"/>
        </w:rPr>
        <w:instrText xml:space="preserve">○</w:instrText>
      </w:r>
      <w:r>
        <w:rPr>
          <w:rFonts w:hint="default" w:ascii="宋体" w:hAnsi="宋体" w:cs="宋体"/>
          <w:i w:val="0"/>
          <w:iCs/>
          <w:color w:val="auto"/>
          <w:sz w:val="24"/>
          <w:szCs w:val="24"/>
          <w:highlight w:val="none"/>
          <w:u w:val="none"/>
          <w:lang w:val="en-US" w:eastAsia="zh-CN"/>
        </w:rPr>
        <w:instrText xml:space="preserve">,</w:instrText>
      </w:r>
      <w:r>
        <w:rPr>
          <w:rFonts w:hint="default" w:ascii="宋体" w:hAnsi="宋体" w:eastAsia="宋体" w:cs="宋体"/>
          <w:i w:val="0"/>
          <w:iCs/>
          <w:color w:val="auto"/>
          <w:kern w:val="2"/>
          <w:position w:val="3"/>
          <w:sz w:val="16"/>
          <w:szCs w:val="24"/>
          <w:highlight w:val="none"/>
          <w:u w:val="none"/>
          <w:lang w:val="en-US" w:eastAsia="zh-CN" w:bidi="ar-SA"/>
        </w:rPr>
        <w:instrText xml:space="preserve">1</w:instrText>
      </w:r>
      <w:r>
        <w:rPr>
          <w:rFonts w:hint="default" w:ascii="宋体" w:hAnsi="宋体" w:cs="宋体"/>
          <w:i w:val="0"/>
          <w:iCs/>
          <w:color w:val="auto"/>
          <w:sz w:val="24"/>
          <w:szCs w:val="24"/>
          <w:highlight w:val="none"/>
          <w:u w:val="none"/>
          <w:lang w:val="en-US" w:eastAsia="zh-CN"/>
        </w:rPr>
        <w:instrText xml:space="preserve">)</w:instrText>
      </w:r>
      <w:r>
        <w:rPr>
          <w:rFonts w:hint="default" w:ascii="宋体" w:hAnsi="宋体" w:cs="宋体"/>
          <w:i w:val="0"/>
          <w:iCs/>
          <w:color w:val="auto"/>
          <w:sz w:val="24"/>
          <w:szCs w:val="24"/>
          <w:highlight w:val="none"/>
          <w:u w:val="none"/>
          <w:lang w:val="en-US" w:eastAsia="zh-CN"/>
        </w:rPr>
        <w:fldChar w:fldCharType="end"/>
      </w:r>
      <w:r>
        <w:rPr>
          <w:rFonts w:hint="default" w:ascii="宋体" w:hAnsi="宋体" w:cs="宋体"/>
          <w:i w:val="0"/>
          <w:iCs/>
          <w:color w:val="auto"/>
          <w:sz w:val="24"/>
          <w:szCs w:val="24"/>
          <w:highlight w:val="none"/>
          <w:u w:val="none"/>
          <w:lang w:val="en-US" w:eastAsia="zh-CN"/>
        </w:rPr>
        <w:t>彩色多普勒超声诊断仪</w:t>
      </w:r>
      <w:r>
        <w:rPr>
          <w:rFonts w:hint="eastAsia" w:ascii="宋体" w:hAnsi="宋体" w:cs="宋体"/>
          <w:i w:val="0"/>
          <w:iCs/>
          <w:color w:val="auto"/>
          <w:sz w:val="24"/>
          <w:szCs w:val="24"/>
          <w:highlight w:val="none"/>
          <w:u w:val="none"/>
          <w:lang w:val="en-US" w:eastAsia="zh-CN"/>
        </w:rPr>
        <w:t>：</w:t>
      </w:r>
      <w:r>
        <w:rPr>
          <w:rFonts w:hint="default" w:ascii="宋体" w:hAnsi="宋体" w:cs="宋体"/>
          <w:i w:val="0"/>
          <w:iCs/>
          <w:color w:val="auto"/>
          <w:sz w:val="24"/>
          <w:szCs w:val="24"/>
          <w:highlight w:val="none"/>
          <w:u w:val="none"/>
          <w:lang w:val="en-US" w:eastAsia="zh-CN"/>
        </w:rPr>
        <w:t>驻地以上城市具有厂家备件库及售后服务工程师，支持安装、调试及维修厂家提供专业人员现场操作和培训，设备出现故障需在2小时内进行答复，48小时内现场进行维修</w:t>
      </w:r>
      <w:r>
        <w:rPr>
          <w:rFonts w:hint="eastAsia" w:ascii="宋体" w:hAnsi="宋体" w:cs="宋体"/>
          <w:i w:val="0"/>
          <w:iCs/>
          <w:color w:val="auto"/>
          <w:sz w:val="24"/>
          <w:szCs w:val="24"/>
          <w:highlight w:val="none"/>
          <w:u w:val="none"/>
          <w:lang w:val="en-US" w:eastAsia="zh-CN"/>
        </w:rPr>
        <w:t>；</w:t>
      </w:r>
    </w:p>
    <w:p w14:paraId="7BB08E2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cs="宋体"/>
          <w:i w:val="0"/>
          <w:iCs/>
          <w:color w:val="auto"/>
          <w:sz w:val="24"/>
          <w:szCs w:val="24"/>
          <w:highlight w:val="none"/>
          <w:u w:val="none"/>
          <w:lang w:val="en-US" w:eastAsia="zh-CN"/>
        </w:rPr>
      </w:pPr>
      <w:r>
        <w:rPr>
          <w:rFonts w:hint="default" w:ascii="宋体" w:hAnsi="宋体" w:cs="宋体"/>
          <w:i w:val="0"/>
          <w:iCs/>
          <w:color w:val="auto"/>
          <w:sz w:val="24"/>
          <w:szCs w:val="24"/>
          <w:highlight w:val="none"/>
          <w:u w:val="none"/>
          <w:lang w:val="en-US" w:eastAsia="zh-CN"/>
        </w:rPr>
        <w:fldChar w:fldCharType="begin"/>
      </w:r>
      <w:r>
        <w:rPr>
          <w:rFonts w:hint="default" w:ascii="宋体" w:hAnsi="宋体" w:cs="宋体"/>
          <w:i w:val="0"/>
          <w:iCs/>
          <w:color w:val="auto"/>
          <w:sz w:val="24"/>
          <w:szCs w:val="24"/>
          <w:highlight w:val="none"/>
          <w:u w:val="none"/>
          <w:lang w:val="en-US" w:eastAsia="zh-CN"/>
        </w:rPr>
        <w:instrText xml:space="preserve"> EQ \o\ac(</w:instrText>
      </w:r>
      <w:r>
        <w:rPr>
          <w:rFonts w:hint="eastAsia" w:ascii="宋体" w:hAnsi="宋体" w:eastAsia="宋体" w:cs="宋体"/>
          <w:i w:val="0"/>
          <w:iCs/>
          <w:color w:val="auto"/>
          <w:kern w:val="2"/>
          <w:sz w:val="24"/>
          <w:szCs w:val="24"/>
          <w:highlight w:val="none"/>
          <w:u w:val="none"/>
          <w:lang w:val="en-US" w:eastAsia="zh-CN" w:bidi="ar-SA"/>
        </w:rPr>
        <w:instrText xml:space="preserve">○</w:instrText>
      </w:r>
      <w:r>
        <w:rPr>
          <w:rFonts w:hint="default" w:ascii="宋体" w:hAnsi="宋体" w:cs="宋体"/>
          <w:i w:val="0"/>
          <w:iCs/>
          <w:color w:val="auto"/>
          <w:sz w:val="24"/>
          <w:szCs w:val="24"/>
          <w:highlight w:val="none"/>
          <w:u w:val="none"/>
          <w:lang w:val="en-US" w:eastAsia="zh-CN"/>
        </w:rPr>
        <w:instrText xml:space="preserve">,</w:instrText>
      </w:r>
      <w:r>
        <w:rPr>
          <w:rFonts w:hint="default" w:ascii="宋体" w:hAnsi="宋体" w:eastAsia="宋体" w:cs="宋体"/>
          <w:i w:val="0"/>
          <w:iCs/>
          <w:color w:val="auto"/>
          <w:kern w:val="2"/>
          <w:position w:val="3"/>
          <w:sz w:val="16"/>
          <w:szCs w:val="24"/>
          <w:highlight w:val="none"/>
          <w:u w:val="none"/>
          <w:lang w:val="en-US" w:eastAsia="zh-CN" w:bidi="ar-SA"/>
        </w:rPr>
        <w:instrText xml:space="preserve">2</w:instrText>
      </w:r>
      <w:r>
        <w:rPr>
          <w:rFonts w:hint="default" w:ascii="宋体" w:hAnsi="宋体" w:cs="宋体"/>
          <w:i w:val="0"/>
          <w:iCs/>
          <w:color w:val="auto"/>
          <w:sz w:val="24"/>
          <w:szCs w:val="24"/>
          <w:highlight w:val="none"/>
          <w:u w:val="none"/>
          <w:lang w:val="en-US" w:eastAsia="zh-CN"/>
        </w:rPr>
        <w:instrText xml:space="preserve">)</w:instrText>
      </w:r>
      <w:r>
        <w:rPr>
          <w:rFonts w:hint="default" w:ascii="宋体" w:hAnsi="宋体" w:cs="宋体"/>
          <w:i w:val="0"/>
          <w:iCs/>
          <w:color w:val="auto"/>
          <w:sz w:val="24"/>
          <w:szCs w:val="24"/>
          <w:highlight w:val="none"/>
          <w:u w:val="none"/>
          <w:lang w:val="en-US" w:eastAsia="zh-CN"/>
        </w:rPr>
        <w:fldChar w:fldCharType="end"/>
      </w:r>
      <w:r>
        <w:rPr>
          <w:rFonts w:hint="default" w:ascii="宋体" w:hAnsi="宋体" w:cs="宋体"/>
          <w:i w:val="0"/>
          <w:iCs/>
          <w:color w:val="auto"/>
          <w:sz w:val="24"/>
          <w:szCs w:val="24"/>
          <w:highlight w:val="none"/>
          <w:u w:val="none"/>
          <w:lang w:val="en-US" w:eastAsia="zh-CN"/>
        </w:rPr>
        <w:t>数码液晶平板生物显微镜</w:t>
      </w:r>
      <w:r>
        <w:rPr>
          <w:rFonts w:hint="eastAsia" w:ascii="宋体" w:hAnsi="宋体" w:cs="宋体"/>
          <w:i w:val="0"/>
          <w:iCs/>
          <w:color w:val="auto"/>
          <w:sz w:val="24"/>
          <w:szCs w:val="24"/>
          <w:highlight w:val="none"/>
          <w:u w:val="none"/>
          <w:lang w:val="en-US" w:eastAsia="zh-CN"/>
        </w:rPr>
        <w:t>：</w:t>
      </w:r>
      <w:r>
        <w:rPr>
          <w:rFonts w:hint="default" w:ascii="宋体" w:hAnsi="宋体" w:cs="宋体"/>
          <w:i w:val="0"/>
          <w:iCs/>
          <w:color w:val="auto"/>
          <w:sz w:val="24"/>
          <w:szCs w:val="24"/>
          <w:highlight w:val="none"/>
          <w:u w:val="none"/>
          <w:lang w:val="en-US" w:eastAsia="zh-CN"/>
        </w:rPr>
        <w:t>报修响应，在接到用户电话维修机器后，工程师2小时内与用户取得联系，确认故障后24小时内提供上门服务</w:t>
      </w:r>
      <w:r>
        <w:rPr>
          <w:rFonts w:hint="eastAsia" w:ascii="宋体" w:hAnsi="宋体" w:cs="宋体"/>
          <w:i w:val="0"/>
          <w:iCs/>
          <w:color w:val="auto"/>
          <w:sz w:val="24"/>
          <w:szCs w:val="24"/>
          <w:highlight w:val="none"/>
          <w:u w:val="none"/>
          <w:lang w:val="en-US" w:eastAsia="zh-CN"/>
        </w:rPr>
        <w:t>。</w:t>
      </w:r>
    </w:p>
    <w:p w14:paraId="55519320">
      <w:pPr>
        <w:pStyle w:val="4"/>
        <w:bidi w:val="0"/>
        <w:spacing w:line="360" w:lineRule="auto"/>
        <w:rPr>
          <w:rFonts w:hint="eastAsia" w:cs="Times New Roman"/>
          <w:color w:val="auto"/>
          <w:highlight w:val="none"/>
          <w:lang w:eastAsia="zh-CN"/>
        </w:rPr>
      </w:pPr>
      <w:bookmarkStart w:id="36" w:name="_Toc17791"/>
      <w:r>
        <w:rPr>
          <w:rFonts w:hint="eastAsia" w:cs="Times New Roman"/>
          <w:color w:val="auto"/>
          <w:highlight w:val="none"/>
          <w:lang w:eastAsia="zh-CN"/>
        </w:rPr>
        <w:t>四、验收：</w:t>
      </w:r>
      <w:bookmarkEnd w:id="36"/>
    </w:p>
    <w:p w14:paraId="63B5BB3D">
      <w:pPr>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1、严格</w:t>
      </w:r>
      <w:r>
        <w:rPr>
          <w:rFonts w:hAnsi="宋体"/>
          <w:color w:val="auto"/>
          <w:sz w:val="24"/>
          <w:szCs w:val="24"/>
          <w:highlight w:val="none"/>
        </w:rPr>
        <w:t>按照招标文件要求和</w:t>
      </w:r>
      <w:r>
        <w:rPr>
          <w:rFonts w:hint="eastAsia" w:hAnsi="宋体"/>
          <w:color w:val="auto"/>
          <w:sz w:val="24"/>
          <w:szCs w:val="24"/>
          <w:highlight w:val="none"/>
        </w:rPr>
        <w:t>中标</w:t>
      </w:r>
      <w:r>
        <w:rPr>
          <w:rFonts w:hint="eastAsia" w:hAnsi="宋体"/>
          <w:color w:val="auto"/>
          <w:sz w:val="24"/>
          <w:szCs w:val="24"/>
          <w:highlight w:val="none"/>
          <w:lang w:eastAsia="zh-CN"/>
        </w:rPr>
        <w:t>投标人</w:t>
      </w:r>
      <w:r>
        <w:rPr>
          <w:rFonts w:hAnsi="宋体"/>
          <w:color w:val="auto"/>
          <w:sz w:val="24"/>
          <w:szCs w:val="24"/>
          <w:highlight w:val="none"/>
        </w:rPr>
        <w:t>投标文件</w:t>
      </w:r>
      <w:r>
        <w:rPr>
          <w:rFonts w:hint="eastAsia" w:hAnsi="宋体"/>
          <w:color w:val="auto"/>
          <w:sz w:val="24"/>
          <w:szCs w:val="24"/>
          <w:highlight w:val="none"/>
        </w:rPr>
        <w:t>内容进行验收</w:t>
      </w:r>
      <w:r>
        <w:rPr>
          <w:rFonts w:hAnsi="宋体"/>
          <w:color w:val="auto"/>
          <w:sz w:val="24"/>
          <w:szCs w:val="24"/>
          <w:highlight w:val="none"/>
        </w:rPr>
        <w:t>。</w:t>
      </w:r>
    </w:p>
    <w:p w14:paraId="50B2AE22">
      <w:pPr>
        <w:spacing w:line="360" w:lineRule="auto"/>
        <w:ind w:firstLine="480" w:firstLineChars="200"/>
        <w:rPr>
          <w:rFonts w:hAnsi="宋体"/>
          <w:color w:val="auto"/>
          <w:sz w:val="24"/>
          <w:szCs w:val="24"/>
          <w:highlight w:val="none"/>
        </w:rPr>
      </w:pPr>
      <w:r>
        <w:rPr>
          <w:rFonts w:hint="eastAsia" w:hAnsi="宋体"/>
          <w:color w:val="auto"/>
          <w:sz w:val="24"/>
          <w:szCs w:val="24"/>
          <w:highlight w:val="none"/>
        </w:rPr>
        <w:t>2、严格按照政府采购相关法律法规的要求进行验收。</w:t>
      </w:r>
    </w:p>
    <w:p w14:paraId="277B22FE">
      <w:pPr>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3、采购人</w:t>
      </w:r>
      <w:r>
        <w:rPr>
          <w:rFonts w:hAnsi="宋体"/>
          <w:color w:val="auto"/>
          <w:sz w:val="24"/>
          <w:szCs w:val="24"/>
          <w:highlight w:val="none"/>
        </w:rPr>
        <w:t>可根据项目情况邀请专家进行验收。</w:t>
      </w:r>
    </w:p>
    <w:p w14:paraId="22448AB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0DE5ADE4">
      <w:pPr>
        <w:pStyle w:val="2"/>
        <w:rPr>
          <w:rFonts w:hint="eastAsia" w:ascii="宋体" w:hAnsi="宋体" w:eastAsia="宋体" w:cs="宋体"/>
          <w:color w:val="auto"/>
          <w:highlight w:val="none"/>
        </w:rPr>
      </w:pPr>
      <w:bookmarkStart w:id="37" w:name="_Toc3804"/>
      <w:r>
        <w:rPr>
          <w:rFonts w:hint="eastAsia" w:ascii="宋体" w:hAnsi="宋体" w:eastAsia="宋体" w:cs="宋体"/>
          <w:color w:val="auto"/>
          <w:highlight w:val="none"/>
        </w:rPr>
        <w:t xml:space="preserve">第五章  </w:t>
      </w:r>
      <w:bookmarkEnd w:id="32"/>
      <w:bookmarkEnd w:id="33"/>
      <w:r>
        <w:rPr>
          <w:rFonts w:hint="eastAsia" w:ascii="宋体" w:hAnsi="宋体" w:eastAsia="宋体" w:cs="宋体"/>
          <w:color w:val="auto"/>
          <w:highlight w:val="none"/>
        </w:rPr>
        <w:t>投标文件格式</w:t>
      </w:r>
      <w:bookmarkEnd w:id="37"/>
    </w:p>
    <w:p w14:paraId="76194061">
      <w:pPr>
        <w:adjustRightInd w:val="0"/>
        <w:snapToGrid w:val="0"/>
        <w:spacing w:line="400" w:lineRule="atLeast"/>
        <w:jc w:val="center"/>
        <w:rPr>
          <w:rFonts w:hint="eastAsia" w:ascii="宋体" w:hAnsi="宋体" w:eastAsia="宋体" w:cs="宋体"/>
          <w:bCs/>
          <w:color w:val="auto"/>
          <w:sz w:val="52"/>
          <w:szCs w:val="52"/>
          <w:highlight w:val="none"/>
        </w:rPr>
      </w:pPr>
    </w:p>
    <w:bookmarkEnd w:id="1"/>
    <w:p w14:paraId="66388293">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一、本章所制投标文件格式有关表格中的备注栏，由投标人根据自身投标情况作解释性说明，不作为必填项。</w:t>
      </w:r>
    </w:p>
    <w:p w14:paraId="150A221F">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、本章所制投标文件格式中需要填写的相关内容事项，可能会与本采购项目无关，在不改变投标文件原义、不影响本项目采购需求的情况下，投标人可以不予填写。</w:t>
      </w:r>
    </w:p>
    <w:p w14:paraId="1F2B0C49">
      <w:pPr>
        <w:shd w:val="clear" w:color="auto" w:fill="auto"/>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三、投标人需按投标文件顺序编制目录。</w:t>
      </w:r>
    </w:p>
    <w:p w14:paraId="29744147">
      <w:pPr>
        <w:shd w:val="clear" w:color="auto" w:fill="auto"/>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5AA97CFC">
      <w:pPr>
        <w:pStyle w:val="5"/>
        <w:numPr>
          <w:ilvl w:val="0"/>
          <w:numId w:val="5"/>
        </w:numPr>
        <w:bidi w:val="0"/>
        <w:rPr>
          <w:rFonts w:hint="eastAsia" w:ascii="宋体" w:hAnsi="宋体" w:eastAsia="宋体" w:cs="宋体"/>
          <w:color w:val="auto"/>
          <w:sz w:val="24"/>
          <w:szCs w:val="24"/>
          <w:highlight w:val="none"/>
        </w:rPr>
      </w:pPr>
      <w:bookmarkStart w:id="38" w:name="_Toc2424"/>
      <w:bookmarkStart w:id="39" w:name="_Toc7979"/>
      <w:r>
        <w:rPr>
          <w:rFonts w:hint="eastAsia" w:ascii="宋体" w:hAnsi="宋体" w:eastAsia="宋体" w:cs="宋体"/>
          <w:color w:val="auto"/>
          <w:sz w:val="24"/>
          <w:szCs w:val="24"/>
          <w:highlight w:val="none"/>
        </w:rPr>
        <w:t>“资格性投标文件”格式</w:t>
      </w:r>
      <w:bookmarkEnd w:id="38"/>
      <w:bookmarkEnd w:id="39"/>
    </w:p>
    <w:p w14:paraId="5ED0C466">
      <w:pPr>
        <w:shd w:val="clear" w:color="auto" w:fill="auto"/>
        <w:spacing w:line="360" w:lineRule="auto"/>
        <w:rPr>
          <w:rFonts w:hint="eastAsia" w:hAnsi="宋体" w:cs="宋体"/>
          <w:b/>
          <w:color w:val="auto"/>
          <w:sz w:val="32"/>
          <w:szCs w:val="32"/>
          <w:highlight w:val="none"/>
        </w:rPr>
      </w:pPr>
      <w:bookmarkStart w:id="40" w:name="_Toc308164824"/>
      <w:bookmarkStart w:id="41" w:name="_Toc19094"/>
      <w:bookmarkStart w:id="42" w:name="_Toc471489581"/>
      <w:bookmarkStart w:id="43" w:name="_Toc472604631"/>
      <w:bookmarkStart w:id="44" w:name="_Toc465085378"/>
      <w:bookmarkStart w:id="45" w:name="_Toc448770627"/>
      <w:bookmarkStart w:id="46" w:name="_Toc445751864"/>
      <w:bookmarkStart w:id="47" w:name="_Toc12086"/>
      <w:bookmarkStart w:id="48" w:name="_Toc445751949"/>
      <w:bookmarkStart w:id="49" w:name="_Toc21418"/>
      <w:bookmarkStart w:id="50" w:name="_Toc13447"/>
      <w:bookmarkStart w:id="51" w:name="_Toc466298076"/>
      <w:r>
        <w:rPr>
          <w:rFonts w:hint="eastAsia" w:hAnsi="宋体" w:cs="宋体"/>
          <w:b/>
          <w:color w:val="auto"/>
          <w:sz w:val="32"/>
          <w:szCs w:val="32"/>
          <w:highlight w:val="none"/>
        </w:rPr>
        <w:t>封面：</w:t>
      </w:r>
    </w:p>
    <w:p w14:paraId="6E4DE288">
      <w:pPr>
        <w:shd w:val="clear" w:color="auto" w:fill="auto"/>
        <w:spacing w:line="360" w:lineRule="auto"/>
        <w:rPr>
          <w:rFonts w:hint="eastAsia" w:hAnsi="宋体" w:cs="宋体"/>
          <w:b/>
          <w:color w:val="auto"/>
          <w:sz w:val="32"/>
          <w:szCs w:val="32"/>
          <w:highlight w:val="none"/>
          <w:lang w:val="en-US" w:eastAsia="zh-CN"/>
        </w:rPr>
      </w:pPr>
      <w:r>
        <w:rPr>
          <w:rFonts w:hint="eastAsia" w:hAnsi="宋体" w:cs="宋体"/>
          <w:b/>
          <w:color w:val="auto"/>
          <w:sz w:val="32"/>
          <w:szCs w:val="32"/>
          <w:highlight w:val="none"/>
          <w:lang w:val="en-US" w:eastAsia="zh-CN"/>
        </w:rPr>
        <w:t xml:space="preserve"> </w:t>
      </w:r>
    </w:p>
    <w:p w14:paraId="68EF1024">
      <w:pPr>
        <w:rPr>
          <w:rFonts w:hint="eastAsia"/>
          <w:color w:val="auto"/>
          <w:highlight w:val="none"/>
          <w:lang w:val="en-US" w:eastAsia="zh-CN"/>
        </w:rPr>
      </w:pPr>
    </w:p>
    <w:p w14:paraId="5C97CFB5">
      <w:pPr>
        <w:shd w:val="clear" w:color="auto" w:fill="auto"/>
        <w:spacing w:line="360" w:lineRule="auto"/>
        <w:jc w:val="center"/>
        <w:rPr>
          <w:rFonts w:hint="eastAsia" w:hAnsi="宋体" w:cs="宋体"/>
          <w:b/>
          <w:color w:val="auto"/>
          <w:sz w:val="72"/>
          <w:highlight w:val="none"/>
        </w:rPr>
      </w:pPr>
      <w:r>
        <w:rPr>
          <w:rFonts w:hint="eastAsia" w:hAnsi="宋体" w:cs="宋体"/>
          <w:b/>
          <w:color w:val="auto"/>
          <w:sz w:val="40"/>
          <w:szCs w:val="48"/>
          <w:highlight w:val="none"/>
        </w:rPr>
        <w:t>XXX项目</w:t>
      </w:r>
    </w:p>
    <w:p w14:paraId="32473E95">
      <w:pPr>
        <w:shd w:val="clear" w:color="auto" w:fill="auto"/>
        <w:spacing w:line="360" w:lineRule="auto"/>
        <w:rPr>
          <w:rFonts w:hint="eastAsia" w:hAnsi="宋体" w:cs="宋体"/>
          <w:b/>
          <w:color w:val="auto"/>
          <w:sz w:val="52"/>
          <w:szCs w:val="52"/>
          <w:highlight w:val="none"/>
        </w:rPr>
      </w:pPr>
    </w:p>
    <w:p w14:paraId="33D1A175">
      <w:pPr>
        <w:shd w:val="clear" w:color="auto" w:fill="auto"/>
        <w:spacing w:line="360" w:lineRule="auto"/>
        <w:jc w:val="center"/>
        <w:rPr>
          <w:rFonts w:hint="eastAsia" w:hAnsi="宋体" w:cs="宋体"/>
          <w:b/>
          <w:color w:val="auto"/>
          <w:sz w:val="32"/>
          <w:szCs w:val="32"/>
          <w:highlight w:val="none"/>
        </w:rPr>
      </w:pPr>
      <w:r>
        <w:rPr>
          <w:rFonts w:hint="eastAsia" w:hAnsi="宋体" w:cs="宋体"/>
          <w:b/>
          <w:color w:val="auto"/>
          <w:sz w:val="52"/>
          <w:szCs w:val="52"/>
          <w:highlight w:val="none"/>
        </w:rPr>
        <w:t>资格性响应投标文件</w:t>
      </w:r>
    </w:p>
    <w:p w14:paraId="37ADE92C">
      <w:pPr>
        <w:shd w:val="clear" w:color="auto" w:fill="auto"/>
        <w:spacing w:line="360" w:lineRule="auto"/>
        <w:rPr>
          <w:rFonts w:hint="eastAsia" w:hAnsi="宋体" w:cs="宋体"/>
          <w:b/>
          <w:color w:val="auto"/>
          <w:sz w:val="36"/>
          <w:highlight w:val="none"/>
        </w:rPr>
      </w:pPr>
    </w:p>
    <w:p w14:paraId="280C7D96">
      <w:pPr>
        <w:shd w:val="clear" w:color="auto" w:fill="auto"/>
        <w:spacing w:line="360" w:lineRule="auto"/>
        <w:rPr>
          <w:rFonts w:hint="eastAsia" w:hAnsi="宋体" w:cs="宋体"/>
          <w:b/>
          <w:color w:val="auto"/>
          <w:sz w:val="36"/>
          <w:highlight w:val="none"/>
        </w:rPr>
      </w:pPr>
    </w:p>
    <w:p w14:paraId="4548EC93">
      <w:pPr>
        <w:shd w:val="clear" w:color="auto" w:fill="auto"/>
        <w:spacing w:line="360" w:lineRule="auto"/>
        <w:jc w:val="left"/>
        <w:rPr>
          <w:rFonts w:hint="eastAsia" w:hAnsi="宋体" w:cs="宋体"/>
          <w:b/>
          <w:color w:val="auto"/>
          <w:sz w:val="32"/>
          <w:highlight w:val="none"/>
          <w:u w:val="single"/>
        </w:rPr>
      </w:pPr>
      <w:r>
        <w:rPr>
          <w:rFonts w:hint="eastAsia" w:hAnsi="宋体" w:cs="宋体"/>
          <w:b/>
          <w:color w:val="auto"/>
          <w:sz w:val="32"/>
          <w:highlight w:val="none"/>
        </w:rPr>
        <w:t>投 标 人名称：</w:t>
      </w:r>
    </w:p>
    <w:p w14:paraId="748C4F13">
      <w:pPr>
        <w:shd w:val="clear" w:color="auto" w:fill="auto"/>
        <w:spacing w:line="360" w:lineRule="auto"/>
        <w:jc w:val="left"/>
        <w:rPr>
          <w:rFonts w:hint="eastAsia" w:hAnsi="宋体" w:cs="宋体"/>
          <w:b/>
          <w:color w:val="auto"/>
          <w:sz w:val="32"/>
          <w:highlight w:val="none"/>
        </w:rPr>
      </w:pPr>
      <w:r>
        <w:rPr>
          <w:rFonts w:hint="eastAsia" w:hAnsi="宋体" w:cs="宋体"/>
          <w:b/>
          <w:color w:val="auto"/>
          <w:sz w:val="32"/>
          <w:highlight w:val="none"/>
        </w:rPr>
        <w:t>采购项目编号：</w:t>
      </w:r>
    </w:p>
    <w:p w14:paraId="5EC12567">
      <w:pPr>
        <w:shd w:val="clear" w:color="auto" w:fill="auto"/>
        <w:spacing w:line="360" w:lineRule="auto"/>
        <w:jc w:val="left"/>
        <w:rPr>
          <w:rFonts w:hint="eastAsia" w:hAnsi="宋体" w:eastAsia="宋体" w:cs="宋体"/>
          <w:b/>
          <w:color w:val="auto"/>
          <w:sz w:val="32"/>
          <w:highlight w:val="none"/>
          <w:lang w:eastAsia="zh-CN"/>
        </w:rPr>
      </w:pPr>
      <w:r>
        <w:rPr>
          <w:rFonts w:hint="eastAsia" w:hAnsi="宋体" w:cs="宋体"/>
          <w:b/>
          <w:color w:val="auto"/>
          <w:sz w:val="32"/>
          <w:highlight w:val="none"/>
          <w:lang w:eastAsia="zh-CN"/>
        </w:rPr>
        <w:t>标项：</w:t>
      </w:r>
    </w:p>
    <w:p w14:paraId="06E4BB84">
      <w:pPr>
        <w:shd w:val="clear" w:color="auto" w:fill="auto"/>
        <w:spacing w:line="360" w:lineRule="auto"/>
        <w:ind w:firstLine="790" w:firstLineChars="246"/>
        <w:jc w:val="center"/>
        <w:rPr>
          <w:rFonts w:hint="eastAsia" w:hAnsi="宋体" w:cs="宋体"/>
          <w:b/>
          <w:color w:val="auto"/>
          <w:sz w:val="32"/>
          <w:highlight w:val="none"/>
        </w:rPr>
      </w:pPr>
    </w:p>
    <w:p w14:paraId="05EB824E">
      <w:pPr>
        <w:shd w:val="clear" w:color="auto" w:fill="auto"/>
        <w:spacing w:line="360" w:lineRule="auto"/>
        <w:ind w:firstLine="790" w:firstLineChars="246"/>
        <w:jc w:val="center"/>
        <w:rPr>
          <w:rFonts w:hint="eastAsia" w:hAnsi="宋体" w:cs="宋体"/>
          <w:b/>
          <w:color w:val="auto"/>
          <w:sz w:val="32"/>
          <w:highlight w:val="none"/>
        </w:rPr>
      </w:pPr>
    </w:p>
    <w:p w14:paraId="669E9FB0">
      <w:pPr>
        <w:shd w:val="clear" w:color="auto" w:fill="auto"/>
        <w:spacing w:line="360" w:lineRule="auto"/>
        <w:jc w:val="left"/>
        <w:rPr>
          <w:rFonts w:hint="eastAsia" w:hAnsi="宋体" w:cs="宋体"/>
          <w:b/>
          <w:color w:val="auto"/>
          <w:sz w:val="32"/>
          <w:highlight w:val="none"/>
        </w:rPr>
      </w:pPr>
      <w:r>
        <w:rPr>
          <w:rFonts w:hint="eastAsia" w:hAnsi="宋体" w:cs="宋体"/>
          <w:b/>
          <w:color w:val="auto"/>
          <w:sz w:val="32"/>
          <w:highlight w:val="none"/>
        </w:rPr>
        <w:t>投标时间：   年  月  日</w:t>
      </w:r>
    </w:p>
    <w:p w14:paraId="2F36E943">
      <w:pPr>
        <w:shd w:val="clear" w:color="auto" w:fill="auto"/>
        <w:rPr>
          <w:rFonts w:hint="eastAsia" w:ascii="宋体" w:hAnsi="宋体" w:eastAsia="宋体" w:cs="宋体"/>
          <w:color w:val="auto"/>
          <w:sz w:val="24"/>
          <w:szCs w:val="24"/>
          <w:highlight w:val="none"/>
        </w:rPr>
      </w:pPr>
    </w:p>
    <w:p w14:paraId="6868F3C3">
      <w:pPr>
        <w:shd w:val="clear" w:color="auto" w:fill="auto"/>
        <w:rPr>
          <w:rFonts w:hint="eastAsia" w:ascii="宋体" w:hAnsi="宋体" w:eastAsia="宋体" w:cs="宋体"/>
          <w:color w:val="auto"/>
          <w:sz w:val="24"/>
          <w:szCs w:val="24"/>
          <w:highlight w:val="none"/>
        </w:rPr>
      </w:pPr>
    </w:p>
    <w:p w14:paraId="50DEAB8F">
      <w:pPr>
        <w:pStyle w:val="6"/>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End w:id="40"/>
      <w:bookmarkEnd w:id="41"/>
      <w:bookmarkEnd w:id="42"/>
      <w:bookmarkEnd w:id="43"/>
      <w:bookmarkEnd w:id="44"/>
      <w:bookmarkEnd w:id="45"/>
      <w:bookmarkEnd w:id="46"/>
      <w:bookmarkEnd w:id="47"/>
      <w:bookmarkEnd w:id="48"/>
      <w:bookmarkEnd w:id="49"/>
      <w:bookmarkEnd w:id="50"/>
      <w:bookmarkEnd w:id="51"/>
      <w:bookmarkStart w:id="52" w:name="_Toc23466"/>
      <w:r>
        <w:rPr>
          <w:rFonts w:hint="eastAsia" w:ascii="宋体" w:hAnsi="宋体" w:eastAsia="宋体" w:cs="宋体"/>
          <w:color w:val="auto"/>
          <w:sz w:val="24"/>
          <w:szCs w:val="24"/>
          <w:highlight w:val="none"/>
        </w:rPr>
        <w:t>1、具有独立承担民事责任的能力的证明材料</w:t>
      </w:r>
      <w:bookmarkEnd w:id="52"/>
    </w:p>
    <w:p w14:paraId="459576AD">
      <w:pPr>
        <w:shd w:val="clear" w:color="auto" w:fill="auto"/>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若供应商为企业法人的，提供具有统一社会信用代码的“营业执照”复印件，未换证的提供“营业执照、税务登记证、组织机构代码证”复印件；②若供应商为事业法人的，提供统一社会信用代码的“事业单位法人证书”复印件，未换证的提交“事业单位法人证书或组织机构代码证”复印件；③若供应商为其他组织的，提供对应主管部门颁发的准许执业的证明文件或营业执照复印件；④若供应商为自然人的，提供相关“身份证明材料”</w:t>
      </w:r>
      <w:r>
        <w:rPr>
          <w:rFonts w:hint="eastAsia" w:ascii="宋体" w:hAnsi="宋体" w:eastAsia="宋体" w:cs="宋体"/>
          <w:color w:val="auto"/>
          <w:sz w:val="24"/>
          <w:szCs w:val="24"/>
          <w:highlight w:val="none"/>
        </w:rPr>
        <w:br w:type="page"/>
      </w:r>
    </w:p>
    <w:p w14:paraId="386CA72A">
      <w:pPr>
        <w:pStyle w:val="6"/>
        <w:bidi w:val="0"/>
        <w:jc w:val="center"/>
        <w:rPr>
          <w:rFonts w:hint="eastAsia" w:ascii="宋体" w:hAnsi="宋体" w:eastAsia="宋体" w:cs="宋体"/>
          <w:b/>
          <w:color w:val="auto"/>
          <w:sz w:val="24"/>
          <w:szCs w:val="24"/>
          <w:highlight w:val="none"/>
        </w:rPr>
      </w:pPr>
      <w:bookmarkStart w:id="53" w:name="_Toc20162"/>
      <w:r>
        <w:rPr>
          <w:rFonts w:hint="eastAsia" w:ascii="宋体" w:hAnsi="宋体" w:eastAsia="宋体" w:cs="宋体"/>
          <w:color w:val="auto"/>
          <w:sz w:val="24"/>
          <w:szCs w:val="24"/>
          <w:highlight w:val="none"/>
        </w:rPr>
        <w:t>2、</w:t>
      </w:r>
      <w:bookmarkStart w:id="54" w:name="_Hlk535236685"/>
      <w:r>
        <w:rPr>
          <w:rFonts w:hint="eastAsia" w:ascii="宋体" w:hAnsi="宋体" w:eastAsia="宋体" w:cs="宋体"/>
          <w:b/>
          <w:color w:val="auto"/>
          <w:sz w:val="24"/>
          <w:szCs w:val="24"/>
          <w:highlight w:val="none"/>
        </w:rPr>
        <w:t>法定代表人身份证明(</w:t>
      </w:r>
      <w:r>
        <w:rPr>
          <w:rFonts w:hint="eastAsia" w:ascii="宋体" w:hAnsi="宋体" w:eastAsia="宋体" w:cs="宋体"/>
          <w:color w:val="auto"/>
          <w:sz w:val="24"/>
          <w:szCs w:val="24"/>
          <w:highlight w:val="none"/>
        </w:rPr>
        <w:t>法定</w:t>
      </w:r>
      <w:r>
        <w:rPr>
          <w:rFonts w:hint="eastAsia" w:ascii="宋体" w:hAnsi="宋体" w:eastAsia="宋体" w:cs="宋体"/>
          <w:b/>
          <w:color w:val="auto"/>
          <w:sz w:val="24"/>
          <w:szCs w:val="24"/>
          <w:highlight w:val="none"/>
        </w:rPr>
        <w:t>代表人参加投标)</w:t>
      </w:r>
      <w:bookmarkEnd w:id="53"/>
    </w:p>
    <w:p w14:paraId="0F331695">
      <w:pPr>
        <w:snapToGrid w:val="0"/>
        <w:spacing w:line="480" w:lineRule="auto"/>
        <w:rPr>
          <w:rFonts w:hint="eastAsia" w:ascii="宋体" w:hAnsi="宋体" w:eastAsia="宋体" w:cs="宋体"/>
          <w:color w:val="auto"/>
          <w:sz w:val="24"/>
          <w:szCs w:val="24"/>
          <w:highlight w:val="none"/>
        </w:rPr>
      </w:pPr>
    </w:p>
    <w:p w14:paraId="25F800EF">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w:t>
      </w:r>
    </w:p>
    <w:p w14:paraId="1F421758">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注册地址：</w:t>
      </w:r>
      <w:r>
        <w:rPr>
          <w:rFonts w:hint="eastAsia" w:ascii="宋体" w:hAnsi="宋体" w:eastAsia="宋体" w:cs="宋体"/>
          <w:color w:val="auto"/>
          <w:kern w:val="0"/>
          <w:sz w:val="24"/>
          <w:szCs w:val="24"/>
          <w:highlight w:val="none"/>
          <w:u w:val="single"/>
        </w:rPr>
        <w:t xml:space="preserve">                                    </w:t>
      </w:r>
    </w:p>
    <w:p w14:paraId="0A2583D8">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成立时间：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年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日</w:t>
      </w:r>
    </w:p>
    <w:p w14:paraId="0714B1BB">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经营期限：</w:t>
      </w:r>
      <w:r>
        <w:rPr>
          <w:rFonts w:hint="eastAsia" w:ascii="宋体" w:hAnsi="宋体" w:eastAsia="宋体" w:cs="宋体"/>
          <w:color w:val="auto"/>
          <w:kern w:val="0"/>
          <w:sz w:val="24"/>
          <w:szCs w:val="24"/>
          <w:highlight w:val="none"/>
          <w:u w:val="single"/>
        </w:rPr>
        <w:t xml:space="preserve">                  </w:t>
      </w:r>
    </w:p>
    <w:p w14:paraId="7A419890">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经营范围：主营：</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；兼营：</w:t>
      </w:r>
      <w:r>
        <w:rPr>
          <w:rFonts w:hint="eastAsia" w:ascii="宋体" w:hAnsi="宋体" w:eastAsia="宋体" w:cs="宋体"/>
          <w:color w:val="auto"/>
          <w:kern w:val="0"/>
          <w:sz w:val="24"/>
          <w:szCs w:val="24"/>
          <w:highlight w:val="none"/>
          <w:u w:val="single"/>
        </w:rPr>
        <w:t xml:space="preserve">              </w:t>
      </w:r>
    </w:p>
    <w:p w14:paraId="2DB19F72">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姓名：</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性别：</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年龄：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系</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名称）的法定代表人。</w:t>
      </w:r>
    </w:p>
    <w:p w14:paraId="08DD8AF3">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特此证明。</w:t>
      </w:r>
    </w:p>
    <w:p w14:paraId="0C1F07E2">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附：法定代表人身份证复印件</w:t>
      </w:r>
    </w:p>
    <w:p w14:paraId="7C72F490">
      <w:pPr>
        <w:snapToGrid w:val="0"/>
        <w:spacing w:line="480" w:lineRule="auto"/>
        <w:rPr>
          <w:rFonts w:hint="eastAsia" w:ascii="宋体" w:hAnsi="宋体" w:eastAsia="宋体" w:cs="宋体"/>
          <w:color w:val="auto"/>
          <w:sz w:val="24"/>
          <w:szCs w:val="24"/>
          <w:highlight w:val="none"/>
        </w:rPr>
      </w:pPr>
    </w:p>
    <w:p w14:paraId="61A356AF">
      <w:pPr>
        <w:snapToGrid w:val="0"/>
        <w:rPr>
          <w:rFonts w:hint="eastAsia" w:ascii="宋体" w:hAnsi="宋体" w:eastAsia="宋体" w:cs="宋体"/>
          <w:color w:val="auto"/>
          <w:sz w:val="24"/>
          <w:szCs w:val="24"/>
          <w:highlight w:val="none"/>
        </w:rPr>
      </w:pPr>
    </w:p>
    <w:p w14:paraId="7699448A">
      <w:pPr>
        <w:snapToGrid w:val="0"/>
        <w:rPr>
          <w:rFonts w:hint="eastAsia" w:ascii="宋体" w:hAnsi="宋体" w:eastAsia="宋体" w:cs="宋体"/>
          <w:color w:val="auto"/>
          <w:sz w:val="24"/>
          <w:szCs w:val="24"/>
          <w:highlight w:val="none"/>
        </w:rPr>
      </w:pPr>
    </w:p>
    <w:p w14:paraId="2CA22DD1">
      <w:pPr>
        <w:snapToGrid w:val="0"/>
        <w:rPr>
          <w:rFonts w:hint="eastAsia" w:ascii="宋体" w:hAnsi="宋体" w:eastAsia="宋体" w:cs="宋体"/>
          <w:color w:val="auto"/>
          <w:sz w:val="24"/>
          <w:szCs w:val="24"/>
          <w:highlight w:val="none"/>
        </w:rPr>
      </w:pPr>
    </w:p>
    <w:p w14:paraId="0F9B35D2">
      <w:pPr>
        <w:snapToGrid w:val="0"/>
        <w:rPr>
          <w:rFonts w:hint="eastAsia" w:ascii="宋体" w:hAnsi="宋体" w:eastAsia="宋体" w:cs="宋体"/>
          <w:color w:val="auto"/>
          <w:sz w:val="24"/>
          <w:szCs w:val="24"/>
          <w:highlight w:val="none"/>
        </w:rPr>
      </w:pPr>
    </w:p>
    <w:p w14:paraId="6B505181">
      <w:pPr>
        <w:adjustRightInd w:val="0"/>
        <w:snapToGrid w:val="0"/>
        <w:spacing w:line="360" w:lineRule="auto"/>
        <w:rPr>
          <w:rFonts w:hint="eastAsia" w:ascii="宋体" w:hAnsi="宋体" w:eastAsia="宋体" w:cs="宋体"/>
          <w:color w:val="auto"/>
          <w:sz w:val="24"/>
          <w:szCs w:val="24"/>
          <w:highlight w:val="none"/>
        </w:rPr>
      </w:pPr>
    </w:p>
    <w:p w14:paraId="64EF00C5">
      <w:pPr>
        <w:adjustRightInd w:val="0"/>
        <w:snapToGrid w:val="0"/>
        <w:spacing w:line="360" w:lineRule="auto"/>
        <w:ind w:right="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投标人名称（盖单位章）：</w:t>
      </w:r>
    </w:p>
    <w:p w14:paraId="695F93A6">
      <w:pPr>
        <w:adjustRightInd w:val="0"/>
        <w:snapToGrid w:val="0"/>
        <w:spacing w:line="360" w:lineRule="auto"/>
        <w:ind w:right="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日      </w:t>
      </w:r>
    </w:p>
    <w:p w14:paraId="1BB2916E">
      <w:pPr>
        <w:adjustRightInd w:val="0"/>
        <w:snapToGrid w:val="0"/>
        <w:spacing w:before="120" w:beforeLines="50" w:line="360" w:lineRule="auto"/>
        <w:rPr>
          <w:rFonts w:hint="eastAsia" w:ascii="宋体" w:hAnsi="宋体" w:eastAsia="宋体" w:cs="宋体"/>
          <w:color w:val="auto"/>
          <w:sz w:val="24"/>
          <w:szCs w:val="24"/>
          <w:highlight w:val="none"/>
        </w:rPr>
      </w:pPr>
    </w:p>
    <w:p w14:paraId="6A0EAE19">
      <w:pPr>
        <w:adjustRightInd w:val="0"/>
        <w:snapToGrid w:val="0"/>
        <w:spacing w:before="120" w:beforeLines="50" w:line="360" w:lineRule="auto"/>
        <w:rPr>
          <w:rFonts w:hint="eastAsia" w:ascii="宋体" w:hAnsi="宋体" w:eastAsia="宋体" w:cs="宋体"/>
          <w:color w:val="auto"/>
          <w:sz w:val="24"/>
          <w:szCs w:val="24"/>
          <w:highlight w:val="none"/>
        </w:rPr>
      </w:pPr>
    </w:p>
    <w:p w14:paraId="4AA5D46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43C7FE81">
      <w:pPr>
        <w:pStyle w:val="6"/>
        <w:bidi w:val="0"/>
        <w:jc w:val="center"/>
        <w:rPr>
          <w:rFonts w:hint="eastAsia" w:ascii="宋体" w:hAnsi="宋体" w:eastAsia="宋体" w:cs="宋体"/>
          <w:color w:val="auto"/>
          <w:sz w:val="24"/>
          <w:szCs w:val="24"/>
          <w:highlight w:val="none"/>
        </w:rPr>
      </w:pPr>
      <w:bookmarkStart w:id="55" w:name="_Toc14050"/>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法定代表人/单位负责人授权书</w:t>
      </w:r>
      <w:bookmarkEnd w:id="54"/>
      <w:r>
        <w:rPr>
          <w:rFonts w:hint="eastAsia" w:ascii="宋体" w:hAnsi="宋体" w:eastAsia="宋体" w:cs="宋体"/>
          <w:color w:val="auto"/>
          <w:sz w:val="24"/>
          <w:szCs w:val="24"/>
          <w:highlight w:val="none"/>
        </w:rPr>
        <w:t>(委托代理人参加投标)</w:t>
      </w:r>
      <w:bookmarkEnd w:id="55"/>
    </w:p>
    <w:p w14:paraId="46B14728">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w:t>
      </w:r>
    </w:p>
    <w:p w14:paraId="61CCDF9E">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本授权声明：XXXX XXXX（投标人名称）XXXX（法定代表人/单位负责人姓名、职务）授权XXXX（被授权人姓名、职务）为我方 “XXXX” 项目（招标编号：XXXX</w:t>
      </w:r>
      <w:r>
        <w:rPr>
          <w:rFonts w:hint="eastAsia" w:ascii="宋体" w:hAnsi="宋体" w:cs="宋体"/>
          <w:color w:val="auto"/>
          <w:sz w:val="24"/>
          <w:szCs w:val="24"/>
          <w:highlight w:val="none"/>
          <w:lang w:eastAsia="zh-CN"/>
        </w:rPr>
        <w:t>，标项：</w:t>
      </w:r>
      <w:r>
        <w:rPr>
          <w:rFonts w:hint="eastAsia" w:ascii="宋体" w:hAnsi="宋体" w:eastAsia="宋体" w:cs="宋体"/>
          <w:color w:val="auto"/>
          <w:sz w:val="24"/>
          <w:szCs w:val="24"/>
          <w:highlight w:val="none"/>
        </w:rPr>
        <w:t>XXXX）投标活动的合法代表，以我方名义全权处理该项目有关投标、签订合同以及执行合同等一切事宜。</w:t>
      </w:r>
    </w:p>
    <w:p w14:paraId="7F0FC87D">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特此声明。</w:t>
      </w:r>
    </w:p>
    <w:p w14:paraId="49C8D205">
      <w:pPr>
        <w:shd w:val="clear" w:color="auto" w:fill="auto"/>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（需提供法定代表人/单位负责人及被授权人身份证复印件）</w:t>
      </w:r>
    </w:p>
    <w:p w14:paraId="6776216D">
      <w:pPr>
        <w:shd w:val="clear" w:color="auto" w:fill="auto"/>
        <w:spacing w:line="360" w:lineRule="auto"/>
        <w:ind w:firstLine="480" w:firstLineChars="200"/>
        <w:rPr>
          <w:rFonts w:hint="eastAsia" w:ascii="宋体" w:hAnsi="宋体" w:eastAsia="宋体" w:cs="宋体"/>
          <w:color w:val="auto"/>
          <w:sz w:val="24"/>
          <w:szCs w:val="24"/>
          <w:highlight w:val="none"/>
        </w:rPr>
      </w:pPr>
      <w:bookmarkStart w:id="56" w:name="_Hlk535236712"/>
      <w:r>
        <w:rPr>
          <w:rFonts w:hint="eastAsia" w:ascii="宋体" w:hAnsi="宋体" w:eastAsia="宋体" w:cs="宋体"/>
          <w:color w:val="auto"/>
          <w:sz w:val="24"/>
          <w:szCs w:val="24"/>
          <w:highlight w:val="none"/>
        </w:rPr>
        <w:t>法定代表人/单位负责人签字</w:t>
      </w:r>
      <w:bookmarkEnd w:id="56"/>
      <w:r>
        <w:rPr>
          <w:rFonts w:hint="eastAsia" w:ascii="宋体" w:hAnsi="宋体" w:eastAsia="宋体" w:cs="宋体"/>
          <w:color w:val="auto"/>
          <w:sz w:val="24"/>
          <w:szCs w:val="24"/>
          <w:highlight w:val="none"/>
        </w:rPr>
        <w:t>或者加盖个人名章：XXXX</w:t>
      </w:r>
    </w:p>
    <w:p w14:paraId="15C79A1E">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授权代表签字：XXXX</w:t>
      </w:r>
    </w:p>
    <w:p w14:paraId="6DC9D758">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投标人名称：XXXX（单位盖章）</w:t>
      </w:r>
    </w:p>
    <w:p w14:paraId="276CCF85">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期：XXXX</w:t>
      </w:r>
    </w:p>
    <w:p w14:paraId="1D46DB33">
      <w:pPr>
        <w:shd w:val="clear" w:color="auto" w:fill="auto"/>
        <w:spacing w:line="360" w:lineRule="auto"/>
        <w:rPr>
          <w:rFonts w:hint="eastAsia" w:ascii="宋体" w:hAnsi="宋体" w:eastAsia="宋体" w:cs="宋体"/>
          <w:color w:val="auto"/>
          <w:sz w:val="24"/>
          <w:szCs w:val="24"/>
          <w:highlight w:val="none"/>
        </w:rPr>
      </w:pPr>
    </w:p>
    <w:p w14:paraId="313F6126">
      <w:pPr>
        <w:shd w:val="clear" w:color="auto" w:fill="auto"/>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p w14:paraId="4EC96BE1">
      <w:pPr>
        <w:shd w:val="clear" w:color="auto" w:fill="auto"/>
        <w:spacing w:line="360" w:lineRule="auto"/>
        <w:ind w:firstLine="480"/>
        <w:rPr>
          <w:rFonts w:hint="eastAsia" w:ascii="宋体" w:hAnsi="宋体" w:eastAsia="宋体" w:cs="宋体"/>
          <w:color w:val="auto"/>
          <w:sz w:val="24"/>
          <w:szCs w:val="24"/>
          <w:highlight w:val="none"/>
        </w:rPr>
      </w:pPr>
      <w:bookmarkStart w:id="57" w:name="_Hlk535236731"/>
      <w:r>
        <w:rPr>
          <w:rFonts w:hint="eastAsia" w:ascii="宋体" w:hAnsi="宋体" w:eastAsia="宋体" w:cs="宋体"/>
          <w:color w:val="auto"/>
          <w:sz w:val="24"/>
          <w:szCs w:val="24"/>
          <w:highlight w:val="none"/>
        </w:rPr>
        <w:t>1、供应商为法人单位提供“法定代表人授权书”，供应商为其他组织提供“单位负责人授权书”。</w:t>
      </w:r>
    </w:p>
    <w:p w14:paraId="48794867">
      <w:pPr>
        <w:shd w:val="clear" w:color="auto" w:fill="auto"/>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2、如法定代表人/单位负责人参加投标的，投标文件中不需提供授权委托书，但必须提供法定代表人身份证明材料。</w:t>
      </w:r>
    </w:p>
    <w:p w14:paraId="1A03CFD2">
      <w:pPr>
        <w:shd w:val="clear" w:color="auto" w:fill="auto"/>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3、如委托代理人参加投标的，投标文件中必须提供授权委托书、法定代表人/单位负责人和委托代理人的身份证明材料。</w:t>
      </w:r>
    </w:p>
    <w:p w14:paraId="4727F2C3">
      <w:pPr>
        <w:shd w:val="clear" w:color="auto" w:fill="auto"/>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4、身份证明材料包括居民身份证或户口本或军官证或护照等，且应在有效期内。</w:t>
      </w:r>
    </w:p>
    <w:p w14:paraId="76C243F1">
      <w:pPr>
        <w:shd w:val="clear" w:color="auto" w:fill="auto"/>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b/>
          <w:color w:val="auto"/>
          <w:sz w:val="24"/>
          <w:szCs w:val="24"/>
          <w:highlight w:val="none"/>
        </w:rPr>
        <w:t>法定代表人和授权代表均须签字或加盖个人名章，并加盖单位公章，否则按无效标处理。</w:t>
      </w:r>
    </w:p>
    <w:bookmarkEnd w:id="57"/>
    <w:p w14:paraId="5BFC14E0">
      <w:pPr>
        <w:pStyle w:val="6"/>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Start w:id="58" w:name="_Toc32503"/>
      <w:bookmarkStart w:id="59" w:name="_Hlk535236837"/>
      <w:r>
        <w:rPr>
          <w:rFonts w:hint="eastAsia" w:ascii="宋体" w:hAnsi="宋体" w:eastAsia="宋体" w:cs="宋体"/>
          <w:color w:val="auto"/>
          <w:sz w:val="24"/>
          <w:szCs w:val="24"/>
          <w:highlight w:val="none"/>
        </w:rPr>
        <w:t>3、具有良好的商业信誉和健全的财务会计制度</w:t>
      </w:r>
      <w:bookmarkEnd w:id="58"/>
    </w:p>
    <w:p w14:paraId="0516AF0D">
      <w:pPr>
        <w:shd w:val="clear" w:color="auto" w:fill="auto"/>
        <w:rPr>
          <w:rFonts w:hint="eastAsia" w:ascii="宋体" w:hAnsi="宋体" w:eastAsia="宋体" w:cs="宋体"/>
          <w:color w:val="auto"/>
          <w:sz w:val="24"/>
          <w:szCs w:val="24"/>
          <w:highlight w:val="none"/>
        </w:rPr>
      </w:pPr>
    </w:p>
    <w:p w14:paraId="66F2F491">
      <w:pPr>
        <w:shd w:val="clear" w:color="auto" w:fill="auto"/>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b w:val="0"/>
          <w:bCs w:val="0"/>
          <w:color w:val="auto"/>
          <w:kern w:val="2"/>
          <w:sz w:val="24"/>
          <w:szCs w:val="24"/>
          <w:highlight w:val="none"/>
          <w:lang w:val="en-US" w:eastAsia="zh-CN" w:bidi="ar-SA"/>
        </w:rPr>
        <w:t>（提供上一年度经审计财务审计报告，或开标前近12个月内基本开户银行出具的资信证明；成立不满一年的企业提供财务报表）</w:t>
      </w:r>
      <w:r>
        <w:rPr>
          <w:rFonts w:hint="eastAsia" w:ascii="宋体" w:hAnsi="宋体" w:eastAsia="宋体" w:cs="宋体"/>
          <w:color w:val="auto"/>
          <w:sz w:val="24"/>
          <w:szCs w:val="24"/>
          <w:highlight w:val="none"/>
        </w:rPr>
        <w:br w:type="page"/>
      </w:r>
    </w:p>
    <w:p w14:paraId="483ECE9B">
      <w:pPr>
        <w:pStyle w:val="6"/>
        <w:bidi w:val="0"/>
        <w:jc w:val="center"/>
        <w:rPr>
          <w:rFonts w:hint="eastAsia" w:ascii="宋体" w:hAnsi="宋体" w:eastAsia="宋体" w:cs="宋体"/>
          <w:color w:val="auto"/>
          <w:sz w:val="24"/>
          <w:szCs w:val="24"/>
          <w:highlight w:val="none"/>
        </w:rPr>
      </w:pPr>
      <w:bookmarkStart w:id="60" w:name="_Toc5965"/>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、具有履行合同所必需的设备和专业技术能力承诺函</w:t>
      </w:r>
      <w:bookmarkEnd w:id="60"/>
    </w:p>
    <w:p w14:paraId="389EBF12">
      <w:pPr>
        <w:shd w:val="clear" w:color="auto" w:fill="auto"/>
        <w:spacing w:line="480" w:lineRule="auto"/>
        <w:rPr>
          <w:rFonts w:hint="eastAsia" w:ascii="宋体" w:hAnsi="宋体" w:eastAsia="宋体" w:cs="宋体"/>
          <w:color w:val="auto"/>
          <w:sz w:val="24"/>
          <w:szCs w:val="24"/>
          <w:highlight w:val="none"/>
        </w:rPr>
      </w:pPr>
    </w:p>
    <w:p w14:paraId="56A9FA59">
      <w:pPr>
        <w:shd w:val="clear" w:color="auto" w:fill="auto"/>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w:t>
      </w:r>
    </w:p>
    <w:p w14:paraId="14C89C42">
      <w:pPr>
        <w:shd w:val="clear" w:color="auto" w:fill="auto"/>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（公司名称）参加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（项目名称、编号</w:t>
      </w:r>
      <w:r>
        <w:rPr>
          <w:rFonts w:hint="eastAsia" w:ascii="宋体" w:hAnsi="宋体" w:cs="宋体"/>
          <w:color w:val="auto"/>
          <w:sz w:val="24"/>
          <w:szCs w:val="24"/>
          <w:highlight w:val="none"/>
          <w:lang w:eastAsia="zh-CN"/>
        </w:rPr>
        <w:t>、标项号</w:t>
      </w:r>
      <w:r>
        <w:rPr>
          <w:rFonts w:hint="eastAsia" w:ascii="宋体" w:hAnsi="宋体" w:eastAsia="宋体" w:cs="宋体"/>
          <w:color w:val="auto"/>
          <w:sz w:val="24"/>
          <w:szCs w:val="24"/>
          <w:highlight w:val="none"/>
        </w:rPr>
        <w:t>）的采购活动，现承诺我公司具有履行合同所必需的设备和专业技术能力。</w:t>
      </w:r>
    </w:p>
    <w:p w14:paraId="1F7A62F6">
      <w:pPr>
        <w:shd w:val="clear" w:color="auto" w:fill="auto"/>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本公司对上述承诺内容事项真实性负责。如经查实上述承诺的内容事项存在虚假，我公司愿意接受以提供虚假材料谋取中标追究法律责任。</w:t>
      </w:r>
    </w:p>
    <w:p w14:paraId="1AC73155">
      <w:pPr>
        <w:shd w:val="clear" w:color="auto" w:fill="auto"/>
        <w:spacing w:line="276" w:lineRule="auto"/>
        <w:ind w:firstLine="480" w:firstLineChars="200"/>
        <w:rPr>
          <w:rFonts w:hint="eastAsia" w:ascii="宋体" w:hAnsi="宋体" w:eastAsia="宋体" w:cs="宋体"/>
          <w:color w:val="auto"/>
          <w:sz w:val="24"/>
          <w:szCs w:val="24"/>
          <w:highlight w:val="none"/>
        </w:rPr>
      </w:pPr>
    </w:p>
    <w:p w14:paraId="359AD424">
      <w:pPr>
        <w:shd w:val="clear" w:color="auto" w:fill="auto"/>
        <w:spacing w:line="276" w:lineRule="auto"/>
        <w:ind w:firstLine="480" w:firstLineChars="200"/>
        <w:rPr>
          <w:rFonts w:hint="eastAsia" w:ascii="宋体" w:hAnsi="宋体" w:eastAsia="宋体" w:cs="宋体"/>
          <w:color w:val="auto"/>
          <w:sz w:val="24"/>
          <w:szCs w:val="24"/>
          <w:highlight w:val="none"/>
        </w:rPr>
      </w:pPr>
    </w:p>
    <w:p w14:paraId="385BAD00">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投标人名称：XXXX（单位公章）</w:t>
      </w:r>
    </w:p>
    <w:p w14:paraId="5DC6FE38">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法定代表人/单位负责人或授权代表（签字）：XXXX</w:t>
      </w:r>
    </w:p>
    <w:p w14:paraId="0F6E96A3">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投标日期：XXXX</w:t>
      </w:r>
    </w:p>
    <w:p w14:paraId="76428CB5">
      <w:pPr>
        <w:shd w:val="clear" w:color="auto" w:fill="auto"/>
        <w:rPr>
          <w:rFonts w:hint="eastAsia" w:ascii="宋体" w:hAnsi="宋体" w:eastAsia="宋体" w:cs="宋体"/>
          <w:color w:val="auto"/>
          <w:sz w:val="24"/>
          <w:szCs w:val="24"/>
          <w:highlight w:val="none"/>
        </w:rPr>
      </w:pPr>
    </w:p>
    <w:p w14:paraId="2330365D">
      <w:pPr>
        <w:shd w:val="clear" w:color="auto" w:fill="auto"/>
        <w:rPr>
          <w:rFonts w:hint="eastAsia" w:ascii="宋体" w:hAnsi="宋体" w:eastAsia="宋体" w:cs="宋体"/>
          <w:color w:val="auto"/>
          <w:sz w:val="24"/>
          <w:szCs w:val="24"/>
          <w:highlight w:val="none"/>
        </w:rPr>
      </w:pPr>
    </w:p>
    <w:p w14:paraId="21567E11">
      <w:pPr>
        <w:shd w:val="clear" w:color="auto" w:fill="auto"/>
        <w:rPr>
          <w:rFonts w:hint="eastAsia" w:ascii="宋体" w:hAnsi="宋体" w:eastAsia="宋体" w:cs="宋体"/>
          <w:color w:val="auto"/>
          <w:sz w:val="24"/>
          <w:szCs w:val="24"/>
          <w:highlight w:val="none"/>
        </w:rPr>
      </w:pPr>
    </w:p>
    <w:p w14:paraId="01AB4C0B">
      <w:pPr>
        <w:shd w:val="clear" w:color="auto" w:fill="auto"/>
        <w:rPr>
          <w:rFonts w:hint="eastAsia" w:ascii="宋体" w:hAnsi="宋体" w:eastAsia="宋体" w:cs="宋体"/>
          <w:color w:val="auto"/>
          <w:sz w:val="24"/>
          <w:szCs w:val="24"/>
          <w:highlight w:val="none"/>
        </w:rPr>
      </w:pPr>
    </w:p>
    <w:p w14:paraId="1D8DFAD5">
      <w:pPr>
        <w:shd w:val="clear" w:color="auto" w:fill="auto"/>
        <w:rPr>
          <w:rFonts w:hint="eastAsia" w:ascii="宋体" w:hAnsi="宋体" w:eastAsia="宋体" w:cs="宋体"/>
          <w:color w:val="auto"/>
          <w:sz w:val="24"/>
          <w:szCs w:val="24"/>
          <w:highlight w:val="none"/>
        </w:rPr>
      </w:pPr>
    </w:p>
    <w:p w14:paraId="0AEA4F5D">
      <w:pPr>
        <w:shd w:val="clear" w:color="auto" w:fill="auto"/>
        <w:rPr>
          <w:rFonts w:hint="eastAsia" w:ascii="宋体" w:hAnsi="宋体" w:eastAsia="宋体" w:cs="宋体"/>
          <w:color w:val="auto"/>
          <w:sz w:val="24"/>
          <w:szCs w:val="24"/>
          <w:highlight w:val="none"/>
        </w:rPr>
      </w:pPr>
    </w:p>
    <w:p w14:paraId="0CC00C1E">
      <w:pPr>
        <w:shd w:val="clear" w:color="auto" w:fill="auto"/>
        <w:rPr>
          <w:rFonts w:hint="eastAsia" w:ascii="宋体" w:hAnsi="宋体" w:eastAsia="宋体" w:cs="宋体"/>
          <w:color w:val="auto"/>
          <w:sz w:val="24"/>
          <w:szCs w:val="24"/>
          <w:highlight w:val="none"/>
        </w:rPr>
      </w:pPr>
    </w:p>
    <w:p w14:paraId="557784EA">
      <w:pPr>
        <w:shd w:val="clear" w:color="auto" w:fill="auto"/>
        <w:rPr>
          <w:rFonts w:hint="eastAsia" w:ascii="宋体" w:hAnsi="宋体" w:eastAsia="宋体" w:cs="宋体"/>
          <w:color w:val="auto"/>
          <w:sz w:val="24"/>
          <w:szCs w:val="24"/>
          <w:highlight w:val="none"/>
        </w:rPr>
      </w:pPr>
    </w:p>
    <w:p w14:paraId="2AA35D66">
      <w:pPr>
        <w:shd w:val="clear" w:color="auto" w:fill="auto"/>
        <w:rPr>
          <w:rFonts w:hint="eastAsia" w:ascii="宋体" w:hAnsi="宋体" w:eastAsia="宋体" w:cs="宋体"/>
          <w:color w:val="auto"/>
          <w:sz w:val="24"/>
          <w:szCs w:val="24"/>
          <w:highlight w:val="none"/>
        </w:rPr>
      </w:pPr>
    </w:p>
    <w:p w14:paraId="66C76369">
      <w:pPr>
        <w:shd w:val="clear" w:color="auto" w:fill="auto"/>
        <w:rPr>
          <w:rFonts w:hint="eastAsia" w:ascii="宋体" w:hAnsi="宋体" w:eastAsia="宋体" w:cs="宋体"/>
          <w:color w:val="auto"/>
          <w:sz w:val="24"/>
          <w:szCs w:val="24"/>
          <w:highlight w:val="none"/>
        </w:rPr>
      </w:pPr>
    </w:p>
    <w:p w14:paraId="10AEE01C">
      <w:pPr>
        <w:shd w:val="clear" w:color="auto" w:fill="auto"/>
        <w:rPr>
          <w:rFonts w:hint="eastAsia" w:ascii="宋体" w:hAnsi="宋体" w:eastAsia="宋体" w:cs="宋体"/>
          <w:color w:val="auto"/>
          <w:sz w:val="24"/>
          <w:szCs w:val="24"/>
          <w:highlight w:val="none"/>
        </w:rPr>
      </w:pPr>
    </w:p>
    <w:p w14:paraId="5F082614">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2F819FBB">
      <w:pPr>
        <w:pStyle w:val="6"/>
        <w:bidi w:val="0"/>
        <w:jc w:val="center"/>
        <w:rPr>
          <w:rFonts w:hint="eastAsia" w:ascii="宋体" w:hAnsi="宋体" w:eastAsia="宋体" w:cs="宋体"/>
          <w:color w:val="auto"/>
          <w:sz w:val="24"/>
          <w:szCs w:val="24"/>
          <w:highlight w:val="none"/>
        </w:rPr>
      </w:pPr>
      <w:bookmarkStart w:id="61" w:name="_Toc12430"/>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、具有依法缴纳税收和社会保障资金的良好记录</w:t>
      </w:r>
      <w:bookmarkEnd w:id="61"/>
    </w:p>
    <w:p w14:paraId="750770D6">
      <w:pPr>
        <w:shd w:val="clear" w:color="auto" w:fill="auto"/>
        <w:jc w:val="center"/>
        <w:rPr>
          <w:rFonts w:hint="eastAsia" w:ascii="宋体" w:hAnsi="宋体" w:eastAsia="宋体" w:cs="宋体"/>
          <w:color w:val="auto"/>
          <w:sz w:val="24"/>
          <w:szCs w:val="24"/>
          <w:highlight w:val="none"/>
        </w:rPr>
      </w:pPr>
    </w:p>
    <w:p w14:paraId="6937216C">
      <w:pPr>
        <w:shd w:val="clear" w:color="auto" w:fill="auto"/>
        <w:spacing w:line="360" w:lineRule="auto"/>
        <w:jc w:val="center"/>
        <w:rPr>
          <w:rFonts w:hint="eastAsia" w:ascii="宋体" w:hAnsi="宋体" w:eastAsia="宋体" w:cs="宋体"/>
          <w:color w:val="auto"/>
          <w:sz w:val="24"/>
          <w:szCs w:val="24"/>
          <w:highlight w:val="none"/>
        </w:rPr>
      </w:pPr>
    </w:p>
    <w:p w14:paraId="4739ADAA">
      <w:pPr>
        <w:shd w:val="clear" w:color="auto" w:fill="auto"/>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（提供开标前</w:t>
      </w:r>
      <w:r>
        <w:rPr>
          <w:rFonts w:hint="eastAsia" w:ascii="宋体" w:hAnsi="宋体" w:eastAsia="宋体" w:cs="宋体"/>
          <w:color w:val="auto"/>
          <w:sz w:val="24"/>
          <w:szCs w:val="24"/>
          <w:highlight w:val="none"/>
        </w:rPr>
        <w:t>近</w:t>
      </w:r>
      <w:r>
        <w:rPr>
          <w:rFonts w:hint="eastAsia" w:ascii="宋体" w:hAnsi="宋体" w:eastAsia="宋体" w:cs="宋体"/>
          <w:color w:val="auto"/>
          <w:sz w:val="24"/>
          <w:szCs w:val="24"/>
          <w:highlight w:val="none"/>
          <w:lang w:eastAsia="zh-CN"/>
        </w:rPr>
        <w:t>半年连续</w:t>
      </w:r>
      <w:r>
        <w:rPr>
          <w:rFonts w:hint="eastAsia" w:ascii="宋体" w:hAnsi="宋体" w:eastAsia="宋体" w:cs="宋体"/>
          <w:color w:val="auto"/>
          <w:sz w:val="24"/>
          <w:szCs w:val="24"/>
          <w:highlight w:val="none"/>
        </w:rPr>
        <w:t>三个月依法缴纳税收证明</w:t>
      </w:r>
      <w:r>
        <w:rPr>
          <w:rFonts w:hint="eastAsia" w:ascii="宋体" w:hAnsi="宋体" w:eastAsia="宋体" w:cs="宋体"/>
          <w:b/>
          <w:bCs/>
          <w:color w:val="auto"/>
          <w:sz w:val="24"/>
          <w:szCs w:val="24"/>
          <w:highlight w:val="none"/>
          <w:lang w:eastAsia="zh-CN"/>
        </w:rPr>
        <w:t>及</w:t>
      </w:r>
      <w:r>
        <w:rPr>
          <w:rFonts w:hint="eastAsia" w:ascii="宋体" w:hAnsi="宋体" w:eastAsia="宋体" w:cs="宋体"/>
          <w:b w:val="0"/>
          <w:bCs w:val="0"/>
          <w:color w:val="auto"/>
          <w:sz w:val="24"/>
          <w:szCs w:val="24"/>
          <w:highlight w:val="none"/>
        </w:rPr>
        <w:t>社</w:t>
      </w:r>
      <w:r>
        <w:rPr>
          <w:rFonts w:hint="eastAsia" w:ascii="宋体" w:hAnsi="宋体" w:eastAsia="宋体" w:cs="宋体"/>
          <w:color w:val="auto"/>
          <w:sz w:val="24"/>
          <w:szCs w:val="24"/>
          <w:highlight w:val="none"/>
        </w:rPr>
        <w:t>保机构出具的</w:t>
      </w:r>
      <w:r>
        <w:rPr>
          <w:rFonts w:hint="eastAsia" w:ascii="宋体" w:hAnsi="宋体" w:eastAsia="宋体" w:cs="宋体"/>
          <w:color w:val="auto"/>
          <w:sz w:val="24"/>
          <w:szCs w:val="24"/>
          <w:highlight w:val="none"/>
          <w:lang w:eastAsia="zh-CN"/>
        </w:rPr>
        <w:t>开标前</w:t>
      </w:r>
      <w:r>
        <w:rPr>
          <w:rFonts w:hint="eastAsia" w:ascii="宋体" w:hAnsi="宋体" w:eastAsia="宋体" w:cs="宋体"/>
          <w:color w:val="auto"/>
          <w:sz w:val="24"/>
          <w:szCs w:val="24"/>
          <w:highlight w:val="none"/>
        </w:rPr>
        <w:t>近</w:t>
      </w:r>
      <w:r>
        <w:rPr>
          <w:rFonts w:hint="eastAsia" w:ascii="宋体" w:hAnsi="宋体" w:eastAsia="宋体" w:cs="宋体"/>
          <w:color w:val="auto"/>
          <w:sz w:val="24"/>
          <w:szCs w:val="24"/>
          <w:highlight w:val="none"/>
          <w:lang w:eastAsia="zh-CN"/>
        </w:rPr>
        <w:t>半年连续</w:t>
      </w:r>
      <w:r>
        <w:rPr>
          <w:rFonts w:hint="eastAsia" w:ascii="宋体" w:hAnsi="宋体" w:eastAsia="宋体" w:cs="宋体"/>
          <w:color w:val="auto"/>
          <w:sz w:val="24"/>
          <w:szCs w:val="24"/>
          <w:highlight w:val="none"/>
        </w:rPr>
        <w:t>三个月社保缴纳证明（成立不足三个月的按实际时间提供）</w:t>
      </w:r>
      <w:r>
        <w:rPr>
          <w:rFonts w:hint="eastAsia" w:ascii="宋体" w:hAnsi="宋体" w:eastAsia="宋体" w:cs="宋体"/>
          <w:color w:val="auto"/>
          <w:sz w:val="24"/>
          <w:szCs w:val="24"/>
          <w:highlight w:val="none"/>
          <w:lang w:eastAsia="zh-CN"/>
        </w:rPr>
        <w:t>）</w:t>
      </w:r>
    </w:p>
    <w:p w14:paraId="1C8A00F1">
      <w:pPr>
        <w:shd w:val="clear" w:color="auto" w:fill="auto"/>
        <w:rPr>
          <w:rFonts w:hint="eastAsia" w:ascii="宋体" w:hAnsi="宋体" w:eastAsia="宋体" w:cs="宋体"/>
          <w:color w:val="auto"/>
          <w:sz w:val="24"/>
          <w:szCs w:val="24"/>
          <w:highlight w:val="none"/>
        </w:rPr>
      </w:pPr>
    </w:p>
    <w:p w14:paraId="266B163E">
      <w:pPr>
        <w:shd w:val="clear" w:color="auto" w:fill="auto"/>
        <w:rPr>
          <w:rFonts w:hint="eastAsia" w:ascii="宋体" w:hAnsi="宋体" w:eastAsia="宋体" w:cs="宋体"/>
          <w:color w:val="auto"/>
          <w:sz w:val="24"/>
          <w:szCs w:val="24"/>
          <w:highlight w:val="none"/>
        </w:rPr>
      </w:pPr>
    </w:p>
    <w:p w14:paraId="7D01EE0C">
      <w:pPr>
        <w:shd w:val="clear" w:color="auto" w:fill="auto"/>
        <w:rPr>
          <w:rFonts w:hint="eastAsia" w:ascii="宋体" w:hAnsi="宋体" w:eastAsia="宋体" w:cs="宋体"/>
          <w:color w:val="auto"/>
          <w:sz w:val="24"/>
          <w:szCs w:val="24"/>
          <w:highlight w:val="none"/>
        </w:rPr>
      </w:pPr>
    </w:p>
    <w:p w14:paraId="23656781">
      <w:pPr>
        <w:shd w:val="clear" w:color="auto" w:fill="auto"/>
        <w:rPr>
          <w:rFonts w:hint="eastAsia" w:ascii="宋体" w:hAnsi="宋体" w:eastAsia="宋体" w:cs="宋体"/>
          <w:color w:val="auto"/>
          <w:sz w:val="24"/>
          <w:szCs w:val="24"/>
          <w:highlight w:val="none"/>
        </w:rPr>
      </w:pPr>
    </w:p>
    <w:p w14:paraId="5D6342B4">
      <w:pPr>
        <w:shd w:val="clear" w:color="auto" w:fill="auto"/>
        <w:rPr>
          <w:rFonts w:hint="eastAsia" w:ascii="宋体" w:hAnsi="宋体" w:eastAsia="宋体" w:cs="宋体"/>
          <w:color w:val="auto"/>
          <w:sz w:val="24"/>
          <w:szCs w:val="24"/>
          <w:highlight w:val="none"/>
        </w:rPr>
      </w:pPr>
    </w:p>
    <w:p w14:paraId="67132762">
      <w:pPr>
        <w:shd w:val="clear" w:color="auto" w:fill="auto"/>
        <w:rPr>
          <w:rFonts w:hint="eastAsia" w:ascii="宋体" w:hAnsi="宋体" w:eastAsia="宋体" w:cs="宋体"/>
          <w:color w:val="auto"/>
          <w:sz w:val="24"/>
          <w:szCs w:val="24"/>
          <w:highlight w:val="none"/>
        </w:rPr>
      </w:pPr>
    </w:p>
    <w:p w14:paraId="7372CAEF">
      <w:pPr>
        <w:shd w:val="clear" w:color="auto" w:fill="auto"/>
        <w:rPr>
          <w:rFonts w:hint="eastAsia" w:ascii="宋体" w:hAnsi="宋体" w:eastAsia="宋体" w:cs="宋体"/>
          <w:color w:val="auto"/>
          <w:sz w:val="24"/>
          <w:szCs w:val="24"/>
          <w:highlight w:val="none"/>
        </w:rPr>
      </w:pPr>
    </w:p>
    <w:p w14:paraId="70337ADC">
      <w:pPr>
        <w:shd w:val="clear" w:color="auto" w:fill="auto"/>
        <w:rPr>
          <w:rFonts w:hint="eastAsia" w:ascii="宋体" w:hAnsi="宋体" w:eastAsia="宋体" w:cs="宋体"/>
          <w:color w:val="auto"/>
          <w:sz w:val="24"/>
          <w:szCs w:val="24"/>
          <w:highlight w:val="none"/>
        </w:rPr>
      </w:pPr>
    </w:p>
    <w:p w14:paraId="4D09E213">
      <w:pPr>
        <w:shd w:val="clear" w:color="auto" w:fill="auto"/>
        <w:rPr>
          <w:rFonts w:hint="eastAsia" w:ascii="宋体" w:hAnsi="宋体" w:eastAsia="宋体" w:cs="宋体"/>
          <w:color w:val="auto"/>
          <w:sz w:val="24"/>
          <w:szCs w:val="24"/>
          <w:highlight w:val="none"/>
        </w:rPr>
      </w:pPr>
    </w:p>
    <w:p w14:paraId="6140A402">
      <w:pPr>
        <w:shd w:val="clear" w:color="auto" w:fill="auto"/>
        <w:rPr>
          <w:rFonts w:hint="eastAsia" w:ascii="宋体" w:hAnsi="宋体" w:eastAsia="宋体" w:cs="宋体"/>
          <w:color w:val="auto"/>
          <w:sz w:val="24"/>
          <w:szCs w:val="24"/>
          <w:highlight w:val="none"/>
        </w:rPr>
      </w:pPr>
    </w:p>
    <w:p w14:paraId="37A66C2D">
      <w:pPr>
        <w:shd w:val="clear" w:color="auto" w:fill="auto"/>
        <w:rPr>
          <w:rFonts w:hint="eastAsia" w:ascii="宋体" w:hAnsi="宋体" w:eastAsia="宋体" w:cs="宋体"/>
          <w:color w:val="auto"/>
          <w:sz w:val="24"/>
          <w:szCs w:val="24"/>
          <w:highlight w:val="none"/>
        </w:rPr>
      </w:pPr>
    </w:p>
    <w:p w14:paraId="6F20C21A">
      <w:pPr>
        <w:shd w:val="clear" w:color="auto" w:fill="auto"/>
        <w:rPr>
          <w:rFonts w:hint="eastAsia" w:ascii="宋体" w:hAnsi="宋体" w:eastAsia="宋体" w:cs="宋体"/>
          <w:color w:val="auto"/>
          <w:sz w:val="24"/>
          <w:szCs w:val="24"/>
          <w:highlight w:val="none"/>
        </w:rPr>
      </w:pPr>
    </w:p>
    <w:p w14:paraId="77746744">
      <w:pPr>
        <w:shd w:val="clear" w:color="auto" w:fill="auto"/>
        <w:rPr>
          <w:rFonts w:hint="eastAsia" w:ascii="宋体" w:hAnsi="宋体" w:eastAsia="宋体" w:cs="宋体"/>
          <w:color w:val="auto"/>
          <w:sz w:val="24"/>
          <w:szCs w:val="24"/>
          <w:highlight w:val="none"/>
        </w:rPr>
      </w:pPr>
    </w:p>
    <w:p w14:paraId="2248D3E6">
      <w:pPr>
        <w:shd w:val="clear" w:color="auto" w:fill="auto"/>
        <w:rPr>
          <w:rFonts w:hint="eastAsia" w:ascii="宋体" w:hAnsi="宋体" w:eastAsia="宋体" w:cs="宋体"/>
          <w:color w:val="auto"/>
          <w:sz w:val="24"/>
          <w:szCs w:val="24"/>
          <w:highlight w:val="none"/>
        </w:rPr>
      </w:pPr>
    </w:p>
    <w:p w14:paraId="03C3E01E">
      <w:pPr>
        <w:shd w:val="clear" w:color="auto" w:fill="auto"/>
        <w:rPr>
          <w:rFonts w:hint="eastAsia" w:ascii="宋体" w:hAnsi="宋体" w:eastAsia="宋体" w:cs="宋体"/>
          <w:color w:val="auto"/>
          <w:sz w:val="24"/>
          <w:szCs w:val="24"/>
          <w:highlight w:val="none"/>
        </w:rPr>
      </w:pPr>
    </w:p>
    <w:p w14:paraId="68C71875">
      <w:pPr>
        <w:shd w:val="clear" w:color="auto" w:fill="auto"/>
        <w:rPr>
          <w:rFonts w:hint="eastAsia" w:ascii="宋体" w:hAnsi="宋体" w:eastAsia="宋体" w:cs="宋体"/>
          <w:color w:val="auto"/>
          <w:sz w:val="24"/>
          <w:szCs w:val="24"/>
          <w:highlight w:val="none"/>
        </w:rPr>
      </w:pPr>
    </w:p>
    <w:p w14:paraId="3AB20814">
      <w:pPr>
        <w:shd w:val="clear" w:color="auto" w:fill="auto"/>
        <w:rPr>
          <w:rFonts w:hint="eastAsia" w:ascii="宋体" w:hAnsi="宋体" w:eastAsia="宋体" w:cs="宋体"/>
          <w:color w:val="auto"/>
          <w:sz w:val="24"/>
          <w:szCs w:val="24"/>
          <w:highlight w:val="none"/>
        </w:rPr>
      </w:pPr>
    </w:p>
    <w:p w14:paraId="6A315559">
      <w:pPr>
        <w:shd w:val="clear" w:color="auto" w:fill="auto"/>
        <w:rPr>
          <w:rFonts w:hint="eastAsia" w:ascii="宋体" w:hAnsi="宋体" w:eastAsia="宋体" w:cs="宋体"/>
          <w:color w:val="auto"/>
          <w:sz w:val="24"/>
          <w:szCs w:val="24"/>
          <w:highlight w:val="none"/>
        </w:rPr>
      </w:pPr>
    </w:p>
    <w:p w14:paraId="03CC310B">
      <w:pPr>
        <w:shd w:val="clear" w:color="auto" w:fill="auto"/>
        <w:rPr>
          <w:rFonts w:hint="eastAsia" w:ascii="宋体" w:hAnsi="宋体" w:eastAsia="宋体" w:cs="宋体"/>
          <w:color w:val="auto"/>
          <w:sz w:val="24"/>
          <w:szCs w:val="24"/>
          <w:highlight w:val="none"/>
        </w:rPr>
      </w:pPr>
    </w:p>
    <w:p w14:paraId="4E40DD2F">
      <w:pPr>
        <w:shd w:val="clear" w:color="auto" w:fill="auto"/>
        <w:rPr>
          <w:rFonts w:hint="eastAsia" w:ascii="宋体" w:hAnsi="宋体" w:eastAsia="宋体" w:cs="宋体"/>
          <w:color w:val="auto"/>
          <w:sz w:val="24"/>
          <w:szCs w:val="24"/>
          <w:highlight w:val="none"/>
        </w:rPr>
      </w:pPr>
    </w:p>
    <w:p w14:paraId="2A1CEBB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7115BFA0">
      <w:pPr>
        <w:pStyle w:val="6"/>
        <w:bidi w:val="0"/>
        <w:jc w:val="center"/>
        <w:rPr>
          <w:rFonts w:hint="eastAsia" w:ascii="宋体" w:hAnsi="宋体" w:eastAsia="宋体" w:cs="宋体"/>
          <w:color w:val="auto"/>
          <w:sz w:val="24"/>
          <w:szCs w:val="24"/>
          <w:highlight w:val="none"/>
        </w:rPr>
      </w:pPr>
      <w:bookmarkStart w:id="62" w:name="_Toc26225"/>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bookmarkEnd w:id="62"/>
      <w:r>
        <w:rPr>
          <w:rFonts w:hint="eastAsia" w:ascii="宋体" w:hAnsi="宋体" w:eastAsia="宋体" w:cs="宋体"/>
          <w:color w:val="auto"/>
          <w:sz w:val="24"/>
          <w:szCs w:val="24"/>
          <w:highlight w:val="none"/>
        </w:rPr>
        <w:t>参加政府采购活动前三年内，在在经营活动中没有重大违法记录</w:t>
      </w:r>
    </w:p>
    <w:p w14:paraId="76A2F024">
      <w:pPr>
        <w:shd w:val="clear" w:color="auto" w:fill="auto"/>
        <w:adjustRightInd w:val="0"/>
        <w:spacing w:line="440" w:lineRule="exact"/>
        <w:jc w:val="left"/>
        <w:rPr>
          <w:rFonts w:hint="eastAsia" w:ascii="宋体" w:hAnsi="宋体" w:eastAsia="宋体" w:cs="宋体"/>
          <w:color w:val="auto"/>
          <w:sz w:val="24"/>
          <w:szCs w:val="24"/>
          <w:highlight w:val="none"/>
        </w:rPr>
      </w:pPr>
    </w:p>
    <w:bookmarkEnd w:id="59"/>
    <w:p w14:paraId="591DAE6B">
      <w:pPr>
        <w:shd w:val="clear" w:color="auto" w:fill="auto"/>
        <w:spacing w:line="440" w:lineRule="exact"/>
        <w:ind w:firstLine="424" w:firstLineChars="177"/>
        <w:jc w:val="center"/>
        <w:rPr>
          <w:rFonts w:hint="default" w:ascii="宋体" w:hAnsi="宋体" w:eastAsia="宋体" w:cs="宋体"/>
          <w:color w:val="auto"/>
          <w:sz w:val="24"/>
          <w:szCs w:val="24"/>
          <w:highlight w:val="none"/>
          <w:lang w:val="en-US"/>
        </w:rPr>
      </w:pPr>
      <w:r>
        <w:rPr>
          <w:rFonts w:hint="eastAsia" w:ascii="宋体" w:hAnsi="宋体" w:cs="宋体"/>
          <w:b w:val="0"/>
          <w:bCs w:val="0"/>
          <w:color w:val="auto"/>
          <w:sz w:val="24"/>
          <w:szCs w:val="24"/>
          <w:highlight w:val="none"/>
          <w:lang w:val="en-US" w:eastAsia="zh-CN"/>
        </w:rPr>
        <w:t>提供承诺函，格式自拟</w:t>
      </w:r>
    </w:p>
    <w:p w14:paraId="31900461">
      <w:pPr>
        <w:pStyle w:val="6"/>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Start w:id="63" w:name="_Toc6046"/>
      <w:bookmarkStart w:id="64" w:name="_Hlk535236912"/>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、无重大违法记录声明书</w:t>
      </w:r>
      <w:bookmarkEnd w:id="63"/>
    </w:p>
    <w:p w14:paraId="47F21727">
      <w:pPr>
        <w:shd w:val="clear" w:color="auto" w:fill="auto"/>
        <w:spacing w:line="480" w:lineRule="auto"/>
        <w:rPr>
          <w:rFonts w:hint="eastAsia" w:ascii="宋体" w:hAnsi="宋体" w:eastAsia="宋体" w:cs="宋体"/>
          <w:color w:val="auto"/>
          <w:sz w:val="24"/>
          <w:szCs w:val="24"/>
          <w:highlight w:val="none"/>
        </w:rPr>
      </w:pPr>
    </w:p>
    <w:bookmarkEnd w:id="64"/>
    <w:p w14:paraId="65BF3255">
      <w:pPr>
        <w:widowControl/>
        <w:adjustRightInd w:val="0"/>
        <w:snapToGrid w:val="0"/>
        <w:spacing w:line="360" w:lineRule="auto"/>
        <w:jc w:val="center"/>
        <w:rPr>
          <w:rFonts w:hint="eastAsia" w:ascii="宋体" w:hAnsi="宋体" w:eastAsia="宋体" w:cs="宋体"/>
          <w:color w:val="auto"/>
          <w:sz w:val="24"/>
          <w:szCs w:val="24"/>
          <w:highlight w:val="none"/>
        </w:rPr>
      </w:pPr>
    </w:p>
    <w:p w14:paraId="684AE252">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（采购人）         </w:t>
      </w:r>
      <w:r>
        <w:rPr>
          <w:rFonts w:hint="eastAsia" w:ascii="宋体" w:hAnsi="宋体" w:eastAsia="宋体" w:cs="宋体"/>
          <w:color w:val="auto"/>
          <w:sz w:val="24"/>
          <w:szCs w:val="24"/>
          <w:highlight w:val="none"/>
        </w:rPr>
        <w:t>：</w:t>
      </w:r>
    </w:p>
    <w:p w14:paraId="0E977955">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094A880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我公司参与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项目名称、编号</w:t>
      </w:r>
      <w:r>
        <w:rPr>
          <w:rFonts w:hint="eastAsia" w:ascii="宋体" w:hAnsi="宋体" w:cs="宋体"/>
          <w:color w:val="auto"/>
          <w:sz w:val="24"/>
          <w:szCs w:val="24"/>
          <w:highlight w:val="none"/>
          <w:lang w:eastAsia="zh-CN"/>
        </w:rPr>
        <w:t>、标项号</w:t>
      </w:r>
      <w:r>
        <w:rPr>
          <w:rFonts w:hint="eastAsia" w:ascii="宋体" w:hAnsi="宋体" w:eastAsia="宋体" w:cs="宋体"/>
          <w:color w:val="auto"/>
          <w:sz w:val="24"/>
          <w:szCs w:val="24"/>
          <w:highlight w:val="none"/>
        </w:rPr>
        <w:t>）公开招标，本公司郑重声明，我方参加本项目政府采购活动前三年内无重大违法记录，符合《政府采购法》规定的投标人条件。若贵方在本项目采购过程中发现我方政府采购活动前三年内有重大违法记录，我公司将无条件退出本项目的投标，并承担因此引起的一切后果。我方对此声明负全部法律责任。</w:t>
      </w:r>
    </w:p>
    <w:p w14:paraId="5FCE510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特此声明  </w:t>
      </w:r>
    </w:p>
    <w:p w14:paraId="3E8083D5">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04AADBE2">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0948E762">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4111A318">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451AA7F4">
      <w:pPr>
        <w:adjustRightInd w:val="0"/>
        <w:snapToGrid w:val="0"/>
        <w:spacing w:line="360" w:lineRule="auto"/>
        <w:ind w:firstLine="480" w:firstLineChars="200"/>
        <w:rPr>
          <w:rFonts w:hint="eastAsia" w:ascii="宋体" w:hAnsi="宋体" w:eastAsia="宋体" w:cs="宋体"/>
          <w:bCs/>
          <w:color w:val="auto"/>
          <w:sz w:val="24"/>
          <w:szCs w:val="24"/>
          <w:highlight w:val="none"/>
        </w:rPr>
      </w:pPr>
    </w:p>
    <w:p w14:paraId="68A00534">
      <w:pPr>
        <w:adjustRightInd w:val="0"/>
        <w:snapToGrid w:val="0"/>
        <w:spacing w:line="360" w:lineRule="auto"/>
        <w:ind w:firstLine="3112" w:firstLineChars="1297"/>
        <w:rPr>
          <w:rFonts w:hint="eastAsia" w:ascii="宋体" w:hAnsi="宋体" w:eastAsia="宋体" w:cs="宋体"/>
          <w:color w:val="auto"/>
          <w:sz w:val="24"/>
          <w:szCs w:val="24"/>
          <w:highlight w:val="none"/>
        </w:rPr>
      </w:pPr>
    </w:p>
    <w:p w14:paraId="04A6F32C">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bookmarkStart w:id="65" w:name="_Hlk126246131"/>
      <w:r>
        <w:rPr>
          <w:rFonts w:hint="eastAsia" w:ascii="宋体" w:hAnsi="宋体" w:eastAsia="宋体" w:cs="宋体"/>
          <w:color w:val="auto"/>
          <w:sz w:val="24"/>
          <w:szCs w:val="24"/>
          <w:highlight w:val="none"/>
        </w:rPr>
        <w:t>（盖单位章）</w:t>
      </w:r>
      <w:bookmarkEnd w:id="65"/>
      <w:r>
        <w:rPr>
          <w:rFonts w:hint="eastAsia" w:ascii="宋体" w:hAnsi="宋体" w:eastAsia="宋体" w:cs="宋体"/>
          <w:color w:val="auto"/>
          <w:sz w:val="24"/>
          <w:szCs w:val="24"/>
          <w:highlight w:val="none"/>
        </w:rPr>
        <w:t>：</w:t>
      </w:r>
    </w:p>
    <w:p w14:paraId="5A1B85C2">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法定代表人或其委托代理人（签字）：</w:t>
      </w:r>
      <w:r>
        <w:rPr>
          <w:rFonts w:hint="eastAsia" w:ascii="宋体" w:hAnsi="宋体" w:eastAsia="宋体" w:cs="宋体"/>
          <w:color w:val="auto"/>
          <w:sz w:val="24"/>
          <w:szCs w:val="24"/>
          <w:highlight w:val="none"/>
          <w:u w:val="single"/>
        </w:rPr>
        <w:t xml:space="preserve">               </w:t>
      </w:r>
    </w:p>
    <w:p w14:paraId="334C362F">
      <w:pPr>
        <w:adjustRightInd w:val="0"/>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rPr>
        <w:t>日</w:t>
      </w:r>
    </w:p>
    <w:p w14:paraId="2C9000AF">
      <w:pPr>
        <w:spacing w:line="360" w:lineRule="auto"/>
        <w:ind w:firstLine="4003" w:firstLineChars="1668"/>
        <w:rPr>
          <w:rFonts w:hint="eastAsia" w:ascii="宋体" w:hAnsi="宋体" w:eastAsia="宋体" w:cs="宋体"/>
          <w:color w:val="auto"/>
          <w:sz w:val="24"/>
          <w:szCs w:val="24"/>
          <w:highlight w:val="none"/>
        </w:rPr>
      </w:pPr>
    </w:p>
    <w:p w14:paraId="706BB1F8">
      <w:pPr>
        <w:spacing w:line="360" w:lineRule="auto"/>
        <w:ind w:firstLine="4003" w:firstLineChars="1668"/>
        <w:rPr>
          <w:rFonts w:hint="eastAsia" w:ascii="宋体" w:hAnsi="宋体" w:eastAsia="宋体" w:cs="宋体"/>
          <w:color w:val="auto"/>
          <w:sz w:val="24"/>
          <w:szCs w:val="24"/>
          <w:highlight w:val="none"/>
        </w:rPr>
      </w:pPr>
    </w:p>
    <w:p w14:paraId="0D1640E4">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附注：近三年指成立三年以上的，为提交首次投标文件截止时间前三年内；成立不足三年的，为实际时间。</w:t>
      </w:r>
    </w:p>
    <w:p w14:paraId="265D2803">
      <w:pPr>
        <w:shd w:val="clear" w:color="auto" w:fill="auto"/>
        <w:spacing w:line="440" w:lineRule="exact"/>
        <w:ind w:firstLine="424" w:firstLineChars="177"/>
        <w:rPr>
          <w:rFonts w:hint="eastAsia" w:ascii="宋体" w:hAnsi="宋体" w:eastAsia="宋体" w:cs="宋体"/>
          <w:color w:val="auto"/>
          <w:sz w:val="24"/>
          <w:szCs w:val="24"/>
          <w:highlight w:val="none"/>
        </w:rPr>
      </w:pPr>
    </w:p>
    <w:p w14:paraId="7C0B7F6A">
      <w:pPr>
        <w:shd w:val="clear" w:color="auto" w:fill="auto"/>
        <w:spacing w:line="440" w:lineRule="exact"/>
        <w:ind w:firstLine="424" w:firstLineChars="177"/>
        <w:rPr>
          <w:rFonts w:hint="eastAsia" w:ascii="宋体" w:hAnsi="宋体" w:eastAsia="宋体" w:cs="宋体"/>
          <w:color w:val="auto"/>
          <w:sz w:val="24"/>
          <w:szCs w:val="24"/>
          <w:highlight w:val="none"/>
        </w:rPr>
      </w:pPr>
    </w:p>
    <w:p w14:paraId="181B8D58">
      <w:pPr>
        <w:shd w:val="clear" w:color="auto" w:fill="auto"/>
        <w:spacing w:line="440" w:lineRule="exact"/>
        <w:ind w:firstLine="424" w:firstLineChars="177"/>
        <w:rPr>
          <w:rFonts w:hint="eastAsia" w:ascii="宋体" w:hAnsi="宋体" w:eastAsia="宋体" w:cs="宋体"/>
          <w:color w:val="auto"/>
          <w:sz w:val="24"/>
          <w:szCs w:val="24"/>
          <w:highlight w:val="none"/>
        </w:rPr>
      </w:pPr>
    </w:p>
    <w:p w14:paraId="494E5932">
      <w:pPr>
        <w:shd w:val="clear" w:color="auto" w:fill="auto"/>
        <w:spacing w:line="440" w:lineRule="exact"/>
        <w:ind w:firstLine="424" w:firstLineChars="177"/>
        <w:rPr>
          <w:rFonts w:hint="eastAsia" w:ascii="宋体" w:hAnsi="宋体" w:eastAsia="宋体" w:cs="宋体"/>
          <w:color w:val="auto"/>
          <w:sz w:val="24"/>
          <w:szCs w:val="24"/>
          <w:highlight w:val="none"/>
        </w:rPr>
      </w:pPr>
    </w:p>
    <w:p w14:paraId="7CB023DE">
      <w:pPr>
        <w:shd w:val="clear" w:color="auto" w:fill="auto"/>
        <w:spacing w:line="440" w:lineRule="exact"/>
        <w:ind w:firstLine="424" w:firstLineChars="177"/>
        <w:rPr>
          <w:rFonts w:hint="eastAsia" w:ascii="宋体" w:hAnsi="宋体" w:eastAsia="宋体" w:cs="宋体"/>
          <w:color w:val="auto"/>
          <w:sz w:val="24"/>
          <w:szCs w:val="24"/>
          <w:highlight w:val="none"/>
        </w:rPr>
      </w:pPr>
    </w:p>
    <w:p w14:paraId="28EE2561">
      <w:pPr>
        <w:pStyle w:val="6"/>
        <w:bidi w:val="0"/>
        <w:jc w:val="center"/>
        <w:rPr>
          <w:rFonts w:hint="eastAsia" w:ascii="宋体" w:hAnsi="宋体" w:eastAsia="宋体" w:cs="宋体"/>
          <w:color w:val="auto"/>
          <w:sz w:val="24"/>
          <w:szCs w:val="24"/>
          <w:highlight w:val="none"/>
          <w:lang w:val="en-US" w:eastAsia="zh-CN"/>
        </w:rPr>
      </w:pPr>
      <w:bookmarkStart w:id="66" w:name="_Toc9419"/>
      <w:r>
        <w:rPr>
          <w:rFonts w:hint="eastAsia" w:ascii="宋体" w:hAnsi="宋体" w:eastAsia="宋体" w:cs="宋体"/>
          <w:color w:val="auto"/>
          <w:sz w:val="24"/>
          <w:szCs w:val="24"/>
          <w:highlight w:val="none"/>
          <w:lang w:val="en-US" w:eastAsia="zh-CN"/>
        </w:rPr>
        <w:t>8、本项目的特定资格要求</w:t>
      </w:r>
      <w:bookmarkEnd w:id="66"/>
    </w:p>
    <w:p w14:paraId="17B7478B">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供应商所投产品属于第二类医疗器械的，提供投标供应商有效的行政主管部门颁发的医疗器械经营备案凭证（或医疗器械生产许可证或医疗器械经营许可证或其他医疗器械生产经营许可证明文件）；所投产品属于第三类医疗器械的，提供投标供应商有效的行政主管部门颁发的医疗器械生产许可证（或医疗器械经营许可证或其他医疗器械生产经营许可证明文件）（提供加盖公章的复印件）（提供加盖公章的复印件）</w:t>
      </w:r>
    </w:p>
    <w:p w14:paraId="69C32AEC">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14:paraId="047BDDE7">
      <w:pPr>
        <w:pStyle w:val="6"/>
        <w:bidi w:val="0"/>
        <w:jc w:val="center"/>
        <w:rPr>
          <w:rFonts w:hint="eastAsia" w:ascii="宋体" w:hAnsi="宋体" w:eastAsia="宋体" w:cs="宋体"/>
          <w:color w:val="auto"/>
          <w:sz w:val="24"/>
          <w:szCs w:val="24"/>
          <w:highlight w:val="none"/>
          <w:lang w:val="en-US" w:eastAsia="zh-CN"/>
        </w:rPr>
      </w:pPr>
      <w:bookmarkStart w:id="67" w:name="_Toc3996"/>
      <w:r>
        <w:rPr>
          <w:rFonts w:hint="eastAsia" w:ascii="宋体" w:hAnsi="宋体" w:eastAsia="宋体" w:cs="宋体"/>
          <w:color w:val="auto"/>
          <w:sz w:val="24"/>
          <w:szCs w:val="24"/>
          <w:highlight w:val="none"/>
          <w:lang w:val="en-US" w:eastAsia="zh-CN"/>
        </w:rPr>
        <w:t>9、承诺函</w:t>
      </w:r>
      <w:bookmarkEnd w:id="67"/>
    </w:p>
    <w:p w14:paraId="66F5716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承诺函格式自拟</w:t>
      </w:r>
    </w:p>
    <w:p w14:paraId="49184E68">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5200C82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投标人不得存在下列情形之一：</w:t>
      </w:r>
    </w:p>
    <w:p w14:paraId="6AA87ED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（l）与采购人、代理机构存在</w:t>
      </w:r>
      <w:r>
        <w:rPr>
          <w:rFonts w:hint="eastAsia" w:ascii="宋体" w:hAnsi="宋体" w:eastAsia="宋体" w:cs="宋体"/>
          <w:bCs/>
          <w:color w:val="auto"/>
          <w:sz w:val="24"/>
          <w:szCs w:val="24"/>
          <w:highlight w:val="none"/>
        </w:rPr>
        <w:t>利害关系</w:t>
      </w:r>
      <w:r>
        <w:rPr>
          <w:rFonts w:hint="eastAsia" w:ascii="宋体" w:hAnsi="宋体" w:eastAsia="宋体" w:cs="宋体"/>
          <w:color w:val="auto"/>
          <w:sz w:val="24"/>
          <w:szCs w:val="24"/>
          <w:highlight w:val="none"/>
        </w:rPr>
        <w:t>。</w:t>
      </w:r>
    </w:p>
    <w:p w14:paraId="2BDEF6E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（2）单位负责人为同一人或者存在直接控股、管理关系的不同投标人，不得参加同一合同项下的政府采购活动。</w:t>
      </w:r>
    </w:p>
    <w:p w14:paraId="1B21A98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（3）除单一来源采购项目外，为采购项目提供整体设计、规范编制或者项目管理、监理、检测等服务的投标人，不得再参加该采购项目的其他采购活动。</w:t>
      </w:r>
    </w:p>
    <w:p w14:paraId="65D91E0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被列入失信被执行人、重大税收违法案件当事人名单、政府采购严重违法失信行为记录名单（处罚决定规定的时间和地域范围内）。采购人或采购代理机构将按投标人须知前附表中规定的时间查询投标人的信用记录。投标人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投标人将被认定为投标</w:t>
      </w:r>
      <w:r>
        <w:rPr>
          <w:rFonts w:hint="eastAsia" w:ascii="宋体" w:hAnsi="宋体" w:eastAsia="宋体" w:cs="宋体"/>
          <w:b/>
          <w:color w:val="auto"/>
          <w:sz w:val="24"/>
          <w:szCs w:val="24"/>
          <w:highlight w:val="none"/>
        </w:rPr>
        <w:t>无效</w:t>
      </w:r>
      <w:r>
        <w:rPr>
          <w:rFonts w:hint="eastAsia" w:ascii="宋体" w:hAnsi="宋体" w:eastAsia="宋体" w:cs="宋体"/>
          <w:color w:val="auto"/>
          <w:sz w:val="24"/>
          <w:szCs w:val="24"/>
          <w:highlight w:val="none"/>
        </w:rPr>
        <w:t>。以联合体形式参加投标的，联合体任何成员存在以上不良信用记录的，联合体投标人将被认定为投标</w:t>
      </w:r>
      <w:r>
        <w:rPr>
          <w:rFonts w:hint="eastAsia" w:ascii="宋体" w:hAnsi="宋体" w:eastAsia="宋体" w:cs="宋体"/>
          <w:b/>
          <w:color w:val="auto"/>
          <w:sz w:val="24"/>
          <w:szCs w:val="24"/>
          <w:highlight w:val="none"/>
        </w:rPr>
        <w:t>无效</w:t>
      </w:r>
      <w:r>
        <w:rPr>
          <w:rFonts w:hint="eastAsia" w:ascii="宋体" w:hAnsi="宋体" w:eastAsia="宋体" w:cs="宋体"/>
          <w:color w:val="auto"/>
          <w:sz w:val="24"/>
          <w:szCs w:val="24"/>
          <w:highlight w:val="none"/>
        </w:rPr>
        <w:t>。</w:t>
      </w:r>
    </w:p>
    <w:p w14:paraId="2848928B">
      <w:pPr>
        <w:rPr>
          <w:rFonts w:hint="eastAsia" w:ascii="宋体" w:hAnsi="宋体" w:eastAsia="宋体" w:cs="宋体"/>
          <w:b/>
          <w:bCs/>
          <w:color w:val="auto"/>
          <w:spacing w:val="6"/>
          <w:kern w:val="0"/>
          <w:sz w:val="24"/>
          <w:szCs w:val="24"/>
          <w:highlight w:val="none"/>
        </w:rPr>
      </w:pPr>
      <w:r>
        <w:rPr>
          <w:rFonts w:hint="eastAsia" w:ascii="宋体" w:hAnsi="宋体" w:eastAsia="宋体" w:cs="宋体"/>
          <w:b/>
          <w:bCs/>
          <w:color w:val="auto"/>
          <w:spacing w:val="6"/>
          <w:kern w:val="0"/>
          <w:sz w:val="24"/>
          <w:szCs w:val="24"/>
          <w:highlight w:val="none"/>
        </w:rPr>
        <w:br w:type="page"/>
      </w:r>
    </w:p>
    <w:p w14:paraId="50F2147C">
      <w:pPr>
        <w:pStyle w:val="5"/>
        <w:numPr>
          <w:ilvl w:val="0"/>
          <w:numId w:val="5"/>
        </w:numPr>
        <w:bidi w:val="0"/>
        <w:rPr>
          <w:rFonts w:hint="eastAsia" w:ascii="宋体" w:hAnsi="宋体" w:eastAsia="宋体" w:cs="宋体"/>
          <w:color w:val="auto"/>
          <w:sz w:val="24"/>
          <w:szCs w:val="24"/>
          <w:highlight w:val="none"/>
        </w:rPr>
      </w:pPr>
      <w:bookmarkStart w:id="68" w:name="_Toc26683"/>
      <w:bookmarkStart w:id="69" w:name="_Toc31847"/>
      <w:r>
        <w:rPr>
          <w:rFonts w:hint="eastAsia" w:ascii="宋体" w:hAnsi="宋体" w:eastAsia="宋体" w:cs="宋体"/>
          <w:color w:val="auto"/>
          <w:sz w:val="24"/>
          <w:szCs w:val="24"/>
          <w:highlight w:val="none"/>
        </w:rPr>
        <w:t>“技术商务投标文件”格式</w:t>
      </w:r>
      <w:bookmarkEnd w:id="68"/>
      <w:bookmarkEnd w:id="69"/>
    </w:p>
    <w:p w14:paraId="3BA1DA89">
      <w:pPr>
        <w:shd w:val="clear" w:color="auto" w:fill="auto"/>
        <w:spacing w:line="360" w:lineRule="auto"/>
        <w:rPr>
          <w:rFonts w:hint="eastAsia" w:hAnsi="宋体" w:cs="宋体"/>
          <w:b/>
          <w:color w:val="auto"/>
          <w:sz w:val="32"/>
          <w:szCs w:val="32"/>
          <w:highlight w:val="none"/>
        </w:rPr>
      </w:pPr>
      <w:r>
        <w:rPr>
          <w:rFonts w:hint="eastAsia" w:hAnsi="宋体" w:cs="宋体"/>
          <w:b/>
          <w:color w:val="auto"/>
          <w:sz w:val="32"/>
          <w:szCs w:val="32"/>
          <w:highlight w:val="none"/>
        </w:rPr>
        <w:t>封面：</w:t>
      </w:r>
    </w:p>
    <w:p w14:paraId="0CDA59B6">
      <w:pPr>
        <w:shd w:val="clear" w:color="auto" w:fill="auto"/>
        <w:spacing w:line="360" w:lineRule="auto"/>
        <w:rPr>
          <w:rFonts w:hint="eastAsia" w:hAnsi="宋体" w:cs="宋体"/>
          <w:b/>
          <w:color w:val="auto"/>
          <w:sz w:val="32"/>
          <w:szCs w:val="32"/>
          <w:highlight w:val="none"/>
        </w:rPr>
      </w:pPr>
    </w:p>
    <w:p w14:paraId="315457B5">
      <w:pPr>
        <w:shd w:val="clear" w:color="auto" w:fill="auto"/>
        <w:spacing w:line="360" w:lineRule="auto"/>
        <w:rPr>
          <w:rFonts w:hint="eastAsia" w:hAnsi="宋体" w:cs="宋体"/>
          <w:b/>
          <w:color w:val="auto"/>
          <w:sz w:val="32"/>
          <w:szCs w:val="32"/>
          <w:highlight w:val="none"/>
        </w:rPr>
      </w:pPr>
    </w:p>
    <w:p w14:paraId="50EE2945">
      <w:pPr>
        <w:shd w:val="clear" w:color="auto" w:fill="auto"/>
        <w:spacing w:line="360" w:lineRule="auto"/>
        <w:jc w:val="center"/>
        <w:rPr>
          <w:rFonts w:hint="eastAsia" w:hAnsi="宋体" w:cs="宋体"/>
          <w:b/>
          <w:color w:val="auto"/>
          <w:sz w:val="72"/>
          <w:highlight w:val="none"/>
        </w:rPr>
      </w:pPr>
      <w:r>
        <w:rPr>
          <w:rFonts w:hint="eastAsia" w:hAnsi="宋体" w:cs="宋体"/>
          <w:b/>
          <w:color w:val="auto"/>
          <w:sz w:val="40"/>
          <w:szCs w:val="48"/>
          <w:highlight w:val="none"/>
        </w:rPr>
        <w:t>XX项目</w:t>
      </w:r>
    </w:p>
    <w:p w14:paraId="6C212DD3">
      <w:pPr>
        <w:shd w:val="clear" w:color="auto" w:fill="auto"/>
        <w:spacing w:line="360" w:lineRule="auto"/>
        <w:rPr>
          <w:rFonts w:hint="eastAsia" w:hAnsi="宋体" w:cs="宋体"/>
          <w:b/>
          <w:color w:val="auto"/>
          <w:sz w:val="52"/>
          <w:szCs w:val="52"/>
          <w:highlight w:val="none"/>
        </w:rPr>
      </w:pPr>
    </w:p>
    <w:p w14:paraId="2AC02D3D">
      <w:pPr>
        <w:shd w:val="clear" w:color="auto" w:fill="auto"/>
        <w:spacing w:line="360" w:lineRule="auto"/>
        <w:jc w:val="center"/>
        <w:rPr>
          <w:rFonts w:hint="eastAsia" w:hAnsi="宋体" w:cs="宋体"/>
          <w:b/>
          <w:color w:val="auto"/>
          <w:sz w:val="32"/>
          <w:szCs w:val="32"/>
          <w:highlight w:val="none"/>
        </w:rPr>
      </w:pPr>
      <w:r>
        <w:rPr>
          <w:rFonts w:hint="eastAsia" w:hAnsi="宋体" w:cs="宋体"/>
          <w:b/>
          <w:color w:val="auto"/>
          <w:sz w:val="52"/>
          <w:szCs w:val="52"/>
          <w:highlight w:val="none"/>
        </w:rPr>
        <w:t>技术商务响应投标文件</w:t>
      </w:r>
    </w:p>
    <w:p w14:paraId="46682BED">
      <w:pPr>
        <w:shd w:val="clear" w:color="auto" w:fill="auto"/>
        <w:spacing w:line="360" w:lineRule="auto"/>
        <w:rPr>
          <w:rFonts w:hint="eastAsia" w:hAnsi="宋体" w:cs="宋体"/>
          <w:b/>
          <w:color w:val="auto"/>
          <w:sz w:val="36"/>
          <w:highlight w:val="none"/>
        </w:rPr>
      </w:pPr>
    </w:p>
    <w:p w14:paraId="22D38F28">
      <w:pPr>
        <w:shd w:val="clear" w:color="auto" w:fill="auto"/>
        <w:spacing w:line="360" w:lineRule="auto"/>
        <w:jc w:val="left"/>
        <w:rPr>
          <w:rFonts w:hint="eastAsia" w:hAnsi="宋体" w:cs="宋体"/>
          <w:b/>
          <w:color w:val="auto"/>
          <w:sz w:val="32"/>
          <w:highlight w:val="none"/>
          <w:u w:val="single"/>
        </w:rPr>
      </w:pPr>
      <w:r>
        <w:rPr>
          <w:rFonts w:hint="eastAsia" w:hAnsi="宋体" w:cs="宋体"/>
          <w:b/>
          <w:color w:val="auto"/>
          <w:sz w:val="32"/>
          <w:highlight w:val="none"/>
        </w:rPr>
        <w:t>投 标 人名称：</w:t>
      </w:r>
    </w:p>
    <w:p w14:paraId="64452A13">
      <w:pPr>
        <w:shd w:val="clear" w:color="auto" w:fill="auto"/>
        <w:spacing w:line="360" w:lineRule="auto"/>
        <w:jc w:val="left"/>
        <w:rPr>
          <w:rFonts w:hint="eastAsia" w:hAnsi="宋体" w:cs="宋体"/>
          <w:b/>
          <w:color w:val="auto"/>
          <w:sz w:val="32"/>
          <w:highlight w:val="none"/>
        </w:rPr>
      </w:pPr>
      <w:r>
        <w:rPr>
          <w:rFonts w:hint="eastAsia" w:hAnsi="宋体" w:cs="宋体"/>
          <w:b/>
          <w:color w:val="auto"/>
          <w:sz w:val="32"/>
          <w:highlight w:val="none"/>
        </w:rPr>
        <w:t>采购项目编号：</w:t>
      </w:r>
    </w:p>
    <w:p w14:paraId="20DE1306">
      <w:pPr>
        <w:shd w:val="clear" w:color="auto" w:fill="auto"/>
        <w:spacing w:line="360" w:lineRule="auto"/>
        <w:jc w:val="left"/>
        <w:rPr>
          <w:rFonts w:hint="eastAsia" w:hAnsi="宋体" w:eastAsia="宋体" w:cs="宋体"/>
          <w:b/>
          <w:color w:val="auto"/>
          <w:sz w:val="32"/>
          <w:highlight w:val="none"/>
          <w:lang w:eastAsia="zh-CN"/>
        </w:rPr>
      </w:pPr>
      <w:r>
        <w:rPr>
          <w:rFonts w:hint="eastAsia" w:hAnsi="宋体" w:cs="宋体"/>
          <w:b/>
          <w:color w:val="auto"/>
          <w:sz w:val="32"/>
          <w:highlight w:val="none"/>
          <w:lang w:eastAsia="zh-CN"/>
        </w:rPr>
        <w:t>标项：</w:t>
      </w:r>
    </w:p>
    <w:p w14:paraId="4DD32C02">
      <w:pPr>
        <w:shd w:val="clear" w:color="auto" w:fill="auto"/>
        <w:spacing w:line="360" w:lineRule="auto"/>
        <w:ind w:firstLine="790" w:firstLineChars="246"/>
        <w:jc w:val="center"/>
        <w:rPr>
          <w:rFonts w:hint="eastAsia" w:hAnsi="宋体" w:cs="宋体"/>
          <w:b/>
          <w:color w:val="auto"/>
          <w:sz w:val="32"/>
          <w:highlight w:val="none"/>
        </w:rPr>
      </w:pPr>
    </w:p>
    <w:p w14:paraId="36AACDDF">
      <w:pPr>
        <w:pStyle w:val="17"/>
        <w:shd w:val="clear" w:color="auto" w:fill="auto"/>
        <w:rPr>
          <w:rFonts w:hint="eastAsia"/>
          <w:color w:val="auto"/>
          <w:highlight w:val="none"/>
        </w:rPr>
      </w:pPr>
    </w:p>
    <w:p w14:paraId="5CA86EC3">
      <w:pPr>
        <w:shd w:val="clear" w:color="auto" w:fill="auto"/>
        <w:rPr>
          <w:rFonts w:hint="eastAsia" w:hAnsi="宋体" w:cs="宋体"/>
          <w:b/>
          <w:color w:val="auto"/>
          <w:sz w:val="32"/>
          <w:highlight w:val="none"/>
        </w:rPr>
      </w:pPr>
    </w:p>
    <w:p w14:paraId="0B238C23">
      <w:pPr>
        <w:shd w:val="clear" w:color="auto" w:fill="auto"/>
        <w:rPr>
          <w:rFonts w:hint="eastAsia" w:hAnsi="宋体" w:cs="宋体"/>
          <w:b/>
          <w:color w:val="auto"/>
          <w:sz w:val="32"/>
          <w:highlight w:val="none"/>
        </w:rPr>
      </w:pPr>
    </w:p>
    <w:p w14:paraId="359E5CCE">
      <w:pPr>
        <w:pStyle w:val="20"/>
        <w:shd w:val="clear" w:color="auto" w:fill="auto"/>
        <w:rPr>
          <w:rFonts w:hint="eastAsia" w:hAnsi="宋体"/>
          <w:b/>
          <w:bCs/>
          <w:color w:val="auto"/>
          <w:highlight w:val="none"/>
        </w:rPr>
      </w:pPr>
      <w:r>
        <w:rPr>
          <w:rFonts w:hint="eastAsia" w:hAnsi="宋体"/>
          <w:b/>
          <w:bCs/>
          <w:color w:val="auto"/>
          <w:highlight w:val="none"/>
        </w:rPr>
        <w:t>投标时间：X年X月X日</w:t>
      </w:r>
    </w:p>
    <w:p w14:paraId="65681FB8">
      <w:pPr>
        <w:shd w:val="clear" w:color="auto" w:fill="auto"/>
        <w:rPr>
          <w:rFonts w:hint="eastAsia" w:ascii="宋体" w:hAnsi="宋体" w:eastAsia="宋体" w:cs="宋体"/>
          <w:color w:val="auto"/>
          <w:sz w:val="24"/>
          <w:szCs w:val="24"/>
          <w:highlight w:val="none"/>
        </w:rPr>
      </w:pPr>
    </w:p>
    <w:p w14:paraId="70468C4E">
      <w:pPr>
        <w:shd w:val="clear" w:color="auto" w:fill="auto"/>
        <w:rPr>
          <w:rFonts w:hint="eastAsia" w:ascii="宋体" w:hAnsi="宋体" w:eastAsia="宋体" w:cs="宋体"/>
          <w:color w:val="auto"/>
          <w:sz w:val="24"/>
          <w:szCs w:val="24"/>
          <w:highlight w:val="none"/>
        </w:rPr>
      </w:pPr>
    </w:p>
    <w:p w14:paraId="6E9C4F7C">
      <w:pPr>
        <w:rPr>
          <w:rFonts w:hint="eastAsia" w:ascii="宋体" w:hAnsi="宋体" w:eastAsia="宋体" w:cs="宋体"/>
          <w:color w:val="auto"/>
          <w:sz w:val="24"/>
          <w:szCs w:val="24"/>
          <w:highlight w:val="none"/>
        </w:rPr>
      </w:pPr>
      <w:bookmarkStart w:id="70" w:name="_Toc472604630"/>
      <w:bookmarkStart w:id="71" w:name="_Toc471489580"/>
      <w:r>
        <w:rPr>
          <w:rFonts w:hint="eastAsia" w:ascii="宋体" w:hAnsi="宋体" w:eastAsia="宋体" w:cs="宋体"/>
          <w:color w:val="auto"/>
          <w:sz w:val="24"/>
          <w:szCs w:val="24"/>
          <w:highlight w:val="none"/>
        </w:rPr>
        <w:br w:type="page"/>
      </w:r>
    </w:p>
    <w:p w14:paraId="3BC1FF6C">
      <w:pPr>
        <w:pStyle w:val="6"/>
        <w:bidi w:val="0"/>
        <w:jc w:val="center"/>
        <w:rPr>
          <w:rFonts w:hint="eastAsia" w:ascii="宋体" w:hAnsi="宋体" w:eastAsia="宋体" w:cs="宋体"/>
          <w:color w:val="auto"/>
          <w:sz w:val="24"/>
          <w:szCs w:val="24"/>
          <w:highlight w:val="none"/>
        </w:rPr>
      </w:pPr>
      <w:bookmarkStart w:id="72" w:name="_Toc25734"/>
      <w:r>
        <w:rPr>
          <w:rFonts w:hint="eastAsia" w:ascii="宋体" w:hAnsi="宋体" w:eastAsia="宋体" w:cs="宋体"/>
          <w:color w:val="auto"/>
          <w:sz w:val="24"/>
          <w:szCs w:val="24"/>
          <w:highlight w:val="none"/>
        </w:rPr>
        <w:t>1、投标函</w:t>
      </w:r>
      <w:bookmarkEnd w:id="70"/>
      <w:bookmarkEnd w:id="71"/>
      <w:bookmarkEnd w:id="72"/>
    </w:p>
    <w:p w14:paraId="2D180F4C">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w:t>
      </w:r>
    </w:p>
    <w:p w14:paraId="1E6AF870">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我方全面研究了“XXXXXXXX”项目（招标编号：XXXX</w:t>
      </w:r>
      <w:r>
        <w:rPr>
          <w:rFonts w:hint="eastAsia" w:ascii="宋体" w:hAnsi="宋体" w:cs="宋体"/>
          <w:color w:val="auto"/>
          <w:sz w:val="24"/>
          <w:szCs w:val="24"/>
          <w:highlight w:val="none"/>
          <w:lang w:eastAsia="zh-CN"/>
        </w:rPr>
        <w:t>，标项：</w:t>
      </w:r>
      <w:r>
        <w:rPr>
          <w:rFonts w:hint="eastAsia" w:ascii="宋体" w:hAnsi="宋体" w:cs="宋体"/>
          <w:color w:val="auto"/>
          <w:sz w:val="24"/>
          <w:szCs w:val="24"/>
          <w:highlight w:val="none"/>
          <w:lang w:val="en-US" w:eastAsia="zh-CN"/>
        </w:rPr>
        <w:t>XXXX</w:t>
      </w:r>
      <w:r>
        <w:rPr>
          <w:rFonts w:hint="eastAsia" w:ascii="宋体" w:hAnsi="宋体" w:eastAsia="宋体" w:cs="宋体"/>
          <w:color w:val="auto"/>
          <w:sz w:val="24"/>
          <w:szCs w:val="24"/>
          <w:highlight w:val="none"/>
        </w:rPr>
        <w:t>）招标文件，决定参加贵单位组织的本项目投标。我方授权XXXX（姓名、职务）代表我方XXXX（投标单位的名称）全权处理本项目投标的有关事宜。</w:t>
      </w:r>
    </w:p>
    <w:p w14:paraId="3AC18321">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一、我方自愿按照招标文件规定的各项要求向采购人提供所需服务。</w:t>
      </w:r>
    </w:p>
    <w:p w14:paraId="20B73C06">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二、一旦我方中标，我方将严格履行政府采购合同规定的责任和义务。</w:t>
      </w:r>
    </w:p>
    <w:p w14:paraId="6FB2F79D">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三、我方为本项目在政采云平台上传电子投标文件1份；</w:t>
      </w:r>
    </w:p>
    <w:p w14:paraId="28B00AB5">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四、我方同意本次招标的投标有效期</w:t>
      </w:r>
      <w:bookmarkStart w:id="73" w:name="_Hlk534905609"/>
      <w:r>
        <w:rPr>
          <w:rFonts w:hint="eastAsia" w:ascii="宋体" w:hAnsi="宋体" w:eastAsia="宋体" w:cs="宋体"/>
          <w:color w:val="auto"/>
          <w:sz w:val="24"/>
          <w:szCs w:val="24"/>
          <w:highlight w:val="none"/>
        </w:rPr>
        <w:t>为120日历天</w:t>
      </w:r>
      <w:bookmarkEnd w:id="73"/>
      <w:r>
        <w:rPr>
          <w:rFonts w:hint="eastAsia" w:ascii="宋体" w:hAnsi="宋体" w:eastAsia="宋体" w:cs="宋体"/>
          <w:color w:val="auto"/>
          <w:sz w:val="24"/>
          <w:szCs w:val="24"/>
          <w:highlight w:val="none"/>
        </w:rPr>
        <w:t>。</w:t>
      </w:r>
    </w:p>
    <w:p w14:paraId="4E7EB7D2">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五、我方愿意按照招标文件要求的代理费收取方式及收取标准一次性足额支付招标代理费。</w:t>
      </w:r>
    </w:p>
    <w:p w14:paraId="4711AB8C">
      <w:pPr>
        <w:pStyle w:val="20"/>
        <w:shd w:val="clear" w:color="auto" w:fill="auto"/>
        <w:spacing w:after="0"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六、我方愿意按照招标文件要求的投标保证金收取方式及金额缴纳投标保证金。</w:t>
      </w:r>
    </w:p>
    <w:p w14:paraId="309051A3">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七、我方愿意提供贵单位可能另外要求的，与投标有关的文件资料，并保证我方已提供和将要提供的文件资料是真实、准确的。</w:t>
      </w:r>
    </w:p>
    <w:p w14:paraId="30E29358">
      <w:pPr>
        <w:shd w:val="clear" w:color="auto" w:fill="auto"/>
        <w:spacing w:line="276" w:lineRule="auto"/>
        <w:ind w:firstLine="480" w:firstLineChars="200"/>
        <w:rPr>
          <w:rFonts w:hint="eastAsia" w:ascii="宋体" w:hAnsi="宋体" w:eastAsia="宋体" w:cs="宋体"/>
          <w:color w:val="auto"/>
          <w:sz w:val="24"/>
          <w:szCs w:val="24"/>
          <w:highlight w:val="none"/>
        </w:rPr>
      </w:pPr>
    </w:p>
    <w:p w14:paraId="4E759EF6">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投标人名称：XXXX（单位公章）</w:t>
      </w:r>
    </w:p>
    <w:p w14:paraId="43422A3B">
      <w:pPr>
        <w:shd w:val="clear" w:color="auto" w:fill="auto"/>
        <w:spacing w:line="360" w:lineRule="auto"/>
        <w:ind w:firstLine="480" w:firstLineChars="200"/>
        <w:rPr>
          <w:rFonts w:hint="eastAsia" w:ascii="宋体" w:hAnsi="宋体" w:eastAsia="宋体" w:cs="宋体"/>
          <w:color w:val="auto"/>
          <w:sz w:val="24"/>
          <w:szCs w:val="24"/>
          <w:highlight w:val="none"/>
        </w:rPr>
      </w:pPr>
      <w:bookmarkStart w:id="74" w:name="_Hlk534906119"/>
      <w:r>
        <w:rPr>
          <w:rFonts w:hint="eastAsia" w:ascii="宋体" w:hAnsi="宋体" w:eastAsia="宋体" w:cs="宋体"/>
          <w:color w:val="auto"/>
          <w:sz w:val="24"/>
          <w:szCs w:val="24"/>
          <w:highlight w:val="none"/>
        </w:rPr>
        <w:t>法定代表人/单位负责人或授权代表（签字或加盖个人名章）</w:t>
      </w:r>
      <w:bookmarkEnd w:id="74"/>
      <w:r>
        <w:rPr>
          <w:rFonts w:hint="eastAsia" w:ascii="宋体" w:hAnsi="宋体" w:eastAsia="宋体" w:cs="宋体"/>
          <w:color w:val="auto"/>
          <w:sz w:val="24"/>
          <w:szCs w:val="24"/>
          <w:highlight w:val="none"/>
        </w:rPr>
        <w:t>：XXXX</w:t>
      </w:r>
    </w:p>
    <w:p w14:paraId="63792D0D">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通讯地址：XXXX</w:t>
      </w:r>
    </w:p>
    <w:p w14:paraId="73ECEC3F">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邮政编码：XXXX</w:t>
      </w:r>
    </w:p>
    <w:p w14:paraId="168A928A">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联系电话：XXXX</w:t>
      </w:r>
    </w:p>
    <w:p w14:paraId="15C3CD9A">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    真：XXXX</w:t>
      </w:r>
    </w:p>
    <w:p w14:paraId="59848A09">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期：XXXX年XXXX月XXXX日</w:t>
      </w:r>
    </w:p>
    <w:p w14:paraId="1FAD9611">
      <w:pPr>
        <w:shd w:val="clear" w:color="auto" w:fill="auto"/>
        <w:rPr>
          <w:rFonts w:hint="eastAsia" w:ascii="宋体" w:hAnsi="宋体" w:eastAsia="宋体" w:cs="宋体"/>
          <w:color w:val="auto"/>
          <w:sz w:val="24"/>
          <w:szCs w:val="24"/>
          <w:highlight w:val="none"/>
        </w:rPr>
      </w:pPr>
    </w:p>
    <w:p w14:paraId="71CF1309">
      <w:pPr>
        <w:shd w:val="clear" w:color="auto" w:fill="auto"/>
        <w:rPr>
          <w:rFonts w:hint="eastAsia" w:ascii="宋体" w:hAnsi="宋体" w:eastAsia="宋体" w:cs="宋体"/>
          <w:color w:val="auto"/>
          <w:sz w:val="24"/>
          <w:szCs w:val="24"/>
          <w:highlight w:val="none"/>
        </w:rPr>
      </w:pPr>
    </w:p>
    <w:p w14:paraId="013026A0">
      <w:pPr>
        <w:shd w:val="clear" w:color="auto" w:fill="auto"/>
        <w:rPr>
          <w:rFonts w:hint="eastAsia" w:ascii="宋体" w:hAnsi="宋体" w:eastAsia="宋体" w:cs="宋体"/>
          <w:color w:val="auto"/>
          <w:sz w:val="24"/>
          <w:szCs w:val="24"/>
          <w:highlight w:val="none"/>
        </w:rPr>
      </w:pPr>
      <w:bookmarkStart w:id="75" w:name="_Toc14668"/>
      <w:bookmarkStart w:id="76" w:name="_Toc31452"/>
      <w:bookmarkStart w:id="77" w:name="_Toc12622"/>
      <w:bookmarkStart w:id="78" w:name="_Toc466298080"/>
      <w:bookmarkStart w:id="79" w:name="_Toc472604633"/>
      <w:bookmarkStart w:id="80" w:name="_Toc465085382"/>
      <w:r>
        <w:rPr>
          <w:rFonts w:hint="eastAsia" w:ascii="宋体" w:hAnsi="宋体" w:eastAsia="宋体" w:cs="宋体"/>
          <w:color w:val="auto"/>
          <w:sz w:val="24"/>
          <w:szCs w:val="24"/>
          <w:highlight w:val="none"/>
        </w:rPr>
        <w:br w:type="page"/>
      </w:r>
    </w:p>
    <w:p w14:paraId="6D4D999E">
      <w:pPr>
        <w:pStyle w:val="6"/>
        <w:bidi w:val="0"/>
        <w:jc w:val="center"/>
        <w:rPr>
          <w:rFonts w:hint="eastAsia" w:ascii="宋体" w:hAnsi="宋体" w:eastAsia="宋体" w:cs="宋体"/>
          <w:color w:val="auto"/>
          <w:sz w:val="24"/>
          <w:szCs w:val="24"/>
          <w:highlight w:val="none"/>
        </w:rPr>
      </w:pPr>
      <w:bookmarkStart w:id="81" w:name="_Toc7424"/>
      <w:r>
        <w:rPr>
          <w:rFonts w:hint="eastAsia" w:ascii="宋体" w:hAnsi="宋体" w:eastAsia="宋体" w:cs="宋体"/>
          <w:color w:val="auto"/>
          <w:sz w:val="24"/>
          <w:szCs w:val="24"/>
          <w:highlight w:val="none"/>
        </w:rPr>
        <w:t>2、承诺函</w:t>
      </w:r>
      <w:bookmarkEnd w:id="81"/>
    </w:p>
    <w:p w14:paraId="4BC4791C">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w:t>
      </w:r>
    </w:p>
    <w:p w14:paraId="3EB91420">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我公司作为本次采购项目的投标人，根据招标文件要求，现郑重承诺如下：</w:t>
      </w:r>
    </w:p>
    <w:p w14:paraId="3E74D5A6">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一、具备《中华人民共和国政府采购法》第二十二条第一款和本项目规定的条件：</w:t>
      </w:r>
    </w:p>
    <w:p w14:paraId="7219A713">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（一）具有独立承担民事责任的能力； </w:t>
      </w:r>
    </w:p>
    <w:p w14:paraId="5DCA8429">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（二）具有良好的商业信誉和健全的财务会计制度； </w:t>
      </w:r>
    </w:p>
    <w:p w14:paraId="5500595C">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（三）具有履行合同所必需的设备和专业技术能力； </w:t>
      </w:r>
    </w:p>
    <w:p w14:paraId="4DEB35A3">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（四）有依法缴纳税收和社会保障资金的良好记录； </w:t>
      </w:r>
    </w:p>
    <w:p w14:paraId="4019B544">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（五）参加本次政府采购活动前三年内，在经营活动中没有重大违法记录；</w:t>
      </w:r>
    </w:p>
    <w:p w14:paraId="2CED3C7F">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（六）法律、行政法规规定的其他条件；</w:t>
      </w:r>
    </w:p>
    <w:p w14:paraId="773D45FF">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（七）根据采购项目提出的特殊条件。</w:t>
      </w:r>
    </w:p>
    <w:p w14:paraId="11AD1F22">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14:paraId="1EC36416">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三、参加本次招标采购活动，不存在与单位负责人为同一人或者存在直接控股、管理关系的其他供应商参与同一合同项下的政府采购活动的行为。</w:t>
      </w:r>
    </w:p>
    <w:p w14:paraId="12938F73">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四、参加本次招标采购活动，不存在和其他供应商在同一合同项下的采购项目中，同时委托同一个自然人、同一家庭的人员、同一单位的人员作为代理人的行为。</w:t>
      </w:r>
    </w:p>
    <w:p w14:paraId="18D5A64A">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五、投标文件中提供的能够给予我公司带来优惠、好处的任何材料资料和技术、服务、商务等响应承诺情况都是真实的、有效的、合法的。</w:t>
      </w:r>
    </w:p>
    <w:p w14:paraId="2AEEB045">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六、在行贿犯罪信息查询期限内，我单位及其现任法定代表人、主要负责人有（ ）没有（ ）行贿犯罪记录。</w:t>
      </w:r>
    </w:p>
    <w:p w14:paraId="58BD5077">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七、我单位有（ ）没有（ ）被列入失信被执行人、重大税收违法失信主体、政府采购严重违法失信行为记录名单（如投标人在参加政府采购活动前被禁止在一定期限内参加政府采购活动，期限届满的，可以参加政府采购活动），有（ ）没有（ ）未依法缴纳税收和社会保障资金的不良记录，参加政府采购活动前三年内，在经营活动中有（ ）没有（ ）重大违法记录（如投标人在参加政府采购活动前3年内因违法经营被禁止在一定期限内参加政府采购活动，期限届满的，可以参加政府采购活动）；</w:t>
      </w:r>
    </w:p>
    <w:p w14:paraId="0972AC71">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如本项目评标过程中需要提供样品，则我公司提供的样品即为中标后将要提供的中标产品，我公司对提供样品的性能和质量负责，因样品存在缺陷或者不符合招标文件要求导致未能中标的，我公司愿意承担相应不利后果。</w:t>
      </w:r>
    </w:p>
    <w:p w14:paraId="79203BED">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本公司对上述承诺的内容事项真实性负责。如经查实上述承诺的内容事项存在虚假，我公司愿意接受以提供虚假材料谋取中标追究法律责任。</w:t>
      </w:r>
    </w:p>
    <w:p w14:paraId="4FCA4881">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6C8FF70D">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投标人名称：XXXX（单位公章）</w:t>
      </w:r>
    </w:p>
    <w:p w14:paraId="6B07E83F">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法定代表人/单位负责人或授权代表（签字或加盖个人名章）：XXXX</w:t>
      </w:r>
    </w:p>
    <w:p w14:paraId="3AFD2EF6">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投标日期：XXXX</w:t>
      </w:r>
    </w:p>
    <w:p w14:paraId="3AFECC67">
      <w:pPr>
        <w:shd w:val="clear" w:color="auto" w:fill="auto"/>
        <w:spacing w:line="276" w:lineRule="auto"/>
        <w:rPr>
          <w:rFonts w:hint="eastAsia" w:ascii="宋体" w:hAnsi="宋体" w:eastAsia="宋体" w:cs="宋体"/>
          <w:color w:val="auto"/>
          <w:sz w:val="24"/>
          <w:szCs w:val="24"/>
          <w:highlight w:val="none"/>
        </w:rPr>
      </w:pPr>
    </w:p>
    <w:p w14:paraId="5A6FE71C">
      <w:pPr>
        <w:pStyle w:val="6"/>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Start w:id="82" w:name="_Toc10298"/>
      <w:r>
        <w:rPr>
          <w:rFonts w:hint="eastAsia" w:ascii="宋体" w:hAnsi="宋体" w:eastAsia="宋体" w:cs="宋体"/>
          <w:color w:val="auto"/>
          <w:sz w:val="24"/>
          <w:szCs w:val="24"/>
          <w:highlight w:val="none"/>
        </w:rPr>
        <w:t>3、</w:t>
      </w:r>
      <w:bookmarkEnd w:id="75"/>
      <w:r>
        <w:rPr>
          <w:rFonts w:hint="eastAsia" w:ascii="宋体" w:hAnsi="宋体" w:eastAsia="宋体" w:cs="宋体"/>
          <w:color w:val="auto"/>
          <w:sz w:val="24"/>
          <w:szCs w:val="24"/>
          <w:highlight w:val="none"/>
        </w:rPr>
        <w:t>开标一览表</w:t>
      </w:r>
      <w:bookmarkEnd w:id="76"/>
      <w:bookmarkEnd w:id="77"/>
      <w:bookmarkEnd w:id="78"/>
      <w:bookmarkEnd w:id="79"/>
      <w:bookmarkEnd w:id="80"/>
      <w:bookmarkEnd w:id="82"/>
    </w:p>
    <w:p w14:paraId="66A7F7D5">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项目名称：</w:t>
      </w:r>
    </w:p>
    <w:p w14:paraId="2EB2965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项目编号：</w:t>
      </w:r>
    </w:p>
    <w:p w14:paraId="594E50E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标项：</w:t>
      </w:r>
    </w:p>
    <w:p w14:paraId="7DD7D4DD">
      <w:pPr>
        <w:jc w:val="right"/>
        <w:rPr>
          <w:rFonts w:hint="eastAsia"/>
          <w:color w:val="auto"/>
          <w:highlight w:val="none"/>
          <w:lang w:eastAsia="zh-CN"/>
        </w:rPr>
      </w:pPr>
      <w:r>
        <w:rPr>
          <w:rFonts w:hint="eastAsia" w:ascii="宋体" w:hAnsi="宋体" w:eastAsia="宋体" w:cs="宋体"/>
          <w:color w:val="auto"/>
          <w:sz w:val="24"/>
          <w:szCs w:val="24"/>
          <w:highlight w:val="none"/>
          <w:lang w:eastAsia="zh-CN"/>
        </w:rPr>
        <w:t>单位：元</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029"/>
        <w:gridCol w:w="1420"/>
        <w:gridCol w:w="816"/>
        <w:gridCol w:w="755"/>
        <w:gridCol w:w="947"/>
        <w:gridCol w:w="947"/>
        <w:gridCol w:w="948"/>
        <w:gridCol w:w="948"/>
      </w:tblGrid>
      <w:tr w14:paraId="345E9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14:paraId="62F2FF03">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序号</w:t>
            </w:r>
          </w:p>
        </w:tc>
        <w:tc>
          <w:tcPr>
            <w:tcW w:w="1029" w:type="dxa"/>
            <w:vAlign w:val="center"/>
          </w:tcPr>
          <w:p w14:paraId="6B4972CD">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名称</w:t>
            </w:r>
          </w:p>
        </w:tc>
        <w:tc>
          <w:tcPr>
            <w:tcW w:w="1420" w:type="dxa"/>
            <w:vAlign w:val="center"/>
          </w:tcPr>
          <w:p w14:paraId="7847F1C5">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规格和型号</w:t>
            </w:r>
          </w:p>
        </w:tc>
        <w:tc>
          <w:tcPr>
            <w:tcW w:w="816" w:type="dxa"/>
            <w:vAlign w:val="center"/>
          </w:tcPr>
          <w:p w14:paraId="70D3BA41">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数量</w:t>
            </w:r>
          </w:p>
        </w:tc>
        <w:tc>
          <w:tcPr>
            <w:tcW w:w="755" w:type="dxa"/>
            <w:vAlign w:val="center"/>
          </w:tcPr>
          <w:p w14:paraId="1A297DEE">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品牌</w:t>
            </w:r>
          </w:p>
        </w:tc>
        <w:tc>
          <w:tcPr>
            <w:tcW w:w="947" w:type="dxa"/>
            <w:vAlign w:val="center"/>
          </w:tcPr>
          <w:p w14:paraId="454D5681">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交货期</w:t>
            </w:r>
          </w:p>
        </w:tc>
        <w:tc>
          <w:tcPr>
            <w:tcW w:w="947" w:type="dxa"/>
            <w:vAlign w:val="center"/>
          </w:tcPr>
          <w:p w14:paraId="193B8064">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质保期</w:t>
            </w:r>
          </w:p>
        </w:tc>
        <w:tc>
          <w:tcPr>
            <w:tcW w:w="948" w:type="dxa"/>
            <w:vAlign w:val="center"/>
          </w:tcPr>
          <w:p w14:paraId="08116763">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报价</w:t>
            </w:r>
          </w:p>
        </w:tc>
        <w:tc>
          <w:tcPr>
            <w:tcW w:w="948" w:type="dxa"/>
            <w:vAlign w:val="center"/>
          </w:tcPr>
          <w:p w14:paraId="5707CD9C">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备注</w:t>
            </w:r>
          </w:p>
        </w:tc>
      </w:tr>
      <w:tr w14:paraId="69E0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14:paraId="665532C6">
            <w:pPr>
              <w:spacing w:line="440" w:lineRule="exact"/>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w:t>
            </w:r>
          </w:p>
        </w:tc>
        <w:tc>
          <w:tcPr>
            <w:tcW w:w="1029" w:type="dxa"/>
            <w:vAlign w:val="center"/>
          </w:tcPr>
          <w:p w14:paraId="1A417357">
            <w:pPr>
              <w:spacing w:line="440" w:lineRule="exact"/>
              <w:jc w:val="center"/>
              <w:rPr>
                <w:rFonts w:hint="eastAsia" w:ascii="宋体" w:hAnsi="宋体" w:eastAsia="宋体" w:cs="宋体"/>
                <w:color w:val="auto"/>
                <w:sz w:val="24"/>
                <w:szCs w:val="24"/>
                <w:highlight w:val="none"/>
                <w:vertAlign w:val="baseline"/>
              </w:rPr>
            </w:pPr>
          </w:p>
        </w:tc>
        <w:tc>
          <w:tcPr>
            <w:tcW w:w="1420" w:type="dxa"/>
            <w:vAlign w:val="center"/>
          </w:tcPr>
          <w:p w14:paraId="00BB984F">
            <w:pPr>
              <w:spacing w:line="440" w:lineRule="exact"/>
              <w:jc w:val="center"/>
              <w:rPr>
                <w:rFonts w:hint="eastAsia" w:ascii="宋体" w:hAnsi="宋体" w:eastAsia="宋体" w:cs="宋体"/>
                <w:color w:val="auto"/>
                <w:sz w:val="24"/>
                <w:szCs w:val="24"/>
                <w:highlight w:val="none"/>
                <w:vertAlign w:val="baseline"/>
              </w:rPr>
            </w:pPr>
          </w:p>
        </w:tc>
        <w:tc>
          <w:tcPr>
            <w:tcW w:w="816" w:type="dxa"/>
            <w:vAlign w:val="center"/>
          </w:tcPr>
          <w:p w14:paraId="553E3663">
            <w:pPr>
              <w:spacing w:line="440" w:lineRule="exact"/>
              <w:jc w:val="center"/>
              <w:rPr>
                <w:rFonts w:hint="eastAsia" w:ascii="宋体" w:hAnsi="宋体" w:eastAsia="宋体" w:cs="宋体"/>
                <w:color w:val="auto"/>
                <w:sz w:val="24"/>
                <w:szCs w:val="24"/>
                <w:highlight w:val="none"/>
                <w:vertAlign w:val="baseline"/>
              </w:rPr>
            </w:pPr>
          </w:p>
        </w:tc>
        <w:tc>
          <w:tcPr>
            <w:tcW w:w="755" w:type="dxa"/>
            <w:vAlign w:val="center"/>
          </w:tcPr>
          <w:p w14:paraId="147A1522">
            <w:pPr>
              <w:spacing w:line="440" w:lineRule="exact"/>
              <w:jc w:val="center"/>
              <w:rPr>
                <w:rFonts w:hint="eastAsia" w:ascii="宋体" w:hAnsi="宋体" w:eastAsia="宋体" w:cs="宋体"/>
                <w:color w:val="auto"/>
                <w:sz w:val="24"/>
                <w:szCs w:val="24"/>
                <w:highlight w:val="none"/>
                <w:vertAlign w:val="baseline"/>
              </w:rPr>
            </w:pPr>
          </w:p>
        </w:tc>
        <w:tc>
          <w:tcPr>
            <w:tcW w:w="947" w:type="dxa"/>
            <w:vAlign w:val="center"/>
          </w:tcPr>
          <w:p w14:paraId="6B9AEF7A">
            <w:pPr>
              <w:spacing w:line="440" w:lineRule="exact"/>
              <w:jc w:val="center"/>
              <w:rPr>
                <w:rFonts w:hint="eastAsia" w:ascii="宋体" w:hAnsi="宋体" w:eastAsia="宋体" w:cs="宋体"/>
                <w:color w:val="auto"/>
                <w:sz w:val="24"/>
                <w:szCs w:val="24"/>
                <w:highlight w:val="none"/>
                <w:vertAlign w:val="baseline"/>
              </w:rPr>
            </w:pPr>
          </w:p>
        </w:tc>
        <w:tc>
          <w:tcPr>
            <w:tcW w:w="947" w:type="dxa"/>
            <w:vAlign w:val="center"/>
          </w:tcPr>
          <w:p w14:paraId="67D53652">
            <w:pPr>
              <w:spacing w:line="440" w:lineRule="exact"/>
              <w:jc w:val="center"/>
              <w:rPr>
                <w:rFonts w:hint="eastAsia" w:ascii="宋体" w:hAnsi="宋体" w:eastAsia="宋体" w:cs="宋体"/>
                <w:color w:val="auto"/>
                <w:sz w:val="24"/>
                <w:szCs w:val="24"/>
                <w:highlight w:val="none"/>
                <w:vertAlign w:val="baseline"/>
              </w:rPr>
            </w:pPr>
          </w:p>
        </w:tc>
        <w:tc>
          <w:tcPr>
            <w:tcW w:w="948" w:type="dxa"/>
            <w:vAlign w:val="center"/>
          </w:tcPr>
          <w:p w14:paraId="2F16425C">
            <w:pPr>
              <w:spacing w:line="440" w:lineRule="exact"/>
              <w:jc w:val="center"/>
              <w:rPr>
                <w:rFonts w:hint="eastAsia" w:ascii="宋体" w:hAnsi="宋体" w:eastAsia="宋体" w:cs="宋体"/>
                <w:color w:val="auto"/>
                <w:sz w:val="24"/>
                <w:szCs w:val="24"/>
                <w:highlight w:val="none"/>
                <w:vertAlign w:val="baseline"/>
              </w:rPr>
            </w:pPr>
          </w:p>
        </w:tc>
        <w:tc>
          <w:tcPr>
            <w:tcW w:w="948" w:type="dxa"/>
            <w:vAlign w:val="center"/>
          </w:tcPr>
          <w:p w14:paraId="2E997E0B">
            <w:pPr>
              <w:spacing w:line="440" w:lineRule="exact"/>
              <w:jc w:val="center"/>
              <w:rPr>
                <w:rFonts w:hint="eastAsia" w:ascii="宋体" w:hAnsi="宋体" w:eastAsia="宋体" w:cs="宋体"/>
                <w:color w:val="auto"/>
                <w:sz w:val="24"/>
                <w:szCs w:val="24"/>
                <w:highlight w:val="none"/>
                <w:vertAlign w:val="baseline"/>
              </w:rPr>
            </w:pPr>
          </w:p>
        </w:tc>
      </w:tr>
      <w:tr w14:paraId="0EB2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gridSpan w:val="2"/>
          </w:tcPr>
          <w:p w14:paraId="450AEAB1">
            <w:pPr>
              <w:spacing w:line="440" w:lineRule="exact"/>
              <w:jc w:val="left"/>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投标报价</w:t>
            </w:r>
          </w:p>
        </w:tc>
        <w:tc>
          <w:tcPr>
            <w:tcW w:w="6781" w:type="dxa"/>
            <w:gridSpan w:val="7"/>
          </w:tcPr>
          <w:p w14:paraId="0331A5BB">
            <w:pPr>
              <w:spacing w:line="440" w:lineRule="exact"/>
              <w:jc w:val="left"/>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eastAsia="zh-CN"/>
              </w:rPr>
              <w:t>大写：</w:t>
            </w:r>
            <w:r>
              <w:rPr>
                <w:rFonts w:hint="eastAsia" w:ascii="宋体" w:hAnsi="宋体" w:eastAsia="宋体" w:cs="宋体"/>
                <w:color w:val="auto"/>
                <w:sz w:val="24"/>
                <w:szCs w:val="24"/>
                <w:highlight w:val="none"/>
                <w:vertAlign w:val="baseline"/>
                <w:lang w:val="en-US" w:eastAsia="zh-CN"/>
              </w:rPr>
              <w:t xml:space="preserve">                           小写：</w:t>
            </w:r>
          </w:p>
        </w:tc>
      </w:tr>
    </w:tbl>
    <w:p w14:paraId="3F14CD54">
      <w:pPr>
        <w:shd w:val="clear" w:color="auto" w:fill="auto"/>
        <w:spacing w:line="440" w:lineRule="exact"/>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注：</w:t>
      </w:r>
    </w:p>
    <w:p w14:paraId="2CE7A9B5">
      <w:pPr>
        <w:numPr>
          <w:ilvl w:val="0"/>
          <w:numId w:val="0"/>
        </w:numPr>
        <w:shd w:val="clear" w:color="auto" w:fill="auto"/>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sz w:val="24"/>
          <w:szCs w:val="24"/>
          <w:highlight w:val="none"/>
        </w:rPr>
        <w:t>在开标一览表中，按招标须知的规定不允许出现两种</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报价，否则其投标将被拒绝。</w:t>
      </w:r>
    </w:p>
    <w:p w14:paraId="61D0E36F">
      <w:pPr>
        <w:numPr>
          <w:ilvl w:val="0"/>
          <w:numId w:val="0"/>
        </w:numPr>
        <w:shd w:val="clear" w:color="auto" w:fill="auto"/>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sz w:val="24"/>
          <w:szCs w:val="24"/>
          <w:highlight w:val="none"/>
        </w:rPr>
        <w:t xml:space="preserve">投标人报价不得超过最高限价，否则将导致废标。 </w:t>
      </w:r>
    </w:p>
    <w:p w14:paraId="5C36B2B6">
      <w:pPr>
        <w:numPr>
          <w:ilvl w:val="0"/>
          <w:numId w:val="0"/>
        </w:numPr>
        <w:shd w:val="clear" w:color="auto" w:fill="auto"/>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3、</w:t>
      </w:r>
      <w:r>
        <w:rPr>
          <w:rFonts w:hint="eastAsia" w:ascii="宋体" w:hAnsi="宋体" w:eastAsia="宋体" w:cs="宋体"/>
          <w:color w:val="auto"/>
          <w:sz w:val="24"/>
          <w:szCs w:val="24"/>
          <w:highlight w:val="none"/>
        </w:rPr>
        <w:t xml:space="preserve">报价为最终价格需包含设备及与本项目相关的包装费、运杂费、保险费、报关费、商检费、现场验收、安装调试费、计量设备检定费、压力容器年检、现场服务费、人员疆内外培训费、与相关系统的接口费等其他相关伴随服务各项费用。 </w:t>
      </w:r>
    </w:p>
    <w:p w14:paraId="398264A0">
      <w:pPr>
        <w:shd w:val="clear" w:color="auto" w:fill="auto"/>
        <w:spacing w:line="440" w:lineRule="exact"/>
        <w:jc w:val="left"/>
        <w:rPr>
          <w:rFonts w:hint="eastAsia" w:ascii="宋体" w:hAnsi="宋体" w:eastAsia="宋体" w:cs="宋体"/>
          <w:color w:val="auto"/>
          <w:sz w:val="24"/>
          <w:szCs w:val="24"/>
          <w:highlight w:val="none"/>
        </w:rPr>
      </w:pPr>
    </w:p>
    <w:p w14:paraId="05B150B5">
      <w:pPr>
        <w:shd w:val="clear" w:color="auto" w:fill="auto"/>
        <w:spacing w:line="276" w:lineRule="auto"/>
        <w:ind w:firstLine="480" w:firstLineChars="200"/>
        <w:jc w:val="left"/>
        <w:rPr>
          <w:rFonts w:hint="eastAsia" w:ascii="宋体" w:hAnsi="宋体" w:eastAsia="宋体" w:cs="宋体"/>
          <w:color w:val="auto"/>
          <w:sz w:val="24"/>
          <w:szCs w:val="24"/>
          <w:highlight w:val="none"/>
        </w:rPr>
      </w:pPr>
    </w:p>
    <w:p w14:paraId="7311A4FC">
      <w:pPr>
        <w:shd w:val="clear" w:color="auto" w:fill="auto"/>
        <w:spacing w:line="276" w:lineRule="auto"/>
        <w:ind w:firstLine="480" w:firstLineChars="200"/>
        <w:jc w:val="left"/>
        <w:rPr>
          <w:rFonts w:hint="eastAsia" w:ascii="宋体" w:hAnsi="宋体" w:eastAsia="宋体" w:cs="宋体"/>
          <w:color w:val="auto"/>
          <w:sz w:val="24"/>
          <w:szCs w:val="24"/>
          <w:highlight w:val="none"/>
        </w:rPr>
      </w:pPr>
    </w:p>
    <w:p w14:paraId="064B26AA">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投标人名称：XXXX（单位公章）</w:t>
      </w:r>
    </w:p>
    <w:p w14:paraId="5C8073F9">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法定代表人/单位负责人或授权代表（签字或加盖个人名章）：XXXX</w:t>
      </w:r>
    </w:p>
    <w:p w14:paraId="3831ACD4">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投标日期：XXXX</w:t>
      </w:r>
    </w:p>
    <w:p w14:paraId="250DF1E3">
      <w:pPr>
        <w:pStyle w:val="6"/>
        <w:numPr>
          <w:ilvl w:val="0"/>
          <w:numId w:val="0"/>
        </w:numPr>
        <w:bidi w:val="0"/>
        <w:ind w:left="0" w:leftChars="0" w:firstLine="0" w:firstLineChars="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lang w:val="en-US" w:eastAsia="zh-CN"/>
        </w:rPr>
        <w:t>4、</w:t>
      </w:r>
      <w:r>
        <w:rPr>
          <w:rFonts w:hint="eastAsia" w:ascii="宋体" w:hAnsi="宋体" w:eastAsia="宋体" w:cs="宋体"/>
          <w:b/>
          <w:bCs/>
          <w:color w:val="auto"/>
          <w:kern w:val="2"/>
          <w:sz w:val="24"/>
          <w:szCs w:val="24"/>
          <w:highlight w:val="none"/>
          <w:lang w:val="en-US" w:eastAsia="zh-CN" w:bidi="ar-SA"/>
        </w:rPr>
        <w:t>报价明细表</w:t>
      </w:r>
    </w:p>
    <w:p w14:paraId="02C4E1BD">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项目名称：</w:t>
      </w:r>
    </w:p>
    <w:p w14:paraId="15C6C57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项目编号：</w:t>
      </w:r>
    </w:p>
    <w:p w14:paraId="213FE5E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标项：</w:t>
      </w:r>
    </w:p>
    <w:p w14:paraId="6CC491A9">
      <w:pPr>
        <w:rPr>
          <w:rFonts w:hint="eastAsia"/>
          <w:color w:val="auto"/>
          <w:highlight w:val="none"/>
          <w:lang w:val="en-US" w:eastAsia="zh-CN"/>
        </w:rPr>
      </w:pPr>
    </w:p>
    <w:tbl>
      <w:tblPr>
        <w:tblStyle w:val="48"/>
        <w:tblW w:w="88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965"/>
        <w:gridCol w:w="791"/>
        <w:gridCol w:w="1118"/>
        <w:gridCol w:w="1827"/>
        <w:gridCol w:w="914"/>
        <w:gridCol w:w="927"/>
        <w:gridCol w:w="1036"/>
        <w:gridCol w:w="667"/>
      </w:tblGrid>
      <w:tr w14:paraId="5C6F1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14:paraId="170D4701">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序号</w:t>
            </w:r>
          </w:p>
        </w:tc>
        <w:tc>
          <w:tcPr>
            <w:tcW w:w="965" w:type="dxa"/>
            <w:vAlign w:val="center"/>
          </w:tcPr>
          <w:p w14:paraId="699803D0">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名称</w:t>
            </w:r>
          </w:p>
        </w:tc>
        <w:tc>
          <w:tcPr>
            <w:tcW w:w="791" w:type="dxa"/>
            <w:vAlign w:val="center"/>
          </w:tcPr>
          <w:p w14:paraId="609BA182">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品牌</w:t>
            </w:r>
          </w:p>
        </w:tc>
        <w:tc>
          <w:tcPr>
            <w:tcW w:w="1118" w:type="dxa"/>
            <w:vAlign w:val="center"/>
          </w:tcPr>
          <w:p w14:paraId="32FFCB72">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规格型号</w:t>
            </w:r>
          </w:p>
        </w:tc>
        <w:tc>
          <w:tcPr>
            <w:tcW w:w="1827" w:type="dxa"/>
            <w:vAlign w:val="center"/>
          </w:tcPr>
          <w:p w14:paraId="05F35DD1">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数量</w:t>
            </w:r>
          </w:p>
          <w:p w14:paraId="49450857">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（须标明单位）</w:t>
            </w:r>
          </w:p>
        </w:tc>
        <w:tc>
          <w:tcPr>
            <w:tcW w:w="914" w:type="dxa"/>
            <w:vAlign w:val="center"/>
          </w:tcPr>
          <w:p w14:paraId="10482D23">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单价（元）</w:t>
            </w:r>
          </w:p>
        </w:tc>
        <w:tc>
          <w:tcPr>
            <w:tcW w:w="927" w:type="dxa"/>
            <w:vAlign w:val="center"/>
          </w:tcPr>
          <w:p w14:paraId="126A81B3">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总价（元）</w:t>
            </w:r>
          </w:p>
        </w:tc>
        <w:tc>
          <w:tcPr>
            <w:tcW w:w="1036" w:type="dxa"/>
            <w:vAlign w:val="center"/>
          </w:tcPr>
          <w:p w14:paraId="547AF9A8">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制造商名称、产地</w:t>
            </w:r>
          </w:p>
        </w:tc>
        <w:tc>
          <w:tcPr>
            <w:tcW w:w="667" w:type="dxa"/>
            <w:vAlign w:val="center"/>
          </w:tcPr>
          <w:p w14:paraId="048253E6">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cs="宋体"/>
                <w:color w:val="auto"/>
                <w:sz w:val="24"/>
                <w:szCs w:val="24"/>
                <w:highlight w:val="none"/>
                <w:vertAlign w:val="baseline"/>
                <w:lang w:val="en-US" w:eastAsia="zh-CN"/>
              </w:rPr>
              <w:t>备注</w:t>
            </w:r>
          </w:p>
        </w:tc>
      </w:tr>
      <w:tr w14:paraId="6A539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14:paraId="46C32027">
            <w:pPr>
              <w:numPr>
                <w:ilvl w:val="0"/>
                <w:numId w:val="0"/>
              </w:num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w:t>
            </w:r>
          </w:p>
        </w:tc>
        <w:tc>
          <w:tcPr>
            <w:tcW w:w="965" w:type="dxa"/>
          </w:tcPr>
          <w:p w14:paraId="773AFF3A">
            <w:pPr>
              <w:numPr>
                <w:ilvl w:val="0"/>
                <w:numId w:val="0"/>
              </w:numPr>
              <w:rPr>
                <w:rFonts w:hint="eastAsia" w:ascii="宋体" w:hAnsi="宋体" w:eastAsia="宋体" w:cs="宋体"/>
                <w:color w:val="auto"/>
                <w:sz w:val="24"/>
                <w:szCs w:val="24"/>
                <w:highlight w:val="none"/>
                <w:vertAlign w:val="baseline"/>
                <w:lang w:val="en-US" w:eastAsia="zh-CN"/>
              </w:rPr>
            </w:pPr>
          </w:p>
        </w:tc>
        <w:tc>
          <w:tcPr>
            <w:tcW w:w="791" w:type="dxa"/>
          </w:tcPr>
          <w:p w14:paraId="0C3C68E1">
            <w:pPr>
              <w:numPr>
                <w:ilvl w:val="0"/>
                <w:numId w:val="0"/>
              </w:numPr>
              <w:rPr>
                <w:rFonts w:hint="eastAsia" w:ascii="宋体" w:hAnsi="宋体" w:eastAsia="宋体" w:cs="宋体"/>
                <w:color w:val="auto"/>
                <w:sz w:val="24"/>
                <w:szCs w:val="24"/>
                <w:highlight w:val="none"/>
                <w:vertAlign w:val="baseline"/>
                <w:lang w:val="en-US" w:eastAsia="zh-CN"/>
              </w:rPr>
            </w:pPr>
          </w:p>
        </w:tc>
        <w:tc>
          <w:tcPr>
            <w:tcW w:w="1118" w:type="dxa"/>
          </w:tcPr>
          <w:p w14:paraId="16031FE8">
            <w:pPr>
              <w:numPr>
                <w:ilvl w:val="0"/>
                <w:numId w:val="0"/>
              </w:numPr>
              <w:rPr>
                <w:rFonts w:hint="eastAsia" w:ascii="宋体" w:hAnsi="宋体" w:eastAsia="宋体" w:cs="宋体"/>
                <w:color w:val="auto"/>
                <w:sz w:val="24"/>
                <w:szCs w:val="24"/>
                <w:highlight w:val="none"/>
                <w:vertAlign w:val="baseline"/>
                <w:lang w:val="en-US" w:eastAsia="zh-CN"/>
              </w:rPr>
            </w:pPr>
          </w:p>
        </w:tc>
        <w:tc>
          <w:tcPr>
            <w:tcW w:w="1827" w:type="dxa"/>
          </w:tcPr>
          <w:p w14:paraId="77851006">
            <w:pPr>
              <w:numPr>
                <w:ilvl w:val="0"/>
                <w:numId w:val="0"/>
              </w:numPr>
              <w:rPr>
                <w:rFonts w:hint="eastAsia" w:ascii="宋体" w:hAnsi="宋体" w:eastAsia="宋体" w:cs="宋体"/>
                <w:color w:val="auto"/>
                <w:sz w:val="24"/>
                <w:szCs w:val="24"/>
                <w:highlight w:val="none"/>
                <w:vertAlign w:val="baseline"/>
                <w:lang w:val="en-US" w:eastAsia="zh-CN"/>
              </w:rPr>
            </w:pPr>
          </w:p>
        </w:tc>
        <w:tc>
          <w:tcPr>
            <w:tcW w:w="914" w:type="dxa"/>
          </w:tcPr>
          <w:p w14:paraId="58E58316">
            <w:pPr>
              <w:numPr>
                <w:ilvl w:val="0"/>
                <w:numId w:val="0"/>
              </w:numPr>
              <w:rPr>
                <w:rFonts w:hint="eastAsia" w:ascii="宋体" w:hAnsi="宋体" w:eastAsia="宋体" w:cs="宋体"/>
                <w:color w:val="auto"/>
                <w:sz w:val="24"/>
                <w:szCs w:val="24"/>
                <w:highlight w:val="none"/>
                <w:vertAlign w:val="baseline"/>
                <w:lang w:val="en-US" w:eastAsia="zh-CN"/>
              </w:rPr>
            </w:pPr>
          </w:p>
        </w:tc>
        <w:tc>
          <w:tcPr>
            <w:tcW w:w="927" w:type="dxa"/>
          </w:tcPr>
          <w:p w14:paraId="30C783B7">
            <w:pPr>
              <w:numPr>
                <w:ilvl w:val="0"/>
                <w:numId w:val="0"/>
              </w:numPr>
              <w:rPr>
                <w:rFonts w:hint="eastAsia" w:ascii="宋体" w:hAnsi="宋体" w:eastAsia="宋体" w:cs="宋体"/>
                <w:color w:val="auto"/>
                <w:sz w:val="24"/>
                <w:szCs w:val="24"/>
                <w:highlight w:val="none"/>
                <w:vertAlign w:val="baseline"/>
                <w:lang w:val="en-US" w:eastAsia="zh-CN"/>
              </w:rPr>
            </w:pPr>
          </w:p>
        </w:tc>
        <w:tc>
          <w:tcPr>
            <w:tcW w:w="1036" w:type="dxa"/>
          </w:tcPr>
          <w:p w14:paraId="184DAD36">
            <w:pPr>
              <w:numPr>
                <w:ilvl w:val="0"/>
                <w:numId w:val="0"/>
              </w:numPr>
              <w:rPr>
                <w:rFonts w:hint="eastAsia" w:ascii="宋体" w:hAnsi="宋体" w:eastAsia="宋体" w:cs="宋体"/>
                <w:color w:val="auto"/>
                <w:sz w:val="24"/>
                <w:szCs w:val="24"/>
                <w:highlight w:val="none"/>
                <w:vertAlign w:val="baseline"/>
                <w:lang w:val="en-US" w:eastAsia="zh-CN"/>
              </w:rPr>
            </w:pPr>
          </w:p>
        </w:tc>
        <w:tc>
          <w:tcPr>
            <w:tcW w:w="667" w:type="dxa"/>
          </w:tcPr>
          <w:p w14:paraId="5BC0AE84">
            <w:pPr>
              <w:numPr>
                <w:ilvl w:val="0"/>
                <w:numId w:val="0"/>
              </w:numPr>
              <w:rPr>
                <w:rFonts w:hint="eastAsia" w:ascii="宋体" w:hAnsi="宋体" w:eastAsia="宋体" w:cs="宋体"/>
                <w:color w:val="auto"/>
                <w:sz w:val="24"/>
                <w:szCs w:val="24"/>
                <w:highlight w:val="none"/>
                <w:vertAlign w:val="baseline"/>
                <w:lang w:val="en-US" w:eastAsia="zh-CN"/>
              </w:rPr>
            </w:pPr>
          </w:p>
        </w:tc>
      </w:tr>
      <w:tr w14:paraId="49CE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14:paraId="6FDF7FFA">
            <w:pPr>
              <w:numPr>
                <w:ilvl w:val="0"/>
                <w:numId w:val="0"/>
              </w:num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w:t>
            </w:r>
          </w:p>
        </w:tc>
        <w:tc>
          <w:tcPr>
            <w:tcW w:w="965" w:type="dxa"/>
          </w:tcPr>
          <w:p w14:paraId="19205BCB">
            <w:pPr>
              <w:numPr>
                <w:ilvl w:val="0"/>
                <w:numId w:val="0"/>
              </w:numPr>
              <w:rPr>
                <w:rFonts w:hint="eastAsia" w:ascii="宋体" w:hAnsi="宋体" w:eastAsia="宋体" w:cs="宋体"/>
                <w:color w:val="auto"/>
                <w:sz w:val="24"/>
                <w:szCs w:val="24"/>
                <w:highlight w:val="none"/>
                <w:vertAlign w:val="baseline"/>
                <w:lang w:val="en-US" w:eastAsia="zh-CN"/>
              </w:rPr>
            </w:pPr>
          </w:p>
        </w:tc>
        <w:tc>
          <w:tcPr>
            <w:tcW w:w="791" w:type="dxa"/>
          </w:tcPr>
          <w:p w14:paraId="2E12FEF3">
            <w:pPr>
              <w:numPr>
                <w:ilvl w:val="0"/>
                <w:numId w:val="0"/>
              </w:numPr>
              <w:rPr>
                <w:rFonts w:hint="eastAsia" w:ascii="宋体" w:hAnsi="宋体" w:eastAsia="宋体" w:cs="宋体"/>
                <w:color w:val="auto"/>
                <w:sz w:val="24"/>
                <w:szCs w:val="24"/>
                <w:highlight w:val="none"/>
                <w:vertAlign w:val="baseline"/>
                <w:lang w:val="en-US" w:eastAsia="zh-CN"/>
              </w:rPr>
            </w:pPr>
          </w:p>
        </w:tc>
        <w:tc>
          <w:tcPr>
            <w:tcW w:w="1118" w:type="dxa"/>
          </w:tcPr>
          <w:p w14:paraId="7F65ECCD">
            <w:pPr>
              <w:numPr>
                <w:ilvl w:val="0"/>
                <w:numId w:val="0"/>
              </w:numPr>
              <w:rPr>
                <w:rFonts w:hint="eastAsia" w:ascii="宋体" w:hAnsi="宋体" w:eastAsia="宋体" w:cs="宋体"/>
                <w:color w:val="auto"/>
                <w:sz w:val="24"/>
                <w:szCs w:val="24"/>
                <w:highlight w:val="none"/>
                <w:vertAlign w:val="baseline"/>
                <w:lang w:val="en-US" w:eastAsia="zh-CN"/>
              </w:rPr>
            </w:pPr>
          </w:p>
        </w:tc>
        <w:tc>
          <w:tcPr>
            <w:tcW w:w="1827" w:type="dxa"/>
          </w:tcPr>
          <w:p w14:paraId="122F31EA">
            <w:pPr>
              <w:numPr>
                <w:ilvl w:val="0"/>
                <w:numId w:val="0"/>
              </w:numPr>
              <w:rPr>
                <w:rFonts w:hint="eastAsia" w:ascii="宋体" w:hAnsi="宋体" w:eastAsia="宋体" w:cs="宋体"/>
                <w:color w:val="auto"/>
                <w:sz w:val="24"/>
                <w:szCs w:val="24"/>
                <w:highlight w:val="none"/>
                <w:vertAlign w:val="baseline"/>
                <w:lang w:val="en-US" w:eastAsia="zh-CN"/>
              </w:rPr>
            </w:pPr>
          </w:p>
        </w:tc>
        <w:tc>
          <w:tcPr>
            <w:tcW w:w="914" w:type="dxa"/>
          </w:tcPr>
          <w:p w14:paraId="347DC49D">
            <w:pPr>
              <w:numPr>
                <w:ilvl w:val="0"/>
                <w:numId w:val="0"/>
              </w:numPr>
              <w:rPr>
                <w:rFonts w:hint="eastAsia" w:ascii="宋体" w:hAnsi="宋体" w:eastAsia="宋体" w:cs="宋体"/>
                <w:color w:val="auto"/>
                <w:sz w:val="24"/>
                <w:szCs w:val="24"/>
                <w:highlight w:val="none"/>
                <w:vertAlign w:val="baseline"/>
                <w:lang w:val="en-US" w:eastAsia="zh-CN"/>
              </w:rPr>
            </w:pPr>
          </w:p>
        </w:tc>
        <w:tc>
          <w:tcPr>
            <w:tcW w:w="927" w:type="dxa"/>
          </w:tcPr>
          <w:p w14:paraId="5CEF0214">
            <w:pPr>
              <w:numPr>
                <w:ilvl w:val="0"/>
                <w:numId w:val="0"/>
              </w:numPr>
              <w:rPr>
                <w:rFonts w:hint="eastAsia" w:ascii="宋体" w:hAnsi="宋体" w:eastAsia="宋体" w:cs="宋体"/>
                <w:color w:val="auto"/>
                <w:sz w:val="24"/>
                <w:szCs w:val="24"/>
                <w:highlight w:val="none"/>
                <w:vertAlign w:val="baseline"/>
                <w:lang w:val="en-US" w:eastAsia="zh-CN"/>
              </w:rPr>
            </w:pPr>
          </w:p>
        </w:tc>
        <w:tc>
          <w:tcPr>
            <w:tcW w:w="1036" w:type="dxa"/>
          </w:tcPr>
          <w:p w14:paraId="45FFA439">
            <w:pPr>
              <w:numPr>
                <w:ilvl w:val="0"/>
                <w:numId w:val="0"/>
              </w:numPr>
              <w:rPr>
                <w:rFonts w:hint="eastAsia" w:ascii="宋体" w:hAnsi="宋体" w:eastAsia="宋体" w:cs="宋体"/>
                <w:color w:val="auto"/>
                <w:sz w:val="24"/>
                <w:szCs w:val="24"/>
                <w:highlight w:val="none"/>
                <w:vertAlign w:val="baseline"/>
                <w:lang w:val="en-US" w:eastAsia="zh-CN"/>
              </w:rPr>
            </w:pPr>
          </w:p>
        </w:tc>
        <w:tc>
          <w:tcPr>
            <w:tcW w:w="667" w:type="dxa"/>
          </w:tcPr>
          <w:p w14:paraId="6760AB23">
            <w:pPr>
              <w:numPr>
                <w:ilvl w:val="0"/>
                <w:numId w:val="0"/>
              </w:numPr>
              <w:rPr>
                <w:rFonts w:hint="eastAsia" w:ascii="宋体" w:hAnsi="宋体" w:eastAsia="宋体" w:cs="宋体"/>
                <w:color w:val="auto"/>
                <w:sz w:val="24"/>
                <w:szCs w:val="24"/>
                <w:highlight w:val="none"/>
                <w:vertAlign w:val="baseline"/>
                <w:lang w:val="en-US" w:eastAsia="zh-CN"/>
              </w:rPr>
            </w:pPr>
          </w:p>
        </w:tc>
      </w:tr>
      <w:tr w14:paraId="57D40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14:paraId="663C6D20">
            <w:pPr>
              <w:numPr>
                <w:ilvl w:val="0"/>
                <w:numId w:val="0"/>
              </w:num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w:t>
            </w:r>
          </w:p>
        </w:tc>
        <w:tc>
          <w:tcPr>
            <w:tcW w:w="965" w:type="dxa"/>
          </w:tcPr>
          <w:p w14:paraId="13A8CF0C">
            <w:pPr>
              <w:numPr>
                <w:ilvl w:val="0"/>
                <w:numId w:val="0"/>
              </w:numPr>
              <w:rPr>
                <w:rFonts w:hint="eastAsia" w:ascii="宋体" w:hAnsi="宋体" w:eastAsia="宋体" w:cs="宋体"/>
                <w:color w:val="auto"/>
                <w:sz w:val="24"/>
                <w:szCs w:val="24"/>
                <w:highlight w:val="none"/>
                <w:vertAlign w:val="baseline"/>
                <w:lang w:val="en-US" w:eastAsia="zh-CN"/>
              </w:rPr>
            </w:pPr>
          </w:p>
        </w:tc>
        <w:tc>
          <w:tcPr>
            <w:tcW w:w="791" w:type="dxa"/>
          </w:tcPr>
          <w:p w14:paraId="7D0D600E">
            <w:pPr>
              <w:numPr>
                <w:ilvl w:val="0"/>
                <w:numId w:val="0"/>
              </w:numPr>
              <w:rPr>
                <w:rFonts w:hint="eastAsia" w:ascii="宋体" w:hAnsi="宋体" w:eastAsia="宋体" w:cs="宋体"/>
                <w:color w:val="auto"/>
                <w:sz w:val="24"/>
                <w:szCs w:val="24"/>
                <w:highlight w:val="none"/>
                <w:vertAlign w:val="baseline"/>
                <w:lang w:val="en-US" w:eastAsia="zh-CN"/>
              </w:rPr>
            </w:pPr>
          </w:p>
        </w:tc>
        <w:tc>
          <w:tcPr>
            <w:tcW w:w="1118" w:type="dxa"/>
          </w:tcPr>
          <w:p w14:paraId="792D9E28">
            <w:pPr>
              <w:numPr>
                <w:ilvl w:val="0"/>
                <w:numId w:val="0"/>
              </w:numPr>
              <w:rPr>
                <w:rFonts w:hint="eastAsia" w:ascii="宋体" w:hAnsi="宋体" w:eastAsia="宋体" w:cs="宋体"/>
                <w:color w:val="auto"/>
                <w:sz w:val="24"/>
                <w:szCs w:val="24"/>
                <w:highlight w:val="none"/>
                <w:vertAlign w:val="baseline"/>
                <w:lang w:val="en-US" w:eastAsia="zh-CN"/>
              </w:rPr>
            </w:pPr>
          </w:p>
        </w:tc>
        <w:tc>
          <w:tcPr>
            <w:tcW w:w="1827" w:type="dxa"/>
          </w:tcPr>
          <w:p w14:paraId="7C997098">
            <w:pPr>
              <w:numPr>
                <w:ilvl w:val="0"/>
                <w:numId w:val="0"/>
              </w:numPr>
              <w:rPr>
                <w:rFonts w:hint="eastAsia" w:ascii="宋体" w:hAnsi="宋体" w:eastAsia="宋体" w:cs="宋体"/>
                <w:color w:val="auto"/>
                <w:sz w:val="24"/>
                <w:szCs w:val="24"/>
                <w:highlight w:val="none"/>
                <w:vertAlign w:val="baseline"/>
                <w:lang w:val="en-US" w:eastAsia="zh-CN"/>
              </w:rPr>
            </w:pPr>
          </w:p>
        </w:tc>
        <w:tc>
          <w:tcPr>
            <w:tcW w:w="914" w:type="dxa"/>
          </w:tcPr>
          <w:p w14:paraId="704098B7">
            <w:pPr>
              <w:numPr>
                <w:ilvl w:val="0"/>
                <w:numId w:val="0"/>
              </w:numPr>
              <w:rPr>
                <w:rFonts w:hint="eastAsia" w:ascii="宋体" w:hAnsi="宋体" w:eastAsia="宋体" w:cs="宋体"/>
                <w:color w:val="auto"/>
                <w:sz w:val="24"/>
                <w:szCs w:val="24"/>
                <w:highlight w:val="none"/>
                <w:vertAlign w:val="baseline"/>
                <w:lang w:val="en-US" w:eastAsia="zh-CN"/>
              </w:rPr>
            </w:pPr>
          </w:p>
        </w:tc>
        <w:tc>
          <w:tcPr>
            <w:tcW w:w="927" w:type="dxa"/>
          </w:tcPr>
          <w:p w14:paraId="46CDD680">
            <w:pPr>
              <w:numPr>
                <w:ilvl w:val="0"/>
                <w:numId w:val="0"/>
              </w:numPr>
              <w:rPr>
                <w:rFonts w:hint="eastAsia" w:ascii="宋体" w:hAnsi="宋体" w:eastAsia="宋体" w:cs="宋体"/>
                <w:color w:val="auto"/>
                <w:sz w:val="24"/>
                <w:szCs w:val="24"/>
                <w:highlight w:val="none"/>
                <w:vertAlign w:val="baseline"/>
                <w:lang w:val="en-US" w:eastAsia="zh-CN"/>
              </w:rPr>
            </w:pPr>
          </w:p>
        </w:tc>
        <w:tc>
          <w:tcPr>
            <w:tcW w:w="1036" w:type="dxa"/>
          </w:tcPr>
          <w:p w14:paraId="4790254F">
            <w:pPr>
              <w:numPr>
                <w:ilvl w:val="0"/>
                <w:numId w:val="0"/>
              </w:numPr>
              <w:rPr>
                <w:rFonts w:hint="eastAsia" w:ascii="宋体" w:hAnsi="宋体" w:eastAsia="宋体" w:cs="宋体"/>
                <w:color w:val="auto"/>
                <w:sz w:val="24"/>
                <w:szCs w:val="24"/>
                <w:highlight w:val="none"/>
                <w:vertAlign w:val="baseline"/>
                <w:lang w:val="en-US" w:eastAsia="zh-CN"/>
              </w:rPr>
            </w:pPr>
          </w:p>
        </w:tc>
        <w:tc>
          <w:tcPr>
            <w:tcW w:w="667" w:type="dxa"/>
          </w:tcPr>
          <w:p w14:paraId="1ED4C1D2">
            <w:pPr>
              <w:numPr>
                <w:ilvl w:val="0"/>
                <w:numId w:val="0"/>
              </w:numPr>
              <w:rPr>
                <w:rFonts w:hint="eastAsia" w:ascii="宋体" w:hAnsi="宋体" w:eastAsia="宋体" w:cs="宋体"/>
                <w:color w:val="auto"/>
                <w:sz w:val="24"/>
                <w:szCs w:val="24"/>
                <w:highlight w:val="none"/>
                <w:vertAlign w:val="baseline"/>
                <w:lang w:val="en-US" w:eastAsia="zh-CN"/>
              </w:rPr>
            </w:pPr>
          </w:p>
        </w:tc>
      </w:tr>
      <w:tr w14:paraId="2641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14:paraId="0FABA4FE">
            <w:pPr>
              <w:numPr>
                <w:ilvl w:val="0"/>
                <w:numId w:val="0"/>
              </w:num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w:t>
            </w:r>
          </w:p>
        </w:tc>
        <w:tc>
          <w:tcPr>
            <w:tcW w:w="965" w:type="dxa"/>
          </w:tcPr>
          <w:p w14:paraId="08FE4362">
            <w:pPr>
              <w:numPr>
                <w:ilvl w:val="0"/>
                <w:numId w:val="0"/>
              </w:numPr>
              <w:rPr>
                <w:rFonts w:hint="eastAsia" w:ascii="宋体" w:hAnsi="宋体" w:eastAsia="宋体" w:cs="宋体"/>
                <w:color w:val="auto"/>
                <w:sz w:val="24"/>
                <w:szCs w:val="24"/>
                <w:highlight w:val="none"/>
                <w:vertAlign w:val="baseline"/>
                <w:lang w:val="en-US" w:eastAsia="zh-CN"/>
              </w:rPr>
            </w:pPr>
          </w:p>
        </w:tc>
        <w:tc>
          <w:tcPr>
            <w:tcW w:w="791" w:type="dxa"/>
          </w:tcPr>
          <w:p w14:paraId="321CE372">
            <w:pPr>
              <w:numPr>
                <w:ilvl w:val="0"/>
                <w:numId w:val="0"/>
              </w:numPr>
              <w:rPr>
                <w:rFonts w:hint="eastAsia" w:ascii="宋体" w:hAnsi="宋体" w:eastAsia="宋体" w:cs="宋体"/>
                <w:color w:val="auto"/>
                <w:sz w:val="24"/>
                <w:szCs w:val="24"/>
                <w:highlight w:val="none"/>
                <w:vertAlign w:val="baseline"/>
                <w:lang w:val="en-US" w:eastAsia="zh-CN"/>
              </w:rPr>
            </w:pPr>
          </w:p>
        </w:tc>
        <w:tc>
          <w:tcPr>
            <w:tcW w:w="1118" w:type="dxa"/>
          </w:tcPr>
          <w:p w14:paraId="09DE4942">
            <w:pPr>
              <w:numPr>
                <w:ilvl w:val="0"/>
                <w:numId w:val="0"/>
              </w:numPr>
              <w:rPr>
                <w:rFonts w:hint="eastAsia" w:ascii="宋体" w:hAnsi="宋体" w:eastAsia="宋体" w:cs="宋体"/>
                <w:color w:val="auto"/>
                <w:sz w:val="24"/>
                <w:szCs w:val="24"/>
                <w:highlight w:val="none"/>
                <w:vertAlign w:val="baseline"/>
                <w:lang w:val="en-US" w:eastAsia="zh-CN"/>
              </w:rPr>
            </w:pPr>
          </w:p>
        </w:tc>
        <w:tc>
          <w:tcPr>
            <w:tcW w:w="1827" w:type="dxa"/>
          </w:tcPr>
          <w:p w14:paraId="2E66D010">
            <w:pPr>
              <w:numPr>
                <w:ilvl w:val="0"/>
                <w:numId w:val="0"/>
              </w:numPr>
              <w:rPr>
                <w:rFonts w:hint="eastAsia" w:ascii="宋体" w:hAnsi="宋体" w:eastAsia="宋体" w:cs="宋体"/>
                <w:color w:val="auto"/>
                <w:sz w:val="24"/>
                <w:szCs w:val="24"/>
                <w:highlight w:val="none"/>
                <w:vertAlign w:val="baseline"/>
                <w:lang w:val="en-US" w:eastAsia="zh-CN"/>
              </w:rPr>
            </w:pPr>
          </w:p>
        </w:tc>
        <w:tc>
          <w:tcPr>
            <w:tcW w:w="914" w:type="dxa"/>
          </w:tcPr>
          <w:p w14:paraId="1655338C">
            <w:pPr>
              <w:numPr>
                <w:ilvl w:val="0"/>
                <w:numId w:val="0"/>
              </w:numPr>
              <w:rPr>
                <w:rFonts w:hint="eastAsia" w:ascii="宋体" w:hAnsi="宋体" w:eastAsia="宋体" w:cs="宋体"/>
                <w:color w:val="auto"/>
                <w:sz w:val="24"/>
                <w:szCs w:val="24"/>
                <w:highlight w:val="none"/>
                <w:vertAlign w:val="baseline"/>
                <w:lang w:val="en-US" w:eastAsia="zh-CN"/>
              </w:rPr>
            </w:pPr>
          </w:p>
        </w:tc>
        <w:tc>
          <w:tcPr>
            <w:tcW w:w="927" w:type="dxa"/>
          </w:tcPr>
          <w:p w14:paraId="614B55A1">
            <w:pPr>
              <w:numPr>
                <w:ilvl w:val="0"/>
                <w:numId w:val="0"/>
              </w:numPr>
              <w:rPr>
                <w:rFonts w:hint="eastAsia" w:ascii="宋体" w:hAnsi="宋体" w:eastAsia="宋体" w:cs="宋体"/>
                <w:color w:val="auto"/>
                <w:sz w:val="24"/>
                <w:szCs w:val="24"/>
                <w:highlight w:val="none"/>
                <w:vertAlign w:val="baseline"/>
                <w:lang w:val="en-US" w:eastAsia="zh-CN"/>
              </w:rPr>
            </w:pPr>
          </w:p>
        </w:tc>
        <w:tc>
          <w:tcPr>
            <w:tcW w:w="1036" w:type="dxa"/>
          </w:tcPr>
          <w:p w14:paraId="7A71A74B">
            <w:pPr>
              <w:numPr>
                <w:ilvl w:val="0"/>
                <w:numId w:val="0"/>
              </w:numPr>
              <w:rPr>
                <w:rFonts w:hint="eastAsia" w:ascii="宋体" w:hAnsi="宋体" w:eastAsia="宋体" w:cs="宋体"/>
                <w:color w:val="auto"/>
                <w:sz w:val="24"/>
                <w:szCs w:val="24"/>
                <w:highlight w:val="none"/>
                <w:vertAlign w:val="baseline"/>
                <w:lang w:val="en-US" w:eastAsia="zh-CN"/>
              </w:rPr>
            </w:pPr>
          </w:p>
        </w:tc>
        <w:tc>
          <w:tcPr>
            <w:tcW w:w="667" w:type="dxa"/>
          </w:tcPr>
          <w:p w14:paraId="0AD2646C">
            <w:pPr>
              <w:numPr>
                <w:ilvl w:val="0"/>
                <w:numId w:val="0"/>
              </w:numPr>
              <w:rPr>
                <w:rFonts w:hint="eastAsia" w:ascii="宋体" w:hAnsi="宋体" w:eastAsia="宋体" w:cs="宋体"/>
                <w:color w:val="auto"/>
                <w:sz w:val="24"/>
                <w:szCs w:val="24"/>
                <w:highlight w:val="none"/>
                <w:vertAlign w:val="baseline"/>
                <w:lang w:val="en-US" w:eastAsia="zh-CN"/>
              </w:rPr>
            </w:pPr>
          </w:p>
        </w:tc>
      </w:tr>
      <w:tr w14:paraId="77AD7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14:paraId="389B8204">
            <w:pPr>
              <w:numPr>
                <w:ilvl w:val="0"/>
                <w:numId w:val="0"/>
              </w:num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w:t>
            </w:r>
          </w:p>
        </w:tc>
        <w:tc>
          <w:tcPr>
            <w:tcW w:w="965" w:type="dxa"/>
          </w:tcPr>
          <w:p w14:paraId="2247A932">
            <w:pPr>
              <w:numPr>
                <w:ilvl w:val="0"/>
                <w:numId w:val="0"/>
              </w:numPr>
              <w:rPr>
                <w:rFonts w:hint="eastAsia" w:ascii="宋体" w:hAnsi="宋体" w:eastAsia="宋体" w:cs="宋体"/>
                <w:color w:val="auto"/>
                <w:sz w:val="24"/>
                <w:szCs w:val="24"/>
                <w:highlight w:val="none"/>
                <w:vertAlign w:val="baseline"/>
                <w:lang w:val="en-US" w:eastAsia="zh-CN"/>
              </w:rPr>
            </w:pPr>
          </w:p>
        </w:tc>
        <w:tc>
          <w:tcPr>
            <w:tcW w:w="791" w:type="dxa"/>
          </w:tcPr>
          <w:p w14:paraId="530B6353">
            <w:pPr>
              <w:numPr>
                <w:ilvl w:val="0"/>
                <w:numId w:val="0"/>
              </w:numPr>
              <w:rPr>
                <w:rFonts w:hint="eastAsia" w:ascii="宋体" w:hAnsi="宋体" w:eastAsia="宋体" w:cs="宋体"/>
                <w:color w:val="auto"/>
                <w:sz w:val="24"/>
                <w:szCs w:val="24"/>
                <w:highlight w:val="none"/>
                <w:vertAlign w:val="baseline"/>
                <w:lang w:val="en-US" w:eastAsia="zh-CN"/>
              </w:rPr>
            </w:pPr>
          </w:p>
        </w:tc>
        <w:tc>
          <w:tcPr>
            <w:tcW w:w="1118" w:type="dxa"/>
          </w:tcPr>
          <w:p w14:paraId="7371703D">
            <w:pPr>
              <w:numPr>
                <w:ilvl w:val="0"/>
                <w:numId w:val="0"/>
              </w:numPr>
              <w:rPr>
                <w:rFonts w:hint="eastAsia" w:ascii="宋体" w:hAnsi="宋体" w:eastAsia="宋体" w:cs="宋体"/>
                <w:color w:val="auto"/>
                <w:sz w:val="24"/>
                <w:szCs w:val="24"/>
                <w:highlight w:val="none"/>
                <w:vertAlign w:val="baseline"/>
                <w:lang w:val="en-US" w:eastAsia="zh-CN"/>
              </w:rPr>
            </w:pPr>
          </w:p>
        </w:tc>
        <w:tc>
          <w:tcPr>
            <w:tcW w:w="1827" w:type="dxa"/>
          </w:tcPr>
          <w:p w14:paraId="2F341A11">
            <w:pPr>
              <w:numPr>
                <w:ilvl w:val="0"/>
                <w:numId w:val="0"/>
              </w:numPr>
              <w:rPr>
                <w:rFonts w:hint="eastAsia" w:ascii="宋体" w:hAnsi="宋体" w:eastAsia="宋体" w:cs="宋体"/>
                <w:color w:val="auto"/>
                <w:sz w:val="24"/>
                <w:szCs w:val="24"/>
                <w:highlight w:val="none"/>
                <w:vertAlign w:val="baseline"/>
                <w:lang w:val="en-US" w:eastAsia="zh-CN"/>
              </w:rPr>
            </w:pPr>
          </w:p>
        </w:tc>
        <w:tc>
          <w:tcPr>
            <w:tcW w:w="914" w:type="dxa"/>
          </w:tcPr>
          <w:p w14:paraId="574CE920">
            <w:pPr>
              <w:numPr>
                <w:ilvl w:val="0"/>
                <w:numId w:val="0"/>
              </w:numPr>
              <w:rPr>
                <w:rFonts w:hint="eastAsia" w:ascii="宋体" w:hAnsi="宋体" w:eastAsia="宋体" w:cs="宋体"/>
                <w:color w:val="auto"/>
                <w:sz w:val="24"/>
                <w:szCs w:val="24"/>
                <w:highlight w:val="none"/>
                <w:vertAlign w:val="baseline"/>
                <w:lang w:val="en-US" w:eastAsia="zh-CN"/>
              </w:rPr>
            </w:pPr>
          </w:p>
        </w:tc>
        <w:tc>
          <w:tcPr>
            <w:tcW w:w="927" w:type="dxa"/>
          </w:tcPr>
          <w:p w14:paraId="2878A45B">
            <w:pPr>
              <w:numPr>
                <w:ilvl w:val="0"/>
                <w:numId w:val="0"/>
              </w:numPr>
              <w:rPr>
                <w:rFonts w:hint="eastAsia" w:ascii="宋体" w:hAnsi="宋体" w:eastAsia="宋体" w:cs="宋体"/>
                <w:color w:val="auto"/>
                <w:sz w:val="24"/>
                <w:szCs w:val="24"/>
                <w:highlight w:val="none"/>
                <w:vertAlign w:val="baseline"/>
                <w:lang w:val="en-US" w:eastAsia="zh-CN"/>
              </w:rPr>
            </w:pPr>
          </w:p>
        </w:tc>
        <w:tc>
          <w:tcPr>
            <w:tcW w:w="1036" w:type="dxa"/>
          </w:tcPr>
          <w:p w14:paraId="1EB0DF66">
            <w:pPr>
              <w:numPr>
                <w:ilvl w:val="0"/>
                <w:numId w:val="0"/>
              </w:numPr>
              <w:rPr>
                <w:rFonts w:hint="eastAsia" w:ascii="宋体" w:hAnsi="宋体" w:eastAsia="宋体" w:cs="宋体"/>
                <w:color w:val="auto"/>
                <w:sz w:val="24"/>
                <w:szCs w:val="24"/>
                <w:highlight w:val="none"/>
                <w:vertAlign w:val="baseline"/>
                <w:lang w:val="en-US" w:eastAsia="zh-CN"/>
              </w:rPr>
            </w:pPr>
          </w:p>
        </w:tc>
        <w:tc>
          <w:tcPr>
            <w:tcW w:w="667" w:type="dxa"/>
          </w:tcPr>
          <w:p w14:paraId="5F662A6C">
            <w:pPr>
              <w:numPr>
                <w:ilvl w:val="0"/>
                <w:numId w:val="0"/>
              </w:numPr>
              <w:rPr>
                <w:rFonts w:hint="eastAsia" w:ascii="宋体" w:hAnsi="宋体" w:eastAsia="宋体" w:cs="宋体"/>
                <w:color w:val="auto"/>
                <w:sz w:val="24"/>
                <w:szCs w:val="24"/>
                <w:highlight w:val="none"/>
                <w:vertAlign w:val="baseline"/>
                <w:lang w:val="en-US" w:eastAsia="zh-CN"/>
              </w:rPr>
            </w:pPr>
          </w:p>
        </w:tc>
      </w:tr>
      <w:tr w14:paraId="7F21F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14:paraId="13835117">
            <w:pPr>
              <w:numPr>
                <w:ilvl w:val="0"/>
                <w:numId w:val="0"/>
              </w:num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w:t>
            </w:r>
          </w:p>
        </w:tc>
        <w:tc>
          <w:tcPr>
            <w:tcW w:w="965" w:type="dxa"/>
          </w:tcPr>
          <w:p w14:paraId="4E25FE35">
            <w:pPr>
              <w:numPr>
                <w:ilvl w:val="0"/>
                <w:numId w:val="0"/>
              </w:numPr>
              <w:rPr>
                <w:rFonts w:hint="eastAsia" w:ascii="宋体" w:hAnsi="宋体" w:eastAsia="宋体" w:cs="宋体"/>
                <w:color w:val="auto"/>
                <w:sz w:val="24"/>
                <w:szCs w:val="24"/>
                <w:highlight w:val="none"/>
                <w:vertAlign w:val="baseline"/>
                <w:lang w:val="en-US" w:eastAsia="zh-CN"/>
              </w:rPr>
            </w:pPr>
          </w:p>
        </w:tc>
        <w:tc>
          <w:tcPr>
            <w:tcW w:w="791" w:type="dxa"/>
          </w:tcPr>
          <w:p w14:paraId="28870D80">
            <w:pPr>
              <w:numPr>
                <w:ilvl w:val="0"/>
                <w:numId w:val="0"/>
              </w:numPr>
              <w:rPr>
                <w:rFonts w:hint="eastAsia" w:ascii="宋体" w:hAnsi="宋体" w:eastAsia="宋体" w:cs="宋体"/>
                <w:color w:val="auto"/>
                <w:sz w:val="24"/>
                <w:szCs w:val="24"/>
                <w:highlight w:val="none"/>
                <w:vertAlign w:val="baseline"/>
                <w:lang w:val="en-US" w:eastAsia="zh-CN"/>
              </w:rPr>
            </w:pPr>
          </w:p>
        </w:tc>
        <w:tc>
          <w:tcPr>
            <w:tcW w:w="1118" w:type="dxa"/>
          </w:tcPr>
          <w:p w14:paraId="1C7E71EC">
            <w:pPr>
              <w:numPr>
                <w:ilvl w:val="0"/>
                <w:numId w:val="0"/>
              </w:numPr>
              <w:rPr>
                <w:rFonts w:hint="eastAsia" w:ascii="宋体" w:hAnsi="宋体" w:eastAsia="宋体" w:cs="宋体"/>
                <w:color w:val="auto"/>
                <w:sz w:val="24"/>
                <w:szCs w:val="24"/>
                <w:highlight w:val="none"/>
                <w:vertAlign w:val="baseline"/>
                <w:lang w:val="en-US" w:eastAsia="zh-CN"/>
              </w:rPr>
            </w:pPr>
          </w:p>
        </w:tc>
        <w:tc>
          <w:tcPr>
            <w:tcW w:w="1827" w:type="dxa"/>
          </w:tcPr>
          <w:p w14:paraId="16E2C2CC">
            <w:pPr>
              <w:numPr>
                <w:ilvl w:val="0"/>
                <w:numId w:val="0"/>
              </w:numPr>
              <w:rPr>
                <w:rFonts w:hint="eastAsia" w:ascii="宋体" w:hAnsi="宋体" w:eastAsia="宋体" w:cs="宋体"/>
                <w:color w:val="auto"/>
                <w:sz w:val="24"/>
                <w:szCs w:val="24"/>
                <w:highlight w:val="none"/>
                <w:vertAlign w:val="baseline"/>
                <w:lang w:val="en-US" w:eastAsia="zh-CN"/>
              </w:rPr>
            </w:pPr>
          </w:p>
        </w:tc>
        <w:tc>
          <w:tcPr>
            <w:tcW w:w="914" w:type="dxa"/>
          </w:tcPr>
          <w:p w14:paraId="28800597">
            <w:pPr>
              <w:numPr>
                <w:ilvl w:val="0"/>
                <w:numId w:val="0"/>
              </w:numPr>
              <w:rPr>
                <w:rFonts w:hint="eastAsia" w:ascii="宋体" w:hAnsi="宋体" w:eastAsia="宋体" w:cs="宋体"/>
                <w:color w:val="auto"/>
                <w:sz w:val="24"/>
                <w:szCs w:val="24"/>
                <w:highlight w:val="none"/>
                <w:vertAlign w:val="baseline"/>
                <w:lang w:val="en-US" w:eastAsia="zh-CN"/>
              </w:rPr>
            </w:pPr>
          </w:p>
        </w:tc>
        <w:tc>
          <w:tcPr>
            <w:tcW w:w="927" w:type="dxa"/>
          </w:tcPr>
          <w:p w14:paraId="314D0CC4">
            <w:pPr>
              <w:numPr>
                <w:ilvl w:val="0"/>
                <w:numId w:val="0"/>
              </w:numPr>
              <w:rPr>
                <w:rFonts w:hint="eastAsia" w:ascii="宋体" w:hAnsi="宋体" w:eastAsia="宋体" w:cs="宋体"/>
                <w:color w:val="auto"/>
                <w:sz w:val="24"/>
                <w:szCs w:val="24"/>
                <w:highlight w:val="none"/>
                <w:vertAlign w:val="baseline"/>
                <w:lang w:val="en-US" w:eastAsia="zh-CN"/>
              </w:rPr>
            </w:pPr>
          </w:p>
        </w:tc>
        <w:tc>
          <w:tcPr>
            <w:tcW w:w="1036" w:type="dxa"/>
          </w:tcPr>
          <w:p w14:paraId="4DFE003C">
            <w:pPr>
              <w:numPr>
                <w:ilvl w:val="0"/>
                <w:numId w:val="0"/>
              </w:numPr>
              <w:rPr>
                <w:rFonts w:hint="eastAsia" w:ascii="宋体" w:hAnsi="宋体" w:eastAsia="宋体" w:cs="宋体"/>
                <w:color w:val="auto"/>
                <w:sz w:val="24"/>
                <w:szCs w:val="24"/>
                <w:highlight w:val="none"/>
                <w:vertAlign w:val="baseline"/>
                <w:lang w:val="en-US" w:eastAsia="zh-CN"/>
              </w:rPr>
            </w:pPr>
          </w:p>
        </w:tc>
        <w:tc>
          <w:tcPr>
            <w:tcW w:w="667" w:type="dxa"/>
          </w:tcPr>
          <w:p w14:paraId="31AB957F">
            <w:pPr>
              <w:numPr>
                <w:ilvl w:val="0"/>
                <w:numId w:val="0"/>
              </w:numPr>
              <w:rPr>
                <w:rFonts w:hint="eastAsia" w:ascii="宋体" w:hAnsi="宋体" w:eastAsia="宋体" w:cs="宋体"/>
                <w:color w:val="auto"/>
                <w:sz w:val="24"/>
                <w:szCs w:val="24"/>
                <w:highlight w:val="none"/>
                <w:vertAlign w:val="baseline"/>
                <w:lang w:val="en-US" w:eastAsia="zh-CN"/>
              </w:rPr>
            </w:pPr>
          </w:p>
        </w:tc>
      </w:tr>
    </w:tbl>
    <w:p w14:paraId="3ABD4AA7">
      <w:pPr>
        <w:numPr>
          <w:ilvl w:val="0"/>
          <w:numId w:val="0"/>
        </w:numPr>
        <w:ind w:leftChars="0"/>
        <w:rPr>
          <w:rFonts w:hint="eastAsia"/>
          <w:color w:val="auto"/>
          <w:highlight w:val="none"/>
          <w:lang w:val="en-US" w:eastAsia="zh-CN"/>
        </w:rPr>
      </w:pPr>
    </w:p>
    <w:p w14:paraId="1291FE27">
      <w:pPr>
        <w:spacing w:line="360" w:lineRule="auto"/>
        <w:rPr>
          <w:rFonts w:hint="eastAsia" w:ascii="宋体" w:hAnsi="宋体" w:eastAsia="宋体" w:cs="宋体"/>
          <w:color w:val="auto"/>
          <w:sz w:val="24"/>
          <w:szCs w:val="24"/>
          <w:highlight w:val="none"/>
        </w:rPr>
      </w:pPr>
      <w:bookmarkStart w:id="83" w:name="_Toc4869"/>
      <w:bookmarkStart w:id="84" w:name="_Toc466298085"/>
      <w:bookmarkStart w:id="85" w:name="_Toc465085387"/>
      <w:bookmarkStart w:id="86" w:name="_Toc472604638"/>
      <w:r>
        <w:rPr>
          <w:rFonts w:hint="eastAsia" w:ascii="宋体" w:hAnsi="宋体" w:eastAsia="宋体" w:cs="宋体"/>
          <w:color w:val="auto"/>
          <w:sz w:val="24"/>
          <w:szCs w:val="24"/>
          <w:highlight w:val="none"/>
        </w:rPr>
        <w:t>注：</w:t>
      </w:r>
    </w:p>
    <w:p w14:paraId="2AA02DD9">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1、如果按单价计算的结果与总价不一致，以单价为准修正总价。</w:t>
      </w:r>
    </w:p>
    <w:p w14:paraId="3C94E2D0">
      <w:pPr>
        <w:numPr>
          <w:ilvl w:val="0"/>
          <w:numId w:val="0"/>
        </w:numPr>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sz w:val="24"/>
          <w:szCs w:val="24"/>
          <w:highlight w:val="none"/>
        </w:rPr>
        <w:t>供应商须参照第四章各包所列明的内容全部报价。如果不提供详细分项报价视为未实质性响应招标文件。</w:t>
      </w:r>
    </w:p>
    <w:p w14:paraId="05C2A62B">
      <w:pPr>
        <w:shd w:val="clear" w:color="auto" w:fill="auto"/>
        <w:spacing w:line="276" w:lineRule="auto"/>
        <w:ind w:firstLine="480" w:firstLineChars="200"/>
        <w:jc w:val="left"/>
        <w:rPr>
          <w:rFonts w:hint="eastAsia" w:ascii="宋体" w:hAnsi="宋体" w:eastAsia="宋体" w:cs="宋体"/>
          <w:color w:val="auto"/>
          <w:sz w:val="24"/>
          <w:szCs w:val="24"/>
          <w:highlight w:val="none"/>
        </w:rPr>
      </w:pPr>
    </w:p>
    <w:p w14:paraId="4FA01B90">
      <w:pPr>
        <w:shd w:val="clear" w:color="auto" w:fill="auto"/>
        <w:spacing w:line="276" w:lineRule="auto"/>
        <w:ind w:firstLine="480" w:firstLineChars="200"/>
        <w:jc w:val="left"/>
        <w:rPr>
          <w:rFonts w:hint="eastAsia" w:ascii="宋体" w:hAnsi="宋体" w:eastAsia="宋体" w:cs="宋体"/>
          <w:color w:val="auto"/>
          <w:sz w:val="24"/>
          <w:szCs w:val="24"/>
          <w:highlight w:val="none"/>
        </w:rPr>
      </w:pPr>
    </w:p>
    <w:p w14:paraId="1ED85394">
      <w:pPr>
        <w:shd w:val="clear" w:color="auto" w:fill="auto"/>
        <w:spacing w:line="276" w:lineRule="auto"/>
        <w:ind w:firstLine="480" w:firstLineChars="200"/>
        <w:jc w:val="left"/>
        <w:rPr>
          <w:rFonts w:hint="eastAsia" w:ascii="宋体" w:hAnsi="宋体" w:eastAsia="宋体" w:cs="宋体"/>
          <w:color w:val="auto"/>
          <w:sz w:val="24"/>
          <w:szCs w:val="24"/>
          <w:highlight w:val="none"/>
        </w:rPr>
      </w:pPr>
    </w:p>
    <w:p w14:paraId="5BF760B5">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投标人名称：XXXX（单位公章）</w:t>
      </w:r>
    </w:p>
    <w:p w14:paraId="623BBD4B">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法定代表人/单位负责人或授权代表（签字或加盖个人名章）：XXXX</w:t>
      </w:r>
    </w:p>
    <w:p w14:paraId="69AF32A8">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投标日期：XXXX</w:t>
      </w:r>
    </w:p>
    <w:p w14:paraId="5CA4CC8C">
      <w:pPr>
        <w:numPr>
          <w:ilvl w:val="0"/>
          <w:numId w:val="0"/>
        </w:numPr>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bookmarkEnd w:id="83"/>
    <w:bookmarkEnd w:id="84"/>
    <w:bookmarkEnd w:id="85"/>
    <w:bookmarkEnd w:id="86"/>
    <w:p w14:paraId="5D8FECD1">
      <w:pPr>
        <w:pStyle w:val="6"/>
        <w:numPr>
          <w:ilvl w:val="0"/>
          <w:numId w:val="0"/>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5、</w:t>
      </w:r>
      <w:r>
        <w:rPr>
          <w:rFonts w:hint="eastAsia" w:ascii="宋体" w:hAnsi="宋体" w:eastAsia="宋体" w:cs="宋体"/>
          <w:bCs/>
          <w:color w:val="auto"/>
          <w:sz w:val="24"/>
          <w:szCs w:val="24"/>
          <w:highlight w:val="none"/>
          <w:lang w:val="en-US" w:eastAsia="zh-CN"/>
        </w:rPr>
        <w:t>技术参数偏离表</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1618"/>
        <w:gridCol w:w="2157"/>
        <w:gridCol w:w="2386"/>
        <w:gridCol w:w="1715"/>
      </w:tblGrid>
      <w:tr w14:paraId="175BA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607AD34F">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序号</w:t>
            </w:r>
          </w:p>
        </w:tc>
        <w:tc>
          <w:tcPr>
            <w:tcW w:w="1691" w:type="dxa"/>
            <w:vAlign w:val="center"/>
          </w:tcPr>
          <w:p w14:paraId="486976CE">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招标参数</w:t>
            </w:r>
          </w:p>
        </w:tc>
        <w:tc>
          <w:tcPr>
            <w:tcW w:w="2264" w:type="dxa"/>
            <w:vAlign w:val="center"/>
          </w:tcPr>
          <w:p w14:paraId="2535ECA1">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投标参数</w:t>
            </w:r>
          </w:p>
        </w:tc>
        <w:tc>
          <w:tcPr>
            <w:tcW w:w="2507" w:type="dxa"/>
            <w:vAlign w:val="center"/>
          </w:tcPr>
          <w:p w14:paraId="64E8B4C7">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相关证明材料</w:t>
            </w:r>
          </w:p>
        </w:tc>
        <w:tc>
          <w:tcPr>
            <w:tcW w:w="1779" w:type="dxa"/>
            <w:vAlign w:val="center"/>
          </w:tcPr>
          <w:p w14:paraId="58E1A3E8">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响应情况（正偏离或负偏离或无偏离）</w:t>
            </w:r>
          </w:p>
        </w:tc>
      </w:tr>
      <w:tr w14:paraId="2B8A7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635627DC">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w:t>
            </w:r>
          </w:p>
        </w:tc>
        <w:tc>
          <w:tcPr>
            <w:tcW w:w="1691" w:type="dxa"/>
            <w:vAlign w:val="center"/>
          </w:tcPr>
          <w:p w14:paraId="648301CA">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1556AF39">
            <w:pPr>
              <w:jc w:val="center"/>
              <w:rPr>
                <w:rFonts w:hint="eastAsia" w:ascii="宋体" w:hAnsi="宋体" w:eastAsia="宋体" w:cs="宋体"/>
                <w:color w:val="auto"/>
                <w:sz w:val="24"/>
                <w:szCs w:val="24"/>
                <w:highlight w:val="none"/>
                <w:vertAlign w:val="baseline"/>
                <w:lang w:val="en-US" w:eastAsia="zh-CN"/>
              </w:rPr>
            </w:pPr>
          </w:p>
        </w:tc>
        <w:tc>
          <w:tcPr>
            <w:tcW w:w="2507" w:type="dxa"/>
            <w:vAlign w:val="center"/>
          </w:tcPr>
          <w:p w14:paraId="34EB2F26">
            <w:pPr>
              <w:jc w:val="center"/>
              <w:rPr>
                <w:rFonts w:hint="eastAsia" w:ascii="宋体" w:hAnsi="宋体" w:eastAsia="宋体" w:cs="宋体"/>
                <w:color w:val="auto"/>
                <w:sz w:val="24"/>
                <w:szCs w:val="24"/>
                <w:highlight w:val="none"/>
                <w:vertAlign w:val="baseline"/>
                <w:lang w:val="en-US" w:eastAsia="zh-CN"/>
              </w:rPr>
            </w:pPr>
          </w:p>
        </w:tc>
        <w:tc>
          <w:tcPr>
            <w:tcW w:w="1779" w:type="dxa"/>
            <w:vAlign w:val="center"/>
          </w:tcPr>
          <w:p w14:paraId="12DAF875">
            <w:pPr>
              <w:jc w:val="center"/>
              <w:rPr>
                <w:rFonts w:hint="eastAsia" w:ascii="宋体" w:hAnsi="宋体" w:eastAsia="宋体" w:cs="宋体"/>
                <w:color w:val="auto"/>
                <w:sz w:val="24"/>
                <w:szCs w:val="24"/>
                <w:highlight w:val="none"/>
                <w:vertAlign w:val="baseline"/>
                <w:lang w:val="en-US" w:eastAsia="zh-CN"/>
              </w:rPr>
            </w:pPr>
          </w:p>
        </w:tc>
      </w:tr>
      <w:tr w14:paraId="7F9B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1AC3E8DB">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w:t>
            </w:r>
          </w:p>
        </w:tc>
        <w:tc>
          <w:tcPr>
            <w:tcW w:w="1691" w:type="dxa"/>
            <w:vAlign w:val="center"/>
          </w:tcPr>
          <w:p w14:paraId="2E430DB0">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5B3173DB">
            <w:pPr>
              <w:jc w:val="center"/>
              <w:rPr>
                <w:rFonts w:hint="eastAsia" w:ascii="宋体" w:hAnsi="宋体" w:eastAsia="宋体" w:cs="宋体"/>
                <w:color w:val="auto"/>
                <w:sz w:val="24"/>
                <w:szCs w:val="24"/>
                <w:highlight w:val="none"/>
                <w:vertAlign w:val="baseline"/>
                <w:lang w:val="en-US" w:eastAsia="zh-CN"/>
              </w:rPr>
            </w:pPr>
          </w:p>
        </w:tc>
        <w:tc>
          <w:tcPr>
            <w:tcW w:w="2507" w:type="dxa"/>
            <w:vAlign w:val="center"/>
          </w:tcPr>
          <w:p w14:paraId="16B8B4FD">
            <w:pPr>
              <w:jc w:val="center"/>
              <w:rPr>
                <w:rFonts w:hint="eastAsia" w:ascii="宋体" w:hAnsi="宋体" w:eastAsia="宋体" w:cs="宋体"/>
                <w:color w:val="auto"/>
                <w:sz w:val="24"/>
                <w:szCs w:val="24"/>
                <w:highlight w:val="none"/>
                <w:vertAlign w:val="baseline"/>
                <w:lang w:val="en-US" w:eastAsia="zh-CN"/>
              </w:rPr>
            </w:pPr>
          </w:p>
        </w:tc>
        <w:tc>
          <w:tcPr>
            <w:tcW w:w="1779" w:type="dxa"/>
            <w:vAlign w:val="center"/>
          </w:tcPr>
          <w:p w14:paraId="14788873">
            <w:pPr>
              <w:jc w:val="center"/>
              <w:rPr>
                <w:rFonts w:hint="eastAsia" w:ascii="宋体" w:hAnsi="宋体" w:eastAsia="宋体" w:cs="宋体"/>
                <w:color w:val="auto"/>
                <w:sz w:val="24"/>
                <w:szCs w:val="24"/>
                <w:highlight w:val="none"/>
                <w:vertAlign w:val="baseline"/>
                <w:lang w:val="en-US" w:eastAsia="zh-CN"/>
              </w:rPr>
            </w:pPr>
          </w:p>
        </w:tc>
      </w:tr>
      <w:tr w14:paraId="099B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05CB78C6">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w:t>
            </w:r>
          </w:p>
        </w:tc>
        <w:tc>
          <w:tcPr>
            <w:tcW w:w="1691" w:type="dxa"/>
            <w:vAlign w:val="center"/>
          </w:tcPr>
          <w:p w14:paraId="4D5AFB4F">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4858768B">
            <w:pPr>
              <w:jc w:val="center"/>
              <w:rPr>
                <w:rFonts w:hint="eastAsia" w:ascii="宋体" w:hAnsi="宋体" w:eastAsia="宋体" w:cs="宋体"/>
                <w:color w:val="auto"/>
                <w:sz w:val="24"/>
                <w:szCs w:val="24"/>
                <w:highlight w:val="none"/>
                <w:vertAlign w:val="baseline"/>
                <w:lang w:val="en-US" w:eastAsia="zh-CN"/>
              </w:rPr>
            </w:pPr>
          </w:p>
        </w:tc>
        <w:tc>
          <w:tcPr>
            <w:tcW w:w="2507" w:type="dxa"/>
            <w:vAlign w:val="center"/>
          </w:tcPr>
          <w:p w14:paraId="76B4B472">
            <w:pPr>
              <w:jc w:val="center"/>
              <w:rPr>
                <w:rFonts w:hint="eastAsia" w:ascii="宋体" w:hAnsi="宋体" w:eastAsia="宋体" w:cs="宋体"/>
                <w:color w:val="auto"/>
                <w:sz w:val="24"/>
                <w:szCs w:val="24"/>
                <w:highlight w:val="none"/>
                <w:vertAlign w:val="baseline"/>
                <w:lang w:val="en-US" w:eastAsia="zh-CN"/>
              </w:rPr>
            </w:pPr>
          </w:p>
        </w:tc>
        <w:tc>
          <w:tcPr>
            <w:tcW w:w="1779" w:type="dxa"/>
            <w:vAlign w:val="center"/>
          </w:tcPr>
          <w:p w14:paraId="15C7E276">
            <w:pPr>
              <w:jc w:val="center"/>
              <w:rPr>
                <w:rFonts w:hint="eastAsia" w:ascii="宋体" w:hAnsi="宋体" w:eastAsia="宋体" w:cs="宋体"/>
                <w:color w:val="auto"/>
                <w:sz w:val="24"/>
                <w:szCs w:val="24"/>
                <w:highlight w:val="none"/>
                <w:vertAlign w:val="baseline"/>
                <w:lang w:val="en-US" w:eastAsia="zh-CN"/>
              </w:rPr>
            </w:pPr>
          </w:p>
        </w:tc>
      </w:tr>
      <w:tr w14:paraId="0AFC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4674FF0D">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w:t>
            </w:r>
          </w:p>
        </w:tc>
        <w:tc>
          <w:tcPr>
            <w:tcW w:w="1691" w:type="dxa"/>
            <w:vAlign w:val="center"/>
          </w:tcPr>
          <w:p w14:paraId="1597C38E">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265E350C">
            <w:pPr>
              <w:jc w:val="center"/>
              <w:rPr>
                <w:rFonts w:hint="eastAsia" w:ascii="宋体" w:hAnsi="宋体" w:eastAsia="宋体" w:cs="宋体"/>
                <w:color w:val="auto"/>
                <w:sz w:val="24"/>
                <w:szCs w:val="24"/>
                <w:highlight w:val="none"/>
                <w:vertAlign w:val="baseline"/>
                <w:lang w:val="en-US" w:eastAsia="zh-CN"/>
              </w:rPr>
            </w:pPr>
          </w:p>
        </w:tc>
        <w:tc>
          <w:tcPr>
            <w:tcW w:w="2507" w:type="dxa"/>
            <w:vAlign w:val="center"/>
          </w:tcPr>
          <w:p w14:paraId="0A32B79A">
            <w:pPr>
              <w:jc w:val="center"/>
              <w:rPr>
                <w:rFonts w:hint="eastAsia" w:ascii="宋体" w:hAnsi="宋体" w:eastAsia="宋体" w:cs="宋体"/>
                <w:color w:val="auto"/>
                <w:sz w:val="24"/>
                <w:szCs w:val="24"/>
                <w:highlight w:val="none"/>
                <w:vertAlign w:val="baseline"/>
                <w:lang w:val="en-US" w:eastAsia="zh-CN"/>
              </w:rPr>
            </w:pPr>
          </w:p>
        </w:tc>
        <w:tc>
          <w:tcPr>
            <w:tcW w:w="1779" w:type="dxa"/>
            <w:vAlign w:val="center"/>
          </w:tcPr>
          <w:p w14:paraId="747688B0">
            <w:pPr>
              <w:jc w:val="center"/>
              <w:rPr>
                <w:rFonts w:hint="eastAsia" w:ascii="宋体" w:hAnsi="宋体" w:eastAsia="宋体" w:cs="宋体"/>
                <w:color w:val="auto"/>
                <w:sz w:val="24"/>
                <w:szCs w:val="24"/>
                <w:highlight w:val="none"/>
                <w:vertAlign w:val="baseline"/>
                <w:lang w:val="en-US" w:eastAsia="zh-CN"/>
              </w:rPr>
            </w:pPr>
          </w:p>
        </w:tc>
      </w:tr>
      <w:tr w14:paraId="01E0E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37FBB2EE">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w:t>
            </w:r>
          </w:p>
        </w:tc>
        <w:tc>
          <w:tcPr>
            <w:tcW w:w="1691" w:type="dxa"/>
            <w:vAlign w:val="center"/>
          </w:tcPr>
          <w:p w14:paraId="052DFA23">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078E1C01">
            <w:pPr>
              <w:jc w:val="center"/>
              <w:rPr>
                <w:rFonts w:hint="eastAsia" w:ascii="宋体" w:hAnsi="宋体" w:eastAsia="宋体" w:cs="宋体"/>
                <w:color w:val="auto"/>
                <w:sz w:val="24"/>
                <w:szCs w:val="24"/>
                <w:highlight w:val="none"/>
                <w:vertAlign w:val="baseline"/>
                <w:lang w:val="en-US" w:eastAsia="zh-CN"/>
              </w:rPr>
            </w:pPr>
          </w:p>
        </w:tc>
        <w:tc>
          <w:tcPr>
            <w:tcW w:w="2507" w:type="dxa"/>
            <w:vAlign w:val="center"/>
          </w:tcPr>
          <w:p w14:paraId="4940769E">
            <w:pPr>
              <w:jc w:val="center"/>
              <w:rPr>
                <w:rFonts w:hint="eastAsia" w:ascii="宋体" w:hAnsi="宋体" w:eastAsia="宋体" w:cs="宋体"/>
                <w:color w:val="auto"/>
                <w:sz w:val="24"/>
                <w:szCs w:val="24"/>
                <w:highlight w:val="none"/>
                <w:vertAlign w:val="baseline"/>
                <w:lang w:val="en-US" w:eastAsia="zh-CN"/>
              </w:rPr>
            </w:pPr>
          </w:p>
        </w:tc>
        <w:tc>
          <w:tcPr>
            <w:tcW w:w="1779" w:type="dxa"/>
            <w:vAlign w:val="center"/>
          </w:tcPr>
          <w:p w14:paraId="50D94D39">
            <w:pPr>
              <w:jc w:val="center"/>
              <w:rPr>
                <w:rFonts w:hint="eastAsia" w:ascii="宋体" w:hAnsi="宋体" w:eastAsia="宋体" w:cs="宋体"/>
                <w:color w:val="auto"/>
                <w:sz w:val="24"/>
                <w:szCs w:val="24"/>
                <w:highlight w:val="none"/>
                <w:vertAlign w:val="baseline"/>
                <w:lang w:val="en-US" w:eastAsia="zh-CN"/>
              </w:rPr>
            </w:pPr>
          </w:p>
        </w:tc>
      </w:tr>
      <w:tr w14:paraId="397B8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2CFB7F58">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w:t>
            </w:r>
          </w:p>
        </w:tc>
        <w:tc>
          <w:tcPr>
            <w:tcW w:w="1691" w:type="dxa"/>
            <w:vAlign w:val="center"/>
          </w:tcPr>
          <w:p w14:paraId="44365610">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1F3DA912">
            <w:pPr>
              <w:jc w:val="center"/>
              <w:rPr>
                <w:rFonts w:hint="eastAsia" w:ascii="宋体" w:hAnsi="宋体" w:eastAsia="宋体" w:cs="宋体"/>
                <w:color w:val="auto"/>
                <w:sz w:val="24"/>
                <w:szCs w:val="24"/>
                <w:highlight w:val="none"/>
                <w:vertAlign w:val="baseline"/>
                <w:lang w:val="en-US" w:eastAsia="zh-CN"/>
              </w:rPr>
            </w:pPr>
          </w:p>
        </w:tc>
        <w:tc>
          <w:tcPr>
            <w:tcW w:w="2507" w:type="dxa"/>
            <w:vAlign w:val="center"/>
          </w:tcPr>
          <w:p w14:paraId="662CFB7D">
            <w:pPr>
              <w:jc w:val="center"/>
              <w:rPr>
                <w:rFonts w:hint="eastAsia" w:ascii="宋体" w:hAnsi="宋体" w:eastAsia="宋体" w:cs="宋体"/>
                <w:color w:val="auto"/>
                <w:sz w:val="24"/>
                <w:szCs w:val="24"/>
                <w:highlight w:val="none"/>
                <w:vertAlign w:val="baseline"/>
                <w:lang w:val="en-US" w:eastAsia="zh-CN"/>
              </w:rPr>
            </w:pPr>
          </w:p>
        </w:tc>
        <w:tc>
          <w:tcPr>
            <w:tcW w:w="1779" w:type="dxa"/>
            <w:vAlign w:val="center"/>
          </w:tcPr>
          <w:p w14:paraId="31F483BE">
            <w:pPr>
              <w:jc w:val="center"/>
              <w:rPr>
                <w:rFonts w:hint="eastAsia" w:ascii="宋体" w:hAnsi="宋体" w:eastAsia="宋体" w:cs="宋体"/>
                <w:color w:val="auto"/>
                <w:sz w:val="24"/>
                <w:szCs w:val="24"/>
                <w:highlight w:val="none"/>
                <w:vertAlign w:val="baseline"/>
                <w:lang w:val="en-US" w:eastAsia="zh-CN"/>
              </w:rPr>
            </w:pPr>
          </w:p>
        </w:tc>
      </w:tr>
    </w:tbl>
    <w:p w14:paraId="21AAFE5B">
      <w:pPr>
        <w:rPr>
          <w:rFonts w:hint="eastAsia"/>
          <w:color w:val="auto"/>
          <w:highlight w:val="none"/>
          <w:lang w:val="en-US" w:eastAsia="zh-CN"/>
        </w:rPr>
      </w:pPr>
    </w:p>
    <w:p w14:paraId="457B8FA5">
      <w:pPr>
        <w:shd w:val="clear" w:color="auto" w:fill="auto"/>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注：投标人须对第四章所有技术参数条款逐条列明是否响应，如有偏离，须</w:t>
      </w:r>
      <w:r>
        <w:rPr>
          <w:rFonts w:hint="eastAsia" w:ascii="宋体" w:hAnsi="宋体" w:eastAsia="宋体" w:cs="宋体"/>
          <w:color w:val="auto"/>
          <w:sz w:val="24"/>
          <w:szCs w:val="24"/>
          <w:highlight w:val="none"/>
          <w:lang w:eastAsia="zh-CN"/>
        </w:rPr>
        <w:t>逐一</w:t>
      </w:r>
      <w:r>
        <w:rPr>
          <w:rFonts w:hint="eastAsia" w:ascii="宋体" w:hAnsi="宋体" w:eastAsia="宋体" w:cs="宋体"/>
          <w:color w:val="auto"/>
          <w:sz w:val="24"/>
          <w:szCs w:val="24"/>
          <w:highlight w:val="none"/>
        </w:rPr>
        <w:t>列明，投标人所投产品必须提供</w:t>
      </w:r>
      <w:r>
        <w:rPr>
          <w:rFonts w:hint="eastAsia" w:ascii="宋体" w:hAnsi="宋体" w:eastAsia="宋体" w:cs="宋体"/>
          <w:color w:val="auto"/>
          <w:sz w:val="24"/>
          <w:szCs w:val="24"/>
          <w:highlight w:val="none"/>
          <w:lang w:eastAsia="zh-CN"/>
        </w:rPr>
        <w:t>相关证明材料</w:t>
      </w:r>
      <w:r>
        <w:rPr>
          <w:rFonts w:hint="eastAsia" w:ascii="宋体" w:hAnsi="宋体" w:eastAsia="宋体" w:cs="宋体"/>
          <w:color w:val="auto"/>
          <w:sz w:val="24"/>
          <w:szCs w:val="24"/>
          <w:highlight w:val="none"/>
        </w:rPr>
        <w:t>。对未提供技术支持资料的，或参数与其提供的技术支持资料不一致的，均视为偏离。提供</w:t>
      </w:r>
      <w:r>
        <w:rPr>
          <w:rFonts w:hint="eastAsia" w:ascii="宋体" w:hAnsi="宋体" w:eastAsia="宋体" w:cs="宋体"/>
          <w:color w:val="auto"/>
          <w:sz w:val="24"/>
          <w:szCs w:val="24"/>
          <w:highlight w:val="none"/>
          <w:lang w:eastAsia="zh-CN"/>
        </w:rPr>
        <w:t>设备</w:t>
      </w:r>
      <w:r>
        <w:rPr>
          <w:rFonts w:hint="eastAsia" w:ascii="宋体" w:hAnsi="宋体" w:eastAsia="宋体" w:cs="宋体"/>
          <w:color w:val="auto"/>
          <w:sz w:val="24"/>
          <w:szCs w:val="24"/>
          <w:highlight w:val="none"/>
        </w:rPr>
        <w:t>彩页、说明书</w:t>
      </w:r>
      <w:r>
        <w:rPr>
          <w:rFonts w:hint="eastAsia" w:ascii="宋体" w:hAnsi="宋体" w:eastAsia="宋体" w:cs="宋体"/>
          <w:b/>
          <w:bCs/>
          <w:color w:val="auto"/>
          <w:sz w:val="24"/>
          <w:szCs w:val="24"/>
          <w:highlight w:val="none"/>
          <w:lang w:eastAsia="zh-CN"/>
        </w:rPr>
        <w:t>等</w:t>
      </w:r>
      <w:r>
        <w:rPr>
          <w:rFonts w:hint="eastAsia" w:ascii="宋体" w:hAnsi="宋体" w:eastAsia="宋体" w:cs="宋体"/>
          <w:color w:val="auto"/>
          <w:sz w:val="24"/>
          <w:szCs w:val="24"/>
          <w:highlight w:val="none"/>
          <w:lang w:eastAsia="zh-CN"/>
        </w:rPr>
        <w:t>均可</w:t>
      </w:r>
      <w:r>
        <w:rPr>
          <w:rFonts w:hint="eastAsia" w:ascii="宋体" w:hAnsi="宋体" w:eastAsia="宋体" w:cs="宋体"/>
          <w:color w:val="auto"/>
          <w:sz w:val="24"/>
          <w:szCs w:val="24"/>
          <w:highlight w:val="none"/>
        </w:rPr>
        <w:t>作为佐证依据。</w:t>
      </w:r>
    </w:p>
    <w:p w14:paraId="2761A816">
      <w:pPr>
        <w:shd w:val="clear" w:color="auto" w:fill="auto"/>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 XXXX（盖章）</w:t>
      </w:r>
    </w:p>
    <w:p w14:paraId="12BAF3EE">
      <w:pPr>
        <w:shd w:val="clear" w:color="auto" w:fill="auto"/>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法定代表人/单位负责人或授权代表（签字或加盖个人名章）：XXXX</w:t>
      </w:r>
    </w:p>
    <w:p w14:paraId="50B81DB1">
      <w:pPr>
        <w:shd w:val="clear" w:color="auto" w:fill="auto"/>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投标日期: XXXX</w:t>
      </w:r>
    </w:p>
    <w:p w14:paraId="2D524AA8">
      <w:pPr>
        <w:pStyle w:val="6"/>
        <w:numPr>
          <w:ilvl w:val="0"/>
          <w:numId w:val="0"/>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lang w:val="en-US" w:eastAsia="zh-CN"/>
        </w:rPr>
        <w:t>6、</w:t>
      </w:r>
      <w:r>
        <w:rPr>
          <w:rFonts w:hint="eastAsia" w:ascii="宋体" w:hAnsi="宋体" w:eastAsia="宋体" w:cs="宋体"/>
          <w:bCs/>
          <w:color w:val="auto"/>
          <w:sz w:val="24"/>
          <w:szCs w:val="24"/>
          <w:highlight w:val="none"/>
          <w:lang w:val="en-US" w:eastAsia="zh-CN"/>
        </w:rPr>
        <w:t>商务要求偏离表</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689"/>
        <w:gridCol w:w="2261"/>
        <w:gridCol w:w="3921"/>
      </w:tblGrid>
      <w:tr w14:paraId="6BA8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1E2E957B">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序号</w:t>
            </w:r>
          </w:p>
        </w:tc>
        <w:tc>
          <w:tcPr>
            <w:tcW w:w="1691" w:type="dxa"/>
            <w:vAlign w:val="center"/>
          </w:tcPr>
          <w:p w14:paraId="1833B290">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招标</w:t>
            </w:r>
            <w:r>
              <w:rPr>
                <w:rFonts w:hint="eastAsia" w:ascii="宋体" w:hAnsi="宋体" w:cs="宋体"/>
                <w:color w:val="auto"/>
                <w:sz w:val="24"/>
                <w:szCs w:val="24"/>
                <w:highlight w:val="none"/>
                <w:vertAlign w:val="baseline"/>
                <w:lang w:val="en-US" w:eastAsia="zh-CN"/>
              </w:rPr>
              <w:t>条款</w:t>
            </w:r>
          </w:p>
        </w:tc>
        <w:tc>
          <w:tcPr>
            <w:tcW w:w="2264" w:type="dxa"/>
            <w:vAlign w:val="center"/>
          </w:tcPr>
          <w:p w14:paraId="07497E04">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投标</w:t>
            </w:r>
            <w:r>
              <w:rPr>
                <w:rFonts w:hint="eastAsia" w:ascii="宋体" w:hAnsi="宋体" w:cs="宋体"/>
                <w:color w:val="auto"/>
                <w:sz w:val="24"/>
                <w:szCs w:val="24"/>
                <w:highlight w:val="none"/>
                <w:vertAlign w:val="baseline"/>
                <w:lang w:val="en-US" w:eastAsia="zh-CN"/>
              </w:rPr>
              <w:t>条款</w:t>
            </w:r>
          </w:p>
        </w:tc>
        <w:tc>
          <w:tcPr>
            <w:tcW w:w="3927" w:type="dxa"/>
            <w:vAlign w:val="center"/>
          </w:tcPr>
          <w:p w14:paraId="3B8B1BF0">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响应情况</w:t>
            </w:r>
          </w:p>
          <w:p w14:paraId="2F3EA8B9">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（正偏离或负偏离或无偏离）</w:t>
            </w:r>
          </w:p>
        </w:tc>
      </w:tr>
      <w:tr w14:paraId="04EB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4AD1C308">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w:t>
            </w:r>
          </w:p>
        </w:tc>
        <w:tc>
          <w:tcPr>
            <w:tcW w:w="1691" w:type="dxa"/>
            <w:vAlign w:val="center"/>
          </w:tcPr>
          <w:p w14:paraId="36E81652">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6CF9E6E5">
            <w:pPr>
              <w:jc w:val="center"/>
              <w:rPr>
                <w:rFonts w:hint="eastAsia" w:ascii="宋体" w:hAnsi="宋体" w:eastAsia="宋体" w:cs="宋体"/>
                <w:color w:val="auto"/>
                <w:sz w:val="24"/>
                <w:szCs w:val="24"/>
                <w:highlight w:val="none"/>
                <w:vertAlign w:val="baseline"/>
                <w:lang w:val="en-US" w:eastAsia="zh-CN"/>
              </w:rPr>
            </w:pPr>
          </w:p>
        </w:tc>
        <w:tc>
          <w:tcPr>
            <w:tcW w:w="3927" w:type="dxa"/>
            <w:vAlign w:val="center"/>
          </w:tcPr>
          <w:p w14:paraId="2C522805">
            <w:pPr>
              <w:jc w:val="center"/>
              <w:rPr>
                <w:rFonts w:hint="eastAsia" w:ascii="宋体" w:hAnsi="宋体" w:eastAsia="宋体" w:cs="宋体"/>
                <w:color w:val="auto"/>
                <w:sz w:val="24"/>
                <w:szCs w:val="24"/>
                <w:highlight w:val="none"/>
                <w:vertAlign w:val="baseline"/>
                <w:lang w:val="en-US" w:eastAsia="zh-CN"/>
              </w:rPr>
            </w:pPr>
          </w:p>
        </w:tc>
      </w:tr>
      <w:tr w14:paraId="19239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666D7748">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w:t>
            </w:r>
          </w:p>
        </w:tc>
        <w:tc>
          <w:tcPr>
            <w:tcW w:w="1691" w:type="dxa"/>
            <w:vAlign w:val="center"/>
          </w:tcPr>
          <w:p w14:paraId="0BDEE6C6">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3E9F45E5">
            <w:pPr>
              <w:jc w:val="center"/>
              <w:rPr>
                <w:rFonts w:hint="eastAsia" w:ascii="宋体" w:hAnsi="宋体" w:eastAsia="宋体" w:cs="宋体"/>
                <w:color w:val="auto"/>
                <w:sz w:val="24"/>
                <w:szCs w:val="24"/>
                <w:highlight w:val="none"/>
                <w:vertAlign w:val="baseline"/>
                <w:lang w:val="en-US" w:eastAsia="zh-CN"/>
              </w:rPr>
            </w:pPr>
          </w:p>
        </w:tc>
        <w:tc>
          <w:tcPr>
            <w:tcW w:w="3927" w:type="dxa"/>
            <w:vAlign w:val="center"/>
          </w:tcPr>
          <w:p w14:paraId="0375A10A">
            <w:pPr>
              <w:jc w:val="center"/>
              <w:rPr>
                <w:rFonts w:hint="eastAsia" w:ascii="宋体" w:hAnsi="宋体" w:eastAsia="宋体" w:cs="宋体"/>
                <w:color w:val="auto"/>
                <w:sz w:val="24"/>
                <w:szCs w:val="24"/>
                <w:highlight w:val="none"/>
                <w:vertAlign w:val="baseline"/>
                <w:lang w:val="en-US" w:eastAsia="zh-CN"/>
              </w:rPr>
            </w:pPr>
          </w:p>
        </w:tc>
      </w:tr>
      <w:tr w14:paraId="231A5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46D0B4BB">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w:t>
            </w:r>
          </w:p>
        </w:tc>
        <w:tc>
          <w:tcPr>
            <w:tcW w:w="1691" w:type="dxa"/>
            <w:vAlign w:val="center"/>
          </w:tcPr>
          <w:p w14:paraId="62CFD419">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53A00ABC">
            <w:pPr>
              <w:jc w:val="center"/>
              <w:rPr>
                <w:rFonts w:hint="eastAsia" w:ascii="宋体" w:hAnsi="宋体" w:eastAsia="宋体" w:cs="宋体"/>
                <w:color w:val="auto"/>
                <w:sz w:val="24"/>
                <w:szCs w:val="24"/>
                <w:highlight w:val="none"/>
                <w:vertAlign w:val="baseline"/>
                <w:lang w:val="en-US" w:eastAsia="zh-CN"/>
              </w:rPr>
            </w:pPr>
          </w:p>
        </w:tc>
        <w:tc>
          <w:tcPr>
            <w:tcW w:w="3927" w:type="dxa"/>
            <w:vAlign w:val="center"/>
          </w:tcPr>
          <w:p w14:paraId="13634015">
            <w:pPr>
              <w:jc w:val="center"/>
              <w:rPr>
                <w:rFonts w:hint="eastAsia" w:ascii="宋体" w:hAnsi="宋体" w:eastAsia="宋体" w:cs="宋体"/>
                <w:color w:val="auto"/>
                <w:sz w:val="24"/>
                <w:szCs w:val="24"/>
                <w:highlight w:val="none"/>
                <w:vertAlign w:val="baseline"/>
                <w:lang w:val="en-US" w:eastAsia="zh-CN"/>
              </w:rPr>
            </w:pPr>
          </w:p>
        </w:tc>
      </w:tr>
      <w:tr w14:paraId="2032C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1597F674">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w:t>
            </w:r>
          </w:p>
        </w:tc>
        <w:tc>
          <w:tcPr>
            <w:tcW w:w="1691" w:type="dxa"/>
            <w:vAlign w:val="center"/>
          </w:tcPr>
          <w:p w14:paraId="6A90FDCE">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7CA61348">
            <w:pPr>
              <w:jc w:val="center"/>
              <w:rPr>
                <w:rFonts w:hint="eastAsia" w:ascii="宋体" w:hAnsi="宋体" w:eastAsia="宋体" w:cs="宋体"/>
                <w:color w:val="auto"/>
                <w:sz w:val="24"/>
                <w:szCs w:val="24"/>
                <w:highlight w:val="none"/>
                <w:vertAlign w:val="baseline"/>
                <w:lang w:val="en-US" w:eastAsia="zh-CN"/>
              </w:rPr>
            </w:pPr>
          </w:p>
        </w:tc>
        <w:tc>
          <w:tcPr>
            <w:tcW w:w="3927" w:type="dxa"/>
            <w:vAlign w:val="center"/>
          </w:tcPr>
          <w:p w14:paraId="5FAF3D25">
            <w:pPr>
              <w:jc w:val="center"/>
              <w:rPr>
                <w:rFonts w:hint="eastAsia" w:ascii="宋体" w:hAnsi="宋体" w:eastAsia="宋体" w:cs="宋体"/>
                <w:color w:val="auto"/>
                <w:sz w:val="24"/>
                <w:szCs w:val="24"/>
                <w:highlight w:val="none"/>
                <w:vertAlign w:val="baseline"/>
                <w:lang w:val="en-US" w:eastAsia="zh-CN"/>
              </w:rPr>
            </w:pPr>
          </w:p>
        </w:tc>
      </w:tr>
      <w:tr w14:paraId="71387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49D0C759">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w:t>
            </w:r>
          </w:p>
        </w:tc>
        <w:tc>
          <w:tcPr>
            <w:tcW w:w="1691" w:type="dxa"/>
            <w:vAlign w:val="center"/>
          </w:tcPr>
          <w:p w14:paraId="7529D955">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740802EA">
            <w:pPr>
              <w:jc w:val="center"/>
              <w:rPr>
                <w:rFonts w:hint="eastAsia" w:ascii="宋体" w:hAnsi="宋体" w:eastAsia="宋体" w:cs="宋体"/>
                <w:color w:val="auto"/>
                <w:sz w:val="24"/>
                <w:szCs w:val="24"/>
                <w:highlight w:val="none"/>
                <w:vertAlign w:val="baseline"/>
                <w:lang w:val="en-US" w:eastAsia="zh-CN"/>
              </w:rPr>
            </w:pPr>
          </w:p>
        </w:tc>
        <w:tc>
          <w:tcPr>
            <w:tcW w:w="3927" w:type="dxa"/>
            <w:vAlign w:val="center"/>
          </w:tcPr>
          <w:p w14:paraId="40283200">
            <w:pPr>
              <w:jc w:val="center"/>
              <w:rPr>
                <w:rFonts w:hint="eastAsia" w:ascii="宋体" w:hAnsi="宋体" w:eastAsia="宋体" w:cs="宋体"/>
                <w:color w:val="auto"/>
                <w:sz w:val="24"/>
                <w:szCs w:val="24"/>
                <w:highlight w:val="none"/>
                <w:vertAlign w:val="baseline"/>
                <w:lang w:val="en-US" w:eastAsia="zh-CN"/>
              </w:rPr>
            </w:pPr>
          </w:p>
        </w:tc>
      </w:tr>
      <w:tr w14:paraId="48DC6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4B873E91">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w:t>
            </w:r>
          </w:p>
        </w:tc>
        <w:tc>
          <w:tcPr>
            <w:tcW w:w="1691" w:type="dxa"/>
            <w:vAlign w:val="center"/>
          </w:tcPr>
          <w:p w14:paraId="32C1F2E6">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6ADE12B1">
            <w:pPr>
              <w:jc w:val="center"/>
              <w:rPr>
                <w:rFonts w:hint="eastAsia" w:ascii="宋体" w:hAnsi="宋体" w:eastAsia="宋体" w:cs="宋体"/>
                <w:color w:val="auto"/>
                <w:sz w:val="24"/>
                <w:szCs w:val="24"/>
                <w:highlight w:val="none"/>
                <w:vertAlign w:val="baseline"/>
                <w:lang w:val="en-US" w:eastAsia="zh-CN"/>
              </w:rPr>
            </w:pPr>
          </w:p>
        </w:tc>
        <w:tc>
          <w:tcPr>
            <w:tcW w:w="3927" w:type="dxa"/>
            <w:vAlign w:val="center"/>
          </w:tcPr>
          <w:p w14:paraId="57ACAA91">
            <w:pPr>
              <w:jc w:val="center"/>
              <w:rPr>
                <w:rFonts w:hint="eastAsia" w:ascii="宋体" w:hAnsi="宋体" w:eastAsia="宋体" w:cs="宋体"/>
                <w:color w:val="auto"/>
                <w:sz w:val="24"/>
                <w:szCs w:val="24"/>
                <w:highlight w:val="none"/>
                <w:vertAlign w:val="baseline"/>
                <w:lang w:val="en-US" w:eastAsia="zh-CN"/>
              </w:rPr>
            </w:pPr>
          </w:p>
        </w:tc>
      </w:tr>
    </w:tbl>
    <w:p w14:paraId="335F7784">
      <w:pPr>
        <w:shd w:val="clear" w:color="auto" w:fill="auto"/>
        <w:spacing w:line="440" w:lineRule="exact"/>
        <w:ind w:firstLine="480" w:firstLineChars="200"/>
        <w:rPr>
          <w:rFonts w:hint="eastAsia" w:ascii="宋体" w:hAnsi="宋体" w:eastAsia="宋体" w:cs="宋体"/>
          <w:color w:val="auto"/>
          <w:sz w:val="24"/>
          <w:szCs w:val="24"/>
          <w:highlight w:val="none"/>
        </w:rPr>
      </w:pPr>
    </w:p>
    <w:p w14:paraId="3BF2B1C9">
      <w:pPr>
        <w:shd w:val="clear" w:color="auto" w:fill="auto"/>
        <w:spacing w:line="500" w:lineRule="exact"/>
        <w:ind w:firstLine="480" w:firstLineChars="200"/>
        <w:rPr>
          <w:rFonts w:hint="eastAsia" w:ascii="宋体" w:hAnsi="宋体" w:eastAsia="宋体" w:cs="宋体"/>
          <w:color w:val="auto"/>
          <w:sz w:val="24"/>
          <w:szCs w:val="24"/>
          <w:highlight w:val="none"/>
        </w:rPr>
      </w:pPr>
      <w:bookmarkStart w:id="87" w:name="_Toc465085385"/>
      <w:bookmarkStart w:id="88" w:name="_Toc20572"/>
      <w:bookmarkStart w:id="89" w:name="_Toc8502"/>
      <w:bookmarkStart w:id="90" w:name="_Toc472604636"/>
      <w:bookmarkStart w:id="91" w:name="_Toc466298083"/>
      <w:bookmarkStart w:id="92" w:name="_Toc2970"/>
      <w:bookmarkStart w:id="93" w:name="_Toc18225"/>
      <w:bookmarkStart w:id="94" w:name="_Toc28141"/>
      <w:r>
        <w:rPr>
          <w:rFonts w:hint="eastAsia" w:ascii="宋体" w:hAnsi="宋体" w:eastAsia="宋体" w:cs="宋体"/>
          <w:color w:val="auto"/>
          <w:sz w:val="24"/>
          <w:szCs w:val="24"/>
          <w:highlight w:val="none"/>
        </w:rPr>
        <w:t>投标人名称： XXXX（盖章）</w:t>
      </w:r>
    </w:p>
    <w:p w14:paraId="0054B153">
      <w:pPr>
        <w:shd w:val="clear" w:color="auto" w:fill="auto"/>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法定代表人/单位负责人或授权代表（签字或加盖个人名章）：XXXX</w:t>
      </w:r>
    </w:p>
    <w:p w14:paraId="5124D972">
      <w:pPr>
        <w:shd w:val="clear" w:color="auto" w:fill="auto"/>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投标日期: XXXX</w:t>
      </w:r>
    </w:p>
    <w:p w14:paraId="573412F7">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14:paraId="48E7E419">
      <w:pPr>
        <w:pStyle w:val="6"/>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、投标人基本情况表</w:t>
      </w:r>
      <w:bookmarkEnd w:id="87"/>
      <w:bookmarkEnd w:id="88"/>
      <w:bookmarkEnd w:id="89"/>
      <w:bookmarkEnd w:id="90"/>
      <w:bookmarkEnd w:id="91"/>
      <w:bookmarkEnd w:id="92"/>
      <w:bookmarkEnd w:id="93"/>
      <w:bookmarkEnd w:id="94"/>
    </w:p>
    <w:tbl>
      <w:tblPr>
        <w:tblStyle w:val="47"/>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901"/>
        <w:gridCol w:w="360"/>
        <w:gridCol w:w="783"/>
        <w:gridCol w:w="1377"/>
        <w:gridCol w:w="63"/>
        <w:gridCol w:w="1377"/>
        <w:gridCol w:w="720"/>
        <w:gridCol w:w="609"/>
        <w:gridCol w:w="1596"/>
      </w:tblGrid>
      <w:tr w14:paraId="4AB89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gridSpan w:val="2"/>
            <w:vAlign w:val="center"/>
          </w:tcPr>
          <w:p w14:paraId="69896CA2">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w:t>
            </w:r>
          </w:p>
        </w:tc>
        <w:tc>
          <w:tcPr>
            <w:tcW w:w="3960" w:type="dxa"/>
            <w:gridSpan w:val="5"/>
            <w:vAlign w:val="center"/>
          </w:tcPr>
          <w:p w14:paraId="2EA1DD29">
            <w:pPr>
              <w:topLinePunct/>
              <w:spacing w:line="440" w:lineRule="exact"/>
              <w:jc w:val="center"/>
              <w:rPr>
                <w:rFonts w:hint="eastAsia" w:ascii="宋体" w:hAnsi="宋体" w:eastAsia="宋体" w:cs="宋体"/>
                <w:color w:val="auto"/>
                <w:sz w:val="24"/>
                <w:szCs w:val="24"/>
                <w:highlight w:val="none"/>
              </w:rPr>
            </w:pPr>
          </w:p>
        </w:tc>
        <w:tc>
          <w:tcPr>
            <w:tcW w:w="1329" w:type="dxa"/>
            <w:gridSpan w:val="2"/>
            <w:vAlign w:val="center"/>
          </w:tcPr>
          <w:p w14:paraId="1F14A338">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tc>
        <w:tc>
          <w:tcPr>
            <w:tcW w:w="1596" w:type="dxa"/>
            <w:vAlign w:val="center"/>
          </w:tcPr>
          <w:p w14:paraId="5B82A871">
            <w:pPr>
              <w:topLinePunct/>
              <w:spacing w:line="440" w:lineRule="exact"/>
              <w:jc w:val="center"/>
              <w:rPr>
                <w:rFonts w:hint="eastAsia" w:ascii="宋体" w:hAnsi="宋体" w:eastAsia="宋体" w:cs="宋体"/>
                <w:color w:val="auto"/>
                <w:sz w:val="24"/>
                <w:szCs w:val="24"/>
                <w:highlight w:val="none"/>
              </w:rPr>
            </w:pPr>
          </w:p>
        </w:tc>
      </w:tr>
      <w:tr w14:paraId="692EB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gridSpan w:val="2"/>
            <w:vAlign w:val="center"/>
          </w:tcPr>
          <w:p w14:paraId="34897B04">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组织机构代码</w:t>
            </w:r>
          </w:p>
        </w:tc>
        <w:tc>
          <w:tcPr>
            <w:tcW w:w="3960" w:type="dxa"/>
            <w:gridSpan w:val="5"/>
            <w:vAlign w:val="center"/>
          </w:tcPr>
          <w:p w14:paraId="73C38FF0">
            <w:pPr>
              <w:topLinePunct/>
              <w:spacing w:line="440" w:lineRule="exact"/>
              <w:jc w:val="center"/>
              <w:rPr>
                <w:rFonts w:hint="eastAsia" w:ascii="宋体" w:hAnsi="宋体" w:eastAsia="宋体" w:cs="宋体"/>
                <w:color w:val="auto"/>
                <w:sz w:val="24"/>
                <w:szCs w:val="24"/>
                <w:highlight w:val="none"/>
              </w:rPr>
            </w:pPr>
          </w:p>
        </w:tc>
        <w:tc>
          <w:tcPr>
            <w:tcW w:w="1329" w:type="dxa"/>
            <w:gridSpan w:val="2"/>
            <w:vAlign w:val="center"/>
          </w:tcPr>
          <w:p w14:paraId="6C3F1129">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p>
        </w:tc>
        <w:tc>
          <w:tcPr>
            <w:tcW w:w="1596" w:type="dxa"/>
            <w:vAlign w:val="center"/>
          </w:tcPr>
          <w:p w14:paraId="230B216F">
            <w:pPr>
              <w:topLinePunct/>
              <w:spacing w:line="440" w:lineRule="exact"/>
              <w:jc w:val="center"/>
              <w:rPr>
                <w:rFonts w:hint="eastAsia" w:ascii="宋体" w:hAnsi="宋体" w:eastAsia="宋体" w:cs="宋体"/>
                <w:color w:val="auto"/>
                <w:sz w:val="24"/>
                <w:szCs w:val="24"/>
                <w:highlight w:val="none"/>
              </w:rPr>
            </w:pPr>
          </w:p>
        </w:tc>
      </w:tr>
      <w:tr w14:paraId="767EF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gridSpan w:val="2"/>
            <w:vAlign w:val="center"/>
          </w:tcPr>
          <w:p w14:paraId="07E54747">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w:t>
            </w:r>
          </w:p>
        </w:tc>
        <w:tc>
          <w:tcPr>
            <w:tcW w:w="3960" w:type="dxa"/>
            <w:gridSpan w:val="5"/>
            <w:vAlign w:val="center"/>
          </w:tcPr>
          <w:p w14:paraId="320D9AB7">
            <w:pPr>
              <w:topLinePunct/>
              <w:spacing w:line="440" w:lineRule="exact"/>
              <w:jc w:val="center"/>
              <w:rPr>
                <w:rFonts w:hint="eastAsia" w:ascii="宋体" w:hAnsi="宋体" w:eastAsia="宋体" w:cs="宋体"/>
                <w:color w:val="auto"/>
                <w:sz w:val="24"/>
                <w:szCs w:val="24"/>
                <w:highlight w:val="none"/>
              </w:rPr>
            </w:pPr>
          </w:p>
        </w:tc>
        <w:tc>
          <w:tcPr>
            <w:tcW w:w="1329" w:type="dxa"/>
            <w:gridSpan w:val="2"/>
            <w:vAlign w:val="center"/>
          </w:tcPr>
          <w:p w14:paraId="5FF945A8">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电子邮箱</w:t>
            </w:r>
          </w:p>
        </w:tc>
        <w:tc>
          <w:tcPr>
            <w:tcW w:w="1596" w:type="dxa"/>
            <w:vAlign w:val="center"/>
          </w:tcPr>
          <w:p w14:paraId="7B604E3D">
            <w:pPr>
              <w:topLinePunct/>
              <w:spacing w:line="440" w:lineRule="exact"/>
              <w:jc w:val="center"/>
              <w:rPr>
                <w:rFonts w:hint="eastAsia" w:ascii="宋体" w:hAnsi="宋体" w:eastAsia="宋体" w:cs="宋体"/>
                <w:color w:val="auto"/>
                <w:sz w:val="24"/>
                <w:szCs w:val="24"/>
                <w:highlight w:val="none"/>
              </w:rPr>
            </w:pPr>
          </w:p>
        </w:tc>
      </w:tr>
      <w:tr w14:paraId="79443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gridSpan w:val="2"/>
            <w:vAlign w:val="center"/>
          </w:tcPr>
          <w:p w14:paraId="06483495">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上年营业收入</w:t>
            </w:r>
          </w:p>
        </w:tc>
        <w:tc>
          <w:tcPr>
            <w:tcW w:w="3960" w:type="dxa"/>
            <w:gridSpan w:val="5"/>
            <w:vAlign w:val="center"/>
          </w:tcPr>
          <w:p w14:paraId="684A806D">
            <w:pPr>
              <w:topLinePunct/>
              <w:spacing w:line="440" w:lineRule="exact"/>
              <w:jc w:val="center"/>
              <w:rPr>
                <w:rFonts w:hint="eastAsia" w:ascii="宋体" w:hAnsi="宋体" w:eastAsia="宋体" w:cs="宋体"/>
                <w:color w:val="auto"/>
                <w:sz w:val="24"/>
                <w:szCs w:val="24"/>
                <w:highlight w:val="none"/>
              </w:rPr>
            </w:pPr>
          </w:p>
        </w:tc>
        <w:tc>
          <w:tcPr>
            <w:tcW w:w="1329" w:type="dxa"/>
            <w:gridSpan w:val="2"/>
            <w:vAlign w:val="center"/>
          </w:tcPr>
          <w:p w14:paraId="4AE14A1B">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员工总人数</w:t>
            </w:r>
          </w:p>
        </w:tc>
        <w:tc>
          <w:tcPr>
            <w:tcW w:w="1596" w:type="dxa"/>
            <w:vAlign w:val="center"/>
          </w:tcPr>
          <w:p w14:paraId="470C5E2B">
            <w:pPr>
              <w:topLinePunct/>
              <w:spacing w:line="440" w:lineRule="exact"/>
              <w:jc w:val="center"/>
              <w:rPr>
                <w:rFonts w:hint="eastAsia" w:ascii="宋体" w:hAnsi="宋体" w:eastAsia="宋体" w:cs="宋体"/>
                <w:color w:val="auto"/>
                <w:sz w:val="24"/>
                <w:szCs w:val="24"/>
                <w:highlight w:val="none"/>
              </w:rPr>
            </w:pPr>
          </w:p>
        </w:tc>
      </w:tr>
      <w:tr w14:paraId="194EA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gridSpan w:val="2"/>
            <w:vAlign w:val="center"/>
          </w:tcPr>
          <w:p w14:paraId="561FAFD4">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固定电话</w:t>
            </w:r>
          </w:p>
        </w:tc>
        <w:tc>
          <w:tcPr>
            <w:tcW w:w="3960" w:type="dxa"/>
            <w:gridSpan w:val="5"/>
            <w:vAlign w:val="center"/>
          </w:tcPr>
          <w:p w14:paraId="37EAF9A4">
            <w:pPr>
              <w:topLinePunct/>
              <w:spacing w:line="440" w:lineRule="exact"/>
              <w:jc w:val="center"/>
              <w:rPr>
                <w:rFonts w:hint="eastAsia" w:ascii="宋体" w:hAnsi="宋体" w:eastAsia="宋体" w:cs="宋体"/>
                <w:color w:val="auto"/>
                <w:sz w:val="24"/>
                <w:szCs w:val="24"/>
                <w:highlight w:val="none"/>
              </w:rPr>
            </w:pPr>
          </w:p>
        </w:tc>
        <w:tc>
          <w:tcPr>
            <w:tcW w:w="1329" w:type="dxa"/>
            <w:gridSpan w:val="2"/>
            <w:vAlign w:val="center"/>
          </w:tcPr>
          <w:p w14:paraId="1983484D">
            <w:pPr>
              <w:topLinePunct/>
              <w:spacing w:line="440" w:lineRule="exact"/>
              <w:jc w:val="center"/>
              <w:rPr>
                <w:rFonts w:hint="eastAsia" w:ascii="宋体" w:hAnsi="宋体" w:eastAsia="宋体" w:cs="宋体"/>
                <w:color w:val="auto"/>
                <w:sz w:val="24"/>
                <w:szCs w:val="24"/>
                <w:highlight w:val="none"/>
              </w:rPr>
            </w:pPr>
          </w:p>
        </w:tc>
        <w:tc>
          <w:tcPr>
            <w:tcW w:w="1596" w:type="dxa"/>
            <w:vAlign w:val="center"/>
          </w:tcPr>
          <w:p w14:paraId="1710D41A">
            <w:pPr>
              <w:topLinePunct/>
              <w:spacing w:line="440" w:lineRule="exact"/>
              <w:jc w:val="center"/>
              <w:rPr>
                <w:rFonts w:hint="eastAsia" w:ascii="宋体" w:hAnsi="宋体" w:eastAsia="宋体" w:cs="宋体"/>
                <w:color w:val="auto"/>
                <w:sz w:val="24"/>
                <w:szCs w:val="24"/>
                <w:highlight w:val="none"/>
              </w:rPr>
            </w:pPr>
          </w:p>
        </w:tc>
      </w:tr>
      <w:tr w14:paraId="684D0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9" w:type="dxa"/>
            <w:vMerge w:val="restart"/>
            <w:vAlign w:val="center"/>
          </w:tcPr>
          <w:p w14:paraId="716CD174">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营业执照</w:t>
            </w:r>
          </w:p>
        </w:tc>
        <w:tc>
          <w:tcPr>
            <w:tcW w:w="2044" w:type="dxa"/>
            <w:gridSpan w:val="3"/>
            <w:vAlign w:val="center"/>
          </w:tcPr>
          <w:p w14:paraId="3AF4EC49">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注册号码</w:t>
            </w:r>
          </w:p>
        </w:tc>
        <w:tc>
          <w:tcPr>
            <w:tcW w:w="1440" w:type="dxa"/>
            <w:gridSpan w:val="2"/>
            <w:vAlign w:val="center"/>
          </w:tcPr>
          <w:p w14:paraId="48C58EF7">
            <w:pPr>
              <w:topLinePunct/>
              <w:spacing w:line="440" w:lineRule="exact"/>
              <w:jc w:val="center"/>
              <w:rPr>
                <w:rFonts w:hint="eastAsia" w:ascii="宋体" w:hAnsi="宋体" w:eastAsia="宋体" w:cs="宋体"/>
                <w:color w:val="auto"/>
                <w:sz w:val="24"/>
                <w:szCs w:val="24"/>
                <w:highlight w:val="none"/>
              </w:rPr>
            </w:pPr>
          </w:p>
        </w:tc>
        <w:tc>
          <w:tcPr>
            <w:tcW w:w="1377" w:type="dxa"/>
            <w:vAlign w:val="center"/>
          </w:tcPr>
          <w:p w14:paraId="572F9F54">
            <w:pPr>
              <w:topLinePunct/>
              <w:spacing w:line="440" w:lineRule="exact"/>
              <w:ind w:firstLine="120" w:firstLineChars="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注册地址</w:t>
            </w:r>
          </w:p>
        </w:tc>
        <w:tc>
          <w:tcPr>
            <w:tcW w:w="2925" w:type="dxa"/>
            <w:gridSpan w:val="3"/>
            <w:vAlign w:val="center"/>
          </w:tcPr>
          <w:p w14:paraId="643B91A4">
            <w:pPr>
              <w:topLinePunct/>
              <w:spacing w:line="440" w:lineRule="exact"/>
              <w:ind w:firstLine="120" w:firstLineChars="50"/>
              <w:jc w:val="center"/>
              <w:rPr>
                <w:rFonts w:hint="eastAsia" w:ascii="宋体" w:hAnsi="宋体" w:eastAsia="宋体" w:cs="宋体"/>
                <w:color w:val="auto"/>
                <w:sz w:val="24"/>
                <w:szCs w:val="24"/>
                <w:highlight w:val="none"/>
              </w:rPr>
            </w:pPr>
          </w:p>
        </w:tc>
      </w:tr>
      <w:tr w14:paraId="11DA7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9" w:type="dxa"/>
            <w:vMerge w:val="continue"/>
            <w:vAlign w:val="center"/>
          </w:tcPr>
          <w:p w14:paraId="5157A89D">
            <w:pPr>
              <w:topLinePunct/>
              <w:spacing w:line="440" w:lineRule="exact"/>
              <w:jc w:val="center"/>
              <w:rPr>
                <w:rFonts w:hint="eastAsia" w:ascii="宋体" w:hAnsi="宋体" w:eastAsia="宋体" w:cs="宋体"/>
                <w:color w:val="auto"/>
                <w:sz w:val="24"/>
                <w:szCs w:val="24"/>
                <w:highlight w:val="none"/>
              </w:rPr>
            </w:pPr>
          </w:p>
        </w:tc>
        <w:tc>
          <w:tcPr>
            <w:tcW w:w="2044" w:type="dxa"/>
            <w:gridSpan w:val="3"/>
            <w:vAlign w:val="center"/>
          </w:tcPr>
          <w:p w14:paraId="17323F71">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发证机关</w:t>
            </w:r>
          </w:p>
        </w:tc>
        <w:tc>
          <w:tcPr>
            <w:tcW w:w="1440" w:type="dxa"/>
            <w:gridSpan w:val="2"/>
            <w:vAlign w:val="center"/>
          </w:tcPr>
          <w:p w14:paraId="594101D4">
            <w:pPr>
              <w:topLinePunct/>
              <w:spacing w:line="440" w:lineRule="exact"/>
              <w:jc w:val="center"/>
              <w:rPr>
                <w:rFonts w:hint="eastAsia" w:ascii="宋体" w:hAnsi="宋体" w:eastAsia="宋体" w:cs="宋体"/>
                <w:color w:val="auto"/>
                <w:sz w:val="24"/>
                <w:szCs w:val="24"/>
                <w:highlight w:val="none"/>
              </w:rPr>
            </w:pPr>
          </w:p>
        </w:tc>
        <w:tc>
          <w:tcPr>
            <w:tcW w:w="1377" w:type="dxa"/>
            <w:vAlign w:val="center"/>
          </w:tcPr>
          <w:p w14:paraId="70FF92E2">
            <w:pPr>
              <w:topLinePunct/>
              <w:spacing w:line="440" w:lineRule="exact"/>
              <w:ind w:firstLine="120" w:firstLineChars="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发证日期</w:t>
            </w:r>
          </w:p>
        </w:tc>
        <w:tc>
          <w:tcPr>
            <w:tcW w:w="2925" w:type="dxa"/>
            <w:gridSpan w:val="3"/>
            <w:vAlign w:val="center"/>
          </w:tcPr>
          <w:p w14:paraId="40AE4EA8">
            <w:pPr>
              <w:topLinePunct/>
              <w:spacing w:line="440" w:lineRule="exact"/>
              <w:ind w:firstLine="120" w:firstLineChars="50"/>
              <w:jc w:val="center"/>
              <w:rPr>
                <w:rFonts w:hint="eastAsia" w:ascii="宋体" w:hAnsi="宋体" w:eastAsia="宋体" w:cs="宋体"/>
                <w:color w:val="auto"/>
                <w:sz w:val="24"/>
                <w:szCs w:val="24"/>
                <w:highlight w:val="none"/>
              </w:rPr>
            </w:pPr>
          </w:p>
        </w:tc>
      </w:tr>
      <w:tr w14:paraId="0CDE4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9" w:type="dxa"/>
            <w:vMerge w:val="continue"/>
            <w:vAlign w:val="center"/>
          </w:tcPr>
          <w:p w14:paraId="674F80EF">
            <w:pPr>
              <w:topLinePunct/>
              <w:spacing w:line="440" w:lineRule="exact"/>
              <w:jc w:val="center"/>
              <w:rPr>
                <w:rFonts w:hint="eastAsia" w:ascii="宋体" w:hAnsi="宋体" w:eastAsia="宋体" w:cs="宋体"/>
                <w:color w:val="auto"/>
                <w:sz w:val="24"/>
                <w:szCs w:val="24"/>
                <w:highlight w:val="none"/>
              </w:rPr>
            </w:pPr>
          </w:p>
        </w:tc>
        <w:tc>
          <w:tcPr>
            <w:tcW w:w="2044" w:type="dxa"/>
            <w:gridSpan w:val="3"/>
            <w:vAlign w:val="center"/>
          </w:tcPr>
          <w:p w14:paraId="1F364E9D">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营业范围（主营）</w:t>
            </w:r>
          </w:p>
        </w:tc>
        <w:tc>
          <w:tcPr>
            <w:tcW w:w="5742" w:type="dxa"/>
            <w:gridSpan w:val="6"/>
            <w:vAlign w:val="center"/>
          </w:tcPr>
          <w:p w14:paraId="67E67BF3">
            <w:pPr>
              <w:topLinePunct/>
              <w:spacing w:line="440" w:lineRule="exact"/>
              <w:ind w:firstLine="120" w:firstLineChars="50"/>
              <w:jc w:val="center"/>
              <w:rPr>
                <w:rFonts w:hint="eastAsia" w:ascii="宋体" w:hAnsi="宋体" w:eastAsia="宋体" w:cs="宋体"/>
                <w:color w:val="auto"/>
                <w:sz w:val="24"/>
                <w:szCs w:val="24"/>
                <w:highlight w:val="none"/>
              </w:rPr>
            </w:pPr>
          </w:p>
        </w:tc>
      </w:tr>
      <w:tr w14:paraId="5C4FE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9" w:type="dxa"/>
            <w:vMerge w:val="continue"/>
            <w:vAlign w:val="center"/>
          </w:tcPr>
          <w:p w14:paraId="0C617A71">
            <w:pPr>
              <w:topLinePunct/>
              <w:spacing w:line="440" w:lineRule="exact"/>
              <w:jc w:val="center"/>
              <w:rPr>
                <w:rFonts w:hint="eastAsia" w:ascii="宋体" w:hAnsi="宋体" w:eastAsia="宋体" w:cs="宋体"/>
                <w:color w:val="auto"/>
                <w:sz w:val="24"/>
                <w:szCs w:val="24"/>
                <w:highlight w:val="none"/>
              </w:rPr>
            </w:pPr>
          </w:p>
        </w:tc>
        <w:tc>
          <w:tcPr>
            <w:tcW w:w="2044" w:type="dxa"/>
            <w:gridSpan w:val="3"/>
            <w:vAlign w:val="center"/>
          </w:tcPr>
          <w:p w14:paraId="1C6029FC">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营业范围（兼营）</w:t>
            </w:r>
          </w:p>
        </w:tc>
        <w:tc>
          <w:tcPr>
            <w:tcW w:w="5742" w:type="dxa"/>
            <w:gridSpan w:val="6"/>
            <w:vAlign w:val="center"/>
          </w:tcPr>
          <w:p w14:paraId="2B12A97C">
            <w:pPr>
              <w:topLinePunct/>
              <w:spacing w:line="440" w:lineRule="exact"/>
              <w:ind w:firstLine="120" w:firstLineChars="50"/>
              <w:jc w:val="center"/>
              <w:rPr>
                <w:rFonts w:hint="eastAsia" w:ascii="宋体" w:hAnsi="宋体" w:eastAsia="宋体" w:cs="宋体"/>
                <w:color w:val="auto"/>
                <w:sz w:val="24"/>
                <w:szCs w:val="24"/>
                <w:highlight w:val="none"/>
              </w:rPr>
            </w:pPr>
          </w:p>
        </w:tc>
      </w:tr>
      <w:tr w14:paraId="385D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3" w:type="dxa"/>
            <w:gridSpan w:val="4"/>
            <w:vAlign w:val="center"/>
          </w:tcPr>
          <w:p w14:paraId="0192CB37">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基本账户开户行及帐号</w:t>
            </w:r>
          </w:p>
        </w:tc>
        <w:tc>
          <w:tcPr>
            <w:tcW w:w="5742" w:type="dxa"/>
            <w:gridSpan w:val="6"/>
            <w:vAlign w:val="center"/>
          </w:tcPr>
          <w:p w14:paraId="37F386D8">
            <w:pPr>
              <w:topLinePunct/>
              <w:spacing w:line="440" w:lineRule="exact"/>
              <w:jc w:val="center"/>
              <w:rPr>
                <w:rFonts w:hint="eastAsia" w:ascii="宋体" w:hAnsi="宋体" w:eastAsia="宋体" w:cs="宋体"/>
                <w:color w:val="auto"/>
                <w:sz w:val="24"/>
                <w:szCs w:val="24"/>
                <w:highlight w:val="none"/>
              </w:rPr>
            </w:pPr>
          </w:p>
        </w:tc>
      </w:tr>
      <w:tr w14:paraId="667B0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3" w:type="dxa"/>
            <w:gridSpan w:val="4"/>
            <w:vAlign w:val="center"/>
          </w:tcPr>
          <w:p w14:paraId="388B56BD">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税务登记机关</w:t>
            </w:r>
          </w:p>
        </w:tc>
        <w:tc>
          <w:tcPr>
            <w:tcW w:w="5742" w:type="dxa"/>
            <w:gridSpan w:val="6"/>
            <w:vAlign w:val="center"/>
          </w:tcPr>
          <w:p w14:paraId="432A01DB">
            <w:pPr>
              <w:topLinePunct/>
              <w:spacing w:line="440" w:lineRule="exact"/>
              <w:jc w:val="center"/>
              <w:rPr>
                <w:rFonts w:hint="eastAsia" w:ascii="宋体" w:hAnsi="宋体" w:eastAsia="宋体" w:cs="宋体"/>
                <w:color w:val="auto"/>
                <w:sz w:val="24"/>
                <w:szCs w:val="24"/>
                <w:highlight w:val="none"/>
              </w:rPr>
            </w:pPr>
          </w:p>
        </w:tc>
      </w:tr>
      <w:tr w14:paraId="47A9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5" w:type="dxa"/>
            <w:gridSpan w:val="10"/>
            <w:vAlign w:val="center"/>
          </w:tcPr>
          <w:p w14:paraId="0B3C073B">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资质能力</w:t>
            </w:r>
          </w:p>
        </w:tc>
      </w:tr>
      <w:tr w14:paraId="544A4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gridSpan w:val="3"/>
            <w:vAlign w:val="center"/>
          </w:tcPr>
          <w:p w14:paraId="66915FF4">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资质名称</w:t>
            </w:r>
          </w:p>
        </w:tc>
        <w:tc>
          <w:tcPr>
            <w:tcW w:w="2160" w:type="dxa"/>
            <w:gridSpan w:val="2"/>
            <w:vAlign w:val="center"/>
          </w:tcPr>
          <w:p w14:paraId="109B30D6">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等级</w:t>
            </w:r>
          </w:p>
        </w:tc>
        <w:tc>
          <w:tcPr>
            <w:tcW w:w="2160" w:type="dxa"/>
            <w:gridSpan w:val="3"/>
            <w:vAlign w:val="center"/>
          </w:tcPr>
          <w:p w14:paraId="0F034763">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发证机关</w:t>
            </w:r>
          </w:p>
        </w:tc>
        <w:tc>
          <w:tcPr>
            <w:tcW w:w="2205" w:type="dxa"/>
            <w:gridSpan w:val="2"/>
            <w:vAlign w:val="center"/>
          </w:tcPr>
          <w:p w14:paraId="73E5B1BE">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有效期</w:t>
            </w:r>
          </w:p>
        </w:tc>
      </w:tr>
      <w:tr w14:paraId="1D0AA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gridSpan w:val="3"/>
            <w:vAlign w:val="center"/>
          </w:tcPr>
          <w:p w14:paraId="56B43A8C">
            <w:pPr>
              <w:topLinePunct/>
              <w:spacing w:line="440" w:lineRule="exact"/>
              <w:jc w:val="center"/>
              <w:rPr>
                <w:rFonts w:hint="eastAsia" w:ascii="宋体" w:hAnsi="宋体" w:eastAsia="宋体" w:cs="宋体"/>
                <w:color w:val="auto"/>
                <w:sz w:val="24"/>
                <w:szCs w:val="24"/>
                <w:highlight w:val="none"/>
              </w:rPr>
            </w:pPr>
          </w:p>
        </w:tc>
        <w:tc>
          <w:tcPr>
            <w:tcW w:w="2160" w:type="dxa"/>
            <w:gridSpan w:val="2"/>
            <w:vAlign w:val="center"/>
          </w:tcPr>
          <w:p w14:paraId="0770A1FE">
            <w:pPr>
              <w:topLinePunct/>
              <w:spacing w:line="440" w:lineRule="exact"/>
              <w:jc w:val="center"/>
              <w:rPr>
                <w:rFonts w:hint="eastAsia" w:ascii="宋体" w:hAnsi="宋体" w:eastAsia="宋体" w:cs="宋体"/>
                <w:color w:val="auto"/>
                <w:sz w:val="24"/>
                <w:szCs w:val="24"/>
                <w:highlight w:val="none"/>
              </w:rPr>
            </w:pPr>
          </w:p>
        </w:tc>
        <w:tc>
          <w:tcPr>
            <w:tcW w:w="2160" w:type="dxa"/>
            <w:gridSpan w:val="3"/>
            <w:vAlign w:val="center"/>
          </w:tcPr>
          <w:p w14:paraId="6D61EDCD">
            <w:pPr>
              <w:topLinePunct/>
              <w:spacing w:line="440" w:lineRule="exact"/>
              <w:jc w:val="center"/>
              <w:rPr>
                <w:rFonts w:hint="eastAsia" w:ascii="宋体" w:hAnsi="宋体" w:eastAsia="宋体" w:cs="宋体"/>
                <w:color w:val="auto"/>
                <w:sz w:val="24"/>
                <w:szCs w:val="24"/>
                <w:highlight w:val="none"/>
              </w:rPr>
            </w:pPr>
          </w:p>
        </w:tc>
        <w:tc>
          <w:tcPr>
            <w:tcW w:w="2205" w:type="dxa"/>
            <w:gridSpan w:val="2"/>
            <w:vAlign w:val="center"/>
          </w:tcPr>
          <w:p w14:paraId="1008E4C2">
            <w:pPr>
              <w:topLinePunct/>
              <w:spacing w:line="440" w:lineRule="exact"/>
              <w:jc w:val="center"/>
              <w:rPr>
                <w:rFonts w:hint="eastAsia" w:ascii="宋体" w:hAnsi="宋体" w:eastAsia="宋体" w:cs="宋体"/>
                <w:color w:val="auto"/>
                <w:sz w:val="24"/>
                <w:szCs w:val="24"/>
                <w:highlight w:val="none"/>
              </w:rPr>
            </w:pPr>
          </w:p>
        </w:tc>
      </w:tr>
      <w:tr w14:paraId="75B5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gridSpan w:val="3"/>
            <w:vAlign w:val="center"/>
          </w:tcPr>
          <w:p w14:paraId="19A3DA5A">
            <w:pPr>
              <w:topLinePunct/>
              <w:spacing w:line="440" w:lineRule="exact"/>
              <w:jc w:val="center"/>
              <w:rPr>
                <w:rFonts w:hint="eastAsia" w:ascii="宋体" w:hAnsi="宋体" w:eastAsia="宋体" w:cs="宋体"/>
                <w:color w:val="auto"/>
                <w:sz w:val="24"/>
                <w:szCs w:val="24"/>
                <w:highlight w:val="none"/>
              </w:rPr>
            </w:pPr>
          </w:p>
        </w:tc>
        <w:tc>
          <w:tcPr>
            <w:tcW w:w="2160" w:type="dxa"/>
            <w:gridSpan w:val="2"/>
            <w:vAlign w:val="center"/>
          </w:tcPr>
          <w:p w14:paraId="481B4390">
            <w:pPr>
              <w:topLinePunct/>
              <w:spacing w:line="440" w:lineRule="exact"/>
              <w:jc w:val="center"/>
              <w:rPr>
                <w:rFonts w:hint="eastAsia" w:ascii="宋体" w:hAnsi="宋体" w:eastAsia="宋体" w:cs="宋体"/>
                <w:color w:val="auto"/>
                <w:sz w:val="24"/>
                <w:szCs w:val="24"/>
                <w:highlight w:val="none"/>
              </w:rPr>
            </w:pPr>
          </w:p>
        </w:tc>
        <w:tc>
          <w:tcPr>
            <w:tcW w:w="2160" w:type="dxa"/>
            <w:gridSpan w:val="3"/>
            <w:vAlign w:val="center"/>
          </w:tcPr>
          <w:p w14:paraId="3CCA8FF9">
            <w:pPr>
              <w:topLinePunct/>
              <w:spacing w:line="440" w:lineRule="exact"/>
              <w:jc w:val="center"/>
              <w:rPr>
                <w:rFonts w:hint="eastAsia" w:ascii="宋体" w:hAnsi="宋体" w:eastAsia="宋体" w:cs="宋体"/>
                <w:color w:val="auto"/>
                <w:sz w:val="24"/>
                <w:szCs w:val="24"/>
                <w:highlight w:val="none"/>
              </w:rPr>
            </w:pPr>
          </w:p>
        </w:tc>
        <w:tc>
          <w:tcPr>
            <w:tcW w:w="2205" w:type="dxa"/>
            <w:gridSpan w:val="2"/>
            <w:vAlign w:val="center"/>
          </w:tcPr>
          <w:p w14:paraId="58B01561">
            <w:pPr>
              <w:topLinePunct/>
              <w:spacing w:line="440" w:lineRule="exact"/>
              <w:jc w:val="center"/>
              <w:rPr>
                <w:rFonts w:hint="eastAsia" w:ascii="宋体" w:hAnsi="宋体" w:eastAsia="宋体" w:cs="宋体"/>
                <w:color w:val="auto"/>
                <w:sz w:val="24"/>
                <w:szCs w:val="24"/>
                <w:highlight w:val="none"/>
              </w:rPr>
            </w:pPr>
          </w:p>
        </w:tc>
      </w:tr>
    </w:tbl>
    <w:p w14:paraId="06EE04A3">
      <w:pPr>
        <w:shd w:val="clear" w:color="auto" w:fill="auto"/>
        <w:rPr>
          <w:rFonts w:hint="eastAsia" w:ascii="宋体" w:hAnsi="宋体" w:eastAsia="宋体" w:cs="宋体"/>
          <w:color w:val="auto"/>
          <w:sz w:val="24"/>
          <w:szCs w:val="24"/>
          <w:highlight w:val="none"/>
        </w:rPr>
      </w:pPr>
    </w:p>
    <w:p w14:paraId="4205A6A3">
      <w:pPr>
        <w:shd w:val="clear" w:color="auto" w:fill="auto"/>
        <w:adjustRightInd w:val="0"/>
        <w:spacing w:line="400" w:lineRule="exact"/>
        <w:ind w:firstLine="420" w:firstLineChars="175"/>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投标人名称：</w:t>
      </w:r>
      <w:r>
        <w:rPr>
          <w:rFonts w:hint="eastAsia" w:ascii="宋体" w:hAnsi="宋体" w:eastAsia="宋体" w:cs="宋体"/>
          <w:color w:val="auto"/>
          <w:sz w:val="24"/>
          <w:szCs w:val="24"/>
          <w:highlight w:val="none"/>
        </w:rPr>
        <w:t>XXXX</w:t>
      </w:r>
      <w:r>
        <w:rPr>
          <w:rFonts w:hint="eastAsia" w:ascii="宋体" w:hAnsi="宋体" w:eastAsia="宋体" w:cs="宋体"/>
          <w:bCs/>
          <w:color w:val="auto"/>
          <w:sz w:val="24"/>
          <w:szCs w:val="24"/>
          <w:highlight w:val="none"/>
        </w:rPr>
        <w:t>（盖章）</w:t>
      </w:r>
    </w:p>
    <w:p w14:paraId="08FDDCB8">
      <w:pPr>
        <w:shd w:val="clear" w:color="auto" w:fill="auto"/>
        <w:adjustRightInd w:val="0"/>
        <w:spacing w:line="400" w:lineRule="exact"/>
        <w:ind w:firstLine="420" w:firstLineChars="175"/>
        <w:jc w:val="left"/>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t>XXXX</w:t>
      </w:r>
    </w:p>
    <w:p w14:paraId="690874B2">
      <w:pPr>
        <w:shd w:val="clear" w:color="auto" w:fill="auto"/>
        <w:adjustRightInd w:val="0"/>
        <w:spacing w:line="400" w:lineRule="exact"/>
        <w:ind w:firstLine="420" w:firstLineChars="175"/>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投标日期:</w:t>
      </w:r>
      <w:r>
        <w:rPr>
          <w:rFonts w:hint="eastAsia" w:ascii="宋体" w:hAnsi="宋体" w:eastAsia="宋体" w:cs="宋体"/>
          <w:color w:val="auto"/>
          <w:sz w:val="24"/>
          <w:szCs w:val="24"/>
          <w:highlight w:val="none"/>
        </w:rPr>
        <w:t xml:space="preserve"> XXXX</w:t>
      </w:r>
    </w:p>
    <w:p w14:paraId="34E33116">
      <w:pPr>
        <w:shd w:val="clear" w:color="auto" w:fill="auto"/>
        <w:adjustRightInd w:val="0"/>
        <w:spacing w:line="400" w:lineRule="exact"/>
        <w:ind w:firstLine="420" w:firstLineChars="175"/>
        <w:jc w:val="left"/>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br w:type="page"/>
      </w:r>
    </w:p>
    <w:p w14:paraId="21EBC9E5">
      <w:pPr>
        <w:pStyle w:val="6"/>
        <w:bidi w:val="0"/>
        <w:jc w:val="center"/>
        <w:rPr>
          <w:rFonts w:hint="eastAsia" w:ascii="宋体" w:hAnsi="宋体" w:eastAsia="宋体" w:cs="宋体"/>
          <w:color w:val="auto"/>
          <w:sz w:val="24"/>
          <w:szCs w:val="24"/>
          <w:highlight w:val="none"/>
        </w:rPr>
      </w:pPr>
      <w:bookmarkStart w:id="95" w:name="_Toc2385"/>
      <w:bookmarkStart w:id="96" w:name="_Toc466298084"/>
      <w:bookmarkStart w:id="97" w:name="_Toc465085386"/>
      <w:bookmarkStart w:id="98" w:name="_Toc472604637"/>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、类似项目业绩一览表</w:t>
      </w:r>
      <w:bookmarkEnd w:id="95"/>
      <w:bookmarkEnd w:id="96"/>
      <w:bookmarkEnd w:id="97"/>
      <w:bookmarkEnd w:id="98"/>
    </w:p>
    <w:p w14:paraId="7157C010">
      <w:pPr>
        <w:pStyle w:val="297"/>
        <w:shd w:val="clear" w:color="auto" w:fill="auto"/>
        <w:rPr>
          <w:rFonts w:hint="eastAsia" w:ascii="宋体" w:hAnsi="宋体" w:eastAsia="宋体" w:cs="宋体"/>
          <w:color w:val="auto"/>
          <w:sz w:val="24"/>
          <w:szCs w:val="24"/>
          <w:highlight w:val="none"/>
        </w:rPr>
      </w:pPr>
    </w:p>
    <w:tbl>
      <w:tblPr>
        <w:tblStyle w:val="47"/>
        <w:tblW w:w="822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1314"/>
        <w:gridCol w:w="1440"/>
        <w:gridCol w:w="1320"/>
        <w:gridCol w:w="1161"/>
        <w:gridCol w:w="2120"/>
        <w:gridCol w:w="871"/>
      </w:tblGrid>
      <w:tr w14:paraId="565F87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tcBorders>
              <w:top w:val="single" w:color="auto" w:sz="4" w:space="0"/>
            </w:tcBorders>
            <w:noWrap w:val="0"/>
            <w:vAlign w:val="center"/>
          </w:tcPr>
          <w:p w14:paraId="63BE4895">
            <w:pPr>
              <w:spacing w:line="400" w:lineRule="exact"/>
              <w:ind w:firstLine="120" w:firstLineChars="5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地区</w:t>
            </w:r>
          </w:p>
        </w:tc>
        <w:tc>
          <w:tcPr>
            <w:tcW w:w="1440" w:type="dxa"/>
            <w:noWrap w:val="0"/>
            <w:vAlign w:val="center"/>
          </w:tcPr>
          <w:p w14:paraId="4DA0AB94">
            <w:pPr>
              <w:spacing w:line="400" w:lineRule="exact"/>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项目名称</w:t>
            </w:r>
          </w:p>
        </w:tc>
        <w:tc>
          <w:tcPr>
            <w:tcW w:w="1320" w:type="dxa"/>
            <w:noWrap w:val="0"/>
            <w:vAlign w:val="center"/>
          </w:tcPr>
          <w:p w14:paraId="7AE1AC33">
            <w:pPr>
              <w:spacing w:line="400" w:lineRule="exact"/>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中标产品</w:t>
            </w:r>
          </w:p>
        </w:tc>
        <w:tc>
          <w:tcPr>
            <w:tcW w:w="1161" w:type="dxa"/>
            <w:noWrap w:val="0"/>
            <w:vAlign w:val="center"/>
          </w:tcPr>
          <w:p w14:paraId="588D132D">
            <w:pPr>
              <w:spacing w:line="400" w:lineRule="exact"/>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金额</w:t>
            </w:r>
          </w:p>
        </w:tc>
        <w:tc>
          <w:tcPr>
            <w:tcW w:w="2120" w:type="dxa"/>
            <w:noWrap w:val="0"/>
            <w:vAlign w:val="center"/>
          </w:tcPr>
          <w:p w14:paraId="6C9A01E9">
            <w:pPr>
              <w:spacing w:line="400" w:lineRule="exact"/>
              <w:ind w:firstLine="120" w:firstLineChars="5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时间</w:t>
            </w:r>
          </w:p>
          <w:p w14:paraId="4688AB84">
            <w:pPr>
              <w:spacing w:line="400" w:lineRule="exact"/>
              <w:ind w:firstLine="120" w:firstLineChars="5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（年月日）</w:t>
            </w:r>
          </w:p>
        </w:tc>
        <w:tc>
          <w:tcPr>
            <w:tcW w:w="871" w:type="dxa"/>
            <w:tcBorders>
              <w:left w:val="single" w:color="auto" w:sz="4" w:space="0"/>
            </w:tcBorders>
            <w:noWrap w:val="0"/>
            <w:vAlign w:val="center"/>
          </w:tcPr>
          <w:p w14:paraId="7B33910B">
            <w:pPr>
              <w:spacing w:line="400" w:lineRule="exact"/>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备注</w:t>
            </w:r>
          </w:p>
        </w:tc>
      </w:tr>
      <w:tr w14:paraId="129E4C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4670ED8D">
            <w:pPr>
              <w:spacing w:line="400" w:lineRule="exact"/>
              <w:jc w:val="center"/>
              <w:rPr>
                <w:rFonts w:hint="eastAsia" w:ascii="宋体" w:hAnsi="宋体" w:eastAsia="宋体" w:cs="宋体"/>
                <w:color w:val="auto"/>
                <w:sz w:val="24"/>
                <w:szCs w:val="24"/>
                <w:highlight w:val="none"/>
              </w:rPr>
            </w:pPr>
          </w:p>
        </w:tc>
        <w:tc>
          <w:tcPr>
            <w:tcW w:w="1440" w:type="dxa"/>
            <w:noWrap w:val="0"/>
            <w:vAlign w:val="center"/>
          </w:tcPr>
          <w:p w14:paraId="0986C411">
            <w:pPr>
              <w:spacing w:line="400" w:lineRule="exact"/>
              <w:jc w:val="center"/>
              <w:rPr>
                <w:rFonts w:hint="eastAsia" w:ascii="宋体" w:hAnsi="宋体" w:eastAsia="宋体" w:cs="宋体"/>
                <w:color w:val="auto"/>
                <w:sz w:val="24"/>
                <w:szCs w:val="24"/>
                <w:highlight w:val="none"/>
              </w:rPr>
            </w:pPr>
          </w:p>
        </w:tc>
        <w:tc>
          <w:tcPr>
            <w:tcW w:w="1320" w:type="dxa"/>
            <w:noWrap w:val="0"/>
            <w:vAlign w:val="center"/>
          </w:tcPr>
          <w:p w14:paraId="79DDEB99">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1D52E08D">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4249FA99">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24DD5AA6">
            <w:pPr>
              <w:spacing w:line="400" w:lineRule="exact"/>
              <w:jc w:val="center"/>
              <w:rPr>
                <w:rFonts w:hint="eastAsia" w:ascii="宋体" w:hAnsi="宋体" w:eastAsia="宋体" w:cs="宋体"/>
                <w:color w:val="auto"/>
                <w:sz w:val="24"/>
                <w:szCs w:val="24"/>
                <w:highlight w:val="none"/>
              </w:rPr>
            </w:pPr>
          </w:p>
        </w:tc>
      </w:tr>
      <w:tr w14:paraId="1144CA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040B8E5D">
            <w:pPr>
              <w:spacing w:line="400" w:lineRule="exact"/>
              <w:jc w:val="center"/>
              <w:rPr>
                <w:rFonts w:hint="eastAsia" w:ascii="宋体" w:hAnsi="宋体" w:eastAsia="宋体" w:cs="宋体"/>
                <w:color w:val="auto"/>
                <w:sz w:val="24"/>
                <w:szCs w:val="24"/>
                <w:highlight w:val="none"/>
              </w:rPr>
            </w:pPr>
          </w:p>
        </w:tc>
        <w:tc>
          <w:tcPr>
            <w:tcW w:w="1440" w:type="dxa"/>
            <w:noWrap w:val="0"/>
            <w:vAlign w:val="center"/>
          </w:tcPr>
          <w:p w14:paraId="7BB2E6F2">
            <w:pPr>
              <w:spacing w:line="400" w:lineRule="exact"/>
              <w:jc w:val="center"/>
              <w:rPr>
                <w:rFonts w:hint="eastAsia" w:ascii="宋体" w:hAnsi="宋体" w:eastAsia="宋体" w:cs="宋体"/>
                <w:color w:val="auto"/>
                <w:sz w:val="24"/>
                <w:szCs w:val="24"/>
                <w:highlight w:val="none"/>
              </w:rPr>
            </w:pPr>
          </w:p>
        </w:tc>
        <w:tc>
          <w:tcPr>
            <w:tcW w:w="1320" w:type="dxa"/>
            <w:noWrap w:val="0"/>
            <w:vAlign w:val="center"/>
          </w:tcPr>
          <w:p w14:paraId="196905EB">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306CAFF1">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1496CD03">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4F5DB264">
            <w:pPr>
              <w:spacing w:line="400" w:lineRule="exact"/>
              <w:jc w:val="center"/>
              <w:rPr>
                <w:rFonts w:hint="eastAsia" w:ascii="宋体" w:hAnsi="宋体" w:eastAsia="宋体" w:cs="宋体"/>
                <w:color w:val="auto"/>
                <w:sz w:val="24"/>
                <w:szCs w:val="24"/>
                <w:highlight w:val="none"/>
              </w:rPr>
            </w:pPr>
          </w:p>
        </w:tc>
      </w:tr>
      <w:tr w14:paraId="0F203F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475A6B31">
            <w:pPr>
              <w:spacing w:line="400" w:lineRule="exact"/>
              <w:jc w:val="center"/>
              <w:rPr>
                <w:rFonts w:hint="eastAsia" w:ascii="宋体" w:hAnsi="宋体" w:eastAsia="宋体" w:cs="宋体"/>
                <w:color w:val="auto"/>
                <w:sz w:val="24"/>
                <w:szCs w:val="24"/>
                <w:highlight w:val="none"/>
              </w:rPr>
            </w:pPr>
          </w:p>
        </w:tc>
        <w:tc>
          <w:tcPr>
            <w:tcW w:w="1440" w:type="dxa"/>
            <w:noWrap w:val="0"/>
            <w:vAlign w:val="center"/>
          </w:tcPr>
          <w:p w14:paraId="46A048B3">
            <w:pPr>
              <w:spacing w:line="400" w:lineRule="exact"/>
              <w:jc w:val="center"/>
              <w:rPr>
                <w:rFonts w:hint="eastAsia" w:ascii="宋体" w:hAnsi="宋体" w:eastAsia="宋体" w:cs="宋体"/>
                <w:color w:val="auto"/>
                <w:sz w:val="24"/>
                <w:szCs w:val="24"/>
                <w:highlight w:val="none"/>
              </w:rPr>
            </w:pPr>
          </w:p>
        </w:tc>
        <w:tc>
          <w:tcPr>
            <w:tcW w:w="1320" w:type="dxa"/>
            <w:noWrap w:val="0"/>
            <w:vAlign w:val="center"/>
          </w:tcPr>
          <w:p w14:paraId="46C98F02">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0F19BF77">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44447D5A">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4428C26E">
            <w:pPr>
              <w:spacing w:line="400" w:lineRule="exact"/>
              <w:jc w:val="center"/>
              <w:rPr>
                <w:rFonts w:hint="eastAsia" w:ascii="宋体" w:hAnsi="宋体" w:eastAsia="宋体" w:cs="宋体"/>
                <w:color w:val="auto"/>
                <w:sz w:val="24"/>
                <w:szCs w:val="24"/>
                <w:highlight w:val="none"/>
              </w:rPr>
            </w:pPr>
          </w:p>
        </w:tc>
      </w:tr>
      <w:tr w14:paraId="59D08C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7A4DC040">
            <w:pPr>
              <w:spacing w:line="400" w:lineRule="exact"/>
              <w:jc w:val="center"/>
              <w:rPr>
                <w:rFonts w:hint="eastAsia" w:ascii="宋体" w:hAnsi="宋体" w:eastAsia="宋体" w:cs="宋体"/>
                <w:color w:val="auto"/>
                <w:sz w:val="24"/>
                <w:szCs w:val="24"/>
                <w:highlight w:val="none"/>
              </w:rPr>
            </w:pPr>
          </w:p>
        </w:tc>
        <w:tc>
          <w:tcPr>
            <w:tcW w:w="1440" w:type="dxa"/>
            <w:tcBorders>
              <w:right w:val="single" w:color="auto" w:sz="4" w:space="0"/>
            </w:tcBorders>
            <w:noWrap w:val="0"/>
            <w:vAlign w:val="center"/>
          </w:tcPr>
          <w:p w14:paraId="6B397A8A">
            <w:pPr>
              <w:spacing w:line="400" w:lineRule="exact"/>
              <w:jc w:val="center"/>
              <w:rPr>
                <w:rFonts w:hint="eastAsia" w:ascii="宋体" w:hAnsi="宋体" w:eastAsia="宋体" w:cs="宋体"/>
                <w:color w:val="auto"/>
                <w:sz w:val="24"/>
                <w:szCs w:val="24"/>
                <w:highlight w:val="none"/>
              </w:rPr>
            </w:pPr>
          </w:p>
        </w:tc>
        <w:tc>
          <w:tcPr>
            <w:tcW w:w="1320" w:type="dxa"/>
            <w:tcBorders>
              <w:left w:val="single" w:color="auto" w:sz="4" w:space="0"/>
            </w:tcBorders>
            <w:noWrap w:val="0"/>
            <w:vAlign w:val="center"/>
          </w:tcPr>
          <w:p w14:paraId="529E7DE3">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39E6BFC4">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24507085">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34EF8FC1">
            <w:pPr>
              <w:spacing w:line="400" w:lineRule="exact"/>
              <w:jc w:val="center"/>
              <w:rPr>
                <w:rFonts w:hint="eastAsia" w:ascii="宋体" w:hAnsi="宋体" w:eastAsia="宋体" w:cs="宋体"/>
                <w:color w:val="auto"/>
                <w:sz w:val="24"/>
                <w:szCs w:val="24"/>
                <w:highlight w:val="none"/>
              </w:rPr>
            </w:pPr>
          </w:p>
        </w:tc>
      </w:tr>
      <w:tr w14:paraId="622863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4C76B48E">
            <w:pPr>
              <w:spacing w:line="400" w:lineRule="exact"/>
              <w:jc w:val="center"/>
              <w:rPr>
                <w:rFonts w:hint="eastAsia" w:ascii="宋体" w:hAnsi="宋体" w:eastAsia="宋体" w:cs="宋体"/>
                <w:color w:val="auto"/>
                <w:sz w:val="24"/>
                <w:szCs w:val="24"/>
                <w:highlight w:val="none"/>
              </w:rPr>
            </w:pPr>
          </w:p>
        </w:tc>
        <w:tc>
          <w:tcPr>
            <w:tcW w:w="1440" w:type="dxa"/>
            <w:tcBorders>
              <w:right w:val="single" w:color="auto" w:sz="4" w:space="0"/>
            </w:tcBorders>
            <w:noWrap w:val="0"/>
            <w:vAlign w:val="center"/>
          </w:tcPr>
          <w:p w14:paraId="1818FBEC">
            <w:pPr>
              <w:spacing w:line="400" w:lineRule="exact"/>
              <w:jc w:val="center"/>
              <w:rPr>
                <w:rFonts w:hint="eastAsia" w:ascii="宋体" w:hAnsi="宋体" w:eastAsia="宋体" w:cs="宋体"/>
                <w:color w:val="auto"/>
                <w:sz w:val="24"/>
                <w:szCs w:val="24"/>
                <w:highlight w:val="none"/>
              </w:rPr>
            </w:pPr>
          </w:p>
        </w:tc>
        <w:tc>
          <w:tcPr>
            <w:tcW w:w="1320" w:type="dxa"/>
            <w:tcBorders>
              <w:left w:val="single" w:color="auto" w:sz="4" w:space="0"/>
            </w:tcBorders>
            <w:noWrap w:val="0"/>
            <w:vAlign w:val="center"/>
          </w:tcPr>
          <w:p w14:paraId="48AA8B56">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551F4594">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1F9B2914">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7B503CC6">
            <w:pPr>
              <w:spacing w:line="400" w:lineRule="exact"/>
              <w:jc w:val="center"/>
              <w:rPr>
                <w:rFonts w:hint="eastAsia" w:ascii="宋体" w:hAnsi="宋体" w:eastAsia="宋体" w:cs="宋体"/>
                <w:color w:val="auto"/>
                <w:sz w:val="24"/>
                <w:szCs w:val="24"/>
                <w:highlight w:val="none"/>
              </w:rPr>
            </w:pPr>
          </w:p>
        </w:tc>
      </w:tr>
      <w:tr w14:paraId="0811AE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7963F1F8">
            <w:pPr>
              <w:spacing w:line="400" w:lineRule="exact"/>
              <w:jc w:val="center"/>
              <w:rPr>
                <w:rFonts w:hint="eastAsia" w:ascii="宋体" w:hAnsi="宋体" w:eastAsia="宋体" w:cs="宋体"/>
                <w:color w:val="auto"/>
                <w:sz w:val="24"/>
                <w:szCs w:val="24"/>
                <w:highlight w:val="none"/>
              </w:rPr>
            </w:pPr>
          </w:p>
        </w:tc>
        <w:tc>
          <w:tcPr>
            <w:tcW w:w="1440" w:type="dxa"/>
            <w:tcBorders>
              <w:right w:val="single" w:color="auto" w:sz="4" w:space="0"/>
            </w:tcBorders>
            <w:noWrap w:val="0"/>
            <w:vAlign w:val="center"/>
          </w:tcPr>
          <w:p w14:paraId="08ABBE99">
            <w:pPr>
              <w:spacing w:line="400" w:lineRule="exact"/>
              <w:jc w:val="center"/>
              <w:rPr>
                <w:rFonts w:hint="eastAsia" w:ascii="宋体" w:hAnsi="宋体" w:eastAsia="宋体" w:cs="宋体"/>
                <w:color w:val="auto"/>
                <w:sz w:val="24"/>
                <w:szCs w:val="24"/>
                <w:highlight w:val="none"/>
              </w:rPr>
            </w:pPr>
          </w:p>
        </w:tc>
        <w:tc>
          <w:tcPr>
            <w:tcW w:w="1320" w:type="dxa"/>
            <w:tcBorders>
              <w:left w:val="single" w:color="auto" w:sz="4" w:space="0"/>
            </w:tcBorders>
            <w:noWrap w:val="0"/>
            <w:vAlign w:val="center"/>
          </w:tcPr>
          <w:p w14:paraId="58AE4A5F">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5FBC3ACB">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3E5E4D52">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347A47FC">
            <w:pPr>
              <w:spacing w:line="400" w:lineRule="exact"/>
              <w:jc w:val="center"/>
              <w:rPr>
                <w:rFonts w:hint="eastAsia" w:ascii="宋体" w:hAnsi="宋体" w:eastAsia="宋体" w:cs="宋体"/>
                <w:color w:val="auto"/>
                <w:sz w:val="24"/>
                <w:szCs w:val="24"/>
                <w:highlight w:val="none"/>
              </w:rPr>
            </w:pPr>
          </w:p>
        </w:tc>
      </w:tr>
      <w:tr w14:paraId="5C2498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2790519F">
            <w:pPr>
              <w:spacing w:line="400" w:lineRule="exact"/>
              <w:jc w:val="center"/>
              <w:rPr>
                <w:rFonts w:hint="eastAsia" w:ascii="宋体" w:hAnsi="宋体" w:eastAsia="宋体" w:cs="宋体"/>
                <w:color w:val="auto"/>
                <w:sz w:val="24"/>
                <w:szCs w:val="24"/>
                <w:highlight w:val="none"/>
              </w:rPr>
            </w:pPr>
          </w:p>
        </w:tc>
        <w:tc>
          <w:tcPr>
            <w:tcW w:w="1440" w:type="dxa"/>
            <w:tcBorders>
              <w:right w:val="single" w:color="auto" w:sz="4" w:space="0"/>
            </w:tcBorders>
            <w:noWrap w:val="0"/>
            <w:vAlign w:val="center"/>
          </w:tcPr>
          <w:p w14:paraId="421F982D">
            <w:pPr>
              <w:spacing w:line="400" w:lineRule="exact"/>
              <w:jc w:val="center"/>
              <w:rPr>
                <w:rFonts w:hint="eastAsia" w:ascii="宋体" w:hAnsi="宋体" w:eastAsia="宋体" w:cs="宋体"/>
                <w:color w:val="auto"/>
                <w:sz w:val="24"/>
                <w:szCs w:val="24"/>
                <w:highlight w:val="none"/>
              </w:rPr>
            </w:pPr>
          </w:p>
        </w:tc>
        <w:tc>
          <w:tcPr>
            <w:tcW w:w="1320" w:type="dxa"/>
            <w:tcBorders>
              <w:left w:val="single" w:color="auto" w:sz="4" w:space="0"/>
            </w:tcBorders>
            <w:noWrap w:val="0"/>
            <w:vAlign w:val="center"/>
          </w:tcPr>
          <w:p w14:paraId="67C9C85D">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124529BC">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1785F57E">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47851AEC">
            <w:pPr>
              <w:spacing w:line="400" w:lineRule="exact"/>
              <w:jc w:val="center"/>
              <w:rPr>
                <w:rFonts w:hint="eastAsia" w:ascii="宋体" w:hAnsi="宋体" w:eastAsia="宋体" w:cs="宋体"/>
                <w:color w:val="auto"/>
                <w:sz w:val="24"/>
                <w:szCs w:val="24"/>
                <w:highlight w:val="none"/>
              </w:rPr>
            </w:pPr>
          </w:p>
        </w:tc>
      </w:tr>
      <w:tr w14:paraId="265859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4ABD23ED">
            <w:pPr>
              <w:spacing w:line="400" w:lineRule="exact"/>
              <w:jc w:val="center"/>
              <w:rPr>
                <w:rFonts w:hint="eastAsia" w:ascii="宋体" w:hAnsi="宋体" w:eastAsia="宋体" w:cs="宋体"/>
                <w:color w:val="auto"/>
                <w:sz w:val="24"/>
                <w:szCs w:val="24"/>
                <w:highlight w:val="none"/>
              </w:rPr>
            </w:pPr>
          </w:p>
        </w:tc>
        <w:tc>
          <w:tcPr>
            <w:tcW w:w="1440" w:type="dxa"/>
            <w:tcBorders>
              <w:right w:val="single" w:color="auto" w:sz="4" w:space="0"/>
            </w:tcBorders>
            <w:noWrap w:val="0"/>
            <w:vAlign w:val="center"/>
          </w:tcPr>
          <w:p w14:paraId="59319351">
            <w:pPr>
              <w:spacing w:line="400" w:lineRule="exact"/>
              <w:jc w:val="center"/>
              <w:rPr>
                <w:rFonts w:hint="eastAsia" w:ascii="宋体" w:hAnsi="宋体" w:eastAsia="宋体" w:cs="宋体"/>
                <w:color w:val="auto"/>
                <w:sz w:val="24"/>
                <w:szCs w:val="24"/>
                <w:highlight w:val="none"/>
              </w:rPr>
            </w:pPr>
          </w:p>
        </w:tc>
        <w:tc>
          <w:tcPr>
            <w:tcW w:w="1320" w:type="dxa"/>
            <w:tcBorders>
              <w:left w:val="single" w:color="auto" w:sz="4" w:space="0"/>
            </w:tcBorders>
            <w:noWrap w:val="0"/>
            <w:vAlign w:val="center"/>
          </w:tcPr>
          <w:p w14:paraId="3FAE0C9E">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58747533">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031B45B4">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7552CF52">
            <w:pPr>
              <w:spacing w:line="400" w:lineRule="exact"/>
              <w:jc w:val="center"/>
              <w:rPr>
                <w:rFonts w:hint="eastAsia" w:ascii="宋体" w:hAnsi="宋体" w:eastAsia="宋体" w:cs="宋体"/>
                <w:color w:val="auto"/>
                <w:sz w:val="24"/>
                <w:szCs w:val="24"/>
                <w:highlight w:val="none"/>
              </w:rPr>
            </w:pPr>
          </w:p>
        </w:tc>
      </w:tr>
    </w:tbl>
    <w:p w14:paraId="0E12F073">
      <w:pPr>
        <w:shd w:val="clear" w:color="auto" w:fill="auto"/>
        <w:tabs>
          <w:tab w:val="left" w:pos="555"/>
          <w:tab w:val="left" w:pos="2214"/>
          <w:tab w:val="left" w:pos="3774"/>
          <w:tab w:val="left" w:pos="4854"/>
          <w:tab w:val="left" w:pos="5934"/>
          <w:tab w:val="left" w:pos="7014"/>
          <w:tab w:val="left" w:pos="8214"/>
          <w:tab w:val="left" w:pos="10134"/>
          <w:tab w:val="left" w:pos="11124"/>
        </w:tabs>
        <w:spacing w:line="4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w:t>
      </w:r>
      <w:bookmarkStart w:id="99" w:name="_Hlk535237100"/>
    </w:p>
    <w:p w14:paraId="2E6E038D">
      <w:pPr>
        <w:shd w:val="clear" w:color="auto" w:fill="auto"/>
        <w:tabs>
          <w:tab w:val="left" w:pos="555"/>
          <w:tab w:val="left" w:pos="2214"/>
          <w:tab w:val="left" w:pos="3774"/>
          <w:tab w:val="left" w:pos="4854"/>
          <w:tab w:val="left" w:pos="5934"/>
          <w:tab w:val="left" w:pos="7014"/>
          <w:tab w:val="left" w:pos="8214"/>
          <w:tab w:val="left" w:pos="10134"/>
          <w:tab w:val="left" w:pos="11124"/>
        </w:tabs>
        <w:spacing w:line="4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以上业绩需提供招标文件要求的有关书面证明材料。</w:t>
      </w:r>
      <w:bookmarkEnd w:id="99"/>
    </w:p>
    <w:p w14:paraId="08D93760">
      <w:pPr>
        <w:shd w:val="clear" w:color="auto" w:fill="auto"/>
        <w:tabs>
          <w:tab w:val="left" w:pos="555"/>
          <w:tab w:val="left" w:pos="2214"/>
          <w:tab w:val="left" w:pos="3774"/>
          <w:tab w:val="left" w:pos="4854"/>
          <w:tab w:val="left" w:pos="5934"/>
          <w:tab w:val="left" w:pos="7014"/>
          <w:tab w:val="left" w:pos="8214"/>
          <w:tab w:val="left" w:pos="10134"/>
          <w:tab w:val="left" w:pos="11124"/>
        </w:tabs>
        <w:spacing w:line="400" w:lineRule="exact"/>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eastAsia="zh-CN"/>
        </w:rPr>
        <w:t>类似项目业绩时间以中标通知书时间为准。</w:t>
      </w:r>
    </w:p>
    <w:p w14:paraId="32654A76">
      <w:pPr>
        <w:shd w:val="clear" w:color="auto" w:fill="auto"/>
        <w:spacing w:line="400" w:lineRule="exact"/>
        <w:rPr>
          <w:rFonts w:hint="eastAsia" w:ascii="宋体" w:hAnsi="宋体" w:eastAsia="宋体" w:cs="宋体"/>
          <w:color w:val="auto"/>
          <w:sz w:val="24"/>
          <w:szCs w:val="24"/>
          <w:highlight w:val="none"/>
        </w:rPr>
      </w:pPr>
    </w:p>
    <w:p w14:paraId="0FD349DF">
      <w:pPr>
        <w:shd w:val="clear" w:color="auto" w:fill="auto"/>
        <w:adjustRightInd w:val="0"/>
        <w:spacing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  （盖章）</w:t>
      </w:r>
    </w:p>
    <w:p w14:paraId="3A667C16">
      <w:pPr>
        <w:shd w:val="clear" w:color="auto" w:fill="auto"/>
        <w:adjustRightInd w:val="0"/>
        <w:spacing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t>XXXX</w:t>
      </w:r>
    </w:p>
    <w:p w14:paraId="567C1F18">
      <w:pPr>
        <w:shd w:val="clear" w:color="auto" w:fill="auto"/>
        <w:spacing w:line="40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投标日期:</w:t>
      </w:r>
      <w:r>
        <w:rPr>
          <w:rFonts w:hint="eastAsia" w:ascii="宋体" w:hAnsi="宋体" w:eastAsia="宋体" w:cs="宋体"/>
          <w:color w:val="auto"/>
          <w:sz w:val="24"/>
          <w:szCs w:val="24"/>
          <w:highlight w:val="none"/>
        </w:rPr>
        <w:t xml:space="preserve"> XXXX</w:t>
      </w:r>
    </w:p>
    <w:p w14:paraId="2CD84B69">
      <w:pPr>
        <w:shd w:val="clear" w:color="auto" w:fill="auto"/>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0651EDB8">
      <w:pPr>
        <w:pStyle w:val="6"/>
        <w:numPr>
          <w:ilvl w:val="0"/>
          <w:numId w:val="0"/>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9、</w:t>
      </w:r>
      <w:r>
        <w:rPr>
          <w:rFonts w:hint="eastAsia" w:ascii="宋体" w:hAnsi="宋体" w:eastAsia="宋体" w:cs="宋体"/>
          <w:bCs/>
          <w:color w:val="auto"/>
          <w:sz w:val="24"/>
          <w:szCs w:val="24"/>
          <w:highlight w:val="none"/>
          <w:lang w:val="en-US" w:eastAsia="zh-CN"/>
        </w:rPr>
        <w:t>售后服务体系</w:t>
      </w:r>
    </w:p>
    <w:p w14:paraId="385E5E93">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29142E7B">
      <w:pPr>
        <w:pStyle w:val="6"/>
        <w:numPr>
          <w:ilvl w:val="0"/>
          <w:numId w:val="6"/>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售后服务方案</w:t>
      </w:r>
    </w:p>
    <w:p w14:paraId="1E0DA48C">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6D7272E8">
      <w:pPr>
        <w:numPr>
          <w:ilvl w:val="0"/>
          <w:numId w:val="0"/>
        </w:numPr>
        <w:rPr>
          <w:rFonts w:hint="eastAsia"/>
          <w:color w:val="auto"/>
          <w:highlight w:val="none"/>
          <w:lang w:val="en-US" w:eastAsia="zh-CN"/>
        </w:rPr>
      </w:pPr>
    </w:p>
    <w:p w14:paraId="55948DF8">
      <w:pPr>
        <w:pStyle w:val="6"/>
        <w:numPr>
          <w:ilvl w:val="0"/>
          <w:numId w:val="6"/>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可操作、可维护性</w:t>
      </w:r>
    </w:p>
    <w:p w14:paraId="1637547D">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7C41B70F">
      <w:pPr>
        <w:numPr>
          <w:ilvl w:val="0"/>
          <w:numId w:val="0"/>
        </w:numPr>
        <w:ind w:leftChars="0"/>
        <w:rPr>
          <w:rFonts w:hint="eastAsia"/>
          <w:color w:val="auto"/>
          <w:highlight w:val="none"/>
          <w:lang w:val="en-US" w:eastAsia="zh-CN"/>
        </w:rPr>
      </w:pPr>
    </w:p>
    <w:p w14:paraId="40956FBF">
      <w:pPr>
        <w:pStyle w:val="6"/>
        <w:numPr>
          <w:ilvl w:val="0"/>
          <w:numId w:val="6"/>
        </w:numPr>
        <w:bidi w:val="0"/>
        <w:ind w:left="0" w:leftChars="0" w:firstLine="0" w:firstLineChars="0"/>
        <w:jc w:val="center"/>
        <w:rPr>
          <w:rFonts w:hint="default"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设备运输方案</w:t>
      </w:r>
    </w:p>
    <w:p w14:paraId="4C5AE0AE">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45D9FB2F">
      <w:pPr>
        <w:numPr>
          <w:ilvl w:val="0"/>
          <w:numId w:val="0"/>
        </w:numPr>
        <w:ind w:leftChars="0"/>
        <w:rPr>
          <w:rFonts w:hint="default"/>
          <w:color w:val="auto"/>
          <w:highlight w:val="none"/>
          <w:lang w:val="en-US" w:eastAsia="zh-CN"/>
        </w:rPr>
      </w:pPr>
    </w:p>
    <w:p w14:paraId="2A8A9E7D">
      <w:pPr>
        <w:pStyle w:val="6"/>
        <w:numPr>
          <w:ilvl w:val="0"/>
          <w:numId w:val="6"/>
        </w:numPr>
        <w:bidi w:val="0"/>
        <w:ind w:left="0" w:leftChars="0" w:firstLine="0" w:firstLineChars="0"/>
        <w:jc w:val="center"/>
        <w:rPr>
          <w:rFonts w:hint="eastAsia" w:ascii="宋体" w:hAnsi="宋体" w:eastAsia="宋体" w:cs="宋体"/>
          <w:bCs/>
          <w:color w:val="auto"/>
          <w:sz w:val="24"/>
          <w:szCs w:val="24"/>
          <w:highlight w:val="none"/>
          <w:lang w:val="en-US" w:eastAsia="zh-CN"/>
        </w:rPr>
      </w:pPr>
      <w:bookmarkStart w:id="100" w:name="_Hlk535237171"/>
      <w:r>
        <w:rPr>
          <w:rFonts w:hint="eastAsia" w:ascii="宋体" w:hAnsi="宋体" w:eastAsia="宋体" w:cs="宋体"/>
          <w:color w:val="auto"/>
          <w:sz w:val="24"/>
          <w:szCs w:val="24"/>
          <w:highlight w:val="none"/>
          <w:lang w:val="en-US" w:eastAsia="zh-CN"/>
        </w:rPr>
        <w:t>设备安装方案</w:t>
      </w:r>
    </w:p>
    <w:p w14:paraId="50280333">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3901D867">
      <w:pPr>
        <w:numPr>
          <w:ilvl w:val="0"/>
          <w:numId w:val="0"/>
        </w:numPr>
        <w:jc w:val="center"/>
        <w:rPr>
          <w:rFonts w:hint="eastAsia"/>
          <w:color w:val="auto"/>
          <w:sz w:val="24"/>
          <w:szCs w:val="24"/>
          <w:highlight w:val="none"/>
          <w:lang w:val="en-US" w:eastAsia="zh-CN"/>
        </w:rPr>
      </w:pPr>
    </w:p>
    <w:p w14:paraId="4AEC69BC">
      <w:pPr>
        <w:pStyle w:val="6"/>
        <w:numPr>
          <w:ilvl w:val="0"/>
          <w:numId w:val="6"/>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设备调试方案</w:t>
      </w:r>
    </w:p>
    <w:p w14:paraId="6F3FA425">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2D8A0526">
      <w:pPr>
        <w:numPr>
          <w:ilvl w:val="0"/>
          <w:numId w:val="0"/>
        </w:numPr>
        <w:jc w:val="center"/>
        <w:rPr>
          <w:rFonts w:hint="eastAsia"/>
          <w:color w:val="auto"/>
          <w:sz w:val="24"/>
          <w:szCs w:val="24"/>
          <w:highlight w:val="none"/>
          <w:lang w:val="en-US" w:eastAsia="zh-CN"/>
        </w:rPr>
      </w:pPr>
    </w:p>
    <w:p w14:paraId="5A7595BB">
      <w:pPr>
        <w:pStyle w:val="6"/>
        <w:numPr>
          <w:ilvl w:val="0"/>
          <w:numId w:val="6"/>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设备验收方案</w:t>
      </w:r>
    </w:p>
    <w:p w14:paraId="34A2A4C1">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3014E63E">
      <w:pPr>
        <w:numPr>
          <w:ilvl w:val="0"/>
          <w:numId w:val="0"/>
        </w:numPr>
        <w:jc w:val="center"/>
        <w:rPr>
          <w:rFonts w:hint="eastAsia"/>
          <w:color w:val="auto"/>
          <w:sz w:val="24"/>
          <w:szCs w:val="24"/>
          <w:highlight w:val="none"/>
          <w:lang w:val="en-US" w:eastAsia="zh-CN"/>
        </w:rPr>
      </w:pPr>
    </w:p>
    <w:p w14:paraId="4E177225">
      <w:pPr>
        <w:numPr>
          <w:ilvl w:val="0"/>
          <w:numId w:val="0"/>
        </w:numPr>
        <w:ind w:leftChars="0"/>
        <w:rPr>
          <w:rFonts w:hint="eastAsia"/>
          <w:color w:val="auto"/>
          <w:highlight w:val="none"/>
          <w:lang w:val="en-US" w:eastAsia="zh-CN"/>
        </w:rPr>
      </w:pPr>
    </w:p>
    <w:p w14:paraId="17C0E18F">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bookmarkEnd w:id="100"/>
    <w:p w14:paraId="6FDAC5FA">
      <w:pPr>
        <w:shd w:val="clear" w:color="auto" w:fill="auto"/>
        <w:rPr>
          <w:rFonts w:hint="eastAsia" w:ascii="宋体" w:hAnsi="宋体" w:eastAsia="宋体" w:cs="宋体"/>
          <w:color w:val="auto"/>
          <w:sz w:val="24"/>
          <w:szCs w:val="24"/>
          <w:highlight w:val="none"/>
        </w:rPr>
      </w:pPr>
    </w:p>
    <w:p w14:paraId="1EE8EAC6">
      <w:pPr>
        <w:pStyle w:val="6"/>
        <w:bidi w:val="0"/>
        <w:jc w:val="center"/>
        <w:rPr>
          <w:rFonts w:hint="eastAsia" w:ascii="宋体" w:hAnsi="宋体" w:eastAsia="宋体" w:cs="宋体"/>
          <w:b/>
          <w:bCs/>
          <w:color w:val="auto"/>
          <w:sz w:val="24"/>
          <w:szCs w:val="24"/>
          <w:highlight w:val="none"/>
          <w:lang w:val="en-US" w:eastAsia="zh-CN" w:bidi="ar-SA"/>
        </w:rPr>
      </w:pPr>
      <w:bookmarkStart w:id="101" w:name="_Toc20755"/>
      <w:r>
        <w:rPr>
          <w:rFonts w:hint="eastAsia" w:ascii="宋体" w:hAnsi="宋体" w:eastAsia="宋体" w:cs="宋体"/>
          <w:b/>
          <w:bCs/>
          <w:color w:val="auto"/>
          <w:sz w:val="24"/>
          <w:szCs w:val="24"/>
          <w:highlight w:val="none"/>
          <w:lang w:val="en-US" w:eastAsia="zh-CN" w:bidi="ar-SA"/>
        </w:rPr>
        <w:t>16、投标</w:t>
      </w:r>
      <w:r>
        <w:rPr>
          <w:rFonts w:hint="eastAsia" w:ascii="宋体" w:hAnsi="宋体" w:eastAsia="宋体" w:cs="宋体"/>
          <w:color w:val="auto"/>
          <w:sz w:val="24"/>
          <w:szCs w:val="24"/>
          <w:highlight w:val="none"/>
          <w:lang w:val="en-US" w:eastAsia="zh-CN"/>
        </w:rPr>
        <w:t>保证金</w:t>
      </w:r>
      <w:r>
        <w:rPr>
          <w:rFonts w:hint="eastAsia" w:ascii="宋体" w:hAnsi="宋体" w:eastAsia="宋体" w:cs="宋体"/>
          <w:b/>
          <w:bCs/>
          <w:color w:val="auto"/>
          <w:sz w:val="24"/>
          <w:szCs w:val="24"/>
          <w:highlight w:val="none"/>
          <w:lang w:val="en-US" w:eastAsia="zh-CN" w:bidi="ar-SA"/>
        </w:rPr>
        <w:t>凭证</w:t>
      </w:r>
      <w:bookmarkEnd w:id="101"/>
    </w:p>
    <w:p w14:paraId="64D4B6C7">
      <w:pPr>
        <w:rPr>
          <w:rFonts w:hint="eastAsia" w:ascii="宋体" w:hAnsi="宋体" w:eastAsia="宋体" w:cs="宋体"/>
          <w:b/>
          <w:bCs/>
          <w:color w:val="auto"/>
          <w:spacing w:val="6"/>
          <w:kern w:val="0"/>
          <w:sz w:val="24"/>
          <w:szCs w:val="24"/>
          <w:highlight w:val="none"/>
          <w:lang w:val="en-US" w:eastAsia="zh-CN"/>
        </w:rPr>
      </w:pPr>
      <w:bookmarkStart w:id="102" w:name="_Toc31436"/>
      <w:bookmarkStart w:id="103" w:name="_Toc28911"/>
      <w:r>
        <w:rPr>
          <w:rFonts w:hint="eastAsia" w:ascii="宋体" w:hAnsi="宋体" w:eastAsia="宋体" w:cs="宋体"/>
          <w:b/>
          <w:bCs/>
          <w:color w:val="auto"/>
          <w:spacing w:val="6"/>
          <w:kern w:val="0"/>
          <w:sz w:val="24"/>
          <w:szCs w:val="24"/>
          <w:highlight w:val="none"/>
          <w:lang w:val="en-US" w:eastAsia="zh-CN"/>
        </w:rPr>
        <w:br w:type="page"/>
      </w:r>
    </w:p>
    <w:p w14:paraId="045BDFE4">
      <w:pPr>
        <w:pStyle w:val="6"/>
        <w:bidi w:val="0"/>
        <w:jc w:val="center"/>
        <w:rPr>
          <w:rFonts w:hint="eastAsia" w:ascii="宋体" w:hAnsi="宋体" w:eastAsia="宋体" w:cs="宋体"/>
          <w:b/>
          <w:bCs/>
          <w:color w:val="auto"/>
          <w:spacing w:val="6"/>
          <w:kern w:val="0"/>
          <w:sz w:val="24"/>
          <w:szCs w:val="24"/>
          <w:highlight w:val="none"/>
        </w:rPr>
      </w:pPr>
      <w:r>
        <w:rPr>
          <w:rFonts w:hint="eastAsia" w:ascii="宋体" w:hAnsi="宋体" w:eastAsia="宋体" w:cs="宋体"/>
          <w:b/>
          <w:bCs/>
          <w:color w:val="auto"/>
          <w:spacing w:val="6"/>
          <w:kern w:val="0"/>
          <w:sz w:val="24"/>
          <w:szCs w:val="24"/>
          <w:highlight w:val="none"/>
          <w:lang w:val="en-US" w:eastAsia="zh-CN"/>
        </w:rPr>
        <w:t>17、</w:t>
      </w:r>
      <w:r>
        <w:rPr>
          <w:rFonts w:hint="eastAsia" w:ascii="宋体" w:hAnsi="宋体" w:eastAsia="宋体" w:cs="宋体"/>
          <w:b/>
          <w:bCs/>
          <w:color w:val="auto"/>
          <w:spacing w:val="6"/>
          <w:kern w:val="0"/>
          <w:sz w:val="24"/>
          <w:szCs w:val="24"/>
          <w:highlight w:val="none"/>
        </w:rPr>
        <w:t>中小企业</w:t>
      </w:r>
      <w:r>
        <w:rPr>
          <w:rFonts w:hint="eastAsia" w:ascii="宋体" w:hAnsi="宋体" w:eastAsia="宋体" w:cs="宋体"/>
          <w:color w:val="auto"/>
          <w:sz w:val="24"/>
          <w:szCs w:val="24"/>
          <w:highlight w:val="none"/>
        </w:rPr>
        <w:t>声明</w:t>
      </w:r>
      <w:r>
        <w:rPr>
          <w:rFonts w:hint="eastAsia" w:ascii="宋体" w:hAnsi="宋体" w:eastAsia="宋体" w:cs="宋体"/>
          <w:b/>
          <w:bCs/>
          <w:color w:val="auto"/>
          <w:spacing w:val="6"/>
          <w:kern w:val="0"/>
          <w:sz w:val="24"/>
          <w:szCs w:val="24"/>
          <w:highlight w:val="none"/>
        </w:rPr>
        <w:t>函(</w:t>
      </w:r>
      <w:r>
        <w:rPr>
          <w:rFonts w:hint="eastAsia" w:ascii="宋体" w:hAnsi="宋体" w:eastAsia="宋体" w:cs="宋体"/>
          <w:b/>
          <w:bCs/>
          <w:color w:val="auto"/>
          <w:spacing w:val="6"/>
          <w:kern w:val="0"/>
          <w:sz w:val="24"/>
          <w:szCs w:val="24"/>
          <w:highlight w:val="none"/>
          <w:lang w:eastAsia="zh-CN"/>
        </w:rPr>
        <w:t>货物</w:t>
      </w:r>
      <w:r>
        <w:rPr>
          <w:rFonts w:hint="eastAsia" w:ascii="宋体" w:hAnsi="宋体" w:eastAsia="宋体" w:cs="宋体"/>
          <w:b/>
          <w:bCs/>
          <w:color w:val="auto"/>
          <w:spacing w:val="6"/>
          <w:kern w:val="0"/>
          <w:sz w:val="24"/>
          <w:szCs w:val="24"/>
          <w:highlight w:val="none"/>
        </w:rPr>
        <w:t>)</w:t>
      </w:r>
      <w:bookmarkEnd w:id="102"/>
    </w:p>
    <w:p w14:paraId="27DF8979">
      <w:pPr>
        <w:adjustRightInd w:val="0"/>
        <w:snapToGrid w:val="0"/>
        <w:spacing w:line="360" w:lineRule="auto"/>
        <w:ind w:firstLine="630" w:firstLineChars="250"/>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本公司</w:t>
      </w:r>
      <w:r>
        <w:rPr>
          <w:rFonts w:hint="eastAsia" w:ascii="宋体" w:hAnsi="宋体" w:cs="宋体"/>
          <w:color w:val="auto"/>
          <w:spacing w:val="6"/>
          <w:kern w:val="0"/>
          <w:sz w:val="24"/>
          <w:szCs w:val="24"/>
          <w:highlight w:val="none"/>
          <w:lang w:eastAsia="zh-CN"/>
        </w:rPr>
        <w:t>（联合体）</w:t>
      </w:r>
      <w:r>
        <w:rPr>
          <w:rFonts w:hint="eastAsia" w:ascii="宋体" w:hAnsi="宋体" w:eastAsia="宋体" w:cs="宋体"/>
          <w:color w:val="auto"/>
          <w:spacing w:val="6"/>
          <w:kern w:val="0"/>
          <w:sz w:val="24"/>
          <w:szCs w:val="24"/>
          <w:highlight w:val="none"/>
        </w:rPr>
        <w:t>郑重声明，根据《政府采购促进中小企业发展管理办法》（财库〔2020〕[2020]46号）的规定，本公司参加</w:t>
      </w:r>
      <w:r>
        <w:rPr>
          <w:rFonts w:hint="eastAsia" w:ascii="宋体" w:hAnsi="宋体" w:eastAsia="宋体" w:cs="宋体"/>
          <w:color w:val="auto"/>
          <w:spacing w:val="6"/>
          <w:kern w:val="0"/>
          <w:sz w:val="24"/>
          <w:szCs w:val="24"/>
          <w:highlight w:val="none"/>
          <w:u w:val="single"/>
        </w:rPr>
        <w:t xml:space="preserve">      （单位名称）</w:t>
      </w:r>
      <w:r>
        <w:rPr>
          <w:rFonts w:hint="eastAsia" w:ascii="宋体" w:hAnsi="宋体" w:eastAsia="宋体" w:cs="宋体"/>
          <w:color w:val="auto"/>
          <w:spacing w:val="6"/>
          <w:kern w:val="0"/>
          <w:sz w:val="24"/>
          <w:szCs w:val="24"/>
          <w:highlight w:val="none"/>
        </w:rPr>
        <w:t xml:space="preserve">的 </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 xml:space="preserve">  </w:t>
      </w:r>
      <w:r>
        <w:rPr>
          <w:rFonts w:hint="eastAsia" w:ascii="宋体" w:hAnsi="宋体" w:eastAsia="宋体" w:cs="宋体"/>
          <w:color w:val="auto"/>
          <w:spacing w:val="6"/>
          <w:kern w:val="0"/>
          <w:sz w:val="24"/>
          <w:szCs w:val="24"/>
          <w:highlight w:val="none"/>
          <w:u w:val="single"/>
        </w:rPr>
        <w:t>（项目名称）</w:t>
      </w:r>
      <w:r>
        <w:rPr>
          <w:rFonts w:hint="eastAsia" w:ascii="宋体" w:hAnsi="宋体" w:cs="宋体"/>
          <w:color w:val="auto"/>
          <w:spacing w:val="6"/>
          <w:kern w:val="0"/>
          <w:sz w:val="24"/>
          <w:szCs w:val="24"/>
          <w:highlight w:val="none"/>
          <w:u w:val="single"/>
          <w:lang w:val="en-US" w:eastAsia="zh-CN"/>
        </w:rPr>
        <w:t xml:space="preserve">    </w:t>
      </w:r>
      <w:r>
        <w:rPr>
          <w:rFonts w:hint="eastAsia" w:ascii="宋体" w:hAnsi="宋体" w:eastAsia="宋体" w:cs="宋体"/>
          <w:color w:val="auto"/>
          <w:spacing w:val="6"/>
          <w:kern w:val="0"/>
          <w:sz w:val="24"/>
          <w:szCs w:val="24"/>
          <w:highlight w:val="none"/>
        </w:rPr>
        <w:t>采购活动，提供的货物全部由符合政策要求的中小企业</w:t>
      </w:r>
      <w:r>
        <w:rPr>
          <w:rFonts w:hint="eastAsia" w:ascii="宋体" w:hAnsi="宋体" w:eastAsia="宋体" w:cs="宋体"/>
          <w:b/>
          <w:bCs/>
          <w:color w:val="auto"/>
          <w:spacing w:val="6"/>
          <w:kern w:val="0"/>
          <w:sz w:val="24"/>
          <w:szCs w:val="24"/>
          <w:highlight w:val="none"/>
        </w:rPr>
        <w:t>制造</w:t>
      </w:r>
      <w:r>
        <w:rPr>
          <w:rFonts w:hint="eastAsia" w:ascii="宋体" w:hAnsi="宋体" w:eastAsia="宋体" w:cs="宋体"/>
          <w:color w:val="auto"/>
          <w:spacing w:val="6"/>
          <w:kern w:val="0"/>
          <w:sz w:val="24"/>
          <w:szCs w:val="24"/>
          <w:highlight w:val="none"/>
        </w:rPr>
        <w:t>。相关企业（含联合体中的中小企业、签订分包意向协议的中小企业）的具体情况如下：</w:t>
      </w:r>
    </w:p>
    <w:p w14:paraId="139E50D4">
      <w:pPr>
        <w:adjustRightInd w:val="0"/>
        <w:snapToGrid w:val="0"/>
        <w:spacing w:line="360" w:lineRule="auto"/>
        <w:ind w:firstLine="630" w:firstLineChars="250"/>
        <w:rPr>
          <w:rFonts w:hint="eastAsia" w:ascii="宋体" w:hAnsi="宋体" w:eastAsia="宋体" w:cs="宋体"/>
          <w:color w:val="auto"/>
          <w:spacing w:val="6"/>
          <w:kern w:val="0"/>
          <w:sz w:val="24"/>
          <w:szCs w:val="24"/>
          <w:highlight w:val="none"/>
        </w:rPr>
      </w:pPr>
    </w:p>
    <w:p w14:paraId="52F8D8A4">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0" w:firstLine="504" w:firstLineChars="200"/>
        <w:textAlignment w:val="auto"/>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u w:val="single"/>
        </w:rPr>
        <w:t xml:space="preserve"> （标的名称） </w:t>
      </w:r>
      <w:r>
        <w:rPr>
          <w:rFonts w:hint="eastAsia" w:ascii="宋体" w:hAnsi="宋体" w:eastAsia="宋体" w:cs="宋体"/>
          <w:color w:val="auto"/>
          <w:spacing w:val="6"/>
          <w:kern w:val="0"/>
          <w:sz w:val="24"/>
          <w:szCs w:val="24"/>
          <w:highlight w:val="none"/>
        </w:rPr>
        <w:t xml:space="preserve">，属于 </w:t>
      </w:r>
      <w:r>
        <w:rPr>
          <w:rFonts w:hint="eastAsia" w:ascii="宋体" w:hAnsi="宋体" w:eastAsia="宋体" w:cs="宋体"/>
          <w:color w:val="auto"/>
          <w:spacing w:val="6"/>
          <w:kern w:val="0"/>
          <w:sz w:val="24"/>
          <w:szCs w:val="24"/>
          <w:highlight w:val="none"/>
          <w:u w:val="single"/>
        </w:rPr>
        <w:t xml:space="preserve">   （采购文件中明确的所属行业）  </w:t>
      </w:r>
      <w:r>
        <w:rPr>
          <w:rFonts w:hint="eastAsia" w:ascii="宋体" w:hAnsi="宋体" w:eastAsia="宋体" w:cs="宋体"/>
          <w:color w:val="auto"/>
          <w:spacing w:val="6"/>
          <w:kern w:val="0"/>
          <w:sz w:val="24"/>
          <w:szCs w:val="24"/>
          <w:highlight w:val="none"/>
        </w:rPr>
        <w:t>；</w:t>
      </w:r>
      <w:r>
        <w:rPr>
          <w:rFonts w:hint="eastAsia" w:ascii="宋体" w:hAnsi="宋体" w:cs="宋体"/>
          <w:b/>
          <w:bCs/>
          <w:color w:val="auto"/>
          <w:spacing w:val="6"/>
          <w:kern w:val="0"/>
          <w:sz w:val="24"/>
          <w:szCs w:val="24"/>
          <w:highlight w:val="none"/>
          <w:lang w:eastAsia="zh-CN"/>
        </w:rPr>
        <w:t>制造商</w:t>
      </w:r>
      <w:r>
        <w:rPr>
          <w:rFonts w:hint="eastAsia" w:ascii="宋体" w:hAnsi="宋体" w:eastAsia="宋体" w:cs="宋体"/>
          <w:color w:val="auto"/>
          <w:spacing w:val="6"/>
          <w:kern w:val="0"/>
          <w:sz w:val="24"/>
          <w:szCs w:val="24"/>
          <w:highlight w:val="none"/>
        </w:rPr>
        <w:t>为</w:t>
      </w:r>
      <w:r>
        <w:rPr>
          <w:rFonts w:hint="eastAsia" w:ascii="宋体" w:hAnsi="宋体" w:eastAsia="宋体" w:cs="宋体"/>
          <w:color w:val="auto"/>
          <w:spacing w:val="6"/>
          <w:kern w:val="0"/>
          <w:sz w:val="24"/>
          <w:szCs w:val="24"/>
          <w:highlight w:val="none"/>
          <w:u w:val="single"/>
        </w:rPr>
        <w:t xml:space="preserve"> （企业名称）</w:t>
      </w:r>
      <w:r>
        <w:rPr>
          <w:rFonts w:hint="eastAsia" w:ascii="宋体" w:hAnsi="宋体" w:eastAsia="宋体" w:cs="宋体"/>
          <w:color w:val="auto"/>
          <w:spacing w:val="6"/>
          <w:kern w:val="0"/>
          <w:sz w:val="24"/>
          <w:szCs w:val="24"/>
          <w:highlight w:val="none"/>
        </w:rPr>
        <w:t>，从业人员</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人，营业收入为</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万元，资产总额为</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 xml:space="preserve"> 万元，属于</w:t>
      </w:r>
      <w:r>
        <w:rPr>
          <w:rFonts w:hint="eastAsia" w:ascii="宋体" w:hAnsi="宋体" w:eastAsia="宋体" w:cs="宋体"/>
          <w:color w:val="auto"/>
          <w:spacing w:val="6"/>
          <w:kern w:val="0"/>
          <w:sz w:val="24"/>
          <w:szCs w:val="24"/>
          <w:highlight w:val="none"/>
          <w:u w:val="single"/>
        </w:rPr>
        <w:t>（中型企业、小型企业、微型企业）</w:t>
      </w:r>
      <w:r>
        <w:rPr>
          <w:rFonts w:hint="eastAsia" w:ascii="宋体" w:hAnsi="宋体" w:eastAsia="宋体" w:cs="宋体"/>
          <w:color w:val="auto"/>
          <w:spacing w:val="6"/>
          <w:kern w:val="0"/>
          <w:sz w:val="24"/>
          <w:szCs w:val="24"/>
          <w:highlight w:val="none"/>
        </w:rPr>
        <w:t>；</w:t>
      </w:r>
    </w:p>
    <w:p w14:paraId="01D0DC72">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0" w:firstLine="504" w:firstLineChars="200"/>
        <w:textAlignment w:val="auto"/>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u w:val="single"/>
        </w:rPr>
        <w:t xml:space="preserve"> （标的名称） </w:t>
      </w:r>
      <w:r>
        <w:rPr>
          <w:rFonts w:hint="eastAsia" w:ascii="宋体" w:hAnsi="宋体" w:eastAsia="宋体" w:cs="宋体"/>
          <w:color w:val="auto"/>
          <w:spacing w:val="6"/>
          <w:kern w:val="0"/>
          <w:sz w:val="24"/>
          <w:szCs w:val="24"/>
          <w:highlight w:val="none"/>
        </w:rPr>
        <w:t xml:space="preserve">，属于 </w:t>
      </w:r>
      <w:r>
        <w:rPr>
          <w:rFonts w:hint="eastAsia" w:ascii="宋体" w:hAnsi="宋体" w:eastAsia="宋体" w:cs="宋体"/>
          <w:color w:val="auto"/>
          <w:spacing w:val="6"/>
          <w:kern w:val="0"/>
          <w:sz w:val="24"/>
          <w:szCs w:val="24"/>
          <w:highlight w:val="none"/>
          <w:u w:val="single"/>
        </w:rPr>
        <w:t xml:space="preserve">   （采购文件中明确的所属行业）  </w:t>
      </w:r>
      <w:r>
        <w:rPr>
          <w:rFonts w:hint="eastAsia" w:ascii="宋体" w:hAnsi="宋体" w:eastAsia="宋体" w:cs="宋体"/>
          <w:color w:val="auto"/>
          <w:spacing w:val="6"/>
          <w:kern w:val="0"/>
          <w:sz w:val="24"/>
          <w:szCs w:val="24"/>
          <w:highlight w:val="none"/>
        </w:rPr>
        <w:t>；</w:t>
      </w:r>
      <w:r>
        <w:rPr>
          <w:rFonts w:hint="eastAsia" w:ascii="宋体" w:hAnsi="宋体" w:cs="宋体"/>
          <w:b/>
          <w:bCs/>
          <w:color w:val="auto"/>
          <w:spacing w:val="6"/>
          <w:kern w:val="0"/>
          <w:sz w:val="24"/>
          <w:szCs w:val="24"/>
          <w:highlight w:val="none"/>
          <w:lang w:eastAsia="zh-CN"/>
        </w:rPr>
        <w:t>制造商</w:t>
      </w:r>
      <w:r>
        <w:rPr>
          <w:rFonts w:hint="eastAsia" w:ascii="宋体" w:hAnsi="宋体" w:eastAsia="宋体" w:cs="宋体"/>
          <w:color w:val="auto"/>
          <w:spacing w:val="6"/>
          <w:kern w:val="0"/>
          <w:sz w:val="24"/>
          <w:szCs w:val="24"/>
          <w:highlight w:val="none"/>
        </w:rPr>
        <w:t>为</w:t>
      </w:r>
      <w:r>
        <w:rPr>
          <w:rFonts w:hint="eastAsia" w:ascii="宋体" w:hAnsi="宋体" w:eastAsia="宋体" w:cs="宋体"/>
          <w:color w:val="auto"/>
          <w:spacing w:val="6"/>
          <w:kern w:val="0"/>
          <w:sz w:val="24"/>
          <w:szCs w:val="24"/>
          <w:highlight w:val="none"/>
          <w:u w:val="single"/>
        </w:rPr>
        <w:t xml:space="preserve"> （企业名称）</w:t>
      </w:r>
      <w:r>
        <w:rPr>
          <w:rFonts w:hint="eastAsia" w:ascii="宋体" w:hAnsi="宋体" w:eastAsia="宋体" w:cs="宋体"/>
          <w:color w:val="auto"/>
          <w:spacing w:val="6"/>
          <w:kern w:val="0"/>
          <w:sz w:val="24"/>
          <w:szCs w:val="24"/>
          <w:highlight w:val="none"/>
        </w:rPr>
        <w:t>，从业人员</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人，营业收入为</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万元，资产总额为</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 xml:space="preserve"> 万元，属于</w:t>
      </w:r>
      <w:r>
        <w:rPr>
          <w:rFonts w:hint="eastAsia" w:ascii="宋体" w:hAnsi="宋体" w:eastAsia="宋体" w:cs="宋体"/>
          <w:color w:val="auto"/>
          <w:spacing w:val="6"/>
          <w:kern w:val="0"/>
          <w:sz w:val="24"/>
          <w:szCs w:val="24"/>
          <w:highlight w:val="none"/>
          <w:u w:val="single"/>
        </w:rPr>
        <w:t>（中型企业、小型企业、微型企业）</w:t>
      </w:r>
      <w:r>
        <w:rPr>
          <w:rFonts w:hint="eastAsia" w:ascii="宋体" w:hAnsi="宋体" w:eastAsia="宋体" w:cs="宋体"/>
          <w:color w:val="auto"/>
          <w:spacing w:val="6"/>
          <w:kern w:val="0"/>
          <w:sz w:val="24"/>
          <w:szCs w:val="24"/>
          <w:highlight w:val="none"/>
        </w:rPr>
        <w:t>；</w:t>
      </w:r>
    </w:p>
    <w:p w14:paraId="4960980D">
      <w:pPr>
        <w:adjustRightInd w:val="0"/>
        <w:snapToGrid w:val="0"/>
        <w:spacing w:line="360" w:lineRule="auto"/>
        <w:rPr>
          <w:rFonts w:hint="eastAsia" w:ascii="宋体" w:hAnsi="宋体" w:eastAsia="宋体" w:cs="宋体"/>
          <w:color w:val="auto"/>
          <w:spacing w:val="6"/>
          <w:kern w:val="0"/>
          <w:sz w:val="24"/>
          <w:szCs w:val="24"/>
          <w:highlight w:val="none"/>
        </w:rPr>
      </w:pPr>
    </w:p>
    <w:p w14:paraId="4038F504">
      <w:pPr>
        <w:adjustRightInd w:val="0"/>
        <w:snapToGrid w:val="0"/>
        <w:spacing w:line="360" w:lineRule="auto"/>
        <w:ind w:firstLine="630" w:firstLineChars="250"/>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以上企业，不属于大企业的分支机构，不存在控股股东为大企业的情形，也不存在与大企业的负责人为同一人的情形。</w:t>
      </w:r>
    </w:p>
    <w:p w14:paraId="48C6D32D">
      <w:pPr>
        <w:adjustRightInd w:val="0"/>
        <w:snapToGrid w:val="0"/>
        <w:spacing w:line="360" w:lineRule="auto"/>
        <w:ind w:firstLine="630" w:firstLineChars="250"/>
        <w:rPr>
          <w:rFonts w:hint="eastAsia" w:ascii="宋体" w:hAnsi="宋体" w:eastAsia="宋体" w:cs="宋体"/>
          <w:color w:val="auto"/>
          <w:spacing w:val="6"/>
          <w:kern w:val="0"/>
          <w:sz w:val="24"/>
          <w:szCs w:val="24"/>
          <w:highlight w:val="none"/>
        </w:rPr>
      </w:pPr>
    </w:p>
    <w:p w14:paraId="4BBF4D2D">
      <w:pPr>
        <w:adjustRightInd w:val="0"/>
        <w:snapToGrid w:val="0"/>
        <w:spacing w:line="360" w:lineRule="auto"/>
        <w:ind w:firstLine="630" w:firstLineChars="250"/>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本企业对上述声明内容的真实性负责。如有虚假，将依法承担相应责任。</w:t>
      </w:r>
    </w:p>
    <w:p w14:paraId="6BED34A2">
      <w:pPr>
        <w:widowControl/>
        <w:adjustRightInd w:val="0"/>
        <w:snapToGrid w:val="0"/>
        <w:spacing w:line="360" w:lineRule="auto"/>
        <w:jc w:val="left"/>
        <w:rPr>
          <w:rFonts w:hint="eastAsia" w:ascii="宋体" w:hAnsi="宋体" w:eastAsia="宋体" w:cs="宋体"/>
          <w:color w:val="auto"/>
          <w:spacing w:val="6"/>
          <w:kern w:val="0"/>
          <w:sz w:val="24"/>
          <w:szCs w:val="24"/>
          <w:highlight w:val="none"/>
        </w:rPr>
      </w:pPr>
    </w:p>
    <w:p w14:paraId="4F17ACBC">
      <w:pPr>
        <w:widowControl/>
        <w:adjustRightInd w:val="0"/>
        <w:snapToGrid w:val="0"/>
        <w:spacing w:line="360" w:lineRule="auto"/>
        <w:jc w:val="left"/>
        <w:rPr>
          <w:rFonts w:hint="eastAsia" w:ascii="宋体" w:hAnsi="宋体" w:eastAsia="宋体" w:cs="宋体"/>
          <w:color w:val="auto"/>
          <w:spacing w:val="6"/>
          <w:kern w:val="0"/>
          <w:sz w:val="24"/>
          <w:szCs w:val="24"/>
          <w:highlight w:val="none"/>
        </w:rPr>
      </w:pPr>
    </w:p>
    <w:p w14:paraId="619BF273">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企业名称（盖章）：</w:t>
      </w:r>
    </w:p>
    <w:p w14:paraId="24268B6A">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日期：</w:t>
      </w:r>
    </w:p>
    <w:p w14:paraId="2627EC07">
      <w:pPr>
        <w:adjustRightInd w:val="0"/>
        <w:snapToGrid w:val="0"/>
        <w:spacing w:line="360" w:lineRule="auto"/>
        <w:ind w:firstLine="632" w:firstLineChars="250"/>
        <w:rPr>
          <w:rFonts w:hint="eastAsia" w:ascii="宋体" w:hAnsi="宋体" w:eastAsia="宋体" w:cs="宋体"/>
          <w:b/>
          <w:bCs/>
          <w:color w:val="auto"/>
          <w:spacing w:val="6"/>
          <w:kern w:val="0"/>
          <w:sz w:val="24"/>
          <w:szCs w:val="24"/>
          <w:highlight w:val="none"/>
        </w:rPr>
      </w:pPr>
    </w:p>
    <w:p w14:paraId="1DFC6518">
      <w:pPr>
        <w:adjustRightInd w:val="0"/>
        <w:snapToGrid w:val="0"/>
        <w:spacing w:line="360" w:lineRule="auto"/>
        <w:ind w:firstLine="600" w:firstLineChars="250"/>
        <w:rPr>
          <w:rFonts w:hint="eastAsia" w:ascii="宋体" w:hAnsi="宋体" w:eastAsia="宋体" w:cs="宋体"/>
          <w:color w:val="auto"/>
          <w:sz w:val="24"/>
          <w:szCs w:val="24"/>
          <w:highlight w:val="none"/>
        </w:rPr>
      </w:pPr>
    </w:p>
    <w:p w14:paraId="172923A7">
      <w:pPr>
        <w:widowControl/>
        <w:adjustRightInd w:val="0"/>
        <w:snapToGrid w:val="0"/>
        <w:spacing w:line="360" w:lineRule="auto"/>
        <w:ind w:firstLine="504" w:firstLineChars="200"/>
        <w:jc w:val="left"/>
        <w:rPr>
          <w:rFonts w:hint="eastAsia" w:ascii="宋体" w:hAnsi="宋体" w:eastAsia="宋体" w:cs="宋体"/>
          <w:b/>
          <w:color w:val="auto"/>
          <w:spacing w:val="6"/>
          <w:kern w:val="0"/>
          <w:sz w:val="24"/>
          <w:szCs w:val="24"/>
          <w:highlight w:val="none"/>
        </w:rPr>
      </w:pPr>
      <w:bookmarkStart w:id="104" w:name="_Hlk73465846"/>
      <w:r>
        <w:rPr>
          <w:rFonts w:hint="eastAsia" w:ascii="宋体" w:hAnsi="宋体" w:eastAsia="宋体" w:cs="宋体"/>
          <w:color w:val="auto"/>
          <w:spacing w:val="6"/>
          <w:kern w:val="0"/>
          <w:sz w:val="24"/>
          <w:szCs w:val="24"/>
          <w:highlight w:val="none"/>
        </w:rPr>
        <w:t>说明：按照《政府采购促进中小企业发展管理办法》（财库〔2020〕46号）的规定，中小企业仅需提供声明函，不需提供其他证明材料。非</w:t>
      </w:r>
      <w:r>
        <w:rPr>
          <w:rFonts w:hint="eastAsia" w:ascii="宋体" w:hAnsi="宋体" w:cs="宋体"/>
          <w:color w:val="auto"/>
          <w:spacing w:val="6"/>
          <w:kern w:val="0"/>
          <w:sz w:val="24"/>
          <w:szCs w:val="24"/>
          <w:highlight w:val="none"/>
          <w:lang w:eastAsia="zh-CN"/>
        </w:rPr>
        <w:t>中小</w:t>
      </w:r>
      <w:r>
        <w:rPr>
          <w:rFonts w:hint="eastAsia" w:ascii="宋体" w:hAnsi="宋体" w:eastAsia="宋体" w:cs="宋体"/>
          <w:color w:val="auto"/>
          <w:spacing w:val="6"/>
          <w:kern w:val="0"/>
          <w:sz w:val="24"/>
          <w:szCs w:val="24"/>
          <w:highlight w:val="none"/>
        </w:rPr>
        <w:t>企业，本表可不提供。</w:t>
      </w:r>
    </w:p>
    <w:bookmarkEnd w:id="104"/>
    <w:p w14:paraId="2E45CEE6">
      <w:pPr>
        <w:pStyle w:val="293"/>
        <w:rPr>
          <w:rFonts w:hint="eastAsia" w:ascii="宋体" w:hAnsi="宋体" w:eastAsia="宋体" w:cs="宋体"/>
          <w:color w:val="auto"/>
          <w:sz w:val="24"/>
          <w:szCs w:val="24"/>
          <w:highlight w:val="none"/>
        </w:rPr>
      </w:pPr>
    </w:p>
    <w:p w14:paraId="208EA77D">
      <w:pPr>
        <w:pStyle w:val="6"/>
        <w:bidi w:val="0"/>
        <w:jc w:val="center"/>
        <w:rPr>
          <w:rFonts w:hint="eastAsia" w:ascii="宋体" w:hAnsi="宋体" w:eastAsia="宋体" w:cs="宋体"/>
          <w:color w:val="auto"/>
          <w:sz w:val="24"/>
          <w:szCs w:val="24"/>
          <w:highlight w:val="none"/>
          <w:lang w:eastAsia="zh-CN"/>
        </w:rPr>
      </w:pPr>
      <w:bookmarkStart w:id="105" w:name="_Toc24387"/>
      <w:bookmarkStart w:id="106" w:name="_Toc20029"/>
      <w:r>
        <w:rPr>
          <w:rFonts w:hint="eastAsia" w:ascii="宋体" w:hAnsi="宋体" w:eastAsia="宋体" w:cs="宋体"/>
          <w:color w:val="auto"/>
          <w:sz w:val="24"/>
          <w:szCs w:val="24"/>
          <w:highlight w:val="none"/>
          <w:lang w:val="en-US" w:eastAsia="zh-CN"/>
        </w:rPr>
        <w:t>18</w:t>
      </w:r>
      <w:r>
        <w:rPr>
          <w:rFonts w:hint="eastAsia" w:ascii="宋体" w:hAnsi="宋体" w:eastAsia="宋体" w:cs="宋体"/>
          <w:color w:val="auto"/>
          <w:sz w:val="24"/>
          <w:szCs w:val="24"/>
          <w:highlight w:val="none"/>
        </w:rPr>
        <w:t>、监狱企业声明函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如涉及</w:t>
      </w:r>
      <w:r>
        <w:rPr>
          <w:rFonts w:hint="eastAsia" w:ascii="宋体" w:hAnsi="宋体" w:eastAsia="宋体" w:cs="宋体"/>
          <w:color w:val="auto"/>
          <w:sz w:val="24"/>
          <w:szCs w:val="24"/>
          <w:highlight w:val="none"/>
          <w:lang w:eastAsia="zh-CN"/>
        </w:rPr>
        <w:t>）</w:t>
      </w:r>
      <w:bookmarkEnd w:id="105"/>
      <w:bookmarkEnd w:id="106"/>
    </w:p>
    <w:p w14:paraId="28E48EBA">
      <w:pPr>
        <w:shd w:val="clear" w:color="auto" w:fill="auto"/>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（格式自拟）</w:t>
      </w:r>
    </w:p>
    <w:p w14:paraId="26581B9F">
      <w:pPr>
        <w:shd w:val="clear" w:color="auto" w:fill="auto"/>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p w14:paraId="37269E7D">
      <w:pPr>
        <w:shd w:val="clear" w:color="auto" w:fill="auto"/>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1、投标人符合《政府采购支持监狱企业发展有关问题的通知》（财库【2014】68号）规定的划分标准为监狱企业适用。此项内容根据供应商自身情况自行选择是否提供，未提供则不享受价格优惠。</w:t>
      </w:r>
    </w:p>
    <w:p w14:paraId="4E0B416A">
      <w:pPr>
        <w:shd w:val="clear" w:color="auto" w:fill="auto"/>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政府采购活动中，监狱企业视同小型、微型企业，享受预留份额、评审中价格扣除等政府采购促进中小企业发展的政府采购政策。监狱企业参加政府采购活动时，还应当提供由省级以上监狱管理局、戒毒管理局(含新疆生产建设兵团)出具的属于监狱企业的证明文件。</w:t>
      </w:r>
      <w:r>
        <w:rPr>
          <w:rFonts w:hint="eastAsia" w:ascii="宋体" w:hAnsi="宋体" w:eastAsia="宋体" w:cs="宋体"/>
          <w:b/>
          <w:color w:val="auto"/>
          <w:spacing w:val="6"/>
          <w:kern w:val="0"/>
          <w:sz w:val="24"/>
          <w:szCs w:val="24"/>
          <w:highlight w:val="none"/>
        </w:rPr>
        <w:t>非监狱企业，本表可不提供。</w:t>
      </w:r>
    </w:p>
    <w:p w14:paraId="637B5828">
      <w:pPr>
        <w:shd w:val="clear" w:color="auto" w:fill="auto"/>
        <w:rPr>
          <w:rFonts w:hint="eastAsia" w:ascii="宋体" w:hAnsi="宋体" w:eastAsia="宋体" w:cs="宋体"/>
          <w:color w:val="auto"/>
          <w:sz w:val="24"/>
          <w:szCs w:val="24"/>
          <w:highlight w:val="none"/>
        </w:rPr>
      </w:pPr>
    </w:p>
    <w:p w14:paraId="615C74DA">
      <w:pPr>
        <w:shd w:val="clear" w:color="auto" w:fill="auto"/>
        <w:rPr>
          <w:rFonts w:hint="eastAsia" w:ascii="宋体" w:hAnsi="宋体" w:eastAsia="宋体" w:cs="宋体"/>
          <w:color w:val="auto"/>
          <w:sz w:val="24"/>
          <w:szCs w:val="24"/>
          <w:highlight w:val="none"/>
        </w:rPr>
      </w:pPr>
    </w:p>
    <w:p w14:paraId="5B73E8C0">
      <w:pPr>
        <w:shd w:val="clear" w:color="auto" w:fill="auto"/>
        <w:rPr>
          <w:rFonts w:hint="eastAsia" w:ascii="宋体" w:hAnsi="宋体" w:eastAsia="宋体" w:cs="宋体"/>
          <w:color w:val="auto"/>
          <w:sz w:val="24"/>
          <w:szCs w:val="24"/>
          <w:highlight w:val="none"/>
        </w:rPr>
      </w:pPr>
    </w:p>
    <w:p w14:paraId="27EFF880">
      <w:pPr>
        <w:shd w:val="clear" w:color="auto" w:fill="auto"/>
        <w:rPr>
          <w:rFonts w:hint="eastAsia" w:ascii="宋体" w:hAnsi="宋体" w:eastAsia="宋体" w:cs="宋体"/>
          <w:color w:val="auto"/>
          <w:sz w:val="24"/>
          <w:szCs w:val="24"/>
          <w:highlight w:val="none"/>
        </w:rPr>
      </w:pPr>
    </w:p>
    <w:p w14:paraId="06E75159">
      <w:pPr>
        <w:shd w:val="clear" w:color="auto" w:fill="auto"/>
        <w:rPr>
          <w:rFonts w:hint="eastAsia" w:ascii="宋体" w:hAnsi="宋体" w:eastAsia="宋体" w:cs="宋体"/>
          <w:color w:val="auto"/>
          <w:sz w:val="24"/>
          <w:szCs w:val="24"/>
          <w:highlight w:val="none"/>
        </w:rPr>
      </w:pPr>
    </w:p>
    <w:p w14:paraId="26AAB503">
      <w:pPr>
        <w:shd w:val="clear" w:color="auto" w:fill="auto"/>
        <w:rPr>
          <w:rFonts w:hint="eastAsia" w:ascii="宋体" w:hAnsi="宋体" w:eastAsia="宋体" w:cs="宋体"/>
          <w:color w:val="auto"/>
          <w:sz w:val="24"/>
          <w:szCs w:val="24"/>
          <w:highlight w:val="none"/>
        </w:rPr>
      </w:pPr>
    </w:p>
    <w:p w14:paraId="6A2AC180">
      <w:pPr>
        <w:shd w:val="clear" w:color="auto" w:fill="auto"/>
        <w:rPr>
          <w:rFonts w:hint="eastAsia" w:ascii="宋体" w:hAnsi="宋体" w:eastAsia="宋体" w:cs="宋体"/>
          <w:color w:val="auto"/>
          <w:sz w:val="24"/>
          <w:szCs w:val="24"/>
          <w:highlight w:val="none"/>
        </w:rPr>
      </w:pPr>
    </w:p>
    <w:p w14:paraId="3F2F0790">
      <w:pPr>
        <w:shd w:val="clear" w:color="auto" w:fill="auto"/>
        <w:rPr>
          <w:rFonts w:hint="eastAsia" w:ascii="宋体" w:hAnsi="宋体" w:eastAsia="宋体" w:cs="宋体"/>
          <w:color w:val="auto"/>
          <w:sz w:val="24"/>
          <w:szCs w:val="24"/>
          <w:highlight w:val="none"/>
        </w:rPr>
      </w:pPr>
    </w:p>
    <w:p w14:paraId="64C61465">
      <w:pPr>
        <w:shd w:val="clear" w:color="auto" w:fill="auto"/>
        <w:rPr>
          <w:rFonts w:hint="eastAsia" w:ascii="宋体" w:hAnsi="宋体" w:eastAsia="宋体" w:cs="宋体"/>
          <w:color w:val="auto"/>
          <w:sz w:val="24"/>
          <w:szCs w:val="24"/>
          <w:highlight w:val="none"/>
        </w:rPr>
      </w:pPr>
    </w:p>
    <w:p w14:paraId="27D521A4">
      <w:pPr>
        <w:shd w:val="clear" w:color="auto" w:fill="auto"/>
        <w:rPr>
          <w:rFonts w:hint="eastAsia" w:ascii="宋体" w:hAnsi="宋体" w:eastAsia="宋体" w:cs="宋体"/>
          <w:color w:val="auto"/>
          <w:sz w:val="24"/>
          <w:szCs w:val="24"/>
          <w:highlight w:val="none"/>
        </w:rPr>
      </w:pPr>
    </w:p>
    <w:p w14:paraId="78EF0CE4">
      <w:pPr>
        <w:shd w:val="clear" w:color="auto" w:fill="auto"/>
        <w:rPr>
          <w:rFonts w:hint="eastAsia" w:ascii="宋体" w:hAnsi="宋体" w:eastAsia="宋体" w:cs="宋体"/>
          <w:color w:val="auto"/>
          <w:sz w:val="24"/>
          <w:szCs w:val="24"/>
          <w:highlight w:val="none"/>
        </w:rPr>
      </w:pPr>
    </w:p>
    <w:p w14:paraId="61827D8D">
      <w:pPr>
        <w:shd w:val="clear" w:color="auto" w:fill="auto"/>
        <w:rPr>
          <w:rFonts w:hint="eastAsia" w:ascii="宋体" w:hAnsi="宋体" w:eastAsia="宋体" w:cs="宋体"/>
          <w:color w:val="auto"/>
          <w:sz w:val="24"/>
          <w:szCs w:val="24"/>
          <w:highlight w:val="none"/>
        </w:rPr>
      </w:pPr>
    </w:p>
    <w:p w14:paraId="28236A12">
      <w:pPr>
        <w:shd w:val="clear" w:color="auto" w:fill="auto"/>
        <w:rPr>
          <w:rFonts w:hint="eastAsia" w:ascii="宋体" w:hAnsi="宋体" w:eastAsia="宋体" w:cs="宋体"/>
          <w:color w:val="auto"/>
          <w:sz w:val="24"/>
          <w:szCs w:val="24"/>
          <w:highlight w:val="none"/>
        </w:rPr>
      </w:pPr>
    </w:p>
    <w:p w14:paraId="50EFC57A">
      <w:pPr>
        <w:shd w:val="clear" w:color="auto" w:fill="auto"/>
        <w:rPr>
          <w:rFonts w:hint="eastAsia" w:ascii="宋体" w:hAnsi="宋体" w:eastAsia="宋体" w:cs="宋体"/>
          <w:color w:val="auto"/>
          <w:sz w:val="24"/>
          <w:szCs w:val="24"/>
          <w:highlight w:val="none"/>
        </w:rPr>
      </w:pPr>
    </w:p>
    <w:p w14:paraId="74E8D92C">
      <w:pPr>
        <w:rPr>
          <w:rFonts w:hint="eastAsia" w:ascii="宋体" w:hAnsi="宋体" w:eastAsia="宋体" w:cs="宋体"/>
          <w:color w:val="auto"/>
          <w:sz w:val="24"/>
          <w:szCs w:val="24"/>
          <w:highlight w:val="none"/>
        </w:rPr>
      </w:pPr>
      <w:bookmarkStart w:id="107" w:name="_Toc11943"/>
      <w:r>
        <w:rPr>
          <w:rFonts w:hint="eastAsia" w:ascii="宋体" w:hAnsi="宋体" w:eastAsia="宋体" w:cs="宋体"/>
          <w:color w:val="auto"/>
          <w:sz w:val="24"/>
          <w:szCs w:val="24"/>
          <w:highlight w:val="none"/>
        </w:rPr>
        <w:br w:type="page"/>
      </w:r>
    </w:p>
    <w:p w14:paraId="74EDF3E5">
      <w:pPr>
        <w:pStyle w:val="6"/>
        <w:bidi w:val="0"/>
        <w:jc w:val="center"/>
        <w:rPr>
          <w:rFonts w:hint="eastAsia" w:ascii="宋体" w:hAnsi="宋体" w:eastAsia="宋体" w:cs="宋体"/>
          <w:color w:val="auto"/>
          <w:sz w:val="24"/>
          <w:szCs w:val="24"/>
          <w:highlight w:val="none"/>
          <w:lang w:eastAsia="zh-CN"/>
        </w:rPr>
      </w:pPr>
      <w:bookmarkStart w:id="108" w:name="_Toc335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、残疾人福利性单位声明函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如涉及</w:t>
      </w:r>
      <w:r>
        <w:rPr>
          <w:rFonts w:hint="eastAsia" w:ascii="宋体" w:hAnsi="宋体" w:eastAsia="宋体" w:cs="宋体"/>
          <w:color w:val="auto"/>
          <w:sz w:val="24"/>
          <w:szCs w:val="24"/>
          <w:highlight w:val="none"/>
          <w:lang w:eastAsia="zh-CN"/>
        </w:rPr>
        <w:t>）</w:t>
      </w:r>
      <w:bookmarkEnd w:id="107"/>
      <w:bookmarkEnd w:id="108"/>
    </w:p>
    <w:p w14:paraId="562F9788">
      <w:pPr>
        <w:shd w:val="clear" w:color="auto" w:fill="auto"/>
        <w:snapToGrid w:val="0"/>
        <w:spacing w:line="480" w:lineRule="auto"/>
        <w:ind w:firstLine="420"/>
        <w:rPr>
          <w:rFonts w:hint="eastAsia" w:ascii="宋体" w:hAnsi="宋体" w:eastAsia="宋体" w:cs="宋体"/>
          <w:color w:val="auto"/>
          <w:sz w:val="24"/>
          <w:szCs w:val="24"/>
          <w:highlight w:val="none"/>
        </w:rPr>
      </w:pPr>
    </w:p>
    <w:p w14:paraId="404BEAB9">
      <w:pPr>
        <w:shd w:val="clear" w:color="auto" w:fill="auto"/>
        <w:snapToGrid w:val="0"/>
        <w:spacing w:line="48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7B3F6DD">
      <w:pPr>
        <w:shd w:val="clear" w:color="auto" w:fill="auto"/>
        <w:snapToGrid w:val="0"/>
        <w:spacing w:line="48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本单位对上述声明的真实性负责。如有虚假，将依法承担相应责任。</w:t>
      </w:r>
    </w:p>
    <w:p w14:paraId="0846A859">
      <w:pPr>
        <w:shd w:val="clear" w:color="auto" w:fill="auto"/>
        <w:rPr>
          <w:rFonts w:hint="eastAsia" w:ascii="宋体" w:hAnsi="宋体" w:eastAsia="宋体" w:cs="宋体"/>
          <w:color w:val="auto"/>
          <w:sz w:val="24"/>
          <w:szCs w:val="24"/>
          <w:highlight w:val="none"/>
        </w:rPr>
      </w:pPr>
    </w:p>
    <w:p w14:paraId="203A7811">
      <w:pPr>
        <w:shd w:val="clear" w:color="auto" w:fill="auto"/>
        <w:rPr>
          <w:rFonts w:hint="eastAsia" w:ascii="宋体" w:hAnsi="宋体" w:eastAsia="宋体" w:cs="宋体"/>
          <w:color w:val="auto"/>
          <w:sz w:val="24"/>
          <w:szCs w:val="24"/>
          <w:highlight w:val="none"/>
        </w:rPr>
      </w:pPr>
    </w:p>
    <w:p w14:paraId="485E09D5">
      <w:pPr>
        <w:shd w:val="clear" w:color="auto" w:fill="auto"/>
        <w:spacing w:line="440" w:lineRule="exact"/>
        <w:ind w:left="2940" w:leftChars="1400" w:right="296" w:rightChars="1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单位名称（公章）：</w:t>
      </w:r>
    </w:p>
    <w:p w14:paraId="28CA068A">
      <w:pPr>
        <w:shd w:val="clear" w:color="auto" w:fill="auto"/>
        <w:spacing w:line="440" w:lineRule="exact"/>
        <w:ind w:left="2940" w:leftChars="1400" w:right="296" w:rightChars="1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p>
    <w:p w14:paraId="47E6FF5F">
      <w:pPr>
        <w:shd w:val="clear" w:color="auto" w:fill="auto"/>
        <w:spacing w:line="440" w:lineRule="exact"/>
        <w:ind w:right="480"/>
        <w:rPr>
          <w:rFonts w:hint="eastAsia" w:ascii="宋体" w:hAnsi="宋体" w:eastAsia="宋体" w:cs="宋体"/>
          <w:color w:val="auto"/>
          <w:sz w:val="24"/>
          <w:szCs w:val="24"/>
          <w:highlight w:val="none"/>
        </w:rPr>
      </w:pPr>
    </w:p>
    <w:p w14:paraId="155A1333">
      <w:pPr>
        <w:shd w:val="clear" w:color="auto" w:fill="auto"/>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14:paraId="3CE11791">
      <w:pPr>
        <w:shd w:val="clear" w:color="auto" w:fill="auto"/>
        <w:spacing w:line="440" w:lineRule="exact"/>
        <w:ind w:firstLine="240" w:firstLineChars="1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1、此声明函根据供应商自身情况填写，自行选择是否提供，未提供则不享受价格优惠。</w:t>
      </w:r>
    </w:p>
    <w:p w14:paraId="724DDEF5">
      <w:pPr>
        <w:shd w:val="clear" w:color="auto" w:fill="auto"/>
        <w:spacing w:line="440" w:lineRule="exact"/>
        <w:ind w:firstLine="240" w:firstLineChars="1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2、残疾人福利性单位视同小型、微型企业，享受预留份额、评审中价格扣除等促进中小企业发展的政府采购政策。残疾人福利性单位属于小型、微型企业的，不重复享受政策。</w:t>
      </w:r>
      <w:r>
        <w:rPr>
          <w:rFonts w:hint="eastAsia" w:ascii="宋体" w:hAnsi="宋体" w:eastAsia="宋体" w:cs="宋体"/>
          <w:b/>
          <w:color w:val="auto"/>
          <w:spacing w:val="6"/>
          <w:kern w:val="0"/>
          <w:sz w:val="24"/>
          <w:szCs w:val="24"/>
          <w:highlight w:val="none"/>
        </w:rPr>
        <w:t>非残疾人福利性单位，本表可不提供。</w:t>
      </w:r>
    </w:p>
    <w:p w14:paraId="3680E908">
      <w:pPr>
        <w:adjustRightInd w:val="0"/>
        <w:snapToGrid w:val="0"/>
        <w:spacing w:line="360" w:lineRule="auto"/>
        <w:ind w:firstLine="480" w:firstLineChars="200"/>
        <w:jc w:val="center"/>
        <w:rPr>
          <w:rFonts w:hint="eastAsia" w:ascii="宋体" w:hAnsi="宋体" w:eastAsia="宋体" w:cs="宋体"/>
          <w:color w:val="auto"/>
          <w:sz w:val="24"/>
          <w:szCs w:val="24"/>
          <w:highlight w:val="none"/>
          <w:lang w:val="en-US" w:eastAsia="zh-CN"/>
        </w:rPr>
      </w:pPr>
    </w:p>
    <w:p w14:paraId="0EDD9D89">
      <w:pPr>
        <w:numPr>
          <w:ilvl w:val="0"/>
          <w:numId w:val="8"/>
        </w:numPr>
        <w:shd w:val="clear" w:color="auto" w:fill="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0048B7CF">
      <w:pPr>
        <w:pStyle w:val="6"/>
        <w:bidi w:val="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20、其他材料</w:t>
      </w:r>
      <w:bookmarkEnd w:id="103"/>
    </w:p>
    <w:p w14:paraId="7CFF46DF">
      <w:pPr>
        <w:shd w:val="clear" w:color="auto" w:fill="auto"/>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rPr>
        <w:t>附:</w:t>
      </w:r>
      <w:r>
        <w:rPr>
          <w:rFonts w:hint="eastAsia" w:ascii="宋体" w:hAnsi="宋体" w:cs="宋体"/>
          <w:bCs/>
          <w:color w:val="auto"/>
          <w:sz w:val="24"/>
          <w:szCs w:val="24"/>
          <w:highlight w:val="none"/>
          <w:lang w:eastAsia="zh-CN"/>
        </w:rPr>
        <w:t>投标人</w:t>
      </w:r>
      <w:r>
        <w:rPr>
          <w:rFonts w:hint="eastAsia" w:ascii="宋体" w:hAnsi="宋体" w:eastAsia="宋体" w:cs="宋体"/>
          <w:bCs/>
          <w:color w:val="auto"/>
          <w:sz w:val="24"/>
          <w:szCs w:val="24"/>
          <w:highlight w:val="none"/>
        </w:rPr>
        <w:t>的信誉证明、获奖情况等相关材料及综合评分中评分标准及</w:t>
      </w:r>
      <w:r>
        <w:rPr>
          <w:rFonts w:hint="eastAsia" w:ascii="宋体" w:hAnsi="宋体" w:cs="宋体"/>
          <w:bCs/>
          <w:color w:val="auto"/>
          <w:sz w:val="24"/>
          <w:szCs w:val="24"/>
          <w:highlight w:val="none"/>
          <w:lang w:eastAsia="zh-CN"/>
        </w:rPr>
        <w:t>投标人</w:t>
      </w:r>
      <w:r>
        <w:rPr>
          <w:rFonts w:hint="eastAsia" w:ascii="宋体" w:hAnsi="宋体" w:eastAsia="宋体" w:cs="宋体"/>
          <w:bCs/>
          <w:color w:val="auto"/>
          <w:sz w:val="24"/>
          <w:szCs w:val="24"/>
          <w:highlight w:val="none"/>
        </w:rPr>
        <w:t>认为需要提供的其他资料。</w:t>
      </w:r>
    </w:p>
    <w:p w14:paraId="4A9835B2">
      <w:pPr>
        <w:rPr>
          <w:rFonts w:hint="eastAsia" w:ascii="宋体" w:hAnsi="宋体" w:eastAsia="宋体" w:cs="宋体"/>
          <w:color w:val="auto"/>
          <w:highlight w:val="none"/>
        </w:rPr>
      </w:pPr>
    </w:p>
    <w:p w14:paraId="760B0656">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638CD989">
      <w:pPr>
        <w:pStyle w:val="2"/>
        <w:rPr>
          <w:rFonts w:hint="eastAsia" w:ascii="宋体" w:hAnsi="宋体" w:eastAsia="宋体" w:cs="宋体"/>
          <w:color w:val="auto"/>
          <w:highlight w:val="none"/>
          <w:lang w:eastAsia="zh-CN"/>
        </w:rPr>
      </w:pPr>
      <w:bookmarkStart w:id="109" w:name="_Toc8578"/>
      <w:r>
        <w:rPr>
          <w:rFonts w:hint="eastAsia" w:ascii="宋体" w:hAnsi="宋体" w:eastAsia="宋体" w:cs="宋体"/>
          <w:color w:val="auto"/>
          <w:highlight w:val="none"/>
        </w:rPr>
        <w:t>第</w:t>
      </w:r>
      <w:r>
        <w:rPr>
          <w:rFonts w:hint="eastAsia" w:ascii="宋体" w:hAnsi="宋体" w:cs="宋体"/>
          <w:color w:val="auto"/>
          <w:highlight w:val="none"/>
          <w:lang w:eastAsia="zh-CN"/>
        </w:rPr>
        <w:t>六</w:t>
      </w:r>
      <w:r>
        <w:rPr>
          <w:rFonts w:hint="eastAsia" w:ascii="宋体" w:hAnsi="宋体" w:eastAsia="宋体" w:cs="宋体"/>
          <w:color w:val="auto"/>
          <w:highlight w:val="none"/>
        </w:rPr>
        <w:t xml:space="preserve">章  </w:t>
      </w:r>
      <w:bookmarkStart w:id="110" w:name="_Toc420948017"/>
      <w:bookmarkStart w:id="111" w:name="_Toc433187361"/>
      <w:r>
        <w:rPr>
          <w:rFonts w:hint="eastAsia" w:ascii="宋体" w:hAnsi="宋体" w:cs="宋体"/>
          <w:color w:val="auto"/>
          <w:highlight w:val="none"/>
          <w:lang w:eastAsia="zh-CN"/>
        </w:rPr>
        <w:t>政府采购合同模板</w:t>
      </w:r>
      <w:bookmarkEnd w:id="109"/>
    </w:p>
    <w:bookmarkEnd w:id="110"/>
    <w:bookmarkEnd w:id="111"/>
    <w:p w14:paraId="3FFF5D4A">
      <w:pPr>
        <w:pStyle w:val="20"/>
        <w:spacing w:after="0"/>
        <w:jc w:val="center"/>
        <w:rPr>
          <w:rFonts w:ascii="宋体" w:hAnsi="宋体" w:cs="宋体"/>
          <w:b/>
          <w:bCs/>
          <w:color w:val="auto"/>
          <w:spacing w:val="-20"/>
          <w:kern w:val="44"/>
          <w:sz w:val="48"/>
          <w:szCs w:val="48"/>
          <w:highlight w:val="none"/>
        </w:rPr>
      </w:pPr>
      <w:bookmarkStart w:id="112" w:name="_Toc3995"/>
    </w:p>
    <w:p w14:paraId="63378035">
      <w:pPr>
        <w:spacing w:line="440" w:lineRule="exact"/>
        <w:ind w:firstLine="442" w:firstLineChars="200"/>
        <w:jc w:val="center"/>
        <w:rPr>
          <w:rFonts w:ascii="宋体" w:hAnsi="宋体" w:cs="宋体"/>
          <w:b/>
          <w:bCs/>
          <w:color w:val="auto"/>
          <w:spacing w:val="-20"/>
          <w:kern w:val="44"/>
          <w:sz w:val="48"/>
          <w:szCs w:val="48"/>
          <w:highlight w:val="none"/>
        </w:rPr>
      </w:pPr>
      <w:r>
        <w:rPr>
          <w:rFonts w:hint="eastAsia"/>
          <w:b/>
          <w:color w:val="auto"/>
          <w:sz w:val="22"/>
          <w:szCs w:val="22"/>
          <w:highlight w:val="none"/>
        </w:rPr>
        <w:t>（本合同仅供参考，具体以实际签订的为准）</w:t>
      </w:r>
    </w:p>
    <w:p w14:paraId="359FA235">
      <w:pPr>
        <w:pStyle w:val="20"/>
        <w:spacing w:after="0"/>
        <w:jc w:val="center"/>
        <w:rPr>
          <w:rFonts w:ascii="宋体" w:hAnsi="宋体" w:cs="宋体"/>
          <w:b/>
          <w:bCs/>
          <w:color w:val="auto"/>
          <w:spacing w:val="-20"/>
          <w:kern w:val="44"/>
          <w:sz w:val="48"/>
          <w:szCs w:val="48"/>
          <w:highlight w:val="none"/>
        </w:rPr>
      </w:pPr>
    </w:p>
    <w:p w14:paraId="550FAABA">
      <w:pPr>
        <w:pStyle w:val="20"/>
        <w:spacing w:after="0"/>
        <w:jc w:val="center"/>
        <w:rPr>
          <w:rFonts w:ascii="宋体" w:hAnsi="宋体" w:cs="宋体"/>
          <w:b/>
          <w:bCs/>
          <w:color w:val="auto"/>
          <w:spacing w:val="-20"/>
          <w:kern w:val="44"/>
          <w:sz w:val="48"/>
          <w:szCs w:val="48"/>
          <w:highlight w:val="none"/>
        </w:rPr>
      </w:pPr>
    </w:p>
    <w:p w14:paraId="35C99438">
      <w:pPr>
        <w:pStyle w:val="20"/>
        <w:spacing w:after="0"/>
        <w:jc w:val="center"/>
        <w:rPr>
          <w:rFonts w:ascii="宋体" w:hAnsi="宋体" w:cs="宋体"/>
          <w:b/>
          <w:bCs/>
          <w:color w:val="auto"/>
          <w:spacing w:val="-20"/>
          <w:kern w:val="44"/>
          <w:sz w:val="48"/>
          <w:szCs w:val="48"/>
          <w:highlight w:val="none"/>
        </w:rPr>
      </w:pPr>
    </w:p>
    <w:p w14:paraId="724833FE">
      <w:pPr>
        <w:pStyle w:val="20"/>
        <w:spacing w:after="0"/>
        <w:jc w:val="center"/>
        <w:rPr>
          <w:rFonts w:hint="eastAsia" w:ascii="宋体" w:hAnsi="宋体" w:cs="宋体"/>
          <w:b/>
          <w:bCs/>
          <w:color w:val="auto"/>
          <w:spacing w:val="-20"/>
          <w:kern w:val="44"/>
          <w:sz w:val="48"/>
          <w:szCs w:val="48"/>
          <w:highlight w:val="none"/>
        </w:rPr>
      </w:pPr>
      <w:r>
        <w:rPr>
          <w:rFonts w:hint="eastAsia" w:ascii="宋体" w:hAnsi="宋体" w:cs="宋体"/>
          <w:b/>
          <w:bCs/>
          <w:color w:val="auto"/>
          <w:spacing w:val="-20"/>
          <w:kern w:val="44"/>
          <w:sz w:val="48"/>
          <w:szCs w:val="48"/>
          <w:highlight w:val="none"/>
        </w:rPr>
        <w:t>政府采购</w:t>
      </w:r>
      <w:r>
        <w:rPr>
          <w:rFonts w:hint="eastAsia" w:ascii="宋体" w:hAnsi="宋体" w:cs="宋体"/>
          <w:b/>
          <w:bCs/>
          <w:color w:val="auto"/>
          <w:spacing w:val="-20"/>
          <w:kern w:val="44"/>
          <w:sz w:val="48"/>
          <w:szCs w:val="48"/>
          <w:highlight w:val="none"/>
          <w:lang w:eastAsia="zh-CN"/>
        </w:rPr>
        <w:t>货物买卖</w:t>
      </w:r>
      <w:r>
        <w:rPr>
          <w:rFonts w:hint="eastAsia" w:ascii="宋体" w:hAnsi="宋体" w:cs="宋体"/>
          <w:b/>
          <w:bCs/>
          <w:color w:val="auto"/>
          <w:spacing w:val="-20"/>
          <w:kern w:val="44"/>
          <w:sz w:val="48"/>
          <w:szCs w:val="48"/>
          <w:highlight w:val="none"/>
        </w:rPr>
        <w:t>合同</w:t>
      </w:r>
    </w:p>
    <w:p w14:paraId="4952C21A">
      <w:pPr>
        <w:pStyle w:val="20"/>
        <w:spacing w:after="0"/>
        <w:jc w:val="center"/>
        <w:rPr>
          <w:rFonts w:hint="eastAsia" w:ascii="宋体" w:hAnsi="宋体" w:eastAsia="宋体" w:cs="宋体"/>
          <w:b/>
          <w:bCs/>
          <w:color w:val="auto"/>
          <w:spacing w:val="-20"/>
          <w:kern w:val="44"/>
          <w:sz w:val="48"/>
          <w:szCs w:val="48"/>
          <w:highlight w:val="none"/>
          <w:lang w:eastAsia="zh-CN"/>
        </w:rPr>
      </w:pPr>
      <w:r>
        <w:rPr>
          <w:rFonts w:hint="eastAsia" w:ascii="宋体" w:hAnsi="宋体" w:cs="宋体"/>
          <w:b/>
          <w:bCs/>
          <w:color w:val="auto"/>
          <w:spacing w:val="-20"/>
          <w:kern w:val="44"/>
          <w:sz w:val="48"/>
          <w:szCs w:val="48"/>
          <w:highlight w:val="none"/>
          <w:lang w:eastAsia="zh-CN"/>
        </w:rPr>
        <w:t>（试行）</w:t>
      </w:r>
    </w:p>
    <w:p w14:paraId="1B3A3130">
      <w:pPr>
        <w:rPr>
          <w:rFonts w:ascii="宋体" w:hAnsi="宋体" w:cs="宋体"/>
          <w:b/>
          <w:bCs/>
          <w:color w:val="auto"/>
          <w:spacing w:val="-20"/>
          <w:kern w:val="44"/>
          <w:sz w:val="40"/>
          <w:szCs w:val="40"/>
          <w:highlight w:val="none"/>
        </w:rPr>
      </w:pPr>
    </w:p>
    <w:p w14:paraId="590BEB2F">
      <w:pPr>
        <w:rPr>
          <w:rFonts w:ascii="宋体" w:hAnsi="宋体" w:cs="宋体"/>
          <w:b/>
          <w:bCs/>
          <w:color w:val="auto"/>
          <w:spacing w:val="-20"/>
          <w:kern w:val="44"/>
          <w:sz w:val="40"/>
          <w:szCs w:val="40"/>
          <w:highlight w:val="none"/>
        </w:rPr>
      </w:pPr>
    </w:p>
    <w:p w14:paraId="01A40F36">
      <w:pPr>
        <w:rPr>
          <w:rFonts w:ascii="宋体" w:hAnsi="宋体" w:cs="宋体"/>
          <w:b/>
          <w:bCs/>
          <w:color w:val="auto"/>
          <w:spacing w:val="-20"/>
          <w:kern w:val="44"/>
          <w:sz w:val="40"/>
          <w:szCs w:val="40"/>
          <w:highlight w:val="none"/>
        </w:rPr>
      </w:pPr>
    </w:p>
    <w:p w14:paraId="09133B28">
      <w:pPr>
        <w:spacing w:line="360" w:lineRule="auto"/>
        <w:ind w:left="420" w:leftChars="200"/>
        <w:rPr>
          <w:color w:val="auto"/>
          <w:sz w:val="32"/>
          <w:szCs w:val="32"/>
          <w:highlight w:val="none"/>
        </w:rPr>
      </w:pPr>
      <w:r>
        <w:rPr>
          <w:rFonts w:hint="eastAsia" w:ascii="宋体" w:hAnsi="宋体" w:cs="宋体"/>
          <w:color w:val="auto"/>
          <w:kern w:val="0"/>
          <w:sz w:val="32"/>
          <w:szCs w:val="32"/>
          <w:highlight w:val="none"/>
        </w:rPr>
        <w:t>项目名称：</w:t>
      </w:r>
      <w:r>
        <w:rPr>
          <w:rFonts w:hint="eastAsia"/>
          <w:color w:val="auto"/>
          <w:sz w:val="32"/>
          <w:szCs w:val="32"/>
          <w:highlight w:val="none"/>
          <w:u w:val="single"/>
        </w:rPr>
        <w:t xml:space="preserve">                             </w:t>
      </w:r>
    </w:p>
    <w:p w14:paraId="7369BB44">
      <w:pPr>
        <w:spacing w:line="360" w:lineRule="auto"/>
        <w:ind w:left="420" w:leftChars="200"/>
        <w:rPr>
          <w:color w:val="auto"/>
          <w:sz w:val="32"/>
          <w:szCs w:val="32"/>
          <w:highlight w:val="none"/>
          <w:u w:val="single"/>
        </w:rPr>
      </w:pPr>
      <w:r>
        <w:rPr>
          <w:rFonts w:hint="eastAsia"/>
          <w:color w:val="auto"/>
          <w:sz w:val="32"/>
          <w:szCs w:val="32"/>
          <w:highlight w:val="none"/>
        </w:rPr>
        <w:t>合同编号：</w:t>
      </w:r>
      <w:r>
        <w:rPr>
          <w:rFonts w:hint="eastAsia"/>
          <w:color w:val="auto"/>
          <w:sz w:val="32"/>
          <w:szCs w:val="32"/>
          <w:highlight w:val="none"/>
          <w:u w:val="single"/>
        </w:rPr>
        <w:t xml:space="preserve">                             </w:t>
      </w:r>
    </w:p>
    <w:p w14:paraId="0B445BB5">
      <w:pPr>
        <w:spacing w:line="360" w:lineRule="auto"/>
        <w:ind w:left="420" w:leftChars="200"/>
        <w:rPr>
          <w:color w:val="auto"/>
          <w:sz w:val="32"/>
          <w:szCs w:val="32"/>
          <w:highlight w:val="none"/>
        </w:rPr>
      </w:pPr>
      <w:r>
        <w:rPr>
          <w:rFonts w:hint="eastAsia"/>
          <w:color w:val="auto"/>
          <w:sz w:val="32"/>
          <w:szCs w:val="32"/>
          <w:highlight w:val="none"/>
        </w:rPr>
        <w:t>甲    方：</w:t>
      </w:r>
      <w:r>
        <w:rPr>
          <w:rFonts w:hint="eastAsia"/>
          <w:color w:val="auto"/>
          <w:sz w:val="32"/>
          <w:szCs w:val="32"/>
          <w:highlight w:val="none"/>
          <w:u w:val="single"/>
        </w:rPr>
        <w:t xml:space="preserve">                             </w:t>
      </w:r>
    </w:p>
    <w:p w14:paraId="349E919C">
      <w:pPr>
        <w:spacing w:line="360" w:lineRule="auto"/>
        <w:ind w:left="420" w:leftChars="200"/>
        <w:rPr>
          <w:color w:val="auto"/>
          <w:sz w:val="32"/>
          <w:szCs w:val="32"/>
          <w:highlight w:val="none"/>
          <w:u w:val="single"/>
        </w:rPr>
      </w:pPr>
      <w:r>
        <w:rPr>
          <w:rFonts w:hint="eastAsia"/>
          <w:color w:val="auto"/>
          <w:sz w:val="32"/>
          <w:szCs w:val="32"/>
          <w:highlight w:val="none"/>
        </w:rPr>
        <w:t>乙    方：</w:t>
      </w:r>
      <w:r>
        <w:rPr>
          <w:rFonts w:hint="eastAsia"/>
          <w:color w:val="auto"/>
          <w:sz w:val="32"/>
          <w:szCs w:val="32"/>
          <w:highlight w:val="none"/>
          <w:u w:val="single"/>
        </w:rPr>
        <w:t xml:space="preserve">                             </w:t>
      </w:r>
    </w:p>
    <w:p w14:paraId="2BA86EC8">
      <w:pPr>
        <w:spacing w:line="360" w:lineRule="auto"/>
        <w:ind w:left="420" w:leftChars="200"/>
        <w:rPr>
          <w:color w:val="auto"/>
          <w:sz w:val="32"/>
          <w:szCs w:val="32"/>
          <w:highlight w:val="none"/>
        </w:rPr>
      </w:pPr>
      <w:r>
        <w:rPr>
          <w:rFonts w:hint="eastAsia"/>
          <w:color w:val="auto"/>
          <w:sz w:val="32"/>
          <w:szCs w:val="32"/>
          <w:highlight w:val="none"/>
        </w:rPr>
        <w:t>签订时间：</w:t>
      </w:r>
      <w:r>
        <w:rPr>
          <w:rFonts w:hint="eastAsia"/>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u w:val="single"/>
        </w:rPr>
        <w:t xml:space="preserve">            </w:t>
      </w:r>
    </w:p>
    <w:p w14:paraId="10293AAF">
      <w:pPr>
        <w:rPr>
          <w:color w:val="auto"/>
          <w:highlight w:val="none"/>
        </w:rPr>
      </w:pPr>
    </w:p>
    <w:p w14:paraId="3FE4843B">
      <w:pPr>
        <w:rPr>
          <w:rFonts w:eastAsia="黑体"/>
          <w:color w:val="auto"/>
          <w:sz w:val="44"/>
          <w:szCs w:val="44"/>
          <w:highlight w:val="none"/>
        </w:rPr>
      </w:pPr>
      <w:r>
        <w:rPr>
          <w:rFonts w:eastAsia="黑体"/>
          <w:color w:val="auto"/>
          <w:sz w:val="44"/>
          <w:szCs w:val="44"/>
          <w:highlight w:val="none"/>
        </w:rPr>
        <w:br w:type="page"/>
      </w:r>
    </w:p>
    <w:p w14:paraId="54A291E5">
      <w:pPr>
        <w:rPr>
          <w:rFonts w:eastAsia="黑体"/>
          <w:color w:val="auto"/>
          <w:sz w:val="44"/>
          <w:szCs w:val="44"/>
          <w:highlight w:val="none"/>
        </w:rPr>
      </w:pPr>
    </w:p>
    <w:p w14:paraId="4F5092A4">
      <w:pPr>
        <w:rPr>
          <w:rFonts w:eastAsia="黑体"/>
          <w:color w:val="auto"/>
          <w:sz w:val="44"/>
          <w:szCs w:val="44"/>
          <w:highlight w:val="none"/>
        </w:rPr>
      </w:pPr>
    </w:p>
    <w:p w14:paraId="611EEDC9">
      <w:pPr>
        <w:jc w:val="center"/>
        <w:rPr>
          <w:rFonts w:hint="eastAsia" w:eastAsia="黑体"/>
          <w:color w:val="auto"/>
          <w:sz w:val="44"/>
          <w:szCs w:val="44"/>
          <w:highlight w:val="none"/>
          <w:lang w:eastAsia="zh-CN"/>
        </w:rPr>
      </w:pPr>
      <w:r>
        <w:rPr>
          <w:rFonts w:hint="eastAsia" w:eastAsia="黑体"/>
          <w:color w:val="auto"/>
          <w:sz w:val="44"/>
          <w:szCs w:val="44"/>
          <w:highlight w:val="none"/>
          <w:lang w:eastAsia="zh-CN"/>
        </w:rPr>
        <w:t>使</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用</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说</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明</w:t>
      </w:r>
    </w:p>
    <w:p w14:paraId="69866933">
      <w:pPr>
        <w:ind w:firstLine="640" w:firstLineChars="200"/>
        <w:rPr>
          <w:rFonts w:hint="eastAsia" w:ascii="仿宋_GB2312" w:hAnsi="仿宋_GB2312" w:eastAsia="仿宋_GB2312" w:cs="仿宋_GB2312"/>
          <w:color w:val="auto"/>
          <w:sz w:val="32"/>
          <w:szCs w:val="32"/>
          <w:highlight w:val="none"/>
          <w:lang w:val="en-US" w:eastAsia="zh-CN"/>
        </w:rPr>
      </w:pPr>
    </w:p>
    <w:p w14:paraId="240E3E09">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1.本合同标准文本适用于购买现成货物的采购项目，不包括需要供应商定制开发、创新研发的货物采购项目。</w:t>
      </w:r>
    </w:p>
    <w:p w14:paraId="65C56507">
      <w:pPr>
        <w:ind w:firstLine="0" w:firstLineChars="0"/>
        <w:rPr>
          <w:rFonts w:hint="default" w:eastAsia="黑体"/>
          <w:color w:val="auto"/>
          <w:sz w:val="44"/>
          <w:szCs w:val="44"/>
          <w:highlight w:val="none"/>
          <w:lang w:val="en-US" w:eastAsia="zh-CN"/>
        </w:rPr>
      </w:pPr>
      <w:r>
        <w:rPr>
          <w:rFonts w:hint="eastAsia" w:eastAsia="黑体"/>
          <w:color w:val="auto"/>
          <w:sz w:val="44"/>
          <w:szCs w:val="44"/>
          <w:highlight w:val="none"/>
          <w:lang w:val="en-US" w:eastAsia="zh-CN"/>
        </w:rPr>
        <w:t xml:space="preserve">   </w:t>
      </w:r>
      <w:r>
        <w:rPr>
          <w:rFonts w:hint="eastAsia" w:ascii="仿宋_GB2312" w:hAnsi="仿宋_GB2312" w:eastAsia="仿宋_GB2312" w:cs="仿宋_GB2312"/>
          <w:color w:val="auto"/>
          <w:sz w:val="32"/>
          <w:szCs w:val="32"/>
          <w:highlight w:val="none"/>
          <w:lang w:val="en-US" w:eastAsia="zh-CN"/>
        </w:rPr>
        <w:t>2.本合同标准文本为政府采购货物买卖合同编制提供参考，可以结合采购项目具体情况，对文本作必要的调整修订后使用。</w:t>
      </w:r>
    </w:p>
    <w:p w14:paraId="6F424663">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3.本合同标准文本各条款中，如涉及填写多家供应商、制造商，多种采购标的、分包主要内容等信息的，可根据采购项目具体情况添加信息项。</w:t>
      </w:r>
    </w:p>
    <w:p w14:paraId="26045532">
      <w:pPr>
        <w:ind w:firstLine="880" w:firstLineChars="200"/>
        <w:jc w:val="both"/>
        <w:rPr>
          <w:rFonts w:eastAsia="黑体"/>
          <w:color w:val="auto"/>
          <w:sz w:val="44"/>
          <w:szCs w:val="4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112"/>
    <w:p w14:paraId="50A27907">
      <w:pPr>
        <w:rPr>
          <w:rFonts w:hint="eastAsia"/>
          <w:color w:val="auto"/>
          <w:highlight w:val="none"/>
        </w:rPr>
      </w:pPr>
      <w:bookmarkStart w:id="113" w:name="_Toc22209"/>
    </w:p>
    <w:p w14:paraId="6116C038">
      <w:pPr>
        <w:pStyle w:val="4"/>
        <w:adjustRightInd w:val="0"/>
        <w:snapToGrid w:val="0"/>
        <w:spacing w:beforeLines="0" w:line="400" w:lineRule="exact"/>
        <w:jc w:val="center"/>
        <w:rPr>
          <w:rFonts w:hint="eastAsia" w:ascii="黑体" w:hAnsi="华文中宋" w:eastAsia="黑体"/>
          <w:b w:val="0"/>
          <w:bCs w:val="0"/>
          <w:color w:val="auto"/>
          <w:sz w:val="28"/>
          <w:szCs w:val="28"/>
          <w:highlight w:val="none"/>
        </w:rPr>
      </w:pPr>
      <w:bookmarkStart w:id="114" w:name="_Toc28923"/>
      <w:r>
        <w:rPr>
          <w:rFonts w:hint="eastAsia" w:ascii="黑体" w:hAnsi="黑体" w:eastAsia="黑体"/>
          <w:b w:val="0"/>
          <w:bCs w:val="0"/>
          <w:color w:val="auto"/>
          <w:sz w:val="28"/>
          <w:szCs w:val="28"/>
          <w:highlight w:val="none"/>
        </w:rPr>
        <w:t xml:space="preserve">第一节 </w:t>
      </w:r>
      <w:r>
        <w:rPr>
          <w:rFonts w:hint="eastAsia" w:ascii="黑体" w:hAnsi="华文中宋" w:eastAsia="黑体"/>
          <w:b w:val="0"/>
          <w:bCs w:val="0"/>
          <w:color w:val="auto"/>
          <w:sz w:val="28"/>
          <w:szCs w:val="28"/>
          <w:highlight w:val="none"/>
        </w:rPr>
        <w:t>政府采购合同协议书</w:t>
      </w:r>
      <w:bookmarkEnd w:id="113"/>
      <w:bookmarkEnd w:id="114"/>
    </w:p>
    <w:p w14:paraId="12882CB1">
      <w:pPr>
        <w:rPr>
          <w:rFonts w:hint="eastAsia"/>
          <w:color w:val="auto"/>
          <w:highlight w:val="none"/>
        </w:rPr>
      </w:pPr>
    </w:p>
    <w:p w14:paraId="3538CFE2">
      <w:pP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或采购</w:t>
      </w:r>
      <w:r>
        <w:rPr>
          <w:rFonts w:hint="eastAsia" w:ascii="宋体" w:hAnsi="宋体"/>
          <w:color w:val="auto"/>
          <w:szCs w:val="21"/>
          <w:highlight w:val="none"/>
          <w:lang w:val="en-US" w:eastAsia="zh-CN"/>
        </w:rPr>
        <w:tab/>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文件约定的合同甲方）</w:t>
      </w:r>
    </w:p>
    <w:p w14:paraId="03353534">
      <w:pP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val="en-US" w:eastAsia="zh-CN"/>
        </w:rPr>
        <w:t>1</w:t>
      </w:r>
      <w:r>
        <w:rPr>
          <w:rFonts w:hint="eastAsia" w:ascii="宋体" w:hAnsi="宋体"/>
          <w:color w:val="auto"/>
          <w:szCs w:val="21"/>
          <w:highlight w:val="none"/>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14:paraId="6F6A4070">
      <w:pPr>
        <w:adjustRightInd w:val="0"/>
        <w:snapToGrid w:val="0"/>
        <w:spacing w:before="0" w:beforeLines="0" w:line="400" w:lineRule="exact"/>
        <w:rPr>
          <w:rFonts w:hint="eastAsia" w:ascii="宋体" w:hAnsi="宋体"/>
          <w:color w:val="auto"/>
          <w:szCs w:val="21"/>
          <w:highlight w:val="none"/>
        </w:rPr>
      </w:pPr>
      <w:r>
        <w:rPr>
          <w:rFonts w:hint="eastAsia" w:ascii="宋体" w:hAnsi="宋体"/>
          <w:color w:val="auto"/>
          <w:szCs w:val="21"/>
          <w:highlight w:val="none"/>
        </w:rPr>
        <w:t>乙方2（全称）：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623AAB6B">
      <w:pPr>
        <w:adjustRightInd w:val="0"/>
        <w:snapToGrid w:val="0"/>
        <w:spacing w:before="0" w:beforeLines="0" w:line="400" w:lineRule="exact"/>
        <w:rPr>
          <w:rFonts w:hint="eastAsia" w:ascii="宋体" w:hAnsi="宋体"/>
          <w:color w:val="auto"/>
          <w:szCs w:val="21"/>
          <w:highlight w:val="none"/>
        </w:rPr>
      </w:pPr>
      <w:r>
        <w:rPr>
          <w:rFonts w:hint="eastAsia"/>
          <w:color w:val="auto"/>
          <w:highlight w:val="none"/>
          <w:lang w:eastAsia="zh-CN"/>
        </w:rPr>
        <w:t>乙方</w:t>
      </w:r>
      <w:r>
        <w:rPr>
          <w:rFonts w:hint="eastAsia" w:ascii="宋体" w:hAnsi="宋体"/>
          <w:color w:val="auto"/>
          <w:szCs w:val="21"/>
          <w:highlight w:val="none"/>
          <w:lang w:val="en-US" w:eastAsia="zh-CN"/>
        </w:rPr>
        <w:t>3</w:t>
      </w:r>
      <w:r>
        <w:rPr>
          <w:rFonts w:hint="eastAsia"/>
          <w:color w:val="auto"/>
          <w:highlight w:val="none"/>
          <w:lang w:val="en-US" w:eastAsia="zh-CN"/>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426C4AF7">
      <w:pPr>
        <w:spacing w:beforeLines="0" w:line="400" w:lineRule="exact"/>
        <w:rPr>
          <w:rFonts w:hint="default" w:eastAsia="宋体"/>
          <w:color w:val="auto"/>
          <w:highlight w:val="none"/>
          <w:lang w:val="en-US" w:eastAsia="zh-CN"/>
        </w:rPr>
      </w:pPr>
    </w:p>
    <w:p w14:paraId="5DFE3976">
      <w:pPr>
        <w:pStyle w:val="21"/>
        <w:adjustRightInd w:val="0"/>
        <w:snapToGrid w:val="0"/>
        <w:spacing w:before="0" w:beforeLines="0" w:after="0" w:line="400" w:lineRule="exact"/>
        <w:ind w:left="0" w:leftChars="0" w:firstLine="420" w:firstLineChars="200"/>
        <w:rPr>
          <w:rFonts w:ascii="宋体" w:hAnsi="宋体"/>
          <w:color w:val="auto"/>
          <w:szCs w:val="21"/>
          <w:highlight w:val="none"/>
        </w:rPr>
      </w:pPr>
      <w:r>
        <w:rPr>
          <w:rFonts w:hint="eastAsia" w:ascii="宋体" w:hAnsi="宋体"/>
          <w:color w:val="auto"/>
          <w:szCs w:val="21"/>
          <w:highlight w:val="none"/>
        </w:rPr>
        <w:t>依据《中华人民共和国民法典》</w:t>
      </w:r>
      <w:r>
        <w:rPr>
          <w:rFonts w:hint="eastAsia" w:ascii="宋体" w:hAnsi="宋体"/>
          <w:color w:val="auto"/>
          <w:szCs w:val="21"/>
          <w:highlight w:val="none"/>
          <w:lang w:eastAsia="zh-CN"/>
        </w:rPr>
        <w:t>、</w:t>
      </w:r>
      <w:r>
        <w:rPr>
          <w:rFonts w:hint="eastAsia" w:ascii="宋体" w:hAnsi="宋体"/>
          <w:color w:val="auto"/>
          <w:szCs w:val="21"/>
          <w:highlight w:val="none"/>
        </w:rPr>
        <w:t>《中华人民共和国政府采购法》等有关的法律法规，以及</w:t>
      </w:r>
      <w:r>
        <w:rPr>
          <w:rFonts w:hint="eastAsia" w:ascii="宋体" w:hAnsi="宋体"/>
          <w:i w:val="0"/>
          <w:iCs w:val="0"/>
          <w:color w:val="auto"/>
          <w:szCs w:val="21"/>
          <w:highlight w:val="none"/>
          <w:u w:val="none"/>
          <w:lang w:eastAsia="zh-CN"/>
        </w:rPr>
        <w:t>本采购项目</w:t>
      </w:r>
      <w:r>
        <w:rPr>
          <w:rFonts w:hint="eastAsia" w:ascii="宋体" w:hAnsi="宋体"/>
          <w:color w:val="auto"/>
          <w:szCs w:val="21"/>
          <w:highlight w:val="none"/>
        </w:rPr>
        <w:t>的</w:t>
      </w:r>
      <w:r>
        <w:rPr>
          <w:rFonts w:hint="eastAsia" w:ascii="宋体" w:hAnsi="宋体"/>
          <w:color w:val="auto"/>
          <w:szCs w:val="21"/>
          <w:highlight w:val="none"/>
          <w:lang w:eastAsia="zh-CN"/>
        </w:rPr>
        <w:t>招标</w:t>
      </w:r>
      <w:r>
        <w:rPr>
          <w:rFonts w:hint="eastAsia" w:ascii="宋体" w:hAnsi="宋体"/>
          <w:color w:val="auto"/>
          <w:szCs w:val="21"/>
          <w:highlight w:val="none"/>
          <w:lang w:val="en-US" w:eastAsia="zh-CN"/>
        </w:rPr>
        <w:t>/谈判</w:t>
      </w:r>
      <w:r>
        <w:rPr>
          <w:rFonts w:hint="eastAsia" w:ascii="宋体" w:hAnsi="宋体"/>
          <w:color w:val="auto"/>
          <w:szCs w:val="21"/>
          <w:highlight w:val="none"/>
          <w:lang w:eastAsia="zh-CN"/>
        </w:rPr>
        <w:t>文件等</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 xml:space="preserve">乙方的《投标（响应）文件》及《中标（成交）通知书》，甲乙双方同意签订本合同。具体情况及要求如下：     </w:t>
      </w:r>
    </w:p>
    <w:p w14:paraId="3D1F5BEF">
      <w:pPr>
        <w:numPr>
          <w:ilvl w:val="0"/>
          <w:numId w:val="9"/>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项目信息</w:t>
      </w:r>
    </w:p>
    <w:p w14:paraId="788A0752">
      <w:pPr>
        <w:pStyle w:val="21"/>
        <w:numPr>
          <w:ilvl w:val="0"/>
          <w:numId w:val="10"/>
        </w:numPr>
        <w:adjustRightInd w:val="0"/>
        <w:snapToGrid w:val="0"/>
        <w:spacing w:before="0" w:beforeLines="0" w:after="0" w:line="400" w:lineRule="exact"/>
        <w:ind w:left="0" w:leftChars="0" w:firstLine="420" w:firstLineChars="200"/>
        <w:rPr>
          <w:rFonts w:ascii="宋体" w:hAnsi="宋体"/>
          <w:color w:val="auto"/>
          <w:szCs w:val="21"/>
          <w:highlight w:val="none"/>
          <w:u w:val="single"/>
        </w:rPr>
      </w:pPr>
      <w:r>
        <w:rPr>
          <w:rFonts w:hint="eastAsia" w:ascii="宋体" w:hAnsi="宋体"/>
          <w:color w:val="auto"/>
          <w:szCs w:val="21"/>
          <w:highlight w:val="none"/>
        </w:rPr>
        <w:t>采购项目名称：</w:t>
      </w:r>
      <w:r>
        <w:rPr>
          <w:rFonts w:ascii="宋体" w:hAnsi="宋体"/>
          <w:color w:val="auto"/>
          <w:szCs w:val="21"/>
          <w:highlight w:val="none"/>
          <w:u w:val="single"/>
        </w:rPr>
        <w:t xml:space="preserve">                                          </w:t>
      </w:r>
    </w:p>
    <w:p w14:paraId="5E787B05">
      <w:pPr>
        <w:pStyle w:val="21"/>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color w:val="auto"/>
          <w:szCs w:val="21"/>
          <w:highlight w:val="none"/>
          <w:u w:val="none"/>
          <w:lang w:val="en-US" w:eastAsia="zh-CN"/>
        </w:rPr>
      </w:pPr>
      <w:r>
        <w:rPr>
          <w:rFonts w:hint="eastAsia" w:ascii="宋体" w:hAnsi="宋体"/>
          <w:color w:val="auto"/>
          <w:szCs w:val="21"/>
          <w:highlight w:val="none"/>
          <w:u w:val="none"/>
          <w:lang w:val="en-US" w:eastAsia="zh-CN"/>
        </w:rPr>
        <w:t xml:space="preserve">         采购项目编号：</w:t>
      </w:r>
      <w:r>
        <w:rPr>
          <w:rFonts w:ascii="宋体" w:hAnsi="宋体"/>
          <w:color w:val="auto"/>
          <w:szCs w:val="21"/>
          <w:highlight w:val="none"/>
          <w:u w:val="single"/>
        </w:rPr>
        <w:t xml:space="preserve">                                          </w:t>
      </w:r>
    </w:p>
    <w:p w14:paraId="5B62428E">
      <w:pPr>
        <w:pStyle w:val="21"/>
        <w:adjustRightInd w:val="0"/>
        <w:snapToGrid w:val="0"/>
        <w:spacing w:before="0" w:beforeLines="0" w:after="0" w:line="400" w:lineRule="exact"/>
        <w:ind w:left="0" w:leftChars="0" w:firstLine="420" w:firstLineChars="200"/>
        <w:rPr>
          <w:rFonts w:ascii="宋体" w:hAnsi="宋体"/>
          <w:color w:val="auto"/>
          <w:szCs w:val="21"/>
          <w:highlight w:val="none"/>
        </w:rPr>
      </w:pPr>
      <w:r>
        <w:rPr>
          <w:rFonts w:hint="eastAsia" w:ascii="宋体" w:hAnsi="宋体"/>
          <w:color w:val="auto"/>
          <w:szCs w:val="21"/>
          <w:highlight w:val="none"/>
        </w:rPr>
        <w:t>（2）采购计划编号：</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p>
    <w:p w14:paraId="522267CB">
      <w:pPr>
        <w:adjustRightInd w:val="0"/>
        <w:snapToGrid w:val="0"/>
        <w:spacing w:before="0" w:beforeLines="0"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（3）项目内容：</w:t>
      </w:r>
    </w:p>
    <w:p w14:paraId="276A1887">
      <w:pPr>
        <w:adjustRightInd w:val="0"/>
        <w:snapToGrid w:val="0"/>
        <w:spacing w:before="0" w:beforeLines="0" w:line="40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采购标的及数量</w:t>
      </w:r>
      <w:r>
        <w:rPr>
          <w:rFonts w:hint="eastAsia" w:ascii="宋体" w:hAnsi="宋体"/>
          <w:color w:val="auto"/>
          <w:szCs w:val="21"/>
          <w:highlight w:val="none"/>
          <w:lang w:val="en-US" w:eastAsia="zh-CN"/>
        </w:rPr>
        <w:t>（台/套</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个</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架</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组等</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lang w:val="en-US" w:eastAsia="zh-CN"/>
        </w:rPr>
        <w:t xml:space="preserve"> </w:t>
      </w:r>
    </w:p>
    <w:p w14:paraId="49382260">
      <w:pPr>
        <w:numPr>
          <w:ilvl w:val="-1"/>
          <w:numId w:val="0"/>
        </w:numPr>
        <w:adjustRightInd w:val="0"/>
        <w:snapToGrid w:val="0"/>
        <w:spacing w:before="0" w:beforeLines="0" w:line="400" w:lineRule="exact"/>
        <w:ind w:firstLine="420" w:firstLineChars="200"/>
        <w:rPr>
          <w:rFonts w:hint="default" w:ascii="宋体" w:hAnsi="宋体" w:cs="宋体"/>
          <w:color w:val="auto"/>
          <w:szCs w:val="21"/>
          <w:highlight w:val="none"/>
          <w:lang w:val="en" w:eastAsia="zh-CN"/>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none"/>
          <w:lang w:val="en" w:eastAsia="zh-CN"/>
        </w:rPr>
        <w:t xml:space="preserve">     </w:t>
      </w:r>
      <w:r>
        <w:rPr>
          <w:rFonts w:hint="eastAsia" w:ascii="宋体" w:hAnsi="宋体" w:cs="宋体"/>
          <w:color w:val="auto"/>
          <w:szCs w:val="21"/>
          <w:highlight w:val="none"/>
          <w:lang w:val="en-US" w:eastAsia="zh-CN"/>
        </w:rPr>
        <w:t>规格型号：</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p>
    <w:p w14:paraId="3E0F97AA">
      <w:pPr>
        <w:adjustRightInd w:val="0"/>
        <w:snapToGrid w:val="0"/>
        <w:spacing w:before="0" w:beforeLines="0"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u w:val="none"/>
          <w:lang w:val="en-US" w:eastAsia="zh-CN"/>
        </w:rPr>
        <w:t>采购标的的技术要求、商务要求具体见附件。</w:t>
      </w:r>
    </w:p>
    <w:p w14:paraId="5CBEF360">
      <w:pPr>
        <w:numPr>
          <w:ilvl w:val="-1"/>
          <w:numId w:val="0"/>
        </w:numPr>
        <w:adjustRightInd w:val="0"/>
        <w:snapToGrid w:val="0"/>
        <w:spacing w:before="0" w:beforeLines="0" w:line="400" w:lineRule="exact"/>
        <w:ind w:firstLine="945" w:firstLineChars="450"/>
        <w:rPr>
          <w:rFonts w:hint="eastAsia" w:ascii="宋体" w:hAnsi="宋体" w:cs="宋体"/>
          <w:color w:val="auto"/>
          <w:szCs w:val="21"/>
          <w:highlight w:val="none"/>
          <w:lang w:val="en-US" w:eastAsia="zh-CN"/>
        </w:rPr>
      </w:pPr>
      <w:r>
        <w:rPr>
          <w:rFonts w:hint="eastAsia" w:ascii="汉仪书宋二S" w:hAnsi="汉仪书宋二S" w:eastAsia="汉仪书宋二S" w:cs="汉仪书宋二S"/>
          <w:color w:val="auto"/>
          <w:szCs w:val="21"/>
          <w:highlight w:val="none"/>
          <w:lang w:val="en-US" w:eastAsia="zh-CN"/>
        </w:rPr>
        <w:t>①</w:t>
      </w:r>
      <w:r>
        <w:rPr>
          <w:rFonts w:hint="eastAsia" w:ascii="宋体" w:hAnsi="宋体" w:cs="宋体"/>
          <w:color w:val="auto"/>
          <w:szCs w:val="21"/>
          <w:highlight w:val="none"/>
          <w:lang w:val="en-US" w:eastAsia="zh-CN"/>
        </w:rPr>
        <w:t>涉及信息类产品，请填写该产品关键部件的品牌、型号：</w:t>
      </w:r>
    </w:p>
    <w:p w14:paraId="6E222066">
      <w:pPr>
        <w:numPr>
          <w:ilvl w:val="-1"/>
          <w:numId w:val="0"/>
        </w:numPr>
        <w:adjustRightInd w:val="0"/>
        <w:snapToGrid w:val="0"/>
        <w:spacing w:before="0" w:beforeLines="0" w:line="400" w:lineRule="exact"/>
        <w:ind w:firstLine="420" w:firstLineChars="200"/>
        <w:rPr>
          <w:rFonts w:hint="eastAsia" w:ascii="宋体" w:hAnsi="宋体" w:cs="宋体"/>
          <w:color w:val="auto"/>
          <w:kern w:val="0"/>
          <w:szCs w:val="21"/>
          <w:highlight w:val="none"/>
          <w:u w:val="single"/>
          <w:lang w:val="en-US" w:eastAsia="zh-CN"/>
        </w:rPr>
      </w:pPr>
      <w:r>
        <w:rPr>
          <w:rFonts w:hint="eastAsia" w:ascii="宋体" w:hAnsi="宋体" w:cs="宋体"/>
          <w:color w:val="auto"/>
          <w:szCs w:val="21"/>
          <w:highlight w:val="none"/>
          <w:lang w:val="en-US" w:eastAsia="zh-CN"/>
        </w:rPr>
        <w:t xml:space="preserve">     标的名称：</w:t>
      </w:r>
      <w:r>
        <w:rPr>
          <w:rFonts w:hint="eastAsia" w:ascii="宋体" w:hAnsi="宋体" w:cs="宋体"/>
          <w:color w:val="auto"/>
          <w:kern w:val="0"/>
          <w:szCs w:val="21"/>
          <w:highlight w:val="none"/>
          <w:u w:val="single"/>
          <w:lang w:val="en-US" w:eastAsia="zh-CN"/>
        </w:rPr>
        <w:t xml:space="preserve">      </w:t>
      </w:r>
      <w:r>
        <w:rPr>
          <w:rFonts w:hint="default" w:ascii="宋体" w:hAnsi="宋体" w:cs="宋体"/>
          <w:color w:val="auto"/>
          <w:kern w:val="0"/>
          <w:szCs w:val="21"/>
          <w:highlight w:val="none"/>
          <w:u w:val="single"/>
          <w:lang w:val="en" w:eastAsia="zh-CN"/>
        </w:rPr>
        <w:t xml:space="preserve">               </w:t>
      </w:r>
      <w:r>
        <w:rPr>
          <w:rFonts w:hint="eastAsia" w:ascii="宋体" w:hAnsi="宋体" w:cs="宋体"/>
          <w:color w:val="auto"/>
          <w:kern w:val="0"/>
          <w:szCs w:val="21"/>
          <w:highlight w:val="none"/>
          <w:u w:val="single"/>
          <w:lang w:val="en-US" w:eastAsia="zh-CN"/>
        </w:rPr>
        <w:t xml:space="preserve">    </w:t>
      </w:r>
    </w:p>
    <w:p w14:paraId="7D698FF3">
      <w:pPr>
        <w:numPr>
          <w:ilvl w:val="-1"/>
          <w:numId w:val="0"/>
        </w:numPr>
        <w:adjustRightInd w:val="0"/>
        <w:snapToGrid w:val="0"/>
        <w:spacing w:before="0" w:beforeLines="0"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     关键部件：</w:t>
      </w:r>
      <w:r>
        <w:rPr>
          <w:rFonts w:hint="eastAsia" w:ascii="宋体" w:hAnsi="宋体" w:cs="宋体"/>
          <w:color w:val="auto"/>
          <w:kern w:val="0"/>
          <w:szCs w:val="21"/>
          <w:highlight w:val="none"/>
          <w:u w:val="single"/>
          <w:lang w:val="en-US" w:eastAsia="zh-CN"/>
        </w:rPr>
        <w:t xml:space="preserve">          </w:t>
      </w:r>
      <w:r>
        <w:rPr>
          <w:rFonts w:hint="eastAsia" w:ascii="宋体" w:hAnsi="宋体" w:cs="宋体"/>
          <w:color w:val="auto"/>
          <w:kern w:val="0"/>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型号：</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p>
    <w:p w14:paraId="2FE93B6F">
      <w:pPr>
        <w:pStyle w:val="62"/>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kern w:val="2"/>
          <w:sz w:val="21"/>
          <w:szCs w:val="21"/>
          <w:highlight w:val="none"/>
          <w:lang w:val="en-US" w:eastAsia="zh-CN"/>
        </w:rPr>
        <w:t>关键部件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60708FB6">
      <w:pPr>
        <w:pStyle w:val="62"/>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p>
    <w:p w14:paraId="25156513">
      <w:pPr>
        <w:pStyle w:val="62"/>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69F714B6">
      <w:pPr>
        <w:pStyle w:val="62"/>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汉仪书宋二S" w:hAnsi="汉仪书宋二S" w:eastAsia="汉仪书宋二S" w:cs="汉仪书宋二S"/>
          <w:color w:val="auto"/>
          <w:sz w:val="21"/>
          <w:szCs w:val="21"/>
          <w:highlight w:val="none"/>
          <w:lang w:val="en-US" w:eastAsia="zh-CN"/>
        </w:rPr>
        <w:t>②</w:t>
      </w:r>
      <w:r>
        <w:rPr>
          <w:rFonts w:hint="eastAsia" w:ascii="宋体" w:hAnsi="宋体" w:eastAsia="宋体" w:cs="宋体"/>
          <w:color w:val="auto"/>
          <w:sz w:val="21"/>
          <w:szCs w:val="21"/>
          <w:highlight w:val="none"/>
          <w:lang w:val="en-US" w:eastAsia="zh-CN"/>
        </w:rPr>
        <w:t>涉及车辆采购，请填写是否属于新能源汽车：</w:t>
      </w:r>
    </w:p>
    <w:p w14:paraId="5E18C664">
      <w:pPr>
        <w:pStyle w:val="62"/>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rPr>
        <w:t>是</w:t>
      </w:r>
      <w:r>
        <w:rPr>
          <w:rFonts w:hint="eastAsia" w:asciiTheme="minorEastAsia" w:hAnsiTheme="minorEastAsia" w:eastAsiaTheme="minorEastAsia" w:cstheme="minorEastAsia"/>
          <w:iCs w:val="0"/>
          <w:color w:val="auto"/>
          <w:sz w:val="21"/>
          <w:szCs w:val="21"/>
          <w:highlight w:val="none"/>
          <w:lang w:eastAsia="zh-CN"/>
        </w:rPr>
        <w:t>，《政府采购品目分类目录》底级品目名称</w:t>
      </w:r>
      <w:r>
        <w:rPr>
          <w:rFonts w:hint="eastAsia" w:asciiTheme="minorEastAsia" w:hAnsiTheme="minorEastAsia" w:eastAsiaTheme="minorEastAsia" w:cstheme="minorEastAsia"/>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数量：</w:t>
      </w:r>
      <w:r>
        <w:rPr>
          <w:rFonts w:hint="eastAsia" w:asciiTheme="minorEastAsia" w:hAnsiTheme="minorEastAsia" w:eastAsiaTheme="minorEastAsia" w:cstheme="minorEastAsia"/>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iCs w:val="0"/>
          <w:color w:val="auto"/>
          <w:sz w:val="21"/>
          <w:szCs w:val="21"/>
          <w:highlight w:val="none"/>
          <w:lang w:val="en-US" w:eastAsia="zh-CN"/>
        </w:rPr>
        <w:t xml:space="preserve"> </w:t>
      </w:r>
    </w:p>
    <w:p w14:paraId="48B9496C">
      <w:pPr>
        <w:pStyle w:val="62"/>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否</w:t>
      </w:r>
    </w:p>
    <w:p w14:paraId="5B81BCC1">
      <w:pPr>
        <w:pStyle w:val="62"/>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default" w:asciiTheme="minorEastAsia" w:hAnsiTheme="minorEastAsia" w:eastAsiaTheme="minorEastAsia" w:cstheme="minorEastAsia"/>
          <w:iCs w:val="0"/>
          <w:color w:val="auto"/>
          <w:sz w:val="21"/>
          <w:szCs w:val="21"/>
          <w:highlight w:val="none"/>
          <w:lang w:val="en" w:eastAsia="zh-CN"/>
        </w:rPr>
        <w:t>4</w:t>
      </w:r>
      <w:r>
        <w:rPr>
          <w:rFonts w:hint="eastAsia" w:asciiTheme="minorEastAsia" w:hAnsiTheme="minorEastAsia" w:eastAsiaTheme="minorEastAsia" w:cstheme="minorEastAsia"/>
          <w:iCs w:val="0"/>
          <w:color w:val="auto"/>
          <w:sz w:val="21"/>
          <w:szCs w:val="21"/>
          <w:highlight w:val="none"/>
          <w:lang w:val="en-US" w:eastAsia="zh-CN"/>
        </w:rPr>
        <w:t>）政府采购组织形式：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政府集中采购</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 xml:space="preserve">部门集中采购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分散采购</w:t>
      </w:r>
    </w:p>
    <w:p w14:paraId="5DB8B94B">
      <w:pPr>
        <w:pStyle w:val="62"/>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w:t>
      </w:r>
      <w:r>
        <w:rPr>
          <w:rFonts w:hint="default" w:asciiTheme="minorEastAsia" w:hAnsiTheme="minorEastAsia" w:eastAsiaTheme="minorEastAsia" w:cstheme="minorEastAsia"/>
          <w:iCs w:val="0"/>
          <w:color w:val="auto"/>
          <w:sz w:val="21"/>
          <w:szCs w:val="21"/>
          <w:highlight w:val="none"/>
          <w:lang w:val="en" w:eastAsia="zh-CN"/>
        </w:rPr>
        <w:t>5</w:t>
      </w:r>
      <w:r>
        <w:rPr>
          <w:rFonts w:hint="eastAsia" w:asciiTheme="minorEastAsia" w:hAnsiTheme="minorEastAsia" w:eastAsiaTheme="minorEastAsia" w:cstheme="minorEastAsia"/>
          <w:iCs w:val="0"/>
          <w:color w:val="auto"/>
          <w:sz w:val="21"/>
          <w:szCs w:val="21"/>
          <w:highlight w:val="none"/>
          <w:lang w:val="en-US" w:eastAsia="zh-CN"/>
        </w:rPr>
        <w:t>）政府采购方式：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公开招标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邀请招标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竞争性谈判</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竞争性磋商</w:t>
      </w:r>
    </w:p>
    <w:p w14:paraId="56EF6DCA">
      <w:pPr>
        <w:pStyle w:val="62"/>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single"/>
          <w:lang w:val="en-US" w:eastAsia="zh-CN"/>
        </w:rPr>
      </w:pPr>
      <w:r>
        <w:rPr>
          <w:rFonts w:hint="eastAsia" w:ascii="宋体" w:hAnsi="宋体" w:cs="宋体"/>
          <w:color w:val="auto"/>
          <w:szCs w:val="21"/>
          <w:highlight w:val="none"/>
          <w:u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询价</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单一来源</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框架协议</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其他：</w:t>
      </w:r>
      <w:r>
        <w:rPr>
          <w:rFonts w:hint="eastAsia" w:ascii="宋体" w:hAnsi="宋体" w:eastAsia="宋体" w:cs="宋体"/>
          <w:iCs w:val="0"/>
          <w:color w:val="auto"/>
          <w:sz w:val="21"/>
          <w:szCs w:val="21"/>
          <w:highlight w:val="none"/>
          <w:u w:val="single"/>
          <w:lang w:val="en-US" w:eastAsia="zh-CN"/>
        </w:rPr>
        <w:t xml:space="preserve">          </w:t>
      </w:r>
    </w:p>
    <w:p w14:paraId="133C6AA0">
      <w:pPr>
        <w:pStyle w:val="62"/>
        <w:numPr>
          <w:ilvl w:val="-1"/>
          <w:numId w:val="0"/>
        </w:numPr>
        <w:adjustRightInd w:val="0"/>
        <w:snapToGrid w:val="0"/>
        <w:spacing w:before="0" w:beforeLines="0" w:line="400" w:lineRule="exact"/>
        <w:ind w:left="0" w:firstLine="420" w:firstLineChars="0"/>
        <w:rPr>
          <w:rFonts w:hint="default" w:ascii="宋体" w:hAnsi="宋体" w:eastAsia="宋体" w:cs="宋体"/>
          <w:iCs w:val="0"/>
          <w:color w:val="auto"/>
          <w:sz w:val="21"/>
          <w:szCs w:val="21"/>
          <w:highlight w:val="none"/>
          <w:u w:val="none"/>
          <w:lang w:val="en-US" w:eastAsia="zh-CN"/>
        </w:rPr>
      </w:pPr>
      <w:r>
        <w:rPr>
          <w:rFonts w:hint="eastAsia" w:ascii="宋体" w:hAnsi="宋体" w:eastAsia="宋体" w:cs="宋体"/>
          <w:iCs w:val="0"/>
          <w:color w:val="auto"/>
          <w:sz w:val="21"/>
          <w:szCs w:val="21"/>
          <w:highlight w:val="none"/>
          <w:u w:val="none"/>
          <w:lang w:val="en-US" w:eastAsia="zh-CN"/>
        </w:rPr>
        <w:t>（注：在框架协议采购的第二阶段，可选择使用该合同文本）</w:t>
      </w:r>
    </w:p>
    <w:p w14:paraId="7074E0B3">
      <w:pPr>
        <w:pStyle w:val="62"/>
        <w:numPr>
          <w:ilvl w:val="-1"/>
          <w:numId w:val="0"/>
        </w:numPr>
        <w:adjustRightInd w:val="0"/>
        <w:snapToGrid w:val="0"/>
        <w:spacing w:before="0" w:beforeLines="0" w:line="400" w:lineRule="exact"/>
        <w:ind w:firstLine="220" w:firstLineChars="100"/>
        <w:rPr>
          <w:rFonts w:hint="eastAsia" w:ascii="宋体" w:hAnsi="宋体" w:eastAsia="宋体" w:cs="Times New Roman"/>
          <w:color w:val="auto"/>
          <w:w w:val="100"/>
          <w:kern w:val="2"/>
          <w:sz w:val="21"/>
          <w:szCs w:val="21"/>
          <w:highlight w:val="none"/>
          <w:lang w:val="en-US" w:eastAsia="zh-CN" w:bidi="ar-SA"/>
        </w:rPr>
      </w:pPr>
      <w:r>
        <w:rPr>
          <w:rFonts w:hint="eastAsia" w:ascii="宋体" w:hAnsi="宋体"/>
          <w:color w:val="auto"/>
          <w:szCs w:val="21"/>
          <w:highlight w:val="none"/>
          <w:lang w:val="en-US" w:eastAsia="zh-CN"/>
        </w:rPr>
        <w:t xml:space="preserve"> （</w:t>
      </w:r>
      <w:r>
        <w:rPr>
          <w:rFonts w:hint="default" w:ascii="宋体" w:hAnsi="宋体"/>
          <w:color w:val="auto"/>
          <w:szCs w:val="21"/>
          <w:highlight w:val="none"/>
          <w:lang w:val="en" w:eastAsia="zh-CN"/>
        </w:rPr>
        <w:t>6</w:t>
      </w:r>
      <w:r>
        <w:rPr>
          <w:rFonts w:hint="eastAsia" w:ascii="宋体" w:hAnsi="宋体"/>
          <w:color w:val="auto"/>
          <w:szCs w:val="21"/>
          <w:highlight w:val="none"/>
          <w:lang w:val="en-US" w:eastAsia="zh-CN"/>
        </w:rPr>
        <w:t>）</w:t>
      </w:r>
      <w:r>
        <w:rPr>
          <w:rFonts w:hint="eastAsia" w:ascii="宋体" w:hAnsi="宋体" w:eastAsia="宋体" w:cs="Times New Roman"/>
          <w:color w:val="auto"/>
          <w:w w:val="100"/>
          <w:kern w:val="2"/>
          <w:sz w:val="21"/>
          <w:szCs w:val="21"/>
          <w:highlight w:val="none"/>
          <w:lang w:val="en-US" w:eastAsia="zh-CN" w:bidi="ar-SA"/>
        </w:rPr>
        <w:t>中标（成交）采购标的制造商是否为中小企业：</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 xml:space="preserve">是      </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否</w:t>
      </w:r>
    </w:p>
    <w:p w14:paraId="03F31698">
      <w:pPr>
        <w:numPr>
          <w:ilvl w:val="-1"/>
          <w:numId w:val="0"/>
        </w:numPr>
        <w:adjustRightInd w:val="0"/>
        <w:snapToGrid w:val="0"/>
        <w:spacing w:before="0" w:beforeLines="0" w:line="400" w:lineRule="exact"/>
        <w:ind w:left="0" w:leftChars="0" w:firstLine="0" w:firstLineChars="0"/>
        <w:rPr>
          <w:rFonts w:hint="eastAsia" w:ascii="宋体" w:hAnsi="宋体"/>
          <w:iCs/>
          <w:color w:val="auto"/>
          <w:szCs w:val="21"/>
          <w:highlight w:val="none"/>
        </w:rPr>
      </w:pPr>
      <w:r>
        <w:rPr>
          <w:rFonts w:hint="eastAsia" w:ascii="宋体" w:hAnsi="宋体"/>
          <w:color w:val="auto"/>
          <w:w w:val="100"/>
          <w:szCs w:val="21"/>
          <w:highlight w:val="none"/>
          <w:lang w:val="en-US" w:eastAsia="zh-CN"/>
        </w:rPr>
        <w:t xml:space="preserve">         本合同</w:t>
      </w:r>
      <w:r>
        <w:rPr>
          <w:rFonts w:hint="eastAsia" w:ascii="宋体" w:hAnsi="宋体"/>
          <w:color w:val="auto"/>
          <w:w w:val="100"/>
          <w:szCs w:val="21"/>
          <w:highlight w:val="none"/>
        </w:rPr>
        <w:t>是否</w:t>
      </w:r>
      <w:r>
        <w:rPr>
          <w:rFonts w:hint="eastAsia" w:ascii="宋体" w:hAnsi="宋体"/>
          <w:color w:val="auto"/>
          <w:w w:val="100"/>
          <w:szCs w:val="21"/>
          <w:highlight w:val="none"/>
          <w:lang w:eastAsia="zh-CN"/>
        </w:rPr>
        <w:t>为专门面向</w:t>
      </w:r>
      <w:r>
        <w:rPr>
          <w:rFonts w:hint="eastAsia" w:ascii="宋体" w:hAnsi="宋体"/>
          <w:color w:val="auto"/>
          <w:w w:val="100"/>
          <w:szCs w:val="21"/>
          <w:highlight w:val="none"/>
        </w:rPr>
        <w:t>中小企业</w:t>
      </w:r>
      <w:r>
        <w:rPr>
          <w:rFonts w:hint="eastAsia" w:ascii="宋体" w:hAnsi="宋体"/>
          <w:color w:val="auto"/>
          <w:w w:val="100"/>
          <w:szCs w:val="21"/>
          <w:highlight w:val="none"/>
          <w:lang w:eastAsia="zh-CN"/>
        </w:rPr>
        <w:t>的采</w:t>
      </w:r>
      <w:r>
        <w:rPr>
          <w:rFonts w:hint="eastAsia" w:ascii="宋体" w:hAnsi="宋体"/>
          <w:color w:val="auto"/>
          <w:w w:val="100"/>
          <w:szCs w:val="21"/>
          <w:highlight w:val="none"/>
          <w:shd w:val="clear"/>
          <w:lang w:eastAsia="zh-CN"/>
        </w:rPr>
        <w:t>购</w:t>
      </w:r>
      <w:r>
        <w:rPr>
          <w:rFonts w:hint="eastAsia" w:ascii="宋体" w:hAnsi="宋体"/>
          <w:color w:val="auto"/>
          <w:w w:val="100"/>
          <w:szCs w:val="21"/>
          <w:highlight w:val="none"/>
          <w:shd w:val="clear"/>
        </w:rPr>
        <w:t>合同</w:t>
      </w:r>
      <w:r>
        <w:rPr>
          <w:rFonts w:hint="eastAsia" w:ascii="宋体" w:hAnsi="宋体"/>
          <w:color w:val="auto"/>
          <w:w w:val="100"/>
          <w:szCs w:val="21"/>
          <w:highlight w:val="none"/>
          <w:shd w:val="clear"/>
          <w:lang w:eastAsia="zh-CN"/>
        </w:rPr>
        <w:t>（中小企业预留合同）</w:t>
      </w:r>
      <w:r>
        <w:rPr>
          <w:rFonts w:hint="eastAsia" w:ascii="宋体" w:hAnsi="宋体"/>
          <w:color w:val="auto"/>
          <w:szCs w:val="21"/>
          <w:highlight w:val="none"/>
          <w:shd w:val="clear"/>
        </w:rPr>
        <w:t>：</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B5BC6C6">
      <w:pPr>
        <w:numPr>
          <w:ilvl w:val="-1"/>
          <w:numId w:val="0"/>
        </w:numP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若本项目不专门面向中小企业采购，是否给予小微企业评审优惠：</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4A93EED0">
      <w:pPr>
        <w:numPr>
          <w:ilvl w:val="-1"/>
          <w:numId w:val="0"/>
        </w:numP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2F412881">
      <w:pPr>
        <w:numPr>
          <w:ilvl w:val="0"/>
          <w:numId w:val="0"/>
        </w:numPr>
        <w:snapToGrid w:val="0"/>
        <w:spacing w:beforeLines="0" w:line="400" w:lineRule="exact"/>
        <w:ind w:firstLine="0" w:firstLineChars="0"/>
        <w:rPr>
          <w:rFonts w:hint="default"/>
          <w:color w:val="auto"/>
          <w:highlight w:val="none"/>
          <w:lang w:val="en-US" w:eastAsia="zh-CN"/>
        </w:rPr>
      </w:pPr>
      <w:r>
        <w:rPr>
          <w:rFonts w:hint="eastAsia"/>
          <w:color w:val="auto"/>
          <w:highlight w:val="none"/>
          <w:lang w:val="en-US" w:eastAsia="zh-CN"/>
        </w:rPr>
        <w:t xml:space="preserve">         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36EDD9BB">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default" w:ascii="宋体" w:hAnsi="宋体"/>
          <w:color w:val="auto"/>
          <w:szCs w:val="21"/>
          <w:highlight w:val="none"/>
          <w:lang w:val="en" w:eastAsia="zh-CN"/>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684D998">
      <w:pPr>
        <w:adjustRightInd w:val="0"/>
        <w:snapToGrid w:val="0"/>
        <w:spacing w:before="0" w:beforeLines="0" w:line="400" w:lineRule="exact"/>
        <w:ind w:firstLine="840" w:firstLineChars="40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分包主要内容：</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1D39FF7F">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rPr>
        <w:t>分包</w:t>
      </w:r>
      <w:r>
        <w:rPr>
          <w:rFonts w:hint="eastAsia" w:ascii="宋体" w:hAnsi="宋体"/>
          <w:color w:val="auto"/>
          <w:szCs w:val="21"/>
          <w:highlight w:val="none"/>
        </w:rPr>
        <w:t>供应商</w:t>
      </w:r>
      <w:r>
        <w:rPr>
          <w:rFonts w:hint="eastAsia" w:ascii="宋体" w:hAnsi="宋体"/>
          <w:color w:val="auto"/>
          <w:szCs w:val="21"/>
          <w:highlight w:val="none"/>
          <w:lang w:eastAsia="zh-CN"/>
        </w:rPr>
        <w:t>/制造商</w:t>
      </w:r>
      <w:r>
        <w:rPr>
          <w:rFonts w:hint="eastAsia" w:ascii="宋体" w:hAnsi="宋体"/>
          <w:color w:val="auto"/>
          <w:szCs w:val="21"/>
          <w:highlight w:val="none"/>
        </w:rPr>
        <w:t>名称</w:t>
      </w:r>
      <w:r>
        <w:rPr>
          <w:rFonts w:hint="eastAsia" w:ascii="宋体" w:hAnsi="宋体"/>
          <w:color w:val="auto"/>
          <w:szCs w:val="21"/>
          <w:highlight w:val="none"/>
          <w:lang w:eastAsia="zh-CN"/>
        </w:rPr>
        <w:t>（如供应商和制造商不同，请分别填写）</w:t>
      </w:r>
      <w:r>
        <w:rPr>
          <w:rFonts w:hint="eastAsia" w:ascii="宋体" w:hAnsi="宋体"/>
          <w:color w:val="auto"/>
          <w:szCs w:val="21"/>
          <w:highlight w:val="none"/>
        </w:rPr>
        <w:t>：</w:t>
      </w:r>
    </w:p>
    <w:p w14:paraId="7B1F297F">
      <w:pPr>
        <w:adjustRightInd w:val="0"/>
        <w:snapToGrid w:val="0"/>
        <w:spacing w:before="0" w:beforeLines="0" w:line="400" w:lineRule="exact"/>
        <w:ind w:firstLine="840" w:firstLineChars="400"/>
        <w:rPr>
          <w:rFonts w:ascii="宋体" w:hAnsi="宋体"/>
          <w:color w:val="auto"/>
          <w:szCs w:val="21"/>
          <w:highlight w:val="none"/>
          <w:u w:val="single"/>
        </w:rPr>
      </w:pPr>
      <w:r>
        <w:rPr>
          <w:rFonts w:hint="eastAsia" w:ascii="宋体" w:hAnsi="宋体"/>
          <w:color w:val="auto"/>
          <w:szCs w:val="21"/>
          <w:highlight w:val="none"/>
          <w:u w:val="non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p>
    <w:p w14:paraId="08FB67A4">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制造商</w:t>
      </w:r>
      <w:r>
        <w:rPr>
          <w:rFonts w:hint="eastAsia" w:ascii="宋体" w:hAnsi="宋体"/>
          <w:color w:val="auto"/>
          <w:szCs w:val="21"/>
          <w:highlight w:val="none"/>
        </w:rPr>
        <w:t>类型</w:t>
      </w:r>
      <w:r>
        <w:rPr>
          <w:rFonts w:hint="eastAsia" w:ascii="宋体" w:hAnsi="宋体"/>
          <w:color w:val="auto"/>
          <w:szCs w:val="21"/>
          <w:highlight w:val="none"/>
          <w:lang w:eastAsia="zh-CN"/>
        </w:rPr>
        <w:t>（如果供应商和制造商不同，只填写制造商类型）</w:t>
      </w:r>
      <w:r>
        <w:rPr>
          <w:rFonts w:hint="eastAsia" w:ascii="宋体" w:hAnsi="宋体"/>
          <w:color w:val="auto"/>
          <w:szCs w:val="21"/>
          <w:highlight w:val="none"/>
        </w:rPr>
        <w:t>：</w:t>
      </w:r>
    </w:p>
    <w:p w14:paraId="40EE5A77">
      <w:pPr>
        <w:adjustRightInd w:val="0"/>
        <w:snapToGrid w:val="0"/>
        <w:spacing w:beforeLines="0" w:line="400" w:lineRule="exact"/>
        <w:ind w:firstLine="840" w:firstLineChars="40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小微型企业</w:t>
      </w:r>
      <w:r>
        <w:rPr>
          <w:rFonts w:hint="eastAsia" w:ascii="宋体" w:hAnsi="宋体"/>
          <w:iCs/>
          <w:color w:val="auto"/>
          <w:szCs w:val="21"/>
          <w:highlight w:val="none"/>
          <w:lang w:val="en-US" w:eastAsia="zh-CN"/>
        </w:rPr>
        <w:t xml:space="preserve">  </w:t>
      </w:r>
    </w:p>
    <w:p w14:paraId="1F7B1A5E">
      <w:pPr>
        <w:adjustRightInd w:val="0"/>
        <w:snapToGrid w:val="0"/>
        <w:spacing w:beforeLines="0" w:line="400" w:lineRule="exact"/>
        <w:ind w:firstLine="840" w:firstLineChars="400"/>
        <w:rPr>
          <w:rFonts w:hint="default" w:eastAsia="华文楷体"/>
          <w:color w:val="auto"/>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残疾人福利性单位</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监狱</w:t>
      </w:r>
      <w:r>
        <w:rPr>
          <w:rFonts w:hint="eastAsia" w:ascii="宋体" w:hAnsi="宋体"/>
          <w:iCs/>
          <w:color w:val="auto"/>
          <w:szCs w:val="21"/>
          <w:highlight w:val="none"/>
        </w:rPr>
        <w:t>企业</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p>
    <w:p w14:paraId="1589E1E0">
      <w:pPr>
        <w:numPr>
          <w:ilvl w:val="-1"/>
          <w:numId w:val="0"/>
        </w:numPr>
        <w:adjustRightInd w:val="0"/>
        <w:snapToGrid w:val="0"/>
        <w:spacing w:before="0" w:beforeLines="0" w:line="400" w:lineRule="exact"/>
        <w:ind w:left="0" w:leftChars="0" w:firstLine="0" w:firstLineChars="0"/>
        <w:rPr>
          <w:rFonts w:hint="eastAsia" w:ascii="宋体" w:hAnsi="宋体" w:cs="宋体"/>
          <w:iCs/>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u w:val="none"/>
          <w:lang w:val="en-US" w:eastAsia="zh-CN"/>
        </w:rPr>
        <w:t>（</w:t>
      </w:r>
      <w:r>
        <w:rPr>
          <w:rFonts w:hint="default" w:ascii="宋体" w:hAnsi="宋体" w:cs="宋体"/>
          <w:color w:val="auto"/>
          <w:szCs w:val="21"/>
          <w:highlight w:val="none"/>
          <w:u w:val="none"/>
          <w:lang w:val="en" w:eastAsia="zh-CN"/>
        </w:rPr>
        <w:t>8</w:t>
      </w:r>
      <w:r>
        <w:rPr>
          <w:rFonts w:hint="eastAsia" w:ascii="宋体" w:hAnsi="宋体" w:cs="宋体"/>
          <w:color w:val="auto"/>
          <w:szCs w:val="21"/>
          <w:highlight w:val="none"/>
          <w:u w:val="none"/>
          <w:lang w:val="en-US" w:eastAsia="zh-CN"/>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17FCC714">
      <w:pPr>
        <w:pStyle w:val="62"/>
        <w:tabs>
          <w:tab w:val="left" w:pos="1340"/>
        </w:tabs>
        <w:spacing w:beforeLine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 xml:space="preserve">     外商投资企业类型：</w:t>
      </w:r>
      <w:r>
        <w:rPr>
          <w:rFonts w:hint="eastAsia" w:ascii="宋体" w:hAnsi="宋体" w:eastAsia="宋体" w:cs="宋体"/>
          <w:iCs/>
          <w:color w:val="auto"/>
          <w:sz w:val="21"/>
          <w:szCs w:val="21"/>
          <w:highlight w:val="none"/>
        </w:rPr>
        <w:sym w:font="Wingdings" w:char="00A8"/>
      </w:r>
      <w:r>
        <w:rPr>
          <w:rFonts w:hint="eastAsia" w:ascii="宋体" w:hAnsi="宋体" w:eastAsia="宋体" w:cs="宋体"/>
          <w:color w:val="auto"/>
          <w:sz w:val="21"/>
          <w:szCs w:val="21"/>
          <w:highlight w:val="none"/>
          <w:u w:val="none"/>
          <w:lang w:val="en-US" w:eastAsia="zh-CN"/>
        </w:rPr>
        <w:t xml:space="preserve">全部由外国投资者投资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val="en-US" w:eastAsia="zh-CN"/>
        </w:rPr>
        <w:t>部分由外国投资者投资</w:t>
      </w:r>
    </w:p>
    <w:p w14:paraId="3DEECA04">
      <w:pPr>
        <w:numPr>
          <w:ilvl w:val="-1"/>
          <w:numId w:val="0"/>
        </w:numPr>
        <w:adjustRightInd w:val="0"/>
        <w:snapToGrid w:val="0"/>
        <w:spacing w:before="0" w:beforeLines="0" w:line="400" w:lineRule="exact"/>
        <w:ind w:firstLine="420" w:firstLineChars="20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w:t>
      </w:r>
      <w:r>
        <w:rPr>
          <w:rFonts w:hint="default" w:ascii="宋体" w:hAnsi="宋体" w:cs="宋体"/>
          <w:b w:val="0"/>
          <w:bCs w:val="0"/>
          <w:color w:val="auto"/>
          <w:sz w:val="21"/>
          <w:szCs w:val="21"/>
          <w:highlight w:val="none"/>
          <w:u w:val="none"/>
          <w:lang w:val="en" w:eastAsia="zh-CN"/>
        </w:rPr>
        <w:t>9</w:t>
      </w:r>
      <w:r>
        <w:rPr>
          <w:rFonts w:hint="eastAsia" w:ascii="宋体" w:hAnsi="宋体" w:eastAsia="宋体" w:cs="宋体"/>
          <w:b w:val="0"/>
          <w:bCs w:val="0"/>
          <w:color w:val="auto"/>
          <w:sz w:val="21"/>
          <w:szCs w:val="21"/>
          <w:highlight w:val="none"/>
          <w:u w:val="none"/>
          <w:lang w:val="en-US" w:eastAsia="zh-CN"/>
        </w:rPr>
        <w:t>）是否涉及进口产品：</w:t>
      </w:r>
    </w:p>
    <w:p w14:paraId="71D41BAA">
      <w:pPr>
        <w:numPr>
          <w:ilvl w:val="-1"/>
          <w:numId w:val="0"/>
        </w:numPr>
        <w:adjustRightInd w:val="0"/>
        <w:snapToGrid w:val="0"/>
        <w:spacing w:before="0" w:beforeLines="0" w:line="400" w:lineRule="exact"/>
        <w:ind w:firstLine="840" w:firstLineChars="400"/>
        <w:rPr>
          <w:rFonts w:hint="eastAsia" w:ascii="宋体" w:hAnsi="宋体" w:eastAsia="宋体" w:cs="宋体"/>
          <w:color w:val="auto"/>
          <w:szCs w:val="21"/>
          <w:highlight w:val="none"/>
          <w:u w:val="single"/>
          <w:lang w:val="en-US" w:eastAsia="zh-CN"/>
        </w:rPr>
      </w:pPr>
      <w:r>
        <w:rPr>
          <w:rFonts w:hint="eastAsia" w:ascii="宋体" w:hAnsi="宋体" w:cs="宋体"/>
          <w:iCs w:val="0"/>
          <w:color w:val="auto"/>
          <w:szCs w:val="21"/>
          <w:highlight w:val="none"/>
          <w:lang w:val="en-US" w:eastAsia="zh-CN"/>
        </w:rPr>
        <w:t xml:space="preserve"> </w:t>
      </w:r>
      <w:r>
        <w:rPr>
          <w:rFonts w:hint="eastAsia" w:ascii="宋体" w:hAnsi="宋体" w:eastAsia="宋体" w:cs="宋体"/>
          <w:iCs w:val="0"/>
          <w:color w:val="auto"/>
          <w:szCs w:val="21"/>
          <w:highlight w:val="none"/>
        </w:rPr>
        <w:sym w:font="Wingdings" w:char="00A8"/>
      </w:r>
      <w:r>
        <w:rPr>
          <w:rFonts w:hint="eastAsia" w:ascii="宋体" w:hAnsi="宋体" w:eastAsia="宋体" w:cs="宋体"/>
          <w:iCs w:val="0"/>
          <w:color w:val="auto"/>
          <w:szCs w:val="21"/>
          <w:highlight w:val="none"/>
        </w:rPr>
        <w:t>是</w:t>
      </w:r>
      <w:r>
        <w:rPr>
          <w:rFonts w:hint="eastAsia" w:ascii="宋体" w:hAnsi="宋体" w:eastAsia="宋体" w:cs="宋体"/>
          <w:iCs w:val="0"/>
          <w:color w:val="auto"/>
          <w:szCs w:val="21"/>
          <w:highlight w:val="none"/>
          <w:lang w:eastAsia="zh-CN"/>
        </w:rPr>
        <w:t>，</w:t>
      </w:r>
      <w:r>
        <w:rPr>
          <w:rFonts w:hint="eastAsia" w:ascii="宋体" w:hAnsi="宋体" w:cs="宋体"/>
          <w:iCs w:val="0"/>
          <w:color w:val="auto"/>
          <w:szCs w:val="21"/>
          <w:highlight w:val="none"/>
          <w:lang w:eastAsia="zh-CN"/>
        </w:rPr>
        <w:t>《政府采购品目分类目录》底级品目名称</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cs="宋体"/>
          <w:color w:val="auto"/>
          <w:szCs w:val="21"/>
          <w:highlight w:val="none"/>
          <w:lang w:val="en-US" w:eastAsia="zh-CN"/>
        </w:rPr>
        <w:t>金额：</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p>
    <w:p w14:paraId="54F8CB50">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highlight w:val="none"/>
        </w:rPr>
      </w:pPr>
      <w:r>
        <w:rPr>
          <w:rFonts w:hint="eastAsia" w:ascii="宋体" w:hAnsi="宋体" w:cs="宋体"/>
          <w:color w:val="auto"/>
          <w:szCs w:val="21"/>
          <w:highlight w:val="none"/>
          <w:lang w:val="en-US" w:eastAsia="zh-CN"/>
        </w:rPr>
        <w:t xml:space="preserve">        国别：</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lang w:val="en-US" w:eastAsia="zh-CN"/>
        </w:rPr>
        <w:t>品牌：</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none"/>
          <w:lang w:val="en-US" w:eastAsia="zh-CN"/>
        </w:rPr>
        <w:t xml:space="preserve"> 规格型号：</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iCs w:val="0"/>
          <w:color w:val="auto"/>
          <w:szCs w:val="21"/>
          <w:highlight w:val="none"/>
        </w:rPr>
        <w:t xml:space="preserve">      </w:t>
      </w:r>
    </w:p>
    <w:p w14:paraId="585D40EA">
      <w:pPr>
        <w:adjustRightInd w:val="0"/>
        <w:snapToGrid w:val="0"/>
        <w:spacing w:before="0" w:beforeLines="0" w:line="400" w:lineRule="exact"/>
        <w:ind w:firstLine="840" w:firstLineChars="400"/>
        <w:rPr>
          <w:rFonts w:hint="eastAsia" w:ascii="宋体" w:hAnsi="宋体"/>
          <w:color w:val="auto"/>
          <w:szCs w:val="21"/>
          <w:highlight w:val="none"/>
          <w:u w:val="none"/>
          <w:lang w:val="en-US" w:eastAsia="zh-CN"/>
        </w:rPr>
      </w:pPr>
      <w:r>
        <w:rPr>
          <w:rFonts w:hint="eastAsia" w:ascii="宋体" w:hAnsi="宋体"/>
          <w:iCs w:val="0"/>
          <w:color w:val="auto"/>
          <w:szCs w:val="21"/>
          <w:highlight w:val="none"/>
          <w:lang w:val="en-US" w:eastAsia="zh-CN"/>
        </w:rPr>
        <w:t xml:space="preserve"> </w:t>
      </w:r>
      <w:r>
        <w:rPr>
          <w:rFonts w:hint="eastAsia" w:ascii="宋体" w:hAnsi="宋体"/>
          <w:iCs w:val="0"/>
          <w:color w:val="auto"/>
          <w:szCs w:val="21"/>
          <w:highlight w:val="none"/>
        </w:rPr>
        <w:sym w:font="Wingdings" w:char="00A8"/>
      </w:r>
      <w:r>
        <w:rPr>
          <w:rFonts w:hint="eastAsia" w:ascii="宋体" w:hAnsi="宋体" w:eastAsia="宋体"/>
          <w:iCs w:val="0"/>
          <w:color w:val="auto"/>
          <w:szCs w:val="21"/>
          <w:highlight w:val="none"/>
          <w:lang w:eastAsia="zh-CN"/>
        </w:rPr>
        <w:t>否</w:t>
      </w:r>
    </w:p>
    <w:p w14:paraId="0C517BB0">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（1</w:t>
      </w:r>
      <w:r>
        <w:rPr>
          <w:rFonts w:hint="default" w:ascii="宋体" w:hAnsi="宋体"/>
          <w:b w:val="0"/>
          <w:bCs w:val="0"/>
          <w:color w:val="auto"/>
          <w:sz w:val="21"/>
          <w:szCs w:val="21"/>
          <w:highlight w:val="none"/>
          <w:u w:val="none"/>
          <w:lang w:val="en" w:eastAsia="zh-CN"/>
        </w:rPr>
        <w:t>0</w:t>
      </w:r>
      <w:r>
        <w:rPr>
          <w:rFonts w:hint="eastAsia" w:ascii="宋体" w:hAnsi="宋体"/>
          <w:b w:val="0"/>
          <w:bCs w:val="0"/>
          <w:color w:val="auto"/>
          <w:sz w:val="21"/>
          <w:szCs w:val="21"/>
          <w:highlight w:val="none"/>
          <w:u w:val="none"/>
          <w:lang w:val="en-US" w:eastAsia="zh-CN"/>
        </w:rPr>
        <w:t>）</w:t>
      </w:r>
      <w:r>
        <w:rPr>
          <w:rFonts w:hint="eastAsia" w:ascii="宋体" w:hAnsi="宋体" w:eastAsia="宋体"/>
          <w:b w:val="0"/>
          <w:bCs w:val="0"/>
          <w:color w:val="auto"/>
          <w:sz w:val="21"/>
          <w:szCs w:val="21"/>
          <w:highlight w:val="none"/>
          <w:u w:val="none"/>
          <w:lang w:val="en-US" w:eastAsia="zh-CN"/>
        </w:rPr>
        <w:t>是否涉及节能产品：</w:t>
      </w:r>
    </w:p>
    <w:p w14:paraId="01E01D0E">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《节能产品政府采购品目清单》的底级品目名称：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14:paraId="4BF62273">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616B701D">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color w:val="auto"/>
          <w:szCs w:val="21"/>
          <w:highlight w:val="none"/>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14:paraId="29610C57">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b w:val="0"/>
          <w:bCs w:val="0"/>
          <w:color w:val="auto"/>
          <w:sz w:val="21"/>
          <w:szCs w:val="21"/>
          <w:highlight w:val="none"/>
          <w:u w:val="none"/>
          <w:lang w:val="en-US" w:eastAsia="zh-CN"/>
        </w:rPr>
        <w:t>是否涉及</w:t>
      </w:r>
      <w:r>
        <w:rPr>
          <w:rFonts w:hint="eastAsia" w:ascii="宋体" w:hAnsi="宋体"/>
          <w:b w:val="0"/>
          <w:bCs w:val="0"/>
          <w:color w:val="auto"/>
          <w:sz w:val="21"/>
          <w:szCs w:val="21"/>
          <w:highlight w:val="none"/>
          <w:u w:val="none"/>
          <w:lang w:val="en-US" w:eastAsia="zh-CN"/>
        </w:rPr>
        <w:t>环境标志</w:t>
      </w:r>
      <w:r>
        <w:rPr>
          <w:rFonts w:hint="eastAsia" w:ascii="宋体" w:hAnsi="宋体" w:eastAsia="宋体"/>
          <w:b w:val="0"/>
          <w:bCs w:val="0"/>
          <w:color w:val="auto"/>
          <w:sz w:val="21"/>
          <w:szCs w:val="21"/>
          <w:highlight w:val="none"/>
          <w:u w:val="none"/>
          <w:lang w:val="en-US" w:eastAsia="zh-CN"/>
        </w:rPr>
        <w:t>产品：</w:t>
      </w:r>
    </w:p>
    <w:p w14:paraId="5319D3C6">
      <w:pPr>
        <w:numPr>
          <w:ilvl w:val="-1"/>
          <w:numId w:val="0"/>
        </w:numPr>
        <w:tabs>
          <w:tab w:val="left" w:pos="740"/>
        </w:tabs>
        <w:adjustRightInd w:val="0"/>
        <w:snapToGrid w:val="0"/>
        <w:spacing w:before="0" w:beforeLines="0" w:line="400" w:lineRule="exact"/>
        <w:ind w:firstLine="0" w:firstLineChars="0"/>
        <w:rPr>
          <w:rFonts w:hint="eastAsia" w:ascii="宋体" w:hAnsi="宋体"/>
          <w:iCs w:val="0"/>
          <w:color w:val="auto"/>
          <w:szCs w:val="21"/>
          <w:highlight w:val="none"/>
          <w:lang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《环境标志产品政府采购品目清单》的底级品目名称：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14:paraId="705A67E3">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1B0205FB">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color w:val="auto"/>
          <w:sz w:val="21"/>
          <w:szCs w:val="21"/>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14:paraId="6AD1C379">
      <w:pPr>
        <w:pStyle w:val="62"/>
        <w:numPr>
          <w:ilvl w:val="-1"/>
          <w:numId w:val="0"/>
        </w:numPr>
        <w:adjustRightInd w:val="0"/>
        <w:snapToGrid w:val="0"/>
        <w:spacing w:before="0" w:beforeLines="0" w:line="400" w:lineRule="exact"/>
        <w:ind w:firstLine="0" w:firstLineChars="0"/>
        <w:rPr>
          <w:rFonts w:hint="eastAsia" w:ascii="宋体" w:hAnsi="宋体" w:eastAsia="宋体" w:cs="Times New Roman"/>
          <w:iCs w:val="0"/>
          <w:color w:val="auto"/>
          <w:kern w:val="2"/>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cs="Times New Roman"/>
          <w:b w:val="0"/>
          <w:bCs w:val="0"/>
          <w:color w:val="auto"/>
          <w:kern w:val="2"/>
          <w:sz w:val="21"/>
          <w:szCs w:val="21"/>
          <w:highlight w:val="none"/>
          <w:u w:val="none"/>
          <w:lang w:val="en-US" w:eastAsia="zh-CN"/>
        </w:rPr>
        <w:t>是否涉及绿色产品：</w:t>
      </w:r>
      <w:r>
        <w:rPr>
          <w:rFonts w:hint="eastAsia" w:ascii="宋体" w:hAnsi="宋体" w:eastAsia="宋体" w:cs="Times New Roman"/>
          <w:iCs w:val="0"/>
          <w:color w:val="auto"/>
          <w:kern w:val="2"/>
          <w:sz w:val="21"/>
          <w:szCs w:val="21"/>
          <w:highlight w:val="none"/>
          <w:u w:val="none"/>
          <w:lang w:val="en-US" w:eastAsia="zh-CN"/>
        </w:rPr>
        <w:t xml:space="preserve"> </w:t>
      </w:r>
    </w:p>
    <w:p w14:paraId="55FDDDB4">
      <w:pPr>
        <w:pStyle w:val="62"/>
        <w:spacing w:beforeLines="0"/>
        <w:ind w:firstLine="420" w:firstLineChars="0"/>
        <w:rPr>
          <w:rFonts w:hint="eastAsia" w:ascii="宋体" w:hAnsi="宋体" w:eastAsia="宋体"/>
          <w:color w:val="auto"/>
          <w:szCs w:val="21"/>
          <w:highlight w:val="none"/>
          <w:u w:val="singl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是</w:t>
      </w:r>
      <w:r>
        <w:rPr>
          <w:rFonts w:hint="eastAsia" w:ascii="宋体" w:hAnsi="宋体" w:eastAsia="宋体" w:cs="Times New Roman"/>
          <w:iCs w:val="0"/>
          <w:color w:val="auto"/>
          <w:kern w:val="2"/>
          <w:sz w:val="21"/>
          <w:szCs w:val="21"/>
          <w:highlight w:val="none"/>
          <w:u w:val="none"/>
          <w:lang w:eastAsia="zh-CN"/>
        </w:rPr>
        <w:t>，绿色产品政府采购相关政策确定的底级品目名称：</w:t>
      </w:r>
      <w:r>
        <w:rPr>
          <w:rFonts w:hint="eastAsia" w:ascii="宋体" w:hAnsi="宋体" w:eastAsia="宋体"/>
          <w:color w:val="auto"/>
          <w:szCs w:val="21"/>
          <w:highlight w:val="none"/>
          <w:u w:val="single"/>
          <w:lang w:val="en-US" w:eastAsia="zh-CN"/>
        </w:rPr>
        <w:t xml:space="preserve">         </w:t>
      </w:r>
    </w:p>
    <w:p w14:paraId="4A2B9381">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4630C24C">
      <w:pPr>
        <w:pStyle w:val="62"/>
        <w:spacing w:beforeLines="0"/>
        <w:ind w:firstLine="420" w:firstLineChars="0"/>
        <w:rPr>
          <w:rFonts w:hint="eastAsia" w:ascii="宋体" w:hAnsi="宋体"/>
          <w:b w:val="0"/>
          <w:bCs w:val="0"/>
          <w:color w:val="auto"/>
          <w:sz w:val="21"/>
          <w:szCs w:val="21"/>
          <w:highlight w:val="none"/>
          <w:u w:val="non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否</w:t>
      </w:r>
    </w:p>
    <w:p w14:paraId="1F667935">
      <w:pPr>
        <w:numPr>
          <w:ilvl w:val="-1"/>
          <w:numId w:val="0"/>
        </w:numPr>
        <w:adjustRightInd w:val="0"/>
        <w:snapToGrid w:val="0"/>
        <w:spacing w:before="0" w:beforeLines="0" w:line="400" w:lineRule="exact"/>
        <w:ind w:firstLine="0" w:firstLineChars="0"/>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（1</w:t>
      </w:r>
      <w:r>
        <w:rPr>
          <w:rFonts w:hint="default" w:ascii="宋体" w:hAnsi="宋体"/>
          <w:color w:val="auto"/>
          <w:szCs w:val="21"/>
          <w:highlight w:val="none"/>
          <w:lang w:val="en" w:eastAsia="zh-CN"/>
        </w:rPr>
        <w:t>1</w:t>
      </w:r>
      <w:r>
        <w:rPr>
          <w:rFonts w:hint="eastAsia" w:ascii="宋体" w:hAnsi="宋体"/>
          <w:color w:val="auto"/>
          <w:szCs w:val="21"/>
          <w:highlight w:val="none"/>
          <w:lang w:val="en-US" w:eastAsia="zh-CN"/>
        </w:rPr>
        <w:t>）</w:t>
      </w:r>
      <w:r>
        <w:rPr>
          <w:rFonts w:hint="eastAsia" w:ascii="宋体" w:hAnsi="宋体" w:eastAsia="宋体"/>
          <w:color w:val="auto"/>
          <w:szCs w:val="21"/>
          <w:highlight w:val="none"/>
          <w:lang w:val="en-US" w:eastAsia="zh-CN"/>
        </w:rPr>
        <w:t>涉及商品包装和快递包装的，是否参考</w:t>
      </w:r>
      <w:r>
        <w:rPr>
          <w:rFonts w:hint="eastAsia" w:ascii="宋体" w:hAnsi="宋体"/>
          <w:color w:val="auto"/>
          <w:szCs w:val="21"/>
          <w:highlight w:val="none"/>
        </w:rPr>
        <w:t>《商品包装政府采购需求标准（试行）》、《快递包装政府采购需求标准（试行）》</w:t>
      </w:r>
      <w:r>
        <w:rPr>
          <w:rFonts w:hint="eastAsia" w:ascii="宋体" w:hAnsi="宋体" w:eastAsia="宋体"/>
          <w:color w:val="auto"/>
          <w:szCs w:val="21"/>
          <w:highlight w:val="none"/>
          <w:lang w:eastAsia="zh-CN"/>
        </w:rPr>
        <w:t>明确产品及相关快递服务的具体包装要求：</w:t>
      </w:r>
    </w:p>
    <w:p w14:paraId="680B5832">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highlight w:val="none"/>
          <w:lang w:val="en-US" w:eastAsia="zh-CN"/>
        </w:rPr>
      </w:pP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 xml:space="preserve">是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r>
        <w:rPr>
          <w:rFonts w:hint="eastAsia" w:ascii="宋体" w:hAnsi="宋体" w:eastAsia="宋体"/>
          <w:iCs w:val="0"/>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lang w:eastAsia="zh-CN"/>
        </w:rPr>
        <w:t>不涉及</w:t>
      </w:r>
    </w:p>
    <w:p w14:paraId="1C3992F3">
      <w:pPr>
        <w:numPr>
          <w:ilvl w:val="0"/>
          <w:numId w:val="9"/>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合同金额</w:t>
      </w:r>
    </w:p>
    <w:p w14:paraId="683FC7DF">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282CAC11">
      <w:pPr>
        <w:adjustRightInd w:val="0"/>
        <w:snapToGrid w:val="0"/>
        <w:spacing w:before="0" w:beforeLines="0" w:line="400" w:lineRule="exact"/>
        <w:ind w:left="0" w:firstLine="0" w:firstLineChars="0"/>
        <w:rPr>
          <w:rFonts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76D624AC">
      <w:pPr>
        <w:adjustRightInd w:val="0"/>
        <w:snapToGrid w:val="0"/>
        <w:spacing w:before="0" w:beforeLines="0" w:line="400" w:lineRule="exact"/>
        <w:ind w:firstLine="0" w:firstLineChars="0"/>
        <w:rPr>
          <w:rFonts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分包金额</w:t>
      </w:r>
      <w:r>
        <w:rPr>
          <w:rFonts w:hint="eastAsia" w:ascii="宋体" w:hAnsi="宋体"/>
          <w:color w:val="auto"/>
          <w:szCs w:val="21"/>
          <w:highlight w:val="none"/>
          <w:lang w:eastAsia="zh-CN"/>
        </w:rPr>
        <w:t>（如有）</w:t>
      </w:r>
      <w:r>
        <w:rPr>
          <w:rFonts w:hint="eastAsia" w:ascii="宋体" w:hAnsi="宋体"/>
          <w:color w:val="auto"/>
          <w:szCs w:val="21"/>
          <w:highlight w:val="none"/>
        </w:rPr>
        <w:t>小写：</w:t>
      </w:r>
      <w:r>
        <w:rPr>
          <w:rFonts w:hint="eastAsia" w:ascii="宋体" w:hAnsi="宋体"/>
          <w:color w:val="auto"/>
          <w:szCs w:val="21"/>
          <w:highlight w:val="none"/>
          <w:u w:val="single"/>
        </w:rPr>
        <w:t xml:space="preserve">                   </w:t>
      </w:r>
    </w:p>
    <w:p w14:paraId="65E9879D">
      <w:pPr>
        <w:adjustRightInd w:val="0"/>
        <w:snapToGrid w:val="0"/>
        <w:spacing w:before="0" w:beforeLines="0" w:line="400" w:lineRule="exact"/>
        <w:ind w:firstLine="0" w:firstLineChars="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18E75098">
      <w:pPr>
        <w:adjustRightInd w:val="0"/>
        <w:snapToGrid w:val="0"/>
        <w:spacing w:before="0" w:beforeLines="0" w:line="400" w:lineRule="exact"/>
        <w:ind w:firstLine="0" w:firstLine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（注：固定单价合同应填写单价和最高限价）</w:t>
      </w:r>
    </w:p>
    <w:p w14:paraId="6AE7C7FF">
      <w:pPr>
        <w:numPr>
          <w:ilvl w:val="-1"/>
          <w:numId w:val="0"/>
        </w:numPr>
        <w:adjustRightInd w:val="0"/>
        <w:snapToGrid w:val="0"/>
        <w:spacing w:before="0" w:beforeLines="0" w:line="400" w:lineRule="exact"/>
        <w:ind w:firstLine="0" w:firstLineChars="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w:t>
      </w:r>
      <w:r>
        <w:rPr>
          <w:rFonts w:hint="eastAsia" w:ascii="宋体" w:hAnsi="宋体"/>
          <w:color w:val="auto"/>
          <w:szCs w:val="21"/>
          <w:highlight w:val="none"/>
        </w:rPr>
        <w:t>合同定价方式</w:t>
      </w:r>
      <w:r>
        <w:rPr>
          <w:rFonts w:hint="eastAsia" w:ascii="宋体" w:hAnsi="宋体"/>
          <w:color w:val="auto"/>
          <w:szCs w:val="21"/>
          <w:highlight w:val="none"/>
          <w:lang w:eastAsia="zh-CN"/>
        </w:rPr>
        <w:t>（采用组合定价方式的，可以勾选多项）</w:t>
      </w:r>
      <w:r>
        <w:rPr>
          <w:rFonts w:hint="eastAsia" w:ascii="宋体" w:hAnsi="宋体"/>
          <w:color w:val="auto"/>
          <w:szCs w:val="21"/>
          <w:highlight w:val="none"/>
        </w:rPr>
        <w:t>：</w:t>
      </w:r>
    </w:p>
    <w:p w14:paraId="43951F5D">
      <w:pPr>
        <w:adjustRightInd w:val="0"/>
        <w:snapToGrid w:val="0"/>
        <w:spacing w:before="0" w:beforeLines="0" w:line="400" w:lineRule="exact"/>
        <w:ind w:firstLine="420" w:firstLineChars="200"/>
        <w:rPr>
          <w:rFonts w:hint="eastAsia" w:ascii="宋体" w:hAnsi="宋体" w:eastAsia="宋体"/>
          <w:color w:val="auto"/>
          <w:szCs w:val="21"/>
          <w:highlight w:val="none"/>
          <w:lang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A8"/>
      </w:r>
      <w:r>
        <w:rPr>
          <w:rFonts w:hint="eastAsia" w:ascii="宋体" w:hAnsi="宋体"/>
          <w:iCs/>
          <w:color w:val="auto"/>
          <w:szCs w:val="21"/>
          <w:highlight w:val="none"/>
        </w:rPr>
        <w:t>固定单价</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固定费率</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绩效激励</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r>
        <w:rPr>
          <w:rFonts w:hint="eastAsia" w:ascii="宋体" w:hAnsi="宋体"/>
          <w:color w:val="auto"/>
          <w:szCs w:val="21"/>
          <w:highlight w:val="none"/>
          <w:u w:val="single"/>
        </w:rPr>
        <w:t xml:space="preserve">       </w:t>
      </w:r>
    </w:p>
    <w:p w14:paraId="7D399D95">
      <w:pPr>
        <w:pStyle w:val="279"/>
        <w:spacing w:beforeLines="0" w:line="400" w:lineRule="exact"/>
        <w:rPr>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3</w:t>
      </w:r>
      <w:r>
        <w:rPr>
          <w:rFonts w:hint="eastAsia" w:ascii="宋体" w:hAnsi="宋体"/>
          <w:color w:val="auto"/>
          <w:highlight w:val="none"/>
        </w:rPr>
        <w:t>）付款方式（按项目实际勾选填写）：</w:t>
      </w:r>
    </w:p>
    <w:p w14:paraId="6574C373">
      <w:pP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全额付款：</w:t>
      </w:r>
      <w:r>
        <w:rPr>
          <w:rFonts w:hint="eastAsia" w:ascii="宋体" w:hAnsi="宋体"/>
          <w:color w:val="auto"/>
          <w:szCs w:val="21"/>
          <w:highlight w:val="none"/>
          <w:u w:val="single"/>
        </w:rPr>
        <w:t xml:space="preserve">     （应</w:t>
      </w:r>
      <w:r>
        <w:rPr>
          <w:rFonts w:hint="eastAsia" w:ascii="宋体" w:hAnsi="宋体"/>
          <w:color w:val="auto"/>
          <w:szCs w:val="21"/>
          <w:highlight w:val="none"/>
          <w:u w:val="single"/>
          <w:lang w:eastAsia="zh-CN"/>
        </w:rPr>
        <w:t>明确</w:t>
      </w:r>
      <w:r>
        <w:rPr>
          <w:rFonts w:hint="eastAsia" w:ascii="宋体" w:hAnsi="宋体"/>
          <w:color w:val="auto"/>
          <w:szCs w:val="21"/>
          <w:highlight w:val="none"/>
          <w:u w:val="single"/>
        </w:rPr>
        <w:t>一次性支付合同款项</w:t>
      </w:r>
      <w:r>
        <w:rPr>
          <w:rFonts w:hint="eastAsia" w:ascii="宋体" w:hAnsi="宋体"/>
          <w:color w:val="auto"/>
          <w:szCs w:val="21"/>
          <w:highlight w:val="none"/>
          <w:u w:val="single"/>
          <w:lang w:eastAsia="zh-CN"/>
        </w:rPr>
        <w:t>的条件</w:t>
      </w:r>
      <w:r>
        <w:rPr>
          <w:rFonts w:hint="eastAsia" w:ascii="宋体" w:hAnsi="宋体"/>
          <w:color w:val="auto"/>
          <w:szCs w:val="21"/>
          <w:highlight w:val="none"/>
          <w:u w:val="single"/>
        </w:rPr>
        <w:t xml:space="preserve">）                    </w:t>
      </w:r>
    </w:p>
    <w:p w14:paraId="1B63E6D3">
      <w:pPr>
        <w:snapToGrid w:val="0"/>
        <w:spacing w:beforeLines="0" w:line="400" w:lineRule="exact"/>
        <w:ind w:firstLine="630" w:firstLineChars="300"/>
        <w:rPr>
          <w:color w:val="auto"/>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分期付款：</w:t>
      </w:r>
      <w:r>
        <w:rPr>
          <w:rFonts w:hint="eastAsia" w:ascii="宋体" w:hAnsi="宋体"/>
          <w:color w:val="auto"/>
          <w:szCs w:val="21"/>
          <w:highlight w:val="none"/>
          <w:u w:val="single"/>
        </w:rPr>
        <w:t xml:space="preserve">  （应明确分期支付合同款项的各期比例和支付条件</w:t>
      </w:r>
      <w:r>
        <w:rPr>
          <w:rFonts w:hint="eastAsia" w:ascii="宋体" w:hAnsi="宋体"/>
          <w:color w:val="auto"/>
          <w:szCs w:val="21"/>
          <w:highlight w:val="none"/>
          <w:u w:val="single"/>
          <w:lang w:eastAsia="zh-CN"/>
        </w:rPr>
        <w:t>，各期支付条件应与分期履约验收情况挂钩</w:t>
      </w:r>
      <w:r>
        <w:rPr>
          <w:rFonts w:hint="eastAsia" w:ascii="宋体" w:hAnsi="宋体"/>
          <w:color w:val="auto"/>
          <w:szCs w:val="21"/>
          <w:highlight w:val="none"/>
          <w:u w:val="single"/>
        </w:rPr>
        <w:t xml:space="preserve">） </w:t>
      </w:r>
      <w:r>
        <w:rPr>
          <w:rFonts w:hint="eastAsia" w:ascii="宋体" w:hAnsi="宋体"/>
          <w:color w:val="auto"/>
          <w:szCs w:val="21"/>
          <w:highlight w:val="none"/>
          <w:u w:val="none"/>
          <w:lang w:eastAsia="zh-CN"/>
        </w:rPr>
        <w:t>，</w:t>
      </w:r>
      <w:r>
        <w:rPr>
          <w:rFonts w:hint="eastAsia" w:ascii="宋体" w:hAnsi="宋体"/>
          <w:color w:val="auto"/>
          <w:szCs w:val="21"/>
          <w:highlight w:val="none"/>
          <w:lang w:eastAsia="zh-CN"/>
        </w:rPr>
        <w:t>其中涉及预付款的</w:t>
      </w:r>
      <w:r>
        <w:rPr>
          <w:rFonts w:hint="eastAsia" w:ascii="宋体" w:hAnsi="宋体"/>
          <w:color w:val="auto"/>
          <w:szCs w:val="21"/>
          <w:highlight w:val="none"/>
        </w:rPr>
        <w:t>：</w:t>
      </w:r>
      <w:r>
        <w:rPr>
          <w:rFonts w:hint="eastAsia" w:ascii="宋体" w:hAnsi="宋体"/>
          <w:color w:val="auto"/>
          <w:szCs w:val="21"/>
          <w:highlight w:val="none"/>
          <w:u w:val="single"/>
        </w:rPr>
        <w:t xml:space="preserve"> （应明确预付款的支付比例和支付条件） </w:t>
      </w:r>
    </w:p>
    <w:p w14:paraId="0B04F180">
      <w:pP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成本补偿：</w:t>
      </w:r>
      <w:r>
        <w:rPr>
          <w:rFonts w:hint="eastAsia" w:ascii="宋体" w:hAnsi="宋体"/>
          <w:color w:val="auto"/>
          <w:szCs w:val="21"/>
          <w:highlight w:val="none"/>
          <w:u w:val="single"/>
        </w:rPr>
        <w:t xml:space="preserve">      （应明确按照成本补偿方式的支付方式和支付条件）   </w:t>
      </w:r>
    </w:p>
    <w:p w14:paraId="7BC5E5D7">
      <w:pPr>
        <w:adjustRightInd w:val="0"/>
        <w:snapToGrid w:val="0"/>
        <w:spacing w:before="0" w:beforeLines="0" w:line="400" w:lineRule="exact"/>
        <w:ind w:firstLine="630" w:firstLineChars="300"/>
        <w:rPr>
          <w:rFonts w:ascii="宋体" w:hAnsi="宋体"/>
          <w:color w:val="auto"/>
          <w:szCs w:val="21"/>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绩效激励：</w:t>
      </w:r>
      <w:r>
        <w:rPr>
          <w:rFonts w:hint="eastAsia" w:ascii="宋体" w:hAnsi="宋体"/>
          <w:color w:val="auto"/>
          <w:szCs w:val="21"/>
          <w:highlight w:val="none"/>
          <w:u w:val="single"/>
        </w:rPr>
        <w:t xml:space="preserve">      （应明确按照绩效激励方式的支付方式和支付条件）   </w:t>
      </w:r>
    </w:p>
    <w:p w14:paraId="68E63275">
      <w:pPr>
        <w:numPr>
          <w:ilvl w:val="0"/>
          <w:numId w:val="9"/>
        </w:numPr>
        <w:adjustRightInd w:val="0"/>
        <w:snapToGrid w:val="0"/>
        <w:spacing w:before="0" w:beforeLines="0" w:line="400" w:lineRule="exact"/>
        <w:ind w:firstLine="422" w:firstLineChars="200"/>
        <w:rPr>
          <w:rFonts w:ascii="宋体" w:hAnsi="宋体"/>
          <w:b/>
          <w:bCs w:val="0"/>
          <w:color w:val="auto"/>
          <w:szCs w:val="21"/>
          <w:highlight w:val="none"/>
          <w:u w:val="single"/>
        </w:rPr>
      </w:pPr>
      <w:r>
        <w:rPr>
          <w:rFonts w:hint="eastAsia" w:ascii="宋体" w:hAnsi="宋体"/>
          <w:b/>
          <w:bCs w:val="0"/>
          <w:color w:val="auto"/>
          <w:szCs w:val="21"/>
          <w:highlight w:val="none"/>
        </w:rPr>
        <w:t>合同履行</w:t>
      </w:r>
    </w:p>
    <w:p w14:paraId="1CB1250A">
      <w:pPr>
        <w:adjustRightInd w:val="0"/>
        <w:snapToGrid w:val="0"/>
        <w:spacing w:before="0" w:beforeLines="0"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（1）起始日期：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日，完成日期：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A5D54BC">
      <w:pP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履约</w:t>
      </w:r>
      <w:r>
        <w:rPr>
          <w:rFonts w:hint="eastAsia" w:ascii="宋体" w:hAnsi="宋体" w:cs="宋体"/>
          <w:color w:val="auto"/>
          <w:szCs w:val="21"/>
          <w:highlight w:val="none"/>
        </w:rPr>
        <w:t>地点</w:t>
      </w:r>
      <w:r>
        <w:rPr>
          <w:rFonts w:hint="eastAsia" w:ascii="宋体" w:hAnsi="宋体" w:cs="宋体"/>
          <w:b w:val="0"/>
          <w:bCs/>
          <w:color w:val="auto"/>
          <w:szCs w:val="21"/>
          <w:highlight w:val="none"/>
        </w:rPr>
        <w:t>：</w:t>
      </w:r>
      <w:r>
        <w:rPr>
          <w:rFonts w:hint="eastAsia" w:ascii="宋体" w:hAnsi="宋体" w:cs="宋体"/>
          <w:color w:val="auto"/>
          <w:szCs w:val="21"/>
          <w:highlight w:val="none"/>
          <w:u w:val="single"/>
        </w:rPr>
        <w:t xml:space="preserve">                             </w:t>
      </w:r>
    </w:p>
    <w:p w14:paraId="193AB8D6">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cs="宋体"/>
          <w:bCs/>
          <w:color w:val="auto"/>
          <w:szCs w:val="21"/>
          <w:highlight w:val="none"/>
        </w:rPr>
        <w:t>（3）履约担保：</w:t>
      </w:r>
      <w:r>
        <w:rPr>
          <w:rFonts w:hint="eastAsia" w:ascii="宋体" w:hAnsi="宋体" w:eastAsia="宋体" w:cs="宋体"/>
          <w:color w:val="auto"/>
          <w:sz w:val="21"/>
          <w:highlight w:val="none"/>
          <w:lang w:val="en-US" w:eastAsia="zh-CN"/>
        </w:rPr>
        <w:t>是否收取履约保证金：</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是</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否</w:t>
      </w:r>
    </w:p>
    <w:p w14:paraId="7A8F5354">
      <w:pPr>
        <w:pStyle w:val="62"/>
        <w:spacing w:beforeLines="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w:t>
      </w:r>
      <w:r>
        <w:rPr>
          <w:rFonts w:hint="eastAsia" w:ascii="宋体" w:hAnsi="宋体" w:eastAsia="宋体" w:cs="宋体"/>
          <w:color w:val="auto"/>
          <w:sz w:val="21"/>
          <w:highlight w:val="none"/>
          <w:lang w:val="en-US" w:eastAsia="zh-CN"/>
        </w:rPr>
        <w:t xml:space="preserve">  收取履约保证金形式：</w:t>
      </w:r>
      <w:r>
        <w:rPr>
          <w:rFonts w:hint="eastAsia" w:ascii="宋体" w:hAnsi="宋体" w:eastAsia="宋体" w:cs="宋体"/>
          <w:bCs/>
          <w:color w:val="auto"/>
          <w:sz w:val="21"/>
          <w:szCs w:val="21"/>
          <w:highlight w:val="none"/>
          <w:u w:val="single"/>
        </w:rPr>
        <w:t xml:space="preserve">                            </w:t>
      </w:r>
    </w:p>
    <w:p w14:paraId="3C415B63">
      <w:pPr>
        <w:pStyle w:val="62"/>
        <w:spacing w:beforeLines="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 xml:space="preserve">    收取履约保证金金额：</w:t>
      </w:r>
      <w:r>
        <w:rPr>
          <w:rFonts w:hint="eastAsia" w:ascii="宋体" w:hAnsi="宋体" w:eastAsia="宋体" w:cs="宋体"/>
          <w:bCs/>
          <w:color w:val="auto"/>
          <w:sz w:val="21"/>
          <w:szCs w:val="21"/>
          <w:highlight w:val="none"/>
          <w:u w:val="single"/>
        </w:rPr>
        <w:t xml:space="preserve">                            </w:t>
      </w:r>
    </w:p>
    <w:p w14:paraId="2E940151">
      <w:pPr>
        <w:snapToGrid w:val="0"/>
        <w:spacing w:beforeLines="0" w:line="400" w:lineRule="exact"/>
        <w:ind w:firstLine="420" w:firstLineChars="20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履约担保期限</w:t>
      </w:r>
      <w:r>
        <w:rPr>
          <w:rFonts w:hint="eastAsia" w:ascii="宋体" w:hAnsi="宋体" w:cs="宋体"/>
          <w:bCs/>
          <w:color w:val="auto"/>
          <w:szCs w:val="21"/>
          <w:highlight w:val="none"/>
          <w:u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0440A4F5">
      <w:pPr>
        <w:adjustRightInd w:val="0"/>
        <w:snapToGrid w:val="0"/>
        <w:spacing w:before="0" w:beforeLines="0" w:line="40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（4）分期履行要求：</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 xml:space="preserve">    </w:t>
      </w:r>
      <w:r>
        <w:rPr>
          <w:rFonts w:hint="eastAsia" w:ascii="宋体" w:hAnsi="宋体" w:cs="宋体"/>
          <w:bCs/>
          <w:color w:val="auto"/>
          <w:szCs w:val="21"/>
          <w:highlight w:val="none"/>
          <w:u w:val="single"/>
        </w:rPr>
        <w:t xml:space="preserve"> </w:t>
      </w:r>
    </w:p>
    <w:p w14:paraId="648448BB">
      <w:pP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bCs/>
          <w:color w:val="auto"/>
          <w:szCs w:val="21"/>
          <w:highlight w:val="none"/>
        </w:rPr>
        <w:t>（5）</w:t>
      </w:r>
      <w:r>
        <w:rPr>
          <w:rFonts w:hint="eastAsia" w:ascii="宋体" w:hAnsi="宋体" w:cs="宋体"/>
          <w:bCs/>
          <w:color w:val="auto"/>
          <w:szCs w:val="21"/>
          <w:highlight w:val="none"/>
          <w:lang w:eastAsia="zh-CN"/>
        </w:rPr>
        <w:t>风险处置措施和替代方案</w:t>
      </w:r>
      <w:r>
        <w:rPr>
          <w:rFonts w:hint="eastAsia" w:ascii="宋体" w:hAnsi="宋体" w:cs="宋体"/>
          <w:bCs/>
          <w:color w:val="auto"/>
          <w:szCs w:val="21"/>
          <w:highlight w:val="none"/>
        </w:rPr>
        <w:t>：</w:t>
      </w:r>
      <w:r>
        <w:rPr>
          <w:rFonts w:hint="eastAsia" w:ascii="宋体" w:hAnsi="宋体" w:cs="宋体"/>
          <w:color w:val="auto"/>
          <w:szCs w:val="21"/>
          <w:highlight w:val="none"/>
          <w:u w:val="single"/>
        </w:rPr>
        <w:t xml:space="preserve">                                                               </w:t>
      </w:r>
    </w:p>
    <w:p w14:paraId="7B6965EA">
      <w:pPr>
        <w:numPr>
          <w:ilvl w:val="0"/>
          <w:numId w:val="9"/>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合同验收</w:t>
      </w:r>
    </w:p>
    <w:p w14:paraId="412D55D1">
      <w:pPr>
        <w:numPr>
          <w:ilvl w:val="0"/>
          <w:numId w:val="11"/>
        </w:numP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委托第三方组织</w:t>
      </w:r>
    </w:p>
    <w:p w14:paraId="456FB4C0">
      <w:pPr>
        <w:numPr>
          <w:ilvl w:val="0"/>
          <w:numId w:val="0"/>
        </w:numPr>
        <w:adjustRightInd w:val="0"/>
        <w:snapToGrid w:val="0"/>
        <w:spacing w:before="0" w:beforeLines="0" w:line="400" w:lineRule="exact"/>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验收主体：</w:t>
      </w:r>
      <w:r>
        <w:rPr>
          <w:rFonts w:hint="eastAsia" w:ascii="宋体" w:hAnsi="宋体"/>
          <w:bCs/>
          <w:color w:val="auto"/>
          <w:szCs w:val="21"/>
          <w:highlight w:val="none"/>
          <w:u w:val="single"/>
        </w:rPr>
        <w:t xml:space="preserve">                  </w:t>
      </w:r>
    </w:p>
    <w:p w14:paraId="538CEB73">
      <w:pPr>
        <w:adjustRightInd w:val="0"/>
        <w:snapToGrid w:val="0"/>
        <w:spacing w:before="0" w:beforeLines="0" w:line="400" w:lineRule="exact"/>
        <w:ind w:firstLine="0" w:firstLineChars="0"/>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是否邀请本项目的其他供应商</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06D77707">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是否邀请专家</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49082CC1">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是否邀请服务对象</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3A2B19E3">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是否邀请第三方检测机构</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1E593836">
      <w:pPr>
        <w:adjustRightInd w:val="0"/>
        <w:snapToGrid w:val="0"/>
        <w:spacing w:before="0" w:beforeLines="0" w:line="400" w:lineRule="exact"/>
        <w:ind w:firstLine="840" w:firstLineChars="400"/>
        <w:rPr>
          <w:rFonts w:hint="eastAsia" w:ascii="宋体" w:hAnsi="宋体"/>
          <w:bCs/>
          <w:color w:val="auto"/>
          <w:szCs w:val="21"/>
          <w:highlight w:val="none"/>
        </w:rPr>
      </w:pPr>
      <w:r>
        <w:rPr>
          <w:rFonts w:hint="eastAsia" w:ascii="宋体" w:hAnsi="宋体"/>
          <w:bCs/>
          <w:color w:val="auto"/>
          <w:szCs w:val="21"/>
          <w:highlight w:val="none"/>
          <w:lang w:eastAsia="zh-CN"/>
        </w:rPr>
        <w:t>是否进行抽查检测：</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是</w:t>
      </w:r>
      <w:r>
        <w:rPr>
          <w:rFonts w:hint="eastAsia" w:ascii="宋体" w:hAnsi="宋体"/>
          <w:bCs/>
          <w:color w:val="auto"/>
          <w:szCs w:val="21"/>
          <w:highlight w:val="none"/>
          <w:lang w:eastAsia="zh-CN"/>
        </w:rPr>
        <w:t>，抽查比例：</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r>
        <w:rPr>
          <w:rFonts w:hint="eastAsia" w:ascii="宋体" w:hAnsi="宋体"/>
          <w:bCs/>
          <w:color w:val="auto"/>
          <w:szCs w:val="21"/>
          <w:highlight w:val="none"/>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34A161B3">
      <w:pPr>
        <w:adjustRightInd w:val="0"/>
        <w:snapToGrid w:val="0"/>
        <w:spacing w:before="0" w:beforeLines="0" w:line="400" w:lineRule="exact"/>
        <w:ind w:firstLine="840" w:firstLineChars="400"/>
        <w:rPr>
          <w:rFonts w:hint="eastAsia" w:ascii="宋体" w:hAnsi="宋体" w:eastAsia="宋体"/>
          <w:bCs/>
          <w:color w:val="auto"/>
          <w:szCs w:val="21"/>
          <w:highlight w:val="none"/>
          <w:u w:val="single"/>
          <w:lang w:eastAsia="zh-CN"/>
        </w:rPr>
      </w:pPr>
      <w:r>
        <w:rPr>
          <w:rFonts w:hint="eastAsia" w:ascii="宋体" w:hAnsi="宋体" w:eastAsia="宋体"/>
          <w:bCs/>
          <w:color w:val="auto"/>
          <w:szCs w:val="21"/>
          <w:highlight w:val="none"/>
          <w:lang w:val="en-US" w:eastAsia="zh-CN"/>
        </w:rPr>
        <w:t>是否存在破坏性检测：</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是</w:t>
      </w:r>
      <w:r>
        <w:rPr>
          <w:rFonts w:hint="eastAsia" w:ascii="宋体" w:hAnsi="宋体" w:eastAsia="宋体"/>
          <w:bCs/>
          <w:color w:val="auto"/>
          <w:szCs w:val="21"/>
          <w:highlight w:val="none"/>
          <w:lang w:eastAsia="zh-CN"/>
        </w:rPr>
        <w:t>，</w:t>
      </w:r>
      <w:r>
        <w:rPr>
          <w:rFonts w:hint="eastAsia" w:ascii="宋体" w:hAnsi="宋体" w:eastAsia="宋体"/>
          <w:bCs/>
          <w:color w:val="auto"/>
          <w:szCs w:val="21"/>
          <w:highlight w:val="none"/>
          <w:u w:val="single"/>
          <w:lang w:eastAsia="zh-CN"/>
        </w:rPr>
        <w:t>（应明确对被破坏的检测产品的处理方式）</w:t>
      </w:r>
    </w:p>
    <w:p w14:paraId="5F19D68A">
      <w:pPr>
        <w:adjustRightInd w:val="0"/>
        <w:snapToGrid w:val="0"/>
        <w:spacing w:before="0" w:beforeLines="0" w:line="400" w:lineRule="exact"/>
        <w:ind w:firstLine="840" w:firstLineChars="400"/>
        <w:rPr>
          <w:rFonts w:hint="eastAsia" w:ascii="宋体" w:hAnsi="宋体" w:eastAsia="宋体"/>
          <w:bCs/>
          <w:color w:val="auto"/>
          <w:szCs w:val="21"/>
          <w:highlight w:val="none"/>
          <w:lang w:eastAsia="zh-CN"/>
        </w:rPr>
      </w:pPr>
      <w:r>
        <w:rPr>
          <w:rFonts w:hint="eastAsia" w:ascii="宋体" w:hAnsi="宋体" w:eastAsia="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否</w:t>
      </w:r>
    </w:p>
    <w:p w14:paraId="3172A65A">
      <w:pPr>
        <w:adjustRightInd w:val="0"/>
        <w:snapToGrid w:val="0"/>
        <w:spacing w:before="0" w:beforeLines="0" w:line="400" w:lineRule="exact"/>
        <w:ind w:firstLine="840" w:firstLineChars="400"/>
        <w:rPr>
          <w:rFonts w:hint="eastAsia" w:ascii="宋体" w:hAnsi="宋体"/>
          <w:bCs/>
          <w:color w:val="auto"/>
          <w:szCs w:val="21"/>
          <w:highlight w:val="none"/>
          <w:u w:val="single"/>
        </w:rPr>
      </w:pPr>
      <w:r>
        <w:rPr>
          <w:rFonts w:hint="eastAsia" w:ascii="宋体" w:hAnsi="宋体"/>
          <w:bCs/>
          <w:color w:val="auto"/>
          <w:szCs w:val="21"/>
          <w:highlight w:val="none"/>
        </w:rPr>
        <w:t>验收组织的其他事项：</w:t>
      </w:r>
      <w:r>
        <w:rPr>
          <w:rFonts w:hint="eastAsia" w:ascii="宋体" w:hAnsi="宋体"/>
          <w:bCs/>
          <w:color w:val="auto"/>
          <w:szCs w:val="21"/>
          <w:highlight w:val="none"/>
          <w:u w:val="single"/>
        </w:rPr>
        <w:t xml:space="preserve">                </w:t>
      </w:r>
    </w:p>
    <w:p w14:paraId="4EA85C06">
      <w:pP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bCs/>
          <w:color w:val="auto"/>
          <w:szCs w:val="21"/>
          <w:highlight w:val="none"/>
          <w:u w:val="single"/>
        </w:rPr>
        <w:t>（计划于何时验收/供应商提出验收申请之日起   日内组织验收）</w:t>
      </w:r>
      <w:r>
        <w:rPr>
          <w:rFonts w:hint="eastAsia" w:ascii="宋体" w:hAnsi="宋体"/>
          <w:bCs/>
          <w:color w:val="auto"/>
          <w:szCs w:val="21"/>
          <w:highlight w:val="none"/>
          <w:u w:val="single"/>
          <w:lang w:val="en-US" w:eastAsia="zh-CN"/>
        </w:rPr>
        <w:t xml:space="preserve"> </w:t>
      </w:r>
    </w:p>
    <w:p w14:paraId="4F572633">
      <w:pP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一次性验收         </w:t>
      </w:r>
    </w:p>
    <w:p w14:paraId="577CDB7C">
      <w:pPr>
        <w:adjustRightInd w:val="0"/>
        <w:snapToGrid w:val="0"/>
        <w:spacing w:before="0" w:beforeLines="0" w:line="400" w:lineRule="exact"/>
        <w:ind w:firstLine="0" w:firstLineChars="0"/>
        <w:rPr>
          <w:rFonts w:hint="eastAsia" w:ascii="宋体" w:hAnsi="宋体" w:eastAsia="宋体"/>
          <w:bCs/>
          <w:color w:val="auto"/>
          <w:szCs w:val="21"/>
          <w:highlight w:val="none"/>
          <w:lang w:val="en-US" w:eastAsia="zh-CN"/>
        </w:rPr>
      </w:pPr>
      <w:r>
        <w:rPr>
          <w:rFonts w:hint="eastAsia" w:ascii="宋体" w:hAnsi="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（应明确分期</w:t>
      </w:r>
      <w:r>
        <w:rPr>
          <w:rFonts w:hint="default" w:ascii="宋体" w:hAnsi="宋体"/>
          <w:bCs/>
          <w:color w:val="auto"/>
          <w:szCs w:val="21"/>
          <w:highlight w:val="none"/>
          <w:u w:val="single"/>
          <w:lang w:val="en" w:eastAsia="zh-CN"/>
        </w:rPr>
        <w:t>/</w:t>
      </w:r>
      <w:r>
        <w:rPr>
          <w:rFonts w:hint="eastAsia" w:ascii="宋体" w:hAnsi="宋体"/>
          <w:bCs/>
          <w:color w:val="auto"/>
          <w:szCs w:val="21"/>
          <w:highlight w:val="none"/>
          <w:u w:val="single"/>
          <w:lang w:val="en" w:eastAsia="zh-CN"/>
        </w:rPr>
        <w:t>分项验收的工作安排</w:t>
      </w:r>
      <w:r>
        <w:rPr>
          <w:rFonts w:hint="eastAsia" w:ascii="宋体" w:hAnsi="宋体"/>
          <w:bCs/>
          <w:color w:val="auto"/>
          <w:szCs w:val="21"/>
          <w:highlight w:val="none"/>
          <w:u w:val="singl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p>
    <w:p w14:paraId="567DCF5B">
      <w:pPr>
        <w:adjustRightInd w:val="0"/>
        <w:snapToGrid w:val="0"/>
        <w:spacing w:before="0" w:beforeLines="0"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14:paraId="4B1C2285">
      <w:pPr>
        <w:adjustRightInd w:val="0"/>
        <w:snapToGrid w:val="0"/>
        <w:spacing w:before="0" w:beforeLines="0"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（应当包括每一项技术和商务要求的履约情况，特别是落实政府采购扶持中小企业，支持绿色发展和乡村振兴等政策情况）</w:t>
      </w:r>
      <w:r>
        <w:rPr>
          <w:rFonts w:hint="eastAsia" w:ascii="宋体" w:hAnsi="宋体"/>
          <w:bCs/>
          <w:color w:val="auto"/>
          <w:szCs w:val="21"/>
          <w:highlight w:val="none"/>
          <w:u w:val="single"/>
        </w:rPr>
        <w:t xml:space="preserve">                                      </w:t>
      </w:r>
    </w:p>
    <w:p w14:paraId="7AC5AD8E">
      <w:pP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14:paraId="08B53EFE">
      <w:pPr>
        <w:pStyle w:val="62"/>
        <w:spacing w:beforeLines="0"/>
        <w:rPr>
          <w:rFonts w:hint="eastAsia" w:ascii="宋体" w:hAnsi="宋体" w:eastAsia="宋体" w:cs="宋体"/>
          <w:color w:val="auto"/>
          <w:sz w:val="21"/>
          <w:highlight w:val="none"/>
          <w:lang w:eastAsia="zh-CN"/>
        </w:rPr>
      </w:pP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7</w:t>
      </w:r>
      <w:r>
        <w:rPr>
          <w:rFonts w:hint="eastAsia" w:ascii="宋体" w:hAnsi="宋体" w:eastAsia="宋体" w:cs="宋体"/>
          <w:bCs/>
          <w:color w:val="auto"/>
          <w:sz w:val="21"/>
          <w:szCs w:val="21"/>
          <w:highlight w:val="none"/>
          <w:u w:val="none"/>
          <w:lang w:eastAsia="zh-CN"/>
        </w:rPr>
        <w:t>）是否以采购活动中供应商提供的样品作为参考：</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5F5DF837">
      <w:pPr>
        <w:adjustRightInd w:val="0"/>
        <w:snapToGrid w:val="0"/>
        <w:spacing w:before="0" w:beforeLines="0" w:line="400" w:lineRule="exact"/>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w:t>
      </w:r>
      <w:r>
        <w:rPr>
          <w:rFonts w:hint="eastAsia" w:ascii="宋体" w:hAnsi="宋体" w:cs="宋体"/>
          <w:bCs/>
          <w:i w:val="0"/>
          <w:iCs w:val="0"/>
          <w:color w:val="auto"/>
          <w:szCs w:val="21"/>
          <w:highlight w:val="none"/>
          <w:u w:val="single"/>
        </w:rPr>
        <w:t>（产权过户登记等）</w:t>
      </w:r>
      <w:r>
        <w:rPr>
          <w:rFonts w:hint="eastAsia" w:ascii="宋体" w:hAnsi="宋体" w:cs="宋体"/>
          <w:bCs/>
          <w:color w:val="auto"/>
          <w:szCs w:val="21"/>
          <w:highlight w:val="none"/>
          <w:u w:val="single"/>
        </w:rPr>
        <w:t xml:space="preserve">          </w:t>
      </w:r>
    </w:p>
    <w:p w14:paraId="0EE6D960">
      <w:pPr>
        <w:numPr>
          <w:ilvl w:val="0"/>
          <w:numId w:val="9"/>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组成合同的文件</w:t>
      </w:r>
    </w:p>
    <w:p w14:paraId="4A272E34">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14:paraId="7AFC5E9D">
      <w:pPr>
        <w:adjustRightInd w:val="0"/>
        <w:snapToGrid w:val="0"/>
        <w:spacing w:before="0" w:beforeLines="0" w:line="400" w:lineRule="exact"/>
        <w:ind w:firstLine="420" w:firstLineChars="200"/>
        <w:rPr>
          <w:rFonts w:hint="eastAsia" w:ascii="宋体" w:hAnsi="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p>
    <w:p w14:paraId="7B8F9AA0">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）政府采购合同专用条款</w:t>
      </w:r>
    </w:p>
    <w:p w14:paraId="1AC291F8">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）政府采购合同通用条款</w:t>
      </w:r>
    </w:p>
    <w:p w14:paraId="062B85ED">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p>
    <w:p w14:paraId="2AB094AD">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）投标（响应）文件</w:t>
      </w:r>
    </w:p>
    <w:p w14:paraId="4B70F7BB">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（6）采购文件</w:t>
      </w:r>
    </w:p>
    <w:p w14:paraId="772B4DDB">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（7）有关技术文件，图纸</w:t>
      </w:r>
    </w:p>
    <w:p w14:paraId="5657CE3A">
      <w:pPr>
        <w:pStyle w:val="62"/>
        <w:spacing w:beforeLines="0"/>
        <w:rPr>
          <w:rFonts w:hint="eastAsia" w:ascii="宋体" w:hAnsi="宋体" w:eastAsia="宋体" w:cs="宋体"/>
          <w:color w:val="auto"/>
          <w:kern w:val="2"/>
          <w:sz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p>
    <w:p w14:paraId="4E12BC1F">
      <w:pPr>
        <w:numPr>
          <w:ilvl w:val="0"/>
          <w:numId w:val="9"/>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合同生效</w:t>
      </w:r>
    </w:p>
    <w:p w14:paraId="203B6AD9">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 xml:space="preserve">                             </w:t>
      </w:r>
      <w:r>
        <w:rPr>
          <w:rFonts w:hint="eastAsia" w:ascii="宋体" w:hAnsi="宋体"/>
          <w:color w:val="auto"/>
          <w:szCs w:val="21"/>
          <w:highlight w:val="none"/>
        </w:rPr>
        <w:t>生效。</w:t>
      </w:r>
    </w:p>
    <w:p w14:paraId="5BB1A929">
      <w:pPr>
        <w:numPr>
          <w:ilvl w:val="0"/>
          <w:numId w:val="9"/>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合同份数</w:t>
      </w:r>
    </w:p>
    <w:p w14:paraId="237CBB1E">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甲方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乙方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份，均具有同等法律效力。</w:t>
      </w:r>
    </w:p>
    <w:p w14:paraId="46E4B9C8">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691BEE74">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14:paraId="5CBFA80E">
      <w:pPr>
        <w:adjustRightInd w:val="0"/>
        <w:snapToGrid w:val="0"/>
        <w:spacing w:before="0" w:beforeLines="0" w:line="400" w:lineRule="exact"/>
        <w:ind w:firstLine="420" w:firstLineChars="200"/>
        <w:rPr>
          <w:color w:val="auto"/>
          <w:highlight w:val="none"/>
        </w:rPr>
      </w:pPr>
      <w:r>
        <w:rPr>
          <w:rFonts w:hint="eastAsia" w:ascii="宋体" w:hAnsi="宋体"/>
          <w:color w:val="auto"/>
          <w:szCs w:val="21"/>
          <w:highlight w:val="none"/>
        </w:rPr>
        <w:t>附件：具体标</w:t>
      </w:r>
      <w:r>
        <w:rPr>
          <w:rFonts w:hint="eastAsia" w:ascii="宋体" w:hAnsi="宋体"/>
          <w:color w:val="auto"/>
          <w:szCs w:val="21"/>
          <w:highlight w:val="none"/>
          <w:lang w:eastAsia="zh-CN"/>
        </w:rPr>
        <w:t>的及其</w:t>
      </w:r>
      <w:r>
        <w:rPr>
          <w:rFonts w:hint="eastAsia" w:ascii="宋体" w:hAnsi="宋体"/>
          <w:color w:val="auto"/>
          <w:szCs w:val="21"/>
          <w:highlight w:val="none"/>
          <w:u w:val="none"/>
          <w:lang w:val="en-US" w:eastAsia="zh-CN"/>
        </w:rPr>
        <w:t>技术要求和商务要求</w:t>
      </w:r>
      <w:r>
        <w:rPr>
          <w:rFonts w:hint="eastAsia" w:ascii="宋体" w:hAnsi="宋体"/>
          <w:color w:val="auto"/>
          <w:szCs w:val="21"/>
          <w:highlight w:val="none"/>
        </w:rPr>
        <w:t>、联合协议、分包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协议等。</w:t>
      </w:r>
    </w:p>
    <w:p w14:paraId="052E283A">
      <w:pPr>
        <w:pStyle w:val="279"/>
        <w:spacing w:beforeLines="0" w:line="400" w:lineRule="exact"/>
        <w:rPr>
          <w:color w:val="auto"/>
          <w:highlight w:val="none"/>
        </w:rPr>
      </w:pPr>
    </w:p>
    <w:p w14:paraId="147A3E29">
      <w:pPr>
        <w:rPr>
          <w:rFonts w:hint="eastAsia"/>
          <w:color w:val="auto"/>
          <w:highlight w:val="none"/>
          <w:lang w:val="en-US" w:eastAsia="zh-CN"/>
        </w:rPr>
      </w:pPr>
      <w:r>
        <w:rPr>
          <w:rFonts w:hint="default"/>
          <w:color w:val="auto"/>
          <w:highlight w:val="none"/>
          <w:lang w:val="en"/>
        </w:rPr>
        <w:t xml:space="preserve">   </w:t>
      </w:r>
    </w:p>
    <w:p w14:paraId="54CB7EDC">
      <w:pPr>
        <w:rPr>
          <w:rFonts w:hint="eastAsia"/>
          <w:color w:val="auto"/>
          <w:highlight w:val="none"/>
        </w:rPr>
      </w:pPr>
      <w:r>
        <w:rPr>
          <w:rFonts w:hint="eastAsia"/>
          <w:color w:val="auto"/>
          <w:highlight w:val="none"/>
        </w:rPr>
        <w:br w:type="page"/>
      </w:r>
    </w:p>
    <w:p w14:paraId="3C1E35E2">
      <w:pPr>
        <w:pStyle w:val="279"/>
        <w:rPr>
          <w:rFonts w:hint="eastAsia"/>
          <w:color w:val="auto"/>
          <w:highlight w:val="none"/>
        </w:rPr>
      </w:pPr>
    </w:p>
    <w:tbl>
      <w:tblPr>
        <w:tblStyle w:val="47"/>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2"/>
        <w:gridCol w:w="2413"/>
        <w:gridCol w:w="1980"/>
        <w:gridCol w:w="2118"/>
      </w:tblGrid>
      <w:tr w14:paraId="3E505A7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2C8B20C7">
            <w:pPr>
              <w:adjustRightInd w:val="0"/>
              <w:snapToGrid w:val="0"/>
              <w:spacing w:line="300" w:lineRule="exact"/>
              <w:jc w:val="center"/>
              <w:rPr>
                <w:color w:val="auto"/>
                <w:highlight w:val="none"/>
              </w:rPr>
            </w:pPr>
            <w:r>
              <w:rPr>
                <w:color w:val="auto"/>
                <w:szCs w:val="21"/>
                <w:highlight w:val="none"/>
              </w:rPr>
              <w:t>甲方</w:t>
            </w:r>
            <w:r>
              <w:rPr>
                <w:rFonts w:hint="eastAsia"/>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w:t>
            </w:r>
            <w:r>
              <w:rPr>
                <w:rFonts w:hint="eastAsia"/>
                <w:color w:val="auto"/>
                <w:szCs w:val="21"/>
                <w:highlight w:val="none"/>
              </w:rPr>
              <w:t>采购文件约定的合同甲方）</w:t>
            </w:r>
          </w:p>
        </w:tc>
        <w:tc>
          <w:tcPr>
            <w:tcW w:w="2437" w:type="pct"/>
            <w:gridSpan w:val="2"/>
            <w:tcBorders>
              <w:left w:val="single" w:color="auto" w:sz="2" w:space="0"/>
              <w:bottom w:val="single" w:color="auto" w:sz="2" w:space="0"/>
            </w:tcBorders>
            <w:vAlign w:val="center"/>
          </w:tcPr>
          <w:p w14:paraId="762A7F95">
            <w:pPr>
              <w:adjustRightInd w:val="0"/>
              <w:snapToGrid w:val="0"/>
              <w:spacing w:line="300" w:lineRule="exact"/>
              <w:jc w:val="center"/>
              <w:rPr>
                <w:color w:val="auto"/>
                <w:highlight w:val="none"/>
              </w:rPr>
            </w:pPr>
            <w:r>
              <w:rPr>
                <w:color w:val="auto"/>
                <w:szCs w:val="21"/>
                <w:highlight w:val="none"/>
              </w:rPr>
              <w:t>乙方</w:t>
            </w:r>
            <w:r>
              <w:rPr>
                <w:rFonts w:hint="eastAsia"/>
                <w:color w:val="auto"/>
                <w:szCs w:val="21"/>
                <w:highlight w:val="none"/>
              </w:rPr>
              <w:t>（供应商）</w:t>
            </w:r>
          </w:p>
        </w:tc>
      </w:tr>
      <w:tr w14:paraId="5950D4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59AF4E4F">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1436" w:type="pct"/>
            <w:tcBorders>
              <w:top w:val="single" w:color="auto" w:sz="2" w:space="0"/>
              <w:left w:val="single" w:color="auto" w:sz="2" w:space="0"/>
              <w:bottom w:val="single" w:color="auto" w:sz="2" w:space="0"/>
              <w:right w:val="single" w:color="auto" w:sz="2" w:space="0"/>
            </w:tcBorders>
            <w:vAlign w:val="center"/>
          </w:tcPr>
          <w:p w14:paraId="2FCD4CA1">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A9BB9AB">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1259" w:type="pct"/>
            <w:tcBorders>
              <w:top w:val="single" w:color="auto" w:sz="2" w:space="0"/>
              <w:left w:val="single" w:color="auto" w:sz="2" w:space="0"/>
              <w:bottom w:val="single" w:color="auto" w:sz="2" w:space="0"/>
            </w:tcBorders>
            <w:vAlign w:val="center"/>
          </w:tcPr>
          <w:p w14:paraId="0B92AC47">
            <w:pPr>
              <w:adjustRightInd w:val="0"/>
              <w:snapToGrid w:val="0"/>
              <w:spacing w:line="300" w:lineRule="exact"/>
              <w:jc w:val="center"/>
              <w:rPr>
                <w:color w:val="auto"/>
                <w:spacing w:val="20"/>
                <w:szCs w:val="21"/>
                <w:highlight w:val="none"/>
              </w:rPr>
            </w:pPr>
          </w:p>
        </w:tc>
      </w:tr>
      <w:tr w14:paraId="06DC87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6606D5DA">
            <w:pPr>
              <w:adjustRightInd w:val="0"/>
              <w:snapToGrid w:val="0"/>
              <w:spacing w:line="300" w:lineRule="exact"/>
              <w:jc w:val="center"/>
              <w:rPr>
                <w:color w:val="auto"/>
                <w:szCs w:val="21"/>
                <w:highlight w:val="none"/>
              </w:rPr>
            </w:pPr>
            <w:r>
              <w:rPr>
                <w:color w:val="auto"/>
                <w:szCs w:val="21"/>
                <w:highlight w:val="none"/>
              </w:rPr>
              <w:t>法定代表人</w:t>
            </w:r>
          </w:p>
          <w:p w14:paraId="1E856CF7">
            <w:pPr>
              <w:adjustRightInd w:val="0"/>
              <w:snapToGrid w:val="0"/>
              <w:spacing w:line="300" w:lineRule="exact"/>
              <w:ind w:firstLine="100" w:firstLineChars="48"/>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1436" w:type="pct"/>
            <w:vMerge w:val="restart"/>
            <w:tcBorders>
              <w:top w:val="single" w:color="auto" w:sz="2" w:space="0"/>
              <w:left w:val="single" w:color="auto" w:sz="2" w:space="0"/>
              <w:right w:val="single" w:color="auto" w:sz="2" w:space="0"/>
            </w:tcBorders>
            <w:vAlign w:val="center"/>
          </w:tcPr>
          <w:p w14:paraId="113740F7">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right w:val="single" w:color="auto" w:sz="2" w:space="0"/>
            </w:tcBorders>
            <w:vAlign w:val="center"/>
          </w:tcPr>
          <w:p w14:paraId="1AAA7E59">
            <w:pPr>
              <w:adjustRightInd w:val="0"/>
              <w:snapToGrid w:val="0"/>
              <w:spacing w:line="300" w:lineRule="exact"/>
              <w:jc w:val="center"/>
              <w:rPr>
                <w:color w:val="auto"/>
                <w:szCs w:val="21"/>
                <w:highlight w:val="none"/>
              </w:rPr>
            </w:pPr>
            <w:r>
              <w:rPr>
                <w:color w:val="auto"/>
                <w:szCs w:val="21"/>
                <w:highlight w:val="none"/>
              </w:rPr>
              <w:t>法定代表人</w:t>
            </w:r>
          </w:p>
          <w:p w14:paraId="6B6DEF24">
            <w:pPr>
              <w:adjustRightInd w:val="0"/>
              <w:snapToGrid w:val="0"/>
              <w:spacing w:line="300" w:lineRule="exact"/>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1259" w:type="pct"/>
            <w:tcBorders>
              <w:top w:val="single" w:color="auto" w:sz="2" w:space="0"/>
              <w:left w:val="single" w:color="auto" w:sz="2" w:space="0"/>
              <w:bottom w:val="single" w:color="auto" w:sz="2" w:space="0"/>
            </w:tcBorders>
            <w:vAlign w:val="center"/>
          </w:tcPr>
          <w:p w14:paraId="30A4FB1E">
            <w:pPr>
              <w:adjustRightInd w:val="0"/>
              <w:snapToGrid w:val="0"/>
              <w:spacing w:line="300" w:lineRule="exact"/>
              <w:jc w:val="center"/>
              <w:rPr>
                <w:color w:val="auto"/>
                <w:szCs w:val="21"/>
                <w:highlight w:val="none"/>
              </w:rPr>
            </w:pPr>
          </w:p>
        </w:tc>
      </w:tr>
      <w:tr w14:paraId="220D8CB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69BBC680">
            <w:pPr>
              <w:adjustRightInd w:val="0"/>
              <w:snapToGrid w:val="0"/>
              <w:spacing w:line="300" w:lineRule="exact"/>
              <w:jc w:val="center"/>
              <w:rPr>
                <w:color w:val="auto"/>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0BB49422">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D2A24B6">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拥有者性别</w:t>
            </w:r>
          </w:p>
        </w:tc>
        <w:tc>
          <w:tcPr>
            <w:tcW w:w="1259" w:type="pct"/>
            <w:tcBorders>
              <w:top w:val="single" w:color="auto" w:sz="2" w:space="0"/>
              <w:left w:val="single" w:color="auto" w:sz="2" w:space="0"/>
              <w:bottom w:val="single" w:color="auto" w:sz="2" w:space="0"/>
            </w:tcBorders>
            <w:vAlign w:val="center"/>
          </w:tcPr>
          <w:p w14:paraId="5C7785FA">
            <w:pPr>
              <w:adjustRightInd w:val="0"/>
              <w:snapToGrid w:val="0"/>
              <w:spacing w:line="300" w:lineRule="exact"/>
              <w:jc w:val="center"/>
              <w:rPr>
                <w:color w:val="auto"/>
                <w:spacing w:val="20"/>
                <w:szCs w:val="21"/>
                <w:highlight w:val="none"/>
              </w:rPr>
            </w:pPr>
          </w:p>
        </w:tc>
      </w:tr>
      <w:tr w14:paraId="7CE08BC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3C0E7EE">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5E59C32C">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9C24270">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1259" w:type="pct"/>
            <w:tcBorders>
              <w:top w:val="single" w:color="auto" w:sz="2" w:space="0"/>
              <w:left w:val="single" w:color="auto" w:sz="2" w:space="0"/>
              <w:bottom w:val="single" w:color="auto" w:sz="2" w:space="0"/>
            </w:tcBorders>
            <w:vAlign w:val="center"/>
          </w:tcPr>
          <w:p w14:paraId="4A6F8437">
            <w:pPr>
              <w:adjustRightInd w:val="0"/>
              <w:snapToGrid w:val="0"/>
              <w:spacing w:line="300" w:lineRule="exact"/>
              <w:jc w:val="center"/>
              <w:rPr>
                <w:color w:val="auto"/>
                <w:spacing w:val="20"/>
                <w:szCs w:val="21"/>
                <w:highlight w:val="none"/>
              </w:rPr>
            </w:pPr>
          </w:p>
        </w:tc>
      </w:tr>
      <w:tr w14:paraId="0087A83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BD68BD7">
            <w:pPr>
              <w:adjustRightInd w:val="0"/>
              <w:snapToGrid w:val="0"/>
              <w:spacing w:line="300" w:lineRule="exact"/>
              <w:jc w:val="center"/>
              <w:rPr>
                <w:color w:val="auto"/>
                <w:szCs w:val="21"/>
                <w:highlight w:val="none"/>
              </w:rPr>
            </w:pPr>
            <w:r>
              <w:rPr>
                <w:color w:val="auto"/>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56E8690B">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8CDFA1B">
            <w:pPr>
              <w:adjustRightInd w:val="0"/>
              <w:snapToGrid w:val="0"/>
              <w:spacing w:line="300" w:lineRule="exact"/>
              <w:jc w:val="center"/>
              <w:rPr>
                <w:color w:val="auto"/>
                <w:szCs w:val="21"/>
                <w:highlight w:val="none"/>
              </w:rPr>
            </w:pPr>
            <w:r>
              <w:rPr>
                <w:color w:val="auto"/>
                <w:szCs w:val="21"/>
                <w:highlight w:val="none"/>
              </w:rPr>
              <w:t>联 系 人</w:t>
            </w:r>
          </w:p>
        </w:tc>
        <w:tc>
          <w:tcPr>
            <w:tcW w:w="1259" w:type="pct"/>
            <w:tcBorders>
              <w:top w:val="single" w:color="auto" w:sz="2" w:space="0"/>
              <w:left w:val="single" w:color="auto" w:sz="2" w:space="0"/>
              <w:bottom w:val="single" w:color="auto" w:sz="2" w:space="0"/>
            </w:tcBorders>
            <w:vAlign w:val="center"/>
          </w:tcPr>
          <w:p w14:paraId="66FF2779">
            <w:pPr>
              <w:adjustRightInd w:val="0"/>
              <w:snapToGrid w:val="0"/>
              <w:spacing w:line="300" w:lineRule="exact"/>
              <w:jc w:val="center"/>
              <w:rPr>
                <w:color w:val="auto"/>
                <w:spacing w:val="20"/>
                <w:szCs w:val="21"/>
                <w:highlight w:val="none"/>
              </w:rPr>
            </w:pPr>
          </w:p>
        </w:tc>
      </w:tr>
      <w:tr w14:paraId="50F7AB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71755A4">
            <w:pPr>
              <w:adjustRightInd w:val="0"/>
              <w:snapToGrid w:val="0"/>
              <w:spacing w:line="300" w:lineRule="exact"/>
              <w:jc w:val="center"/>
              <w:rPr>
                <w:color w:val="auto"/>
                <w:szCs w:val="21"/>
                <w:highlight w:val="none"/>
              </w:rPr>
            </w:pPr>
            <w:r>
              <w:rPr>
                <w:color w:val="auto"/>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54F5E694">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4C57037">
            <w:pPr>
              <w:adjustRightInd w:val="0"/>
              <w:snapToGrid w:val="0"/>
              <w:spacing w:line="300" w:lineRule="exact"/>
              <w:jc w:val="center"/>
              <w:rPr>
                <w:color w:val="auto"/>
                <w:szCs w:val="21"/>
                <w:highlight w:val="none"/>
              </w:rPr>
            </w:pPr>
            <w:r>
              <w:rPr>
                <w:color w:val="auto"/>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295C52D8">
            <w:pPr>
              <w:adjustRightInd w:val="0"/>
              <w:snapToGrid w:val="0"/>
              <w:spacing w:line="300" w:lineRule="exact"/>
              <w:jc w:val="center"/>
              <w:rPr>
                <w:color w:val="auto"/>
                <w:spacing w:val="20"/>
                <w:szCs w:val="21"/>
                <w:highlight w:val="none"/>
              </w:rPr>
            </w:pPr>
          </w:p>
        </w:tc>
      </w:tr>
      <w:tr w14:paraId="505F0BF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62656F4">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63B46A7F">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A4F03DC">
            <w:pPr>
              <w:adjustRightInd w:val="0"/>
              <w:snapToGrid w:val="0"/>
              <w:spacing w:line="300" w:lineRule="exact"/>
              <w:jc w:val="center"/>
              <w:rPr>
                <w:color w:val="auto"/>
                <w:szCs w:val="21"/>
                <w:highlight w:val="none"/>
              </w:rPr>
            </w:pPr>
            <w:r>
              <w:rPr>
                <w:rFonts w:hint="eastAsia"/>
                <w:color w:val="auto"/>
                <w:szCs w:val="21"/>
                <w:highlight w:val="none"/>
                <w:lang w:eastAsia="zh-CN"/>
              </w:rPr>
              <w:t>通信地址</w:t>
            </w:r>
          </w:p>
        </w:tc>
        <w:tc>
          <w:tcPr>
            <w:tcW w:w="1259" w:type="pct"/>
            <w:tcBorders>
              <w:top w:val="single" w:color="auto" w:sz="2" w:space="0"/>
              <w:left w:val="single" w:color="auto" w:sz="2" w:space="0"/>
              <w:bottom w:val="single" w:color="auto" w:sz="2" w:space="0"/>
            </w:tcBorders>
            <w:vAlign w:val="center"/>
          </w:tcPr>
          <w:p w14:paraId="14C0EB79">
            <w:pPr>
              <w:adjustRightInd w:val="0"/>
              <w:snapToGrid w:val="0"/>
              <w:spacing w:line="300" w:lineRule="exact"/>
              <w:jc w:val="center"/>
              <w:rPr>
                <w:color w:val="auto"/>
                <w:spacing w:val="20"/>
                <w:szCs w:val="21"/>
                <w:highlight w:val="none"/>
              </w:rPr>
            </w:pPr>
          </w:p>
        </w:tc>
      </w:tr>
      <w:tr w14:paraId="07BBD15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FC3A93C">
            <w:pPr>
              <w:adjustRightInd w:val="0"/>
              <w:snapToGrid w:val="0"/>
              <w:spacing w:line="300" w:lineRule="exact"/>
              <w:jc w:val="center"/>
              <w:rPr>
                <w:color w:val="auto"/>
                <w:szCs w:val="21"/>
                <w:highlight w:val="none"/>
              </w:rPr>
            </w:pPr>
            <w:r>
              <w:rPr>
                <w:color w:val="auto"/>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3CF7E540">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29EC607">
            <w:pPr>
              <w:adjustRightInd w:val="0"/>
              <w:snapToGrid w:val="0"/>
              <w:spacing w:line="300" w:lineRule="exact"/>
              <w:jc w:val="center"/>
              <w:rPr>
                <w:color w:val="auto"/>
                <w:szCs w:val="21"/>
                <w:highlight w:val="none"/>
              </w:rPr>
            </w:pPr>
            <w:r>
              <w:rPr>
                <w:color w:val="auto"/>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10FAA04D">
            <w:pPr>
              <w:adjustRightInd w:val="0"/>
              <w:snapToGrid w:val="0"/>
              <w:spacing w:line="300" w:lineRule="exact"/>
              <w:jc w:val="center"/>
              <w:rPr>
                <w:color w:val="auto"/>
                <w:spacing w:val="20"/>
                <w:szCs w:val="21"/>
                <w:highlight w:val="none"/>
              </w:rPr>
            </w:pPr>
          </w:p>
        </w:tc>
      </w:tr>
      <w:tr w14:paraId="147EAD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337E50F">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4FE80348">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8E19C6F">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48E9E8E5">
            <w:pPr>
              <w:adjustRightInd w:val="0"/>
              <w:snapToGrid w:val="0"/>
              <w:spacing w:line="300" w:lineRule="exact"/>
              <w:jc w:val="center"/>
              <w:rPr>
                <w:color w:val="auto"/>
                <w:spacing w:val="20"/>
                <w:szCs w:val="21"/>
                <w:highlight w:val="none"/>
              </w:rPr>
            </w:pPr>
          </w:p>
        </w:tc>
      </w:tr>
      <w:tr w14:paraId="4DAE424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EFBB9A6">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5A38FF15">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78B5323">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1D6F2044">
            <w:pPr>
              <w:adjustRightInd w:val="0"/>
              <w:snapToGrid w:val="0"/>
              <w:spacing w:line="300" w:lineRule="exact"/>
              <w:jc w:val="center"/>
              <w:rPr>
                <w:color w:val="auto"/>
                <w:spacing w:val="20"/>
                <w:szCs w:val="21"/>
                <w:highlight w:val="none"/>
              </w:rPr>
            </w:pPr>
          </w:p>
        </w:tc>
      </w:tr>
      <w:tr w14:paraId="27DDF76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B913954">
            <w:pPr>
              <w:adjustRightInd w:val="0"/>
              <w:snapToGrid w:val="0"/>
              <w:spacing w:line="300" w:lineRule="exact"/>
              <w:jc w:val="center"/>
              <w:rPr>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347DEDA2">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794FE4D">
            <w:pPr>
              <w:adjustRightInd w:val="0"/>
              <w:snapToGrid w:val="0"/>
              <w:spacing w:line="300" w:lineRule="exact"/>
              <w:jc w:val="center"/>
              <w:rPr>
                <w:color w:val="auto"/>
                <w:szCs w:val="21"/>
                <w:highlight w:val="none"/>
              </w:rPr>
            </w:pPr>
            <w:r>
              <w:rPr>
                <w:color w:val="auto"/>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059A4029">
            <w:pPr>
              <w:adjustRightInd w:val="0"/>
              <w:snapToGrid w:val="0"/>
              <w:spacing w:line="300" w:lineRule="exact"/>
              <w:jc w:val="center"/>
              <w:rPr>
                <w:color w:val="auto"/>
                <w:spacing w:val="20"/>
                <w:szCs w:val="21"/>
                <w:highlight w:val="none"/>
              </w:rPr>
            </w:pPr>
          </w:p>
        </w:tc>
      </w:tr>
      <w:tr w14:paraId="5FE8903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AF0F542">
            <w:pPr>
              <w:adjustRightInd w:val="0"/>
              <w:snapToGrid w:val="0"/>
              <w:spacing w:line="300" w:lineRule="exact"/>
              <w:jc w:val="center"/>
              <w:rPr>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498AA569">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E971EAC">
            <w:pPr>
              <w:adjustRightInd w:val="0"/>
              <w:snapToGrid w:val="0"/>
              <w:spacing w:line="300" w:lineRule="exact"/>
              <w:jc w:val="center"/>
              <w:rPr>
                <w:color w:val="auto"/>
                <w:szCs w:val="21"/>
                <w:highlight w:val="none"/>
              </w:rPr>
            </w:pPr>
            <w:r>
              <w:rPr>
                <w:color w:val="auto"/>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5141611C">
            <w:pPr>
              <w:adjustRightInd w:val="0"/>
              <w:snapToGrid w:val="0"/>
              <w:spacing w:line="300" w:lineRule="exact"/>
              <w:jc w:val="center"/>
              <w:rPr>
                <w:color w:val="auto"/>
                <w:spacing w:val="20"/>
                <w:szCs w:val="21"/>
                <w:highlight w:val="none"/>
              </w:rPr>
            </w:pPr>
          </w:p>
        </w:tc>
      </w:tr>
      <w:tr w14:paraId="5166975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D499FA7">
            <w:pPr>
              <w:adjustRightInd w:val="0"/>
              <w:snapToGrid w:val="0"/>
              <w:spacing w:line="300" w:lineRule="exact"/>
              <w:jc w:val="center"/>
              <w:rPr>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1E1E3DB7">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620F4CF">
            <w:pPr>
              <w:adjustRightInd w:val="0"/>
              <w:snapToGrid w:val="0"/>
              <w:spacing w:line="300" w:lineRule="exact"/>
              <w:jc w:val="center"/>
              <w:rPr>
                <w:color w:val="auto"/>
                <w:szCs w:val="21"/>
                <w:highlight w:val="none"/>
              </w:rPr>
            </w:pPr>
            <w:r>
              <w:rPr>
                <w:color w:val="auto"/>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4261DADB">
            <w:pPr>
              <w:adjustRightInd w:val="0"/>
              <w:snapToGrid w:val="0"/>
              <w:spacing w:line="300" w:lineRule="exact"/>
              <w:jc w:val="center"/>
              <w:rPr>
                <w:color w:val="auto"/>
                <w:spacing w:val="20"/>
                <w:szCs w:val="21"/>
                <w:highlight w:val="none"/>
              </w:rPr>
            </w:pPr>
          </w:p>
        </w:tc>
      </w:tr>
      <w:tr w14:paraId="7D34C1F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42DB99B7">
            <w:pPr>
              <w:pStyle w:val="21"/>
              <w:adjustRightInd w:val="0"/>
              <w:snapToGrid w:val="0"/>
              <w:spacing w:before="156" w:beforeLines="50" w:after="0" w:line="360" w:lineRule="auto"/>
              <w:ind w:left="0" w:leftChars="0"/>
              <w:jc w:val="left"/>
              <w:rPr>
                <w:color w:val="auto"/>
                <w:spacing w:val="20"/>
                <w:szCs w:val="21"/>
                <w:highlight w:val="none"/>
              </w:rPr>
            </w:pPr>
            <w:r>
              <w:rPr>
                <w:rFonts w:hint="eastAsia" w:ascii="宋体" w:hAnsi="宋体"/>
                <w:color w:val="auto"/>
                <w:szCs w:val="21"/>
                <w:highlight w:val="none"/>
              </w:rPr>
              <w:t>注：涉及联合体或其他合同主体的信息应按上表格式加列。</w:t>
            </w:r>
          </w:p>
        </w:tc>
      </w:tr>
    </w:tbl>
    <w:p w14:paraId="52FF22DF">
      <w:pPr>
        <w:pStyle w:val="4"/>
        <w:adjustRightInd w:val="0"/>
        <w:snapToGrid w:val="0"/>
        <w:spacing w:before="156" w:beforeLines="50"/>
        <w:jc w:val="center"/>
        <w:rPr>
          <w:rFonts w:ascii="黑体" w:hAnsi="黑体" w:eastAsia="黑体"/>
          <w:color w:val="auto"/>
          <w:sz w:val="28"/>
          <w:szCs w:val="28"/>
          <w:highlight w:val="none"/>
        </w:rPr>
      </w:pPr>
      <w:r>
        <w:rPr>
          <w:rFonts w:ascii="宋体" w:hAnsi="宋体"/>
          <w:color w:val="auto"/>
          <w:sz w:val="21"/>
          <w:szCs w:val="21"/>
          <w:highlight w:val="none"/>
          <w:u w:val="single"/>
        </w:rPr>
        <w:br w:type="page"/>
      </w:r>
      <w:bookmarkStart w:id="115" w:name="_Toc9881"/>
      <w:bookmarkStart w:id="116" w:name="_Toc27624"/>
      <w:r>
        <w:rPr>
          <w:rFonts w:hint="eastAsia" w:ascii="黑体" w:hAnsi="黑体" w:eastAsia="黑体"/>
          <w:b w:val="0"/>
          <w:bCs w:val="0"/>
          <w:color w:val="auto"/>
          <w:sz w:val="28"/>
          <w:szCs w:val="28"/>
          <w:highlight w:val="none"/>
        </w:rPr>
        <w:t>第二节 政府采购合同通用条款</w:t>
      </w:r>
      <w:bookmarkEnd w:id="115"/>
      <w:bookmarkEnd w:id="116"/>
    </w:p>
    <w:p w14:paraId="108A3447">
      <w:pPr>
        <w:tabs>
          <w:tab w:val="left" w:pos="8820"/>
          <w:tab w:val="left" w:pos="9345"/>
          <w:tab w:val="left" w:pos="9765"/>
        </w:tabs>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1.</w:t>
      </w:r>
      <w:r>
        <w:rPr>
          <w:rFonts w:hint="eastAsia" w:ascii="宋体" w:hAnsi="宋体"/>
          <w:b/>
          <w:color w:val="auto"/>
          <w:sz w:val="24"/>
          <w:highlight w:val="none"/>
          <w:lang w:val="en-US" w:eastAsia="zh-CN"/>
        </w:rPr>
        <w:t xml:space="preserve"> </w:t>
      </w:r>
      <w:r>
        <w:rPr>
          <w:rFonts w:hint="eastAsia" w:ascii="宋体" w:hAnsi="宋体"/>
          <w:b/>
          <w:bCs/>
          <w:color w:val="auto"/>
          <w:sz w:val="24"/>
          <w:highlight w:val="none"/>
        </w:rPr>
        <w:t>定义</w:t>
      </w:r>
    </w:p>
    <w:p w14:paraId="1F22DC2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0800FF3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720946D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4BA005F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6670C69A">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7ADE31B6">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auto"/>
          <w:szCs w:val="21"/>
          <w:highlight w:val="none"/>
        </w:rPr>
        <w:t>合同当事人意思表示达成一致的任何协议，包括签署的</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r>
        <w:rPr>
          <w:rFonts w:hint="eastAsia" w:ascii="宋体" w:hAnsi="宋体"/>
          <w:color w:val="auto"/>
          <w:szCs w:val="21"/>
          <w:highlight w:val="none"/>
        </w:rPr>
        <w:t>政府采购合同专用条款</w:t>
      </w:r>
      <w:r>
        <w:rPr>
          <w:rFonts w:hint="eastAsia" w:ascii="宋体" w:hAnsi="宋体"/>
          <w:color w:val="auto"/>
          <w:szCs w:val="21"/>
          <w:highlight w:val="none"/>
          <w:lang w:eastAsia="zh-CN"/>
        </w:rPr>
        <w:t>，</w:t>
      </w:r>
      <w:r>
        <w:rPr>
          <w:rFonts w:hint="eastAsia" w:ascii="宋体" w:hAnsi="宋体"/>
          <w:color w:val="auto"/>
          <w:szCs w:val="21"/>
          <w:highlight w:val="none"/>
        </w:rPr>
        <w:t>政府采购合同通用条款</w:t>
      </w:r>
      <w:r>
        <w:rPr>
          <w:rFonts w:hint="eastAsia" w:ascii="宋体" w:hAnsi="宋体"/>
          <w:color w:val="auto"/>
          <w:szCs w:val="21"/>
          <w:highlight w:val="none"/>
          <w:lang w:eastAsia="zh-CN"/>
        </w:rPr>
        <w:t>，</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r>
        <w:rPr>
          <w:rFonts w:hint="eastAsia" w:ascii="宋体" w:hAnsi="宋体"/>
          <w:color w:val="auto"/>
          <w:szCs w:val="21"/>
          <w:highlight w:val="none"/>
          <w:lang w:eastAsia="zh-CN"/>
        </w:rPr>
        <w:t>，</w:t>
      </w:r>
      <w:r>
        <w:rPr>
          <w:rFonts w:hint="eastAsia" w:ascii="宋体" w:hAnsi="宋体"/>
          <w:color w:val="auto"/>
          <w:szCs w:val="21"/>
          <w:highlight w:val="none"/>
        </w:rPr>
        <w:t>投标（响应）文件</w:t>
      </w:r>
      <w:r>
        <w:rPr>
          <w:rFonts w:hint="eastAsia" w:ascii="宋体" w:hAnsi="宋体"/>
          <w:color w:val="auto"/>
          <w:szCs w:val="21"/>
          <w:highlight w:val="none"/>
          <w:lang w:eastAsia="zh-CN"/>
        </w:rPr>
        <w:t>，</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有关技术文件</w:t>
      </w:r>
      <w:r>
        <w:rPr>
          <w:rFonts w:hint="eastAsia" w:ascii="宋体" w:hAnsi="宋体"/>
          <w:color w:val="auto"/>
          <w:szCs w:val="21"/>
          <w:highlight w:val="none"/>
          <w:lang w:eastAsia="zh-CN"/>
        </w:rPr>
        <w:t>和</w:t>
      </w:r>
      <w:r>
        <w:rPr>
          <w:rFonts w:hint="eastAsia" w:ascii="宋体" w:hAnsi="宋体"/>
          <w:color w:val="auto"/>
          <w:szCs w:val="21"/>
          <w:highlight w:val="none"/>
        </w:rPr>
        <w:t>图纸</w:t>
      </w:r>
      <w:r>
        <w:rPr>
          <w:rFonts w:hint="eastAsia" w:ascii="宋体" w:hAnsi="宋体"/>
          <w:color w:val="auto"/>
          <w:szCs w:val="21"/>
          <w:highlight w:val="none"/>
          <w:lang w:eastAsia="zh-CN"/>
        </w:rPr>
        <w:t>，以及</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r>
        <w:rPr>
          <w:rFonts w:hint="eastAsia" w:ascii="宋体" w:hAnsi="宋体"/>
          <w:color w:val="auto"/>
          <w:szCs w:val="21"/>
          <w:highlight w:val="none"/>
        </w:rPr>
        <w:t>。</w:t>
      </w:r>
    </w:p>
    <w:p w14:paraId="359DF895">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3DA138A9">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）“货物”系指乙方根据本合同规定须向甲方提供的各种形态和种类的物品，包括原材料、设备、产品（包括软件）及相关的其备品备件、工具、手册及</w:t>
      </w:r>
      <w:r>
        <w:rPr>
          <w:rFonts w:hint="default" w:ascii="宋体" w:hAnsi="宋体"/>
          <w:color w:val="auto"/>
          <w:szCs w:val="21"/>
          <w:highlight w:val="none"/>
          <w:lang w:val="en"/>
        </w:rPr>
        <w:t>其他</w:t>
      </w:r>
      <w:r>
        <w:rPr>
          <w:rFonts w:hint="eastAsia" w:ascii="宋体" w:hAnsi="宋体"/>
          <w:color w:val="auto"/>
          <w:szCs w:val="21"/>
          <w:highlight w:val="none"/>
        </w:rPr>
        <w:t>技术资料和材料</w:t>
      </w:r>
      <w:r>
        <w:rPr>
          <w:rFonts w:hint="eastAsia" w:ascii="宋体" w:hAnsi="宋体"/>
          <w:color w:val="auto"/>
          <w:szCs w:val="21"/>
          <w:highlight w:val="none"/>
          <w:lang w:eastAsia="zh-CN"/>
        </w:rPr>
        <w:t>等</w:t>
      </w:r>
      <w:r>
        <w:rPr>
          <w:rFonts w:hint="eastAsia" w:ascii="宋体" w:hAnsi="宋体"/>
          <w:color w:val="auto"/>
          <w:szCs w:val="21"/>
          <w:highlight w:val="none"/>
        </w:rPr>
        <w:t>。</w:t>
      </w:r>
    </w:p>
    <w:p w14:paraId="23F13E7E">
      <w:pP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相关</w:t>
      </w:r>
      <w:r>
        <w:rPr>
          <w:rFonts w:hint="eastAsia" w:ascii="宋体" w:hAnsi="宋体"/>
          <w:color w:val="auto"/>
          <w:szCs w:val="21"/>
          <w:highlight w:val="none"/>
        </w:rPr>
        <w:t>服务”系指根据合同规定，乙方应提供的</w:t>
      </w:r>
      <w:r>
        <w:rPr>
          <w:rFonts w:hint="eastAsia" w:ascii="宋体" w:hAnsi="宋体"/>
          <w:color w:val="auto"/>
          <w:szCs w:val="21"/>
          <w:highlight w:val="none"/>
          <w:lang w:val="en-US" w:eastAsia="zh-CN"/>
        </w:rPr>
        <w:t>与货物有关的</w:t>
      </w:r>
      <w:r>
        <w:rPr>
          <w:rFonts w:hint="eastAsia" w:ascii="宋体" w:hAnsi="宋体"/>
          <w:color w:val="auto"/>
          <w:szCs w:val="21"/>
          <w:highlight w:val="none"/>
        </w:rPr>
        <w:t>技术、管理和</w:t>
      </w:r>
      <w:r>
        <w:rPr>
          <w:rFonts w:hint="default"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w:t>
      </w:r>
      <w:r>
        <w:rPr>
          <w:rFonts w:hint="eastAsia" w:ascii="宋体" w:hAnsi="宋体"/>
          <w:color w:val="auto"/>
          <w:szCs w:val="21"/>
          <w:highlight w:val="none"/>
          <w:lang w:eastAsia="zh-CN"/>
        </w:rPr>
        <w:t>废弃处置、</w:t>
      </w:r>
      <w:r>
        <w:rPr>
          <w:rFonts w:hint="eastAsia" w:ascii="宋体" w:hAnsi="宋体"/>
          <w:color w:val="auto"/>
          <w:szCs w:val="21"/>
          <w:highlight w:val="none"/>
        </w:rPr>
        <w:t>技术支持等以及合同中规定乙方应承担的</w:t>
      </w:r>
      <w:r>
        <w:rPr>
          <w:rFonts w:hint="default" w:ascii="宋体" w:hAnsi="宋体"/>
          <w:color w:val="auto"/>
          <w:szCs w:val="21"/>
          <w:highlight w:val="none"/>
          <w:lang w:val="en"/>
        </w:rPr>
        <w:t>其他</w:t>
      </w:r>
      <w:r>
        <w:rPr>
          <w:rFonts w:hint="eastAsia" w:ascii="宋体" w:hAnsi="宋体"/>
          <w:color w:val="auto"/>
          <w:szCs w:val="21"/>
          <w:highlight w:val="none"/>
        </w:rPr>
        <w:t>义务。</w:t>
      </w:r>
    </w:p>
    <w:p w14:paraId="547169D7">
      <w:pP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）“分包”系指中标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供应商按采购文件、投标（响应）文件的规定，根据分包意向协议，将中标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项目中的部分履约内容，分给具有相应资质条件的供应商履行合同的行为。</w:t>
      </w:r>
    </w:p>
    <w:p w14:paraId="1671738E">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rPr>
        <w:t>“联合体”系指</w:t>
      </w:r>
      <w:r>
        <w:rPr>
          <w:rFonts w:hint="eastAsia" w:ascii="宋体" w:hAnsi="宋体"/>
          <w:color w:val="auto"/>
          <w:szCs w:val="21"/>
          <w:highlight w:val="none"/>
          <w:lang w:eastAsia="zh-CN"/>
        </w:rPr>
        <w:t>由</w:t>
      </w:r>
      <w:r>
        <w:rPr>
          <w:rFonts w:hint="eastAsia" w:ascii="宋体" w:hAnsi="宋体"/>
          <w:color w:val="auto"/>
          <w:szCs w:val="21"/>
          <w:highlight w:val="none"/>
        </w:rPr>
        <w:t>两个以上的自然人、法人或者</w:t>
      </w:r>
      <w:r>
        <w:rPr>
          <w:rFonts w:hint="eastAsia" w:ascii="宋体" w:hAnsi="宋体"/>
          <w:color w:val="auto"/>
          <w:szCs w:val="21"/>
          <w:highlight w:val="none"/>
          <w:lang w:val="en-US" w:eastAsia="zh-CN"/>
        </w:rPr>
        <w:t>非法人</w:t>
      </w:r>
      <w:r>
        <w:rPr>
          <w:rFonts w:hint="eastAsia" w:ascii="宋体" w:hAnsi="宋体"/>
          <w:color w:val="auto"/>
          <w:szCs w:val="21"/>
          <w:highlight w:val="none"/>
        </w:rPr>
        <w:t>组织组成，</w:t>
      </w:r>
      <w:r>
        <w:rPr>
          <w:rFonts w:hint="eastAsia" w:ascii="宋体" w:hAnsi="宋体"/>
          <w:color w:val="auto"/>
          <w:szCs w:val="21"/>
          <w:highlight w:val="none"/>
          <w:lang w:eastAsia="zh-CN"/>
        </w:rPr>
        <w:t>以一个供应商的身份共同参加政府采购的主体</w:t>
      </w:r>
      <w:r>
        <w:rPr>
          <w:rFonts w:hint="eastAsia" w:ascii="宋体" w:hAnsi="宋体"/>
          <w:color w:val="auto"/>
          <w:szCs w:val="21"/>
          <w:highlight w:val="none"/>
          <w:lang w:eastAsia="zh-CN"/>
        </w:rPr>
        <w:t>。</w:t>
      </w:r>
      <w:r>
        <w:rPr>
          <w:rFonts w:hint="eastAsia" w:ascii="宋体" w:hAnsi="宋体"/>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auto"/>
          <w:szCs w:val="21"/>
          <w:highlight w:val="none"/>
          <w:lang w:eastAsia="zh-CN"/>
        </w:rPr>
        <w:t>甲方</w:t>
      </w:r>
      <w:r>
        <w:rPr>
          <w:rFonts w:hint="eastAsia" w:ascii="宋体" w:hAnsi="宋体"/>
          <w:color w:val="auto"/>
          <w:szCs w:val="21"/>
          <w:highlight w:val="none"/>
        </w:rPr>
        <w:t>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047118E8">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086D01D3">
      <w:pPr>
        <w:numPr>
          <w:ilvl w:val="0"/>
          <w:numId w:val="12"/>
        </w:num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1098F422">
      <w:pPr>
        <w:autoSpaceDE w:val="0"/>
        <w:autoSpaceDN w:val="0"/>
        <w:adjustRightInd w:val="0"/>
        <w:snapToGrid w:val="0"/>
        <w:spacing w:before="0" w:line="400" w:lineRule="exact"/>
        <w:ind w:firstLine="420" w:firstLineChars="200"/>
        <w:jc w:val="left"/>
        <w:rPr>
          <w:rFonts w:ascii="宋体" w:hAnsi="宋体"/>
          <w:b/>
          <w:bCs/>
          <w:i/>
          <w:iCs/>
          <w:color w:val="auto"/>
          <w:szCs w:val="21"/>
          <w:highlight w:val="none"/>
        </w:rPr>
      </w:pPr>
      <w:r>
        <w:rPr>
          <w:rFonts w:hint="eastAsia" w:ascii="宋体" w:hAnsi="宋体"/>
          <w:color w:val="auto"/>
          <w:szCs w:val="21"/>
          <w:highlight w:val="none"/>
          <w:lang w:eastAsia="zh-CN"/>
        </w:rPr>
        <w:t>2</w:t>
      </w:r>
      <w:r>
        <w:rPr>
          <w:rFonts w:hint="eastAsia" w:ascii="宋体" w:hAnsi="宋体"/>
          <w:color w:val="auto"/>
          <w:szCs w:val="21"/>
          <w:highlight w:val="none"/>
        </w:rPr>
        <w:t>.1 合同标的及金额应与中标（成交）结果一致。乙方为履行本合同而发生的所有费用均应包含在合同</w:t>
      </w:r>
      <w:r>
        <w:rPr>
          <w:rFonts w:hint="eastAsia" w:ascii="宋体" w:hAnsi="宋体"/>
          <w:color w:val="auto"/>
          <w:szCs w:val="21"/>
          <w:highlight w:val="none"/>
          <w:lang w:eastAsia="zh-CN"/>
        </w:rPr>
        <w:t>价款</w:t>
      </w:r>
      <w:r>
        <w:rPr>
          <w:rFonts w:hint="eastAsia" w:ascii="宋体" w:hAnsi="宋体"/>
          <w:color w:val="auto"/>
          <w:szCs w:val="21"/>
          <w:highlight w:val="none"/>
        </w:rPr>
        <w:t>中，甲方不再另行支付</w:t>
      </w:r>
      <w:r>
        <w:rPr>
          <w:rFonts w:hint="default" w:ascii="宋体" w:hAnsi="宋体"/>
          <w:color w:val="auto"/>
          <w:szCs w:val="21"/>
          <w:highlight w:val="none"/>
          <w:lang w:val="en"/>
        </w:rPr>
        <w:t>其他</w:t>
      </w:r>
      <w:r>
        <w:rPr>
          <w:rFonts w:hint="eastAsia" w:ascii="宋体" w:hAnsi="宋体"/>
          <w:color w:val="auto"/>
          <w:szCs w:val="21"/>
          <w:highlight w:val="none"/>
        </w:rPr>
        <w:t>任何费用。</w:t>
      </w:r>
    </w:p>
    <w:p w14:paraId="1B712771">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3</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履行合同的时间、地点和方式</w:t>
      </w:r>
    </w:p>
    <w:p w14:paraId="2AABC7E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21"/>
          <w:highlight w:val="none"/>
        </w:rPr>
        <w:t>乙方应当在约定的时间、地点</w:t>
      </w:r>
      <w:r>
        <w:rPr>
          <w:rFonts w:hint="eastAsia" w:ascii="宋体" w:hAnsi="宋体" w:cs="宋体"/>
          <w:color w:val="auto"/>
          <w:szCs w:val="21"/>
          <w:highlight w:val="none"/>
          <w:lang w:eastAsia="zh-CN"/>
        </w:rPr>
        <w:t>，按照约定</w:t>
      </w:r>
      <w:r>
        <w:rPr>
          <w:rFonts w:hint="eastAsia" w:ascii="宋体" w:hAnsi="宋体" w:eastAsia="宋体" w:cs="宋体"/>
          <w:color w:val="auto"/>
          <w:szCs w:val="21"/>
          <w:highlight w:val="none"/>
        </w:rPr>
        <w:t>方式履行合同。</w:t>
      </w:r>
    </w:p>
    <w:p w14:paraId="3532732C">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4</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甲方的权利和义务</w:t>
      </w:r>
    </w:p>
    <w:p w14:paraId="44AB119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.1</w:t>
      </w:r>
      <w:r>
        <w:rPr>
          <w:rFonts w:ascii="宋体" w:hAnsi="宋体"/>
          <w:color w:val="auto"/>
          <w:szCs w:val="21"/>
          <w:highlight w:val="none"/>
        </w:rPr>
        <w:t xml:space="preserve"> 签署合同后，甲方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4DB304F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 xml:space="preserve">.2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2B82519F">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75C69949">
      <w:pPr>
        <w:snapToGrid w:val="0"/>
        <w:spacing w:line="400" w:lineRule="exact"/>
        <w:ind w:firstLine="420" w:firstLineChars="200"/>
        <w:rPr>
          <w:rFonts w:hint="eastAsia" w:eastAsia="华文楷体"/>
          <w:color w:val="auto"/>
          <w:highlight w:val="none"/>
          <w:lang w:val="en-US" w:eastAsia="zh-CN"/>
        </w:rPr>
      </w:pPr>
      <w:r>
        <w:rPr>
          <w:rFonts w:hint="default" w:ascii="宋体" w:hAnsi="宋体"/>
          <w:color w:val="auto"/>
          <w:szCs w:val="21"/>
          <w:highlight w:val="none"/>
          <w:lang w:val="en-US" w:eastAsia="zh-CN"/>
        </w:rPr>
        <w:t>4.4 甲方应当按照合同约定及时对交付的货物进行验收</w:t>
      </w:r>
      <w:r>
        <w:rPr>
          <w:rFonts w:hint="eastAsia" w:ascii="宋体" w:hAnsi="宋体"/>
          <w:color w:val="auto"/>
          <w:szCs w:val="21"/>
          <w:highlight w:val="none"/>
          <w:lang w:val="en-US" w:eastAsia="zh-CN"/>
        </w:rPr>
        <w:t>，</w:t>
      </w:r>
      <w:r>
        <w:rPr>
          <w:rFonts w:hint="eastAsia" w:ascii="宋体" w:hAnsi="宋体" w:cs="宋体"/>
          <w:b w:val="0"/>
          <w:bCs w:val="0"/>
          <w:color w:val="auto"/>
          <w:szCs w:val="21"/>
          <w:highlight w:val="none"/>
          <w:lang w:eastAsia="zh-CN"/>
        </w:rPr>
        <w:t>未</w:t>
      </w:r>
      <w:r>
        <w:rPr>
          <w:rFonts w:hint="eastAsia" w:ascii="宋体" w:hAnsi="宋体"/>
          <w:color w:val="auto"/>
          <w:szCs w:val="21"/>
          <w:highlight w:val="none"/>
          <w:lang w:val="en-US" w:eastAsia="zh-CN"/>
        </w:rPr>
        <w:t>在</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约定的期限内对乙方履约提出任何异议或者向乙方作出任何说明的，</w:t>
      </w:r>
      <w:r>
        <w:rPr>
          <w:rFonts w:hint="eastAsia" w:ascii="宋体" w:hAnsi="宋体"/>
          <w:color w:val="auto"/>
          <w:szCs w:val="21"/>
          <w:highlight w:val="none"/>
          <w:lang w:val="en-US" w:eastAsia="zh-CN"/>
        </w:rPr>
        <w:t>视为验收通过。</w:t>
      </w:r>
    </w:p>
    <w:p w14:paraId="08117DF1">
      <w:pPr>
        <w:autoSpaceDE w:val="0"/>
        <w:autoSpaceDN w:val="0"/>
        <w:adjustRightInd w:val="0"/>
        <w:snapToGrid w:val="0"/>
        <w:spacing w:line="400" w:lineRule="exact"/>
        <w:ind w:firstLine="420" w:firstLineChars="200"/>
        <w:jc w:val="left"/>
        <w:rPr>
          <w:rFonts w:hint="eastAsia" w:ascii="宋体" w:hAnsi="宋体"/>
          <w:color w:val="auto"/>
          <w:szCs w:val="21"/>
          <w:highlight w:val="none"/>
        </w:rPr>
      </w:pPr>
      <w:r>
        <w:rPr>
          <w:rFonts w:hint="default" w:ascii="宋体" w:hAnsi="宋体"/>
          <w:color w:val="auto"/>
          <w:szCs w:val="21"/>
          <w:highlight w:val="none"/>
          <w:lang w:eastAsia="zh-CN"/>
        </w:rPr>
        <w:t>4</w:t>
      </w:r>
      <w:r>
        <w:rPr>
          <w:rFonts w:hint="eastAsia" w:ascii="宋体" w:hAnsi="宋体"/>
          <w:color w:val="auto"/>
          <w:szCs w:val="21"/>
          <w:highlight w:val="none"/>
        </w:rPr>
        <w:t>.</w:t>
      </w:r>
      <w:r>
        <w:rPr>
          <w:rFonts w:hint="default" w:ascii="宋体" w:hAnsi="宋体"/>
          <w:color w:val="auto"/>
          <w:szCs w:val="21"/>
          <w:highlight w:val="none"/>
          <w:lang w:val="en-US" w:eastAsia="zh-CN"/>
        </w:rPr>
        <w:t>5</w:t>
      </w:r>
      <w:r>
        <w:rPr>
          <w:rFonts w:ascii="宋体" w:hAnsi="宋体"/>
          <w:color w:val="auto"/>
          <w:szCs w:val="21"/>
          <w:highlight w:val="none"/>
        </w:rPr>
        <w:t xml:space="preserve"> </w:t>
      </w:r>
      <w:r>
        <w:rPr>
          <w:rFonts w:hint="eastAsia" w:ascii="宋体" w:hAnsi="宋体"/>
          <w:color w:val="auto"/>
          <w:szCs w:val="21"/>
          <w:highlight w:val="none"/>
        </w:rPr>
        <w:t>甲方应当根据合同约定</w:t>
      </w:r>
      <w:r>
        <w:rPr>
          <w:rFonts w:hint="eastAsia" w:ascii="宋体" w:hAnsi="宋体"/>
          <w:color w:val="auto"/>
          <w:szCs w:val="21"/>
          <w:highlight w:val="none"/>
          <w:lang w:eastAsia="zh-CN"/>
        </w:rPr>
        <w:t>及</w:t>
      </w:r>
      <w:r>
        <w:rPr>
          <w:rFonts w:hint="eastAsia" w:ascii="宋体" w:hAnsi="宋体"/>
          <w:color w:val="auto"/>
          <w:szCs w:val="21"/>
          <w:highlight w:val="none"/>
        </w:rPr>
        <w:t>时向乙方支付</w:t>
      </w:r>
      <w:r>
        <w:rPr>
          <w:rFonts w:hint="eastAsia" w:ascii="宋体" w:hAnsi="宋体"/>
          <w:color w:val="auto"/>
          <w:szCs w:val="21"/>
          <w:highlight w:val="none"/>
          <w:lang w:eastAsia="zh-CN"/>
        </w:rPr>
        <w:t>合同价款</w:t>
      </w:r>
      <w:r>
        <w:rPr>
          <w:rFonts w:hint="default" w:ascii="宋体" w:hAnsi="宋体"/>
          <w:color w:val="auto"/>
          <w:szCs w:val="21"/>
          <w:highlight w:val="none"/>
          <w:lang w:eastAsia="zh-CN"/>
        </w:rPr>
        <w:t>，不得以内部人员变更、履行内部付款流程等为由，拒绝或迟延支付。</w:t>
      </w:r>
    </w:p>
    <w:p w14:paraId="167BA0E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ascii="宋体" w:hAnsi="宋体"/>
          <w:color w:val="auto"/>
          <w:szCs w:val="21"/>
          <w:highlight w:val="none"/>
        </w:rPr>
        <w:t xml:space="preserve"> </w:t>
      </w:r>
      <w:r>
        <w:rPr>
          <w:rFonts w:hint="eastAsia" w:ascii="宋体" w:hAnsi="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lang w:eastAsia="zh-CN"/>
        </w:rPr>
        <w:t>约定应</w:t>
      </w:r>
      <w:r>
        <w:rPr>
          <w:rFonts w:hint="eastAsia" w:ascii="宋体" w:hAnsi="宋体"/>
          <w:color w:val="auto"/>
          <w:szCs w:val="21"/>
          <w:highlight w:val="none"/>
        </w:rPr>
        <w:t>由甲方承担的其他义务和责任。</w:t>
      </w:r>
    </w:p>
    <w:p w14:paraId="3CDADC98">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5</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乙方的权利和义务</w:t>
      </w:r>
    </w:p>
    <w:p w14:paraId="5743C50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 xml:space="preserve">.1 </w:t>
      </w:r>
      <w:r>
        <w:rPr>
          <w:rFonts w:ascii="宋体" w:hAnsi="宋体"/>
          <w:color w:val="auto"/>
          <w:szCs w:val="21"/>
          <w:highlight w:val="none"/>
        </w:rPr>
        <w:t>签署合同后，乙方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p>
    <w:p w14:paraId="4365CFE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w:t>
      </w:r>
      <w:r>
        <w:rPr>
          <w:rFonts w:hint="eastAsia" w:ascii="宋体" w:hAnsi="宋体"/>
          <w:color w:val="auto"/>
          <w:szCs w:val="21"/>
          <w:highlight w:val="none"/>
          <w:lang w:eastAsia="zh-CN"/>
        </w:rPr>
        <w:t>及相关</w:t>
      </w:r>
      <w:r>
        <w:rPr>
          <w:rFonts w:hint="eastAsia" w:ascii="宋体" w:hAnsi="宋体"/>
          <w:color w:val="auto"/>
          <w:szCs w:val="21"/>
          <w:highlight w:val="none"/>
        </w:rPr>
        <w:t>服务符合合同</w:t>
      </w:r>
      <w:r>
        <w:rPr>
          <w:rFonts w:hint="eastAsia" w:ascii="宋体" w:hAnsi="宋体"/>
          <w:color w:val="auto"/>
          <w:szCs w:val="21"/>
          <w:highlight w:val="none"/>
          <w:lang w:eastAsia="zh-CN"/>
        </w:rPr>
        <w:t>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w:t>
      </w:r>
      <w:r>
        <w:rPr>
          <w:rFonts w:hint="eastAsia" w:ascii="宋体" w:hAnsi="宋体"/>
          <w:color w:val="auto"/>
          <w:szCs w:val="21"/>
          <w:highlight w:val="none"/>
          <w:lang w:eastAsia="zh-CN"/>
        </w:rPr>
        <w:t>及验收</w:t>
      </w:r>
      <w:r>
        <w:rPr>
          <w:rFonts w:hint="eastAsia" w:ascii="宋体" w:hAnsi="宋体"/>
          <w:color w:val="auto"/>
          <w:szCs w:val="21"/>
          <w:highlight w:val="none"/>
        </w:rPr>
        <w:t>，并</w:t>
      </w:r>
      <w:r>
        <w:rPr>
          <w:rFonts w:ascii="宋体" w:hAnsi="宋体"/>
          <w:color w:val="auto"/>
          <w:szCs w:val="21"/>
          <w:highlight w:val="none"/>
        </w:rPr>
        <w:t>负责项目实施过程中的所有协调工作。</w:t>
      </w:r>
    </w:p>
    <w:p w14:paraId="50AE8B64">
      <w:pPr>
        <w:pStyle w:val="20"/>
        <w:spacing w:after="0" w:line="400" w:lineRule="exact"/>
        <w:ind w:firstLine="369" w:firstLineChars="176"/>
        <w:rPr>
          <w:rFonts w:ascii="宋体" w:hAnsi="宋体" w:cs="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乙方有权</w:t>
      </w:r>
      <w:r>
        <w:rPr>
          <w:rFonts w:hint="eastAsia" w:ascii="宋体" w:hAnsi="宋体" w:cs="宋体"/>
          <w:color w:val="auto"/>
          <w:szCs w:val="21"/>
          <w:highlight w:val="none"/>
        </w:rPr>
        <w:t>根据合同约定向甲方收取</w:t>
      </w:r>
      <w:r>
        <w:rPr>
          <w:rFonts w:hint="eastAsia" w:ascii="宋体" w:hAnsi="宋体" w:cs="宋体"/>
          <w:color w:val="auto"/>
          <w:szCs w:val="21"/>
          <w:highlight w:val="none"/>
          <w:lang w:eastAsia="zh-CN"/>
        </w:rPr>
        <w:t>合同价款</w:t>
      </w:r>
      <w:r>
        <w:rPr>
          <w:rFonts w:hint="eastAsia" w:ascii="宋体" w:hAnsi="宋体" w:cs="宋体"/>
          <w:color w:val="auto"/>
          <w:szCs w:val="21"/>
          <w:highlight w:val="none"/>
        </w:rPr>
        <w:t>。</w:t>
      </w:r>
    </w:p>
    <w:p w14:paraId="4431FBD3">
      <w:pPr>
        <w:pStyle w:val="20"/>
        <w:spacing w:after="0" w:line="400" w:lineRule="exact"/>
        <w:ind w:firstLine="369" w:firstLineChars="176"/>
        <w:rPr>
          <w:rFonts w:ascii="宋体" w:hAnsi="宋体" w:cs="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s="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约定应</w:t>
      </w:r>
      <w:r>
        <w:rPr>
          <w:rFonts w:hint="eastAsia" w:ascii="宋体" w:hAnsi="宋体" w:cs="宋体"/>
          <w:color w:val="auto"/>
          <w:szCs w:val="21"/>
          <w:highlight w:val="none"/>
        </w:rPr>
        <w:t>由乙方承担的其他义务和责任。</w:t>
      </w:r>
    </w:p>
    <w:p w14:paraId="1AC4D0B6">
      <w:pPr>
        <w:numPr>
          <w:ilvl w:val="0"/>
          <w:numId w:val="13"/>
        </w:num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rPr>
        <w:t>合同履</w:t>
      </w:r>
      <w:r>
        <w:rPr>
          <w:rFonts w:hint="eastAsia" w:ascii="宋体" w:hAnsi="宋体"/>
          <w:b/>
          <w:bCs/>
          <w:color w:val="auto"/>
          <w:sz w:val="24"/>
          <w:highlight w:val="none"/>
          <w:lang w:val="en-US" w:eastAsia="zh-CN"/>
        </w:rPr>
        <w:t>行</w:t>
      </w:r>
    </w:p>
    <w:p w14:paraId="420F4E5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.1 甲乙双方应当按照</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7BF118FA">
      <w:pPr>
        <w:autoSpaceDE w:val="0"/>
        <w:autoSpaceDN w:val="0"/>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765228C1">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7</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货物包装、运输</w:t>
      </w:r>
      <w:r>
        <w:rPr>
          <w:rFonts w:hint="eastAsia" w:ascii="宋体" w:hAnsi="宋体"/>
          <w:b/>
          <w:bCs/>
          <w:color w:val="auto"/>
          <w:sz w:val="24"/>
          <w:highlight w:val="none"/>
          <w:lang w:eastAsia="zh-CN"/>
        </w:rPr>
        <w:t>、</w:t>
      </w:r>
      <w:r>
        <w:rPr>
          <w:rFonts w:hint="eastAsia" w:ascii="宋体" w:hAnsi="宋体"/>
          <w:b/>
          <w:bCs/>
          <w:color w:val="auto"/>
          <w:sz w:val="24"/>
          <w:highlight w:val="none"/>
        </w:rPr>
        <w:t>保险</w:t>
      </w:r>
      <w:r>
        <w:rPr>
          <w:rFonts w:hint="eastAsia" w:ascii="宋体" w:hAnsi="宋体"/>
          <w:b/>
          <w:bCs/>
          <w:color w:val="auto"/>
          <w:sz w:val="24"/>
          <w:highlight w:val="none"/>
          <w:lang w:eastAsia="zh-CN"/>
        </w:rPr>
        <w:t>和交付</w:t>
      </w:r>
      <w:r>
        <w:rPr>
          <w:rFonts w:hint="eastAsia" w:ascii="宋体" w:hAnsi="宋体"/>
          <w:b/>
          <w:bCs/>
          <w:color w:val="auto"/>
          <w:sz w:val="24"/>
          <w:highlight w:val="none"/>
        </w:rPr>
        <w:t>要求</w:t>
      </w:r>
    </w:p>
    <w:p w14:paraId="35822D6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.1 本合同</w:t>
      </w:r>
      <w:r>
        <w:rPr>
          <w:rFonts w:hint="eastAsia" w:ascii="宋体" w:hAnsi="宋体"/>
          <w:bCs/>
          <w:color w:val="auto"/>
          <w:szCs w:val="21"/>
          <w:highlight w:val="none"/>
        </w:rPr>
        <w:t>涉及商品包装</w:t>
      </w:r>
      <w:r>
        <w:rPr>
          <w:rFonts w:hint="eastAsia" w:ascii="宋体" w:hAnsi="宋体"/>
          <w:bCs/>
          <w:color w:val="auto"/>
          <w:szCs w:val="21"/>
          <w:highlight w:val="none"/>
          <w:lang w:eastAsia="zh-CN"/>
        </w:rPr>
        <w:t>、</w:t>
      </w:r>
      <w:r>
        <w:rPr>
          <w:rFonts w:hint="eastAsia" w:ascii="宋体" w:hAnsi="宋体"/>
          <w:bCs/>
          <w:color w:val="auto"/>
          <w:szCs w:val="21"/>
          <w:highlight w:val="none"/>
        </w:rPr>
        <w:t>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约定的</w:t>
      </w:r>
      <w:r>
        <w:rPr>
          <w:rFonts w:hint="eastAsia" w:ascii="宋体" w:hAnsi="宋体"/>
          <w:color w:val="auto"/>
          <w:szCs w:val="21"/>
          <w:highlight w:val="none"/>
        </w:rPr>
        <w:t>指定现场。</w:t>
      </w:r>
    </w:p>
    <w:p w14:paraId="6E7B6F0A">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乙方负责办理将货物运抵本合同规定的交货地点</w:t>
      </w:r>
      <w:r>
        <w:rPr>
          <w:rFonts w:hint="eastAsia" w:ascii="宋体" w:hAnsi="宋体"/>
          <w:color w:val="auto"/>
          <w:szCs w:val="21"/>
          <w:highlight w:val="none"/>
          <w:lang w:eastAsia="zh-CN"/>
        </w:rPr>
        <w:t>，并装卸、交付至甲方</w:t>
      </w:r>
      <w:r>
        <w:rPr>
          <w:rFonts w:hint="eastAsia" w:ascii="宋体" w:hAnsi="宋体"/>
          <w:color w:val="auto"/>
          <w:szCs w:val="21"/>
          <w:highlight w:val="none"/>
        </w:rPr>
        <w:t>的一切运输事项，相关费用应</w:t>
      </w:r>
      <w:r>
        <w:rPr>
          <w:rFonts w:hint="eastAsia" w:ascii="宋体" w:hAnsi="宋体"/>
          <w:color w:val="auto"/>
          <w:szCs w:val="21"/>
          <w:highlight w:val="none"/>
          <w:lang w:eastAsia="zh-CN"/>
        </w:rPr>
        <w:t>包含</w:t>
      </w:r>
      <w:r>
        <w:rPr>
          <w:rFonts w:hint="eastAsia" w:ascii="宋体" w:hAnsi="宋体"/>
          <w:color w:val="auto"/>
          <w:szCs w:val="21"/>
          <w:highlight w:val="none"/>
        </w:rPr>
        <w:t>在合同</w:t>
      </w:r>
      <w:r>
        <w:rPr>
          <w:rFonts w:hint="eastAsia" w:ascii="宋体" w:hAnsi="宋体"/>
          <w:color w:val="auto"/>
          <w:szCs w:val="21"/>
          <w:highlight w:val="none"/>
          <w:lang w:eastAsia="zh-CN"/>
        </w:rPr>
        <w:t>价款</w:t>
      </w:r>
      <w:r>
        <w:rPr>
          <w:rFonts w:hint="eastAsia" w:ascii="宋体" w:hAnsi="宋体"/>
          <w:color w:val="auto"/>
          <w:szCs w:val="21"/>
          <w:highlight w:val="none"/>
        </w:rPr>
        <w:t>中。</w:t>
      </w:r>
    </w:p>
    <w:p w14:paraId="64B55859">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2A739A83">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 xml:space="preserve">.4 </w:t>
      </w:r>
      <w:r>
        <w:rPr>
          <w:rFonts w:hint="eastAsia" w:ascii="宋体" w:hAnsi="宋体"/>
          <w:color w:val="auto"/>
          <w:szCs w:val="21"/>
          <w:highlight w:val="none"/>
          <w:lang w:val="en-US" w:eastAsia="zh-CN"/>
        </w:rPr>
        <w:t>除采购活动</w:t>
      </w:r>
      <w:r>
        <w:rPr>
          <w:rFonts w:hint="eastAsia" w:ascii="宋体" w:hAnsi="宋体"/>
          <w:color w:val="auto"/>
          <w:szCs w:val="21"/>
          <w:highlight w:val="none"/>
        </w:rPr>
        <w:t>对商品包装</w:t>
      </w:r>
      <w:r>
        <w:rPr>
          <w:rFonts w:hint="eastAsia" w:ascii="宋体" w:hAnsi="宋体"/>
          <w:color w:val="auto"/>
          <w:szCs w:val="21"/>
          <w:highlight w:val="none"/>
          <w:lang w:eastAsia="zh-CN"/>
        </w:rPr>
        <w:t>、</w:t>
      </w:r>
      <w:r>
        <w:rPr>
          <w:rFonts w:hint="eastAsia" w:ascii="宋体" w:hAnsi="宋体"/>
          <w:color w:val="auto"/>
          <w:szCs w:val="21"/>
          <w:highlight w:val="none"/>
        </w:rPr>
        <w:t>快递包装</w:t>
      </w:r>
      <w:r>
        <w:rPr>
          <w:rFonts w:hint="eastAsia" w:ascii="宋体" w:hAnsi="宋体"/>
          <w:color w:val="auto"/>
          <w:szCs w:val="21"/>
          <w:highlight w:val="none"/>
          <w:lang w:val="en-US" w:eastAsia="zh-CN"/>
        </w:rPr>
        <w:t>达成具体约定外</w:t>
      </w:r>
      <w:r>
        <w:rPr>
          <w:rFonts w:hint="eastAsia" w:ascii="宋体" w:hAnsi="宋体"/>
          <w:color w:val="auto"/>
          <w:szCs w:val="21"/>
          <w:highlight w:val="none"/>
        </w:rPr>
        <w:t>，乙方提供产品及相关快递服务</w:t>
      </w:r>
      <w:r>
        <w:rPr>
          <w:rFonts w:hint="eastAsia" w:ascii="宋体" w:hAnsi="宋体"/>
          <w:color w:val="auto"/>
          <w:szCs w:val="21"/>
          <w:highlight w:val="none"/>
          <w:lang w:val="en-US" w:eastAsia="zh-CN"/>
        </w:rPr>
        <w:t>涉及到</w:t>
      </w:r>
      <w:r>
        <w:rPr>
          <w:rFonts w:hint="eastAsia" w:ascii="宋体" w:hAnsi="宋体"/>
          <w:color w:val="auto"/>
          <w:szCs w:val="21"/>
          <w:highlight w:val="none"/>
        </w:rPr>
        <w:t>具体包装要求</w:t>
      </w:r>
      <w:r>
        <w:rPr>
          <w:rFonts w:hint="eastAsia" w:ascii="宋体" w:hAnsi="宋体"/>
          <w:color w:val="auto"/>
          <w:szCs w:val="21"/>
          <w:highlight w:val="none"/>
          <w:lang w:val="en-US" w:eastAsia="zh-CN"/>
        </w:rPr>
        <w:t>的，</w:t>
      </w:r>
      <w:r>
        <w:rPr>
          <w:rFonts w:hint="eastAsia" w:ascii="宋体" w:hAnsi="宋体"/>
          <w:color w:val="auto"/>
          <w:szCs w:val="21"/>
          <w:highlight w:val="none"/>
        </w:rPr>
        <w:t>应</w:t>
      </w:r>
      <w:r>
        <w:rPr>
          <w:rFonts w:hint="eastAsia" w:ascii="宋体" w:hAnsi="宋体"/>
          <w:color w:val="auto"/>
          <w:szCs w:val="21"/>
          <w:highlight w:val="none"/>
          <w:lang w:val="en-US" w:eastAsia="zh-CN"/>
        </w:rPr>
        <w:t>不低于</w:t>
      </w:r>
      <w:r>
        <w:rPr>
          <w:rFonts w:hint="eastAsia" w:ascii="宋体" w:hAnsi="宋体"/>
          <w:color w:val="auto"/>
          <w:szCs w:val="21"/>
          <w:highlight w:val="none"/>
        </w:rPr>
        <w:t>《商品包装政府采购需求标准（试行）</w:t>
      </w:r>
      <w:r>
        <w:rPr>
          <w:rFonts w:hint="eastAsia" w:ascii="宋体" w:hAnsi="宋体"/>
          <w:color w:val="auto"/>
          <w:szCs w:val="21"/>
          <w:highlight w:val="none"/>
          <w:lang w:eastAsia="zh-CN"/>
        </w:rPr>
        <w:t>》《</w:t>
      </w:r>
      <w:r>
        <w:rPr>
          <w:rFonts w:hint="eastAsia" w:ascii="宋体" w:hAnsi="宋体"/>
          <w:color w:val="auto"/>
          <w:szCs w:val="21"/>
          <w:highlight w:val="none"/>
        </w:rPr>
        <w:t>快递包装政府采购需求标准（试行）》</w:t>
      </w:r>
      <w:r>
        <w:rPr>
          <w:rFonts w:hint="eastAsia" w:ascii="宋体" w:hAnsi="宋体"/>
          <w:color w:val="auto"/>
          <w:szCs w:val="21"/>
          <w:highlight w:val="none"/>
          <w:lang w:val="en-US" w:eastAsia="zh-CN"/>
        </w:rPr>
        <w:t>标准</w:t>
      </w:r>
      <w:r>
        <w:rPr>
          <w:rFonts w:hint="eastAsia" w:ascii="宋体" w:hAnsi="宋体"/>
          <w:color w:val="auto"/>
          <w:szCs w:val="21"/>
          <w:highlight w:val="none"/>
        </w:rPr>
        <w:t>，并作为履约验收的内容，必要时甲方可以要求乙方在履约验收环节出具检测报告。</w:t>
      </w:r>
    </w:p>
    <w:p w14:paraId="01719F0C">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7.5 </w:t>
      </w:r>
      <w:r>
        <w:rPr>
          <w:rFonts w:hint="eastAsia" w:ascii="宋体" w:hAnsi="宋体" w:eastAsia="宋体" w:cs="宋体"/>
          <w:color w:val="auto"/>
          <w:szCs w:val="21"/>
          <w:highlight w:val="none"/>
        </w:rPr>
        <w:t>乙方在运输到达之前</w:t>
      </w:r>
      <w:r>
        <w:rPr>
          <w:rFonts w:hint="eastAsia" w:ascii="宋体" w:hAnsi="宋体" w:cs="宋体"/>
          <w:color w:val="auto"/>
          <w:szCs w:val="21"/>
          <w:highlight w:val="none"/>
          <w:lang w:eastAsia="zh-CN"/>
        </w:rPr>
        <w:t>应</w:t>
      </w:r>
      <w:r>
        <w:rPr>
          <w:rFonts w:hint="eastAsia" w:ascii="宋体" w:hAnsi="宋体" w:eastAsia="宋体" w:cs="宋体"/>
          <w:color w:val="auto"/>
          <w:szCs w:val="21"/>
          <w:highlight w:val="none"/>
        </w:rPr>
        <w:t>提前通知</w:t>
      </w:r>
      <w:r>
        <w:rPr>
          <w:rFonts w:hint="eastAsia" w:ascii="宋体" w:hAnsi="宋体" w:cs="宋体"/>
          <w:color w:val="auto"/>
          <w:szCs w:val="21"/>
          <w:highlight w:val="none"/>
          <w:lang w:eastAsia="zh-CN"/>
        </w:rPr>
        <w:t>甲方</w:t>
      </w:r>
      <w:r>
        <w:rPr>
          <w:rFonts w:hint="eastAsia" w:ascii="宋体" w:hAnsi="宋体" w:eastAsia="宋体" w:cs="宋体"/>
          <w:color w:val="auto"/>
          <w:szCs w:val="21"/>
          <w:highlight w:val="none"/>
        </w:rPr>
        <w:t>，并提示货物运输装卸的注意事项</w:t>
      </w:r>
      <w:r>
        <w:rPr>
          <w:rFonts w:hint="eastAsia" w:ascii="宋体" w:hAnsi="宋体" w:cs="宋体"/>
          <w:color w:val="auto"/>
          <w:szCs w:val="21"/>
          <w:highlight w:val="none"/>
          <w:lang w:eastAsia="zh-CN"/>
        </w:rPr>
        <w:t>，甲方配合乙方做好货物的接收工作。</w:t>
      </w:r>
    </w:p>
    <w:p w14:paraId="6E4DA90F">
      <w:pPr>
        <w:pStyle w:val="62"/>
        <w:rPr>
          <w:rFonts w:hint="default" w:eastAsia="华文楷体"/>
          <w:color w:val="auto"/>
          <w:sz w:val="21"/>
          <w:highlight w:val="none"/>
          <w:lang w:val="en-US" w:eastAsia="zh-CN"/>
        </w:rPr>
      </w:pPr>
      <w:r>
        <w:rPr>
          <w:rFonts w:hint="eastAsia" w:ascii="宋体" w:hAnsi="宋体" w:eastAsia="宋体" w:cs="Times New Roman"/>
          <w:color w:val="auto"/>
          <w:kern w:val="2"/>
          <w:sz w:val="21"/>
          <w:szCs w:val="21"/>
          <w:highlight w:val="none"/>
          <w:lang w:val="en-US" w:eastAsia="zh-CN"/>
        </w:rPr>
        <w:t xml:space="preserve">7.6 </w:t>
      </w:r>
      <w:r>
        <w:rPr>
          <w:rFonts w:hint="eastAsia" w:ascii="宋体" w:hAnsi="宋体" w:eastAsia="宋体" w:cs="Times New Roman"/>
          <w:color w:val="auto"/>
          <w:kern w:val="2"/>
          <w:sz w:val="21"/>
          <w:szCs w:val="21"/>
          <w:highlight w:val="none"/>
        </w:rPr>
        <w:t>如因包装</w:t>
      </w:r>
      <w:r>
        <w:rPr>
          <w:rFonts w:hint="eastAsia" w:ascii="宋体" w:hAnsi="宋体" w:eastAsia="宋体" w:cs="Times New Roman"/>
          <w:color w:val="auto"/>
          <w:kern w:val="2"/>
          <w:sz w:val="21"/>
          <w:szCs w:val="21"/>
          <w:highlight w:val="none"/>
          <w:lang w:eastAsia="zh-CN"/>
        </w:rPr>
        <w:t>、运输</w:t>
      </w:r>
      <w:r>
        <w:rPr>
          <w:rFonts w:hint="eastAsia" w:ascii="宋体" w:hAnsi="宋体" w:eastAsia="宋体" w:cs="Times New Roman"/>
          <w:color w:val="auto"/>
          <w:kern w:val="2"/>
          <w:sz w:val="21"/>
          <w:szCs w:val="21"/>
          <w:highlight w:val="none"/>
        </w:rPr>
        <w:t>问题导致货物</w:t>
      </w:r>
      <w:r>
        <w:rPr>
          <w:rFonts w:hint="eastAsia" w:ascii="宋体" w:hAnsi="宋体" w:eastAsia="宋体" w:cs="Times New Roman"/>
          <w:color w:val="auto"/>
          <w:kern w:val="2"/>
          <w:sz w:val="21"/>
          <w:szCs w:val="21"/>
          <w:highlight w:val="none"/>
          <w:lang w:eastAsia="zh-CN"/>
        </w:rPr>
        <w:t>损毁、丢失</w:t>
      </w:r>
      <w:r>
        <w:rPr>
          <w:rFonts w:hint="eastAsia" w:ascii="宋体" w:hAnsi="宋体" w:eastAsia="宋体" w:cs="Times New Roman"/>
          <w:color w:val="auto"/>
          <w:kern w:val="2"/>
          <w:sz w:val="21"/>
          <w:szCs w:val="21"/>
          <w:highlight w:val="none"/>
        </w:rPr>
        <w:t>或者品质下降，</w:t>
      </w:r>
      <w:r>
        <w:rPr>
          <w:rFonts w:hint="eastAsia" w:ascii="宋体" w:hAnsi="宋体" w:eastAsia="宋体" w:cs="Times New Roman"/>
          <w:color w:val="auto"/>
          <w:kern w:val="2"/>
          <w:sz w:val="21"/>
          <w:szCs w:val="21"/>
          <w:highlight w:val="none"/>
          <w:lang w:eastAsia="zh-CN"/>
        </w:rPr>
        <w:t>甲方</w:t>
      </w:r>
      <w:r>
        <w:rPr>
          <w:rFonts w:hint="eastAsia" w:ascii="宋体" w:hAnsi="宋体" w:eastAsia="宋体" w:cs="Times New Roman"/>
          <w:color w:val="auto"/>
          <w:kern w:val="2"/>
          <w:sz w:val="21"/>
          <w:szCs w:val="21"/>
          <w:highlight w:val="none"/>
        </w:rPr>
        <w:t>有权要求降价、换货、拒收部分或整批货物，由此</w:t>
      </w:r>
      <w:r>
        <w:rPr>
          <w:rFonts w:hint="eastAsia" w:ascii="宋体" w:hAnsi="宋体" w:eastAsia="宋体" w:cs="Times New Roman"/>
          <w:color w:val="auto"/>
          <w:kern w:val="2"/>
          <w:sz w:val="21"/>
          <w:szCs w:val="21"/>
          <w:highlight w:val="none"/>
          <w:lang w:eastAsia="zh-CN"/>
        </w:rPr>
        <w:t>产生</w:t>
      </w:r>
      <w:r>
        <w:rPr>
          <w:rFonts w:hint="eastAsia" w:ascii="宋体" w:hAnsi="宋体" w:eastAsia="宋体" w:cs="Times New Roman"/>
          <w:color w:val="auto"/>
          <w:kern w:val="2"/>
          <w:sz w:val="21"/>
          <w:szCs w:val="21"/>
          <w:highlight w:val="none"/>
        </w:rPr>
        <w:t>的费用和损失，均由</w:t>
      </w:r>
      <w:r>
        <w:rPr>
          <w:rFonts w:hint="eastAsia" w:ascii="宋体" w:hAnsi="宋体" w:eastAsia="宋体" w:cs="Times New Roman"/>
          <w:color w:val="auto"/>
          <w:kern w:val="2"/>
          <w:sz w:val="21"/>
          <w:szCs w:val="21"/>
          <w:highlight w:val="none"/>
          <w:lang w:eastAsia="zh-CN"/>
        </w:rPr>
        <w:t>乙方</w:t>
      </w:r>
      <w:r>
        <w:rPr>
          <w:rFonts w:hint="eastAsia" w:ascii="宋体" w:hAnsi="宋体" w:eastAsia="宋体" w:cs="Times New Roman"/>
          <w:color w:val="auto"/>
          <w:kern w:val="2"/>
          <w:sz w:val="21"/>
          <w:szCs w:val="21"/>
          <w:highlight w:val="none"/>
        </w:rPr>
        <w:t>承担。</w:t>
      </w:r>
    </w:p>
    <w:p w14:paraId="3503F0B1">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8</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质量标准和保证</w:t>
      </w:r>
    </w:p>
    <w:p w14:paraId="1B24CE83">
      <w:pPr>
        <w:pStyle w:val="26"/>
        <w:adjustRightInd w:val="0"/>
        <w:snapToGrid w:val="0"/>
        <w:spacing w:before="0" w:line="400" w:lineRule="exact"/>
        <w:ind w:firstLine="48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277E42CD">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auto"/>
          <w:szCs w:val="21"/>
          <w:highlight w:val="none"/>
          <w:lang w:eastAsia="zh-CN"/>
        </w:rPr>
        <w:t>约</w:t>
      </w:r>
      <w:r>
        <w:rPr>
          <w:rFonts w:hint="eastAsia" w:ascii="宋体" w:hAnsi="宋体" w:eastAsia="宋体" w:cs="宋体"/>
          <w:color w:val="auto"/>
          <w:szCs w:val="21"/>
          <w:highlight w:val="none"/>
        </w:rPr>
        <w:t>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2A49E4C7">
      <w:pPr>
        <w:pStyle w:val="26"/>
        <w:adjustRightInd w:val="0"/>
        <w:snapToGrid w:val="0"/>
        <w:spacing w:before="0" w:line="400" w:lineRule="exact"/>
        <w:ind w:firstLine="480" w:firstLineChars="200"/>
        <w:jc w:val="left"/>
        <w:rPr>
          <w:rFonts w:hAnsi="宋体"/>
          <w:color w:val="auto"/>
          <w:highlight w:val="none"/>
        </w:rPr>
      </w:pPr>
      <w:r>
        <w:rPr>
          <w:rFonts w:hint="eastAsia" w:hAnsi="宋体"/>
          <w:color w:val="auto"/>
          <w:highlight w:val="none"/>
        </w:rPr>
        <w:t>（2）采用中华人民共和国法定计量单位。</w:t>
      </w:r>
    </w:p>
    <w:p w14:paraId="1564F4B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199E877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64B82CA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6264E6D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color w:val="auto"/>
          <w:szCs w:val="21"/>
          <w:highlight w:val="none"/>
        </w:rPr>
        <w:t>在其使用寿命期内具</w:t>
      </w:r>
      <w:r>
        <w:rPr>
          <w:rFonts w:hint="eastAsia" w:ascii="宋体" w:hAnsi="宋体" w:cs="宋体"/>
          <w:color w:val="auto"/>
          <w:szCs w:val="21"/>
          <w:highlight w:val="none"/>
          <w:lang w:eastAsia="zh-CN"/>
        </w:rPr>
        <w:t>备合同约定</w:t>
      </w:r>
      <w:r>
        <w:rPr>
          <w:rFonts w:hint="eastAsia" w:ascii="宋体" w:hAnsi="宋体" w:eastAsia="宋体" w:cs="宋体"/>
          <w:color w:val="auto"/>
          <w:szCs w:val="21"/>
          <w:highlight w:val="none"/>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7C3B274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7FF6B01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277A86F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auto"/>
          <w:szCs w:val="21"/>
          <w:highlight w:val="none"/>
          <w:lang w:val="en-US" w:eastAsia="zh-CN"/>
        </w:rPr>
        <w:t>5</w:t>
      </w:r>
      <w:r>
        <w:rPr>
          <w:rFonts w:hint="eastAsia" w:ascii="宋体" w:hAnsi="宋体"/>
          <w:color w:val="auto"/>
          <w:szCs w:val="21"/>
          <w:highlight w:val="none"/>
        </w:rPr>
        <w:t>.1条规定以书面形式</w:t>
      </w:r>
      <w:r>
        <w:rPr>
          <w:rFonts w:hint="eastAsia" w:ascii="宋体" w:hAnsi="宋体"/>
          <w:color w:val="auto"/>
          <w:szCs w:val="21"/>
          <w:highlight w:val="none"/>
          <w:lang w:eastAsia="zh-CN"/>
        </w:rPr>
        <w:t>追究</w:t>
      </w:r>
      <w:r>
        <w:rPr>
          <w:rFonts w:hint="eastAsia" w:ascii="宋体" w:hAnsi="宋体"/>
          <w:color w:val="auto"/>
          <w:szCs w:val="21"/>
          <w:highlight w:val="none"/>
        </w:rPr>
        <w:t>乙方</w:t>
      </w:r>
      <w:r>
        <w:rPr>
          <w:rFonts w:hint="eastAsia" w:ascii="宋体" w:hAnsi="宋体"/>
          <w:color w:val="auto"/>
          <w:szCs w:val="21"/>
          <w:highlight w:val="none"/>
          <w:lang w:eastAsia="zh-CN"/>
        </w:rPr>
        <w:t>的违约责任</w:t>
      </w:r>
      <w:r>
        <w:rPr>
          <w:rFonts w:hint="eastAsia" w:ascii="宋体" w:hAnsi="宋体"/>
          <w:color w:val="auto"/>
          <w:szCs w:val="21"/>
          <w:highlight w:val="none"/>
        </w:rPr>
        <w:t>。</w:t>
      </w:r>
    </w:p>
    <w:p w14:paraId="63D6A066">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70136803">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权利瑕疵担保</w:t>
      </w:r>
    </w:p>
    <w:p w14:paraId="7CC622B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.1 乙方保证对其出售的货物享有合法的权利。</w:t>
      </w:r>
    </w:p>
    <w:p w14:paraId="7BBBD34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 xml:space="preserve">.2 </w:t>
      </w:r>
      <w:r>
        <w:rPr>
          <w:rFonts w:hint="eastAsia" w:ascii="宋体" w:hAnsi="宋体" w:eastAsia="宋体" w:cs="宋体"/>
          <w:color w:val="auto"/>
          <w:szCs w:val="15"/>
          <w:highlight w:val="none"/>
        </w:rPr>
        <w:t>乙方保证在交付的货物上不存在抵押权等担保物权。</w:t>
      </w:r>
    </w:p>
    <w:p w14:paraId="5717FD2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.3 如甲方使用</w:t>
      </w:r>
      <w:r>
        <w:rPr>
          <w:rFonts w:hint="eastAsia" w:ascii="宋体" w:hAnsi="宋体"/>
          <w:color w:val="auto"/>
          <w:szCs w:val="21"/>
          <w:highlight w:val="none"/>
          <w:lang w:val="en-US" w:eastAsia="zh-CN"/>
        </w:rPr>
        <w:t>上述</w:t>
      </w:r>
      <w:r>
        <w:rPr>
          <w:rFonts w:hint="eastAsia" w:ascii="宋体" w:hAnsi="宋体"/>
          <w:color w:val="auto"/>
          <w:szCs w:val="21"/>
          <w:highlight w:val="none"/>
        </w:rPr>
        <w:t>货物构成</w:t>
      </w:r>
      <w:r>
        <w:rPr>
          <w:rFonts w:hint="eastAsia" w:ascii="宋体" w:hAnsi="宋体"/>
          <w:color w:val="auto"/>
          <w:szCs w:val="21"/>
          <w:highlight w:val="none"/>
          <w:lang w:val="en-US" w:eastAsia="zh-CN"/>
        </w:rPr>
        <w:t>对第三人</w:t>
      </w:r>
      <w:r>
        <w:rPr>
          <w:rFonts w:hint="eastAsia" w:ascii="宋体" w:hAnsi="宋体"/>
          <w:color w:val="auto"/>
          <w:szCs w:val="21"/>
          <w:highlight w:val="none"/>
        </w:rPr>
        <w:t>侵权的，则由乙方承担全部责任。</w:t>
      </w:r>
    </w:p>
    <w:p w14:paraId="39DC96B3">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0</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知识产权保护</w:t>
      </w:r>
    </w:p>
    <w:p w14:paraId="33147DC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0</w:t>
      </w:r>
      <w:r>
        <w:rPr>
          <w:rFonts w:hint="eastAsia" w:ascii="宋体" w:hAnsi="宋体"/>
          <w:color w:val="auto"/>
          <w:szCs w:val="21"/>
          <w:highlight w:val="none"/>
        </w:rPr>
        <w:t>.1 乙方对其所销售的货物应当享有知识产权或经权利人合法授权，保证没有侵犯任何第三人的知识产权等权利。</w:t>
      </w:r>
      <w:bookmarkStart w:id="117" w:name="_Hlk163047038"/>
      <w:r>
        <w:rPr>
          <w:rFonts w:hint="eastAsia" w:ascii="宋体" w:hAnsi="宋体" w:eastAsia="宋体" w:cs="宋体"/>
          <w:color w:val="auto"/>
          <w:szCs w:val="15"/>
          <w:highlight w:val="none"/>
        </w:rPr>
        <w:t>因违反前述约定对第三人构成侵权的，应当由乙方向第三人承担法律责任；甲方依法向第三人赔偿后，有权向乙方追偿。甲方有其他损失的，乙方应当赔偿</w:t>
      </w:r>
      <w:bookmarkEnd w:id="117"/>
      <w:r>
        <w:rPr>
          <w:rFonts w:hint="eastAsia" w:ascii="宋体" w:hAnsi="宋体"/>
          <w:color w:val="auto"/>
          <w:szCs w:val="21"/>
          <w:highlight w:val="none"/>
        </w:rPr>
        <w:t>。</w:t>
      </w:r>
    </w:p>
    <w:p w14:paraId="45A7C829">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6048E7BD">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15"/>
          <w:highlight w:val="none"/>
        </w:rPr>
      </w:pPr>
      <w:r>
        <w:rPr>
          <w:rFonts w:hint="eastAsia" w:ascii="宋体" w:hAnsi="宋体" w:cs="宋体"/>
          <w:color w:val="auto"/>
          <w:szCs w:val="15"/>
          <w:highlight w:val="none"/>
          <w:lang w:val="en-US" w:eastAsia="zh-CN"/>
        </w:rPr>
        <w:t xml:space="preserve">11.1 </w:t>
      </w:r>
      <w:r>
        <w:rPr>
          <w:rFonts w:hint="eastAsia" w:ascii="宋体" w:hAnsi="宋体" w:eastAsia="宋体" w:cs="宋体"/>
          <w:color w:val="auto"/>
          <w:szCs w:val="15"/>
          <w:highlight w:val="none"/>
        </w:rPr>
        <w:t>甲、乙双方</w:t>
      </w:r>
      <w:r>
        <w:rPr>
          <w:rFonts w:hint="eastAsia" w:ascii="宋体" w:hAnsi="宋体" w:cs="宋体"/>
          <w:color w:val="auto"/>
          <w:szCs w:val="15"/>
          <w:highlight w:val="none"/>
          <w:lang w:eastAsia="zh-CN"/>
        </w:rPr>
        <w:t>对</w:t>
      </w:r>
      <w:r>
        <w:rPr>
          <w:rFonts w:hint="eastAsia" w:ascii="宋体" w:hAnsi="宋体" w:eastAsia="宋体" w:cs="宋体"/>
          <w:color w:val="auto"/>
          <w:szCs w:val="15"/>
          <w:highlight w:val="none"/>
        </w:rPr>
        <w:t>采购和合同履行过程中所获悉的</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商业秘密或者其他应当保密的信息，均有保密义务</w:t>
      </w:r>
      <w:r>
        <w:rPr>
          <w:rFonts w:hint="eastAsia" w:ascii="宋体" w:hAnsi="宋体" w:cs="宋体"/>
          <w:color w:val="auto"/>
          <w:szCs w:val="15"/>
          <w:highlight w:val="none"/>
          <w:lang w:eastAsia="zh-CN"/>
        </w:rPr>
        <w:t>且不受合同有效期所限，直至该信息成为公开信息</w:t>
      </w:r>
      <w:r>
        <w:rPr>
          <w:rFonts w:hint="eastAsia" w:ascii="宋体" w:hAnsi="宋体" w:eastAsia="宋体" w:cs="宋体"/>
          <w:color w:val="auto"/>
          <w:szCs w:val="15"/>
          <w:highlight w:val="none"/>
        </w:rPr>
        <w:t>。泄露、不正当地使用</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w:t>
      </w:r>
      <w:r>
        <w:rPr>
          <w:rFonts w:hint="eastAsia" w:ascii="宋体" w:hAnsi="宋体" w:cs="宋体"/>
          <w:color w:val="auto"/>
          <w:szCs w:val="15"/>
          <w:highlight w:val="none"/>
          <w:lang w:eastAsia="zh-CN"/>
        </w:rPr>
        <w:t>其他应当保密的</w:t>
      </w:r>
      <w:r>
        <w:rPr>
          <w:rFonts w:hint="eastAsia" w:ascii="宋体" w:hAnsi="宋体" w:eastAsia="宋体" w:cs="宋体"/>
          <w:color w:val="auto"/>
          <w:szCs w:val="15"/>
          <w:highlight w:val="none"/>
        </w:rPr>
        <w:t>信息，应当承担</w:t>
      </w:r>
      <w:r>
        <w:rPr>
          <w:rFonts w:hint="eastAsia" w:ascii="宋体" w:hAnsi="宋体" w:cs="宋体"/>
          <w:color w:val="auto"/>
          <w:szCs w:val="15"/>
          <w:highlight w:val="none"/>
          <w:lang w:eastAsia="zh-CN"/>
        </w:rPr>
        <w:t>相应</w:t>
      </w:r>
      <w:r>
        <w:rPr>
          <w:rFonts w:hint="eastAsia" w:ascii="宋体" w:hAnsi="宋体" w:eastAsia="宋体" w:cs="宋体"/>
          <w:color w:val="auto"/>
          <w:szCs w:val="15"/>
          <w:highlight w:val="none"/>
        </w:rPr>
        <w:t>责任。其他应当保密的信息由双方在</w:t>
      </w:r>
      <w:r>
        <w:rPr>
          <w:rFonts w:hint="eastAsia" w:ascii="宋体" w:hAnsi="宋体" w:eastAsia="宋体" w:cs="宋体"/>
          <w:b/>
          <w:bCs/>
          <w:color w:val="auto"/>
          <w:szCs w:val="15"/>
          <w:highlight w:val="none"/>
        </w:rPr>
        <w:t>【政府采购合同专用条款】</w:t>
      </w:r>
      <w:r>
        <w:rPr>
          <w:rFonts w:hint="eastAsia" w:ascii="宋体" w:hAnsi="宋体" w:eastAsia="宋体" w:cs="宋体"/>
          <w:color w:val="auto"/>
          <w:szCs w:val="15"/>
          <w:highlight w:val="none"/>
        </w:rPr>
        <w:t>中约定。</w:t>
      </w:r>
    </w:p>
    <w:p w14:paraId="31EFC935">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50D65244">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486A71FC">
      <w:pPr>
        <w:autoSpaceDE/>
        <w:autoSpaceDN/>
        <w:adjustRightInd w:val="0"/>
        <w:snapToGrid w:val="0"/>
        <w:spacing w:before="0" w:line="400" w:lineRule="exact"/>
        <w:ind w:firstLine="420" w:firstLineChars="200"/>
        <w:jc w:val="left"/>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14:paraId="4CB17D6F">
      <w:pPr>
        <w:pStyle w:val="20"/>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67BE792A">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15"/>
          <w:highlight w:val="none"/>
        </w:rPr>
        <w:t>乙方应当以支票、汇票、本票或者金融机构、担保机构出具的保函等非现金形式提交。</w:t>
      </w:r>
    </w:p>
    <w:p w14:paraId="2AD53817">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color w:val="auto"/>
          <w:szCs w:val="15"/>
          <w:highlight w:val="none"/>
        </w:rPr>
        <w:t>【政府采购合同专用条款】</w:t>
      </w:r>
      <w:r>
        <w:rPr>
          <w:rFonts w:hint="eastAsia" w:ascii="宋体" w:hAnsi="宋体" w:cs="宋体"/>
          <w:b w:val="0"/>
          <w:bCs w:val="0"/>
          <w:color w:val="auto"/>
          <w:szCs w:val="15"/>
          <w:highlight w:val="none"/>
          <w:lang w:eastAsia="zh-CN"/>
        </w:rPr>
        <w:t>约定</w:t>
      </w:r>
      <w:r>
        <w:rPr>
          <w:rFonts w:hint="eastAsia" w:ascii="宋体" w:hAnsi="宋体" w:cs="宋体"/>
          <w:b w:val="0"/>
          <w:bCs w:val="0"/>
          <w:color w:val="auto"/>
          <w:szCs w:val="15"/>
          <w:highlight w:val="none"/>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6A4C47E6">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7325CB59">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7764FDF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2501E41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64C65C6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5D68ED0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color w:val="auto"/>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4CCAC0D9">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color w:val="auto"/>
          <w:szCs w:val="15"/>
          <w:highlight w:val="none"/>
          <w:lang w:eastAsia="zh-CN"/>
        </w:rPr>
        <w:t>；</w:t>
      </w:r>
    </w:p>
    <w:p w14:paraId="0AFD892E">
      <w:pPr>
        <w:pStyle w:val="6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（5）依照法律、行政法规的规定或者按照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约定，货物在有效使用年限届满后应予回收的，乙方负有自行或者委托第三人对货物予以回收的义务；</w:t>
      </w:r>
    </w:p>
    <w:p w14:paraId="5379FFF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759307B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30E04FFA">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5EC47BEE">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59CB1DDF">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07B3B440">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4533F8A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38EF42D9">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6C53625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35AE106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702AA918">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1026FF28">
      <w:pPr>
        <w:numPr>
          <w:ilvl w:val="0"/>
          <w:numId w:val="14"/>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22DA6851">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4746F8A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5FDC48CE">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3780C44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2498E2B8">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1133ACAC">
      <w:pPr>
        <w:pStyle w:val="62"/>
        <w:jc w:val="both"/>
        <w:rPr>
          <w:color w:val="auto"/>
          <w:sz w:val="21"/>
          <w:highlight w:val="none"/>
        </w:rPr>
      </w:pPr>
      <w:r>
        <w:rPr>
          <w:rFonts w:hint="eastAsia" w:ascii="宋体" w:hAnsi="宋体" w:eastAsia="宋体" w:cs="宋体"/>
          <w:color w:val="auto"/>
          <w:sz w:val="21"/>
          <w:highlight w:val="none"/>
        </w:rPr>
        <w:t>（3）乙方分立、合并或者变更住所的，应当及时以书面形式告知甲方。乙方没有</w:t>
      </w:r>
      <w:r>
        <w:rPr>
          <w:rFonts w:hint="eastAsia" w:ascii="宋体" w:hAnsi="宋体" w:eastAsia="宋体" w:cs="宋体"/>
          <w:color w:val="auto"/>
          <w:sz w:val="21"/>
          <w:highlight w:val="none"/>
          <w:lang w:eastAsia="zh-CN"/>
        </w:rPr>
        <w:t>及时告知</w:t>
      </w:r>
      <w:r>
        <w:rPr>
          <w:rFonts w:hint="eastAsia" w:ascii="宋体" w:hAnsi="宋体" w:eastAsia="宋体" w:cs="宋体"/>
          <w:color w:val="auto"/>
          <w:sz w:val="21"/>
          <w:highlight w:val="none"/>
        </w:rPr>
        <w:t>甲方，致使</w:t>
      </w:r>
      <w:r>
        <w:rPr>
          <w:rFonts w:hint="eastAsia" w:ascii="宋体" w:hAnsi="宋体" w:eastAsia="宋体" w:cs="宋体"/>
          <w:color w:val="auto"/>
          <w:sz w:val="21"/>
          <w:highlight w:val="none"/>
          <w:lang w:eastAsia="zh-CN"/>
        </w:rPr>
        <w:t>合同</w:t>
      </w:r>
      <w:r>
        <w:rPr>
          <w:rFonts w:hint="eastAsia" w:ascii="宋体" w:hAnsi="宋体" w:eastAsia="宋体" w:cs="宋体"/>
          <w:color w:val="auto"/>
          <w:sz w:val="21"/>
          <w:highlight w:val="none"/>
        </w:rPr>
        <w:t>履行发生困难的，甲方可以中止合同履行并要求乙方承担由此给甲方造成的损失。</w:t>
      </w:r>
    </w:p>
    <w:p w14:paraId="7DEDDB5F">
      <w:pPr>
        <w:snapToGrid w:val="0"/>
        <w:spacing w:line="400" w:lineRule="exact"/>
        <w:ind w:firstLine="420" w:firstLineChars="200"/>
        <w:jc w:val="left"/>
        <w:rPr>
          <w:color w:val="auto"/>
          <w:sz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7AD63E70">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7F86E65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5FC1F94E">
      <w:pPr>
        <w:snapToGrid w:val="0"/>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color w:val="auto"/>
          <w:szCs w:val="21"/>
          <w:highlight w:val="none"/>
        </w:rPr>
        <w:t>并追究乙方的违约责</w:t>
      </w:r>
      <w:r>
        <w:rPr>
          <w:rFonts w:hint="eastAsia" w:ascii="宋体" w:hAnsi="宋体" w:cs="宋体"/>
          <w:color w:val="auto"/>
          <w:szCs w:val="21"/>
          <w:highlight w:val="none"/>
          <w:lang w:val="en-US" w:eastAsia="zh-CN"/>
        </w:rPr>
        <w:t>任</w:t>
      </w:r>
      <w:r>
        <w:rPr>
          <w:rFonts w:hint="eastAsia" w:ascii="宋体" w:hAnsi="宋体"/>
          <w:color w:val="auto"/>
          <w:szCs w:val="21"/>
          <w:highlight w:val="none"/>
        </w:rPr>
        <w:t>。</w:t>
      </w:r>
    </w:p>
    <w:p w14:paraId="7B294B1E">
      <w:pPr>
        <w:pStyle w:val="62"/>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7962A5AA">
      <w:pPr>
        <w:pStyle w:val="62"/>
        <w:jc w:val="both"/>
        <w:rPr>
          <w:color w:val="auto"/>
          <w:sz w:val="21"/>
          <w:highlight w:val="none"/>
        </w:rPr>
      </w:pPr>
      <w:r>
        <w:rPr>
          <w:rFonts w:hint="eastAsia" w:ascii="宋体" w:hAnsi="宋体" w:eastAsia="宋体" w:cs="宋体"/>
          <w:color w:val="auto"/>
          <w:sz w:val="21"/>
          <w:highlight w:val="none"/>
        </w:rPr>
        <w:t>政府采购合同继续履行将损害国家利益和社会公共利益的，双方当事人</w:t>
      </w:r>
      <w:r>
        <w:rPr>
          <w:rFonts w:hint="eastAsia" w:ascii="宋体" w:hAnsi="宋体" w:eastAsia="宋体" w:cs="宋体"/>
          <w:color w:val="auto"/>
          <w:sz w:val="21"/>
          <w:highlight w:val="none"/>
          <w:lang w:val="en-US" w:eastAsia="zh-CN"/>
        </w:rPr>
        <w:t>应当变更、</w:t>
      </w:r>
      <w:r>
        <w:rPr>
          <w:rFonts w:hint="eastAsia" w:ascii="宋体" w:hAnsi="宋体" w:eastAsia="宋体" w:cs="宋体"/>
          <w:color w:val="auto"/>
          <w:sz w:val="21"/>
          <w:highlight w:val="none"/>
        </w:rPr>
        <w:t>中止</w:t>
      </w:r>
      <w:r>
        <w:rPr>
          <w:rFonts w:hint="eastAsia" w:ascii="宋体" w:hAnsi="宋体" w:eastAsia="宋体" w:cs="宋体"/>
          <w:color w:val="auto"/>
          <w:sz w:val="21"/>
          <w:highlight w:val="none"/>
          <w:lang w:eastAsia="zh-CN"/>
        </w:rPr>
        <w:t>或者终止</w:t>
      </w:r>
      <w:r>
        <w:rPr>
          <w:rFonts w:hint="eastAsia" w:ascii="宋体" w:hAnsi="宋体" w:eastAsia="宋体" w:cs="宋体"/>
          <w:color w:val="auto"/>
          <w:sz w:val="21"/>
          <w:highlight w:val="none"/>
        </w:rPr>
        <w:t>合同。有过错的一方应当承担赔偿责任，双方都有过错的，各自承担相应的责任。</w:t>
      </w:r>
    </w:p>
    <w:p w14:paraId="498542CA">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641EFD4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284DA21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502923EA">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2F7C10D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72BBC3B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618FA66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2BEC701C">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2AE82C92">
      <w:pPr>
        <w:pStyle w:val="6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.1 因本合同及合同有关事项发生的争议，由</w:t>
      </w:r>
      <w:r>
        <w:rPr>
          <w:rFonts w:hint="eastAsia" w:ascii="宋体" w:hAnsi="宋体" w:eastAsia="宋体" w:cs="宋体"/>
          <w:color w:val="auto"/>
          <w:sz w:val="21"/>
          <w:highlight w:val="none"/>
          <w:lang w:eastAsia="zh-CN"/>
        </w:rPr>
        <w:t>甲乙双</w:t>
      </w:r>
      <w:r>
        <w:rPr>
          <w:rFonts w:hint="eastAsia" w:ascii="宋体" w:hAnsi="宋体" w:eastAsia="宋体" w:cs="宋体"/>
          <w:color w:val="auto"/>
          <w:sz w:val="21"/>
          <w:highlight w:val="none"/>
        </w:rPr>
        <w:t>方友好协商解决。协商不成时，可以</w:t>
      </w:r>
      <w:r>
        <w:rPr>
          <w:rFonts w:hint="eastAsia" w:ascii="宋体" w:hAnsi="宋体" w:eastAsia="宋体" w:cs="宋体"/>
          <w:color w:val="auto"/>
          <w:sz w:val="21"/>
          <w:highlight w:val="none"/>
          <w:lang w:eastAsia="zh-CN"/>
        </w:rPr>
        <w:t>向有关组织申请</w:t>
      </w:r>
      <w:r>
        <w:rPr>
          <w:rFonts w:hint="eastAsia" w:ascii="宋体" w:hAnsi="宋体" w:eastAsia="宋体" w:cs="宋体"/>
          <w:color w:val="auto"/>
          <w:sz w:val="21"/>
          <w:highlight w:val="none"/>
        </w:rPr>
        <w:t>调解。合同一方或</w:t>
      </w:r>
      <w:r>
        <w:rPr>
          <w:rFonts w:hint="eastAsia" w:ascii="宋体" w:hAnsi="宋体" w:eastAsia="宋体" w:cs="宋体"/>
          <w:color w:val="auto"/>
          <w:sz w:val="21"/>
          <w:highlight w:val="none"/>
          <w:lang w:eastAsia="zh-CN"/>
        </w:rPr>
        <w:t>双</w:t>
      </w:r>
      <w:r>
        <w:rPr>
          <w:rFonts w:hint="eastAsia" w:ascii="宋体" w:hAnsi="宋体" w:eastAsia="宋体" w:cs="宋体"/>
          <w:color w:val="auto"/>
          <w:sz w:val="21"/>
          <w:highlight w:val="none"/>
        </w:rPr>
        <w:t>方不愿调解或调解不成的，可以通过仲裁或诉讼的方式解决争议。</w:t>
      </w:r>
    </w:p>
    <w:p w14:paraId="5F0629E0">
      <w:pPr>
        <w:pStyle w:val="6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中进一步约定选择与争议有实际联系的地点的人民法院管辖，但管辖法院的约定不得违反级别管辖和专属管辖的规定。</w:t>
      </w:r>
    </w:p>
    <w:p w14:paraId="466C25B5">
      <w:pPr>
        <w:pStyle w:val="6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.3 如</w:t>
      </w:r>
      <w:r>
        <w:rPr>
          <w:rFonts w:hint="eastAsia" w:ascii="宋体" w:hAnsi="宋体" w:eastAsia="宋体" w:cs="宋体"/>
          <w:color w:val="auto"/>
          <w:sz w:val="21"/>
          <w:highlight w:val="none"/>
          <w:lang w:eastAsia="zh-CN"/>
        </w:rPr>
        <w:t>甲乙双方</w:t>
      </w:r>
      <w:r>
        <w:rPr>
          <w:rFonts w:hint="eastAsia" w:ascii="宋体" w:hAnsi="宋体" w:eastAsia="宋体" w:cs="宋体"/>
          <w:color w:val="auto"/>
          <w:sz w:val="21"/>
          <w:highlight w:val="none"/>
        </w:rPr>
        <w:t>有争议的事项不影响合同其他部分的履行，在争议解决期间，合同其他部分应</w:t>
      </w:r>
      <w:r>
        <w:rPr>
          <w:rFonts w:hint="eastAsia" w:ascii="宋体" w:hAnsi="宋体" w:eastAsia="宋体" w:cs="宋体"/>
          <w:color w:val="auto"/>
          <w:sz w:val="21"/>
          <w:highlight w:val="none"/>
          <w:lang w:eastAsia="zh-CN"/>
        </w:rPr>
        <w:t>当</w:t>
      </w:r>
      <w:r>
        <w:rPr>
          <w:rFonts w:hint="eastAsia" w:ascii="宋体" w:hAnsi="宋体" w:eastAsia="宋体" w:cs="宋体"/>
          <w:color w:val="auto"/>
          <w:sz w:val="21"/>
          <w:highlight w:val="none"/>
        </w:rPr>
        <w:t>继续履行。</w:t>
      </w:r>
    </w:p>
    <w:p w14:paraId="4B5E2279">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169744DD">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color w:val="auto"/>
          <w:highlight w:val="none"/>
          <w:lang w:val="en-GB"/>
        </w:rPr>
        <w:t>本合同应当按照规定执行政府采购政策。</w:t>
      </w:r>
    </w:p>
    <w:p w14:paraId="68899A5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color w:val="auto"/>
          <w:sz w:val="21"/>
          <w:highlight w:val="none"/>
          <w:lang w:eastAsia="zh-CN"/>
        </w:rPr>
        <w:t>甲乙双方</w:t>
      </w:r>
      <w:r>
        <w:rPr>
          <w:rFonts w:hint="eastAsia" w:ascii="宋体" w:hAnsi="宋体" w:eastAsia="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4192E48F">
      <w:pPr>
        <w:pStyle w:val="20"/>
        <w:spacing w:after="0" w:line="400" w:lineRule="exact"/>
        <w:ind w:firstLine="420"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912BA1F">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2EA43E59">
      <w:pPr>
        <w:pStyle w:val="6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.1 本合同的订立、生效、解释、履行及与本合同有关的争议解决，均适用法律、行政法规。</w:t>
      </w:r>
    </w:p>
    <w:p w14:paraId="43B899A7">
      <w:pPr>
        <w:pStyle w:val="6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.2 本合同条款与法律、行政法规的强制性规定不一致的，双方当事人应按照法律、行政法规的强制性规定修改本合同的相关条款。</w:t>
      </w:r>
    </w:p>
    <w:p w14:paraId="289C84C1">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004E2FBB">
      <w:pPr>
        <w:pStyle w:val="6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本合同任何一方向对方发出的通知、信件、数据电文等，应当发送至本合同第一部分《政府采购合同协议书》所约定的通讯地址、联系人、联系电话或电子邮箱。</w:t>
      </w:r>
    </w:p>
    <w:p w14:paraId="43813BC9">
      <w:pPr>
        <w:pStyle w:val="62"/>
        <w:ind w:firstLine="0" w:firstLineChars="0"/>
        <w:jc w:val="both"/>
        <w:rPr>
          <w:color w:val="auto"/>
          <w:sz w:val="21"/>
          <w:highlight w:val="none"/>
        </w:rPr>
      </w:pP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一方当事人变更名称、</w:t>
      </w:r>
      <w:r>
        <w:rPr>
          <w:rFonts w:hint="eastAsia" w:ascii="宋体" w:hAnsi="宋体" w:eastAsia="宋体" w:cs="宋体"/>
          <w:color w:val="auto"/>
          <w:sz w:val="21"/>
          <w:highlight w:val="none"/>
          <w:lang w:eastAsia="zh-CN"/>
        </w:rPr>
        <w:t>住所</w:t>
      </w:r>
      <w:r>
        <w:rPr>
          <w:rFonts w:hint="eastAsia" w:ascii="宋体" w:hAnsi="宋体" w:eastAsia="宋体" w:cs="宋体"/>
          <w:color w:val="auto"/>
          <w:sz w:val="21"/>
          <w:highlight w:val="none"/>
        </w:rPr>
        <w:t>、联系人、联系电话或电子邮箱</w:t>
      </w:r>
      <w:r>
        <w:rPr>
          <w:rFonts w:hint="eastAsia" w:ascii="宋体" w:hAnsi="宋体" w:eastAsia="宋体" w:cs="宋体"/>
          <w:color w:val="auto"/>
          <w:sz w:val="21"/>
          <w:highlight w:val="none"/>
          <w:lang w:eastAsia="zh-CN"/>
        </w:rPr>
        <w:t>等信息</w:t>
      </w:r>
      <w:r>
        <w:rPr>
          <w:rFonts w:hint="eastAsia" w:ascii="宋体" w:hAnsi="宋体" w:eastAsia="宋体" w:cs="宋体"/>
          <w:color w:val="auto"/>
          <w:sz w:val="21"/>
          <w:highlight w:val="none"/>
        </w:rPr>
        <w:t>的，应当在变更后3日内及时书面通知对方，对方实际收到变更通知前的送达仍为有效送达。</w:t>
      </w:r>
    </w:p>
    <w:p w14:paraId="71DC0250">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4D9C78CC">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3BC0DBC0">
      <w:pPr>
        <w:numPr>
          <w:ilvl w:val="0"/>
          <w:numId w:val="15"/>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4E9F7397">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00FD1243">
      <w:pPr>
        <w:adjustRightInd w:val="0"/>
        <w:snapToGrid w:val="0"/>
        <w:spacing w:line="400" w:lineRule="exact"/>
        <w:ind w:firstLine="0" w:firstLineChars="0"/>
        <w:jc w:val="left"/>
        <w:rPr>
          <w:rFonts w:ascii="黑体" w:hAnsi="华文中宋" w:eastAsia="黑体"/>
          <w:color w:val="auto"/>
          <w:sz w:val="28"/>
          <w:szCs w:val="28"/>
          <w:highlight w:val="none"/>
        </w:rPr>
      </w:pPr>
      <w:r>
        <w:rPr>
          <w:rFonts w:hint="eastAsia" w:ascii="宋体" w:hAnsi="宋体"/>
          <w:bCs/>
          <w:color w:val="auto"/>
          <w:szCs w:val="21"/>
          <w:highlight w:val="none"/>
          <w:lang w:val="en-US" w:eastAsia="zh-CN"/>
        </w:rPr>
        <w:t xml:space="preserve">    23.2 合同附件与合同正文具有同等的法律效力。</w:t>
      </w:r>
      <w:bookmarkStart w:id="118" w:name="_Toc20313"/>
    </w:p>
    <w:p w14:paraId="6DDB4251">
      <w:pPr>
        <w:adjustRightInd w:val="0"/>
        <w:snapToGrid w:val="0"/>
        <w:jc w:val="center"/>
        <w:rPr>
          <w:rFonts w:hint="eastAsia"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br w:type="page"/>
      </w:r>
    </w:p>
    <w:p w14:paraId="1EF560A5">
      <w:pPr>
        <w:pStyle w:val="4"/>
        <w:adjustRightInd w:val="0"/>
        <w:snapToGrid w:val="0"/>
        <w:jc w:val="center"/>
        <w:rPr>
          <w:rFonts w:ascii="黑体" w:hAnsi="华文中宋" w:eastAsia="黑体"/>
          <w:b w:val="0"/>
          <w:bCs w:val="0"/>
          <w:color w:val="auto"/>
          <w:sz w:val="28"/>
          <w:szCs w:val="28"/>
          <w:highlight w:val="none"/>
        </w:rPr>
      </w:pPr>
      <w:bookmarkStart w:id="119" w:name="_Toc6096"/>
      <w:r>
        <w:rPr>
          <w:rFonts w:hint="eastAsia" w:ascii="黑体" w:hAnsi="华文中宋" w:eastAsia="黑体"/>
          <w:b w:val="0"/>
          <w:bCs w:val="0"/>
          <w:color w:val="auto"/>
          <w:sz w:val="28"/>
          <w:szCs w:val="28"/>
          <w:highlight w:val="none"/>
        </w:rPr>
        <w:t>第三节 政府采购合同专用条款</w:t>
      </w:r>
      <w:bookmarkEnd w:id="118"/>
      <w:bookmarkEnd w:id="119"/>
    </w:p>
    <w:tbl>
      <w:tblPr>
        <w:tblStyle w:val="4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6E3AA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F90A740">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8B21402">
            <w:pPr>
              <w:adjustRightInd w:val="0"/>
              <w:snapToGrid w:val="0"/>
              <w:jc w:val="center"/>
              <w:rPr>
                <w:rFonts w:ascii="宋体" w:hAnsi="宋体"/>
                <w:color w:val="auto"/>
                <w:szCs w:val="21"/>
                <w:highlight w:val="none"/>
              </w:rPr>
            </w:pPr>
            <w:r>
              <w:rPr>
                <w:rFonts w:hint="eastAsia" w:ascii="宋体" w:hAnsi="宋体"/>
                <w:color w:val="auto"/>
                <w:szCs w:val="21"/>
                <w:highlight w:val="none"/>
              </w:rPr>
              <w:t>第1.2（</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742" w:type="dxa"/>
            <w:vAlign w:val="center"/>
          </w:tcPr>
          <w:p w14:paraId="573B849D">
            <w:pPr>
              <w:adjustRightInd w:val="0"/>
              <w:snapToGrid w:val="0"/>
              <w:jc w:val="left"/>
              <w:rPr>
                <w:rFonts w:ascii="宋体" w:hAnsi="宋体"/>
                <w:color w:val="auto"/>
                <w:szCs w:val="21"/>
                <w:highlight w:val="none"/>
              </w:rPr>
            </w:pPr>
            <w:r>
              <w:rPr>
                <w:rFonts w:hint="eastAsia" w:ascii="宋体" w:hAnsi="宋体"/>
                <w:color w:val="auto"/>
                <w:szCs w:val="21"/>
                <w:highlight w:val="none"/>
                <w:lang w:eastAsia="zh-CN"/>
              </w:rPr>
              <w:t>联合体具体要求</w:t>
            </w:r>
          </w:p>
        </w:tc>
        <w:tc>
          <w:tcPr>
            <w:tcW w:w="5170" w:type="dxa"/>
            <w:vAlign w:val="center"/>
          </w:tcPr>
          <w:p w14:paraId="6D6DDEE7">
            <w:pPr>
              <w:adjustRightInd w:val="0"/>
              <w:snapToGrid w:val="0"/>
              <w:jc w:val="left"/>
              <w:rPr>
                <w:rFonts w:ascii="宋体" w:hAnsi="宋体"/>
                <w:color w:val="auto"/>
                <w:szCs w:val="21"/>
                <w:highlight w:val="none"/>
              </w:rPr>
            </w:pPr>
          </w:p>
        </w:tc>
      </w:tr>
      <w:tr w14:paraId="7A1C51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CE633CD">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E73845E">
            <w:pPr>
              <w:adjustRightInd w:val="0"/>
              <w:snapToGrid w:val="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第1.2（</w:t>
            </w:r>
            <w:r>
              <w:rPr>
                <w:rFonts w:hint="eastAsia" w:ascii="宋体" w:hAnsi="宋体"/>
                <w:color w:val="auto"/>
                <w:szCs w:val="21"/>
                <w:highlight w:val="none"/>
                <w:lang w:val="en-US" w:eastAsia="zh-CN"/>
              </w:rPr>
              <w:t>7</w:t>
            </w:r>
            <w:r>
              <w:rPr>
                <w:rFonts w:hint="eastAsia" w:ascii="宋体" w:hAnsi="宋体"/>
                <w:color w:val="auto"/>
                <w:szCs w:val="21"/>
                <w:highlight w:val="none"/>
              </w:rPr>
              <w:t>）项</w:t>
            </w:r>
          </w:p>
        </w:tc>
        <w:tc>
          <w:tcPr>
            <w:tcW w:w="1742" w:type="dxa"/>
            <w:vAlign w:val="center"/>
          </w:tcPr>
          <w:p w14:paraId="6A183AB7">
            <w:pPr>
              <w:adjustRightInd w:val="0"/>
              <w:snapToGrid w:val="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其他术语解释</w:t>
            </w:r>
          </w:p>
        </w:tc>
        <w:tc>
          <w:tcPr>
            <w:tcW w:w="5170" w:type="dxa"/>
            <w:vAlign w:val="center"/>
          </w:tcPr>
          <w:p w14:paraId="58BECBBD">
            <w:pPr>
              <w:adjustRightInd w:val="0"/>
              <w:snapToGrid w:val="0"/>
              <w:jc w:val="left"/>
              <w:rPr>
                <w:rFonts w:ascii="宋体" w:hAnsi="宋体" w:eastAsia="宋体" w:cs="Times New Roman"/>
                <w:color w:val="auto"/>
                <w:kern w:val="2"/>
                <w:sz w:val="21"/>
                <w:szCs w:val="21"/>
                <w:highlight w:val="none"/>
                <w:lang w:val="en-US" w:eastAsia="zh-CN" w:bidi="ar-SA"/>
              </w:rPr>
            </w:pPr>
          </w:p>
        </w:tc>
      </w:tr>
      <w:tr w14:paraId="4601E3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B27B8D1">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A1CA36B">
            <w:pPr>
              <w:adjustRightInd w:val="0"/>
              <w:snapToGrid w:val="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4.4款</w:t>
            </w:r>
          </w:p>
        </w:tc>
        <w:tc>
          <w:tcPr>
            <w:tcW w:w="1742" w:type="dxa"/>
            <w:vAlign w:val="center"/>
          </w:tcPr>
          <w:p w14:paraId="48386E15">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履约验收中甲方提出异议或作出说明的期限</w:t>
            </w:r>
          </w:p>
        </w:tc>
        <w:tc>
          <w:tcPr>
            <w:tcW w:w="5170" w:type="dxa"/>
            <w:vAlign w:val="center"/>
          </w:tcPr>
          <w:p w14:paraId="1243D1AD">
            <w:pPr>
              <w:adjustRightInd w:val="0"/>
              <w:snapToGrid w:val="0"/>
              <w:jc w:val="left"/>
              <w:rPr>
                <w:rFonts w:ascii="宋体" w:hAnsi="宋体" w:eastAsia="宋体" w:cs="Times New Roman"/>
                <w:color w:val="auto"/>
                <w:kern w:val="2"/>
                <w:sz w:val="21"/>
                <w:szCs w:val="21"/>
                <w:highlight w:val="none"/>
                <w:lang w:val="en-US" w:eastAsia="zh-CN" w:bidi="ar-SA"/>
              </w:rPr>
            </w:pPr>
          </w:p>
        </w:tc>
      </w:tr>
      <w:tr w14:paraId="1B3744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64B9FDA">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C4EB123">
            <w:pPr>
              <w:adjustRightInd w:val="0"/>
              <w:snapToGrid w:val="0"/>
              <w:jc w:val="center"/>
              <w:rPr>
                <w:rFonts w:hint="eastAsia" w:ascii="宋体" w:hAnsi="宋体"/>
                <w:color w:val="auto"/>
                <w:szCs w:val="21"/>
                <w:highlight w:val="none"/>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4.6款</w:t>
            </w:r>
          </w:p>
        </w:tc>
        <w:tc>
          <w:tcPr>
            <w:tcW w:w="1742" w:type="dxa"/>
            <w:vAlign w:val="center"/>
          </w:tcPr>
          <w:p w14:paraId="2303477B">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约定甲方承担的其他义务和责任</w:t>
            </w:r>
          </w:p>
        </w:tc>
        <w:tc>
          <w:tcPr>
            <w:tcW w:w="5170" w:type="dxa"/>
            <w:vAlign w:val="center"/>
          </w:tcPr>
          <w:p w14:paraId="1DE19F9A">
            <w:pPr>
              <w:adjustRightInd w:val="0"/>
              <w:snapToGrid w:val="0"/>
              <w:jc w:val="left"/>
              <w:rPr>
                <w:rFonts w:ascii="宋体" w:hAnsi="宋体" w:eastAsia="宋体" w:cs="Times New Roman"/>
                <w:color w:val="auto"/>
                <w:kern w:val="2"/>
                <w:sz w:val="21"/>
                <w:szCs w:val="21"/>
                <w:highlight w:val="none"/>
                <w:lang w:val="en-US" w:eastAsia="zh-CN" w:bidi="ar-SA"/>
              </w:rPr>
            </w:pPr>
          </w:p>
        </w:tc>
      </w:tr>
      <w:tr w14:paraId="2F7F17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81EA20A">
            <w:pPr>
              <w:adjustRightInd w:val="0"/>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5D5DCF7A">
            <w:pPr>
              <w:snapToGrid w:val="0"/>
              <w:jc w:val="center"/>
              <w:rPr>
                <w:rFonts w:hint="default"/>
                <w:color w:val="auto"/>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5.4款</w:t>
            </w:r>
          </w:p>
        </w:tc>
        <w:tc>
          <w:tcPr>
            <w:tcW w:w="1742" w:type="dxa"/>
            <w:vAlign w:val="center"/>
          </w:tcPr>
          <w:p w14:paraId="6D50147C">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约定乙方承担的其他义务和责任</w:t>
            </w:r>
          </w:p>
        </w:tc>
        <w:tc>
          <w:tcPr>
            <w:tcW w:w="5170" w:type="dxa"/>
            <w:vAlign w:val="center"/>
          </w:tcPr>
          <w:p w14:paraId="0FFB9BAC">
            <w:pPr>
              <w:adjustRightInd w:val="0"/>
              <w:snapToGrid w:val="0"/>
              <w:jc w:val="left"/>
              <w:rPr>
                <w:rFonts w:ascii="宋体" w:hAnsi="宋体" w:eastAsia="宋体" w:cs="Times New Roman"/>
                <w:color w:val="auto"/>
                <w:kern w:val="2"/>
                <w:sz w:val="21"/>
                <w:szCs w:val="21"/>
                <w:highlight w:val="none"/>
                <w:lang w:val="en-US" w:eastAsia="zh-CN" w:bidi="ar-SA"/>
              </w:rPr>
            </w:pPr>
          </w:p>
        </w:tc>
      </w:tr>
      <w:tr w14:paraId="32C82C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43188F2">
            <w:pPr>
              <w:adjustRightInd w:val="0"/>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39D57E32">
            <w:pPr>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6.1款</w:t>
            </w:r>
          </w:p>
        </w:tc>
        <w:tc>
          <w:tcPr>
            <w:tcW w:w="1742" w:type="dxa"/>
            <w:vAlign w:val="center"/>
          </w:tcPr>
          <w:p w14:paraId="76AC84E4">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履行合同义务的顺序</w:t>
            </w:r>
          </w:p>
        </w:tc>
        <w:tc>
          <w:tcPr>
            <w:tcW w:w="5170" w:type="dxa"/>
            <w:vAlign w:val="center"/>
          </w:tcPr>
          <w:p w14:paraId="3A05FD53">
            <w:pPr>
              <w:adjustRightInd w:val="0"/>
              <w:snapToGrid w:val="0"/>
              <w:jc w:val="left"/>
              <w:rPr>
                <w:rFonts w:ascii="宋体" w:hAnsi="宋体" w:eastAsia="宋体" w:cs="Times New Roman"/>
                <w:color w:val="auto"/>
                <w:kern w:val="2"/>
                <w:sz w:val="21"/>
                <w:szCs w:val="21"/>
                <w:highlight w:val="none"/>
                <w:lang w:val="en-US" w:eastAsia="zh-CN" w:bidi="ar-SA"/>
              </w:rPr>
            </w:pPr>
          </w:p>
        </w:tc>
      </w:tr>
      <w:tr w14:paraId="62D792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6F5DA4D2">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249F707">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.1</w:t>
            </w:r>
            <w:r>
              <w:rPr>
                <w:rFonts w:hint="eastAsia" w:ascii="宋体" w:hAnsi="宋体"/>
                <w:color w:val="auto"/>
                <w:szCs w:val="21"/>
                <w:highlight w:val="none"/>
                <w:lang w:val="en-US" w:eastAsia="zh-CN"/>
              </w:rPr>
              <w:t>款</w:t>
            </w:r>
          </w:p>
        </w:tc>
        <w:tc>
          <w:tcPr>
            <w:tcW w:w="1742" w:type="dxa"/>
            <w:vAlign w:val="center"/>
          </w:tcPr>
          <w:p w14:paraId="676A85C0">
            <w:pPr>
              <w:adjustRightInd w:val="0"/>
              <w:snapToGrid w:val="0"/>
              <w:jc w:val="left"/>
              <w:rPr>
                <w:rFonts w:ascii="宋体" w:hAnsi="宋体"/>
                <w:color w:val="auto"/>
                <w:szCs w:val="21"/>
                <w:highlight w:val="none"/>
              </w:rPr>
            </w:pPr>
            <w:r>
              <w:rPr>
                <w:rFonts w:hint="eastAsia" w:ascii="宋体" w:hAnsi="宋体"/>
                <w:color w:val="auto"/>
                <w:szCs w:val="21"/>
                <w:highlight w:val="none"/>
              </w:rPr>
              <w:t>包装</w:t>
            </w:r>
            <w:r>
              <w:rPr>
                <w:rFonts w:hint="eastAsia" w:ascii="宋体" w:hAnsi="宋体"/>
                <w:color w:val="auto"/>
                <w:szCs w:val="21"/>
                <w:highlight w:val="none"/>
                <w:lang w:eastAsia="zh-CN"/>
              </w:rPr>
              <w:t>特殊要求</w:t>
            </w:r>
          </w:p>
        </w:tc>
        <w:tc>
          <w:tcPr>
            <w:tcW w:w="5170" w:type="dxa"/>
            <w:vAlign w:val="center"/>
          </w:tcPr>
          <w:p w14:paraId="39D859C0">
            <w:pPr>
              <w:rPr>
                <w:color w:val="auto"/>
                <w:highlight w:val="none"/>
              </w:rPr>
            </w:pPr>
          </w:p>
        </w:tc>
      </w:tr>
      <w:tr w14:paraId="027633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185D1705">
            <w:pPr>
              <w:adjustRightInd w:val="0"/>
              <w:snapToGrid w:val="0"/>
              <w:jc w:val="center"/>
              <w:rPr>
                <w:rFonts w:hint="eastAsia" w:ascii="宋体" w:hAnsi="宋体"/>
                <w:color w:val="auto"/>
                <w:szCs w:val="21"/>
                <w:highlight w:val="none"/>
              </w:rPr>
            </w:pPr>
          </w:p>
        </w:tc>
        <w:tc>
          <w:tcPr>
            <w:tcW w:w="1742" w:type="dxa"/>
            <w:vAlign w:val="center"/>
          </w:tcPr>
          <w:p w14:paraId="344BDDEA">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指定现场</w:t>
            </w:r>
          </w:p>
        </w:tc>
        <w:tc>
          <w:tcPr>
            <w:tcW w:w="5170" w:type="dxa"/>
            <w:vAlign w:val="center"/>
          </w:tcPr>
          <w:p w14:paraId="40860215">
            <w:pPr>
              <w:rPr>
                <w:rFonts w:hint="eastAsia"/>
                <w:color w:val="auto"/>
                <w:highlight w:val="none"/>
              </w:rPr>
            </w:pPr>
          </w:p>
        </w:tc>
      </w:tr>
      <w:tr w14:paraId="6FFF16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79536961">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55A85B6">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742" w:type="dxa"/>
            <w:vAlign w:val="center"/>
          </w:tcPr>
          <w:p w14:paraId="60AC773E">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运输特殊要求</w:t>
            </w:r>
          </w:p>
        </w:tc>
        <w:tc>
          <w:tcPr>
            <w:tcW w:w="5170" w:type="dxa"/>
            <w:vAlign w:val="center"/>
          </w:tcPr>
          <w:p w14:paraId="1C251AA7">
            <w:pPr>
              <w:rPr>
                <w:rFonts w:hint="eastAsia"/>
                <w:color w:val="auto"/>
                <w:highlight w:val="none"/>
              </w:rPr>
            </w:pPr>
          </w:p>
        </w:tc>
      </w:tr>
      <w:tr w14:paraId="23ECFD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6F8E87CF">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2ABD7AC">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.3</w:t>
            </w:r>
            <w:r>
              <w:rPr>
                <w:rFonts w:hint="eastAsia" w:ascii="宋体" w:hAnsi="宋体"/>
                <w:color w:val="auto"/>
                <w:szCs w:val="21"/>
                <w:highlight w:val="none"/>
                <w:lang w:val="en-US" w:eastAsia="zh-CN"/>
              </w:rPr>
              <w:t>款</w:t>
            </w:r>
          </w:p>
        </w:tc>
        <w:tc>
          <w:tcPr>
            <w:tcW w:w="1742" w:type="dxa"/>
            <w:vAlign w:val="center"/>
          </w:tcPr>
          <w:p w14:paraId="03AA5EFB">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保险要求</w:t>
            </w:r>
          </w:p>
        </w:tc>
        <w:tc>
          <w:tcPr>
            <w:tcW w:w="5170" w:type="dxa"/>
            <w:vAlign w:val="center"/>
          </w:tcPr>
          <w:p w14:paraId="003BA873">
            <w:pPr>
              <w:rPr>
                <w:rFonts w:hint="eastAsia"/>
                <w:color w:val="auto"/>
                <w:highlight w:val="none"/>
              </w:rPr>
            </w:pPr>
          </w:p>
        </w:tc>
      </w:tr>
      <w:tr w14:paraId="531EAB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607DCB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D1D6A5F">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.2（1）项</w:t>
            </w:r>
          </w:p>
        </w:tc>
        <w:tc>
          <w:tcPr>
            <w:tcW w:w="1742" w:type="dxa"/>
            <w:vAlign w:val="center"/>
          </w:tcPr>
          <w:p w14:paraId="51FCA658">
            <w:pPr>
              <w:adjustRightInd w:val="0"/>
              <w:snapToGrid w:val="0"/>
              <w:jc w:val="left"/>
              <w:rPr>
                <w:rFonts w:ascii="宋体" w:hAnsi="宋体"/>
                <w:color w:val="auto"/>
                <w:szCs w:val="21"/>
                <w:highlight w:val="none"/>
              </w:rPr>
            </w:pPr>
            <w:r>
              <w:rPr>
                <w:rFonts w:hint="eastAsia" w:ascii="宋体" w:hAnsi="宋体"/>
                <w:color w:val="auto"/>
                <w:szCs w:val="21"/>
                <w:highlight w:val="none"/>
              </w:rPr>
              <w:t>质量保证期</w:t>
            </w:r>
          </w:p>
        </w:tc>
        <w:tc>
          <w:tcPr>
            <w:tcW w:w="5170" w:type="dxa"/>
            <w:vAlign w:val="center"/>
          </w:tcPr>
          <w:p w14:paraId="2F5E92F5">
            <w:pPr>
              <w:autoSpaceDE w:val="0"/>
              <w:autoSpaceDN w:val="0"/>
              <w:adjustRightInd w:val="0"/>
              <w:snapToGrid w:val="0"/>
              <w:ind w:firstLine="420" w:firstLineChars="200"/>
              <w:jc w:val="left"/>
              <w:rPr>
                <w:rFonts w:ascii="宋体" w:hAnsi="宋体"/>
                <w:color w:val="auto"/>
                <w:szCs w:val="21"/>
                <w:highlight w:val="none"/>
              </w:rPr>
            </w:pPr>
          </w:p>
        </w:tc>
      </w:tr>
      <w:tr w14:paraId="6329C2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8D763B9">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86A5EA2">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.2（3）项</w:t>
            </w:r>
          </w:p>
        </w:tc>
        <w:tc>
          <w:tcPr>
            <w:tcW w:w="1742" w:type="dxa"/>
            <w:vAlign w:val="center"/>
          </w:tcPr>
          <w:p w14:paraId="22993F61">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货物质量缺陷</w:t>
            </w:r>
          </w:p>
          <w:p w14:paraId="2087F937">
            <w:pPr>
              <w:adjustRightInd w:val="0"/>
              <w:snapToGrid w:val="0"/>
              <w:jc w:val="left"/>
              <w:rPr>
                <w:rFonts w:ascii="宋体" w:hAnsi="宋体"/>
                <w:color w:val="auto"/>
                <w:szCs w:val="21"/>
                <w:highlight w:val="none"/>
              </w:rPr>
            </w:pPr>
            <w:r>
              <w:rPr>
                <w:rFonts w:hint="eastAsia" w:ascii="宋体" w:hAnsi="宋体"/>
                <w:color w:val="auto"/>
                <w:szCs w:val="21"/>
                <w:highlight w:val="none"/>
              </w:rPr>
              <w:t>响应时间</w:t>
            </w:r>
          </w:p>
        </w:tc>
        <w:tc>
          <w:tcPr>
            <w:tcW w:w="5170" w:type="dxa"/>
            <w:vAlign w:val="center"/>
          </w:tcPr>
          <w:p w14:paraId="6A206785">
            <w:pPr>
              <w:adjustRightInd w:val="0"/>
              <w:snapToGrid w:val="0"/>
              <w:jc w:val="left"/>
              <w:rPr>
                <w:rFonts w:ascii="宋体" w:hAnsi="宋体"/>
                <w:color w:val="auto"/>
                <w:szCs w:val="21"/>
                <w:highlight w:val="none"/>
              </w:rPr>
            </w:pPr>
          </w:p>
        </w:tc>
      </w:tr>
      <w:tr w14:paraId="0F72EC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2F454AF">
            <w:pPr>
              <w:snapToGrid w:val="0"/>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第二节</w:t>
            </w:r>
          </w:p>
          <w:p w14:paraId="4475089C">
            <w:pPr>
              <w:pStyle w:val="62"/>
              <w:ind w:firstLine="0" w:firstLineChars="0"/>
              <w:jc w:val="center"/>
              <w:rPr>
                <w:rFonts w:hint="default"/>
                <w:color w:val="auto"/>
                <w:highlight w:val="none"/>
                <w:lang w:val="en-US" w:eastAsia="zh-CN"/>
              </w:rPr>
            </w:pPr>
            <w:r>
              <w:rPr>
                <w:rFonts w:hint="eastAsia" w:ascii="宋体" w:hAnsi="宋体" w:eastAsia="宋体" w:cs="宋体"/>
                <w:color w:val="auto"/>
                <w:szCs w:val="21"/>
                <w:highlight w:val="none"/>
                <w:lang w:val="en-US" w:eastAsia="zh-CN"/>
              </w:rPr>
              <w:t>第11.1款</w:t>
            </w:r>
          </w:p>
        </w:tc>
        <w:tc>
          <w:tcPr>
            <w:tcW w:w="1742" w:type="dxa"/>
            <w:vAlign w:val="center"/>
          </w:tcPr>
          <w:p w14:paraId="45243CCE">
            <w:pPr>
              <w:adjustRightInd w:val="0"/>
              <w:snapToGrid w:val="0"/>
              <w:jc w:val="both"/>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其他应当保密的信息</w:t>
            </w:r>
          </w:p>
        </w:tc>
        <w:tc>
          <w:tcPr>
            <w:tcW w:w="5170" w:type="dxa"/>
            <w:vAlign w:val="center"/>
          </w:tcPr>
          <w:p w14:paraId="7E942341">
            <w:pPr>
              <w:adjustRightInd w:val="0"/>
              <w:snapToGrid w:val="0"/>
              <w:jc w:val="left"/>
              <w:rPr>
                <w:rFonts w:ascii="宋体" w:hAnsi="宋体"/>
                <w:color w:val="auto"/>
                <w:szCs w:val="21"/>
                <w:highlight w:val="none"/>
              </w:rPr>
            </w:pPr>
          </w:p>
        </w:tc>
      </w:tr>
      <w:tr w14:paraId="461099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1F5A30E">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CF983BD">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2</w:t>
            </w:r>
            <w:r>
              <w:rPr>
                <w:rFonts w:hint="eastAsia" w:ascii="宋体" w:hAnsi="宋体"/>
                <w:color w:val="auto"/>
                <w:szCs w:val="21"/>
                <w:highlight w:val="none"/>
              </w:rPr>
              <w:t>.2款</w:t>
            </w:r>
          </w:p>
        </w:tc>
        <w:tc>
          <w:tcPr>
            <w:tcW w:w="1742" w:type="dxa"/>
            <w:vAlign w:val="center"/>
          </w:tcPr>
          <w:p w14:paraId="223E1098">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rPr>
              <w:t>合同价款支付</w:t>
            </w:r>
            <w:r>
              <w:rPr>
                <w:rFonts w:hint="eastAsia" w:ascii="宋体" w:hAnsi="宋体"/>
                <w:color w:val="auto"/>
                <w:szCs w:val="21"/>
                <w:highlight w:val="none"/>
                <w:lang w:eastAsia="zh-CN"/>
              </w:rPr>
              <w:t>时间</w:t>
            </w:r>
          </w:p>
        </w:tc>
        <w:tc>
          <w:tcPr>
            <w:tcW w:w="5170" w:type="dxa"/>
            <w:vAlign w:val="center"/>
          </w:tcPr>
          <w:p w14:paraId="5B7B6E90">
            <w:pPr>
              <w:adjustRightInd w:val="0"/>
              <w:snapToGrid w:val="0"/>
              <w:jc w:val="left"/>
              <w:rPr>
                <w:rFonts w:ascii="宋体" w:hAnsi="宋体"/>
                <w:color w:val="auto"/>
                <w:szCs w:val="21"/>
                <w:highlight w:val="none"/>
              </w:rPr>
            </w:pPr>
          </w:p>
        </w:tc>
      </w:tr>
      <w:tr w14:paraId="571081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4234491">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第二节</w:t>
            </w:r>
          </w:p>
          <w:p w14:paraId="289F543A">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13.2</w:t>
            </w:r>
            <w:r>
              <w:rPr>
                <w:rFonts w:hint="eastAsia" w:ascii="宋体" w:hAnsi="宋体"/>
                <w:color w:val="auto"/>
                <w:szCs w:val="21"/>
                <w:highlight w:val="none"/>
              </w:rPr>
              <w:t>款</w:t>
            </w:r>
          </w:p>
        </w:tc>
        <w:tc>
          <w:tcPr>
            <w:tcW w:w="1742" w:type="dxa"/>
            <w:vAlign w:val="center"/>
          </w:tcPr>
          <w:p w14:paraId="3EEAA307">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履约保证金不予退还的情形</w:t>
            </w:r>
          </w:p>
        </w:tc>
        <w:tc>
          <w:tcPr>
            <w:tcW w:w="5170" w:type="dxa"/>
            <w:vAlign w:val="center"/>
          </w:tcPr>
          <w:p w14:paraId="07DC42A4">
            <w:pPr>
              <w:adjustRightInd w:val="0"/>
              <w:snapToGrid w:val="0"/>
              <w:jc w:val="left"/>
              <w:rPr>
                <w:rFonts w:ascii="宋体" w:hAnsi="宋体"/>
                <w:color w:val="auto"/>
                <w:szCs w:val="21"/>
                <w:highlight w:val="none"/>
              </w:rPr>
            </w:pPr>
          </w:p>
        </w:tc>
      </w:tr>
      <w:tr w14:paraId="4C4FDE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FDE1C90">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第二节</w:t>
            </w:r>
          </w:p>
          <w:p w14:paraId="4863817A">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13.3</w:t>
            </w:r>
            <w:r>
              <w:rPr>
                <w:rFonts w:hint="eastAsia" w:ascii="宋体" w:hAnsi="宋体"/>
                <w:color w:val="auto"/>
                <w:szCs w:val="21"/>
                <w:highlight w:val="none"/>
              </w:rPr>
              <w:t>款</w:t>
            </w:r>
          </w:p>
        </w:tc>
        <w:tc>
          <w:tcPr>
            <w:tcW w:w="1742" w:type="dxa"/>
            <w:vAlign w:val="center"/>
          </w:tcPr>
          <w:p w14:paraId="3C392CBF">
            <w:pPr>
              <w:adjustRightInd w:val="0"/>
              <w:snapToGrid w:val="0"/>
              <w:jc w:val="left"/>
              <w:rPr>
                <w:rFonts w:ascii="宋体" w:hAnsi="宋体"/>
                <w:color w:val="auto"/>
                <w:szCs w:val="21"/>
                <w:highlight w:val="none"/>
              </w:rPr>
            </w:pPr>
            <w:r>
              <w:rPr>
                <w:rFonts w:hint="eastAsia" w:ascii="宋体" w:hAnsi="宋体"/>
                <w:color w:val="auto"/>
                <w:szCs w:val="21"/>
                <w:highlight w:val="none"/>
              </w:rPr>
              <w:t>履约保证金退还时间及</w:t>
            </w:r>
            <w:r>
              <w:rPr>
                <w:rFonts w:hint="eastAsia" w:ascii="宋体" w:hAnsi="宋体"/>
                <w:color w:val="auto"/>
                <w:szCs w:val="21"/>
                <w:highlight w:val="none"/>
                <w:lang w:eastAsia="zh-CN"/>
              </w:rPr>
              <w:t>逾期退还的</w:t>
            </w:r>
            <w:r>
              <w:rPr>
                <w:rFonts w:hint="eastAsia" w:ascii="宋体" w:hAnsi="宋体"/>
                <w:color w:val="auto"/>
                <w:szCs w:val="21"/>
                <w:highlight w:val="none"/>
              </w:rPr>
              <w:t>违约金</w:t>
            </w:r>
          </w:p>
        </w:tc>
        <w:tc>
          <w:tcPr>
            <w:tcW w:w="5170" w:type="dxa"/>
            <w:vAlign w:val="center"/>
          </w:tcPr>
          <w:p w14:paraId="1AAAD6F4">
            <w:pPr>
              <w:adjustRightInd w:val="0"/>
              <w:snapToGrid w:val="0"/>
              <w:jc w:val="left"/>
              <w:rPr>
                <w:rFonts w:ascii="宋体" w:hAnsi="宋体"/>
                <w:color w:val="auto"/>
                <w:szCs w:val="21"/>
                <w:highlight w:val="none"/>
              </w:rPr>
            </w:pPr>
          </w:p>
        </w:tc>
      </w:tr>
      <w:tr w14:paraId="4DC0B9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3D6C61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5910F38">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3</w:t>
            </w:r>
            <w:r>
              <w:rPr>
                <w:rFonts w:hint="eastAsia" w:ascii="宋体" w:hAnsi="宋体"/>
                <w:color w:val="auto"/>
                <w:szCs w:val="21"/>
                <w:highlight w:val="none"/>
              </w:rPr>
              <w:t>）项</w:t>
            </w:r>
          </w:p>
        </w:tc>
        <w:tc>
          <w:tcPr>
            <w:tcW w:w="1742" w:type="dxa"/>
            <w:vAlign w:val="center"/>
          </w:tcPr>
          <w:p w14:paraId="51DC7DFC">
            <w:pPr>
              <w:adjustRightInd w:val="0"/>
              <w:snapToGrid w:val="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运行监督、维修期限</w:t>
            </w:r>
          </w:p>
        </w:tc>
        <w:tc>
          <w:tcPr>
            <w:tcW w:w="5170" w:type="dxa"/>
            <w:vAlign w:val="center"/>
          </w:tcPr>
          <w:p w14:paraId="281FCF31">
            <w:pPr>
              <w:adjustRightInd w:val="0"/>
              <w:snapToGrid w:val="0"/>
              <w:jc w:val="left"/>
              <w:rPr>
                <w:rFonts w:ascii="宋体" w:hAnsi="宋体"/>
                <w:color w:val="auto"/>
                <w:szCs w:val="21"/>
                <w:highlight w:val="none"/>
              </w:rPr>
            </w:pPr>
          </w:p>
        </w:tc>
      </w:tr>
      <w:tr w14:paraId="1793EA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CD8E203">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503EF8B">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5</w:t>
            </w:r>
            <w:r>
              <w:rPr>
                <w:rFonts w:hint="eastAsia" w:ascii="宋体" w:hAnsi="宋体"/>
                <w:color w:val="auto"/>
                <w:szCs w:val="21"/>
                <w:highlight w:val="none"/>
              </w:rPr>
              <w:t>）项</w:t>
            </w:r>
          </w:p>
        </w:tc>
        <w:tc>
          <w:tcPr>
            <w:tcW w:w="1742" w:type="dxa"/>
            <w:vAlign w:val="center"/>
          </w:tcPr>
          <w:p w14:paraId="12952776">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货物回收的约定</w:t>
            </w:r>
          </w:p>
        </w:tc>
        <w:tc>
          <w:tcPr>
            <w:tcW w:w="5170" w:type="dxa"/>
            <w:vAlign w:val="center"/>
          </w:tcPr>
          <w:p w14:paraId="4264BD4E">
            <w:pPr>
              <w:adjustRightInd w:val="0"/>
              <w:snapToGrid w:val="0"/>
              <w:jc w:val="left"/>
              <w:rPr>
                <w:rFonts w:ascii="宋体" w:hAnsi="宋体"/>
                <w:color w:val="auto"/>
                <w:szCs w:val="21"/>
                <w:highlight w:val="none"/>
              </w:rPr>
            </w:pPr>
          </w:p>
        </w:tc>
      </w:tr>
      <w:tr w14:paraId="00314C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2A3469">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36D836F">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742" w:type="dxa"/>
            <w:vAlign w:val="center"/>
          </w:tcPr>
          <w:p w14:paraId="397467BE">
            <w:pPr>
              <w:adjustRightInd w:val="0"/>
              <w:snapToGrid w:val="0"/>
              <w:jc w:val="left"/>
              <w:rPr>
                <w:rFonts w:ascii="宋体" w:hAnsi="宋体"/>
                <w:color w:val="auto"/>
                <w:szCs w:val="21"/>
                <w:highlight w:val="none"/>
              </w:rPr>
            </w:pPr>
            <w:r>
              <w:rPr>
                <w:rFonts w:hint="eastAsia" w:ascii="宋体" w:hAnsi="宋体"/>
                <w:color w:val="auto"/>
                <w:szCs w:val="21"/>
                <w:highlight w:val="none"/>
              </w:rPr>
              <w:t>乙方提供的其他服务</w:t>
            </w:r>
          </w:p>
        </w:tc>
        <w:tc>
          <w:tcPr>
            <w:tcW w:w="5170" w:type="dxa"/>
            <w:vAlign w:val="center"/>
          </w:tcPr>
          <w:p w14:paraId="6570B48E">
            <w:pPr>
              <w:adjustRightInd w:val="0"/>
              <w:snapToGrid w:val="0"/>
              <w:jc w:val="left"/>
              <w:rPr>
                <w:rFonts w:ascii="宋体" w:hAnsi="宋体"/>
                <w:color w:val="auto"/>
                <w:szCs w:val="21"/>
                <w:highlight w:val="none"/>
              </w:rPr>
            </w:pPr>
          </w:p>
        </w:tc>
      </w:tr>
      <w:tr w14:paraId="4D781C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846E4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82B0FA5">
            <w:pPr>
              <w:adjustRightInd w:val="0"/>
              <w:snapToGrid w:val="0"/>
              <w:jc w:val="center"/>
              <w:rPr>
                <w:rFonts w:hint="default" w:ascii="宋体" w:hAnsi="宋体" w:eastAsia="宋体"/>
                <w:color w:val="auto"/>
                <w:szCs w:val="21"/>
                <w:highlight w:val="none"/>
                <w:lang w:val="en-US" w:eastAsia="zh-CN"/>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1款</w:t>
            </w:r>
          </w:p>
        </w:tc>
        <w:tc>
          <w:tcPr>
            <w:tcW w:w="1742" w:type="dxa"/>
            <w:vAlign w:val="center"/>
          </w:tcPr>
          <w:p w14:paraId="12E24278">
            <w:pPr>
              <w:adjustRightInd w:val="0"/>
              <w:snapToGrid w:val="0"/>
              <w:jc w:val="left"/>
              <w:rPr>
                <w:rFonts w:hint="eastAsia" w:ascii="宋体" w:hAnsi="宋体"/>
                <w:color w:val="auto"/>
                <w:szCs w:val="21"/>
                <w:highlight w:val="none"/>
              </w:rPr>
            </w:pPr>
            <w:r>
              <w:rPr>
                <w:rFonts w:hint="eastAsia" w:ascii="宋体" w:hAnsi="宋体"/>
                <w:color w:val="auto"/>
                <w:szCs w:val="21"/>
                <w:highlight w:val="none"/>
                <w:lang w:eastAsia="zh-CN"/>
              </w:rPr>
              <w:t>修理、重作、更换相关具体规定</w:t>
            </w:r>
          </w:p>
        </w:tc>
        <w:tc>
          <w:tcPr>
            <w:tcW w:w="5170" w:type="dxa"/>
            <w:vAlign w:val="center"/>
          </w:tcPr>
          <w:p w14:paraId="2B1E336B">
            <w:pPr>
              <w:adjustRightInd w:val="0"/>
              <w:snapToGrid w:val="0"/>
              <w:jc w:val="left"/>
              <w:rPr>
                <w:rFonts w:ascii="宋体" w:hAnsi="宋体"/>
                <w:color w:val="auto"/>
                <w:szCs w:val="21"/>
                <w:highlight w:val="none"/>
              </w:rPr>
            </w:pPr>
          </w:p>
        </w:tc>
      </w:tr>
      <w:tr w14:paraId="1D551F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1868822">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0649AB6">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.2（2）项</w:t>
            </w:r>
          </w:p>
        </w:tc>
        <w:tc>
          <w:tcPr>
            <w:tcW w:w="1742" w:type="dxa"/>
            <w:vAlign w:val="center"/>
          </w:tcPr>
          <w:p w14:paraId="695EF5E6">
            <w:pPr>
              <w:adjustRightInd w:val="0"/>
              <w:snapToGrid w:val="0"/>
              <w:jc w:val="left"/>
              <w:rPr>
                <w:rFonts w:ascii="宋体" w:hAnsi="宋体"/>
                <w:color w:val="auto"/>
                <w:szCs w:val="21"/>
                <w:highlight w:val="none"/>
              </w:rPr>
            </w:pPr>
            <w:r>
              <w:rPr>
                <w:rFonts w:hint="eastAsia" w:ascii="宋体" w:hAnsi="宋体"/>
                <w:color w:val="auto"/>
                <w:szCs w:val="21"/>
                <w:highlight w:val="none"/>
              </w:rPr>
              <w:t>迟延交货赔偿费</w:t>
            </w:r>
          </w:p>
        </w:tc>
        <w:tc>
          <w:tcPr>
            <w:tcW w:w="5170" w:type="dxa"/>
            <w:vAlign w:val="center"/>
          </w:tcPr>
          <w:p w14:paraId="13544625">
            <w:pPr>
              <w:adjustRightInd w:val="0"/>
              <w:snapToGrid w:val="0"/>
              <w:jc w:val="left"/>
              <w:rPr>
                <w:rFonts w:ascii="宋体" w:hAnsi="宋体"/>
                <w:color w:val="auto"/>
                <w:szCs w:val="21"/>
                <w:highlight w:val="none"/>
                <w:u w:val="single"/>
              </w:rPr>
            </w:pPr>
          </w:p>
        </w:tc>
      </w:tr>
      <w:tr w14:paraId="519DBB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FC62ED">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D0C17BD">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3款</w:t>
            </w:r>
          </w:p>
        </w:tc>
        <w:tc>
          <w:tcPr>
            <w:tcW w:w="1742" w:type="dxa"/>
            <w:vAlign w:val="center"/>
          </w:tcPr>
          <w:p w14:paraId="043B7FD6">
            <w:pPr>
              <w:adjustRightInd w:val="0"/>
              <w:snapToGrid w:val="0"/>
              <w:jc w:val="left"/>
              <w:rPr>
                <w:rFonts w:hint="eastAsia" w:ascii="宋体" w:hAnsi="宋体"/>
                <w:color w:val="auto"/>
                <w:szCs w:val="21"/>
                <w:highlight w:val="none"/>
              </w:rPr>
            </w:pPr>
            <w:r>
              <w:rPr>
                <w:rFonts w:hint="eastAsia" w:ascii="宋体" w:hAnsi="宋体"/>
                <w:color w:val="auto"/>
                <w:szCs w:val="21"/>
                <w:highlight w:val="none"/>
              </w:rPr>
              <w:t>逾期付款利息</w:t>
            </w:r>
          </w:p>
        </w:tc>
        <w:tc>
          <w:tcPr>
            <w:tcW w:w="5170" w:type="dxa"/>
            <w:vAlign w:val="center"/>
          </w:tcPr>
          <w:p w14:paraId="41942E3F">
            <w:pPr>
              <w:adjustRightInd w:val="0"/>
              <w:snapToGrid w:val="0"/>
              <w:jc w:val="left"/>
              <w:rPr>
                <w:rFonts w:ascii="宋体" w:hAnsi="宋体"/>
                <w:color w:val="auto"/>
                <w:szCs w:val="21"/>
                <w:highlight w:val="none"/>
                <w:u w:val="single"/>
              </w:rPr>
            </w:pPr>
          </w:p>
        </w:tc>
      </w:tr>
      <w:tr w14:paraId="2D3A1E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4398FDA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B5E6CF0">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.4</w:t>
            </w:r>
            <w:r>
              <w:rPr>
                <w:rFonts w:hint="eastAsia" w:ascii="宋体" w:hAnsi="宋体"/>
                <w:color w:val="auto"/>
                <w:szCs w:val="21"/>
                <w:highlight w:val="none"/>
                <w:lang w:val="en-US" w:eastAsia="zh-CN"/>
              </w:rPr>
              <w:t>款</w:t>
            </w:r>
          </w:p>
        </w:tc>
        <w:tc>
          <w:tcPr>
            <w:tcW w:w="1742" w:type="dxa"/>
            <w:tcBorders>
              <w:left w:val="single" w:color="auto" w:sz="2" w:space="0"/>
              <w:bottom w:val="single" w:color="auto" w:sz="2" w:space="0"/>
              <w:right w:val="single" w:color="auto" w:sz="2" w:space="0"/>
            </w:tcBorders>
            <w:vAlign w:val="center"/>
          </w:tcPr>
          <w:p w14:paraId="79794EC7">
            <w:pPr>
              <w:adjustRightInd w:val="0"/>
              <w:snapToGrid w:val="0"/>
              <w:jc w:val="left"/>
              <w:rPr>
                <w:rFonts w:ascii="宋体" w:hAnsi="宋体"/>
                <w:color w:val="auto"/>
                <w:szCs w:val="21"/>
                <w:highlight w:val="none"/>
              </w:rPr>
            </w:pPr>
            <w:r>
              <w:rPr>
                <w:rFonts w:hint="eastAsia" w:ascii="宋体" w:hAnsi="宋体"/>
                <w:color w:val="auto"/>
                <w:szCs w:val="21"/>
                <w:highlight w:val="none"/>
              </w:rPr>
              <w:t>其他违约责任</w:t>
            </w:r>
          </w:p>
        </w:tc>
        <w:tc>
          <w:tcPr>
            <w:tcW w:w="5170" w:type="dxa"/>
            <w:tcBorders>
              <w:left w:val="single" w:color="auto" w:sz="2" w:space="0"/>
              <w:bottom w:val="single" w:color="auto" w:sz="2" w:space="0"/>
            </w:tcBorders>
            <w:vAlign w:val="center"/>
          </w:tcPr>
          <w:p w14:paraId="204C07EE">
            <w:pPr>
              <w:adjustRightInd w:val="0"/>
              <w:snapToGrid w:val="0"/>
              <w:jc w:val="left"/>
              <w:rPr>
                <w:rFonts w:ascii="宋体" w:hAnsi="宋体"/>
                <w:color w:val="auto"/>
                <w:szCs w:val="21"/>
                <w:highlight w:val="none"/>
                <w:u w:val="single"/>
              </w:rPr>
            </w:pPr>
          </w:p>
        </w:tc>
      </w:tr>
      <w:tr w14:paraId="7120DE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634ECEB7">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13DF0A4">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19</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742" w:type="dxa"/>
            <w:tcBorders>
              <w:top w:val="single" w:color="auto" w:sz="2" w:space="0"/>
              <w:left w:val="single" w:color="auto" w:sz="2" w:space="0"/>
              <w:right w:val="single" w:color="auto" w:sz="2" w:space="0"/>
            </w:tcBorders>
            <w:vAlign w:val="center"/>
          </w:tcPr>
          <w:p w14:paraId="7FC1700E">
            <w:pPr>
              <w:adjustRightInd w:val="0"/>
              <w:snapToGrid w:val="0"/>
              <w:jc w:val="left"/>
              <w:rPr>
                <w:rFonts w:ascii="宋体" w:hAnsi="宋体"/>
                <w:color w:val="auto"/>
                <w:szCs w:val="21"/>
                <w:highlight w:val="none"/>
              </w:rPr>
            </w:pPr>
            <w:r>
              <w:rPr>
                <w:rFonts w:hint="eastAsia" w:ascii="宋体" w:hAnsi="宋体"/>
                <w:color w:val="auto"/>
                <w:szCs w:val="21"/>
                <w:highlight w:val="none"/>
                <w:lang w:val="en-US" w:eastAsia="zh-CN"/>
              </w:rPr>
              <w:t>解决争议的方法</w:t>
            </w:r>
          </w:p>
        </w:tc>
        <w:tc>
          <w:tcPr>
            <w:tcW w:w="5170" w:type="dxa"/>
            <w:tcBorders>
              <w:top w:val="single" w:color="auto" w:sz="2" w:space="0"/>
              <w:left w:val="single" w:color="auto" w:sz="2" w:space="0"/>
            </w:tcBorders>
            <w:vAlign w:val="center"/>
          </w:tcPr>
          <w:p w14:paraId="5DE47AEE">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因本合同及合同有关事项发生的争议，按下列第</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种方式解决：</w:t>
            </w:r>
          </w:p>
          <w:p w14:paraId="5EFA4CE3">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（1）向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仲裁委员会申请仲裁，仲裁地点为</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w:t>
            </w:r>
          </w:p>
          <w:p w14:paraId="608A1C9E">
            <w:pPr>
              <w:adjustRightInd w:val="0"/>
              <w:snapToGrid w:val="0"/>
              <w:ind w:firstLine="0" w:firstLineChars="0"/>
              <w:jc w:val="left"/>
              <w:rPr>
                <w:rFonts w:ascii="宋体" w:hAnsi="宋体"/>
                <w:color w:val="auto"/>
                <w:szCs w:val="21"/>
                <w:highlight w:val="none"/>
                <w:u w:val="single"/>
              </w:rPr>
            </w:pPr>
            <w:r>
              <w:rPr>
                <w:rFonts w:hint="eastAsia" w:ascii="宋体" w:hAnsi="宋体" w:eastAsia="宋体" w:cs="宋体"/>
                <w:b w:val="0"/>
                <w:bCs w:val="0"/>
                <w:iCs/>
                <w:color w:val="auto"/>
                <w:szCs w:val="21"/>
                <w:highlight w:val="none"/>
              </w:rPr>
              <w:t>（2）向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人民法院起诉。</w:t>
            </w:r>
          </w:p>
        </w:tc>
      </w:tr>
      <w:tr w14:paraId="342006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79AFA6B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BB54B15">
            <w:pPr>
              <w:adjustRightInd w:val="0"/>
              <w:snapToGrid w:val="0"/>
              <w:jc w:val="center"/>
              <w:rPr>
                <w:rFonts w:ascii="宋体" w:hAnsi="宋体"/>
                <w:color w:val="auto"/>
                <w:szCs w:val="21"/>
                <w:highlight w:val="none"/>
              </w:rPr>
            </w:pPr>
            <w:r>
              <w:rPr>
                <w:rFonts w:hint="eastAsia" w:ascii="宋体" w:hAnsi="宋体"/>
                <w:color w:val="auto"/>
                <w:szCs w:val="21"/>
                <w:highlight w:val="none"/>
              </w:rPr>
              <w:t>第2</w:t>
            </w:r>
            <w:r>
              <w:rPr>
                <w:rFonts w:hint="eastAsia" w:ascii="宋体" w:hAnsi="宋体"/>
                <w:color w:val="auto"/>
                <w:szCs w:val="21"/>
                <w:highlight w:val="none"/>
                <w:lang w:val="en-US" w:eastAsia="zh-CN"/>
              </w:rPr>
              <w:t>3.1</w:t>
            </w:r>
            <w:r>
              <w:rPr>
                <w:rFonts w:hint="eastAsia" w:ascii="宋体" w:hAnsi="宋体"/>
                <w:color w:val="auto"/>
                <w:szCs w:val="21"/>
                <w:highlight w:val="none"/>
                <w:lang w:eastAsia="zh-CN"/>
              </w:rPr>
              <w:t>款</w:t>
            </w:r>
          </w:p>
        </w:tc>
        <w:tc>
          <w:tcPr>
            <w:tcW w:w="1742" w:type="dxa"/>
            <w:vAlign w:val="center"/>
          </w:tcPr>
          <w:p w14:paraId="52030527">
            <w:pPr>
              <w:adjustRightInd w:val="0"/>
              <w:snapToGrid w:val="0"/>
              <w:jc w:val="left"/>
              <w:rPr>
                <w:rFonts w:ascii="宋体" w:hAnsi="宋体"/>
                <w:color w:val="auto"/>
                <w:szCs w:val="21"/>
                <w:highlight w:val="none"/>
              </w:rPr>
            </w:pPr>
            <w:r>
              <w:rPr>
                <w:rFonts w:hint="eastAsia" w:ascii="宋体" w:hAnsi="宋体"/>
                <w:bCs/>
                <w:color w:val="auto"/>
                <w:szCs w:val="21"/>
                <w:highlight w:val="none"/>
                <w:lang w:eastAsia="zh-CN"/>
              </w:rPr>
              <w:t>其他专用条款</w:t>
            </w:r>
          </w:p>
        </w:tc>
        <w:tc>
          <w:tcPr>
            <w:tcW w:w="5170" w:type="dxa"/>
            <w:vAlign w:val="center"/>
          </w:tcPr>
          <w:p w14:paraId="53930E2D">
            <w:pPr>
              <w:adjustRightInd w:val="0"/>
              <w:snapToGrid w:val="0"/>
              <w:jc w:val="left"/>
              <w:rPr>
                <w:rFonts w:hint="default" w:ascii="宋体" w:hAnsi="宋体" w:eastAsia="宋体"/>
                <w:color w:val="auto"/>
                <w:szCs w:val="21"/>
                <w:highlight w:val="none"/>
                <w:lang w:val="en-US" w:eastAsia="zh-CN"/>
              </w:rPr>
            </w:pPr>
          </w:p>
        </w:tc>
      </w:tr>
    </w:tbl>
    <w:p w14:paraId="0F3E2654">
      <w:pPr>
        <w:rPr>
          <w:color w:val="auto"/>
          <w:highlight w:val="none"/>
        </w:rPr>
      </w:pPr>
    </w:p>
    <w:p w14:paraId="1D39F188">
      <w:pPr>
        <w:rPr>
          <w:color w:val="auto"/>
          <w:highlight w:val="none"/>
        </w:rPr>
      </w:pPr>
    </w:p>
    <w:p w14:paraId="7E28A304">
      <w:pPr>
        <w:rPr>
          <w:rFonts w:hint="eastAsia" w:ascii="宋体" w:hAnsi="宋体" w:eastAsia="宋体" w:cs="宋体"/>
          <w:color w:val="auto"/>
          <w:sz w:val="24"/>
          <w:szCs w:val="24"/>
          <w:highlight w:val="none"/>
        </w:rPr>
      </w:pPr>
    </w:p>
    <w:sectPr>
      <w:footerReference r:id="rId8" w:type="default"/>
      <w:pgSz w:w="11906" w:h="16838"/>
      <w:pgMar w:top="1440" w:right="1797" w:bottom="1440" w:left="1797"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80"/>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8867A49-1456-4308-BCD9-D575088EB3A5}"/>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1BE1FF1F-CAD1-4D33-911B-CE30510CC96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F03E9E45-09BA-4115-853C-9C91E04B504F}"/>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embedRegular r:id="rId4" w:fontKey="{D2F69A3D-81E4-4553-9503-435FA89008C0}"/>
  </w:font>
  <w:font w:name="Arail">
    <w:altName w:val="Courier New"/>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embedRegular r:id="rId5" w:fontKey="{9E7B00A5-B858-4BBE-8850-105A77F51225}"/>
  </w:font>
  <w:font w:name="MS Sans Serif">
    <w:altName w:val="Arial"/>
    <w:panose1 w:val="00000000000000000000"/>
    <w:charset w:val="00"/>
    <w:family w:val="auto"/>
    <w:pitch w:val="default"/>
    <w:sig w:usb0="00000000" w:usb1="00000000" w:usb2="00000000" w:usb3="00000000" w:csb0="FFFFFFFF" w:csb1="00000000"/>
  </w:font>
  <w:font w:name="Verdana">
    <w:panose1 w:val="020B0604030504040204"/>
    <w:charset w:val="00"/>
    <w:family w:val="swiss"/>
    <w:pitch w:val="default"/>
    <w:sig w:usb0="A00006FF" w:usb1="4000205B" w:usb2="00000010" w:usb3="00000000" w:csb0="2000019F" w:csb1="00000000"/>
  </w:font>
  <w:font w:name="长城仿宋">
    <w:altName w:val="黑体"/>
    <w:panose1 w:val="00000000000000000000"/>
    <w:charset w:val="86"/>
    <w:family w:val="modern"/>
    <w:pitch w:val="default"/>
    <w:sig w:usb0="00000000" w:usb1="00000000" w:usb2="0000001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embedRegular r:id="rId6" w:fontKey="{6E157788-DA3B-45AD-B7F0-307D9EDF3BF4}"/>
  </w:font>
  <w:font w:name="仿宋">
    <w:panose1 w:val="02010609060101010101"/>
    <w:charset w:val="86"/>
    <w:family w:val="auto"/>
    <w:pitch w:val="default"/>
    <w:sig w:usb0="800002BF" w:usb1="38CF7CFA" w:usb2="00000016" w:usb3="00000000" w:csb0="00040001" w:csb1="00000000"/>
    <w:embedRegular r:id="rId7" w:fontKey="{7C59E0CF-81C3-4B85-96DC-3B52C44EF2FC}"/>
  </w:font>
  <w:font w:name="华文中宋">
    <w:panose1 w:val="02010600040101010101"/>
    <w:charset w:val="86"/>
    <w:family w:val="auto"/>
    <w:pitch w:val="default"/>
    <w:sig w:usb0="00000287" w:usb1="080F0000" w:usb2="00000000" w:usb3="00000000" w:csb0="0004009F" w:csb1="DFD70000"/>
    <w:embedRegular r:id="rId8" w:fontKey="{E67C8E70-189C-41E4-BB30-ECBA7856E623}"/>
  </w:font>
  <w:font w:name="汉仪书宋二S">
    <w:altName w:val="宋体"/>
    <w:panose1 w:val="00000000000000000000"/>
    <w:charset w:val="00"/>
    <w:family w:val="auto"/>
    <w:pitch w:val="default"/>
    <w:sig w:usb0="00000000" w:usb1="00000000" w:usb2="00000000" w:usb3="00000000" w:csb0="00000000" w:csb1="00000000"/>
    <w:embedRegular r:id="rId9" w:fontKey="{4C6D6BAD-C1CF-4247-95C5-C996CBCB6B0D}"/>
  </w:font>
  <w:font w:name="WPSEMBED7">
    <w:panose1 w:val="02010609030101010101"/>
    <w:charset w:val="86"/>
    <w:family w:val="auto"/>
    <w:pitch w:val="default"/>
    <w:sig w:usb0="00000001" w:usb1="080E0000" w:usb2="00000000" w:usb3="00000000" w:csb0="00040000" w:csb1="00000000"/>
  </w:font>
  <w:font w:name="WPSEMBED8">
    <w:panose1 w:val="02010600040101010101"/>
    <w:charset w:val="86"/>
    <w:family w:val="auto"/>
    <w:pitch w:val="default"/>
    <w:sig w:usb0="00000287" w:usb1="080F0000" w:usb2="00000000" w:usb3="00000000" w:csb0="0004009F" w:csb1="DFD70000"/>
  </w:font>
  <w:font w:name="WPSEMBED9">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628D1">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4DAC3">
    <w:pPr>
      <w:pStyle w:val="3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BC4049">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CBC4049">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58756">
    <w:pPr>
      <w:pStyle w:val="3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376E61">
                          <w:pPr>
                            <w:pStyle w:val="31"/>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3376E61">
                    <w:pPr>
                      <w:pStyle w:val="31"/>
                    </w:pPr>
                    <w:r>
                      <w:fldChar w:fldCharType="begin"/>
                    </w:r>
                    <w:r>
                      <w:instrText xml:space="preserve"> PAGE  \* MERGEFORMAT </w:instrText>
                    </w:r>
                    <w:r>
                      <w:fldChar w:fldCharType="separate"/>
                    </w:r>
                    <w:r>
                      <w:t>67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219DD">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6F520">
    <w:pPr>
      <w:pStyle w:val="32"/>
      <w:pBdr>
        <w:bottom w:val="none" w:color="auto" w:sz="0" w:space="0"/>
      </w:pBdr>
      <w:jc w:val="right"/>
    </w:pPr>
    <w:r>
      <w:rPr>
        <w:rFonts w:hint="eastAsia"/>
      </w:rPr>
      <w:t xml:space="preserve"> </w:t>
    </w:r>
    <w:r>
      <w:t xml:space="preserve">   </w:t>
    </w:r>
    <w:r>
      <w:drawing>
        <wp:anchor distT="0" distB="0" distL="114300" distR="114300" simplePos="0" relativeHeight="251660288" behindDoc="0" locked="0" layoutInCell="1" allowOverlap="1">
          <wp:simplePos x="0" y="0"/>
          <wp:positionH relativeFrom="margin">
            <wp:posOffset>-657225</wp:posOffset>
          </wp:positionH>
          <wp:positionV relativeFrom="margin">
            <wp:posOffset>-333375</wp:posOffset>
          </wp:positionV>
          <wp:extent cx="3009900" cy="28575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009900" cy="285750"/>
                  </a:xfrm>
                  <a:prstGeom prst="rect">
                    <a:avLst/>
                  </a:prstGeom>
                  <a:noFill/>
                  <a:ln>
                    <a:noFill/>
                  </a:ln>
                </pic:spPr>
              </pic:pic>
            </a:graphicData>
          </a:graphic>
        </wp:anchor>
      </w:drawing>
    </w:r>
    <w:r>
      <w:rPr>
        <w:rFonts w:hint="eastAsia"/>
        <w:sz w:val="24"/>
        <w:szCs w:val="24"/>
      </w:rPr>
      <w:t>采购文件</w:t>
    </w:r>
  </w:p>
  <w:p w14:paraId="7777114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C0D65">
    <w:pPr>
      <w:pStyle w:val="32"/>
      <w:pBdr>
        <w:bottom w:val="double" w:color="auto" w:sz="8" w:space="1"/>
      </w:pBdr>
      <w:tabs>
        <w:tab w:val="left" w:pos="8190"/>
        <w:tab w:val="clear" w:pos="8306"/>
      </w:tabs>
      <w:ind w:left="-420" w:leftChars="-200" w:right="-313" w:rightChars="-149" w:firstLine="0" w:firstLineChars="0"/>
      <w:jc w:val="left"/>
      <w:rPr>
        <w:rFonts w:hint="default"/>
        <w:sz w:val="18"/>
        <w:szCs w:val="18"/>
        <w:lang w:val="en-US"/>
      </w:rPr>
    </w:pPr>
    <w:r>
      <w:rPr>
        <w:rFonts w:hint="eastAsia"/>
        <w:sz w:val="18"/>
        <w:szCs w:val="18"/>
        <w:lang w:val="en-US" w:eastAsia="zh-CN"/>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561080"/>
          <wp:effectExtent l="0" t="0" r="2540" b="1270"/>
          <wp:wrapNone/>
          <wp:docPr id="5" name="WordPictureWatermark16248" descr="中益招标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6248" descr="中益招标LOGO-1"/>
                  <pic:cNvPicPr>
                    <a:picLocks noChangeAspect="1"/>
                  </pic:cNvPicPr>
                </pic:nvPicPr>
                <pic:blipFill>
                  <a:blip r:embed="rId1">
                    <a:lum bright="69998" contrast="-70001"/>
                  </a:blip>
                  <a:stretch>
                    <a:fillRect/>
                  </a:stretch>
                </pic:blipFill>
                <pic:spPr>
                  <a:xfrm>
                    <a:off x="0" y="0"/>
                    <a:ext cx="5274310" cy="3561080"/>
                  </a:xfrm>
                  <a:prstGeom prst="rect">
                    <a:avLst/>
                  </a:prstGeom>
                  <a:noFill/>
                  <a:ln>
                    <a:noFill/>
                  </a:ln>
                </pic:spPr>
              </pic:pic>
            </a:graphicData>
          </a:graphic>
        </wp:anchor>
      </w:drawing>
    </w:r>
    <w:r>
      <w:rPr>
        <w:rFonts w:hint="eastAsia" w:ascii="仿宋" w:hAnsi="仿宋" w:eastAsia="仿宋" w:cs="仿宋"/>
        <w:i w:val="0"/>
        <w:iCs w:val="0"/>
        <w:caps w:val="0"/>
        <w:color w:val="auto"/>
        <w:spacing w:val="0"/>
        <w:sz w:val="18"/>
        <w:szCs w:val="18"/>
        <w:lang w:eastAsia="zh-CN"/>
      </w:rPr>
      <w:t>吐鲁番市高昌区人民医院彩色多普勒超声诊断仪等设备采购项目招标文件</w:t>
    </w:r>
    <w:r>
      <w:rPr>
        <w:rFonts w:hint="eastAsia" w:ascii="仿宋" w:hAnsi="仿宋" w:eastAsia="仿宋" w:cs="仿宋"/>
        <w:i w:val="0"/>
        <w:iCs w:val="0"/>
        <w:caps w:val="0"/>
        <w:color w:val="auto"/>
        <w:spacing w:val="0"/>
        <w:sz w:val="18"/>
        <w:szCs w:val="18"/>
        <w:lang w:val="en-US" w:eastAsia="zh-CN"/>
      </w:rPr>
      <w:t xml:space="preserve">            项目编号：ZYZB-2026-Z-050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E2F5C4"/>
    <w:multiLevelType w:val="singleLevel"/>
    <w:tmpl w:val="A9E2F5C4"/>
    <w:lvl w:ilvl="0" w:tentative="0">
      <w:start w:val="8"/>
      <w:numFmt w:val="decimal"/>
      <w:suff w:val="nothing"/>
      <w:lvlText w:val="%1、"/>
      <w:lvlJc w:val="left"/>
    </w:lvl>
  </w:abstractNum>
  <w:abstractNum w:abstractNumId="1">
    <w:nsid w:val="B255765D"/>
    <w:multiLevelType w:val="singleLevel"/>
    <w:tmpl w:val="B255765D"/>
    <w:lvl w:ilvl="0" w:tentative="0">
      <w:start w:val="1"/>
      <w:numFmt w:val="chineseCounting"/>
      <w:suff w:val="nothing"/>
      <w:lvlText w:val="%1、"/>
      <w:lvlJc w:val="left"/>
      <w:rPr>
        <w:rFonts w:hint="eastAsia"/>
      </w:rPr>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33D3BED"/>
    <w:multiLevelType w:val="singleLevel"/>
    <w:tmpl w:val="C33D3BED"/>
    <w:lvl w:ilvl="0" w:tentative="0">
      <w:start w:val="1"/>
      <w:numFmt w:val="decimal"/>
      <w:lvlText w:val="%1."/>
      <w:lvlJc w:val="left"/>
      <w:pPr>
        <w:tabs>
          <w:tab w:val="left" w:pos="312"/>
        </w:tabs>
      </w:pPr>
    </w:lvl>
  </w:abstractNum>
  <w:abstractNum w:abstractNumId="4">
    <w:nsid w:val="CB9C651E"/>
    <w:multiLevelType w:val="singleLevel"/>
    <w:tmpl w:val="CB9C651E"/>
    <w:lvl w:ilvl="0" w:tentative="0">
      <w:start w:val="1"/>
      <w:numFmt w:val="chineseCounting"/>
      <w:suff w:val="nothing"/>
      <w:lvlText w:val="%1、"/>
      <w:lvlJc w:val="left"/>
      <w:rPr>
        <w:rFonts w:hint="eastAsia"/>
      </w:rPr>
    </w:lvl>
  </w:abstractNum>
  <w:abstractNum w:abstractNumId="5">
    <w:nsid w:val="CFE7C3F8"/>
    <w:multiLevelType w:val="singleLevel"/>
    <w:tmpl w:val="CFE7C3F8"/>
    <w:lvl w:ilvl="0" w:tentative="0">
      <w:start w:val="1"/>
      <w:numFmt w:val="decimal"/>
      <w:suff w:val="nothing"/>
      <w:lvlText w:val="（%1）"/>
      <w:lvlJc w:val="left"/>
    </w:lvl>
  </w:abstractNum>
  <w:abstractNum w:abstractNumId="6">
    <w:nsid w:val="DDECD3BC"/>
    <w:multiLevelType w:val="singleLevel"/>
    <w:tmpl w:val="DDECD3BC"/>
    <w:lvl w:ilvl="0" w:tentative="0">
      <w:start w:val="6"/>
      <w:numFmt w:val="decimal"/>
      <w:suff w:val="space"/>
      <w:lvlText w:val="%1."/>
      <w:lvlJc w:val="left"/>
    </w:lvl>
  </w:abstractNum>
  <w:abstractNum w:abstractNumId="7">
    <w:nsid w:val="DE759F4B"/>
    <w:multiLevelType w:val="singleLevel"/>
    <w:tmpl w:val="DE759F4B"/>
    <w:lvl w:ilvl="0" w:tentative="0">
      <w:start w:val="2"/>
      <w:numFmt w:val="decimal"/>
      <w:suff w:val="space"/>
      <w:lvlText w:val="%1."/>
      <w:lvlJc w:val="left"/>
    </w:lvl>
  </w:abstractNum>
  <w:abstractNum w:abstractNumId="8">
    <w:nsid w:val="DEABE1DB"/>
    <w:multiLevelType w:val="singleLevel"/>
    <w:tmpl w:val="DEABE1DB"/>
    <w:lvl w:ilvl="0" w:tentative="0">
      <w:start w:val="23"/>
      <w:numFmt w:val="decimal"/>
      <w:suff w:val="space"/>
      <w:lvlText w:val="%1."/>
      <w:lvlJc w:val="left"/>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2BC51355"/>
    <w:multiLevelType w:val="singleLevel"/>
    <w:tmpl w:val="2BC51355"/>
    <w:lvl w:ilvl="0" w:tentative="0">
      <w:start w:val="7"/>
      <w:numFmt w:val="decimal"/>
      <w:lvlText w:val="%1."/>
      <w:lvlJc w:val="left"/>
      <w:pPr>
        <w:tabs>
          <w:tab w:val="left" w:pos="312"/>
        </w:tabs>
      </w:pPr>
    </w:lvl>
  </w:abstractNum>
  <w:abstractNum w:abstractNumId="11">
    <w:nsid w:val="5E385750"/>
    <w:multiLevelType w:val="multilevel"/>
    <w:tmpl w:val="5E385750"/>
    <w:lvl w:ilvl="0" w:tentative="0">
      <w:start w:val="1"/>
      <w:numFmt w:val="decimal"/>
      <w:lvlText w:val="%1."/>
      <w:lvlJc w:val="left"/>
      <w:pPr>
        <w:ind w:left="915" w:hanging="360"/>
      </w:pPr>
      <w:rPr>
        <w:rFonts w:hint="default"/>
      </w:rPr>
    </w:lvl>
    <w:lvl w:ilvl="1" w:tentative="0">
      <w:start w:val="1"/>
      <w:numFmt w:val="lowerLetter"/>
      <w:lvlText w:val="%2)"/>
      <w:lvlJc w:val="left"/>
      <w:pPr>
        <w:ind w:left="1395" w:hanging="420"/>
      </w:pPr>
    </w:lvl>
    <w:lvl w:ilvl="2" w:tentative="0">
      <w:start w:val="1"/>
      <w:numFmt w:val="lowerRoman"/>
      <w:lvlText w:val="%3."/>
      <w:lvlJc w:val="right"/>
      <w:pPr>
        <w:ind w:left="1815" w:hanging="420"/>
      </w:pPr>
    </w:lvl>
    <w:lvl w:ilvl="3" w:tentative="0">
      <w:start w:val="1"/>
      <w:numFmt w:val="decimal"/>
      <w:lvlText w:val="%4."/>
      <w:lvlJc w:val="left"/>
      <w:pPr>
        <w:ind w:left="2235" w:hanging="420"/>
      </w:pPr>
    </w:lvl>
    <w:lvl w:ilvl="4" w:tentative="0">
      <w:start w:val="1"/>
      <w:numFmt w:val="lowerLetter"/>
      <w:lvlText w:val="%5)"/>
      <w:lvlJc w:val="left"/>
      <w:pPr>
        <w:ind w:left="2655" w:hanging="420"/>
      </w:pPr>
    </w:lvl>
    <w:lvl w:ilvl="5" w:tentative="0">
      <w:start w:val="1"/>
      <w:numFmt w:val="lowerRoman"/>
      <w:lvlText w:val="%6."/>
      <w:lvlJc w:val="right"/>
      <w:pPr>
        <w:ind w:left="3075" w:hanging="420"/>
      </w:pPr>
    </w:lvl>
    <w:lvl w:ilvl="6" w:tentative="0">
      <w:start w:val="1"/>
      <w:numFmt w:val="decimal"/>
      <w:lvlText w:val="%7."/>
      <w:lvlJc w:val="left"/>
      <w:pPr>
        <w:ind w:left="3495" w:hanging="420"/>
      </w:pPr>
    </w:lvl>
    <w:lvl w:ilvl="7" w:tentative="0">
      <w:start w:val="1"/>
      <w:numFmt w:val="lowerLetter"/>
      <w:lvlText w:val="%8)"/>
      <w:lvlJc w:val="left"/>
      <w:pPr>
        <w:ind w:left="3915" w:hanging="420"/>
      </w:pPr>
    </w:lvl>
    <w:lvl w:ilvl="8" w:tentative="0">
      <w:start w:val="1"/>
      <w:numFmt w:val="lowerRoman"/>
      <w:lvlText w:val="%9."/>
      <w:lvlJc w:val="right"/>
      <w:pPr>
        <w:ind w:left="4335" w:hanging="420"/>
      </w:pPr>
    </w:lvl>
  </w:abstractNum>
  <w:abstractNum w:abstractNumId="12">
    <w:nsid w:val="707B77C8"/>
    <w:multiLevelType w:val="singleLevel"/>
    <w:tmpl w:val="707B77C8"/>
    <w:lvl w:ilvl="0" w:tentative="0">
      <w:start w:val="1"/>
      <w:numFmt w:val="upperRoman"/>
      <w:suff w:val="space"/>
      <w:lvlText w:val="%1."/>
      <w:lvlJc w:val="left"/>
    </w:lvl>
  </w:abstractNum>
  <w:abstractNum w:abstractNumId="13">
    <w:nsid w:val="75ED0028"/>
    <w:multiLevelType w:val="singleLevel"/>
    <w:tmpl w:val="75ED0028"/>
    <w:lvl w:ilvl="0" w:tentative="0">
      <w:start w:val="10"/>
      <w:numFmt w:val="decimal"/>
      <w:suff w:val="nothing"/>
      <w:lvlText w:val="%1、"/>
      <w:lvlJc w:val="left"/>
    </w:lvl>
  </w:abstractNum>
  <w:abstractNum w:abstractNumId="14">
    <w:nsid w:val="7A0F6431"/>
    <w:multiLevelType w:val="singleLevel"/>
    <w:tmpl w:val="7A0F6431"/>
    <w:lvl w:ilvl="0" w:tentative="0">
      <w:start w:val="1"/>
      <w:numFmt w:val="decimal"/>
      <w:suff w:val="space"/>
      <w:lvlText w:val="%1."/>
      <w:lvlJc w:val="left"/>
    </w:lvl>
  </w:abstractNum>
  <w:num w:numId="1">
    <w:abstractNumId w:val="12"/>
  </w:num>
  <w:num w:numId="2">
    <w:abstractNumId w:val="10"/>
  </w:num>
  <w:num w:numId="3">
    <w:abstractNumId w:val="3"/>
  </w:num>
  <w:num w:numId="4">
    <w:abstractNumId w:val="4"/>
  </w:num>
  <w:num w:numId="5">
    <w:abstractNumId w:val="1"/>
  </w:num>
  <w:num w:numId="6">
    <w:abstractNumId w:val="13"/>
  </w:num>
  <w:num w:numId="7">
    <w:abstractNumId w:val="11"/>
  </w:num>
  <w:num w:numId="8">
    <w:abstractNumId w:val="0"/>
  </w:num>
  <w:num w:numId="9">
    <w:abstractNumId w:val="14"/>
  </w:num>
  <w:num w:numId="10">
    <w:abstractNumId w:val="5"/>
  </w:num>
  <w:num w:numId="11">
    <w:abstractNumId w:val="9"/>
  </w:num>
  <w:num w:numId="12">
    <w:abstractNumId w:val="7"/>
  </w:num>
  <w:num w:numId="13">
    <w:abstractNumId w:val="6"/>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ZiNTU0YzVmZDMxMmU0YWVmNjYwOTkwNDA1OTAzMzkifQ=="/>
    <w:docVar w:name="KSO_WPS_MARK_KEY" w:val="4d569fe0-30f1-4c7d-857e-5e74b8522402"/>
  </w:docVars>
  <w:rsids>
    <w:rsidRoot w:val="002A5EDF"/>
    <w:rsid w:val="00003597"/>
    <w:rsid w:val="00007FB8"/>
    <w:rsid w:val="0002460D"/>
    <w:rsid w:val="00036F53"/>
    <w:rsid w:val="000416F9"/>
    <w:rsid w:val="000469F9"/>
    <w:rsid w:val="0007600A"/>
    <w:rsid w:val="0008605B"/>
    <w:rsid w:val="000A7C42"/>
    <w:rsid w:val="000C432F"/>
    <w:rsid w:val="000E5559"/>
    <w:rsid w:val="0010694A"/>
    <w:rsid w:val="00115F2D"/>
    <w:rsid w:val="00116183"/>
    <w:rsid w:val="001175E8"/>
    <w:rsid w:val="00130E68"/>
    <w:rsid w:val="001423F5"/>
    <w:rsid w:val="001512B7"/>
    <w:rsid w:val="001676DA"/>
    <w:rsid w:val="001A3BD2"/>
    <w:rsid w:val="001B5E05"/>
    <w:rsid w:val="001D37ED"/>
    <w:rsid w:val="001F1D1C"/>
    <w:rsid w:val="00211658"/>
    <w:rsid w:val="00213308"/>
    <w:rsid w:val="002765C6"/>
    <w:rsid w:val="00295F9E"/>
    <w:rsid w:val="002A5EDF"/>
    <w:rsid w:val="002B4591"/>
    <w:rsid w:val="002C009D"/>
    <w:rsid w:val="002C651E"/>
    <w:rsid w:val="002C7D74"/>
    <w:rsid w:val="002D4DB4"/>
    <w:rsid w:val="003061C7"/>
    <w:rsid w:val="003214D8"/>
    <w:rsid w:val="003303D3"/>
    <w:rsid w:val="003316B5"/>
    <w:rsid w:val="00346936"/>
    <w:rsid w:val="00354245"/>
    <w:rsid w:val="003547CC"/>
    <w:rsid w:val="00356CBB"/>
    <w:rsid w:val="00362D5A"/>
    <w:rsid w:val="00373CC3"/>
    <w:rsid w:val="00377635"/>
    <w:rsid w:val="003923A7"/>
    <w:rsid w:val="003B2056"/>
    <w:rsid w:val="003E4124"/>
    <w:rsid w:val="003E78AB"/>
    <w:rsid w:val="00406BB9"/>
    <w:rsid w:val="0042027B"/>
    <w:rsid w:val="004249FE"/>
    <w:rsid w:val="004272F2"/>
    <w:rsid w:val="00427E02"/>
    <w:rsid w:val="00447052"/>
    <w:rsid w:val="00453D27"/>
    <w:rsid w:val="00476FE4"/>
    <w:rsid w:val="004C1D86"/>
    <w:rsid w:val="004C279C"/>
    <w:rsid w:val="004F538B"/>
    <w:rsid w:val="00502FD9"/>
    <w:rsid w:val="005060EB"/>
    <w:rsid w:val="00511045"/>
    <w:rsid w:val="00514BAF"/>
    <w:rsid w:val="00516EBB"/>
    <w:rsid w:val="00522B02"/>
    <w:rsid w:val="005275C4"/>
    <w:rsid w:val="00535DAF"/>
    <w:rsid w:val="005377A8"/>
    <w:rsid w:val="00545821"/>
    <w:rsid w:val="0056592C"/>
    <w:rsid w:val="00566340"/>
    <w:rsid w:val="0057035E"/>
    <w:rsid w:val="00595064"/>
    <w:rsid w:val="005B13DC"/>
    <w:rsid w:val="00624533"/>
    <w:rsid w:val="0062612F"/>
    <w:rsid w:val="006505FE"/>
    <w:rsid w:val="0065412B"/>
    <w:rsid w:val="006550EE"/>
    <w:rsid w:val="00667C4A"/>
    <w:rsid w:val="00676114"/>
    <w:rsid w:val="006957EB"/>
    <w:rsid w:val="0069732F"/>
    <w:rsid w:val="006D2C40"/>
    <w:rsid w:val="006E2D30"/>
    <w:rsid w:val="006E66B0"/>
    <w:rsid w:val="00720B2A"/>
    <w:rsid w:val="00736C12"/>
    <w:rsid w:val="00764DFD"/>
    <w:rsid w:val="00786959"/>
    <w:rsid w:val="007B29B2"/>
    <w:rsid w:val="007C14FF"/>
    <w:rsid w:val="007C2A22"/>
    <w:rsid w:val="00842342"/>
    <w:rsid w:val="00843915"/>
    <w:rsid w:val="00854060"/>
    <w:rsid w:val="00867932"/>
    <w:rsid w:val="008701D8"/>
    <w:rsid w:val="00891F8B"/>
    <w:rsid w:val="008962C3"/>
    <w:rsid w:val="008A5F9A"/>
    <w:rsid w:val="008B5C3F"/>
    <w:rsid w:val="008C5ECD"/>
    <w:rsid w:val="008C6987"/>
    <w:rsid w:val="008D005C"/>
    <w:rsid w:val="008F6850"/>
    <w:rsid w:val="00901231"/>
    <w:rsid w:val="009022E7"/>
    <w:rsid w:val="009054FE"/>
    <w:rsid w:val="00947564"/>
    <w:rsid w:val="0095038B"/>
    <w:rsid w:val="00955656"/>
    <w:rsid w:val="009D4C35"/>
    <w:rsid w:val="00A07E0D"/>
    <w:rsid w:val="00A12782"/>
    <w:rsid w:val="00A35D20"/>
    <w:rsid w:val="00A45422"/>
    <w:rsid w:val="00A467B8"/>
    <w:rsid w:val="00A51D8D"/>
    <w:rsid w:val="00A77480"/>
    <w:rsid w:val="00A775D2"/>
    <w:rsid w:val="00A86090"/>
    <w:rsid w:val="00A94ABF"/>
    <w:rsid w:val="00AA0706"/>
    <w:rsid w:val="00AA192C"/>
    <w:rsid w:val="00AB6E5B"/>
    <w:rsid w:val="00AD2FB3"/>
    <w:rsid w:val="00B163CA"/>
    <w:rsid w:val="00B40055"/>
    <w:rsid w:val="00B4535E"/>
    <w:rsid w:val="00B471C9"/>
    <w:rsid w:val="00BB62A5"/>
    <w:rsid w:val="00BC36B5"/>
    <w:rsid w:val="00BE1DBB"/>
    <w:rsid w:val="00C04B3D"/>
    <w:rsid w:val="00C051D6"/>
    <w:rsid w:val="00C117F7"/>
    <w:rsid w:val="00C21A0C"/>
    <w:rsid w:val="00C24B2E"/>
    <w:rsid w:val="00C90476"/>
    <w:rsid w:val="00CB7634"/>
    <w:rsid w:val="00CD0C95"/>
    <w:rsid w:val="00CF3291"/>
    <w:rsid w:val="00D02ADD"/>
    <w:rsid w:val="00D0748B"/>
    <w:rsid w:val="00D14004"/>
    <w:rsid w:val="00D32381"/>
    <w:rsid w:val="00D42563"/>
    <w:rsid w:val="00D51CFF"/>
    <w:rsid w:val="00D560F7"/>
    <w:rsid w:val="00DA741A"/>
    <w:rsid w:val="00DB25AB"/>
    <w:rsid w:val="00DD27D8"/>
    <w:rsid w:val="00DE2902"/>
    <w:rsid w:val="00DE55DF"/>
    <w:rsid w:val="00DF2B78"/>
    <w:rsid w:val="00DF4AD0"/>
    <w:rsid w:val="00E03CFD"/>
    <w:rsid w:val="00E264F8"/>
    <w:rsid w:val="00E33BF5"/>
    <w:rsid w:val="00E45D54"/>
    <w:rsid w:val="00E51BF3"/>
    <w:rsid w:val="00E54EDC"/>
    <w:rsid w:val="00E62EEB"/>
    <w:rsid w:val="00E775BC"/>
    <w:rsid w:val="00EA2A25"/>
    <w:rsid w:val="00EA40E4"/>
    <w:rsid w:val="00F03B8D"/>
    <w:rsid w:val="00F32475"/>
    <w:rsid w:val="00F34AF1"/>
    <w:rsid w:val="00F4193B"/>
    <w:rsid w:val="00F47A51"/>
    <w:rsid w:val="00F47CA2"/>
    <w:rsid w:val="00F71311"/>
    <w:rsid w:val="00F9447F"/>
    <w:rsid w:val="00FC3C97"/>
    <w:rsid w:val="00FC7028"/>
    <w:rsid w:val="011A470B"/>
    <w:rsid w:val="0274769A"/>
    <w:rsid w:val="02EB239A"/>
    <w:rsid w:val="03711523"/>
    <w:rsid w:val="03786B93"/>
    <w:rsid w:val="03B0247B"/>
    <w:rsid w:val="045C7A37"/>
    <w:rsid w:val="04B92839"/>
    <w:rsid w:val="05B770A8"/>
    <w:rsid w:val="063D3829"/>
    <w:rsid w:val="06631F75"/>
    <w:rsid w:val="070C2061"/>
    <w:rsid w:val="0837460B"/>
    <w:rsid w:val="0AE24082"/>
    <w:rsid w:val="0AF73FD1"/>
    <w:rsid w:val="0B226B74"/>
    <w:rsid w:val="0C074168"/>
    <w:rsid w:val="0C465C06"/>
    <w:rsid w:val="0DB717F6"/>
    <w:rsid w:val="0E561490"/>
    <w:rsid w:val="0E65470A"/>
    <w:rsid w:val="0EAC6C9A"/>
    <w:rsid w:val="0F2E1A50"/>
    <w:rsid w:val="0F601A19"/>
    <w:rsid w:val="0F6E2388"/>
    <w:rsid w:val="10076107"/>
    <w:rsid w:val="10946899"/>
    <w:rsid w:val="111F21DD"/>
    <w:rsid w:val="1324561F"/>
    <w:rsid w:val="13955E87"/>
    <w:rsid w:val="143C6BD5"/>
    <w:rsid w:val="146B6E96"/>
    <w:rsid w:val="15442992"/>
    <w:rsid w:val="16780FE6"/>
    <w:rsid w:val="17553F8A"/>
    <w:rsid w:val="184278EA"/>
    <w:rsid w:val="18856C48"/>
    <w:rsid w:val="19F51ED2"/>
    <w:rsid w:val="1AA44EB0"/>
    <w:rsid w:val="1ADE10DB"/>
    <w:rsid w:val="1C646FED"/>
    <w:rsid w:val="1D940AA2"/>
    <w:rsid w:val="1E3605D0"/>
    <w:rsid w:val="1E7B4736"/>
    <w:rsid w:val="1FFB1A16"/>
    <w:rsid w:val="21256527"/>
    <w:rsid w:val="22893883"/>
    <w:rsid w:val="22A048E8"/>
    <w:rsid w:val="23133E1D"/>
    <w:rsid w:val="265F732F"/>
    <w:rsid w:val="267526AD"/>
    <w:rsid w:val="28754330"/>
    <w:rsid w:val="29043F2B"/>
    <w:rsid w:val="29DF0229"/>
    <w:rsid w:val="29EB5610"/>
    <w:rsid w:val="2A2A436B"/>
    <w:rsid w:val="2A2D3DE1"/>
    <w:rsid w:val="2CBE2678"/>
    <w:rsid w:val="2CD6778D"/>
    <w:rsid w:val="2D172DB1"/>
    <w:rsid w:val="2D373C3F"/>
    <w:rsid w:val="2DC750DA"/>
    <w:rsid w:val="2EC11432"/>
    <w:rsid w:val="319C48E2"/>
    <w:rsid w:val="329C7909"/>
    <w:rsid w:val="32B12408"/>
    <w:rsid w:val="32B9395B"/>
    <w:rsid w:val="34582316"/>
    <w:rsid w:val="346C7CB3"/>
    <w:rsid w:val="35571045"/>
    <w:rsid w:val="3623361D"/>
    <w:rsid w:val="37203B76"/>
    <w:rsid w:val="39482217"/>
    <w:rsid w:val="3A4F75EF"/>
    <w:rsid w:val="3A630BA9"/>
    <w:rsid w:val="3A7F07D9"/>
    <w:rsid w:val="3B2E25C2"/>
    <w:rsid w:val="3B8E1ADF"/>
    <w:rsid w:val="3D8D40E0"/>
    <w:rsid w:val="3DE82B4C"/>
    <w:rsid w:val="3F204B9F"/>
    <w:rsid w:val="3F3271BB"/>
    <w:rsid w:val="3FF676AC"/>
    <w:rsid w:val="40E74D94"/>
    <w:rsid w:val="4143359F"/>
    <w:rsid w:val="41605725"/>
    <w:rsid w:val="42B23A97"/>
    <w:rsid w:val="435A7249"/>
    <w:rsid w:val="45B778DE"/>
    <w:rsid w:val="468769F3"/>
    <w:rsid w:val="469C6C92"/>
    <w:rsid w:val="479D1013"/>
    <w:rsid w:val="48AE355C"/>
    <w:rsid w:val="49327964"/>
    <w:rsid w:val="4DF61D74"/>
    <w:rsid w:val="4EDF0059"/>
    <w:rsid w:val="4F962089"/>
    <w:rsid w:val="4FBB0836"/>
    <w:rsid w:val="5052092F"/>
    <w:rsid w:val="51740FD9"/>
    <w:rsid w:val="52D90214"/>
    <w:rsid w:val="53727313"/>
    <w:rsid w:val="53EB70D0"/>
    <w:rsid w:val="55E81993"/>
    <w:rsid w:val="5757620A"/>
    <w:rsid w:val="589F6BD6"/>
    <w:rsid w:val="595A69EB"/>
    <w:rsid w:val="5A431F0B"/>
    <w:rsid w:val="5B6A7475"/>
    <w:rsid w:val="5B9F5982"/>
    <w:rsid w:val="5C526716"/>
    <w:rsid w:val="5CAD649E"/>
    <w:rsid w:val="5CE818CB"/>
    <w:rsid w:val="5DD0462F"/>
    <w:rsid w:val="5EFE6967"/>
    <w:rsid w:val="5FB11724"/>
    <w:rsid w:val="60311BAB"/>
    <w:rsid w:val="609B00D0"/>
    <w:rsid w:val="60D669AF"/>
    <w:rsid w:val="615553C3"/>
    <w:rsid w:val="655F74B7"/>
    <w:rsid w:val="65C740DE"/>
    <w:rsid w:val="69750E7C"/>
    <w:rsid w:val="6C197DD6"/>
    <w:rsid w:val="6CCD4BDE"/>
    <w:rsid w:val="6D4B2536"/>
    <w:rsid w:val="6E700D11"/>
    <w:rsid w:val="6EAE7221"/>
    <w:rsid w:val="70044A3C"/>
    <w:rsid w:val="70191889"/>
    <w:rsid w:val="703C2604"/>
    <w:rsid w:val="7047792D"/>
    <w:rsid w:val="70ED1A78"/>
    <w:rsid w:val="72966949"/>
    <w:rsid w:val="73110AB3"/>
    <w:rsid w:val="73712F17"/>
    <w:rsid w:val="73F024A5"/>
    <w:rsid w:val="747249BF"/>
    <w:rsid w:val="74750913"/>
    <w:rsid w:val="7492064F"/>
    <w:rsid w:val="760F0C5E"/>
    <w:rsid w:val="762541FD"/>
    <w:rsid w:val="76DD4881"/>
    <w:rsid w:val="784260D3"/>
    <w:rsid w:val="79C06173"/>
    <w:rsid w:val="7BC167E5"/>
    <w:rsid w:val="7F645E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99" w:name="index 2"/>
    <w:lsdException w:uiPriority="99" w:name="index 3"/>
    <w:lsdException w:qFormat="1" w:uiPriority="99" w:semiHidden="0" w:name="index 4"/>
    <w:lsdException w:uiPriority="99" w:name="index 5"/>
    <w:lsdException w:qFormat="1" w:unhideWhenUsed="0" w:uiPriority="99"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64"/>
    <w:qFormat/>
    <w:uiPriority w:val="0"/>
    <w:pPr>
      <w:keepNext/>
      <w:spacing w:line="360" w:lineRule="auto"/>
      <w:jc w:val="center"/>
      <w:outlineLvl w:val="0"/>
    </w:pPr>
    <w:rPr>
      <w:bCs/>
      <w:sz w:val="28"/>
      <w:szCs w:val="20"/>
    </w:rPr>
  </w:style>
  <w:style w:type="paragraph" w:styleId="4">
    <w:name w:val="heading 2"/>
    <w:basedOn w:val="1"/>
    <w:next w:val="1"/>
    <w:link w:val="65"/>
    <w:qFormat/>
    <w:uiPriority w:val="0"/>
    <w:pPr>
      <w:keepNext/>
      <w:keepLines/>
      <w:spacing w:line="360" w:lineRule="auto"/>
      <w:outlineLvl w:val="1"/>
    </w:pPr>
    <w:rPr>
      <w:rFonts w:ascii="Arial" w:hAnsi="Arial"/>
      <w:b/>
      <w:bCs/>
      <w:sz w:val="24"/>
      <w:szCs w:val="32"/>
    </w:rPr>
  </w:style>
  <w:style w:type="paragraph" w:styleId="5">
    <w:name w:val="heading 3"/>
    <w:basedOn w:val="1"/>
    <w:next w:val="1"/>
    <w:link w:val="66"/>
    <w:qFormat/>
    <w:uiPriority w:val="0"/>
    <w:pPr>
      <w:keepNext/>
      <w:keepLines/>
      <w:spacing w:before="260" w:after="260" w:line="416" w:lineRule="auto"/>
      <w:outlineLvl w:val="2"/>
    </w:pPr>
    <w:rPr>
      <w:b/>
      <w:bCs/>
      <w:sz w:val="32"/>
      <w:szCs w:val="32"/>
    </w:rPr>
  </w:style>
  <w:style w:type="paragraph" w:styleId="6">
    <w:name w:val="heading 4"/>
    <w:basedOn w:val="1"/>
    <w:next w:val="1"/>
    <w:link w:val="67"/>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68"/>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8">
    <w:name w:val="heading 6"/>
    <w:basedOn w:val="1"/>
    <w:next w:val="1"/>
    <w:link w:val="69"/>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rPr>
  </w:style>
  <w:style w:type="paragraph" w:styleId="9">
    <w:name w:val="heading 7"/>
    <w:basedOn w:val="1"/>
    <w:next w:val="1"/>
    <w:link w:val="70"/>
    <w:qFormat/>
    <w:uiPriority w:val="0"/>
    <w:pPr>
      <w:keepNext/>
      <w:keepLines/>
      <w:adjustRightInd w:val="0"/>
      <w:spacing w:before="240" w:after="64" w:line="320" w:lineRule="atLeast"/>
      <w:jc w:val="left"/>
      <w:textAlignment w:val="baseline"/>
      <w:outlineLvl w:val="6"/>
    </w:pPr>
    <w:rPr>
      <w:b/>
      <w:bCs/>
      <w:kern w:val="0"/>
      <w:sz w:val="24"/>
    </w:rPr>
  </w:style>
  <w:style w:type="paragraph" w:styleId="10">
    <w:name w:val="heading 8"/>
    <w:basedOn w:val="1"/>
    <w:next w:val="1"/>
    <w:link w:val="71"/>
    <w:qFormat/>
    <w:uiPriority w:val="0"/>
    <w:pPr>
      <w:keepNext/>
      <w:keepLines/>
      <w:adjustRightInd w:val="0"/>
      <w:spacing w:before="240" w:after="64" w:line="320" w:lineRule="atLeast"/>
      <w:jc w:val="left"/>
      <w:textAlignment w:val="baseline"/>
      <w:outlineLvl w:val="7"/>
    </w:pPr>
    <w:rPr>
      <w:rFonts w:ascii="Arial" w:hAnsi="Arial" w:eastAsia="黑体"/>
      <w:kern w:val="0"/>
      <w:sz w:val="24"/>
    </w:rPr>
  </w:style>
  <w:style w:type="paragraph" w:styleId="11">
    <w:name w:val="heading 9"/>
    <w:basedOn w:val="1"/>
    <w:next w:val="1"/>
    <w:link w:val="72"/>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3">
    <w:name w:val="Title"/>
    <w:basedOn w:val="1"/>
    <w:next w:val="1"/>
    <w:link w:val="88"/>
    <w:qFormat/>
    <w:uiPriority w:val="0"/>
    <w:pPr>
      <w:spacing w:before="240" w:after="60"/>
      <w:jc w:val="center"/>
      <w:outlineLvl w:val="0"/>
    </w:pPr>
    <w:rPr>
      <w:rFonts w:ascii="Cambria" w:hAnsi="Cambria"/>
      <w:b/>
      <w:sz w:val="32"/>
    </w:rPr>
  </w:style>
  <w:style w:type="paragraph" w:styleId="12">
    <w:name w:val="toc 7"/>
    <w:basedOn w:val="1"/>
    <w:next w:val="1"/>
    <w:qFormat/>
    <w:uiPriority w:val="0"/>
    <w:pPr>
      <w:ind w:left="2520" w:leftChars="1200"/>
    </w:pPr>
    <w:rPr>
      <w:rFonts w:ascii="Calibri" w:hAnsi="Calibri"/>
      <w:szCs w:val="22"/>
    </w:rPr>
  </w:style>
  <w:style w:type="paragraph" w:styleId="13">
    <w:name w:val="Normal Indent"/>
    <w:basedOn w:val="1"/>
    <w:qFormat/>
    <w:uiPriority w:val="99"/>
    <w:pPr>
      <w:widowControl/>
      <w:ind w:firstLine="420"/>
      <w:jc w:val="left"/>
    </w:pPr>
    <w:rPr>
      <w:kern w:val="0"/>
      <w:sz w:val="20"/>
      <w:szCs w:val="20"/>
    </w:rPr>
  </w:style>
  <w:style w:type="paragraph" w:styleId="14">
    <w:name w:val="Document Map"/>
    <w:basedOn w:val="1"/>
    <w:link w:val="74"/>
    <w:semiHidden/>
    <w:qFormat/>
    <w:uiPriority w:val="0"/>
    <w:pPr>
      <w:shd w:val="clear" w:color="auto" w:fill="000080"/>
    </w:pPr>
  </w:style>
  <w:style w:type="paragraph" w:styleId="15">
    <w:name w:val="toa heading"/>
    <w:basedOn w:val="1"/>
    <w:next w:val="1"/>
    <w:qFormat/>
    <w:uiPriority w:val="99"/>
    <w:pPr>
      <w:spacing w:before="120"/>
    </w:pPr>
    <w:rPr>
      <w:rFonts w:ascii="Cambria" w:hAnsi="Cambria"/>
      <w:sz w:val="24"/>
    </w:rPr>
  </w:style>
  <w:style w:type="paragraph" w:styleId="16">
    <w:name w:val="annotation text"/>
    <w:basedOn w:val="1"/>
    <w:link w:val="75"/>
    <w:qFormat/>
    <w:uiPriority w:val="0"/>
    <w:pPr>
      <w:jc w:val="left"/>
    </w:pPr>
  </w:style>
  <w:style w:type="paragraph" w:styleId="17">
    <w:name w:val="index 6"/>
    <w:basedOn w:val="1"/>
    <w:next w:val="1"/>
    <w:qFormat/>
    <w:uiPriority w:val="99"/>
    <w:pPr>
      <w:ind w:left="2100"/>
    </w:pPr>
  </w:style>
  <w:style w:type="paragraph" w:styleId="18">
    <w:name w:val="Salutation"/>
    <w:basedOn w:val="1"/>
    <w:next w:val="1"/>
    <w:link w:val="76"/>
    <w:qFormat/>
    <w:uiPriority w:val="0"/>
    <w:rPr>
      <w:rFonts w:ascii="仿宋_GB2312" w:eastAsia="仿宋_GB2312"/>
      <w:sz w:val="24"/>
    </w:rPr>
  </w:style>
  <w:style w:type="paragraph" w:styleId="19">
    <w:name w:val="Body Text 3"/>
    <w:basedOn w:val="1"/>
    <w:link w:val="77"/>
    <w:qFormat/>
    <w:uiPriority w:val="0"/>
    <w:pPr>
      <w:autoSpaceDE w:val="0"/>
      <w:autoSpaceDN w:val="0"/>
      <w:adjustRightInd w:val="0"/>
      <w:spacing w:line="410" w:lineRule="atLeast"/>
      <w:jc w:val="left"/>
    </w:pPr>
    <w:rPr>
      <w:rFonts w:ascii="宋体"/>
      <w:color w:val="000000"/>
      <w:kern w:val="0"/>
      <w:sz w:val="24"/>
      <w:szCs w:val="20"/>
    </w:rPr>
  </w:style>
  <w:style w:type="paragraph" w:styleId="20">
    <w:name w:val="Body Text"/>
    <w:basedOn w:val="1"/>
    <w:next w:val="1"/>
    <w:link w:val="73"/>
    <w:qFormat/>
    <w:uiPriority w:val="0"/>
    <w:pPr>
      <w:spacing w:after="120"/>
    </w:pPr>
  </w:style>
  <w:style w:type="paragraph" w:styleId="21">
    <w:name w:val="Body Text Indent"/>
    <w:basedOn w:val="1"/>
    <w:link w:val="78"/>
    <w:qFormat/>
    <w:uiPriority w:val="0"/>
    <w:pPr>
      <w:spacing w:after="120"/>
      <w:ind w:left="420" w:leftChars="200"/>
    </w:pPr>
  </w:style>
  <w:style w:type="paragraph" w:styleId="22">
    <w:name w:val="Block Text"/>
    <w:basedOn w:val="1"/>
    <w:qFormat/>
    <w:uiPriority w:val="0"/>
    <w:pPr>
      <w:ind w:left="1171" w:right="91" w:hanging="1080"/>
    </w:pPr>
    <w:rPr>
      <w:rFonts w:eastAsia="楷体_GB2312"/>
      <w:szCs w:val="20"/>
    </w:rPr>
  </w:style>
  <w:style w:type="paragraph" w:styleId="23">
    <w:name w:val="index 4"/>
    <w:basedOn w:val="1"/>
    <w:next w:val="1"/>
    <w:unhideWhenUsed/>
    <w:qFormat/>
    <w:uiPriority w:val="99"/>
    <w:pPr>
      <w:ind w:left="600" w:leftChars="600"/>
    </w:pPr>
    <w:rPr>
      <w:rFonts w:ascii="Calibri" w:hAnsi="Calibri"/>
    </w:rPr>
  </w:style>
  <w:style w:type="paragraph" w:styleId="24">
    <w:name w:val="toc 5"/>
    <w:basedOn w:val="1"/>
    <w:next w:val="1"/>
    <w:qFormat/>
    <w:uiPriority w:val="0"/>
    <w:pPr>
      <w:ind w:left="1680" w:leftChars="800"/>
    </w:pPr>
    <w:rPr>
      <w:rFonts w:ascii="Calibri" w:hAnsi="Calibri"/>
      <w:szCs w:val="22"/>
    </w:rPr>
  </w:style>
  <w:style w:type="paragraph" w:styleId="25">
    <w:name w:val="toc 3"/>
    <w:basedOn w:val="1"/>
    <w:next w:val="1"/>
    <w:qFormat/>
    <w:uiPriority w:val="39"/>
    <w:pPr>
      <w:ind w:left="840" w:leftChars="400"/>
    </w:pPr>
  </w:style>
  <w:style w:type="paragraph" w:styleId="26">
    <w:name w:val="Plain Text"/>
    <w:basedOn w:val="1"/>
    <w:link w:val="79"/>
    <w:qFormat/>
    <w:uiPriority w:val="0"/>
    <w:rPr>
      <w:sz w:val="24"/>
      <w:szCs w:val="20"/>
    </w:rPr>
  </w:style>
  <w:style w:type="paragraph" w:styleId="27">
    <w:name w:val="toc 8"/>
    <w:basedOn w:val="1"/>
    <w:next w:val="1"/>
    <w:qFormat/>
    <w:uiPriority w:val="0"/>
    <w:pPr>
      <w:ind w:left="2940" w:leftChars="1400"/>
    </w:pPr>
    <w:rPr>
      <w:rFonts w:ascii="Calibri" w:hAnsi="Calibri"/>
      <w:szCs w:val="22"/>
    </w:rPr>
  </w:style>
  <w:style w:type="paragraph" w:styleId="28">
    <w:name w:val="Date"/>
    <w:basedOn w:val="1"/>
    <w:next w:val="1"/>
    <w:link w:val="80"/>
    <w:qFormat/>
    <w:uiPriority w:val="0"/>
    <w:rPr>
      <w:sz w:val="24"/>
      <w:szCs w:val="20"/>
    </w:rPr>
  </w:style>
  <w:style w:type="paragraph" w:styleId="29">
    <w:name w:val="Body Text Indent 2"/>
    <w:basedOn w:val="1"/>
    <w:link w:val="81"/>
    <w:qFormat/>
    <w:uiPriority w:val="0"/>
    <w:pPr>
      <w:spacing w:after="120" w:line="480" w:lineRule="auto"/>
      <w:ind w:left="420" w:leftChars="200"/>
    </w:pPr>
  </w:style>
  <w:style w:type="paragraph" w:styleId="30">
    <w:name w:val="Balloon Text"/>
    <w:basedOn w:val="1"/>
    <w:link w:val="82"/>
    <w:qFormat/>
    <w:uiPriority w:val="0"/>
    <w:rPr>
      <w:rFonts w:ascii="Calibri" w:hAnsi="Calibri"/>
      <w:sz w:val="18"/>
      <w:szCs w:val="18"/>
    </w:rPr>
  </w:style>
  <w:style w:type="paragraph" w:styleId="31">
    <w:name w:val="footer"/>
    <w:basedOn w:val="1"/>
    <w:link w:val="83"/>
    <w:qFormat/>
    <w:uiPriority w:val="99"/>
    <w:pPr>
      <w:tabs>
        <w:tab w:val="center" w:pos="4153"/>
        <w:tab w:val="right" w:pos="8306"/>
      </w:tabs>
      <w:snapToGrid w:val="0"/>
      <w:jc w:val="left"/>
    </w:pPr>
    <w:rPr>
      <w:sz w:val="18"/>
      <w:szCs w:val="18"/>
    </w:rPr>
  </w:style>
  <w:style w:type="paragraph" w:styleId="32">
    <w:name w:val="header"/>
    <w:basedOn w:val="1"/>
    <w:link w:val="84"/>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line="500" w:lineRule="exact"/>
    </w:pPr>
    <w:rPr>
      <w:rFonts w:ascii="黑体"/>
      <w:b/>
      <w:sz w:val="24"/>
    </w:rPr>
  </w:style>
  <w:style w:type="paragraph" w:styleId="34">
    <w:name w:val="toc 4"/>
    <w:basedOn w:val="1"/>
    <w:next w:val="1"/>
    <w:qFormat/>
    <w:uiPriority w:val="0"/>
    <w:pPr>
      <w:ind w:left="1260" w:leftChars="600"/>
    </w:pPr>
  </w:style>
  <w:style w:type="paragraph" w:styleId="35">
    <w:name w:val="index heading"/>
    <w:basedOn w:val="1"/>
    <w:next w:val="36"/>
    <w:semiHidden/>
    <w:qFormat/>
    <w:uiPriority w:val="0"/>
  </w:style>
  <w:style w:type="paragraph" w:styleId="36">
    <w:name w:val="index 1"/>
    <w:basedOn w:val="1"/>
    <w:next w:val="1"/>
    <w:unhideWhenUsed/>
    <w:qFormat/>
    <w:uiPriority w:val="0"/>
  </w:style>
  <w:style w:type="paragraph" w:styleId="37">
    <w:name w:val="List"/>
    <w:basedOn w:val="1"/>
    <w:qFormat/>
    <w:uiPriority w:val="0"/>
    <w:pPr>
      <w:ind w:left="200" w:hanging="200" w:hangingChars="200"/>
    </w:pPr>
    <w:rPr>
      <w:sz w:val="28"/>
    </w:rPr>
  </w:style>
  <w:style w:type="paragraph" w:styleId="38">
    <w:name w:val="toc 6"/>
    <w:basedOn w:val="1"/>
    <w:next w:val="1"/>
    <w:qFormat/>
    <w:uiPriority w:val="0"/>
    <w:pPr>
      <w:ind w:left="2100" w:leftChars="1000"/>
    </w:pPr>
    <w:rPr>
      <w:rFonts w:ascii="Calibri" w:hAnsi="Calibri"/>
      <w:szCs w:val="22"/>
    </w:rPr>
  </w:style>
  <w:style w:type="paragraph" w:styleId="39">
    <w:name w:val="Body Text Indent 3"/>
    <w:basedOn w:val="1"/>
    <w:link w:val="85"/>
    <w:qFormat/>
    <w:uiPriority w:val="0"/>
    <w:pPr>
      <w:spacing w:after="120"/>
      <w:ind w:left="420" w:leftChars="200"/>
    </w:pPr>
    <w:rPr>
      <w:sz w:val="16"/>
      <w:szCs w:val="16"/>
    </w:rPr>
  </w:style>
  <w:style w:type="paragraph" w:styleId="40">
    <w:name w:val="toc 2"/>
    <w:basedOn w:val="1"/>
    <w:next w:val="1"/>
    <w:qFormat/>
    <w:uiPriority w:val="39"/>
    <w:pPr>
      <w:tabs>
        <w:tab w:val="right" w:leader="dot" w:pos="8302"/>
      </w:tabs>
      <w:spacing w:line="500" w:lineRule="exact"/>
      <w:ind w:left="420" w:leftChars="200"/>
    </w:pPr>
    <w:rPr>
      <w:rFonts w:ascii="宋体" w:hAnsi="宋体" w:cs="宋体"/>
    </w:rPr>
  </w:style>
  <w:style w:type="paragraph" w:styleId="41">
    <w:name w:val="toc 9"/>
    <w:basedOn w:val="1"/>
    <w:next w:val="1"/>
    <w:qFormat/>
    <w:uiPriority w:val="0"/>
    <w:pPr>
      <w:ind w:left="3360" w:leftChars="1600"/>
    </w:pPr>
    <w:rPr>
      <w:rFonts w:ascii="Calibri" w:hAnsi="Calibri"/>
      <w:szCs w:val="22"/>
    </w:rPr>
  </w:style>
  <w:style w:type="paragraph" w:styleId="42">
    <w:name w:val="Body Text 2"/>
    <w:basedOn w:val="1"/>
    <w:link w:val="86"/>
    <w:qFormat/>
    <w:uiPriority w:val="0"/>
    <w:pPr>
      <w:spacing w:after="120" w:line="480" w:lineRule="auto"/>
    </w:pPr>
  </w:style>
  <w:style w:type="paragraph" w:styleId="43">
    <w:name w:val="HTML Preformatted"/>
    <w:basedOn w:val="1"/>
    <w:link w:val="8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44">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5">
    <w:name w:val="annotation subject"/>
    <w:basedOn w:val="16"/>
    <w:next w:val="16"/>
    <w:link w:val="89"/>
    <w:qFormat/>
    <w:uiPriority w:val="0"/>
    <w:rPr>
      <w:b/>
      <w:bCs/>
    </w:rPr>
  </w:style>
  <w:style w:type="paragraph" w:styleId="46">
    <w:name w:val="Body Text First Indent"/>
    <w:basedOn w:val="20"/>
    <w:next w:val="1"/>
    <w:link w:val="90"/>
    <w:qFormat/>
    <w:uiPriority w:val="0"/>
    <w:pPr>
      <w:ind w:firstLine="420" w:firstLineChars="100"/>
    </w:pPr>
  </w:style>
  <w:style w:type="table" w:styleId="48">
    <w:name w:val="Table Grid"/>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Strong"/>
    <w:qFormat/>
    <w:uiPriority w:val="22"/>
    <w:rPr>
      <w:b/>
      <w:bCs/>
    </w:rPr>
  </w:style>
  <w:style w:type="character" w:styleId="51">
    <w:name w:val="page number"/>
    <w:qFormat/>
    <w:uiPriority w:val="0"/>
  </w:style>
  <w:style w:type="character" w:styleId="52">
    <w:name w:val="FollowedHyperlink"/>
    <w:qFormat/>
    <w:uiPriority w:val="0"/>
    <w:rPr>
      <w:color w:val="800080"/>
      <w:u w:val="single"/>
    </w:rPr>
  </w:style>
  <w:style w:type="character" w:styleId="53">
    <w:name w:val="Emphasis"/>
    <w:qFormat/>
    <w:uiPriority w:val="0"/>
    <w:rPr>
      <w:rFonts w:ascii="Times New Roman" w:hAnsi="Times New Roman" w:eastAsia="宋体"/>
    </w:rPr>
  </w:style>
  <w:style w:type="character" w:styleId="54">
    <w:name w:val="HTML Definition"/>
    <w:qFormat/>
    <w:uiPriority w:val="0"/>
    <w:rPr>
      <w:rFonts w:ascii="Times New Roman" w:hAnsi="Times New Roman" w:eastAsia="宋体"/>
    </w:rPr>
  </w:style>
  <w:style w:type="character" w:styleId="55">
    <w:name w:val="HTML Variable"/>
    <w:qFormat/>
    <w:uiPriority w:val="0"/>
    <w:rPr>
      <w:rFonts w:ascii="Times New Roman" w:hAnsi="Times New Roman" w:eastAsia="宋体"/>
    </w:rPr>
  </w:style>
  <w:style w:type="character" w:styleId="56">
    <w:name w:val="Hyperlink"/>
    <w:qFormat/>
    <w:uiPriority w:val="99"/>
    <w:rPr>
      <w:color w:val="136EC2"/>
      <w:u w:val="single"/>
    </w:rPr>
  </w:style>
  <w:style w:type="character" w:styleId="57">
    <w:name w:val="HTML Code"/>
    <w:qFormat/>
    <w:uiPriority w:val="0"/>
    <w:rPr>
      <w:rFonts w:ascii="Courier New" w:hAnsi="Courier New" w:eastAsia="Courier New" w:cs="Courier New"/>
      <w:sz w:val="20"/>
    </w:rPr>
  </w:style>
  <w:style w:type="character" w:styleId="58">
    <w:name w:val="annotation reference"/>
    <w:qFormat/>
    <w:uiPriority w:val="0"/>
    <w:rPr>
      <w:sz w:val="21"/>
      <w:szCs w:val="21"/>
    </w:rPr>
  </w:style>
  <w:style w:type="character" w:styleId="59">
    <w:name w:val="HTML Cite"/>
    <w:qFormat/>
    <w:uiPriority w:val="0"/>
    <w:rPr>
      <w:rFonts w:ascii="Times New Roman" w:hAnsi="Times New Roman" w:eastAsia="宋体"/>
    </w:rPr>
  </w:style>
  <w:style w:type="character" w:styleId="60">
    <w:name w:val="HTML Keyboard"/>
    <w:qFormat/>
    <w:uiPriority w:val="0"/>
    <w:rPr>
      <w:rFonts w:ascii="Courier New" w:hAnsi="Courier New" w:eastAsia="Courier New" w:cs="Courier New"/>
      <w:sz w:val="20"/>
    </w:rPr>
  </w:style>
  <w:style w:type="character" w:styleId="61">
    <w:name w:val="HTML Sample"/>
    <w:qFormat/>
    <w:uiPriority w:val="0"/>
    <w:rPr>
      <w:rFonts w:ascii="Courier New" w:hAnsi="Courier New" w:eastAsia="Courier New" w:cs="Courier New"/>
    </w:rPr>
  </w:style>
  <w:style w:type="paragraph" w:customStyle="1" w:styleId="6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63">
    <w:name w:val="Default"/>
    <w:basedOn w:val="3"/>
    <w:next w:val="2"/>
    <w:qFormat/>
    <w:uiPriority w:val="0"/>
    <w:pPr>
      <w:widowControl w:val="0"/>
      <w:autoSpaceDE w:val="0"/>
      <w:autoSpaceDN w:val="0"/>
      <w:adjustRightInd w:val="0"/>
    </w:pPr>
    <w:rPr>
      <w:rFonts w:ascii="黑体" w:hAnsi="Times New Roman" w:eastAsia="黑体" w:cs="Times New Roman"/>
      <w:lang w:val="en-US" w:eastAsia="zh-CN" w:bidi="ar-SA"/>
    </w:rPr>
  </w:style>
  <w:style w:type="character" w:customStyle="1" w:styleId="64">
    <w:name w:val="标题 1 字符"/>
    <w:basedOn w:val="49"/>
    <w:link w:val="2"/>
    <w:qFormat/>
    <w:uiPriority w:val="0"/>
    <w:rPr>
      <w:rFonts w:ascii="Times New Roman" w:hAnsi="Times New Roman" w:eastAsia="宋体" w:cs="Times New Roman"/>
      <w:b/>
      <w:bCs/>
      <w:sz w:val="28"/>
      <w:szCs w:val="20"/>
    </w:rPr>
  </w:style>
  <w:style w:type="character" w:customStyle="1" w:styleId="65">
    <w:name w:val="标题 2 字符"/>
    <w:basedOn w:val="49"/>
    <w:link w:val="4"/>
    <w:qFormat/>
    <w:uiPriority w:val="0"/>
    <w:rPr>
      <w:rFonts w:ascii="Arial" w:hAnsi="Arial" w:eastAsia="宋体" w:cs="Times New Roman"/>
      <w:b/>
      <w:bCs/>
      <w:sz w:val="24"/>
      <w:szCs w:val="32"/>
    </w:rPr>
  </w:style>
  <w:style w:type="character" w:customStyle="1" w:styleId="66">
    <w:name w:val="标题 3 字符"/>
    <w:basedOn w:val="49"/>
    <w:link w:val="5"/>
    <w:qFormat/>
    <w:uiPriority w:val="0"/>
    <w:rPr>
      <w:rFonts w:ascii="Times New Roman" w:hAnsi="Times New Roman" w:eastAsia="宋体" w:cs="Times New Roman"/>
      <w:b/>
      <w:bCs/>
      <w:sz w:val="32"/>
      <w:szCs w:val="32"/>
    </w:rPr>
  </w:style>
  <w:style w:type="character" w:customStyle="1" w:styleId="67">
    <w:name w:val="标题 4 字符"/>
    <w:basedOn w:val="49"/>
    <w:link w:val="6"/>
    <w:qFormat/>
    <w:uiPriority w:val="0"/>
    <w:rPr>
      <w:rFonts w:ascii="Arial" w:hAnsi="Arial" w:eastAsia="黑体" w:cs="Times New Roman"/>
      <w:b/>
      <w:bCs/>
      <w:sz w:val="28"/>
      <w:szCs w:val="28"/>
    </w:rPr>
  </w:style>
  <w:style w:type="character" w:customStyle="1" w:styleId="68">
    <w:name w:val="标题 5 字符"/>
    <w:basedOn w:val="49"/>
    <w:link w:val="7"/>
    <w:qFormat/>
    <w:uiPriority w:val="0"/>
    <w:rPr>
      <w:rFonts w:ascii="Times New Roman" w:hAnsi="Times New Roman" w:eastAsia="宋体" w:cs="Times New Roman"/>
      <w:b/>
      <w:bCs/>
      <w:kern w:val="0"/>
      <w:sz w:val="28"/>
      <w:szCs w:val="28"/>
    </w:rPr>
  </w:style>
  <w:style w:type="character" w:customStyle="1" w:styleId="69">
    <w:name w:val="标题 6 字符"/>
    <w:basedOn w:val="49"/>
    <w:link w:val="8"/>
    <w:qFormat/>
    <w:uiPriority w:val="0"/>
    <w:rPr>
      <w:rFonts w:ascii="Arial" w:hAnsi="Arial" w:eastAsia="黑体" w:cs="Times New Roman"/>
      <w:b/>
      <w:bCs/>
      <w:kern w:val="0"/>
      <w:sz w:val="24"/>
      <w:szCs w:val="24"/>
    </w:rPr>
  </w:style>
  <w:style w:type="character" w:customStyle="1" w:styleId="70">
    <w:name w:val="标题 7 字符"/>
    <w:basedOn w:val="49"/>
    <w:link w:val="9"/>
    <w:qFormat/>
    <w:uiPriority w:val="0"/>
    <w:rPr>
      <w:rFonts w:ascii="Times New Roman" w:hAnsi="Times New Roman" w:eastAsia="宋体" w:cs="Times New Roman"/>
      <w:b/>
      <w:bCs/>
      <w:kern w:val="0"/>
      <w:sz w:val="24"/>
      <w:szCs w:val="24"/>
    </w:rPr>
  </w:style>
  <w:style w:type="character" w:customStyle="1" w:styleId="71">
    <w:name w:val="标题 8 字符"/>
    <w:basedOn w:val="49"/>
    <w:link w:val="10"/>
    <w:qFormat/>
    <w:uiPriority w:val="0"/>
    <w:rPr>
      <w:rFonts w:ascii="Arial" w:hAnsi="Arial" w:eastAsia="黑体" w:cs="Times New Roman"/>
      <w:kern w:val="0"/>
      <w:sz w:val="24"/>
      <w:szCs w:val="24"/>
    </w:rPr>
  </w:style>
  <w:style w:type="character" w:customStyle="1" w:styleId="72">
    <w:name w:val="标题 9 字符"/>
    <w:basedOn w:val="49"/>
    <w:link w:val="11"/>
    <w:qFormat/>
    <w:uiPriority w:val="0"/>
    <w:rPr>
      <w:rFonts w:ascii="Arial" w:hAnsi="Arial" w:eastAsia="黑体" w:cs="Times New Roman"/>
      <w:kern w:val="0"/>
      <w:szCs w:val="21"/>
    </w:rPr>
  </w:style>
  <w:style w:type="character" w:customStyle="1" w:styleId="73">
    <w:name w:val="正文文本 字符"/>
    <w:basedOn w:val="49"/>
    <w:link w:val="20"/>
    <w:qFormat/>
    <w:uiPriority w:val="0"/>
    <w:rPr>
      <w:rFonts w:ascii="Times New Roman" w:hAnsi="Times New Roman" w:eastAsia="宋体" w:cs="Times New Roman"/>
      <w:szCs w:val="24"/>
    </w:rPr>
  </w:style>
  <w:style w:type="character" w:customStyle="1" w:styleId="74">
    <w:name w:val="文档结构图 字符"/>
    <w:basedOn w:val="49"/>
    <w:link w:val="14"/>
    <w:semiHidden/>
    <w:qFormat/>
    <w:uiPriority w:val="0"/>
    <w:rPr>
      <w:rFonts w:ascii="Times New Roman" w:hAnsi="Times New Roman" w:eastAsia="宋体" w:cs="Times New Roman"/>
      <w:szCs w:val="24"/>
      <w:shd w:val="clear" w:color="auto" w:fill="000080"/>
    </w:rPr>
  </w:style>
  <w:style w:type="character" w:customStyle="1" w:styleId="75">
    <w:name w:val="批注文字 字符"/>
    <w:basedOn w:val="49"/>
    <w:link w:val="16"/>
    <w:qFormat/>
    <w:uiPriority w:val="0"/>
    <w:rPr>
      <w:rFonts w:ascii="Times New Roman" w:hAnsi="Times New Roman" w:eastAsia="宋体" w:cs="Times New Roman"/>
      <w:szCs w:val="24"/>
    </w:rPr>
  </w:style>
  <w:style w:type="character" w:customStyle="1" w:styleId="76">
    <w:name w:val="称呼 字符"/>
    <w:basedOn w:val="49"/>
    <w:link w:val="18"/>
    <w:qFormat/>
    <w:uiPriority w:val="0"/>
    <w:rPr>
      <w:rFonts w:ascii="仿宋_GB2312" w:hAnsi="Times New Roman" w:eastAsia="仿宋_GB2312" w:cs="Times New Roman"/>
      <w:sz w:val="24"/>
      <w:szCs w:val="24"/>
    </w:rPr>
  </w:style>
  <w:style w:type="character" w:customStyle="1" w:styleId="77">
    <w:name w:val="正文文本 3 字符"/>
    <w:basedOn w:val="49"/>
    <w:link w:val="19"/>
    <w:qFormat/>
    <w:uiPriority w:val="0"/>
    <w:rPr>
      <w:rFonts w:ascii="宋体" w:hAnsi="Times New Roman" w:eastAsia="宋体" w:cs="Times New Roman"/>
      <w:color w:val="000000"/>
      <w:kern w:val="0"/>
      <w:sz w:val="24"/>
      <w:szCs w:val="20"/>
    </w:rPr>
  </w:style>
  <w:style w:type="character" w:customStyle="1" w:styleId="78">
    <w:name w:val="正文文本缩进 字符"/>
    <w:basedOn w:val="49"/>
    <w:link w:val="21"/>
    <w:qFormat/>
    <w:uiPriority w:val="0"/>
    <w:rPr>
      <w:rFonts w:ascii="Times New Roman" w:hAnsi="Times New Roman" w:eastAsia="宋体" w:cs="Times New Roman"/>
      <w:szCs w:val="24"/>
    </w:rPr>
  </w:style>
  <w:style w:type="character" w:customStyle="1" w:styleId="79">
    <w:name w:val="纯文本 字符"/>
    <w:basedOn w:val="49"/>
    <w:link w:val="26"/>
    <w:qFormat/>
    <w:uiPriority w:val="99"/>
    <w:rPr>
      <w:rFonts w:ascii="Times New Roman" w:hAnsi="Times New Roman" w:eastAsia="宋体" w:cs="Times New Roman"/>
      <w:sz w:val="24"/>
      <w:szCs w:val="20"/>
    </w:rPr>
  </w:style>
  <w:style w:type="character" w:customStyle="1" w:styleId="80">
    <w:name w:val="日期 字符"/>
    <w:basedOn w:val="49"/>
    <w:link w:val="28"/>
    <w:qFormat/>
    <w:uiPriority w:val="0"/>
    <w:rPr>
      <w:rFonts w:ascii="Times New Roman" w:hAnsi="Times New Roman" w:eastAsia="宋体" w:cs="Times New Roman"/>
      <w:sz w:val="24"/>
      <w:szCs w:val="20"/>
    </w:rPr>
  </w:style>
  <w:style w:type="character" w:customStyle="1" w:styleId="81">
    <w:name w:val="正文文本缩进 2 字符"/>
    <w:basedOn w:val="49"/>
    <w:link w:val="29"/>
    <w:qFormat/>
    <w:uiPriority w:val="0"/>
    <w:rPr>
      <w:rFonts w:ascii="Times New Roman" w:hAnsi="Times New Roman" w:eastAsia="宋体" w:cs="Times New Roman"/>
      <w:szCs w:val="24"/>
    </w:rPr>
  </w:style>
  <w:style w:type="character" w:customStyle="1" w:styleId="82">
    <w:name w:val="批注框文本 字符"/>
    <w:basedOn w:val="49"/>
    <w:link w:val="30"/>
    <w:qFormat/>
    <w:uiPriority w:val="0"/>
    <w:rPr>
      <w:rFonts w:ascii="Calibri" w:hAnsi="Calibri" w:eastAsia="宋体" w:cs="Times New Roman"/>
      <w:sz w:val="18"/>
      <w:szCs w:val="18"/>
    </w:rPr>
  </w:style>
  <w:style w:type="character" w:customStyle="1" w:styleId="83">
    <w:name w:val="页脚 字符"/>
    <w:basedOn w:val="49"/>
    <w:link w:val="31"/>
    <w:qFormat/>
    <w:uiPriority w:val="99"/>
    <w:rPr>
      <w:rFonts w:ascii="Times New Roman" w:hAnsi="Times New Roman" w:eastAsia="宋体" w:cs="Times New Roman"/>
      <w:sz w:val="18"/>
      <w:szCs w:val="18"/>
    </w:rPr>
  </w:style>
  <w:style w:type="character" w:customStyle="1" w:styleId="84">
    <w:name w:val="页眉 字符"/>
    <w:basedOn w:val="49"/>
    <w:link w:val="32"/>
    <w:qFormat/>
    <w:uiPriority w:val="0"/>
    <w:rPr>
      <w:rFonts w:ascii="Times New Roman" w:hAnsi="Times New Roman" w:eastAsia="宋体" w:cs="Times New Roman"/>
      <w:sz w:val="18"/>
      <w:szCs w:val="18"/>
    </w:rPr>
  </w:style>
  <w:style w:type="character" w:customStyle="1" w:styleId="85">
    <w:name w:val="正文文本缩进 3 字符"/>
    <w:basedOn w:val="49"/>
    <w:link w:val="39"/>
    <w:qFormat/>
    <w:uiPriority w:val="0"/>
    <w:rPr>
      <w:rFonts w:ascii="Times New Roman" w:hAnsi="Times New Roman" w:eastAsia="宋体" w:cs="Times New Roman"/>
      <w:sz w:val="16"/>
      <w:szCs w:val="16"/>
    </w:rPr>
  </w:style>
  <w:style w:type="character" w:customStyle="1" w:styleId="86">
    <w:name w:val="正文文本 2 字符"/>
    <w:basedOn w:val="49"/>
    <w:link w:val="42"/>
    <w:qFormat/>
    <w:uiPriority w:val="0"/>
    <w:rPr>
      <w:rFonts w:ascii="Times New Roman" w:hAnsi="Times New Roman" w:eastAsia="宋体" w:cs="Times New Roman"/>
      <w:szCs w:val="24"/>
    </w:rPr>
  </w:style>
  <w:style w:type="character" w:customStyle="1" w:styleId="87">
    <w:name w:val="HTML 预设格式 字符"/>
    <w:basedOn w:val="49"/>
    <w:link w:val="43"/>
    <w:qFormat/>
    <w:uiPriority w:val="0"/>
    <w:rPr>
      <w:rFonts w:ascii="Arial" w:hAnsi="Arial" w:eastAsia="宋体" w:cs="Arial"/>
      <w:kern w:val="0"/>
      <w:sz w:val="24"/>
      <w:szCs w:val="24"/>
    </w:rPr>
  </w:style>
  <w:style w:type="character" w:customStyle="1" w:styleId="88">
    <w:name w:val="标题 字符"/>
    <w:basedOn w:val="49"/>
    <w:link w:val="3"/>
    <w:qFormat/>
    <w:uiPriority w:val="0"/>
    <w:rPr>
      <w:rFonts w:ascii="Cambria" w:hAnsi="Cambria" w:eastAsia="宋体" w:cs="Times New Roman"/>
      <w:b/>
      <w:sz w:val="32"/>
      <w:szCs w:val="24"/>
    </w:rPr>
  </w:style>
  <w:style w:type="character" w:customStyle="1" w:styleId="89">
    <w:name w:val="批注主题 字符"/>
    <w:basedOn w:val="75"/>
    <w:link w:val="45"/>
    <w:qFormat/>
    <w:uiPriority w:val="0"/>
    <w:rPr>
      <w:rFonts w:ascii="Times New Roman" w:hAnsi="Times New Roman" w:eastAsia="宋体" w:cs="Times New Roman"/>
      <w:b/>
      <w:bCs/>
      <w:szCs w:val="24"/>
    </w:rPr>
  </w:style>
  <w:style w:type="character" w:customStyle="1" w:styleId="90">
    <w:name w:val="正文文本首行缩进 字符"/>
    <w:basedOn w:val="73"/>
    <w:link w:val="46"/>
    <w:qFormat/>
    <w:uiPriority w:val="0"/>
    <w:rPr>
      <w:rFonts w:ascii="Times New Roman" w:hAnsi="Times New Roman" w:eastAsia="宋体" w:cs="Times New Roman"/>
      <w:szCs w:val="24"/>
    </w:rPr>
  </w:style>
  <w:style w:type="character" w:customStyle="1" w:styleId="91">
    <w:name w:val="Font Style122"/>
    <w:unhideWhenUsed/>
    <w:qFormat/>
    <w:uiPriority w:val="0"/>
    <w:rPr>
      <w:rFonts w:hint="eastAsia" w:ascii="宋体" w:hAnsi="宋体" w:eastAsia="宋体"/>
      <w:spacing w:val="20"/>
      <w:sz w:val="24"/>
    </w:rPr>
  </w:style>
  <w:style w:type="character" w:customStyle="1" w:styleId="92">
    <w:name w:val="标题 4 Char Char"/>
    <w:qFormat/>
    <w:uiPriority w:val="0"/>
    <w:rPr>
      <w:rFonts w:ascii="Arial" w:hAnsi="Arial" w:eastAsia="宋体"/>
      <w:b/>
      <w:bCs/>
      <w:kern w:val="2"/>
      <w:sz w:val="21"/>
      <w:szCs w:val="28"/>
      <w:lang w:val="en-US" w:eastAsia="zh-CN" w:bidi="ar-SA"/>
    </w:rPr>
  </w:style>
  <w:style w:type="character" w:customStyle="1" w:styleId="93">
    <w:name w:val="标题 1 Char"/>
    <w:qFormat/>
    <w:uiPriority w:val="0"/>
    <w:rPr>
      <w:rFonts w:ascii="Cambria" w:hAnsi="Cambria"/>
      <w:b/>
      <w:bCs/>
      <w:kern w:val="32"/>
      <w:sz w:val="32"/>
      <w:szCs w:val="32"/>
    </w:rPr>
  </w:style>
  <w:style w:type="character" w:customStyle="1" w:styleId="94">
    <w:name w:val="Font Style116"/>
    <w:unhideWhenUsed/>
    <w:qFormat/>
    <w:uiPriority w:val="0"/>
    <w:rPr>
      <w:rFonts w:hint="eastAsia" w:ascii="宋体" w:hAnsi="宋体" w:eastAsia="宋体"/>
      <w:spacing w:val="-20"/>
      <w:sz w:val="24"/>
    </w:rPr>
  </w:style>
  <w:style w:type="character" w:customStyle="1" w:styleId="95">
    <w:name w:val="标题 6 Char"/>
    <w:qFormat/>
    <w:uiPriority w:val="0"/>
    <w:rPr>
      <w:rFonts w:ascii="Arial" w:hAnsi="Arial" w:eastAsia="黑体"/>
      <w:b/>
      <w:bCs/>
      <w:sz w:val="24"/>
      <w:szCs w:val="24"/>
    </w:rPr>
  </w:style>
  <w:style w:type="character" w:customStyle="1" w:styleId="96">
    <w:name w:val="Font Style127"/>
    <w:unhideWhenUsed/>
    <w:qFormat/>
    <w:uiPriority w:val="0"/>
    <w:rPr>
      <w:rFonts w:hint="eastAsia" w:ascii="Times New Roman" w:hAnsi="Times New Roman" w:eastAsia="Times New Roman"/>
      <w:sz w:val="20"/>
    </w:rPr>
  </w:style>
  <w:style w:type="character" w:customStyle="1" w:styleId="97">
    <w:name w:val="Font Style121"/>
    <w:unhideWhenUsed/>
    <w:qFormat/>
    <w:uiPriority w:val="0"/>
    <w:rPr>
      <w:rFonts w:hint="eastAsia" w:ascii="宋体" w:hAnsi="宋体" w:eastAsia="宋体"/>
      <w:spacing w:val="-10"/>
      <w:sz w:val="30"/>
    </w:rPr>
  </w:style>
  <w:style w:type="character" w:customStyle="1" w:styleId="98">
    <w:name w:val="bds_nopic2"/>
    <w:qFormat/>
    <w:uiPriority w:val="0"/>
    <w:rPr>
      <w:rFonts w:ascii="Times New Roman" w:hAnsi="Times New Roman" w:eastAsia="宋体"/>
    </w:rPr>
  </w:style>
  <w:style w:type="character" w:customStyle="1" w:styleId="99">
    <w:name w:val="param-name"/>
    <w:qFormat/>
    <w:uiPriority w:val="0"/>
  </w:style>
  <w:style w:type="character" w:customStyle="1" w:styleId="100">
    <w:name w:val="bookmark-item"/>
    <w:qFormat/>
    <w:uiPriority w:val="0"/>
  </w:style>
  <w:style w:type="character" w:customStyle="1" w:styleId="101">
    <w:name w:val="标题 5 Char"/>
    <w:qFormat/>
    <w:uiPriority w:val="0"/>
    <w:rPr>
      <w:b/>
      <w:bCs/>
      <w:kern w:val="2"/>
      <w:sz w:val="28"/>
      <w:szCs w:val="28"/>
    </w:rPr>
  </w:style>
  <w:style w:type="character" w:customStyle="1" w:styleId="102">
    <w:name w:val="Font Style119"/>
    <w:unhideWhenUsed/>
    <w:qFormat/>
    <w:uiPriority w:val="0"/>
    <w:rPr>
      <w:rFonts w:hint="eastAsia" w:ascii="宋体" w:hAnsi="宋体" w:eastAsia="宋体"/>
      <w:sz w:val="24"/>
    </w:rPr>
  </w:style>
  <w:style w:type="character" w:customStyle="1" w:styleId="103">
    <w:name w:val="批注文字 Char"/>
    <w:qFormat/>
    <w:uiPriority w:val="0"/>
    <w:rPr>
      <w:kern w:val="2"/>
      <w:sz w:val="21"/>
      <w:szCs w:val="24"/>
    </w:rPr>
  </w:style>
  <w:style w:type="character" w:customStyle="1" w:styleId="104">
    <w:name w:val="bds_more7"/>
    <w:qFormat/>
    <w:uiPriority w:val="0"/>
    <w:rPr>
      <w:rFonts w:ascii="Times New Roman" w:hAnsi="Times New Roman" w:eastAsia="宋体"/>
    </w:rPr>
  </w:style>
  <w:style w:type="character" w:customStyle="1" w:styleId="105">
    <w:name w:val="纯文本 Char1 Char Char Char"/>
    <w:semiHidden/>
    <w:qFormat/>
    <w:locked/>
    <w:uiPriority w:val="0"/>
    <w:rPr>
      <w:rFonts w:ascii="宋体" w:hAnsi="Courier New" w:eastAsia="宋体"/>
      <w:kern w:val="2"/>
      <w:sz w:val="24"/>
      <w:szCs w:val="24"/>
      <w:lang w:val="en-US" w:eastAsia="zh-CN" w:bidi="ar-SA"/>
    </w:rPr>
  </w:style>
  <w:style w:type="character" w:customStyle="1" w:styleId="106">
    <w:name w:val="sidecatalog-index2"/>
    <w:qFormat/>
    <w:uiPriority w:val="0"/>
    <w:rPr>
      <w:rFonts w:ascii="Arail" w:hAnsi="Arail" w:eastAsia="Arail" w:cs="Arail"/>
      <w:color w:val="999999"/>
      <w:sz w:val="21"/>
      <w:szCs w:val="21"/>
    </w:rPr>
  </w:style>
  <w:style w:type="character" w:customStyle="1" w:styleId="107">
    <w:name w:val="批注框文本 Char"/>
    <w:qFormat/>
    <w:uiPriority w:val="0"/>
    <w:rPr>
      <w:kern w:val="2"/>
      <w:sz w:val="18"/>
      <w:szCs w:val="18"/>
    </w:rPr>
  </w:style>
  <w:style w:type="character" w:customStyle="1" w:styleId="108">
    <w:name w:val="apple-converted-space"/>
    <w:qFormat/>
    <w:uiPriority w:val="0"/>
    <w:rPr>
      <w:rFonts w:ascii="Tahoma" w:hAnsi="Tahoma" w:cs="仿宋_GB2312"/>
      <w:sz w:val="24"/>
      <w:szCs w:val="28"/>
    </w:rPr>
  </w:style>
  <w:style w:type="character" w:customStyle="1" w:styleId="109">
    <w:name w:val="Char Char17"/>
    <w:qFormat/>
    <w:uiPriority w:val="0"/>
    <w:rPr>
      <w:rFonts w:ascii="宋体" w:hAnsi="Times New Roman" w:eastAsia="宋体"/>
      <w:b/>
      <w:sz w:val="28"/>
      <w:lang w:val="en-US" w:eastAsia="zh-CN" w:bidi="ar-SA"/>
    </w:rPr>
  </w:style>
  <w:style w:type="character" w:customStyle="1" w:styleId="110">
    <w:name w:val="标题 9 Char"/>
    <w:qFormat/>
    <w:uiPriority w:val="0"/>
    <w:rPr>
      <w:rFonts w:ascii="Arial" w:hAnsi="Arial" w:eastAsia="黑体"/>
      <w:sz w:val="21"/>
      <w:szCs w:val="21"/>
    </w:rPr>
  </w:style>
  <w:style w:type="character" w:customStyle="1" w:styleId="111">
    <w:name w:val="Font Style126"/>
    <w:unhideWhenUsed/>
    <w:qFormat/>
    <w:uiPriority w:val="0"/>
    <w:rPr>
      <w:rFonts w:hint="eastAsia" w:ascii="宋体" w:hAnsi="宋体" w:eastAsia="宋体"/>
      <w:b/>
      <w:spacing w:val="-30"/>
      <w:sz w:val="28"/>
    </w:rPr>
  </w:style>
  <w:style w:type="character" w:customStyle="1" w:styleId="112">
    <w:name w:val="Char Char15"/>
    <w:qFormat/>
    <w:uiPriority w:val="0"/>
    <w:rPr>
      <w:b/>
      <w:bCs/>
      <w:sz w:val="24"/>
      <w:szCs w:val="24"/>
    </w:rPr>
  </w:style>
  <w:style w:type="character" w:customStyle="1" w:styleId="113">
    <w:name w:val="Font Style94"/>
    <w:unhideWhenUsed/>
    <w:qFormat/>
    <w:uiPriority w:val="0"/>
    <w:rPr>
      <w:rFonts w:hint="eastAsia" w:ascii="Times New Roman" w:hAnsi="Times New Roman" w:eastAsia="Times New Roman"/>
      <w:sz w:val="28"/>
    </w:rPr>
  </w:style>
  <w:style w:type="character" w:customStyle="1" w:styleId="114">
    <w:name w:val="Char Char14"/>
    <w:qFormat/>
    <w:uiPriority w:val="0"/>
    <w:rPr>
      <w:rFonts w:ascii="Arial" w:hAnsi="Arial" w:eastAsia="黑体"/>
      <w:b/>
      <w:bCs/>
      <w:sz w:val="28"/>
      <w:szCs w:val="28"/>
      <w:lang w:val="en-US" w:eastAsia="zh-CN" w:bidi="ar-SA"/>
    </w:rPr>
  </w:style>
  <w:style w:type="character" w:customStyle="1" w:styleId="115">
    <w:name w:val="p0 Char"/>
    <w:link w:val="116"/>
    <w:qFormat/>
    <w:uiPriority w:val="0"/>
    <w:rPr>
      <w:rFonts w:eastAsia="宋体"/>
      <w:szCs w:val="21"/>
    </w:rPr>
  </w:style>
  <w:style w:type="paragraph" w:customStyle="1" w:styleId="116">
    <w:name w:val="p0"/>
    <w:basedOn w:val="1"/>
    <w:link w:val="115"/>
    <w:qFormat/>
    <w:uiPriority w:val="0"/>
    <w:pPr>
      <w:widowControl/>
    </w:pPr>
    <w:rPr>
      <w:rFonts w:asciiTheme="minorHAnsi" w:hAnsiTheme="minorHAnsi" w:cstheme="minorBidi"/>
      <w:szCs w:val="21"/>
    </w:rPr>
  </w:style>
  <w:style w:type="character" w:customStyle="1" w:styleId="117">
    <w:name w:val="Char Char16"/>
    <w:qFormat/>
    <w:uiPriority w:val="0"/>
    <w:rPr>
      <w:rFonts w:ascii="宋体" w:hAnsi="Times New Roman" w:eastAsia="宋体"/>
      <w:b/>
      <w:sz w:val="24"/>
      <w:lang w:val="en-US" w:eastAsia="zh-CN" w:bidi="ar-SA"/>
    </w:rPr>
  </w:style>
  <w:style w:type="character" w:customStyle="1" w:styleId="118">
    <w:name w:val="bds_more9"/>
    <w:qFormat/>
    <w:uiPriority w:val="0"/>
    <w:rPr>
      <w:rFonts w:ascii="Times New Roman" w:hAnsi="Times New Roman" w:eastAsia="宋体"/>
    </w:rPr>
  </w:style>
  <w:style w:type="character" w:customStyle="1" w:styleId="119">
    <w:name w:val="sidecatalog-index1"/>
    <w:qFormat/>
    <w:uiPriority w:val="0"/>
    <w:rPr>
      <w:rFonts w:ascii="Arial" w:hAnsi="Arial" w:eastAsia="宋体" w:cs="Arial"/>
      <w:b/>
      <w:color w:val="999999"/>
      <w:sz w:val="21"/>
      <w:szCs w:val="21"/>
    </w:rPr>
  </w:style>
  <w:style w:type="character" w:customStyle="1" w:styleId="120">
    <w:name w:val="Font Style104"/>
    <w:unhideWhenUsed/>
    <w:qFormat/>
    <w:uiPriority w:val="0"/>
    <w:rPr>
      <w:rFonts w:hint="eastAsia" w:ascii="宋体" w:hAnsi="宋体" w:eastAsia="宋体"/>
      <w:spacing w:val="30"/>
      <w:sz w:val="18"/>
    </w:rPr>
  </w:style>
  <w:style w:type="character" w:customStyle="1" w:styleId="121">
    <w:name w:val="sidecatalog-dot"/>
    <w:qFormat/>
    <w:uiPriority w:val="0"/>
    <w:rPr>
      <w:rFonts w:ascii="Times New Roman" w:hAnsi="Times New Roman" w:eastAsia="宋体"/>
    </w:rPr>
  </w:style>
  <w:style w:type="character" w:customStyle="1" w:styleId="122">
    <w:name w:val="bds_more8"/>
    <w:qFormat/>
    <w:uiPriority w:val="0"/>
    <w:rPr>
      <w:rFonts w:ascii="Times New Roman" w:hAnsi="Times New Roman" w:eastAsia="宋体"/>
    </w:rPr>
  </w:style>
  <w:style w:type="character" w:customStyle="1" w:styleId="123">
    <w:name w:val="plus"/>
    <w:qFormat/>
    <w:uiPriority w:val="0"/>
    <w:rPr>
      <w:rFonts w:ascii="Times New Roman" w:hAnsi="Times New Roman" w:eastAsia="宋体"/>
      <w:b/>
      <w:vanish/>
      <w:color w:val="1F8DEF"/>
      <w:sz w:val="24"/>
      <w:szCs w:val="24"/>
    </w:rPr>
  </w:style>
  <w:style w:type="character" w:customStyle="1" w:styleId="124">
    <w:name w:val="polysemyred"/>
    <w:qFormat/>
    <w:uiPriority w:val="0"/>
    <w:rPr>
      <w:rFonts w:ascii="Times New Roman" w:hAnsi="Times New Roman" w:eastAsia="宋体"/>
      <w:color w:val="FF6666"/>
      <w:sz w:val="18"/>
      <w:szCs w:val="18"/>
    </w:rPr>
  </w:style>
  <w:style w:type="character" w:customStyle="1" w:styleId="125">
    <w:name w:val="lemmatitleh12"/>
    <w:qFormat/>
    <w:uiPriority w:val="0"/>
    <w:rPr>
      <w:rFonts w:ascii="Times New Roman" w:hAnsi="Times New Roman" w:eastAsia="宋体"/>
    </w:rPr>
  </w:style>
  <w:style w:type="character" w:customStyle="1" w:styleId="126">
    <w:name w:val="页脚 Char"/>
    <w:qFormat/>
    <w:uiPriority w:val="99"/>
    <w:rPr>
      <w:kern w:val="2"/>
      <w:sz w:val="18"/>
      <w:szCs w:val="18"/>
    </w:rPr>
  </w:style>
  <w:style w:type="character" w:customStyle="1" w:styleId="127">
    <w:name w:val="批注文字 Char Char"/>
    <w:qFormat/>
    <w:uiPriority w:val="0"/>
    <w:rPr>
      <w:kern w:val="2"/>
      <w:sz w:val="21"/>
      <w:szCs w:val="24"/>
      <w:lang w:bidi="ar-SA"/>
    </w:rPr>
  </w:style>
  <w:style w:type="character" w:customStyle="1" w:styleId="128">
    <w:name w:val="p0 Char Char"/>
    <w:qFormat/>
    <w:uiPriority w:val="0"/>
    <w:rPr>
      <w:rFonts w:eastAsia="宋体"/>
      <w:kern w:val="2"/>
      <w:sz w:val="21"/>
      <w:szCs w:val="21"/>
      <w:lang w:val="en-US" w:eastAsia="zh-CN" w:bidi="ar-SA"/>
    </w:rPr>
  </w:style>
  <w:style w:type="character" w:customStyle="1" w:styleId="129">
    <w:name w:val="Font Style128"/>
    <w:unhideWhenUsed/>
    <w:qFormat/>
    <w:uiPriority w:val="0"/>
    <w:rPr>
      <w:rFonts w:hint="eastAsia" w:ascii="Times New Roman" w:hAnsi="Times New Roman" w:eastAsia="Times New Roman"/>
      <w:sz w:val="16"/>
    </w:rPr>
  </w:style>
  <w:style w:type="character" w:customStyle="1" w:styleId="130">
    <w:name w:val="desc"/>
    <w:qFormat/>
    <w:uiPriority w:val="0"/>
    <w:rPr>
      <w:rFonts w:ascii="Times New Roman" w:hAnsi="Times New Roman" w:eastAsia="宋体"/>
      <w:color w:val="000000"/>
      <w:sz w:val="18"/>
      <w:szCs w:val="18"/>
    </w:rPr>
  </w:style>
  <w:style w:type="character" w:customStyle="1" w:styleId="131">
    <w:name w:val="Font Style117"/>
    <w:unhideWhenUsed/>
    <w:qFormat/>
    <w:uiPriority w:val="0"/>
    <w:rPr>
      <w:rFonts w:hint="eastAsia" w:ascii="宋体" w:hAnsi="宋体" w:eastAsia="宋体"/>
      <w:spacing w:val="20"/>
      <w:sz w:val="24"/>
    </w:rPr>
  </w:style>
  <w:style w:type="character" w:customStyle="1" w:styleId="132">
    <w:name w:val="Font Style90"/>
    <w:unhideWhenUsed/>
    <w:qFormat/>
    <w:uiPriority w:val="0"/>
    <w:rPr>
      <w:rFonts w:hint="eastAsia" w:ascii="宋体" w:hAnsi="宋体" w:eastAsia="宋体"/>
      <w:b/>
      <w:spacing w:val="-20"/>
      <w:sz w:val="40"/>
    </w:rPr>
  </w:style>
  <w:style w:type="character" w:customStyle="1" w:styleId="133">
    <w:name w:val="批注主题 Char"/>
    <w:qFormat/>
    <w:uiPriority w:val="0"/>
    <w:rPr>
      <w:b/>
      <w:bCs/>
      <w:kern w:val="2"/>
      <w:sz w:val="21"/>
      <w:szCs w:val="24"/>
    </w:rPr>
  </w:style>
  <w:style w:type="character" w:customStyle="1" w:styleId="134">
    <w:name w:val="标题 Char1"/>
    <w:qFormat/>
    <w:uiPriority w:val="0"/>
    <w:rPr>
      <w:rFonts w:ascii="Cambria" w:hAnsi="Cambria" w:eastAsia="宋体" w:cs="Times New Roman"/>
      <w:b/>
      <w:bCs/>
      <w:sz w:val="32"/>
      <w:szCs w:val="32"/>
    </w:rPr>
  </w:style>
  <w:style w:type="character" w:customStyle="1" w:styleId="135">
    <w:name w:val="普通文字 Char"/>
    <w:semiHidden/>
    <w:qFormat/>
    <w:locked/>
    <w:uiPriority w:val="0"/>
    <w:rPr>
      <w:rFonts w:ascii="宋体" w:hAnsi="Courier New" w:eastAsia="宋体" w:cs="Courier New"/>
      <w:kern w:val="2"/>
      <w:sz w:val="21"/>
      <w:szCs w:val="21"/>
      <w:lang w:val="en-US" w:eastAsia="zh-CN" w:bidi="ar-SA"/>
    </w:rPr>
  </w:style>
  <w:style w:type="character" w:customStyle="1" w:styleId="136">
    <w:name w:val="Font Style131"/>
    <w:unhideWhenUsed/>
    <w:qFormat/>
    <w:uiPriority w:val="0"/>
    <w:rPr>
      <w:rFonts w:hint="eastAsia" w:ascii="Times New Roman" w:hAnsi="Times New Roman" w:eastAsia="Times New Roman"/>
      <w:sz w:val="18"/>
    </w:rPr>
  </w:style>
  <w:style w:type="character" w:customStyle="1" w:styleId="137">
    <w:name w:val="morelink-item"/>
    <w:qFormat/>
    <w:uiPriority w:val="0"/>
    <w:rPr>
      <w:rFonts w:ascii="Times New Roman" w:hAnsi="Times New Roman" w:eastAsia="宋体"/>
    </w:rPr>
  </w:style>
  <w:style w:type="character" w:customStyle="1" w:styleId="138">
    <w:name w:val="apple-style-span"/>
    <w:qFormat/>
    <w:uiPriority w:val="0"/>
    <w:rPr>
      <w:rFonts w:ascii="Tahoma" w:hAnsi="Tahoma" w:cs="仿宋_GB2312"/>
      <w:sz w:val="24"/>
      <w:szCs w:val="28"/>
    </w:rPr>
  </w:style>
  <w:style w:type="character" w:customStyle="1" w:styleId="139">
    <w:name w:val="bds_more10"/>
    <w:qFormat/>
    <w:uiPriority w:val="0"/>
    <w:rPr>
      <w:rFonts w:ascii="Times New Roman" w:hAnsi="Times New Roman" w:eastAsia="宋体"/>
    </w:rPr>
  </w:style>
  <w:style w:type="character" w:customStyle="1" w:styleId="140">
    <w:name w:val="普通文字1 Char"/>
    <w:qFormat/>
    <w:uiPriority w:val="0"/>
    <w:rPr>
      <w:rFonts w:ascii="宋体" w:hAnsi="Courier New" w:eastAsia="宋体" w:cs="Courier New"/>
      <w:kern w:val="2"/>
      <w:sz w:val="21"/>
      <w:szCs w:val="21"/>
      <w:lang w:val="en-US" w:eastAsia="zh-CN" w:bidi="ar-SA"/>
    </w:rPr>
  </w:style>
  <w:style w:type="character" w:customStyle="1" w:styleId="141">
    <w:name w:val="bds_nopic1"/>
    <w:qFormat/>
    <w:uiPriority w:val="0"/>
    <w:rPr>
      <w:rFonts w:ascii="Times New Roman" w:hAnsi="Times New Roman" w:eastAsia="宋体"/>
    </w:rPr>
  </w:style>
  <w:style w:type="character" w:customStyle="1" w:styleId="142">
    <w:name w:val="标题 3 Char"/>
    <w:qFormat/>
    <w:uiPriority w:val="0"/>
    <w:rPr>
      <w:b/>
      <w:bCs/>
      <w:sz w:val="24"/>
      <w:szCs w:val="24"/>
    </w:rPr>
  </w:style>
  <w:style w:type="character" w:customStyle="1" w:styleId="143">
    <w:name w:val="Font Style124"/>
    <w:unhideWhenUsed/>
    <w:qFormat/>
    <w:uiPriority w:val="0"/>
    <w:rPr>
      <w:rFonts w:hint="eastAsia" w:ascii="宋体" w:hAnsi="宋体" w:eastAsia="宋体"/>
      <w:spacing w:val="30"/>
      <w:sz w:val="24"/>
    </w:rPr>
  </w:style>
  <w:style w:type="character" w:customStyle="1" w:styleId="144">
    <w:name w:val="正文文本缩进 3 Char"/>
    <w:qFormat/>
    <w:uiPriority w:val="0"/>
    <w:rPr>
      <w:rFonts w:ascii="宋体" w:hAnsi="MS Sans Serif"/>
      <w:color w:val="000000"/>
      <w:sz w:val="24"/>
    </w:rPr>
  </w:style>
  <w:style w:type="character" w:customStyle="1" w:styleId="145">
    <w:name w:val="font21"/>
    <w:qFormat/>
    <w:uiPriority w:val="0"/>
    <w:rPr>
      <w:rFonts w:hint="eastAsia" w:ascii="宋体" w:hAnsi="宋体" w:eastAsia="宋体" w:cs="宋体"/>
      <w:color w:val="333333"/>
      <w:sz w:val="18"/>
      <w:szCs w:val="18"/>
      <w:u w:val="none"/>
      <w:vertAlign w:val="superscript"/>
    </w:rPr>
  </w:style>
  <w:style w:type="character" w:customStyle="1" w:styleId="146">
    <w:name w:val="zzi1"/>
    <w:qFormat/>
    <w:uiPriority w:val="0"/>
    <w:rPr>
      <w:rFonts w:ascii="Tahoma" w:hAnsi="Tahoma" w:cs="仿宋_GB2312"/>
      <w:sz w:val="22"/>
      <w:szCs w:val="22"/>
    </w:rPr>
  </w:style>
  <w:style w:type="character" w:customStyle="1" w:styleId="147">
    <w:name w:val="Font Style125"/>
    <w:unhideWhenUsed/>
    <w:qFormat/>
    <w:uiPriority w:val="0"/>
    <w:rPr>
      <w:rFonts w:hint="eastAsia" w:ascii="宋体" w:hAnsi="宋体" w:eastAsia="宋体"/>
      <w:b/>
      <w:sz w:val="26"/>
    </w:rPr>
  </w:style>
  <w:style w:type="character" w:customStyle="1" w:styleId="148">
    <w:name w:val="font11"/>
    <w:qFormat/>
    <w:uiPriority w:val="0"/>
    <w:rPr>
      <w:rFonts w:hint="default" w:ascii="Times New Roman" w:hAnsi="Times New Roman" w:cs="Times New Roman"/>
      <w:b/>
      <w:color w:val="000000"/>
      <w:sz w:val="21"/>
      <w:szCs w:val="21"/>
      <w:u w:val="none"/>
    </w:rPr>
  </w:style>
  <w:style w:type="character" w:customStyle="1" w:styleId="149">
    <w:name w:val="polysemyexp"/>
    <w:qFormat/>
    <w:uiPriority w:val="0"/>
    <w:rPr>
      <w:rFonts w:ascii="Times New Roman" w:hAnsi="Times New Roman" w:eastAsia="宋体"/>
      <w:color w:val="AAAAAA"/>
      <w:sz w:val="18"/>
      <w:szCs w:val="18"/>
    </w:rPr>
  </w:style>
  <w:style w:type="character" w:customStyle="1" w:styleId="150">
    <w:name w:val="Font Style115"/>
    <w:unhideWhenUsed/>
    <w:qFormat/>
    <w:uiPriority w:val="0"/>
    <w:rPr>
      <w:rFonts w:hint="eastAsia" w:ascii="Times New Roman" w:hAnsi="Times New Roman" w:eastAsia="Times New Roman"/>
      <w:sz w:val="16"/>
    </w:rPr>
  </w:style>
  <w:style w:type="character" w:customStyle="1" w:styleId="151">
    <w:name w:val="Font Style123"/>
    <w:unhideWhenUsed/>
    <w:qFormat/>
    <w:uiPriority w:val="0"/>
    <w:rPr>
      <w:rFonts w:hint="eastAsia" w:ascii="宋体" w:hAnsi="宋体" w:eastAsia="宋体"/>
      <w:b/>
      <w:sz w:val="32"/>
    </w:rPr>
  </w:style>
  <w:style w:type="character" w:customStyle="1" w:styleId="152">
    <w:name w:val="标题 4 Char"/>
    <w:qFormat/>
    <w:uiPriority w:val="0"/>
    <w:rPr>
      <w:rFonts w:ascii="Arial" w:hAnsi="Arial" w:eastAsia="宋体" w:cs="Times New Roman"/>
      <w:b/>
      <w:bCs/>
      <w:szCs w:val="28"/>
    </w:rPr>
  </w:style>
  <w:style w:type="character" w:customStyle="1" w:styleId="153">
    <w:name w:val="日期 Char"/>
    <w:qFormat/>
    <w:uiPriority w:val="0"/>
    <w:rPr>
      <w:kern w:val="2"/>
      <w:sz w:val="21"/>
      <w:szCs w:val="24"/>
    </w:rPr>
  </w:style>
  <w:style w:type="character" w:customStyle="1" w:styleId="154">
    <w:name w:val="Heading 2 Hidden Char"/>
    <w:qFormat/>
    <w:uiPriority w:val="0"/>
    <w:rPr>
      <w:rFonts w:ascii="Arial" w:hAnsi="Arial" w:eastAsia="宋体"/>
      <w:b/>
      <w:bCs/>
      <w:kern w:val="2"/>
      <w:sz w:val="24"/>
      <w:szCs w:val="32"/>
      <w:lang w:val="en-US" w:eastAsia="zh-CN" w:bidi="ar-SA"/>
    </w:rPr>
  </w:style>
  <w:style w:type="character" w:customStyle="1" w:styleId="155">
    <w:name w:val="标题 Char"/>
    <w:qFormat/>
    <w:uiPriority w:val="0"/>
    <w:rPr>
      <w:rFonts w:ascii="Cambria" w:hAnsi="Cambria"/>
      <w:b/>
      <w:kern w:val="2"/>
      <w:sz w:val="32"/>
      <w:szCs w:val="24"/>
    </w:rPr>
  </w:style>
  <w:style w:type="character" w:customStyle="1" w:styleId="156">
    <w:name w:val="Font Style105"/>
    <w:unhideWhenUsed/>
    <w:qFormat/>
    <w:uiPriority w:val="0"/>
    <w:rPr>
      <w:rFonts w:hint="eastAsia" w:ascii="Times New Roman" w:hAnsi="Times New Roman" w:eastAsia="Times New Roman"/>
      <w:w w:val="60"/>
      <w:sz w:val="26"/>
    </w:rPr>
  </w:style>
  <w:style w:type="character" w:customStyle="1" w:styleId="157">
    <w:name w:val="标题 2 Char"/>
    <w:qFormat/>
    <w:uiPriority w:val="0"/>
    <w:rPr>
      <w:rFonts w:ascii="Cambria" w:hAnsi="Cambria" w:eastAsia="宋体" w:cs="Times New Roman"/>
      <w:b/>
      <w:bCs/>
      <w:kern w:val="2"/>
      <w:sz w:val="32"/>
      <w:szCs w:val="32"/>
    </w:rPr>
  </w:style>
  <w:style w:type="character" w:customStyle="1" w:styleId="158">
    <w:name w:val="sidecatalog-dot1"/>
    <w:qFormat/>
    <w:uiPriority w:val="0"/>
    <w:rPr>
      <w:rFonts w:ascii="Times New Roman" w:hAnsi="Times New Roman" w:eastAsia="宋体"/>
    </w:rPr>
  </w:style>
  <w:style w:type="character" w:customStyle="1" w:styleId="159">
    <w:name w:val="Font Style133"/>
    <w:unhideWhenUsed/>
    <w:qFormat/>
    <w:uiPriority w:val="0"/>
    <w:rPr>
      <w:rFonts w:hint="eastAsia" w:ascii="宋体" w:hAnsi="宋体" w:eastAsia="宋体"/>
      <w:spacing w:val="30"/>
      <w:sz w:val="24"/>
    </w:rPr>
  </w:style>
  <w:style w:type="character" w:customStyle="1" w:styleId="160">
    <w:name w:val="标题 8 Char"/>
    <w:qFormat/>
    <w:uiPriority w:val="0"/>
    <w:rPr>
      <w:rFonts w:ascii="Arial" w:hAnsi="Arial" w:eastAsia="黑体"/>
      <w:sz w:val="24"/>
      <w:szCs w:val="24"/>
    </w:rPr>
  </w:style>
  <w:style w:type="character" w:customStyle="1" w:styleId="161">
    <w:name w:val="bds_nopic"/>
    <w:qFormat/>
    <w:uiPriority w:val="0"/>
    <w:rPr>
      <w:rFonts w:ascii="Times New Roman" w:hAnsi="Times New Roman" w:eastAsia="宋体"/>
    </w:rPr>
  </w:style>
  <w:style w:type="character" w:customStyle="1" w:styleId="162">
    <w:name w:val="sort1"/>
    <w:qFormat/>
    <w:uiPriority w:val="0"/>
    <w:rPr>
      <w:rFonts w:ascii="Times New Roman" w:hAnsi="Times New Roman" w:eastAsia="宋体"/>
    </w:rPr>
  </w:style>
  <w:style w:type="character" w:customStyle="1" w:styleId="163">
    <w:name w:val="font61"/>
    <w:qFormat/>
    <w:uiPriority w:val="0"/>
    <w:rPr>
      <w:rFonts w:hint="eastAsia" w:ascii="宋体" w:hAnsi="宋体" w:eastAsia="宋体" w:cs="宋体"/>
      <w:color w:val="333333"/>
      <w:sz w:val="18"/>
      <w:szCs w:val="18"/>
      <w:u w:val="none"/>
    </w:rPr>
  </w:style>
  <w:style w:type="character" w:customStyle="1" w:styleId="164">
    <w:name w:val="Char Char6"/>
    <w:qFormat/>
    <w:uiPriority w:val="0"/>
    <w:rPr>
      <w:rFonts w:ascii="Arial" w:hAnsi="Arial" w:eastAsia="黑体"/>
      <w:sz w:val="24"/>
      <w:szCs w:val="24"/>
      <w:lang w:val="en-US" w:eastAsia="zh-CN" w:bidi="ar-SA"/>
    </w:rPr>
  </w:style>
  <w:style w:type="character" w:customStyle="1" w:styleId="165">
    <w:name w:val="Font Style86"/>
    <w:unhideWhenUsed/>
    <w:qFormat/>
    <w:uiPriority w:val="0"/>
    <w:rPr>
      <w:rFonts w:hint="eastAsia" w:ascii="黑体" w:hAnsi="黑体" w:eastAsia="黑体"/>
      <w:spacing w:val="10"/>
      <w:sz w:val="30"/>
    </w:rPr>
  </w:style>
  <w:style w:type="character" w:customStyle="1" w:styleId="166">
    <w:name w:val="10_2_2"/>
    <w:qFormat/>
    <w:uiPriority w:val="0"/>
    <w:rPr>
      <w:rFonts w:hint="default" w:ascii="Times New Roman" w:hAnsi="Times New Roman" w:cs="Times New Roman"/>
      <w:sz w:val="20"/>
      <w:szCs w:val="20"/>
    </w:rPr>
  </w:style>
  <w:style w:type="character" w:customStyle="1" w:styleId="167">
    <w:name w:val="sort"/>
    <w:qFormat/>
    <w:uiPriority w:val="0"/>
    <w:rPr>
      <w:rFonts w:ascii="Times New Roman" w:hAnsi="Times New Roman" w:eastAsia="宋体"/>
      <w:color w:val="FFFFFF"/>
      <w:bdr w:val="single" w:color="auto" w:sz="24" w:space="0"/>
    </w:rPr>
  </w:style>
  <w:style w:type="character" w:customStyle="1" w:styleId="168">
    <w:name w:val="标题 7 Char"/>
    <w:qFormat/>
    <w:uiPriority w:val="0"/>
    <w:rPr>
      <w:b/>
      <w:bCs/>
      <w:sz w:val="24"/>
      <w:szCs w:val="24"/>
    </w:rPr>
  </w:style>
  <w:style w:type="character" w:customStyle="1" w:styleId="169">
    <w:name w:val="纯文本 字符1"/>
    <w:semiHidden/>
    <w:qFormat/>
    <w:locked/>
    <w:uiPriority w:val="0"/>
    <w:rPr>
      <w:kern w:val="2"/>
      <w:sz w:val="24"/>
    </w:rPr>
  </w:style>
  <w:style w:type="character" w:customStyle="1" w:styleId="170">
    <w:name w:val="bds_more6"/>
    <w:qFormat/>
    <w:uiPriority w:val="0"/>
    <w:rPr>
      <w:rFonts w:hint="eastAsia" w:ascii="宋体" w:hAnsi="宋体" w:eastAsia="宋体" w:cs="宋体"/>
    </w:rPr>
  </w:style>
  <w:style w:type="character" w:customStyle="1" w:styleId="171">
    <w:name w:val="页眉 Char"/>
    <w:qFormat/>
    <w:uiPriority w:val="0"/>
    <w:rPr>
      <w:kern w:val="2"/>
      <w:sz w:val="18"/>
      <w:szCs w:val="18"/>
    </w:rPr>
  </w:style>
  <w:style w:type="character" w:customStyle="1" w:styleId="172">
    <w:name w:val="样式2 Char Char"/>
    <w:qFormat/>
    <w:uiPriority w:val="0"/>
    <w:rPr>
      <w:rFonts w:eastAsia="宋体"/>
      <w:kern w:val="2"/>
      <w:sz w:val="18"/>
      <w:szCs w:val="18"/>
      <w:lang w:val="en-US" w:eastAsia="zh-CN" w:bidi="ar-SA"/>
    </w:rPr>
  </w:style>
  <w:style w:type="character" w:customStyle="1" w:styleId="173">
    <w:name w:val="Font Style134"/>
    <w:unhideWhenUsed/>
    <w:qFormat/>
    <w:uiPriority w:val="0"/>
    <w:rPr>
      <w:rFonts w:hint="eastAsia" w:ascii="宋体" w:hAnsi="宋体" w:eastAsia="宋体"/>
      <w:spacing w:val="20"/>
      <w:sz w:val="22"/>
    </w:rPr>
  </w:style>
  <w:style w:type="paragraph" w:customStyle="1" w:styleId="174">
    <w:name w:val="Char1 Char Char Char"/>
    <w:basedOn w:val="1"/>
    <w:qFormat/>
    <w:uiPriority w:val="0"/>
    <w:pPr>
      <w:widowControl/>
      <w:spacing w:after="160" w:line="240" w:lineRule="exact"/>
      <w:jc w:val="left"/>
    </w:pPr>
    <w:rPr>
      <w:kern w:val="0"/>
      <w:sz w:val="24"/>
      <w:szCs w:val="20"/>
    </w:rPr>
  </w:style>
  <w:style w:type="paragraph" w:customStyle="1" w:styleId="175">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176">
    <w:name w:val="Char Char1 Char Char Char Char Char1 Char Char Char Char"/>
    <w:basedOn w:val="14"/>
    <w:qFormat/>
    <w:uiPriority w:val="0"/>
    <w:rPr>
      <w:rFonts w:ascii="Tahoma" w:hAnsi="Tahoma"/>
    </w:rPr>
  </w:style>
  <w:style w:type="paragraph" w:customStyle="1" w:styleId="177">
    <w:name w:val="Style26"/>
    <w:basedOn w:val="1"/>
    <w:unhideWhenUsed/>
    <w:qFormat/>
    <w:uiPriority w:val="0"/>
  </w:style>
  <w:style w:type="paragraph" w:customStyle="1" w:styleId="178">
    <w:name w:val="1"/>
    <w:basedOn w:val="1"/>
    <w:qFormat/>
    <w:uiPriority w:val="0"/>
    <w:pPr>
      <w:spacing w:after="156" w:afterLines="50" w:line="360" w:lineRule="auto"/>
    </w:pPr>
    <w:rPr>
      <w:rFonts w:ascii="宋体" w:hAnsi="宋体"/>
      <w:b/>
      <w:sz w:val="30"/>
      <w:szCs w:val="21"/>
    </w:rPr>
  </w:style>
  <w:style w:type="paragraph" w:customStyle="1" w:styleId="179">
    <w:name w:val="xl3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80">
    <w:name w:val="Style11"/>
    <w:basedOn w:val="1"/>
    <w:unhideWhenUsed/>
    <w:qFormat/>
    <w:uiPriority w:val="0"/>
    <w:pPr>
      <w:spacing w:line="559" w:lineRule="exact"/>
      <w:ind w:firstLine="590"/>
    </w:pPr>
  </w:style>
  <w:style w:type="paragraph" w:customStyle="1" w:styleId="181">
    <w:name w:val="样式1"/>
    <w:basedOn w:val="1"/>
    <w:qFormat/>
    <w:uiPriority w:val="0"/>
    <w:pPr>
      <w:tabs>
        <w:tab w:val="left" w:pos="360"/>
      </w:tabs>
      <w:adjustRightInd w:val="0"/>
      <w:ind w:left="360" w:hanging="360"/>
      <w:textAlignment w:val="baseline"/>
    </w:pPr>
    <w:rPr>
      <w:rFonts w:ascii="宋体" w:hAnsi="宋体"/>
      <w:kern w:val="0"/>
      <w:szCs w:val="21"/>
    </w:rPr>
  </w:style>
  <w:style w:type="paragraph" w:customStyle="1" w:styleId="182">
    <w:name w:val="Char Char Char1 Char"/>
    <w:basedOn w:val="1"/>
    <w:qFormat/>
    <w:uiPriority w:val="0"/>
    <w:pPr>
      <w:tabs>
        <w:tab w:val="left" w:pos="360"/>
      </w:tabs>
      <w:snapToGrid w:val="0"/>
      <w:spacing w:line="360" w:lineRule="auto"/>
    </w:pPr>
    <w:rPr>
      <w:rFonts w:eastAsia="仿宋_GB2312" w:cs="宋体"/>
      <w:sz w:val="24"/>
    </w:rPr>
  </w:style>
  <w:style w:type="paragraph" w:customStyle="1" w:styleId="183">
    <w:name w:val="Char1 Char Char Char 字元 Char Char 字元 Char 字元 Char1 Char Char Char"/>
    <w:basedOn w:val="1"/>
    <w:qFormat/>
    <w:uiPriority w:val="0"/>
    <w:rPr>
      <w:szCs w:val="20"/>
    </w:rPr>
  </w:style>
  <w:style w:type="paragraph" w:customStyle="1" w:styleId="184">
    <w:name w:val="Style48"/>
    <w:basedOn w:val="1"/>
    <w:unhideWhenUsed/>
    <w:qFormat/>
    <w:uiPriority w:val="0"/>
    <w:pPr>
      <w:spacing w:line="542" w:lineRule="exact"/>
      <w:jc w:val="right"/>
    </w:pPr>
  </w:style>
  <w:style w:type="paragraph" w:customStyle="1" w:styleId="185">
    <w:name w:val="Style64"/>
    <w:basedOn w:val="1"/>
    <w:unhideWhenUsed/>
    <w:qFormat/>
    <w:uiPriority w:val="0"/>
  </w:style>
  <w:style w:type="paragraph" w:customStyle="1" w:styleId="186">
    <w:name w:val="Style73"/>
    <w:basedOn w:val="1"/>
    <w:unhideWhenUsed/>
    <w:qFormat/>
    <w:uiPriority w:val="0"/>
    <w:pPr>
      <w:spacing w:line="538" w:lineRule="exact"/>
      <w:ind w:firstLine="533"/>
    </w:pPr>
  </w:style>
  <w:style w:type="paragraph" w:customStyle="1" w:styleId="187">
    <w:name w:val="Style58"/>
    <w:basedOn w:val="1"/>
    <w:unhideWhenUsed/>
    <w:qFormat/>
    <w:uiPriority w:val="0"/>
    <w:pPr>
      <w:spacing w:line="413" w:lineRule="exact"/>
    </w:pPr>
  </w:style>
  <w:style w:type="paragraph" w:customStyle="1" w:styleId="188">
    <w:name w:val="p18_1_2"/>
    <w:basedOn w:val="1"/>
    <w:qFormat/>
    <w:uiPriority w:val="0"/>
    <w:pPr>
      <w:widowControl/>
    </w:pPr>
    <w:rPr>
      <w:kern w:val="0"/>
      <w:szCs w:val="21"/>
    </w:rPr>
  </w:style>
  <w:style w:type="paragraph" w:customStyle="1" w:styleId="189">
    <w:name w:val="样式 样式 样式 样式 标题 2 + 宋体 五号 非加粗 黑色 + 段前: 6 磅 段后: 0 磅 行距: 单倍行距 + 段前:..."/>
    <w:basedOn w:val="1"/>
    <w:qFormat/>
    <w:uiPriority w:val="0"/>
    <w:pPr>
      <w:keepNext/>
      <w:keepLines/>
      <w:tabs>
        <w:tab w:val="left" w:pos="840"/>
      </w:tabs>
      <w:adjustRightInd w:val="0"/>
      <w:spacing w:before="240"/>
      <w:ind w:left="840" w:hanging="420"/>
      <w:jc w:val="left"/>
      <w:textAlignment w:val="baseline"/>
      <w:outlineLvl w:val="1"/>
    </w:pPr>
    <w:rPr>
      <w:rFonts w:ascii="宋体" w:hAnsi="宋体"/>
      <w:b/>
      <w:bCs/>
      <w:color w:val="000000"/>
      <w:kern w:val="0"/>
      <w:szCs w:val="20"/>
    </w:rPr>
  </w:style>
  <w:style w:type="paragraph" w:customStyle="1" w:styleId="190">
    <w:name w:val="Style70"/>
    <w:basedOn w:val="1"/>
    <w:unhideWhenUsed/>
    <w:qFormat/>
    <w:uiPriority w:val="0"/>
    <w:pPr>
      <w:spacing w:line="549" w:lineRule="exact"/>
      <w:ind w:firstLine="686"/>
    </w:pPr>
  </w:style>
  <w:style w:type="paragraph" w:customStyle="1" w:styleId="191">
    <w:name w:val="表格内容"/>
    <w:basedOn w:val="20"/>
    <w:qFormat/>
    <w:uiPriority w:val="0"/>
    <w:pPr>
      <w:suppressLineNumbers/>
      <w:suppressAutoHyphens/>
      <w:jc w:val="left"/>
    </w:pPr>
    <w:rPr>
      <w:rFonts w:cs="Tahoma"/>
      <w:kern w:val="0"/>
      <w:sz w:val="24"/>
    </w:rPr>
  </w:style>
  <w:style w:type="paragraph" w:customStyle="1" w:styleId="192">
    <w:name w:val="Style56"/>
    <w:basedOn w:val="1"/>
    <w:unhideWhenUsed/>
    <w:qFormat/>
    <w:uiPriority w:val="0"/>
  </w:style>
  <w:style w:type="paragraph" w:customStyle="1" w:styleId="193">
    <w:name w:val="Style21"/>
    <w:basedOn w:val="1"/>
    <w:unhideWhenUsed/>
    <w:qFormat/>
    <w:uiPriority w:val="0"/>
    <w:pPr>
      <w:spacing w:line="566" w:lineRule="exact"/>
      <w:ind w:firstLine="682"/>
    </w:pPr>
  </w:style>
  <w:style w:type="paragraph" w:customStyle="1" w:styleId="194">
    <w:name w:val="附录标识"/>
    <w:basedOn w:val="195"/>
    <w:qFormat/>
    <w:uiPriority w:val="0"/>
    <w:pPr>
      <w:tabs>
        <w:tab w:val="left" w:pos="360"/>
        <w:tab w:val="left" w:pos="720"/>
        <w:tab w:val="left" w:pos="6405"/>
      </w:tabs>
      <w:spacing w:after="200"/>
    </w:pPr>
    <w:rPr>
      <w:sz w:val="21"/>
    </w:rPr>
  </w:style>
  <w:style w:type="paragraph" w:customStyle="1" w:styleId="195">
    <w:name w:val="前言、引言标题"/>
    <w:next w:val="1"/>
    <w:qFormat/>
    <w:uiPriority w:val="0"/>
    <w:pPr>
      <w:shd w:val="clear" w:color="FFFFFF" w:fill="FFFFFF"/>
      <w:tabs>
        <w:tab w:val="left" w:pos="360"/>
        <w:tab w:val="left" w:pos="720"/>
      </w:tabs>
      <w:spacing w:before="640" w:after="560"/>
      <w:ind w:left="720" w:hanging="720"/>
      <w:jc w:val="center"/>
      <w:outlineLvl w:val="0"/>
    </w:pPr>
    <w:rPr>
      <w:rFonts w:ascii="黑体" w:hAnsi="Times New Roman" w:eastAsia="黑体" w:cs="Times New Roman"/>
      <w:sz w:val="32"/>
      <w:lang w:val="en-US" w:eastAsia="zh-CN" w:bidi="ar-SA"/>
    </w:rPr>
  </w:style>
  <w:style w:type="paragraph" w:customStyle="1" w:styleId="196">
    <w:name w:val="reader-word-layer reader-word-s1-1"/>
    <w:basedOn w:val="1"/>
    <w:qFormat/>
    <w:uiPriority w:val="0"/>
    <w:pPr>
      <w:widowControl/>
      <w:spacing w:before="100" w:beforeAutospacing="1" w:after="100" w:afterAutospacing="1"/>
      <w:jc w:val="left"/>
    </w:pPr>
    <w:rPr>
      <w:rFonts w:ascii="宋体" w:hAnsi="宋体" w:cs="宋体"/>
      <w:kern w:val="0"/>
      <w:sz w:val="24"/>
    </w:rPr>
  </w:style>
  <w:style w:type="paragraph" w:customStyle="1" w:styleId="197">
    <w:name w:val="Style53"/>
    <w:basedOn w:val="1"/>
    <w:unhideWhenUsed/>
    <w:qFormat/>
    <w:uiPriority w:val="0"/>
    <w:pPr>
      <w:spacing w:line="533" w:lineRule="exact"/>
      <w:ind w:firstLine="581"/>
    </w:pPr>
  </w:style>
  <w:style w:type="paragraph" w:customStyle="1" w:styleId="198">
    <w:name w:val="Style52"/>
    <w:basedOn w:val="1"/>
    <w:unhideWhenUsed/>
    <w:qFormat/>
    <w:uiPriority w:val="0"/>
    <w:pPr>
      <w:spacing w:line="682" w:lineRule="exact"/>
      <w:ind w:firstLine="557"/>
    </w:pPr>
  </w:style>
  <w:style w:type="paragraph" w:customStyle="1" w:styleId="199">
    <w:name w:val="Style81"/>
    <w:basedOn w:val="1"/>
    <w:unhideWhenUsed/>
    <w:qFormat/>
    <w:uiPriority w:val="0"/>
    <w:pPr>
      <w:spacing w:line="547" w:lineRule="exact"/>
    </w:pPr>
  </w:style>
  <w:style w:type="paragraph" w:customStyle="1" w:styleId="200">
    <w:name w:val="Char Char Char"/>
    <w:basedOn w:val="1"/>
    <w:qFormat/>
    <w:uiPriority w:val="0"/>
    <w:rPr>
      <w:rFonts w:ascii="宋体" w:hAnsi="宋体"/>
      <w:b/>
      <w:sz w:val="28"/>
      <w:szCs w:val="28"/>
    </w:rPr>
  </w:style>
  <w:style w:type="paragraph" w:customStyle="1" w:styleId="201">
    <w:name w:val="默认段落字体 Para Char Char Char Char Char Char Char Char Char1 Char Char Char Char"/>
    <w:basedOn w:val="1"/>
    <w:qFormat/>
    <w:uiPriority w:val="0"/>
    <w:rPr>
      <w:rFonts w:ascii="Tahoma" w:hAnsi="Tahoma"/>
      <w:sz w:val="24"/>
      <w:szCs w:val="20"/>
    </w:rPr>
  </w:style>
  <w:style w:type="paragraph" w:customStyle="1" w:styleId="202">
    <w:name w:val="Style36"/>
    <w:basedOn w:val="1"/>
    <w:unhideWhenUsed/>
    <w:qFormat/>
    <w:uiPriority w:val="0"/>
  </w:style>
  <w:style w:type="paragraph" w:customStyle="1" w:styleId="203">
    <w:name w:val="修订1"/>
    <w:qFormat/>
    <w:uiPriority w:val="0"/>
    <w:rPr>
      <w:rFonts w:ascii="Times New Roman" w:hAnsi="Times New Roman" w:eastAsia="宋体" w:cs="Times New Roman"/>
      <w:kern w:val="2"/>
      <w:sz w:val="21"/>
      <w:szCs w:val="24"/>
      <w:lang w:val="en-US" w:eastAsia="zh-CN" w:bidi="ar-SA"/>
    </w:rPr>
  </w:style>
  <w:style w:type="paragraph" w:customStyle="1" w:styleId="204">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05">
    <w:name w:val="Style46"/>
    <w:basedOn w:val="1"/>
    <w:unhideWhenUsed/>
    <w:qFormat/>
    <w:uiPriority w:val="0"/>
    <w:pPr>
      <w:spacing w:line="672" w:lineRule="exact"/>
    </w:pPr>
  </w:style>
  <w:style w:type="paragraph" w:customStyle="1" w:styleId="206">
    <w:name w:val="1 Char Char Char Char"/>
    <w:basedOn w:val="1"/>
    <w:qFormat/>
    <w:uiPriority w:val="0"/>
  </w:style>
  <w:style w:type="paragraph" w:customStyle="1" w:styleId="207">
    <w:name w:val="默认段落字体 Para Char Char Char Char Char Char Char"/>
    <w:basedOn w:val="1"/>
    <w:qFormat/>
    <w:uiPriority w:val="0"/>
    <w:pPr>
      <w:adjustRightInd w:val="0"/>
      <w:spacing w:line="360" w:lineRule="atLeast"/>
      <w:jc w:val="left"/>
      <w:textAlignment w:val="baseline"/>
    </w:pPr>
    <w:rPr>
      <w:kern w:val="0"/>
      <w:sz w:val="24"/>
      <w:szCs w:val="20"/>
    </w:rPr>
  </w:style>
  <w:style w:type="paragraph" w:customStyle="1" w:styleId="208">
    <w:name w:val="p15"/>
    <w:basedOn w:val="1"/>
    <w:qFormat/>
    <w:uiPriority w:val="0"/>
    <w:pPr>
      <w:widowControl/>
      <w:spacing w:line="220" w:lineRule="atLeast"/>
      <w:jc w:val="center"/>
    </w:pPr>
    <w:rPr>
      <w:rFonts w:ascii="仿宋_GB2312" w:hAnsi="宋体" w:eastAsia="仿宋_GB2312" w:cs="宋体"/>
      <w:kern w:val="0"/>
      <w:szCs w:val="21"/>
    </w:rPr>
  </w:style>
  <w:style w:type="paragraph" w:customStyle="1" w:styleId="209">
    <w:name w:val="Style13"/>
    <w:basedOn w:val="1"/>
    <w:unhideWhenUsed/>
    <w:qFormat/>
    <w:uiPriority w:val="0"/>
  </w:style>
  <w:style w:type="paragraph" w:customStyle="1" w:styleId="210">
    <w:name w:val="NO3"/>
    <w:basedOn w:val="1"/>
    <w:qFormat/>
    <w:uiPriority w:val="0"/>
    <w:pPr>
      <w:tabs>
        <w:tab w:val="left" w:pos="907"/>
      </w:tabs>
      <w:spacing w:line="360" w:lineRule="auto"/>
    </w:pPr>
    <w:rPr>
      <w:rFonts w:ascii="宋体" w:hAnsi="宋体"/>
      <w:sz w:val="24"/>
    </w:rPr>
  </w:style>
  <w:style w:type="paragraph" w:customStyle="1" w:styleId="211">
    <w:name w:val="Style72"/>
    <w:basedOn w:val="1"/>
    <w:unhideWhenUsed/>
    <w:qFormat/>
    <w:uiPriority w:val="0"/>
  </w:style>
  <w:style w:type="paragraph" w:customStyle="1" w:styleId="212">
    <w:name w:val="Style16"/>
    <w:basedOn w:val="1"/>
    <w:unhideWhenUsed/>
    <w:qFormat/>
    <w:uiPriority w:val="0"/>
    <w:pPr>
      <w:jc w:val="right"/>
    </w:pPr>
  </w:style>
  <w:style w:type="paragraph" w:customStyle="1" w:styleId="213">
    <w:name w:val="Style24"/>
    <w:basedOn w:val="1"/>
    <w:unhideWhenUsed/>
    <w:qFormat/>
    <w:uiPriority w:val="0"/>
  </w:style>
  <w:style w:type="paragraph" w:customStyle="1" w:styleId="214">
    <w:name w:val="表正文"/>
    <w:qFormat/>
    <w:uiPriority w:val="0"/>
    <w:pPr>
      <w:widowControl w:val="0"/>
      <w:ind w:left="840" w:leftChars="350"/>
      <w:jc w:val="both"/>
      <w:outlineLvl w:val="0"/>
    </w:pPr>
    <w:rPr>
      <w:rFonts w:ascii="宋体" w:hAnsi="Times New Roman" w:eastAsia="宋体" w:cs="Times New Roman"/>
      <w:b/>
      <w:sz w:val="24"/>
      <w:lang w:val="en-US" w:eastAsia="zh-CN" w:bidi="ar-SA"/>
    </w:rPr>
  </w:style>
  <w:style w:type="paragraph" w:customStyle="1" w:styleId="215">
    <w:name w:val="标题2"/>
    <w:basedOn w:val="3"/>
    <w:qFormat/>
    <w:uiPriority w:val="0"/>
    <w:pPr>
      <w:spacing w:after="240"/>
      <w:jc w:val="left"/>
    </w:pPr>
    <w:rPr>
      <w:sz w:val="30"/>
    </w:rPr>
  </w:style>
  <w:style w:type="paragraph" w:customStyle="1" w:styleId="216">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7">
    <w:name w:val="Style29"/>
    <w:basedOn w:val="1"/>
    <w:unhideWhenUsed/>
    <w:qFormat/>
    <w:uiPriority w:val="0"/>
    <w:pPr>
      <w:spacing w:line="547" w:lineRule="exact"/>
      <w:ind w:firstLine="547"/>
    </w:pPr>
  </w:style>
  <w:style w:type="paragraph" w:customStyle="1" w:styleId="218">
    <w:name w:val="Char Char1 Char Char Char Char Char Char Char"/>
    <w:basedOn w:val="1"/>
    <w:qFormat/>
    <w:uiPriority w:val="0"/>
    <w:pPr>
      <w:widowControl/>
      <w:spacing w:after="160" w:line="240" w:lineRule="exact"/>
      <w:jc w:val="left"/>
    </w:pPr>
  </w:style>
  <w:style w:type="paragraph" w:customStyle="1" w:styleId="219">
    <w:name w:val="列表段落1"/>
    <w:basedOn w:val="1"/>
    <w:qFormat/>
    <w:uiPriority w:val="0"/>
    <w:pPr>
      <w:ind w:firstLine="420" w:firstLineChars="200"/>
    </w:pPr>
    <w:rPr>
      <w:rFonts w:ascii="Calibri" w:hAnsi="Calibri" w:cs="Calibri"/>
      <w:szCs w:val="21"/>
    </w:rPr>
  </w:style>
  <w:style w:type="paragraph" w:customStyle="1" w:styleId="220">
    <w:name w:val="Style61"/>
    <w:basedOn w:val="1"/>
    <w:unhideWhenUsed/>
    <w:qFormat/>
    <w:uiPriority w:val="0"/>
  </w:style>
  <w:style w:type="paragraph" w:customStyle="1" w:styleId="221">
    <w:name w:val="Style42"/>
    <w:basedOn w:val="1"/>
    <w:unhideWhenUsed/>
    <w:qFormat/>
    <w:uiPriority w:val="0"/>
    <w:pPr>
      <w:spacing w:line="542" w:lineRule="exact"/>
      <w:ind w:firstLine="547"/>
    </w:pPr>
  </w:style>
  <w:style w:type="paragraph" w:customStyle="1" w:styleId="222">
    <w:name w:val="Char1 Char Char Char Char Char Char Char Char Char"/>
    <w:basedOn w:val="1"/>
    <w:qFormat/>
    <w:uiPriority w:val="0"/>
    <w:rPr>
      <w:szCs w:val="20"/>
    </w:rPr>
  </w:style>
  <w:style w:type="paragraph" w:customStyle="1" w:styleId="223">
    <w:name w:val="Style44"/>
    <w:basedOn w:val="1"/>
    <w:unhideWhenUsed/>
    <w:qFormat/>
    <w:uiPriority w:val="0"/>
  </w:style>
  <w:style w:type="paragraph" w:customStyle="1" w:styleId="224">
    <w:name w:val="Style10"/>
    <w:basedOn w:val="1"/>
    <w:unhideWhenUsed/>
    <w:qFormat/>
    <w:uiPriority w:val="0"/>
    <w:pPr>
      <w:spacing w:line="538" w:lineRule="exact"/>
    </w:pPr>
  </w:style>
  <w:style w:type="paragraph" w:customStyle="1" w:styleId="225">
    <w:name w:val="Style63"/>
    <w:basedOn w:val="1"/>
    <w:unhideWhenUsed/>
    <w:qFormat/>
    <w:uiPriority w:val="0"/>
    <w:pPr>
      <w:spacing w:line="564" w:lineRule="exact"/>
      <w:ind w:firstLine="682"/>
    </w:pPr>
  </w:style>
  <w:style w:type="paragraph" w:customStyle="1" w:styleId="226">
    <w:name w:val="Style41"/>
    <w:basedOn w:val="1"/>
    <w:unhideWhenUsed/>
    <w:qFormat/>
    <w:uiPriority w:val="0"/>
    <w:pPr>
      <w:spacing w:line="542" w:lineRule="exact"/>
      <w:ind w:firstLine="125"/>
    </w:pPr>
  </w:style>
  <w:style w:type="paragraph" w:customStyle="1" w:styleId="227">
    <w:name w:val="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28">
    <w:name w:val="Style27"/>
    <w:basedOn w:val="1"/>
    <w:unhideWhenUsed/>
    <w:qFormat/>
    <w:uiPriority w:val="0"/>
  </w:style>
  <w:style w:type="paragraph" w:customStyle="1" w:styleId="229">
    <w:name w:val="Style45"/>
    <w:basedOn w:val="1"/>
    <w:unhideWhenUsed/>
    <w:qFormat/>
    <w:uiPriority w:val="0"/>
  </w:style>
  <w:style w:type="paragraph" w:customStyle="1" w:styleId="230">
    <w:name w:val="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31">
    <w:name w:val="Style71"/>
    <w:basedOn w:val="1"/>
    <w:unhideWhenUsed/>
    <w:qFormat/>
    <w:uiPriority w:val="0"/>
    <w:pPr>
      <w:spacing w:line="538" w:lineRule="exact"/>
      <w:ind w:firstLine="101"/>
    </w:pPr>
  </w:style>
  <w:style w:type="paragraph" w:customStyle="1" w:styleId="232">
    <w:name w:val="Style5"/>
    <w:basedOn w:val="1"/>
    <w:unhideWhenUsed/>
    <w:qFormat/>
    <w:uiPriority w:val="0"/>
  </w:style>
  <w:style w:type="paragraph" w:customStyle="1" w:styleId="233">
    <w:name w:val="Style76"/>
    <w:basedOn w:val="1"/>
    <w:unhideWhenUsed/>
    <w:qFormat/>
    <w:uiPriority w:val="0"/>
  </w:style>
  <w:style w:type="paragraph" w:customStyle="1" w:styleId="234">
    <w:name w:val="Style50"/>
    <w:basedOn w:val="1"/>
    <w:unhideWhenUsed/>
    <w:qFormat/>
    <w:uiPriority w:val="0"/>
  </w:style>
  <w:style w:type="paragraph" w:customStyle="1" w:styleId="235">
    <w:name w:val="Char Char Char Char Char Char Char Char Char Char"/>
    <w:basedOn w:val="1"/>
    <w:qFormat/>
    <w:uiPriority w:val="0"/>
    <w:rPr>
      <w:kern w:val="16"/>
    </w:rPr>
  </w:style>
  <w:style w:type="paragraph" w:styleId="236">
    <w:name w:val="List Paragraph"/>
    <w:basedOn w:val="1"/>
    <w:link w:val="287"/>
    <w:qFormat/>
    <w:uiPriority w:val="34"/>
    <w:pPr>
      <w:ind w:firstLine="420" w:firstLineChars="200"/>
    </w:pPr>
    <w:rPr>
      <w:rFonts w:ascii="Calibri" w:hAnsi="Calibri"/>
      <w:szCs w:val="22"/>
    </w:rPr>
  </w:style>
  <w:style w:type="paragraph" w:customStyle="1" w:styleId="237">
    <w:name w:val="Style54"/>
    <w:basedOn w:val="1"/>
    <w:unhideWhenUsed/>
    <w:qFormat/>
    <w:uiPriority w:val="0"/>
  </w:style>
  <w:style w:type="paragraph" w:styleId="238">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9">
    <w:name w:val="文档正文"/>
    <w:basedOn w:val="1"/>
    <w:qFormat/>
    <w:uiPriority w:val="0"/>
    <w:pPr>
      <w:suppressAutoHyphens/>
      <w:spacing w:line="312" w:lineRule="atLeast"/>
      <w:ind w:firstLine="567"/>
      <w:jc w:val="left"/>
      <w:textAlignment w:val="baseline"/>
    </w:pPr>
    <w:rPr>
      <w:rFonts w:ascii="长城仿宋" w:hAnsi="长城仿宋" w:eastAsia="长城仿宋" w:cs="Tahoma"/>
      <w:b/>
      <w:w w:val="80"/>
      <w:kern w:val="1"/>
      <w:sz w:val="28"/>
      <w:szCs w:val="20"/>
    </w:rPr>
  </w:style>
  <w:style w:type="paragraph" w:customStyle="1" w:styleId="240">
    <w:name w:val="Char1"/>
    <w:basedOn w:val="1"/>
    <w:semiHidden/>
    <w:qFormat/>
    <w:uiPriority w:val="0"/>
    <w:rPr>
      <w:rFonts w:ascii="Tahoma" w:hAnsi="Tahoma" w:cs="仿宋_GB2312"/>
      <w:sz w:val="24"/>
      <w:szCs w:val="28"/>
    </w:rPr>
  </w:style>
  <w:style w:type="paragraph" w:customStyle="1" w:styleId="241">
    <w:name w:val="Style59"/>
    <w:basedOn w:val="1"/>
    <w:unhideWhenUsed/>
    <w:qFormat/>
    <w:uiPriority w:val="0"/>
  </w:style>
  <w:style w:type="paragraph" w:customStyle="1" w:styleId="242">
    <w:name w:val="Style69"/>
    <w:basedOn w:val="1"/>
    <w:unhideWhenUsed/>
    <w:qFormat/>
    <w:uiPriority w:val="0"/>
    <w:pPr>
      <w:spacing w:line="557" w:lineRule="exact"/>
      <w:ind w:firstLine="1666"/>
    </w:pPr>
  </w:style>
  <w:style w:type="paragraph" w:customStyle="1" w:styleId="243">
    <w:name w:val="Char Char1 Char Char Char"/>
    <w:basedOn w:val="1"/>
    <w:qFormat/>
    <w:uiPriority w:val="0"/>
    <w:rPr>
      <w:kern w:val="0"/>
      <w:sz w:val="20"/>
      <w:szCs w:val="20"/>
    </w:rPr>
  </w:style>
  <w:style w:type="paragraph" w:customStyle="1" w:styleId="244">
    <w:name w:val="Style12"/>
    <w:basedOn w:val="1"/>
    <w:unhideWhenUsed/>
    <w:qFormat/>
    <w:uiPriority w:val="0"/>
    <w:pPr>
      <w:spacing w:line="564" w:lineRule="exact"/>
      <w:ind w:hanging="115"/>
    </w:pPr>
  </w:style>
  <w:style w:type="paragraph" w:customStyle="1" w:styleId="245">
    <w:name w:val="标题3"/>
    <w:basedOn w:val="2"/>
    <w:qFormat/>
    <w:uiPriority w:val="0"/>
    <w:pPr>
      <w:spacing w:before="156" w:beforeLines="50" w:after="156" w:afterLines="50" w:line="400" w:lineRule="exact"/>
      <w:jc w:val="both"/>
    </w:pPr>
    <w:rPr>
      <w:rFonts w:ascii="宋体" w:hAnsi="宋体"/>
      <w:kern w:val="32"/>
      <w:szCs w:val="32"/>
    </w:rPr>
  </w:style>
  <w:style w:type="paragraph" w:customStyle="1" w:styleId="246">
    <w:name w:val="Style67"/>
    <w:basedOn w:val="1"/>
    <w:unhideWhenUsed/>
    <w:qFormat/>
    <w:uiPriority w:val="0"/>
    <w:pPr>
      <w:spacing w:line="566" w:lineRule="exact"/>
      <w:ind w:firstLine="552"/>
    </w:pPr>
  </w:style>
  <w:style w:type="paragraph" w:customStyle="1" w:styleId="247">
    <w:name w:val="xl25"/>
    <w:basedOn w:val="1"/>
    <w:qFormat/>
    <w:uiPriority w:val="0"/>
    <w:pPr>
      <w:widowControl/>
      <w:pBdr>
        <w:left w:val="single" w:color="auto" w:sz="4" w:space="0"/>
        <w:bottom w:val="single" w:color="auto" w:sz="4" w:space="0"/>
        <w:right w:val="double" w:color="auto" w:sz="6"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248">
    <w:name w:val="Style28"/>
    <w:basedOn w:val="1"/>
    <w:unhideWhenUsed/>
    <w:qFormat/>
    <w:uiPriority w:val="0"/>
    <w:pPr>
      <w:spacing w:line="552" w:lineRule="exact"/>
      <w:ind w:firstLine="547"/>
    </w:pPr>
  </w:style>
  <w:style w:type="paragraph" w:customStyle="1" w:styleId="249">
    <w:name w:val="Style8"/>
    <w:basedOn w:val="1"/>
    <w:unhideWhenUsed/>
    <w:qFormat/>
    <w:uiPriority w:val="0"/>
    <w:pPr>
      <w:spacing w:line="566" w:lineRule="exact"/>
      <w:jc w:val="center"/>
    </w:pPr>
  </w:style>
  <w:style w:type="paragraph" w:customStyle="1" w:styleId="250">
    <w:name w:val="Style62"/>
    <w:basedOn w:val="1"/>
    <w:unhideWhenUsed/>
    <w:qFormat/>
    <w:uiPriority w:val="0"/>
  </w:style>
  <w:style w:type="paragraph" w:customStyle="1" w:styleId="251">
    <w:name w:val="Style60"/>
    <w:basedOn w:val="1"/>
    <w:unhideWhenUsed/>
    <w:qFormat/>
    <w:uiPriority w:val="0"/>
    <w:pPr>
      <w:spacing w:line="566" w:lineRule="exact"/>
    </w:pPr>
  </w:style>
  <w:style w:type="paragraph" w:customStyle="1" w:styleId="252">
    <w:name w:val="Style15"/>
    <w:basedOn w:val="1"/>
    <w:unhideWhenUsed/>
    <w:qFormat/>
    <w:uiPriority w:val="0"/>
    <w:pPr>
      <w:spacing w:line="557" w:lineRule="exact"/>
      <w:ind w:firstLine="672"/>
    </w:pPr>
  </w:style>
  <w:style w:type="paragraph" w:customStyle="1" w:styleId="253">
    <w:name w:val="Style74"/>
    <w:basedOn w:val="1"/>
    <w:unhideWhenUsed/>
    <w:qFormat/>
    <w:uiPriority w:val="0"/>
    <w:pPr>
      <w:spacing w:line="437" w:lineRule="exact"/>
    </w:pPr>
  </w:style>
  <w:style w:type="paragraph" w:customStyle="1" w:styleId="254">
    <w:name w:val="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55">
    <w:name w:val="Style9"/>
    <w:basedOn w:val="1"/>
    <w:unhideWhenUsed/>
    <w:qFormat/>
    <w:uiPriority w:val="0"/>
  </w:style>
  <w:style w:type="paragraph" w:customStyle="1" w:styleId="256">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257">
    <w:name w:val="Style68"/>
    <w:basedOn w:val="1"/>
    <w:unhideWhenUsed/>
    <w:qFormat/>
    <w:uiPriority w:val="0"/>
    <w:pPr>
      <w:spacing w:line="547" w:lineRule="exact"/>
    </w:pPr>
  </w:style>
  <w:style w:type="paragraph" w:customStyle="1" w:styleId="258">
    <w:name w:val="Style47"/>
    <w:basedOn w:val="1"/>
    <w:unhideWhenUsed/>
    <w:qFormat/>
    <w:uiPriority w:val="0"/>
  </w:style>
  <w:style w:type="paragraph" w:customStyle="1" w:styleId="259">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260">
    <w:name w:val="样式 标题 2 + 宋体 五号 行距: 单倍行距"/>
    <w:basedOn w:val="4"/>
    <w:qFormat/>
    <w:uiPriority w:val="0"/>
    <w:pPr>
      <w:tabs>
        <w:tab w:val="left" w:pos="2175"/>
      </w:tabs>
      <w:adjustRightInd w:val="0"/>
      <w:spacing w:before="260" w:after="260" w:line="240" w:lineRule="auto"/>
      <w:ind w:left="2175" w:hanging="1275"/>
      <w:jc w:val="left"/>
      <w:textAlignment w:val="baseline"/>
    </w:pPr>
    <w:rPr>
      <w:rFonts w:ascii="宋体" w:hAnsi="宋体"/>
      <w:kern w:val="0"/>
      <w:sz w:val="21"/>
      <w:szCs w:val="20"/>
    </w:rPr>
  </w:style>
  <w:style w:type="paragraph" w:customStyle="1" w:styleId="261">
    <w:name w:val="_Style 39"/>
    <w:basedOn w:val="216"/>
    <w:qFormat/>
    <w:uiPriority w:val="0"/>
  </w:style>
  <w:style w:type="paragraph" w:customStyle="1" w:styleId="262">
    <w:name w:val="Style23"/>
    <w:basedOn w:val="1"/>
    <w:unhideWhenUsed/>
    <w:qFormat/>
    <w:uiPriority w:val="0"/>
  </w:style>
  <w:style w:type="paragraph" w:customStyle="1" w:styleId="263">
    <w:name w:val="默认段落字体 Para Char Char Char Char Char Char Char Char Char Char Char Char Char Char Char Char Char Char Char"/>
    <w:basedOn w:val="1"/>
    <w:qFormat/>
    <w:uiPriority w:val="0"/>
  </w:style>
  <w:style w:type="paragraph" w:customStyle="1" w:styleId="264">
    <w:name w:val="p16"/>
    <w:basedOn w:val="1"/>
    <w:qFormat/>
    <w:uiPriority w:val="0"/>
    <w:pPr>
      <w:widowControl/>
      <w:jc w:val="left"/>
    </w:pPr>
    <w:rPr>
      <w:kern w:val="0"/>
      <w:szCs w:val="21"/>
    </w:rPr>
  </w:style>
  <w:style w:type="paragraph" w:customStyle="1" w:styleId="265">
    <w:name w:val="正文_29_3_4"/>
    <w:qFormat/>
    <w:uiPriority w:val="0"/>
    <w:pPr>
      <w:widowControl w:val="0"/>
      <w:jc w:val="both"/>
    </w:pPr>
    <w:rPr>
      <w:rFonts w:ascii="Calibri" w:hAnsi="Calibri" w:eastAsia="宋体" w:cs="Times New Roman"/>
      <w:kern w:val="2"/>
      <w:sz w:val="21"/>
      <w:szCs w:val="24"/>
      <w:lang w:val="en-US" w:eastAsia="zh-CN" w:bidi="ar-SA"/>
    </w:rPr>
  </w:style>
  <w:style w:type="paragraph" w:customStyle="1" w:styleId="266">
    <w:name w:val="Style78"/>
    <w:basedOn w:val="1"/>
    <w:unhideWhenUsed/>
    <w:qFormat/>
    <w:uiPriority w:val="0"/>
  </w:style>
  <w:style w:type="paragraph" w:customStyle="1" w:styleId="267">
    <w:name w:val="样式 标题 2 + Times New Roman 四号 非加粗 段前: 5 磅 段后: 0 磅 行距: 固定值 20..."/>
    <w:basedOn w:val="4"/>
    <w:qFormat/>
    <w:uiPriority w:val="0"/>
    <w:pPr>
      <w:spacing w:before="100" w:line="400" w:lineRule="exact"/>
    </w:pPr>
    <w:rPr>
      <w:rFonts w:ascii="Times New Roman" w:hAnsi="Times New Roman" w:eastAsia="黑体"/>
      <w:b w:val="0"/>
      <w:bCs w:val="0"/>
      <w:sz w:val="28"/>
      <w:szCs w:val="20"/>
    </w:rPr>
  </w:style>
  <w:style w:type="paragraph" w:customStyle="1" w:styleId="268">
    <w:name w:val="Char2"/>
    <w:basedOn w:val="1"/>
    <w:qFormat/>
    <w:uiPriority w:val="0"/>
    <w:pPr>
      <w:tabs>
        <w:tab w:val="left" w:pos="360"/>
      </w:tabs>
      <w:ind w:left="360" w:hanging="360" w:hangingChars="200"/>
    </w:pPr>
    <w:rPr>
      <w:sz w:val="24"/>
    </w:rPr>
  </w:style>
  <w:style w:type="paragraph" w:customStyle="1" w:styleId="269">
    <w:name w:val="Style4"/>
    <w:basedOn w:val="1"/>
    <w:unhideWhenUsed/>
    <w:qFormat/>
    <w:uiPriority w:val="0"/>
  </w:style>
  <w:style w:type="paragraph" w:customStyle="1" w:styleId="270">
    <w:name w:val="Style65"/>
    <w:basedOn w:val="1"/>
    <w:unhideWhenUsed/>
    <w:qFormat/>
    <w:uiPriority w:val="0"/>
  </w:style>
  <w:style w:type="paragraph" w:customStyle="1" w:styleId="271">
    <w:name w:val="标题 1 +"/>
    <w:basedOn w:val="2"/>
    <w:next w:val="1"/>
    <w:qFormat/>
    <w:uiPriority w:val="0"/>
    <w:pPr>
      <w:keepLines/>
      <w:spacing w:line="600" w:lineRule="auto"/>
    </w:pPr>
    <w:rPr>
      <w:rFonts w:eastAsia="黑体"/>
      <w:kern w:val="0"/>
      <w:sz w:val="32"/>
      <w:szCs w:val="32"/>
    </w:rPr>
  </w:style>
  <w:style w:type="paragraph" w:customStyle="1" w:styleId="272">
    <w:name w:val="Style77"/>
    <w:basedOn w:val="1"/>
    <w:unhideWhenUsed/>
    <w:qFormat/>
    <w:uiPriority w:val="0"/>
  </w:style>
  <w:style w:type="paragraph" w:customStyle="1" w:styleId="273">
    <w:name w:val="Style34"/>
    <w:basedOn w:val="1"/>
    <w:unhideWhenUsed/>
    <w:qFormat/>
    <w:uiPriority w:val="0"/>
    <w:pPr>
      <w:spacing w:line="375" w:lineRule="exact"/>
    </w:pPr>
  </w:style>
  <w:style w:type="paragraph" w:customStyle="1" w:styleId="274">
    <w:name w:val="Style80"/>
    <w:basedOn w:val="1"/>
    <w:unhideWhenUsed/>
    <w:qFormat/>
    <w:uiPriority w:val="0"/>
  </w:style>
  <w:style w:type="paragraph" w:customStyle="1" w:styleId="275">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276">
    <w:name w:val="表内文字"/>
    <w:basedOn w:val="1"/>
    <w:qFormat/>
    <w:uiPriority w:val="0"/>
    <w:pPr>
      <w:tabs>
        <w:tab w:val="left" w:pos="1418"/>
      </w:tabs>
      <w:spacing w:line="360" w:lineRule="auto"/>
      <w:jc w:val="center"/>
    </w:pPr>
    <w:rPr>
      <w:rFonts w:ascii="仿宋_GB2312" w:eastAsia="仿宋_GB2312"/>
      <w:spacing w:val="-20"/>
      <w:kern w:val="0"/>
      <w:sz w:val="24"/>
    </w:rPr>
  </w:style>
  <w:style w:type="paragraph" w:customStyle="1" w:styleId="277">
    <w:name w:val="缺省文本"/>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78">
    <w:name w:val="Table Paragraph"/>
    <w:basedOn w:val="1"/>
    <w:qFormat/>
    <w:uiPriority w:val="1"/>
    <w:rPr>
      <w:rFonts w:ascii="宋体" w:hAnsi="宋体" w:cs="宋体"/>
      <w:lang w:val="ja-JP" w:eastAsia="ja-JP" w:bidi="ja-JP"/>
    </w:rPr>
  </w:style>
  <w:style w:type="paragraph" w:customStyle="1" w:styleId="279">
    <w:name w:val="列出段落1"/>
    <w:basedOn w:val="1"/>
    <w:qFormat/>
    <w:uiPriority w:val="34"/>
    <w:pPr>
      <w:ind w:firstLine="420" w:firstLineChars="200"/>
    </w:pPr>
  </w:style>
  <w:style w:type="paragraph" w:customStyle="1" w:styleId="280">
    <w:name w:val="1."/>
    <w:basedOn w:val="1"/>
    <w:qFormat/>
    <w:uiPriority w:val="0"/>
    <w:pPr>
      <w:tabs>
        <w:tab w:val="left" w:pos="420"/>
      </w:tabs>
      <w:spacing w:line="360" w:lineRule="auto"/>
      <w:ind w:left="420" w:hanging="420"/>
    </w:pPr>
    <w:rPr>
      <w:rFonts w:ascii="Calibri" w:hAnsi="Calibri"/>
      <w:sz w:val="24"/>
    </w:rPr>
  </w:style>
  <w:style w:type="paragraph" w:customStyle="1" w:styleId="281">
    <w:name w:val="tc"/>
    <w:basedOn w:val="1"/>
    <w:qFormat/>
    <w:uiPriority w:val="0"/>
    <w:pPr>
      <w:widowControl/>
      <w:spacing w:before="100" w:beforeAutospacing="1" w:after="100" w:afterAutospacing="1"/>
      <w:jc w:val="left"/>
    </w:pPr>
    <w:rPr>
      <w:rFonts w:ascii="宋体" w:hAnsi="宋体" w:cs="宋体"/>
      <w:kern w:val="0"/>
      <w:sz w:val="24"/>
    </w:rPr>
  </w:style>
  <w:style w:type="character" w:customStyle="1" w:styleId="282">
    <w:name w:val="displayarti"/>
    <w:basedOn w:val="49"/>
    <w:qFormat/>
    <w:uiPriority w:val="0"/>
  </w:style>
  <w:style w:type="table" w:customStyle="1" w:styleId="283">
    <w:name w:val="Table Normal"/>
    <w:basedOn w:val="47"/>
    <w:qFormat/>
    <w:uiPriority w:val="0"/>
    <w:rPr>
      <w:rFonts w:eastAsia="Times New Roman"/>
    </w:rPr>
    <w:tblPr>
      <w:tblCellMar>
        <w:left w:w="0" w:type="dxa"/>
        <w:right w:w="0" w:type="dxa"/>
      </w:tblCellMar>
    </w:tblPr>
  </w:style>
  <w:style w:type="character" w:customStyle="1" w:styleId="284">
    <w:name w:val="正文缩进 Char1"/>
    <w:link w:val="285"/>
    <w:qFormat/>
    <w:uiPriority w:val="0"/>
    <w:rPr>
      <w:rFonts w:ascii="宋体"/>
      <w:sz w:val="24"/>
    </w:rPr>
  </w:style>
  <w:style w:type="paragraph" w:customStyle="1" w:styleId="285">
    <w:name w:val="正文缩进1"/>
    <w:basedOn w:val="1"/>
    <w:link w:val="284"/>
    <w:qFormat/>
    <w:uiPriority w:val="0"/>
    <w:pPr>
      <w:autoSpaceDE w:val="0"/>
      <w:autoSpaceDN w:val="0"/>
      <w:adjustRightInd w:val="0"/>
      <w:ind w:firstLine="420"/>
      <w:jc w:val="left"/>
    </w:pPr>
    <w:rPr>
      <w:rFonts w:ascii="宋体" w:hAnsiTheme="minorHAnsi" w:eastAsiaTheme="minorEastAsia" w:cstheme="minorBidi"/>
      <w:sz w:val="24"/>
      <w:szCs w:val="22"/>
    </w:rPr>
  </w:style>
  <w:style w:type="paragraph" w:customStyle="1" w:styleId="286">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87">
    <w:name w:val="列表段落 字符"/>
    <w:link w:val="236"/>
    <w:qFormat/>
    <w:uiPriority w:val="34"/>
    <w:rPr>
      <w:rFonts w:ascii="Calibri" w:hAnsi="Calibri" w:eastAsia="宋体" w:cs="Times New Roman"/>
    </w:rPr>
  </w:style>
  <w:style w:type="character" w:customStyle="1" w:styleId="288">
    <w:name w:val="font01"/>
    <w:basedOn w:val="49"/>
    <w:qFormat/>
    <w:uiPriority w:val="0"/>
    <w:rPr>
      <w:rFonts w:hint="eastAsia" w:ascii="宋体" w:hAnsi="宋体" w:eastAsia="宋体"/>
      <w:color w:val="000000"/>
      <w:sz w:val="22"/>
      <w:szCs w:val="22"/>
      <w:u w:val="none"/>
    </w:rPr>
  </w:style>
  <w:style w:type="character" w:customStyle="1" w:styleId="289">
    <w:name w:val="font31"/>
    <w:basedOn w:val="49"/>
    <w:qFormat/>
    <w:uiPriority w:val="0"/>
    <w:rPr>
      <w:rFonts w:hint="eastAsia" w:ascii="宋体" w:hAnsi="宋体" w:eastAsia="宋体"/>
      <w:color w:val="FF0000"/>
      <w:sz w:val="22"/>
      <w:szCs w:val="22"/>
      <w:u w:val="none"/>
    </w:rPr>
  </w:style>
  <w:style w:type="paragraph" w:customStyle="1" w:styleId="290">
    <w:name w:val="索引 11"/>
    <w:basedOn w:val="1"/>
    <w:next w:val="1"/>
    <w:qFormat/>
    <w:uiPriority w:val="0"/>
    <w:pPr>
      <w:spacing w:line="360" w:lineRule="auto"/>
    </w:pPr>
    <w:rPr>
      <w:rFonts w:ascii="仿宋_GB2312" w:eastAsia="仿宋_GB2312"/>
      <w:sz w:val="24"/>
      <w:szCs w:val="20"/>
    </w:rPr>
  </w:style>
  <w:style w:type="paragraph" w:customStyle="1" w:styleId="291">
    <w:name w:val="纯文本1"/>
    <w:basedOn w:val="1"/>
    <w:qFormat/>
    <w:uiPriority w:val="99"/>
    <w:rPr>
      <w:rFonts w:ascii="宋体" w:hAnsi="Courier New"/>
      <w:kern w:val="0"/>
      <w:sz w:val="20"/>
      <w:szCs w:val="20"/>
    </w:rPr>
  </w:style>
  <w:style w:type="paragraph" w:customStyle="1" w:styleId="292">
    <w:name w:val="一级标题"/>
    <w:basedOn w:val="1"/>
    <w:qFormat/>
    <w:uiPriority w:val="2"/>
    <w:pPr>
      <w:jc w:val="center"/>
      <w:outlineLvl w:val="0"/>
    </w:pPr>
    <w:rPr>
      <w:rFonts w:ascii="黑体" w:hAnsi="黑体" w:eastAsia="黑体"/>
      <w:b/>
      <w:bCs/>
      <w:sz w:val="32"/>
      <w:szCs w:val="36"/>
    </w:rPr>
  </w:style>
  <w:style w:type="paragraph" w:customStyle="1" w:styleId="293">
    <w:name w:val="BodyText1I"/>
    <w:basedOn w:val="294"/>
    <w:next w:val="1"/>
    <w:qFormat/>
    <w:uiPriority w:val="0"/>
    <w:pPr>
      <w:widowControl/>
      <w:spacing w:before="156" w:line="360" w:lineRule="auto"/>
      <w:ind w:firstLine="200" w:firstLineChars="200"/>
      <w:textAlignment w:val="baseline"/>
    </w:pPr>
    <w:rPr>
      <w:rFonts w:ascii="仿宋_GB2312" w:hAnsi="Times New Roman" w:eastAsia="仿宋_GB2312"/>
      <w:kern w:val="2"/>
      <w:sz w:val="30"/>
      <w:szCs w:val="30"/>
      <w:lang w:val="en-US" w:eastAsia="zh-CN" w:bidi="ar-SA"/>
    </w:rPr>
  </w:style>
  <w:style w:type="paragraph" w:customStyle="1" w:styleId="294">
    <w:name w:val="BodyText"/>
    <w:basedOn w:val="1"/>
    <w:next w:val="295"/>
    <w:qFormat/>
    <w:uiPriority w:val="0"/>
    <w:pPr>
      <w:widowControl/>
      <w:spacing w:before="156"/>
      <w:ind w:firstLine="200" w:firstLineChars="200"/>
      <w:textAlignment w:val="baseline"/>
    </w:pPr>
    <w:rPr>
      <w:rFonts w:ascii="楷体_GB2312" w:hAnsi="Arial" w:eastAsia="楷体_GB2312"/>
      <w:kern w:val="2"/>
      <w:sz w:val="28"/>
      <w:szCs w:val="28"/>
      <w:lang w:val="en-US" w:eastAsia="zh-CN" w:bidi="ar-SA"/>
    </w:rPr>
  </w:style>
  <w:style w:type="paragraph" w:customStyle="1" w:styleId="295">
    <w:name w:val="180"/>
    <w:basedOn w:val="1"/>
    <w:next w:val="1"/>
    <w:qFormat/>
    <w:uiPriority w:val="0"/>
    <w:pPr>
      <w:spacing w:after="160" w:line="259" w:lineRule="auto"/>
      <w:jc w:val="both"/>
      <w:textAlignment w:val="baseline"/>
    </w:pPr>
    <w:rPr>
      <w:rFonts w:ascii="Calibri" w:hAnsi="Calibri" w:eastAsia="宋体"/>
      <w:i/>
      <w:iCs/>
      <w:color w:val="000000"/>
      <w:kern w:val="2"/>
      <w:sz w:val="21"/>
      <w:szCs w:val="24"/>
      <w:lang w:val="en-US" w:eastAsia="zh-CN" w:bidi="ar-SA"/>
    </w:rPr>
  </w:style>
  <w:style w:type="paragraph" w:customStyle="1" w:styleId="296">
    <w:name w:val="表格"/>
    <w:basedOn w:val="1"/>
    <w:qFormat/>
    <w:uiPriority w:val="0"/>
    <w:pPr>
      <w:spacing w:line="400" w:lineRule="exact"/>
    </w:pPr>
    <w:rPr>
      <w:rFonts w:ascii="Times New Roman"/>
      <w:kern w:val="2"/>
      <w:sz w:val="24"/>
      <w:szCs w:val="24"/>
    </w:rPr>
  </w:style>
  <w:style w:type="paragraph" w:customStyle="1" w:styleId="297">
    <w:name w:val="小四1.0"/>
    <w:basedOn w:val="298"/>
    <w:qFormat/>
    <w:uiPriority w:val="6"/>
    <w:pPr>
      <w:spacing w:line="240" w:lineRule="auto"/>
    </w:pPr>
  </w:style>
  <w:style w:type="paragraph" w:customStyle="1" w:styleId="298">
    <w:name w:val="小四1.5"/>
    <w:basedOn w:val="1"/>
    <w:qFormat/>
    <w:uiPriority w:val="4"/>
    <w:pPr>
      <w:shd w:val="solid" w:color="FFFFFF" w:fill="auto"/>
      <w:autoSpaceDN w:val="0"/>
      <w:spacing w:line="360" w:lineRule="auto"/>
    </w:pPr>
    <w:rPr>
      <w:rFonts w:hAnsi="宋体"/>
      <w:sz w:val="24"/>
      <w:szCs w:val="24"/>
      <w:shd w:val="clear" w:color="auto" w:fill="FFFFFF"/>
    </w:rPr>
  </w:style>
  <w:style w:type="paragraph" w:customStyle="1" w:styleId="299">
    <w:name w:val="_Style 13"/>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81</Pages>
  <Words>30960</Words>
  <Characters>33037</Characters>
  <Lines>221</Lines>
  <Paragraphs>62</Paragraphs>
  <TotalTime>57</TotalTime>
  <ScaleCrop>false</ScaleCrop>
  <LinksUpToDate>false</LinksUpToDate>
  <CharactersWithSpaces>35879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2024-07-18T03:46:00Z</dcterms:created>
  <dc:creator>xie</dc:creator>
  <cp:lastModifiedBy>谢二狗</cp:lastModifiedBy>
  <cp:lastPrinted>2023-09-21T03:57:00Z</cp:lastPrinted>
  <dcterms:modified xsi:type="dcterms:W3CDTF">2026-04-27T07:44:43Z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7B2154E9FF0E48F996602DD5D23D95DB_13</vt:lpwstr>
  </property>
  <property fmtid="{D5CDD505-2E9C-101B-9397-08002B2CF9AE}" pid="4" name="KSOTemplateDocerSaveRecord">
    <vt:lpwstr>eyJoZGlkIjoiNDQ5ZGJiNDhhY2E4ODhhZDVlNWZlZjYzOThkZmViMTQiLCJ1c2VySWQiOiIzNzczMjE0NzAifQ==</vt:lpwstr>
  </property>
</Properties>
</file>