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273F56">
      <w:pPr>
        <w:shd w:val="clear" w:color="auto"/>
        <w:rPr>
          <w:rFonts w:hint="eastAsia" w:ascii="宋体" w:hAnsi="宋体" w:cs="宋体"/>
          <w:b/>
          <w:color w:val="auto"/>
          <w:sz w:val="44"/>
          <w:szCs w:val="44"/>
          <w:highlight w:val="none"/>
          <w:lang w:eastAsia="zh-CN"/>
        </w:rPr>
      </w:pPr>
    </w:p>
    <w:p w14:paraId="5FFAB652">
      <w:pPr>
        <w:pStyle w:val="11"/>
        <w:shd w:val="clear" w:color="auto"/>
        <w:jc w:val="center"/>
        <w:rPr>
          <w:rFonts w:hint="eastAsia"/>
          <w:b/>
          <w:bCs/>
          <w:color w:val="auto"/>
          <w:highlight w:val="none"/>
        </w:rPr>
      </w:pPr>
      <w:r>
        <w:rPr>
          <w:rFonts w:hint="eastAsia"/>
          <w:b/>
          <w:bCs/>
          <w:color w:val="auto"/>
          <w:sz w:val="52"/>
          <w:szCs w:val="48"/>
          <w:highlight w:val="none"/>
          <w:lang w:eastAsia="zh-CN"/>
        </w:rPr>
        <w:t>新疆科技学院现代化工与纺织实训中心设备采购项目</w:t>
      </w:r>
    </w:p>
    <w:p w14:paraId="1F2CF3D4">
      <w:pPr>
        <w:shd w:val="clear" w:color="auto"/>
        <w:rPr>
          <w:rFonts w:hint="eastAsia"/>
          <w:b/>
          <w:bCs/>
          <w:color w:val="auto"/>
          <w:highlight w:val="none"/>
        </w:rPr>
      </w:pPr>
    </w:p>
    <w:p w14:paraId="3F887A08">
      <w:pPr>
        <w:pStyle w:val="11"/>
        <w:shd w:val="clear" w:color="auto"/>
        <w:rPr>
          <w:rFonts w:hint="eastAsia"/>
          <w:color w:val="auto"/>
          <w:highlight w:val="none"/>
        </w:rPr>
      </w:pPr>
    </w:p>
    <w:p w14:paraId="6BC95352">
      <w:pPr>
        <w:pStyle w:val="11"/>
        <w:shd w:val="clear" w:color="auto"/>
        <w:rPr>
          <w:rFonts w:hint="eastAsia"/>
          <w:b/>
          <w:bCs/>
          <w:color w:val="auto"/>
          <w:highlight w:val="none"/>
        </w:rPr>
      </w:pPr>
    </w:p>
    <w:p w14:paraId="49078E0E">
      <w:pPr>
        <w:shd w:val="clear" w:color="auto"/>
        <w:rPr>
          <w:rFonts w:hint="eastAsia"/>
          <w:color w:val="auto"/>
          <w:highlight w:val="none"/>
        </w:rPr>
      </w:pPr>
    </w:p>
    <w:p w14:paraId="764D15E4">
      <w:pPr>
        <w:shd w:val="clear" w:color="auto"/>
        <w:jc w:val="center"/>
        <w:rPr>
          <w:rFonts w:hint="default" w:eastAsia="宋体"/>
          <w:color w:val="auto"/>
          <w:highlight w:val="none"/>
          <w:lang w:val="en-US" w:eastAsia="zh-CN"/>
        </w:rPr>
      </w:pPr>
      <w:r>
        <w:rPr>
          <w:rFonts w:hint="eastAsia" w:ascii="宋体" w:hAnsi="宋体" w:cs="宋体"/>
          <w:b/>
          <w:bCs w:val="0"/>
          <w:color w:val="auto"/>
          <w:sz w:val="36"/>
          <w:szCs w:val="36"/>
          <w:highlight w:val="none"/>
        </w:rPr>
        <w:t>采购编号：</w:t>
      </w:r>
      <w:r>
        <w:rPr>
          <w:rFonts w:hint="eastAsia" w:ascii="宋体" w:hAnsi="宋体" w:cs="宋体"/>
          <w:b/>
          <w:bCs w:val="0"/>
          <w:color w:val="auto"/>
          <w:sz w:val="36"/>
          <w:szCs w:val="36"/>
          <w:highlight w:val="none"/>
          <w:lang w:val="en-US" w:eastAsia="zh-CN"/>
        </w:rPr>
        <w:t>XZJ26M-002-ZK</w:t>
      </w:r>
    </w:p>
    <w:p w14:paraId="42DEBE92">
      <w:pPr>
        <w:pStyle w:val="11"/>
        <w:shd w:val="clear" w:color="auto"/>
        <w:rPr>
          <w:rFonts w:hint="eastAsia"/>
          <w:color w:val="auto"/>
          <w:highlight w:val="none"/>
        </w:rPr>
      </w:pPr>
    </w:p>
    <w:p w14:paraId="61CA11B6">
      <w:pPr>
        <w:shd w:val="clear" w:color="auto"/>
        <w:rPr>
          <w:rFonts w:hint="eastAsia"/>
          <w:color w:val="auto"/>
          <w:highlight w:val="none"/>
        </w:rPr>
      </w:pPr>
    </w:p>
    <w:p w14:paraId="21B4CF4E">
      <w:pPr>
        <w:shd w:val="clear" w:color="auto"/>
        <w:rPr>
          <w:rFonts w:hint="eastAsia"/>
          <w:color w:val="auto"/>
          <w:highlight w:val="none"/>
        </w:rPr>
      </w:pPr>
    </w:p>
    <w:p w14:paraId="7AE9E78E">
      <w:pPr>
        <w:shd w:val="clear" w:color="auto"/>
        <w:rPr>
          <w:rFonts w:hint="eastAsia"/>
          <w:color w:val="auto"/>
          <w:highlight w:val="none"/>
        </w:rPr>
      </w:pPr>
    </w:p>
    <w:p w14:paraId="28C1308D">
      <w:pPr>
        <w:shd w:val="clear" w:color="auto"/>
        <w:rPr>
          <w:rFonts w:hint="eastAsia"/>
          <w:color w:val="auto"/>
          <w:highlight w:val="none"/>
        </w:rPr>
      </w:pPr>
    </w:p>
    <w:p w14:paraId="148759D7">
      <w:pPr>
        <w:shd w:val="clear" w:color="auto"/>
        <w:rPr>
          <w:rFonts w:hint="eastAsia"/>
          <w:color w:val="auto"/>
          <w:highlight w:val="none"/>
        </w:rPr>
      </w:pPr>
    </w:p>
    <w:p w14:paraId="163203F9">
      <w:pPr>
        <w:shd w:val="clear" w:color="auto"/>
        <w:rPr>
          <w:rFonts w:hint="eastAsia"/>
          <w:color w:val="auto"/>
          <w:highlight w:val="none"/>
        </w:rPr>
      </w:pPr>
    </w:p>
    <w:p w14:paraId="69B902E3">
      <w:pPr>
        <w:shd w:val="clear" w:color="auto"/>
        <w:rPr>
          <w:rFonts w:hint="eastAsia"/>
          <w:color w:val="auto"/>
          <w:highlight w:val="none"/>
        </w:rPr>
      </w:pPr>
    </w:p>
    <w:p w14:paraId="2341ECEF">
      <w:pPr>
        <w:shd w:val="clear" w:color="auto"/>
        <w:rPr>
          <w:rFonts w:hint="eastAsia"/>
          <w:color w:val="auto"/>
          <w:highlight w:val="none"/>
        </w:rPr>
      </w:pPr>
    </w:p>
    <w:p w14:paraId="40D38B3A">
      <w:pPr>
        <w:shd w:val="clear" w:color="auto"/>
        <w:rPr>
          <w:rFonts w:hint="eastAsia"/>
          <w:color w:val="auto"/>
          <w:highlight w:val="none"/>
        </w:rPr>
      </w:pPr>
    </w:p>
    <w:p w14:paraId="1FB50577">
      <w:pPr>
        <w:shd w:val="clear" w:color="auto"/>
        <w:rPr>
          <w:rFonts w:hint="eastAsia"/>
          <w:color w:val="auto"/>
          <w:highlight w:val="none"/>
        </w:rPr>
      </w:pPr>
    </w:p>
    <w:p w14:paraId="01FFF967">
      <w:pPr>
        <w:shd w:val="clear" w:color="auto"/>
        <w:rPr>
          <w:rFonts w:hint="eastAsia"/>
          <w:color w:val="auto"/>
          <w:highlight w:val="none"/>
        </w:rPr>
      </w:pPr>
    </w:p>
    <w:p w14:paraId="526E8832">
      <w:pPr>
        <w:shd w:val="clear" w:color="auto"/>
        <w:rPr>
          <w:rFonts w:hint="eastAsia"/>
          <w:color w:val="auto"/>
          <w:highlight w:val="none"/>
        </w:rPr>
      </w:pPr>
    </w:p>
    <w:p w14:paraId="1B349F90">
      <w:pPr>
        <w:shd w:val="clear" w:color="auto"/>
        <w:rPr>
          <w:rFonts w:hint="eastAsia"/>
          <w:color w:val="auto"/>
          <w:highlight w:val="none"/>
        </w:rPr>
      </w:pPr>
    </w:p>
    <w:p w14:paraId="274FE469">
      <w:pPr>
        <w:shd w:val="clear" w:color="auto"/>
        <w:rPr>
          <w:rFonts w:hint="eastAsia"/>
          <w:color w:val="auto"/>
          <w:highlight w:val="none"/>
        </w:rPr>
      </w:pPr>
    </w:p>
    <w:p w14:paraId="124EBDB5">
      <w:pPr>
        <w:shd w:val="clear" w:color="auto"/>
        <w:rPr>
          <w:rFonts w:hint="eastAsia"/>
          <w:color w:val="auto"/>
          <w:highlight w:val="none"/>
        </w:rPr>
      </w:pPr>
    </w:p>
    <w:p w14:paraId="18BD187A">
      <w:pPr>
        <w:shd w:val="clear" w:color="auto"/>
        <w:autoSpaceDE w:val="0"/>
        <w:autoSpaceDN w:val="0"/>
        <w:spacing w:line="360" w:lineRule="auto"/>
        <w:jc w:val="center"/>
        <w:textAlignment w:val="bottom"/>
        <w:outlineLvl w:val="0"/>
        <w:rPr>
          <w:rFonts w:hint="eastAsia" w:ascii="宋体" w:hAnsi="宋体" w:cs="宋体"/>
          <w:b/>
          <w:bCs/>
          <w:color w:val="auto"/>
          <w:sz w:val="56"/>
          <w:szCs w:val="56"/>
          <w:highlight w:val="none"/>
        </w:rPr>
      </w:pPr>
      <w:r>
        <w:rPr>
          <w:rFonts w:hint="eastAsia" w:ascii="宋体" w:hAnsi="宋体" w:cs="宋体"/>
          <w:b/>
          <w:bCs/>
          <w:color w:val="auto"/>
          <w:sz w:val="56"/>
          <w:szCs w:val="56"/>
          <w:highlight w:val="none"/>
          <w:lang w:val="en-US" w:eastAsia="zh-CN"/>
        </w:rPr>
        <w:t>招 标</w:t>
      </w:r>
      <w:r>
        <w:rPr>
          <w:rFonts w:hint="eastAsia" w:ascii="宋体" w:hAnsi="宋体" w:cs="宋体"/>
          <w:b/>
          <w:bCs/>
          <w:color w:val="auto"/>
          <w:sz w:val="56"/>
          <w:szCs w:val="56"/>
          <w:highlight w:val="none"/>
        </w:rPr>
        <w:t xml:space="preserve"> 文 件</w:t>
      </w:r>
    </w:p>
    <w:p w14:paraId="6FD5A57C">
      <w:pPr>
        <w:shd w:val="clear" w:color="auto"/>
        <w:autoSpaceDE w:val="0"/>
        <w:autoSpaceDN w:val="0"/>
        <w:spacing w:line="360" w:lineRule="auto"/>
        <w:ind w:firstLine="643" w:firstLineChars="200"/>
        <w:jc w:val="center"/>
        <w:textAlignment w:val="bottom"/>
        <w:outlineLvl w:val="0"/>
        <w:rPr>
          <w:rFonts w:hint="eastAsia" w:ascii="宋体" w:hAnsi="宋体" w:cs="宋体"/>
          <w:b/>
          <w:color w:val="auto"/>
          <w:sz w:val="32"/>
          <w:szCs w:val="32"/>
          <w:highlight w:val="none"/>
        </w:rPr>
      </w:pPr>
    </w:p>
    <w:p w14:paraId="74CFAA78">
      <w:pPr>
        <w:shd w:val="clear" w:color="auto"/>
        <w:spacing w:line="360" w:lineRule="auto"/>
        <w:ind w:left="2230" w:leftChars="300" w:hanging="1600" w:hangingChars="500"/>
        <w:jc w:val="left"/>
        <w:rPr>
          <w:rFonts w:hint="eastAsia" w:ascii="宋体" w:hAnsi="宋体" w:cs="宋体"/>
          <w:color w:val="auto"/>
          <w:sz w:val="32"/>
          <w:szCs w:val="32"/>
          <w:highlight w:val="none"/>
        </w:rPr>
      </w:pPr>
    </w:p>
    <w:p w14:paraId="4BFFB479">
      <w:pPr>
        <w:pStyle w:val="11"/>
        <w:shd w:val="clear" w:color="auto"/>
        <w:rPr>
          <w:rFonts w:hint="eastAsia" w:ascii="宋体" w:hAnsi="宋体" w:cs="宋体"/>
          <w:color w:val="auto"/>
          <w:sz w:val="32"/>
          <w:szCs w:val="32"/>
          <w:highlight w:val="none"/>
        </w:rPr>
      </w:pPr>
    </w:p>
    <w:p w14:paraId="08E5248B">
      <w:pPr>
        <w:shd w:val="clear" w:color="auto"/>
        <w:rPr>
          <w:rFonts w:hint="eastAsia" w:ascii="宋体" w:hAnsi="宋体" w:cs="宋体"/>
          <w:color w:val="auto"/>
          <w:sz w:val="32"/>
          <w:szCs w:val="32"/>
          <w:highlight w:val="none"/>
        </w:rPr>
      </w:pPr>
    </w:p>
    <w:p w14:paraId="6A9959F5">
      <w:pPr>
        <w:shd w:val="clear" w:color="auto"/>
        <w:rPr>
          <w:rFonts w:hint="eastAsia"/>
          <w:color w:val="auto"/>
          <w:highlight w:val="none"/>
        </w:rPr>
      </w:pPr>
    </w:p>
    <w:p w14:paraId="2E3F620A">
      <w:pPr>
        <w:pStyle w:val="11"/>
        <w:shd w:val="clear" w:color="auto"/>
        <w:rPr>
          <w:rFonts w:hint="eastAsia"/>
          <w:color w:val="auto"/>
          <w:highlight w:val="none"/>
        </w:rPr>
      </w:pPr>
    </w:p>
    <w:p w14:paraId="2C538DD2">
      <w:pPr>
        <w:shd w:val="clear" w:color="auto"/>
        <w:spacing w:line="400" w:lineRule="exact"/>
        <w:rPr>
          <w:rFonts w:hint="eastAsia" w:ascii="宋体" w:hAnsi="宋体" w:cs="宋体"/>
          <w:color w:val="auto"/>
          <w:sz w:val="32"/>
          <w:szCs w:val="32"/>
          <w:highlight w:val="none"/>
        </w:rPr>
      </w:pPr>
    </w:p>
    <w:p w14:paraId="1AFE3989">
      <w:pPr>
        <w:pStyle w:val="11"/>
        <w:shd w:val="clear" w:color="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采购单位：新疆科技学院</w:t>
      </w:r>
    </w:p>
    <w:p w14:paraId="472A912C">
      <w:pPr>
        <w:shd w:val="clear" w:color="auto"/>
        <w:rPr>
          <w:rFonts w:hint="eastAsia"/>
          <w:color w:val="auto"/>
          <w:highlight w:val="none"/>
        </w:rPr>
      </w:pPr>
    </w:p>
    <w:p w14:paraId="77BFDD6A">
      <w:pPr>
        <w:shd w:val="clear" w:color="auto"/>
        <w:ind w:firstLine="960" w:firstLineChars="3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采购代理机构：</w:t>
      </w:r>
      <w:r>
        <w:rPr>
          <w:rFonts w:hint="eastAsia" w:ascii="宋体" w:hAnsi="宋体" w:cs="宋体"/>
          <w:color w:val="auto"/>
          <w:sz w:val="32"/>
          <w:szCs w:val="32"/>
          <w:highlight w:val="none"/>
          <w:lang w:eastAsia="zh-CN"/>
        </w:rPr>
        <w:t>新疆新之建工程咨询有限公司</w:t>
      </w:r>
    </w:p>
    <w:p w14:paraId="4DE6A93D">
      <w:pPr>
        <w:pStyle w:val="11"/>
        <w:shd w:val="clear" w:color="auto"/>
        <w:rPr>
          <w:rFonts w:hint="eastAsia"/>
          <w:color w:val="auto"/>
          <w:highlight w:val="none"/>
        </w:rPr>
      </w:pPr>
    </w:p>
    <w:p w14:paraId="3E47C984">
      <w:pPr>
        <w:shd w:val="clear" w:color="auto"/>
        <w:rPr>
          <w:rFonts w:hint="eastAsia" w:ascii="宋体" w:hAnsi="宋体" w:cs="宋体"/>
          <w:color w:val="auto"/>
          <w:szCs w:val="21"/>
          <w:highlight w:val="none"/>
        </w:rPr>
      </w:pPr>
    </w:p>
    <w:p w14:paraId="2462AEF1">
      <w:pPr>
        <w:shd w:val="clear" w:color="auto"/>
        <w:ind w:firstLine="3200" w:firstLineChars="1000"/>
        <w:rPr>
          <w:rFonts w:hint="default" w:ascii="宋体" w:hAnsi="宋体" w:cs="宋体"/>
          <w:color w:val="auto"/>
          <w:highlight w:val="none"/>
          <w:lang w:val="en-US"/>
        </w:rPr>
      </w:pPr>
      <w:r>
        <w:rPr>
          <w:rFonts w:hint="eastAsia" w:ascii="宋体" w:hAnsi="宋体" w:cs="宋体"/>
          <w:color w:val="auto"/>
          <w:sz w:val="32"/>
          <w:szCs w:val="32"/>
          <w:highlight w:val="none"/>
          <w:lang w:eastAsia="zh-CN"/>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lang w:eastAsia="zh-CN"/>
        </w:rPr>
        <w:t>年</w:t>
      </w:r>
      <w:r>
        <w:rPr>
          <w:rFonts w:hint="eastAsia" w:ascii="宋体" w:hAnsi="宋体" w:cs="宋体"/>
          <w:color w:val="auto"/>
          <w:sz w:val="32"/>
          <w:szCs w:val="32"/>
          <w:highlight w:val="none"/>
          <w:lang w:val="en-US" w:eastAsia="zh-CN"/>
        </w:rPr>
        <w:t>四月</w:t>
      </w:r>
    </w:p>
    <w:p w14:paraId="40983294">
      <w:pPr>
        <w:shd w:val="clear" w:color="auto"/>
        <w:rPr>
          <w:rFonts w:hint="eastAsia" w:ascii="宋体" w:hAnsi="宋体" w:cs="宋体"/>
          <w:color w:val="auto"/>
          <w:highlight w:val="none"/>
        </w:rPr>
        <w:sectPr>
          <w:headerReference r:id="rId3" w:type="default"/>
          <w:pgSz w:w="11906" w:h="16838"/>
          <w:pgMar w:top="1701" w:right="1418" w:bottom="1701" w:left="1418" w:header="720" w:footer="720" w:gutter="0"/>
          <w:cols w:space="720" w:num="1"/>
        </w:sectPr>
      </w:pPr>
    </w:p>
    <w:p w14:paraId="43F2803F">
      <w:pPr>
        <w:shd w:val="clear" w:color="auto"/>
        <w:rPr>
          <w:rFonts w:hint="eastAsia" w:ascii="宋体" w:hAnsi="宋体" w:cs="宋体"/>
          <w:color w:val="auto"/>
          <w:highlight w:val="none"/>
        </w:rPr>
      </w:pPr>
    </w:p>
    <w:p w14:paraId="4ED472BA">
      <w:pPr>
        <w:shd w:val="clear" w:color="auto"/>
        <w:jc w:val="center"/>
        <w:rPr>
          <w:rFonts w:hint="eastAsia" w:ascii="宋体" w:hAnsi="宋体" w:cs="宋体"/>
          <w:color w:val="auto"/>
          <w:sz w:val="32"/>
          <w:szCs w:val="32"/>
          <w:highlight w:val="none"/>
        </w:rPr>
      </w:pPr>
    </w:p>
    <w:p w14:paraId="72C57A81">
      <w:pPr>
        <w:shd w:val="clear" w:color="auto"/>
        <w:jc w:val="center"/>
        <w:rPr>
          <w:rFonts w:hint="eastAsia" w:ascii="宋体" w:hAnsi="宋体" w:cs="宋体"/>
          <w:color w:val="auto"/>
          <w:sz w:val="32"/>
          <w:szCs w:val="32"/>
          <w:highlight w:val="none"/>
        </w:rPr>
      </w:pPr>
      <w:bookmarkStart w:id="0" w:name="_Toc13515_WPSOffice_Type1"/>
      <w:r>
        <w:rPr>
          <w:rFonts w:hint="eastAsia" w:ascii="宋体" w:hAnsi="宋体" w:cs="宋体"/>
          <w:color w:val="auto"/>
          <w:sz w:val="32"/>
          <w:szCs w:val="32"/>
          <w:highlight w:val="none"/>
        </w:rPr>
        <w:t xml:space="preserve"> 目 录</w:t>
      </w:r>
    </w:p>
    <w:p w14:paraId="6E3ED8C4">
      <w:pPr>
        <w:shd w:val="clear" w:color="auto"/>
        <w:jc w:val="center"/>
        <w:rPr>
          <w:rFonts w:hint="eastAsia" w:ascii="宋体" w:hAnsi="宋体" w:cs="宋体"/>
          <w:color w:val="auto"/>
          <w:sz w:val="32"/>
          <w:szCs w:val="32"/>
          <w:highlight w:val="none"/>
        </w:rPr>
      </w:pPr>
    </w:p>
    <w:p w14:paraId="6F597240">
      <w:pPr>
        <w:pStyle w:val="165"/>
        <w:shd w:val="clear" w:color="auto"/>
        <w:tabs>
          <w:tab w:val="right" w:leader="dot" w:pos="9070"/>
        </w:tabs>
        <w:spacing w:line="48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_Toc13129_WPSOffice_Level1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eastAsia="zh-CN"/>
        </w:rPr>
        <w:t>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fldChar w:fldCharType="end"/>
      </w:r>
    </w:p>
    <w:p w14:paraId="08D06E18">
      <w:pPr>
        <w:pStyle w:val="165"/>
        <w:shd w:val="clear" w:color="auto"/>
        <w:tabs>
          <w:tab w:val="right" w:leader="dot" w:pos="9070"/>
        </w:tabs>
        <w:spacing w:line="480" w:lineRule="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_Toc32258_WPSOffice_Level1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586AD700">
      <w:pPr>
        <w:pStyle w:val="165"/>
        <w:shd w:val="clear" w:color="auto"/>
        <w:tabs>
          <w:tab w:val="right" w:leader="dot" w:pos="9070"/>
        </w:tabs>
        <w:spacing w:line="48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_Toc3717_WPSOffice_Level1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第三章 </w:t>
      </w:r>
      <w:r>
        <w:rPr>
          <w:rFonts w:hint="eastAsia" w:ascii="宋体" w:hAnsi="宋体" w:cs="宋体"/>
          <w:color w:val="auto"/>
          <w:sz w:val="28"/>
          <w:szCs w:val="28"/>
          <w:highlight w:val="none"/>
          <w:lang w:eastAsia="zh-CN"/>
        </w:rPr>
        <w:t>投标文件</w:t>
      </w:r>
      <w:r>
        <w:rPr>
          <w:rFonts w:hint="eastAsia" w:ascii="宋体" w:hAnsi="宋体" w:cs="宋体"/>
          <w:color w:val="auto"/>
          <w:sz w:val="28"/>
          <w:szCs w:val="28"/>
          <w:highlight w:val="none"/>
        </w:rPr>
        <w:t>的编制、递交</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15</w:t>
      </w:r>
    </w:p>
    <w:p w14:paraId="08541D6B">
      <w:pPr>
        <w:pStyle w:val="165"/>
        <w:shd w:val="clear" w:color="auto"/>
        <w:tabs>
          <w:tab w:val="right" w:leader="dot" w:pos="9070"/>
        </w:tabs>
        <w:spacing w:line="48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_Toc12453_WPSOffice_Level1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第四章 </w:t>
      </w:r>
      <w:r>
        <w:rPr>
          <w:rFonts w:hint="eastAsia" w:ascii="宋体" w:hAnsi="宋体" w:cs="宋体"/>
          <w:color w:val="auto"/>
          <w:sz w:val="28"/>
          <w:szCs w:val="28"/>
          <w:highlight w:val="none"/>
          <w:lang w:val="en-US" w:eastAsia="zh-CN"/>
        </w:rPr>
        <w:t>开标</w:t>
      </w:r>
      <w:r>
        <w:rPr>
          <w:rFonts w:hint="eastAsia" w:ascii="宋体" w:hAnsi="宋体" w:cs="宋体"/>
          <w:color w:val="auto"/>
          <w:sz w:val="28"/>
          <w:szCs w:val="28"/>
          <w:highlight w:val="none"/>
        </w:rPr>
        <w:t>、评审、确定</w:t>
      </w:r>
      <w:r>
        <w:rPr>
          <w:rFonts w:hint="eastAsia" w:ascii="宋体" w:hAnsi="宋体" w:cs="宋体"/>
          <w:color w:val="auto"/>
          <w:sz w:val="28"/>
          <w:szCs w:val="28"/>
          <w:highlight w:val="none"/>
          <w:lang w:eastAsia="zh-CN"/>
        </w:rPr>
        <w:t>中标供应商</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19</w:t>
      </w:r>
    </w:p>
    <w:p w14:paraId="3FEF215F">
      <w:pPr>
        <w:pStyle w:val="165"/>
        <w:shd w:val="clear" w:color="auto"/>
        <w:tabs>
          <w:tab w:val="right" w:leader="dot" w:pos="9070"/>
        </w:tabs>
        <w:spacing w:line="480" w:lineRule="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第五章 评定成交方式和标准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7B269F97">
      <w:pPr>
        <w:pStyle w:val="165"/>
        <w:shd w:val="clear" w:color="auto"/>
        <w:tabs>
          <w:tab w:val="right" w:leader="dot" w:pos="9070"/>
        </w:tabs>
        <w:spacing w:line="48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_Toc7744_WPSOffice_Level1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第六章 </w:t>
      </w:r>
      <w:r>
        <w:rPr>
          <w:rFonts w:hint="eastAsia" w:ascii="宋体" w:hAnsi="宋体" w:cs="宋体"/>
          <w:color w:val="auto"/>
          <w:sz w:val="28"/>
          <w:szCs w:val="28"/>
          <w:highlight w:val="none"/>
          <w:lang w:eastAsia="zh-CN"/>
        </w:rPr>
        <w:t>采购需求清单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34</w:t>
      </w:r>
    </w:p>
    <w:p w14:paraId="6664EFB5">
      <w:pPr>
        <w:pStyle w:val="165"/>
        <w:shd w:val="clear" w:color="auto"/>
        <w:tabs>
          <w:tab w:val="right" w:leader="dot" w:pos="9070"/>
        </w:tabs>
        <w:spacing w:line="48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_Toc11436_WPSOffice_Level1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第七章 合同格式及合同条款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48</w:t>
      </w:r>
    </w:p>
    <w:p w14:paraId="691EF480">
      <w:pPr>
        <w:pStyle w:val="165"/>
        <w:shd w:val="clear" w:color="auto"/>
        <w:tabs>
          <w:tab w:val="right" w:leader="dot" w:pos="9070"/>
        </w:tabs>
        <w:spacing w:line="48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_Toc11362_WPSOffice_Level1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第八章 </w:t>
      </w:r>
      <w:r>
        <w:rPr>
          <w:rFonts w:hint="eastAsia" w:ascii="宋体" w:hAnsi="宋体" w:cs="宋体"/>
          <w:color w:val="auto"/>
          <w:sz w:val="28"/>
          <w:szCs w:val="28"/>
          <w:highlight w:val="none"/>
          <w:lang w:eastAsia="zh-CN"/>
        </w:rPr>
        <w:t>投标文件</w:t>
      </w:r>
      <w:r>
        <w:rPr>
          <w:rFonts w:hint="eastAsia" w:ascii="宋体" w:hAnsi="宋体" w:cs="宋体"/>
          <w:color w:val="auto"/>
          <w:sz w:val="28"/>
          <w:szCs w:val="28"/>
          <w:highlight w:val="none"/>
        </w:rPr>
        <w:t>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64</w:t>
      </w:r>
    </w:p>
    <w:p w14:paraId="114DCCCE">
      <w:pPr>
        <w:pStyle w:val="165"/>
        <w:shd w:val="clear" w:color="auto"/>
        <w:tabs>
          <w:tab w:val="right" w:leader="dot" w:pos="9070"/>
        </w:tabs>
        <w:spacing w:line="480" w:lineRule="auto"/>
        <w:rPr>
          <w:rFonts w:hint="eastAsia" w:ascii="宋体" w:hAnsi="宋体" w:eastAsia="宋体" w:cs="宋体"/>
          <w:color w:val="auto"/>
          <w:sz w:val="32"/>
          <w:szCs w:val="32"/>
          <w:highlight w:val="none"/>
          <w:lang w:val="en-US" w:eastAsia="zh-CN"/>
        </w:rPr>
      </w:pPr>
    </w:p>
    <w:p w14:paraId="4BA0B69A">
      <w:pPr>
        <w:pStyle w:val="165"/>
        <w:shd w:val="clear" w:color="auto"/>
        <w:tabs>
          <w:tab w:val="right" w:leader="dot" w:pos="9070"/>
        </w:tabs>
        <w:spacing w:line="480" w:lineRule="auto"/>
        <w:rPr>
          <w:rFonts w:hint="eastAsia" w:ascii="宋体" w:hAnsi="宋体" w:cs="宋体"/>
          <w:color w:val="auto"/>
          <w:sz w:val="32"/>
          <w:szCs w:val="32"/>
          <w:highlight w:val="none"/>
        </w:rPr>
      </w:pPr>
    </w:p>
    <w:bookmarkEnd w:id="0"/>
    <w:p w14:paraId="31B720C8">
      <w:pPr>
        <w:shd w:val="clear" w:color="auto"/>
        <w:jc w:val="center"/>
        <w:rPr>
          <w:rFonts w:hint="eastAsia" w:ascii="宋体" w:hAnsi="宋体" w:cs="宋体"/>
          <w:color w:val="auto"/>
          <w:highlight w:val="none"/>
        </w:rPr>
      </w:pPr>
    </w:p>
    <w:p w14:paraId="212CD913">
      <w:pPr>
        <w:shd w:val="clear" w:color="auto"/>
        <w:jc w:val="center"/>
        <w:rPr>
          <w:rFonts w:hint="eastAsia" w:ascii="宋体" w:hAnsi="宋体" w:cs="宋体"/>
          <w:color w:val="auto"/>
          <w:highlight w:val="none"/>
        </w:rPr>
      </w:pPr>
    </w:p>
    <w:p w14:paraId="67ED63ED">
      <w:pPr>
        <w:pStyle w:val="11"/>
        <w:shd w:val="clear" w:color="auto"/>
        <w:rPr>
          <w:rFonts w:hint="eastAsia" w:ascii="宋体" w:hAnsi="宋体" w:cs="宋体"/>
          <w:color w:val="auto"/>
          <w:highlight w:val="none"/>
        </w:rPr>
      </w:pPr>
    </w:p>
    <w:p w14:paraId="32C040DB">
      <w:pPr>
        <w:pStyle w:val="11"/>
        <w:shd w:val="clear" w:color="auto"/>
        <w:rPr>
          <w:rFonts w:hint="eastAsia" w:ascii="宋体" w:hAnsi="宋体" w:cs="宋体"/>
          <w:color w:val="auto"/>
          <w:highlight w:val="none"/>
        </w:rPr>
      </w:pPr>
    </w:p>
    <w:p w14:paraId="17BFC198">
      <w:pPr>
        <w:shd w:val="clear" w:color="auto"/>
        <w:jc w:val="both"/>
        <w:rPr>
          <w:rFonts w:hint="eastAsia" w:ascii="宋体" w:hAnsi="宋体" w:cs="宋体"/>
          <w:color w:val="auto"/>
          <w:highlight w:val="none"/>
        </w:rPr>
      </w:pPr>
    </w:p>
    <w:p w14:paraId="2C6BD9FC">
      <w:pPr>
        <w:shd w:val="clear" w:color="auto"/>
        <w:spacing w:line="420" w:lineRule="exact"/>
        <w:ind w:left="1234" w:leftChars="435" w:hanging="321" w:hangingChars="100"/>
        <w:jc w:val="center"/>
        <w:rPr>
          <w:rFonts w:hint="eastAsia" w:ascii="宋体" w:hAnsi="宋体" w:eastAsia="宋体" w:cs="宋体"/>
          <w:b/>
          <w:color w:val="auto"/>
          <w:kern w:val="0"/>
          <w:sz w:val="32"/>
          <w:szCs w:val="31"/>
          <w:highlight w:val="none"/>
          <w:lang w:val="en-US" w:eastAsia="zh-CN" w:bidi="ar-SA"/>
        </w:rPr>
        <w:sectPr>
          <w:pgSz w:w="11910" w:h="16840"/>
          <w:pgMar w:top="1440" w:right="1800" w:bottom="1440" w:left="1800" w:header="878" w:footer="993" w:gutter="0"/>
          <w:pgNumType w:fmt="decimal"/>
          <w:cols w:space="720" w:num="1"/>
        </w:sectPr>
      </w:pPr>
      <w:bookmarkStart w:id="1" w:name="_Toc179632545"/>
      <w:bookmarkStart w:id="2" w:name="_Toc144974496"/>
      <w:bookmarkStart w:id="3" w:name="_Toc246996174"/>
      <w:bookmarkStart w:id="4" w:name="_Toc331613723"/>
      <w:bookmarkStart w:id="5" w:name="_Toc246996917"/>
      <w:bookmarkStart w:id="6" w:name="_Toc152042304"/>
      <w:bookmarkStart w:id="7" w:name="_Toc152045528"/>
      <w:bookmarkStart w:id="8" w:name="_Toc247085688"/>
      <w:bookmarkStart w:id="9" w:name="_Toc163267137"/>
      <w:bookmarkStart w:id="10" w:name="_Toc145493459"/>
      <w:bookmarkStart w:id="11" w:name="_Toc32258_WPSOffice_Level1"/>
    </w:p>
    <w:p w14:paraId="3E66C173">
      <w:pPr>
        <w:shd w:val="clear" w:color="auto"/>
        <w:spacing w:line="420" w:lineRule="exact"/>
        <w:ind w:left="1234" w:leftChars="435" w:hanging="321" w:hangingChars="100"/>
        <w:jc w:val="center"/>
        <w:rPr>
          <w:rFonts w:hint="eastAsia" w:ascii="宋体" w:hAnsi="宋体" w:eastAsia="宋体" w:cs="宋体"/>
          <w:b/>
          <w:color w:val="auto"/>
          <w:kern w:val="0"/>
          <w:sz w:val="32"/>
          <w:szCs w:val="31"/>
          <w:highlight w:val="none"/>
          <w:lang w:val="en-US" w:eastAsia="zh-CN" w:bidi="ar-SA"/>
        </w:rPr>
      </w:pPr>
      <w:r>
        <w:rPr>
          <w:rFonts w:hint="eastAsia" w:ascii="宋体" w:hAnsi="宋体" w:eastAsia="宋体" w:cs="宋体"/>
          <w:b/>
          <w:color w:val="auto"/>
          <w:kern w:val="0"/>
          <w:sz w:val="32"/>
          <w:szCs w:val="31"/>
          <w:highlight w:val="none"/>
          <w:lang w:val="en-US" w:eastAsia="zh-CN" w:bidi="ar-SA"/>
        </w:rPr>
        <w:t>第一章   招标公告</w:t>
      </w:r>
    </w:p>
    <w:p w14:paraId="51D48AAF">
      <w:pPr>
        <w:shd w:val="clear" w:color="auto"/>
        <w:spacing w:line="420" w:lineRule="exact"/>
        <w:ind w:left="1234" w:leftChars="435" w:hanging="321" w:hangingChars="100"/>
        <w:jc w:val="center"/>
        <w:rPr>
          <w:rFonts w:hint="eastAsia" w:ascii="宋体" w:hAnsi="宋体" w:eastAsia="宋体" w:cs="宋体"/>
          <w:b/>
          <w:color w:val="auto"/>
          <w:kern w:val="0"/>
          <w:sz w:val="32"/>
          <w:szCs w:val="31"/>
          <w:highlight w:val="none"/>
          <w:lang w:val="en-US" w:eastAsia="zh-CN" w:bidi="ar-SA"/>
        </w:rPr>
      </w:pPr>
    </w:p>
    <w:p w14:paraId="4B3CEDFD">
      <w:pPr>
        <w:shd w:val="clear" w:color="auto"/>
        <w:spacing w:line="360" w:lineRule="auto"/>
        <w:rPr>
          <w:rFonts w:hint="eastAsia"/>
          <w:b/>
          <w:bCs/>
          <w:color w:val="auto"/>
          <w:sz w:val="24"/>
          <w:szCs w:val="24"/>
          <w:highlight w:val="none"/>
        </w:rPr>
      </w:pPr>
      <w:r>
        <w:rPr>
          <w:rFonts w:hint="eastAsia"/>
          <w:b/>
          <w:bCs/>
          <w:color w:val="auto"/>
          <w:sz w:val="24"/>
          <w:szCs w:val="24"/>
          <w:highlight w:val="none"/>
        </w:rPr>
        <w:t>项目概况</w:t>
      </w:r>
    </w:p>
    <w:p w14:paraId="1BC53ED4">
      <w:pPr>
        <w:shd w:val="clear" w:color="auto"/>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新疆科技学院现代化工与纺织实训中心设备采购项目</w:t>
      </w:r>
      <w:r>
        <w:rPr>
          <w:rFonts w:hint="eastAsia" w:ascii="宋体" w:hAnsi="宋体" w:eastAsia="宋体" w:cs="宋体"/>
          <w:color w:val="auto"/>
          <w:sz w:val="24"/>
          <w:szCs w:val="24"/>
          <w:highlight w:val="none"/>
        </w:rPr>
        <w:t>的投标人应在</w:t>
      </w:r>
      <w:r>
        <w:rPr>
          <w:rFonts w:hint="eastAsia" w:ascii="宋体" w:hAnsi="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shd w:val="clear" w:fill="FFFF00"/>
          <w:lang w:eastAsia="zh-CN"/>
        </w:rPr>
        <w:t>2026年5月15日11点00分</w:t>
      </w:r>
      <w:r>
        <w:rPr>
          <w:rFonts w:hint="eastAsia" w:ascii="宋体" w:hAnsi="宋体" w:eastAsia="宋体" w:cs="宋体"/>
          <w:color w:val="auto"/>
          <w:sz w:val="24"/>
          <w:szCs w:val="24"/>
          <w:highlight w:val="none"/>
          <w:shd w:val="clear" w:fill="FFFF00"/>
        </w:rPr>
        <w:t>（</w:t>
      </w:r>
      <w:r>
        <w:rPr>
          <w:rFonts w:hint="eastAsia" w:ascii="宋体" w:hAnsi="宋体" w:eastAsia="宋体" w:cs="宋体"/>
          <w:color w:val="auto"/>
          <w:sz w:val="24"/>
          <w:szCs w:val="24"/>
          <w:highlight w:val="none"/>
        </w:rPr>
        <w:t xml:space="preserve">北京时间）前递交投标文件。 </w:t>
      </w:r>
    </w:p>
    <w:p w14:paraId="7411F8F5">
      <w:pPr>
        <w:shd w:val="clear" w:color="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3B6BA6AE">
      <w:pPr>
        <w:shd w:val="clear" w:color="auto"/>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XZJ26M-002-ZK</w:t>
      </w:r>
    </w:p>
    <w:p w14:paraId="3A846611">
      <w:pPr>
        <w:shd w:val="clear" w:color="auto"/>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新疆科技学院现代化工与纺织实训中心设备采购项目</w:t>
      </w:r>
    </w:p>
    <w:p w14:paraId="430AD604">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3364AB68">
      <w:pPr>
        <w:shd w:val="clear" w:color="auto"/>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122万</w:t>
      </w:r>
      <w:r>
        <w:rPr>
          <w:rFonts w:hint="eastAsia" w:ascii="宋体" w:hAnsi="宋体" w:eastAsia="宋体" w:cs="宋体"/>
          <w:color w:val="auto"/>
          <w:sz w:val="24"/>
          <w:szCs w:val="24"/>
          <w:highlight w:val="none"/>
        </w:rPr>
        <w:t>元</w:t>
      </w:r>
    </w:p>
    <w:p w14:paraId="000D8E29">
      <w:pPr>
        <w:shd w:val="clear" w:color="auto"/>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en-US" w:eastAsia="zh-CN"/>
        </w:rPr>
        <w:t>元</w:t>
      </w:r>
      <w:r>
        <w:rPr>
          <w:rFonts w:hint="default" w:ascii="宋体" w:hAnsi="宋体" w:eastAsia="宋体" w:cs="宋体"/>
          <w:color w:val="auto"/>
          <w:sz w:val="24"/>
          <w:szCs w:val="24"/>
          <w:highlight w:val="none"/>
          <w:lang w:val="en-US" w:eastAsia="zh-CN"/>
        </w:rPr>
        <w:t>）：122万元</w:t>
      </w:r>
    </w:p>
    <w:p w14:paraId="3F213677">
      <w:pPr>
        <w:shd w:val="clear" w:color="auto"/>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新疆科技学院现代化工与纺织实训中心设备采购项目（详见招标文件第六章）</w:t>
      </w:r>
    </w:p>
    <w:p w14:paraId="32CA42F8">
      <w:pPr>
        <w:pStyle w:val="34"/>
        <w:shd w:val="clear"/>
        <w:ind w:left="0" w:leftChars="0" w:firstLine="0" w:firstLineChars="0"/>
        <w:jc w:val="both"/>
        <w:rPr>
          <w:rFonts w:hint="eastAsia"/>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122万</w:t>
      </w:r>
      <w:r>
        <w:rPr>
          <w:rFonts w:hint="eastAsia" w:ascii="宋体" w:hAnsi="宋体" w:eastAsia="宋体" w:cs="宋体"/>
          <w:color w:val="auto"/>
          <w:sz w:val="24"/>
          <w:szCs w:val="24"/>
          <w:highlight w:val="none"/>
        </w:rPr>
        <w:t>元</w:t>
      </w:r>
    </w:p>
    <w:p w14:paraId="57D095BE">
      <w:pPr>
        <w:shd w:val="clear" w:color="auto"/>
        <w:spacing w:line="360" w:lineRule="auto"/>
        <w:rPr>
          <w:rFonts w:hint="eastAsia" w:eastAsia="宋体"/>
          <w:color w:val="auto"/>
          <w:highlight w:val="none"/>
          <w:lang w:eastAsia="zh-CN"/>
        </w:rPr>
      </w:pPr>
      <w:r>
        <w:rPr>
          <w:rFonts w:hint="eastAsia" w:ascii="宋体" w:hAnsi="宋体" w:eastAsia="宋体" w:cs="宋体"/>
          <w:color w:val="auto"/>
          <w:sz w:val="24"/>
          <w:szCs w:val="24"/>
          <w:highlight w:val="none"/>
        </w:rPr>
        <w:t>简要规格描述：详见</w:t>
      </w:r>
      <w:r>
        <w:rPr>
          <w:rFonts w:hint="eastAsia" w:ascii="宋体" w:hAnsi="宋体" w:cs="宋体"/>
          <w:color w:val="auto"/>
          <w:sz w:val="24"/>
          <w:szCs w:val="24"/>
          <w:highlight w:val="none"/>
          <w:lang w:val="en-US" w:eastAsia="zh-CN"/>
        </w:rPr>
        <w:t>招标文件</w:t>
      </w:r>
    </w:p>
    <w:p w14:paraId="70448E7D">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p w14:paraId="27E800AA">
      <w:pPr>
        <w:shd w:val="clear" w:color="auto"/>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供货期</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内完成供货培训等内容</w:t>
      </w:r>
      <w:r>
        <w:rPr>
          <w:rFonts w:hint="eastAsia" w:ascii="宋体" w:hAnsi="宋体" w:eastAsia="宋体" w:cs="宋体"/>
          <w:color w:val="auto"/>
          <w:sz w:val="24"/>
          <w:szCs w:val="24"/>
          <w:highlight w:val="none"/>
        </w:rPr>
        <w:t>。</w:t>
      </w:r>
    </w:p>
    <w:p w14:paraId="2F6AEDC2">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p w14:paraId="16CCDF1C">
      <w:pPr>
        <w:keepNext w:val="0"/>
        <w:keepLines w:val="0"/>
        <w:pageBreakBefore w:val="0"/>
        <w:widowControl/>
        <w:shd w:val="clear" w:color="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74BEF63D">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EB2E566">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.1. 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144E32A9">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.2. 具有良好的商业信誉和健全的财务会计制度；（</w:t>
      </w:r>
      <w:r>
        <w:rPr>
          <w:rFonts w:hint="eastAsia" w:ascii="宋体" w:hAnsi="宋体" w:cs="宋体"/>
          <w:color w:val="auto"/>
          <w:sz w:val="24"/>
          <w:szCs w:val="24"/>
          <w:highlight w:val="none"/>
          <w:lang w:val="en-US" w:eastAsia="zh-CN"/>
        </w:rPr>
        <w:t>提供健全的财务会计制度证明文件或近一年内银行提供的资信证明，例如2023年度至2025年度任意一年会计师事务所出具的财务审计报告或财务状况报告等，新成立公司自成立之日起提供</w:t>
      </w:r>
      <w:r>
        <w:rPr>
          <w:rFonts w:hint="default" w:ascii="宋体" w:hAnsi="宋体" w:eastAsia="宋体" w:cs="宋体"/>
          <w:color w:val="auto"/>
          <w:sz w:val="24"/>
          <w:szCs w:val="24"/>
          <w:highlight w:val="none"/>
          <w:lang w:val="en-US" w:eastAsia="zh-CN"/>
        </w:rPr>
        <w:t>）</w:t>
      </w:r>
    </w:p>
    <w:p w14:paraId="64AEB363">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.3. 具有履行合同所必需的设备和专业技术能力；（提供具有履行合同所必需的设备和专业技术能力的承诺函）</w:t>
      </w:r>
    </w:p>
    <w:p w14:paraId="690A5DEE">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有依法缴纳税收和社会保障资金的良好记录；（递交投标文件截止时间前一年内至少一个月依法缴纳税收及缴纳社会保障资金的证明材料，投标人依法享受缓缴、免缴税收、社会保障资金的，提供证明材料）</w:t>
      </w:r>
    </w:p>
    <w:p w14:paraId="1761890C">
      <w:pPr>
        <w:shd w:val="clear" w:color="auto"/>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参加采购活动前三年内，在经营活动中没有重大违法记录。查询渠道“中国政府采购网”、“信用中国”及“中国执行信息公开网”，被列入失信被执行人、重大税收违法案件当事人名单、政府采购严重违法失信行为记录名单的供应商，不得参与本次政府采购活动，供应商自行登录网站进行查询结果并打印完整查询结果。</w:t>
      </w:r>
    </w:p>
    <w:p w14:paraId="1B3FEE39">
      <w:pPr>
        <w:numPr>
          <w:ilvl w:val="0"/>
          <w:numId w:val="0"/>
        </w:numPr>
        <w:shd w:val="clear" w:color="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本项目专门面向中小企业</w:t>
      </w:r>
      <w:r>
        <w:rPr>
          <w:rFonts w:hint="eastAsia" w:hAnsi="宋体" w:cs="宋体"/>
          <w:color w:val="auto"/>
          <w:sz w:val="24"/>
          <w:szCs w:val="24"/>
          <w:lang w:eastAsia="zh-CN"/>
        </w:rPr>
        <w:t>（提供中小企业声明函）</w:t>
      </w:r>
    </w:p>
    <w:p w14:paraId="4F85DB73">
      <w:pPr>
        <w:shd w:val="clear" w:color="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无</w:t>
      </w:r>
    </w:p>
    <w:p w14:paraId="2378F456">
      <w:pPr>
        <w:shd w:val="clear" w:color="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17C189B9">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shd w:val="clear" w:fill="FFFF00"/>
          <w:lang w:eastAsia="zh-CN"/>
        </w:rPr>
        <w:t>2026年4月22日至2026年4月30日</w:t>
      </w:r>
      <w:r>
        <w:rPr>
          <w:rFonts w:hint="eastAsia" w:ascii="宋体" w:hAnsi="宋体" w:eastAsia="宋体" w:cs="宋体"/>
          <w:color w:val="auto"/>
          <w:sz w:val="24"/>
          <w:szCs w:val="24"/>
          <w:highlight w:val="none"/>
          <w:shd w:val="clear" w:fill="FFFF00"/>
        </w:rPr>
        <w:t>，每天上午</w:t>
      </w:r>
      <w:r>
        <w:rPr>
          <w:rFonts w:hint="eastAsia" w:ascii="宋体" w:hAnsi="宋体" w:eastAsia="宋体" w:cs="宋体"/>
          <w:color w:val="auto"/>
          <w:sz w:val="24"/>
          <w:szCs w:val="24"/>
          <w:highlight w:val="none"/>
          <w:shd w:val="clear" w:fill="FFFF00"/>
          <w:lang w:val="en-US" w:eastAsia="zh-CN"/>
        </w:rPr>
        <w:t>00</w:t>
      </w:r>
      <w:r>
        <w:rPr>
          <w:rFonts w:hint="eastAsia" w:ascii="宋体" w:hAnsi="宋体" w:eastAsia="宋体" w:cs="宋体"/>
          <w:color w:val="auto"/>
          <w:sz w:val="24"/>
          <w:szCs w:val="24"/>
          <w:highlight w:val="none"/>
          <w:shd w:val="clear" w:fill="FFFF00"/>
        </w:rPr>
        <w:t>:00至1</w:t>
      </w:r>
      <w:r>
        <w:rPr>
          <w:rFonts w:hint="eastAsia" w:ascii="宋体" w:hAnsi="宋体" w:eastAsia="宋体" w:cs="宋体"/>
          <w:color w:val="auto"/>
          <w:sz w:val="24"/>
          <w:szCs w:val="24"/>
          <w:highlight w:val="none"/>
          <w:shd w:val="clear" w:fill="FFFF00"/>
          <w:lang w:val="en-US" w:eastAsia="zh-CN"/>
        </w:rPr>
        <w:t>2</w:t>
      </w:r>
      <w:r>
        <w:rPr>
          <w:rFonts w:hint="eastAsia" w:ascii="宋体" w:hAnsi="宋体" w:eastAsia="宋体" w:cs="宋体"/>
          <w:color w:val="auto"/>
          <w:sz w:val="24"/>
          <w:szCs w:val="24"/>
          <w:highlight w:val="none"/>
          <w:shd w:val="clear" w:fill="FFFF00"/>
        </w:rPr>
        <w:t>:00，下午1</w:t>
      </w:r>
      <w:r>
        <w:rPr>
          <w:rFonts w:hint="eastAsia" w:ascii="宋体" w:hAnsi="宋体" w:eastAsia="宋体" w:cs="宋体"/>
          <w:color w:val="auto"/>
          <w:sz w:val="24"/>
          <w:szCs w:val="24"/>
          <w:highlight w:val="none"/>
          <w:shd w:val="clear" w:fill="FFFF00"/>
          <w:lang w:val="en-US" w:eastAsia="zh-CN"/>
        </w:rPr>
        <w:t>2</w:t>
      </w:r>
      <w:r>
        <w:rPr>
          <w:rFonts w:hint="eastAsia" w:ascii="宋体" w:hAnsi="宋体" w:eastAsia="宋体" w:cs="宋体"/>
          <w:color w:val="auto"/>
          <w:sz w:val="24"/>
          <w:szCs w:val="24"/>
          <w:highlight w:val="none"/>
          <w:shd w:val="clear" w:fill="FFFF00"/>
        </w:rPr>
        <w:t>:00至</w:t>
      </w:r>
      <w:r>
        <w:rPr>
          <w:rFonts w:hint="eastAsia" w:ascii="宋体" w:hAnsi="宋体" w:eastAsia="宋体" w:cs="宋体"/>
          <w:color w:val="auto"/>
          <w:sz w:val="24"/>
          <w:szCs w:val="24"/>
          <w:highlight w:val="none"/>
          <w:shd w:val="clear" w:fill="FFFF00"/>
          <w:lang w:val="en-US" w:eastAsia="zh-CN"/>
        </w:rPr>
        <w:t>23</w:t>
      </w:r>
      <w:r>
        <w:rPr>
          <w:rFonts w:hint="eastAsia" w:ascii="宋体" w:hAnsi="宋体" w:eastAsia="宋体" w:cs="宋体"/>
          <w:color w:val="auto"/>
          <w:sz w:val="24"/>
          <w:szCs w:val="24"/>
          <w:highlight w:val="none"/>
          <w:shd w:val="clear" w:fill="FFFF00"/>
        </w:rPr>
        <w:t>:</w:t>
      </w:r>
      <w:r>
        <w:rPr>
          <w:rFonts w:hint="eastAsia" w:ascii="宋体" w:hAnsi="宋体" w:eastAsia="宋体" w:cs="宋体"/>
          <w:color w:val="auto"/>
          <w:sz w:val="24"/>
          <w:szCs w:val="24"/>
          <w:highlight w:val="none"/>
          <w:shd w:val="clear" w:fill="FFFF00"/>
          <w:lang w:val="en-US" w:eastAsia="zh-CN"/>
        </w:rPr>
        <w:t>59</w:t>
      </w:r>
      <w:r>
        <w:rPr>
          <w:rFonts w:hint="eastAsia" w:ascii="宋体" w:hAnsi="宋体" w:eastAsia="宋体" w:cs="宋体"/>
          <w:color w:val="auto"/>
          <w:sz w:val="24"/>
          <w:szCs w:val="24"/>
          <w:highlight w:val="none"/>
          <w:shd w:val="clear" w:fill="FFFF00"/>
        </w:rPr>
        <w:t>。</w:t>
      </w:r>
      <w:r>
        <w:rPr>
          <w:rFonts w:hint="eastAsia" w:ascii="宋体" w:hAnsi="宋体" w:eastAsia="宋体" w:cs="宋体"/>
          <w:color w:val="auto"/>
          <w:sz w:val="24"/>
          <w:szCs w:val="24"/>
          <w:highlight w:val="none"/>
        </w:rPr>
        <w:t>（北京时间，法定节假日除外）</w:t>
      </w:r>
    </w:p>
    <w:p w14:paraId="371AE850">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政采云平台</w:t>
      </w:r>
    </w:p>
    <w:p w14:paraId="6A5D10EA">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w:t>
      </w:r>
    </w:p>
    <w:p w14:paraId="1D68ECB6">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14:paraId="10A8974C">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r>
        <w:rPr>
          <w:rFonts w:hint="eastAsia" w:ascii="宋体" w:hAnsi="宋体" w:eastAsia="宋体" w:cs="宋体"/>
          <w:color w:val="auto"/>
          <w:sz w:val="24"/>
          <w:szCs w:val="24"/>
          <w:highlight w:val="none"/>
        </w:rPr>
        <w:t xml:space="preserve"> </w:t>
      </w:r>
    </w:p>
    <w:p w14:paraId="25A1313A">
      <w:pPr>
        <w:shd w:val="clear" w:color="auto"/>
        <w:spacing w:line="360" w:lineRule="auto"/>
        <w:ind w:firstLine="240" w:firstLineChars="100"/>
        <w:rPr>
          <w:rFonts w:hint="eastAsia" w:ascii="宋体" w:hAnsi="宋体" w:eastAsia="宋体" w:cs="宋体"/>
          <w:color w:val="auto"/>
          <w:sz w:val="24"/>
          <w:szCs w:val="24"/>
          <w:highlight w:val="none"/>
          <w:shd w:val="clear" w:fill="FFFF00"/>
        </w:rPr>
      </w:pPr>
      <w:r>
        <w:rPr>
          <w:rFonts w:hint="eastAsia" w:ascii="宋体" w:hAnsi="宋体" w:eastAsia="宋体" w:cs="宋体"/>
          <w:color w:val="auto"/>
          <w:sz w:val="24"/>
          <w:szCs w:val="24"/>
          <w:highlight w:val="none"/>
          <w:lang w:eastAsia="zh-CN"/>
        </w:rPr>
        <w:t>提交投标文件截止时间：</w:t>
      </w:r>
      <w:r>
        <w:rPr>
          <w:rFonts w:hint="eastAsia" w:ascii="宋体" w:hAnsi="宋体" w:cs="宋体"/>
          <w:color w:val="auto"/>
          <w:sz w:val="24"/>
          <w:szCs w:val="24"/>
          <w:highlight w:val="none"/>
          <w:shd w:val="clear" w:fill="FFFF00"/>
          <w:lang w:eastAsia="zh-CN"/>
        </w:rPr>
        <w:t>2026年5月15日11点00分</w:t>
      </w:r>
      <w:r>
        <w:rPr>
          <w:rFonts w:hint="eastAsia" w:ascii="宋体" w:hAnsi="宋体" w:eastAsia="宋体" w:cs="宋体"/>
          <w:color w:val="auto"/>
          <w:sz w:val="24"/>
          <w:szCs w:val="24"/>
          <w:highlight w:val="none"/>
          <w:shd w:val="clear" w:fill="FFFF00"/>
        </w:rPr>
        <w:t>（北京时间）</w:t>
      </w:r>
    </w:p>
    <w:p w14:paraId="653B4E33">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投标地点：：政采云平台</w:t>
      </w:r>
    </w:p>
    <w:p w14:paraId="33FD6092">
      <w:pPr>
        <w:shd w:val="clear" w:color="auto"/>
        <w:spacing w:line="360" w:lineRule="auto"/>
        <w:ind w:firstLine="240" w:firstLineChars="100"/>
        <w:rPr>
          <w:rFonts w:hint="eastAsia" w:ascii="宋体" w:hAnsi="宋体" w:eastAsia="宋体" w:cs="宋体"/>
          <w:color w:val="auto"/>
          <w:sz w:val="24"/>
          <w:szCs w:val="24"/>
          <w:highlight w:val="none"/>
          <w:shd w:val="clear" w:fill="FFFF00"/>
          <w:lang w:eastAsia="zh-CN"/>
        </w:rPr>
      </w:pPr>
      <w:r>
        <w:rPr>
          <w:rFonts w:hint="eastAsia" w:ascii="宋体" w:hAnsi="宋体" w:eastAsia="宋体" w:cs="宋体"/>
          <w:color w:val="auto"/>
          <w:sz w:val="24"/>
          <w:szCs w:val="24"/>
          <w:highlight w:val="none"/>
          <w:lang w:eastAsia="zh-CN"/>
        </w:rPr>
        <w:t>开标时间：</w:t>
      </w:r>
      <w:r>
        <w:rPr>
          <w:rFonts w:hint="eastAsia" w:ascii="宋体" w:hAnsi="宋体" w:cs="宋体"/>
          <w:color w:val="auto"/>
          <w:sz w:val="24"/>
          <w:szCs w:val="24"/>
          <w:highlight w:val="none"/>
          <w:shd w:val="clear" w:fill="FFFF00"/>
          <w:lang w:eastAsia="zh-CN"/>
        </w:rPr>
        <w:t>2026年5月15日11点00分</w:t>
      </w:r>
      <w:r>
        <w:rPr>
          <w:rFonts w:hint="eastAsia" w:ascii="宋体" w:hAnsi="宋体" w:eastAsia="宋体" w:cs="宋体"/>
          <w:color w:val="auto"/>
          <w:sz w:val="24"/>
          <w:szCs w:val="24"/>
          <w:highlight w:val="none"/>
          <w:shd w:val="clear" w:fill="FFFF00"/>
        </w:rPr>
        <w:t>（北京时间）</w:t>
      </w:r>
    </w:p>
    <w:p w14:paraId="1FC2B12B">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开标地点：政采云平台</w:t>
      </w:r>
    </w:p>
    <w:p w14:paraId="77DB31E1">
      <w:pPr>
        <w:shd w:val="clear" w:color="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、公告期限</w:t>
      </w:r>
    </w:p>
    <w:p w14:paraId="341189F1">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7B1C071C">
      <w:pPr>
        <w:shd w:val="clear" w:color="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、其他补充事宜</w:t>
      </w:r>
    </w:p>
    <w:p w14:paraId="622F04AC">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w:t>
      </w:r>
    </w:p>
    <w:p w14:paraId="71D6A612">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2.本项目实行网上投标，采用电子响应文件(供应商须使用 CA 加密设备通过政采云电子投标客户端制作响应文件)。若供应商参与投标，自行承担投标一切费用。</w:t>
      </w:r>
    </w:p>
    <w:p w14:paraId="6B985383">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3.各供应商应在开标前应确保成为新疆维吾尔自治区政府采购网正式注册入库供应商，并完成 CA 数字证书申领。因未注册入库、未办理 CA数字证书等原因造成无法投标或投标失败等后果由供应商自行承担。</w:t>
      </w:r>
    </w:p>
    <w:p w14:paraId="5153E42C">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 CA 登录客户端进行响应文件制作。在使用政采云投标客户端时，建议使用 WIN7 及以上操作系统 。客户端请至新疆政府采购网（http://www.ccgp-xinjiang.gov.cn/）下载专区查看，如有问题可拨打政采云客户服务热线 400-881-7190 进行咨询。</w:t>
      </w:r>
    </w:p>
    <w:p w14:paraId="48FACF7B">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5.供应商在开标时须使用制作加密电子响应文件所使用的 CA 锁及电脑，电脑须提前配置好浏览器，以便开标时解锁。</w:t>
      </w:r>
    </w:p>
    <w:p w14:paraId="586518EB">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6.投标保证金缴纳及确认时间：凡拟参加本次招标项目的供应商，必须在开标前将投标保证金汇入指定账户。投标保证金汇款凭证上用途栏应注明:标项名称（或简称）+投标保证金。</w:t>
      </w:r>
    </w:p>
    <w:p w14:paraId="6BEEA767">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供应商对不见面 开 评 标 系 统 的 技 术 操 作 咨 询 ， 可 通 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BBBEA24">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特别提示：</w:t>
      </w:r>
    </w:p>
    <w:p w14:paraId="5DD5AC02">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14:paraId="002435A0">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573CB78">
      <w:pPr>
        <w:shd w:val="clear" w:color="auto"/>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4ACABA5">
      <w:pPr>
        <w:shd w:val="clear" w:color="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、对本次招标提出询问，请按以下方式联系。</w:t>
      </w:r>
    </w:p>
    <w:p w14:paraId="2B92D498">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7617196">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称：新疆科技学院</w:t>
      </w:r>
    </w:p>
    <w:p w14:paraId="56123C94">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库尔勒市北京路89号</w:t>
      </w:r>
    </w:p>
    <w:p w14:paraId="56E8D761">
      <w:pPr>
        <w:shd w:val="clear" w:color="auto"/>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陈老师 19803228996</w:t>
      </w:r>
    </w:p>
    <w:p w14:paraId="75B425C1">
      <w:pPr>
        <w:shd w:val="clear" w:color="auto"/>
        <w:spacing w:line="360" w:lineRule="auto"/>
        <w:ind w:firstLine="240" w:firstLineChars="1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2.采购代理机构信息</w:t>
      </w:r>
    </w:p>
    <w:p w14:paraId="008022BF">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新疆新之建工程咨询有限公司</w:t>
      </w:r>
    </w:p>
    <w:p w14:paraId="5E2F33D2">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新疆巴音郭楞蒙古自治州库尔勒市光明路欢乐海岸3号楼7层东侧05号房</w:t>
      </w:r>
    </w:p>
    <w:p w14:paraId="18154BFD">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8EF9EFD">
      <w:pPr>
        <w:shd w:val="clear" w:color="auto"/>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联系人:陈晨</w:t>
      </w:r>
    </w:p>
    <w:p w14:paraId="19E41D54">
      <w:pPr>
        <w:shd w:val="clear" w:color="auto"/>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话:18083997800</w:t>
      </w:r>
    </w:p>
    <w:p w14:paraId="394B1E3F">
      <w:pPr>
        <w:shd w:val="clear" w:color="auto"/>
        <w:spacing w:line="360" w:lineRule="auto"/>
        <w:ind w:firstLine="240" w:firstLineChars="100"/>
        <w:rPr>
          <w:rFonts w:hint="eastAsia" w:ascii="宋体" w:hAnsi="宋体" w:eastAsia="宋体" w:cs="宋体"/>
          <w:color w:val="auto"/>
          <w:sz w:val="24"/>
          <w:szCs w:val="24"/>
          <w:highlight w:val="none"/>
        </w:rPr>
      </w:pPr>
    </w:p>
    <w:p w14:paraId="7F32F311">
      <w:pPr>
        <w:shd w:val="clear" w:color="auto"/>
        <w:spacing w:line="360" w:lineRule="auto"/>
        <w:ind w:firstLine="240" w:firstLineChars="100"/>
        <w:rPr>
          <w:rFonts w:hint="eastAsia" w:ascii="宋体" w:hAnsi="宋体" w:eastAsia="宋体" w:cs="宋体"/>
          <w:color w:val="auto"/>
          <w:sz w:val="24"/>
          <w:szCs w:val="24"/>
          <w:highlight w:val="none"/>
          <w:lang w:eastAsia="zh-CN"/>
        </w:rPr>
        <w:sectPr>
          <w:footerReference r:id="rId4" w:type="default"/>
          <w:pgSz w:w="11910" w:h="16840"/>
          <w:pgMar w:top="1440" w:right="1800" w:bottom="1440" w:left="1800" w:header="878" w:footer="993" w:gutter="0"/>
          <w:pgNumType w:fmt="decimal" w:start="1"/>
          <w:cols w:space="720" w:num="1"/>
        </w:sectPr>
      </w:pPr>
    </w:p>
    <w:p w14:paraId="02AB0B44">
      <w:pPr>
        <w:pStyle w:val="161"/>
        <w:numPr>
          <w:ilvl w:val="0"/>
          <w:numId w:val="3"/>
        </w:numPr>
        <w:shd w:val="clear" w:color="auto"/>
        <w:spacing w:line="360" w:lineRule="auto"/>
        <w:ind w:left="951" w:leftChars="0" w:firstLine="2409" w:firstLineChars="0"/>
        <w:rPr>
          <w:rFonts w:hint="eastAsia" w:hAnsi="宋体" w:cs="宋体"/>
          <w:b/>
          <w:color w:val="auto"/>
          <w:sz w:val="32"/>
          <w:szCs w:val="32"/>
          <w:highlight w:val="none"/>
        </w:rPr>
      </w:pPr>
      <w:r>
        <w:rPr>
          <w:rFonts w:hint="eastAsia" w:hAnsi="宋体" w:cs="宋体"/>
          <w:b/>
          <w:color w:val="auto"/>
          <w:sz w:val="32"/>
          <w:szCs w:val="32"/>
          <w:highlight w:val="none"/>
        </w:rPr>
        <w:t xml:space="preserve"> 供应商须知</w:t>
      </w:r>
    </w:p>
    <w:p w14:paraId="1EF606B3">
      <w:pPr>
        <w:pStyle w:val="161"/>
        <w:shd w:val="clear" w:color="auto"/>
        <w:spacing w:line="360" w:lineRule="auto"/>
        <w:ind w:left="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供应商须知前附表</w:t>
      </w:r>
      <w:bookmarkEnd w:id="1"/>
      <w:bookmarkEnd w:id="2"/>
      <w:bookmarkEnd w:id="3"/>
      <w:bookmarkEnd w:id="4"/>
      <w:bookmarkEnd w:id="5"/>
      <w:bookmarkEnd w:id="6"/>
      <w:bookmarkEnd w:id="7"/>
      <w:bookmarkEnd w:id="8"/>
    </w:p>
    <w:tbl>
      <w:tblPr>
        <w:tblStyle w:val="35"/>
        <w:tblW w:w="9008" w:type="dxa"/>
        <w:tblInd w:w="108" w:type="dxa"/>
        <w:tblLayout w:type="fixed"/>
        <w:tblCellMar>
          <w:top w:w="0" w:type="dxa"/>
          <w:left w:w="108" w:type="dxa"/>
          <w:bottom w:w="0" w:type="dxa"/>
          <w:right w:w="108" w:type="dxa"/>
        </w:tblCellMar>
      </w:tblPr>
      <w:tblGrid>
        <w:gridCol w:w="548"/>
        <w:gridCol w:w="1845"/>
        <w:gridCol w:w="6615"/>
      </w:tblGrid>
      <w:tr w14:paraId="4D6F47D3">
        <w:tblPrEx>
          <w:tblCellMar>
            <w:top w:w="0" w:type="dxa"/>
            <w:left w:w="108" w:type="dxa"/>
            <w:bottom w:w="0" w:type="dxa"/>
            <w:right w:w="108" w:type="dxa"/>
          </w:tblCellMar>
        </w:tblPrEx>
        <w:trPr>
          <w:trHeight w:val="369"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47B3D3DC">
            <w:pPr>
              <w:shd w:val="clear" w:color="auto"/>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4F16892">
            <w:pPr>
              <w:shd w:val="clear" w:color="auto"/>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7291D5E">
            <w:pPr>
              <w:shd w:val="clear" w:color="auto"/>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说明或要求</w:t>
            </w:r>
          </w:p>
        </w:tc>
      </w:tr>
      <w:tr w14:paraId="15AE6ACC">
        <w:tblPrEx>
          <w:tblCellMar>
            <w:top w:w="0" w:type="dxa"/>
            <w:left w:w="108" w:type="dxa"/>
            <w:bottom w:w="0" w:type="dxa"/>
            <w:right w:w="108" w:type="dxa"/>
          </w:tblCellMar>
        </w:tblPrEx>
        <w:trPr>
          <w:trHeight w:val="998"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50FB4D0">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A4395A8">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653C9DE">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名称：新疆科技学院</w:t>
            </w:r>
          </w:p>
          <w:p w14:paraId="28E3FEAC">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kern w:val="0"/>
                <w:sz w:val="24"/>
                <w:szCs w:val="24"/>
                <w:highlight w:val="none"/>
                <w:lang w:val="en-US" w:eastAsia="zh-CN"/>
              </w:rPr>
              <w:t>库尔勒市北京路89号</w:t>
            </w:r>
          </w:p>
          <w:p w14:paraId="21735012">
            <w:pPr>
              <w:shd w:val="clear" w:color="auto"/>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陈老师</w:t>
            </w:r>
          </w:p>
          <w:p w14:paraId="6E69FB75">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19803228996</w:t>
            </w:r>
          </w:p>
        </w:tc>
      </w:tr>
      <w:tr w14:paraId="3248B472">
        <w:tblPrEx>
          <w:tblCellMar>
            <w:top w:w="0" w:type="dxa"/>
            <w:left w:w="108" w:type="dxa"/>
            <w:bottom w:w="0" w:type="dxa"/>
            <w:right w:w="108" w:type="dxa"/>
          </w:tblCellMar>
        </w:tblPrEx>
        <w:trPr>
          <w:trHeight w:val="1020"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0AC98222">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69F768C">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072083C">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cs="宋体"/>
                <w:color w:val="auto"/>
                <w:kern w:val="0"/>
                <w:sz w:val="24"/>
                <w:szCs w:val="24"/>
                <w:highlight w:val="none"/>
                <w:lang w:eastAsia="zh-CN"/>
              </w:rPr>
              <w:t>新疆新之建工程咨询有限公司</w:t>
            </w:r>
          </w:p>
          <w:p w14:paraId="5E64BDA9">
            <w:pPr>
              <w:shd w:val="clear" w:color="auto"/>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新疆巴音郭楞蒙古自治州库尔勒市光明路欢乐海岸3号楼7层东侧05号房</w:t>
            </w:r>
          </w:p>
          <w:p w14:paraId="5452BA3D">
            <w:pPr>
              <w:shd w:val="clear" w:color="auto"/>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联系人：陈晨</w:t>
            </w:r>
          </w:p>
          <w:p w14:paraId="4ACBCC61">
            <w:pPr>
              <w:shd w:val="clear" w:color="auto"/>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电话：18083997800</w:t>
            </w:r>
          </w:p>
        </w:tc>
      </w:tr>
      <w:tr w14:paraId="69F1D03F">
        <w:tblPrEx>
          <w:tblCellMar>
            <w:top w:w="0" w:type="dxa"/>
            <w:left w:w="108" w:type="dxa"/>
            <w:bottom w:w="0" w:type="dxa"/>
            <w:right w:w="108" w:type="dxa"/>
          </w:tblCellMar>
        </w:tblPrEx>
        <w:trPr>
          <w:trHeight w:val="534" w:hRule="atLeast"/>
        </w:trPr>
        <w:tc>
          <w:tcPr>
            <w:tcW w:w="548" w:type="dxa"/>
            <w:vMerge w:val="restart"/>
            <w:tcBorders>
              <w:top w:val="single" w:color="auto" w:sz="4" w:space="0"/>
              <w:left w:val="single" w:color="auto" w:sz="4" w:space="0"/>
              <w:right w:val="single" w:color="auto" w:sz="4" w:space="0"/>
            </w:tcBorders>
            <w:noWrap w:val="0"/>
            <w:vAlign w:val="center"/>
          </w:tcPr>
          <w:p w14:paraId="68D51D15">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7663765D">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5F7375A">
            <w:pPr>
              <w:shd w:val="clear" w:color="auto"/>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新疆科技学院现代化工与纺织实训中心设备采购项目</w:t>
            </w:r>
          </w:p>
        </w:tc>
      </w:tr>
      <w:tr w14:paraId="3771232B">
        <w:tblPrEx>
          <w:tblCellMar>
            <w:top w:w="0" w:type="dxa"/>
            <w:left w:w="108" w:type="dxa"/>
            <w:bottom w:w="0" w:type="dxa"/>
            <w:right w:w="108" w:type="dxa"/>
          </w:tblCellMar>
        </w:tblPrEx>
        <w:trPr>
          <w:trHeight w:val="537" w:hRule="atLeast"/>
        </w:trPr>
        <w:tc>
          <w:tcPr>
            <w:tcW w:w="548" w:type="dxa"/>
            <w:vMerge w:val="continue"/>
            <w:tcBorders>
              <w:left w:val="single" w:color="auto" w:sz="4" w:space="0"/>
              <w:right w:val="single" w:color="auto" w:sz="4" w:space="0"/>
            </w:tcBorders>
            <w:noWrap w:val="0"/>
            <w:vAlign w:val="center"/>
          </w:tcPr>
          <w:p w14:paraId="6924D8CB">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0391A6E">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82DBDBC">
            <w:pPr>
              <w:shd w:val="clear" w:color="auto"/>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XZJ26M-002-ZK</w:t>
            </w:r>
          </w:p>
        </w:tc>
      </w:tr>
      <w:tr w14:paraId="765F7530">
        <w:tblPrEx>
          <w:tblCellMar>
            <w:top w:w="0" w:type="dxa"/>
            <w:left w:w="108" w:type="dxa"/>
            <w:bottom w:w="0" w:type="dxa"/>
            <w:right w:w="108" w:type="dxa"/>
          </w:tblCellMar>
        </w:tblPrEx>
        <w:trPr>
          <w:trHeight w:val="496" w:hRule="atLeast"/>
        </w:trPr>
        <w:tc>
          <w:tcPr>
            <w:tcW w:w="548" w:type="dxa"/>
            <w:vMerge w:val="continue"/>
            <w:tcBorders>
              <w:left w:val="single" w:color="auto" w:sz="4" w:space="0"/>
              <w:right w:val="single" w:color="auto" w:sz="4" w:space="0"/>
            </w:tcBorders>
            <w:noWrap w:val="0"/>
            <w:vAlign w:val="center"/>
          </w:tcPr>
          <w:p w14:paraId="290D3869">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BE79675">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4B8DE2A">
            <w:pPr>
              <w:shd w:val="clear" w:color="auto"/>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公开招标</w:t>
            </w:r>
          </w:p>
        </w:tc>
      </w:tr>
      <w:tr w14:paraId="24C88534">
        <w:tblPrEx>
          <w:tblCellMar>
            <w:top w:w="0" w:type="dxa"/>
            <w:left w:w="108" w:type="dxa"/>
            <w:bottom w:w="0" w:type="dxa"/>
            <w:right w:w="108" w:type="dxa"/>
          </w:tblCellMar>
        </w:tblPrEx>
        <w:trPr>
          <w:trHeight w:val="519" w:hRule="atLeast"/>
        </w:trPr>
        <w:tc>
          <w:tcPr>
            <w:tcW w:w="548" w:type="dxa"/>
            <w:vMerge w:val="continue"/>
            <w:tcBorders>
              <w:left w:val="single" w:color="auto" w:sz="4" w:space="0"/>
              <w:right w:val="single" w:color="auto" w:sz="4" w:space="0"/>
            </w:tcBorders>
            <w:noWrap w:val="0"/>
            <w:vAlign w:val="center"/>
          </w:tcPr>
          <w:p w14:paraId="46AE5DB0">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DEA48B8">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DA3CCAD">
            <w:pPr>
              <w:shd w:val="clear" w:color="auto"/>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资格后审</w:t>
            </w:r>
          </w:p>
        </w:tc>
      </w:tr>
      <w:tr w14:paraId="2597E0FE">
        <w:tblPrEx>
          <w:tblCellMar>
            <w:top w:w="0" w:type="dxa"/>
            <w:left w:w="108" w:type="dxa"/>
            <w:bottom w:w="0" w:type="dxa"/>
            <w:right w:w="108" w:type="dxa"/>
          </w:tblCellMar>
        </w:tblPrEx>
        <w:trPr>
          <w:trHeight w:val="544" w:hRule="atLeast"/>
        </w:trPr>
        <w:tc>
          <w:tcPr>
            <w:tcW w:w="548" w:type="dxa"/>
            <w:vMerge w:val="continue"/>
            <w:tcBorders>
              <w:left w:val="single" w:color="auto" w:sz="4" w:space="0"/>
              <w:bottom w:val="single" w:color="auto" w:sz="4" w:space="0"/>
              <w:right w:val="single" w:color="auto" w:sz="4" w:space="0"/>
            </w:tcBorders>
            <w:noWrap w:val="0"/>
            <w:vAlign w:val="center"/>
          </w:tcPr>
          <w:p w14:paraId="6B2D8DA4">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28C8EA0">
            <w:pPr>
              <w:shd w:val="clear" w:color="auto"/>
              <w:spacing w:line="360" w:lineRule="auto"/>
              <w:ind w:left="-199" w:leftChars="-95"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需求</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5221443">
            <w:pPr>
              <w:shd w:val="clear" w:color="auto"/>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新疆科技学院现代化工与纺织实训中心设备采购项目（详见招标文件第六章）</w:t>
            </w:r>
          </w:p>
        </w:tc>
      </w:tr>
      <w:tr w14:paraId="1FE9B2F4">
        <w:tblPrEx>
          <w:tblCellMar>
            <w:top w:w="0" w:type="dxa"/>
            <w:left w:w="108" w:type="dxa"/>
            <w:bottom w:w="0" w:type="dxa"/>
            <w:right w:w="108" w:type="dxa"/>
          </w:tblCellMar>
        </w:tblPrEx>
        <w:trPr>
          <w:trHeight w:val="578"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3BDDCA64">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B82B88C">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BC4F4A1">
            <w:pPr>
              <w:shd w:val="clear" w:color="auto"/>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小写：</w:t>
            </w:r>
            <w:r>
              <w:rPr>
                <w:rFonts w:hint="eastAsia" w:ascii="宋体" w:hAnsi="宋体" w:cs="宋体"/>
                <w:color w:val="auto"/>
                <w:sz w:val="24"/>
                <w:szCs w:val="24"/>
                <w:highlight w:val="none"/>
                <w:lang w:val="en-US" w:eastAsia="zh-CN"/>
              </w:rPr>
              <w:t>1220000.00</w:t>
            </w:r>
            <w:r>
              <w:rPr>
                <w:rFonts w:hint="eastAsia" w:ascii="宋体" w:hAnsi="宋体" w:eastAsia="宋体" w:cs="宋体"/>
                <w:color w:val="auto"/>
                <w:sz w:val="24"/>
                <w:szCs w:val="24"/>
                <w:highlight w:val="none"/>
                <w:lang w:eastAsia="zh-CN"/>
              </w:rPr>
              <w:t>元；大写：</w:t>
            </w:r>
            <w:r>
              <w:rPr>
                <w:rFonts w:hint="eastAsia" w:ascii="宋体" w:hAnsi="宋体" w:cs="宋体"/>
                <w:color w:val="auto"/>
                <w:sz w:val="24"/>
                <w:szCs w:val="24"/>
                <w:highlight w:val="none"/>
                <w:lang w:val="en-US" w:eastAsia="zh-CN"/>
              </w:rPr>
              <w:t>壹佰贰拾贰万元整</w:t>
            </w:r>
          </w:p>
        </w:tc>
      </w:tr>
      <w:tr w14:paraId="7B7A5746">
        <w:tblPrEx>
          <w:tblCellMar>
            <w:top w:w="0" w:type="dxa"/>
            <w:left w:w="108" w:type="dxa"/>
            <w:bottom w:w="0" w:type="dxa"/>
            <w:right w:w="108" w:type="dxa"/>
          </w:tblCellMar>
        </w:tblPrEx>
        <w:trPr>
          <w:trHeight w:val="31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2979A251">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355508F">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供应商资格条件</w:t>
            </w:r>
          </w:p>
        </w:tc>
        <w:tc>
          <w:tcPr>
            <w:tcW w:w="6615" w:type="dxa"/>
            <w:tcBorders>
              <w:top w:val="single" w:color="auto" w:sz="4" w:space="0"/>
              <w:left w:val="single" w:color="auto" w:sz="4" w:space="0"/>
              <w:bottom w:val="single" w:color="auto" w:sz="4" w:space="0"/>
              <w:right w:val="single" w:color="auto" w:sz="4" w:space="0"/>
            </w:tcBorders>
            <w:noWrap w:val="0"/>
            <w:vAlign w:val="top"/>
          </w:tcPr>
          <w:p w14:paraId="6FBC3914">
            <w:pPr>
              <w:numPr>
                <w:ilvl w:val="0"/>
                <w:numId w:val="4"/>
              </w:num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w:t>
            </w:r>
          </w:p>
          <w:p w14:paraId="5CC31B43">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.1. 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01F6EDF3">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.2. 具有良好的商业信誉和健全的财务会计制度；（</w:t>
            </w:r>
            <w:r>
              <w:rPr>
                <w:rFonts w:hint="eastAsia" w:ascii="宋体" w:hAnsi="宋体" w:cs="宋体"/>
                <w:color w:val="auto"/>
                <w:sz w:val="24"/>
                <w:szCs w:val="24"/>
                <w:highlight w:val="none"/>
                <w:lang w:val="en-US" w:eastAsia="zh-CN"/>
              </w:rPr>
              <w:t>提供健全的财务会计制度证明文件或近一年内银行提供的资信证明，例如2023年度至2025年度任意一年会计师事务所出具的财务审计报告或财务状况报告等，新成立公司自成立之日起提供</w:t>
            </w:r>
            <w:r>
              <w:rPr>
                <w:rFonts w:hint="default" w:ascii="宋体" w:hAnsi="宋体" w:eastAsia="宋体" w:cs="宋体"/>
                <w:color w:val="auto"/>
                <w:sz w:val="24"/>
                <w:szCs w:val="24"/>
                <w:highlight w:val="none"/>
                <w:lang w:val="en-US" w:eastAsia="zh-CN"/>
              </w:rPr>
              <w:t>）</w:t>
            </w:r>
          </w:p>
          <w:p w14:paraId="2D3F3A03">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.3. 具有履行合同所必需的设备和专业技术能力；（提供具有履行合同所必需的设备和专业技术能力的承诺函）</w:t>
            </w:r>
          </w:p>
          <w:p w14:paraId="6983A87E">
            <w:p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有依法缴纳税收和社会保障资金的良好记录；（递交投标文件截止时间前一年内至少一个月依法缴纳税收及缴纳社会保障资金的证明材料，投标人依法享受缓缴、免缴税收、社会保障资金的，提供证明材料）</w:t>
            </w:r>
          </w:p>
          <w:p w14:paraId="6EEC4CC2">
            <w:pPr>
              <w:shd w:val="clear" w:color="auto"/>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参加采购活动前三年内，在经营活动中没有重大违法记录。查询渠道“中国政府采购网”、“信用中国”及“中国执行信息公开网”，被列入失信被执行人、重大税收违法案件当事人名单、政府采购严重违法失信行为记录名单的供应商，不得参与本次政府采购活动，供应商自行登录网站进行查询结果并打印完整查询结果。</w:t>
            </w:r>
          </w:p>
          <w:p w14:paraId="4AF09D44">
            <w:pPr>
              <w:numPr>
                <w:ilvl w:val="0"/>
                <w:numId w:val="0"/>
              </w:numPr>
              <w:shd w:val="clear" w:color="auto"/>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本项目专门面向中小企业</w:t>
            </w:r>
            <w:r>
              <w:rPr>
                <w:rFonts w:hint="eastAsia" w:ascii="宋体" w:hAnsi="宋体" w:cs="宋体"/>
                <w:color w:val="auto"/>
                <w:sz w:val="24"/>
                <w:szCs w:val="24"/>
                <w:highlight w:val="none"/>
                <w:lang w:val="en-US" w:eastAsia="zh-CN"/>
              </w:rPr>
              <w:t>。</w:t>
            </w:r>
          </w:p>
          <w:p w14:paraId="27DF9976">
            <w:pPr>
              <w:shd w:val="clear" w:color="auto"/>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无</w:t>
            </w:r>
          </w:p>
          <w:p w14:paraId="0939B90D">
            <w:pPr>
              <w:shd w:val="clear" w:color="auto"/>
              <w:spacing w:line="360" w:lineRule="auto"/>
              <w:rPr>
                <w:rFonts w:hint="default"/>
                <w:color w:val="auto"/>
                <w:highlight w:val="none"/>
                <w:lang w:val="en-US"/>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本项目不接受联合体投标。</w:t>
            </w:r>
          </w:p>
        </w:tc>
      </w:tr>
      <w:tr w14:paraId="7585141C">
        <w:tblPrEx>
          <w:tblCellMar>
            <w:top w:w="0" w:type="dxa"/>
            <w:left w:w="108" w:type="dxa"/>
            <w:bottom w:w="0" w:type="dxa"/>
            <w:right w:w="108" w:type="dxa"/>
          </w:tblCellMar>
        </w:tblPrEx>
        <w:trPr>
          <w:trHeight w:val="6114"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F9178B2">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5879F88">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标前准备</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964AC70">
            <w:pPr>
              <w:pStyle w:val="31"/>
              <w:numPr>
                <w:ilvl w:val="0"/>
                <w:numId w:val="5"/>
              </w:numPr>
              <w:shd w:val="clear" w:color="auto"/>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本项目实行网上投标，采用电子投标文件。若供应商参与投标，自行承担投标一切费用。</w:t>
            </w:r>
          </w:p>
          <w:p w14:paraId="61F0C19D">
            <w:pPr>
              <w:pStyle w:val="31"/>
              <w:numPr>
                <w:ilvl w:val="0"/>
                <w:numId w:val="5"/>
              </w:numPr>
              <w:shd w:val="clear" w:color="auto"/>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3B5C8621">
            <w:pPr>
              <w:pStyle w:val="31"/>
              <w:numPr>
                <w:ilvl w:val="0"/>
                <w:numId w:val="5"/>
              </w:numPr>
              <w:shd w:val="clear" w:color="auto"/>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"http://www.ccgp-xinjiang.gov.cn/"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http://www.ccgp-xinjiang.gov.cn/</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）下载专区查看，如有问题可拨打政采云客户服务热线400-881-7190进行咨询。</w:t>
            </w:r>
          </w:p>
          <w:p w14:paraId="752ED78E">
            <w:pPr>
              <w:pStyle w:val="31"/>
              <w:numPr>
                <w:ilvl w:val="0"/>
                <w:numId w:val="5"/>
              </w:numPr>
              <w:shd w:val="clear" w:color="auto"/>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投标供应商应当在投标截止时间前，将生成的“电子加密投标文件”上传递交至“政府采购云平台”。投标截止时间以后上传递交的投标文件将被“政府采购云平台”拒收。</w:t>
            </w:r>
          </w:p>
        </w:tc>
      </w:tr>
      <w:tr w14:paraId="50775A12">
        <w:tblPrEx>
          <w:tblCellMar>
            <w:top w:w="0" w:type="dxa"/>
            <w:left w:w="108" w:type="dxa"/>
            <w:bottom w:w="0" w:type="dxa"/>
            <w:right w:w="108" w:type="dxa"/>
          </w:tblCellMar>
        </w:tblPrEx>
        <w:trPr>
          <w:trHeight w:val="417"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3D3D1AC6">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8DAC28C">
            <w:pPr>
              <w:shd w:val="clear" w:color="auto"/>
              <w:overflow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C76BCCC">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供应商登陆政采云平台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tc>
      </w:tr>
      <w:tr w14:paraId="1F88FB37">
        <w:tblPrEx>
          <w:tblCellMar>
            <w:top w:w="0" w:type="dxa"/>
            <w:left w:w="108" w:type="dxa"/>
            <w:bottom w:w="0" w:type="dxa"/>
            <w:right w:w="108" w:type="dxa"/>
          </w:tblCellMar>
        </w:tblPrEx>
        <w:trPr>
          <w:trHeight w:val="628"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56928523">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E0AF52D">
            <w:pPr>
              <w:shd w:val="clear" w:color="auto"/>
              <w:overflowPunct w:val="0"/>
              <w:spacing w:line="360" w:lineRule="auto"/>
              <w:ind w:left="21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63D6E4A">
            <w:pPr>
              <w:numPr>
                <w:ilvl w:val="0"/>
                <w:numId w:val="6"/>
              </w:numPr>
              <w:shd w:val="clear" w:color="auto"/>
              <w:overflowPunct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应于</w:t>
            </w:r>
            <w:r>
              <w:rPr>
                <w:rFonts w:hint="eastAsia" w:ascii="宋体" w:hAnsi="宋体" w:cs="宋体"/>
                <w:color w:val="auto"/>
                <w:sz w:val="24"/>
                <w:szCs w:val="24"/>
                <w:highlight w:val="none"/>
                <w:shd w:val="clear" w:fill="FFFF00"/>
                <w:lang w:eastAsia="zh-CN"/>
              </w:rPr>
              <w:t>2026年5月15日11点00分</w:t>
            </w:r>
            <w:r>
              <w:rPr>
                <w:rFonts w:hint="eastAsia" w:ascii="宋体" w:hAnsi="宋体" w:eastAsia="宋体" w:cs="宋体"/>
                <w:color w:val="auto"/>
                <w:sz w:val="24"/>
                <w:szCs w:val="24"/>
                <w:highlight w:val="none"/>
                <w:shd w:val="clear" w:fill="FFFF00"/>
              </w:rPr>
              <w:t>时</w:t>
            </w:r>
            <w:r>
              <w:rPr>
                <w:rFonts w:hint="eastAsia" w:ascii="宋体" w:hAnsi="宋体" w:eastAsia="宋体" w:cs="宋体"/>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14:paraId="1D0F4BF9">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（2）投标现场无需递交投标文件，中标单位公示完之后需提供：</w:t>
            </w:r>
          </w:p>
          <w:p w14:paraId="3A1800B8">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纸质版投标文件：正本一份、副本四份。</w:t>
            </w:r>
          </w:p>
          <w:p w14:paraId="7A3864E4">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投标文件电子版：以</w:t>
            </w:r>
            <w:r>
              <w:rPr>
                <w:rFonts w:hint="eastAsia" w:ascii="宋体" w:hAnsi="宋体" w:eastAsia="宋体" w:cs="宋体"/>
                <w:color w:val="auto"/>
                <w:sz w:val="24"/>
                <w:szCs w:val="24"/>
                <w:highlight w:val="none"/>
                <w:lang w:val="en-US" w:eastAsia="zh-CN"/>
              </w:rPr>
              <w:t>U盘或光盘</w:t>
            </w:r>
            <w:r>
              <w:rPr>
                <w:rFonts w:hint="eastAsia" w:ascii="宋体" w:hAnsi="宋体" w:eastAsia="宋体" w:cs="宋体"/>
                <w:color w:val="auto"/>
                <w:sz w:val="24"/>
                <w:szCs w:val="24"/>
                <w:highlight w:val="none"/>
              </w:rPr>
              <w:t>为介质的投标文件电子版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tc>
      </w:tr>
      <w:tr w14:paraId="489372F0">
        <w:tblPrEx>
          <w:tblCellMar>
            <w:top w:w="0" w:type="dxa"/>
            <w:left w:w="108" w:type="dxa"/>
            <w:bottom w:w="0" w:type="dxa"/>
            <w:right w:w="108" w:type="dxa"/>
          </w:tblCellMar>
        </w:tblPrEx>
        <w:trPr>
          <w:trHeight w:val="508"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860D64C">
            <w:pPr>
              <w:shd w:val="clear" w:color="auto"/>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9</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E76CE64">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时间</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E36D164">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fill="FFFF00"/>
                <w:lang w:eastAsia="zh-CN"/>
              </w:rPr>
              <w:t>2026年5月15日11点00分</w:t>
            </w:r>
            <w:r>
              <w:rPr>
                <w:rFonts w:hint="eastAsia" w:ascii="宋体" w:hAnsi="宋体" w:eastAsia="宋体" w:cs="宋体"/>
                <w:color w:val="auto"/>
                <w:sz w:val="24"/>
                <w:szCs w:val="24"/>
                <w:highlight w:val="none"/>
              </w:rPr>
              <w:t>（北京时间）</w:t>
            </w:r>
          </w:p>
        </w:tc>
      </w:tr>
      <w:tr w14:paraId="20E74B7B">
        <w:tblPrEx>
          <w:tblCellMar>
            <w:top w:w="0" w:type="dxa"/>
            <w:left w:w="108" w:type="dxa"/>
            <w:bottom w:w="0" w:type="dxa"/>
            <w:right w:w="108" w:type="dxa"/>
          </w:tblCellMar>
        </w:tblPrEx>
        <w:trPr>
          <w:trHeight w:val="554"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5FB859F4">
            <w:pPr>
              <w:shd w:val="clear" w:color="auto"/>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AB59959">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E91D928">
            <w:pPr>
              <w:shd w:val="clear" w:color="auto"/>
              <w:overflowPunct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各投标供应商需登录“政采云”平台进行</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w:t>
            </w:r>
          </w:p>
        </w:tc>
      </w:tr>
      <w:tr w14:paraId="2BC210CD">
        <w:tblPrEx>
          <w:tblCellMar>
            <w:top w:w="0" w:type="dxa"/>
            <w:left w:w="108" w:type="dxa"/>
            <w:bottom w:w="0" w:type="dxa"/>
            <w:right w:w="108" w:type="dxa"/>
          </w:tblCellMar>
        </w:tblPrEx>
        <w:trPr>
          <w:trHeight w:val="49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2067C291">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4FBC798">
            <w:pPr>
              <w:shd w:val="clear" w:color="auto"/>
              <w:overflow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投标文件解密时间</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3B8213F">
            <w:pPr>
              <w:shd w:val="clear" w:color="auto"/>
              <w:overflowPunct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投标文件解密时间为30分钟，供应商可以登录“政采云”平台，用“项目采购-开标评标”功能进行解密投标文件。若供应商在招标代理现场规定的时间内未按时解密的，视为投标文件撤回。</w:t>
            </w:r>
          </w:p>
        </w:tc>
      </w:tr>
      <w:tr w14:paraId="42FE3A20">
        <w:tblPrEx>
          <w:tblCellMar>
            <w:top w:w="0" w:type="dxa"/>
            <w:left w:w="108" w:type="dxa"/>
            <w:bottom w:w="0" w:type="dxa"/>
            <w:right w:w="108" w:type="dxa"/>
          </w:tblCellMar>
        </w:tblPrEx>
        <w:trPr>
          <w:trHeight w:val="514"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563317C6">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12</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B09C1D2">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投标有效期限</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44033F7">
            <w:pPr>
              <w:shd w:val="clear" w:color="auto"/>
              <w:spacing w:line="360" w:lineRule="auto"/>
              <w:ind w:left="-199" w:leftChars="-95"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天（日历日）</w:t>
            </w:r>
          </w:p>
        </w:tc>
      </w:tr>
      <w:tr w14:paraId="3CEC1E19">
        <w:tblPrEx>
          <w:tblCellMar>
            <w:top w:w="0" w:type="dxa"/>
            <w:left w:w="108" w:type="dxa"/>
            <w:bottom w:w="0" w:type="dxa"/>
            <w:right w:w="108" w:type="dxa"/>
          </w:tblCellMar>
        </w:tblPrEx>
        <w:trPr>
          <w:trHeight w:val="536"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73F3BC4">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3E1ABC6">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20A3774">
            <w:pPr>
              <w:shd w:val="clear" w:color="auto"/>
              <w:spacing w:line="360" w:lineRule="auto"/>
              <w:ind w:left="-199" w:leftChars="-95"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综合评分法</w:t>
            </w:r>
          </w:p>
        </w:tc>
      </w:tr>
      <w:tr w14:paraId="4B5DB56B">
        <w:tblPrEx>
          <w:tblCellMar>
            <w:top w:w="0" w:type="dxa"/>
            <w:left w:w="108" w:type="dxa"/>
            <w:bottom w:w="0" w:type="dxa"/>
            <w:right w:w="108" w:type="dxa"/>
          </w:tblCellMar>
        </w:tblPrEx>
        <w:trPr>
          <w:trHeight w:val="2096"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537662F6">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081ABA4">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金额</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94DBF68">
            <w:pPr>
              <w:shd w:val="clear" w:color="auto"/>
              <w:overflowPunct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投标保证金额：人民币</w:t>
            </w:r>
          </w:p>
          <w:p w14:paraId="65FC8387">
            <w:pPr>
              <w:shd w:val="clear" w:color="auto"/>
              <w:overflowPunct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小写：</w:t>
            </w:r>
            <w:r>
              <w:rPr>
                <w:rFonts w:hint="eastAsia" w:ascii="宋体" w:hAnsi="宋体" w:eastAsia="宋体" w:cs="宋体"/>
                <w:color w:val="auto"/>
                <w:kern w:val="0"/>
                <w:sz w:val="24"/>
                <w:szCs w:val="24"/>
                <w:highlight w:val="none"/>
                <w:u w:val="single"/>
                <w:lang w:val="en-US" w:eastAsia="zh-CN"/>
              </w:rPr>
              <w:t>20000.00</w:t>
            </w:r>
            <w:r>
              <w:rPr>
                <w:rFonts w:hint="eastAsia" w:ascii="宋体" w:hAnsi="宋体" w:eastAsia="宋体" w:cs="宋体"/>
                <w:color w:val="auto"/>
                <w:kern w:val="0"/>
                <w:sz w:val="24"/>
                <w:szCs w:val="24"/>
                <w:highlight w:val="none"/>
                <w:u w:val="single"/>
              </w:rPr>
              <w:t>元</w:t>
            </w:r>
          </w:p>
          <w:p w14:paraId="23D6383D">
            <w:pPr>
              <w:shd w:val="clear" w:color="auto"/>
              <w:overflowPunct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大写：</w:t>
            </w:r>
            <w:r>
              <w:rPr>
                <w:rFonts w:hint="eastAsia" w:ascii="宋体" w:hAnsi="宋体" w:eastAsia="宋体" w:cs="宋体"/>
                <w:color w:val="auto"/>
                <w:kern w:val="0"/>
                <w:sz w:val="24"/>
                <w:szCs w:val="24"/>
                <w:highlight w:val="none"/>
                <w:u w:val="single"/>
                <w:lang w:val="en-US" w:eastAsia="zh-CN"/>
              </w:rPr>
              <w:t>贰万元整</w:t>
            </w:r>
          </w:p>
          <w:p w14:paraId="30EFE353">
            <w:pPr>
              <w:shd w:val="clear" w:color="auto"/>
              <w:overflowPunct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投标保证金形式：供应商自主选择以支票、汇票、本票、电汇、转账或者金融机构、担保机构出具的保函、电子保函等非现金形式提交。</w:t>
            </w:r>
          </w:p>
          <w:p w14:paraId="039BD25D">
            <w:pPr>
              <w:pStyle w:val="34"/>
              <w:shd w:val="clear"/>
              <w:ind w:left="0" w:leftChars="0" w:firstLine="0" w:firstLineChars="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账户名称：</w:t>
            </w:r>
            <w:r>
              <w:rPr>
                <w:rFonts w:hint="eastAsia" w:ascii="宋体" w:hAnsi="宋体" w:cs="宋体"/>
                <w:color w:val="auto"/>
                <w:kern w:val="0"/>
                <w:sz w:val="24"/>
                <w:szCs w:val="24"/>
                <w:highlight w:val="none"/>
                <w:lang w:val="en-US" w:eastAsia="zh-CN" w:bidi="ar-SA"/>
              </w:rPr>
              <w:t>新疆新之建工程咨询有限公司巴州分公司</w:t>
            </w:r>
          </w:p>
          <w:p w14:paraId="7A629D31">
            <w:pPr>
              <w:pStyle w:val="34"/>
              <w:shd w:val="clea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开户行名称：中国建设银行股份有限公司库尔勒石化大道支行</w:t>
            </w:r>
          </w:p>
          <w:p w14:paraId="5B59C146">
            <w:pPr>
              <w:pStyle w:val="34"/>
              <w:shd w:val="clea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账号：65050110575400001615</w:t>
            </w:r>
          </w:p>
          <w:p w14:paraId="440ACA27">
            <w:pPr>
              <w:pStyle w:val="34"/>
              <w:shd w:val="clea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行号：105888000241</w:t>
            </w:r>
          </w:p>
          <w:p w14:paraId="47A89405">
            <w:pPr>
              <w:pStyle w:val="34"/>
              <w:shd w:val="clea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投标保证金的递交截止时间：</w:t>
            </w:r>
            <w:r>
              <w:rPr>
                <w:rFonts w:hint="eastAsia" w:ascii="宋体" w:hAnsi="宋体" w:cs="宋体"/>
                <w:b w:val="0"/>
                <w:bCs w:val="0"/>
                <w:color w:val="auto"/>
                <w:sz w:val="24"/>
                <w:szCs w:val="24"/>
                <w:highlight w:val="none"/>
                <w:u w:val="single"/>
                <w:shd w:val="clear" w:fill="FFFF00"/>
                <w:lang w:eastAsia="zh-CN"/>
              </w:rPr>
              <w:t>2026年5月15日11点00分</w:t>
            </w:r>
            <w:r>
              <w:rPr>
                <w:rFonts w:hint="eastAsia" w:ascii="宋体" w:hAnsi="宋体" w:eastAsia="宋体" w:cs="宋体"/>
                <w:b w:val="0"/>
                <w:bCs w:val="0"/>
                <w:color w:val="auto"/>
                <w:sz w:val="24"/>
                <w:szCs w:val="24"/>
                <w:highlight w:val="none"/>
                <w:u w:val="single"/>
              </w:rPr>
              <w:t>（北京时间）</w:t>
            </w:r>
            <w:r>
              <w:rPr>
                <w:rFonts w:hint="eastAsia" w:ascii="宋体" w:hAnsi="宋体" w:eastAsia="宋体" w:cs="宋体"/>
                <w:color w:val="auto"/>
                <w:kern w:val="0"/>
                <w:sz w:val="24"/>
                <w:szCs w:val="24"/>
                <w:highlight w:val="none"/>
                <w:lang w:val="en-US" w:eastAsia="zh-CN" w:bidi="ar-SA"/>
              </w:rPr>
              <w:t>。未按以上要求递交供应商保证金及提供保证金缴纳凭证的视为无效，采购人将拒绝其供应商。</w:t>
            </w:r>
            <w:r>
              <w:rPr>
                <w:rFonts w:hint="eastAsia" w:ascii="宋体" w:hAnsi="宋体" w:eastAsia="宋体" w:cs="宋体"/>
                <w:color w:val="auto"/>
                <w:kern w:val="0"/>
                <w:sz w:val="24"/>
                <w:szCs w:val="24"/>
                <w:highlight w:val="none"/>
              </w:rPr>
              <w:t>投标保证金有效期与投标有效期一致。</w:t>
            </w:r>
          </w:p>
          <w:p w14:paraId="04C20A15">
            <w:pPr>
              <w:pStyle w:val="34"/>
              <w:shd w:val="clea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备注：缴纳投标保证金时，须备注项目简称或项目编号。</w:t>
            </w:r>
          </w:p>
        </w:tc>
      </w:tr>
      <w:tr w14:paraId="758CB47B">
        <w:tblPrEx>
          <w:tblCellMar>
            <w:top w:w="0" w:type="dxa"/>
            <w:left w:w="108" w:type="dxa"/>
            <w:bottom w:w="0" w:type="dxa"/>
            <w:right w:w="108" w:type="dxa"/>
          </w:tblCellMar>
        </w:tblPrEx>
        <w:trPr>
          <w:trHeight w:val="42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10AAC47D">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1E978D8">
            <w:pPr>
              <w:shd w:val="clear" w:color="auto"/>
              <w:spacing w:line="360" w:lineRule="auto"/>
              <w:ind w:left="-199" w:leftChars="-95"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采购文件售价</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B4B3694">
            <w:pPr>
              <w:shd w:val="clear" w:color="auto"/>
              <w:spacing w:line="360" w:lineRule="auto"/>
              <w:ind w:left="-199" w:leftChars="-95"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0.00元</w:t>
            </w:r>
          </w:p>
        </w:tc>
      </w:tr>
      <w:tr w14:paraId="50C689F1">
        <w:tblPrEx>
          <w:tblCellMar>
            <w:top w:w="0" w:type="dxa"/>
            <w:left w:w="108" w:type="dxa"/>
            <w:bottom w:w="0" w:type="dxa"/>
            <w:right w:w="108" w:type="dxa"/>
          </w:tblCellMar>
        </w:tblPrEx>
        <w:trPr>
          <w:trHeight w:val="42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0692CE81">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6B18045">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是否允许备选方案</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018D5E7">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3FA72322">
        <w:tblPrEx>
          <w:tblCellMar>
            <w:top w:w="0" w:type="dxa"/>
            <w:left w:w="108" w:type="dxa"/>
            <w:bottom w:w="0" w:type="dxa"/>
            <w:right w:w="108" w:type="dxa"/>
          </w:tblCellMar>
        </w:tblPrEx>
        <w:trPr>
          <w:trHeight w:val="42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7DE16D1D">
            <w:pPr>
              <w:shd w:val="clear" w:color="auto"/>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17</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6FA8BC5">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24DFF7C">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819AAA1">
        <w:tblPrEx>
          <w:tblCellMar>
            <w:top w:w="0" w:type="dxa"/>
            <w:left w:w="108" w:type="dxa"/>
            <w:bottom w:w="0" w:type="dxa"/>
            <w:right w:w="108" w:type="dxa"/>
          </w:tblCellMar>
        </w:tblPrEx>
        <w:trPr>
          <w:trHeight w:val="42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2262B0C1">
            <w:pPr>
              <w:shd w:val="clear" w:color="auto"/>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18</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ECC7327">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供应商提出问题的截止时间</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9B27A47">
            <w:pPr>
              <w:shd w:val="clear" w:color="auto"/>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日前</w:t>
            </w:r>
          </w:p>
        </w:tc>
      </w:tr>
      <w:tr w14:paraId="47959E73">
        <w:tblPrEx>
          <w:tblCellMar>
            <w:top w:w="0" w:type="dxa"/>
            <w:left w:w="108" w:type="dxa"/>
            <w:bottom w:w="0" w:type="dxa"/>
            <w:right w:w="108" w:type="dxa"/>
          </w:tblCellMar>
        </w:tblPrEx>
        <w:trPr>
          <w:trHeight w:val="421"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702D1EB0">
            <w:pPr>
              <w:shd w:val="clear" w:color="auto"/>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19</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DF99866">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采购人书面澄清的时间</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E3AE18F">
            <w:pPr>
              <w:shd w:val="clear" w:color="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日前</w:t>
            </w:r>
          </w:p>
        </w:tc>
      </w:tr>
      <w:tr w14:paraId="2374FC2A">
        <w:tblPrEx>
          <w:tblCellMar>
            <w:top w:w="0" w:type="dxa"/>
            <w:left w:w="108" w:type="dxa"/>
            <w:bottom w:w="0" w:type="dxa"/>
            <w:right w:w="108" w:type="dxa"/>
          </w:tblCellMar>
        </w:tblPrEx>
        <w:trPr>
          <w:trHeight w:val="603" w:hRule="atLeast"/>
        </w:trPr>
        <w:tc>
          <w:tcPr>
            <w:tcW w:w="548" w:type="dxa"/>
            <w:vMerge w:val="restart"/>
            <w:tcBorders>
              <w:top w:val="single" w:color="auto" w:sz="4" w:space="0"/>
              <w:left w:val="single" w:color="auto" w:sz="4" w:space="0"/>
              <w:right w:val="single" w:color="auto" w:sz="4" w:space="0"/>
            </w:tcBorders>
            <w:noWrap w:val="0"/>
            <w:vAlign w:val="center"/>
          </w:tcPr>
          <w:p w14:paraId="113EAADF">
            <w:pPr>
              <w:shd w:val="clear" w:color="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4CD1ED7">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供货期</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00897C04">
            <w:pPr>
              <w:shd w:val="clear" w:color="auto"/>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w:t>
            </w:r>
            <w:r>
              <w:rPr>
                <w:rFonts w:hint="default" w:ascii="宋体" w:hAnsi="宋体" w:eastAsia="宋体" w:cs="宋体"/>
                <w:color w:val="auto"/>
                <w:sz w:val="24"/>
                <w:szCs w:val="24"/>
                <w:highlight w:val="none"/>
                <w:lang w:val="en-US" w:eastAsia="zh-CN"/>
              </w:rPr>
              <w:t>合同签订日起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日</w:t>
            </w:r>
            <w:r>
              <w:rPr>
                <w:rFonts w:hint="default"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en-US" w:eastAsia="zh-CN"/>
              </w:rPr>
              <w:t>验收完毕</w:t>
            </w:r>
          </w:p>
        </w:tc>
      </w:tr>
      <w:tr w14:paraId="1F00DA68">
        <w:tblPrEx>
          <w:tblCellMar>
            <w:top w:w="0" w:type="dxa"/>
            <w:left w:w="108" w:type="dxa"/>
            <w:bottom w:w="0" w:type="dxa"/>
            <w:right w:w="108" w:type="dxa"/>
          </w:tblCellMar>
        </w:tblPrEx>
        <w:trPr>
          <w:trHeight w:val="603" w:hRule="atLeast"/>
        </w:trPr>
        <w:tc>
          <w:tcPr>
            <w:tcW w:w="548" w:type="dxa"/>
            <w:vMerge w:val="continue"/>
            <w:tcBorders>
              <w:left w:val="single" w:color="auto" w:sz="4" w:space="0"/>
              <w:right w:val="single" w:color="auto" w:sz="4" w:space="0"/>
            </w:tcBorders>
            <w:noWrap w:val="0"/>
            <w:vAlign w:val="center"/>
          </w:tcPr>
          <w:p w14:paraId="2FF6007F">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953D347">
            <w:pPr>
              <w:shd w:val="clear" w:color="auto"/>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013CADEB">
            <w:pPr>
              <w:shd w:val="clear" w:color="auto"/>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自验收合格之日起五年</w:t>
            </w:r>
          </w:p>
        </w:tc>
      </w:tr>
      <w:tr w14:paraId="6F6D1D2D">
        <w:tblPrEx>
          <w:tblCellMar>
            <w:top w:w="0" w:type="dxa"/>
            <w:left w:w="108" w:type="dxa"/>
            <w:bottom w:w="0" w:type="dxa"/>
            <w:right w:w="108" w:type="dxa"/>
          </w:tblCellMar>
        </w:tblPrEx>
        <w:trPr>
          <w:trHeight w:val="642" w:hRule="atLeast"/>
        </w:trPr>
        <w:tc>
          <w:tcPr>
            <w:tcW w:w="548" w:type="dxa"/>
            <w:vMerge w:val="continue"/>
            <w:tcBorders>
              <w:left w:val="single" w:color="auto" w:sz="4" w:space="0"/>
              <w:right w:val="single" w:color="auto" w:sz="4" w:space="0"/>
            </w:tcBorders>
            <w:noWrap w:val="0"/>
            <w:vAlign w:val="center"/>
          </w:tcPr>
          <w:p w14:paraId="62380D49">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437BC86">
            <w:pPr>
              <w:shd w:val="clear" w:color="auto"/>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交付地点</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E3298B0">
            <w:pPr>
              <w:shd w:val="clear" w:color="auto"/>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合同签订后60天内交付至新疆库尔勒市北京路89号新疆科技学院</w:t>
            </w:r>
            <w:bookmarkStart w:id="12" w:name="_Hlk202879068"/>
            <w:r>
              <w:rPr>
                <w:rFonts w:hint="default" w:ascii="宋体" w:hAnsi="宋体" w:eastAsia="宋体" w:cs="宋体"/>
                <w:color w:val="auto"/>
                <w:sz w:val="24"/>
                <w:szCs w:val="24"/>
                <w:highlight w:val="none"/>
                <w:lang w:val="en-US" w:eastAsia="zh-CN"/>
              </w:rPr>
              <w:t>，具体以甲方指定的地点为准</w:t>
            </w:r>
            <w:bookmarkEnd w:id="12"/>
          </w:p>
        </w:tc>
      </w:tr>
      <w:tr w14:paraId="0E218661">
        <w:tblPrEx>
          <w:tblCellMar>
            <w:top w:w="0" w:type="dxa"/>
            <w:left w:w="108" w:type="dxa"/>
            <w:bottom w:w="0" w:type="dxa"/>
            <w:right w:w="108" w:type="dxa"/>
          </w:tblCellMar>
        </w:tblPrEx>
        <w:trPr>
          <w:trHeight w:val="672" w:hRule="atLeast"/>
        </w:trPr>
        <w:tc>
          <w:tcPr>
            <w:tcW w:w="548" w:type="dxa"/>
            <w:vMerge w:val="continue"/>
            <w:tcBorders>
              <w:left w:val="single" w:color="auto" w:sz="4" w:space="0"/>
              <w:right w:val="single" w:color="auto" w:sz="4" w:space="0"/>
            </w:tcBorders>
            <w:noWrap w:val="0"/>
            <w:vAlign w:val="center"/>
          </w:tcPr>
          <w:p w14:paraId="5763F5B5">
            <w:pPr>
              <w:shd w:val="clear" w:color="auto"/>
              <w:spacing w:line="360" w:lineRule="auto"/>
              <w:jc w:val="center"/>
              <w:rPr>
                <w:rFonts w:hint="eastAsia" w:ascii="宋体" w:hAnsi="宋体" w:eastAsia="宋体" w:cs="宋体"/>
                <w:color w:val="auto"/>
                <w:sz w:val="24"/>
                <w:szCs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FA3E7D4">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6FBFE1C">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合格并由</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主管部门验收通过</w:t>
            </w:r>
          </w:p>
        </w:tc>
      </w:tr>
      <w:tr w14:paraId="2ADF9C62">
        <w:tblPrEx>
          <w:tblCellMar>
            <w:top w:w="0" w:type="dxa"/>
            <w:left w:w="108" w:type="dxa"/>
            <w:bottom w:w="0" w:type="dxa"/>
            <w:right w:w="108" w:type="dxa"/>
          </w:tblCellMar>
        </w:tblPrEx>
        <w:trPr>
          <w:trHeight w:val="1274"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5479B561">
            <w:pPr>
              <w:shd w:val="clear" w:color="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7FE04CD4">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F0FDF9F">
            <w:pPr>
              <w:shd w:val="clear" w:color="auto"/>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合同签订后支付合同金额的30%，货物全部交付后支付合同金额的</w:t>
            </w:r>
            <w:r>
              <w:rPr>
                <w:rFonts w:hint="eastAsia" w:ascii="宋体" w:hAnsi="宋体" w:eastAsia="宋体" w:cs="宋体"/>
                <w:color w:val="auto"/>
                <w:sz w:val="24"/>
                <w:szCs w:val="24"/>
                <w:highlight w:val="none"/>
                <w:lang w:eastAsia="zh-CN"/>
              </w:rPr>
              <w:t>40%，货物验收合格后支付合同金额的30%。</w:t>
            </w:r>
          </w:p>
          <w:p w14:paraId="6E49F799">
            <w:pPr>
              <w:shd w:val="clear" w:color="auto"/>
              <w:spacing w:line="360" w:lineRule="auto"/>
              <w:rPr>
                <w:rFonts w:hint="default"/>
                <w:lang w:val="en-US" w:eastAsia="zh-CN"/>
              </w:rPr>
            </w:pPr>
            <w:r>
              <w:rPr>
                <w:rFonts w:hint="eastAsia" w:ascii="宋体" w:hAnsi="宋体" w:eastAsia="宋体" w:cs="宋体"/>
                <w:b/>
                <w:bCs/>
                <w:color w:val="auto"/>
                <w:sz w:val="24"/>
                <w:szCs w:val="24"/>
                <w:highlight w:val="none"/>
                <w:lang w:val="en-US" w:eastAsia="zh-CN"/>
              </w:rPr>
              <w:t>注：本合同约定价款为含税价，乙方应在甲方付款前提供符合甲方财务做账需求的全额增值税专用发票</w:t>
            </w:r>
          </w:p>
        </w:tc>
      </w:tr>
      <w:tr w14:paraId="402A159F">
        <w:tblPrEx>
          <w:tblCellMar>
            <w:top w:w="0" w:type="dxa"/>
            <w:left w:w="108" w:type="dxa"/>
            <w:bottom w:w="0" w:type="dxa"/>
            <w:right w:w="108" w:type="dxa"/>
          </w:tblCellMar>
        </w:tblPrEx>
        <w:trPr>
          <w:trHeight w:val="422"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3451706">
            <w:pPr>
              <w:shd w:val="clear" w:color="auto"/>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84BD93C">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履约保证金</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86DBECF">
            <w:pPr>
              <w:shd w:val="clear" w:color="auto"/>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合同金额的10%需以银行支票的形式担保。在合同签订七日内提交至财务处，在验收合格后无息退还。</w:t>
            </w:r>
          </w:p>
        </w:tc>
      </w:tr>
      <w:tr w14:paraId="28ACF286">
        <w:tblPrEx>
          <w:tblCellMar>
            <w:top w:w="0" w:type="dxa"/>
            <w:left w:w="108" w:type="dxa"/>
            <w:bottom w:w="0" w:type="dxa"/>
            <w:right w:w="108" w:type="dxa"/>
          </w:tblCellMar>
        </w:tblPrEx>
        <w:trPr>
          <w:trHeight w:val="422"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4EE70E40">
            <w:pPr>
              <w:shd w:val="clear" w:color="auto"/>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9A11EEF">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其他要求</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F1D412F">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因乙方提供产品质量等原因而导致甲方验收不合格，乙方负责继续完善，并承担所产生的费用，如乙方拒绝完善或完善后仍不符合标准的，</w:t>
            </w:r>
            <w:r>
              <w:rPr>
                <w:rFonts w:hint="eastAsia" w:asciiTheme="minorEastAsia" w:hAnsiTheme="minorEastAsia" w:eastAsiaTheme="minorEastAsia" w:cstheme="minorEastAsia"/>
                <w:sz w:val="24"/>
                <w:szCs w:val="24"/>
              </w:rPr>
              <w:t>甲方有权解除合同，乙方</w:t>
            </w:r>
            <w:r>
              <w:rPr>
                <w:rFonts w:hint="eastAsia" w:asciiTheme="minorEastAsia" w:hAnsiTheme="minorEastAsia" w:eastAsiaTheme="minorEastAsia" w:cstheme="minorEastAsia"/>
                <w:sz w:val="24"/>
                <w:szCs w:val="24"/>
                <w:lang w:val="en-US" w:eastAsia="zh-CN"/>
              </w:rPr>
              <w:t>根据司法机构认定的实际损失</w:t>
            </w:r>
            <w:r>
              <w:rPr>
                <w:rFonts w:hint="eastAsia" w:asciiTheme="minorEastAsia" w:hAnsiTheme="minorEastAsia" w:eastAsiaTheme="minorEastAsia" w:cstheme="minorEastAsia"/>
                <w:sz w:val="24"/>
                <w:szCs w:val="24"/>
              </w:rPr>
              <w:t>向甲方支付违约金。</w:t>
            </w:r>
          </w:p>
        </w:tc>
      </w:tr>
      <w:tr w14:paraId="1C77FFD3">
        <w:tblPrEx>
          <w:tblCellMar>
            <w:top w:w="0" w:type="dxa"/>
            <w:left w:w="108" w:type="dxa"/>
            <w:bottom w:w="0" w:type="dxa"/>
            <w:right w:w="108" w:type="dxa"/>
          </w:tblCellMar>
        </w:tblPrEx>
        <w:trPr>
          <w:trHeight w:val="1438" w:hRule="atLeast"/>
        </w:trPr>
        <w:tc>
          <w:tcPr>
            <w:tcW w:w="548" w:type="dxa"/>
            <w:tcBorders>
              <w:top w:val="single" w:color="auto" w:sz="4" w:space="0"/>
              <w:left w:val="single" w:color="auto" w:sz="4" w:space="0"/>
              <w:right w:val="single" w:color="auto" w:sz="4" w:space="0"/>
            </w:tcBorders>
            <w:noWrap w:val="0"/>
            <w:vAlign w:val="center"/>
          </w:tcPr>
          <w:p w14:paraId="23FFEB1D">
            <w:pPr>
              <w:shd w:val="clear" w:color="auto"/>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w:t>
            </w:r>
          </w:p>
        </w:tc>
        <w:tc>
          <w:tcPr>
            <w:tcW w:w="1845" w:type="dxa"/>
            <w:tcBorders>
              <w:top w:val="single" w:color="auto" w:sz="4" w:space="0"/>
              <w:left w:val="single" w:color="auto" w:sz="4" w:space="0"/>
              <w:right w:val="single" w:color="auto" w:sz="4" w:space="0"/>
            </w:tcBorders>
            <w:noWrap w:val="0"/>
            <w:vAlign w:val="center"/>
          </w:tcPr>
          <w:p w14:paraId="37D56B30">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的组建及评审专家的确定方式</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EDB10BF">
            <w:pPr>
              <w:shd w:val="clear" w:color="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招标采购单位依法组建专家小组共</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人组成，其中采购人代表</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人和政采云评标专家库中抽取专家评委</w:t>
            </w:r>
            <w:r>
              <w:rPr>
                <w:rFonts w:hint="eastAsia" w:ascii="宋体" w:hAnsi="宋体" w:eastAsia="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lang w:val="en-US" w:eastAsia="zh-CN"/>
              </w:rPr>
              <w:t>人。</w:t>
            </w:r>
          </w:p>
          <w:p w14:paraId="3525CA29">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小组确定方式：从政采云平台专家库中随机抽取确定。</w:t>
            </w:r>
          </w:p>
        </w:tc>
      </w:tr>
      <w:tr w14:paraId="05C08BD6">
        <w:tblPrEx>
          <w:tblCellMar>
            <w:top w:w="0" w:type="dxa"/>
            <w:left w:w="108" w:type="dxa"/>
            <w:bottom w:w="0" w:type="dxa"/>
            <w:right w:w="108" w:type="dxa"/>
          </w:tblCellMar>
        </w:tblPrEx>
        <w:trPr>
          <w:trHeight w:val="1477"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C68B122">
            <w:pPr>
              <w:shd w:val="clear" w:color="auto"/>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E8E14E4">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中小微型企业</w:t>
            </w:r>
          </w:p>
          <w:p w14:paraId="0A83CA42">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有关政策</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AF8AC02">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根据工信部等部委发布的《关于印发中小企业划型标准规定的通知》（工信部联企业[2011]300号）规定执行；监狱企业、残疾人福利性单位视同为小微企业；</w:t>
            </w:r>
          </w:p>
        </w:tc>
      </w:tr>
      <w:tr w14:paraId="69C91306">
        <w:tblPrEx>
          <w:tblCellMar>
            <w:top w:w="0" w:type="dxa"/>
            <w:left w:w="108" w:type="dxa"/>
            <w:bottom w:w="0" w:type="dxa"/>
            <w:right w:w="108" w:type="dxa"/>
          </w:tblCellMar>
        </w:tblPrEx>
        <w:trPr>
          <w:trHeight w:val="862"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50C0218">
            <w:pPr>
              <w:shd w:val="clear" w:color="auto"/>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756228A">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D8E381A">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交纳时间:领取中标通知书前交纳。</w:t>
            </w:r>
          </w:p>
          <w:p w14:paraId="18322E88">
            <w:pPr>
              <w:shd w:val="clear" w:color="auto"/>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交纳金额:执行市场指导价《国家发展改革委关于进一步放开建设项目专业服务价格的通知》发改价格[2015】299号，经双方商定，按中标金额计取，执行国家发展改革委关于印发《招标代理服务收费管理暂行办法》的通知(计价格[2002】1980号)及国家发展改革委办公厅发改办价格[2003]857号在取费标准上下浮</w:t>
            </w:r>
            <w:r>
              <w:rPr>
                <w:rFonts w:hint="eastAsia" w:ascii="宋体" w:hAnsi="宋体" w:cs="宋体"/>
                <w:color w:val="auto"/>
                <w:sz w:val="24"/>
                <w:szCs w:val="24"/>
                <w:highlight w:val="none"/>
                <w:lang w:val="en-US" w:eastAsia="zh-CN"/>
              </w:rPr>
              <w:t>20%；</w:t>
            </w:r>
          </w:p>
        </w:tc>
      </w:tr>
      <w:tr w14:paraId="0FF7DA77">
        <w:tblPrEx>
          <w:tblCellMar>
            <w:top w:w="0" w:type="dxa"/>
            <w:left w:w="108" w:type="dxa"/>
            <w:bottom w:w="0" w:type="dxa"/>
            <w:right w:w="108" w:type="dxa"/>
          </w:tblCellMar>
        </w:tblPrEx>
        <w:trPr>
          <w:trHeight w:val="452"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6F8903EE">
            <w:pPr>
              <w:shd w:val="clear" w:color="auto"/>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7B45469">
            <w:pPr>
              <w:shd w:val="clear" w:color="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采购人认为应该补充的其他内容</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7C0FD6F">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和报价进行综合评分。</w:t>
            </w:r>
          </w:p>
          <w:p w14:paraId="3EA01DD8">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（2）用综合评分法的采购项目，评审得分相同的，由评标委员会按照报价最低的供应商，优先推荐其作为中标候选人；评分得分相同且报价相同的，由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按照技术指标优劣顺序推荐第一名中标候选人。</w:t>
            </w:r>
          </w:p>
        </w:tc>
      </w:tr>
      <w:tr w14:paraId="6215487F">
        <w:tblPrEx>
          <w:tblCellMar>
            <w:top w:w="0" w:type="dxa"/>
            <w:left w:w="108" w:type="dxa"/>
            <w:bottom w:w="0" w:type="dxa"/>
            <w:right w:w="108" w:type="dxa"/>
          </w:tblCellMar>
        </w:tblPrEx>
        <w:trPr>
          <w:trHeight w:val="452"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14:paraId="4BEF77BA">
            <w:pPr>
              <w:shd w:val="clear" w:color="auto"/>
              <w:spacing w:line="360" w:lineRule="auto"/>
              <w:jc w:val="center"/>
              <w:rPr>
                <w:rFonts w:hint="default" w:ascii="宋体" w:hAnsi="宋体" w:eastAsia="宋体" w:cs="宋体"/>
                <w:color w:val="auto"/>
                <w:sz w:val="24"/>
                <w:szCs w:val="24"/>
                <w:highlight w:val="none"/>
                <w:lang w:val="en-US" w:eastAsia="zh-CN"/>
              </w:rPr>
            </w:pPr>
            <w:bookmarkStart w:id="13" w:name="_Toc163267141"/>
            <w:bookmarkStart w:id="14" w:name="_Toc163267140"/>
            <w:r>
              <w:rPr>
                <w:rFonts w:hint="eastAsia" w:ascii="宋体" w:hAnsi="宋体" w:cs="宋体"/>
                <w:color w:val="auto"/>
                <w:sz w:val="24"/>
                <w:szCs w:val="24"/>
                <w:highlight w:val="none"/>
                <w:lang w:val="en-US" w:eastAsia="zh-CN"/>
              </w:rPr>
              <w:t>28</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B5B74CA">
            <w:pPr>
              <w:shd w:val="clear" w:color="auto"/>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关于推动解决政府采购异常低价问题</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19F2C80">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一、加强政府采购需求管理</w:t>
            </w:r>
          </w:p>
          <w:p w14:paraId="33DCF796">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A393F03">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24C90B49">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1FE4868E">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二、强化政府采购异常低价审查</w:t>
            </w:r>
          </w:p>
          <w:p w14:paraId="5EA8F360">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（一）采购人应当在采购文件中明确，政府采购评审中出现下列情形之一的，评审委员会应当启动异常低价投标（响应）审查程序：</w:t>
            </w:r>
          </w:p>
          <w:p w14:paraId="5937E51E">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1.投标（响应）报价低于全部通过符合性审查供应商投标（响应）报价平均值50%的，即投标（响应）报价&lt;全部通过符合性审查供应商投标（响应）报价平均值×50%；</w:t>
            </w:r>
          </w:p>
          <w:p w14:paraId="74D66C64">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w:t>
            </w:r>
          </w:p>
          <w:p w14:paraId="6F8FEBBC">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w:t>
            </w:r>
          </w:p>
          <w:p w14:paraId="582AD38E">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w:t>
            </w:r>
          </w:p>
          <w:p w14:paraId="6B05275A">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采购人可以结合具体项目实际情况，提高上述第1项至第3项中启动异常低价投标（响应）审查的数值标准，但是最高不得超过65%。</w:t>
            </w:r>
          </w:p>
          <w:p w14:paraId="591F7A6E">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相关法律法规对供应商报价有规定的，从其规定。</w:t>
            </w:r>
          </w:p>
          <w:p w14:paraId="5A41F69E">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565B717">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14BFB8">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85B28BC">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05D6EE0">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906D497">
            <w:pPr>
              <w:shd w:val="clear" w:color="auto"/>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三、加强政府采购履约验收管理</w:t>
            </w:r>
          </w:p>
          <w:p w14:paraId="3BA80FD0">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tc>
      </w:tr>
      <w:bookmarkEnd w:id="9"/>
      <w:bookmarkEnd w:id="10"/>
      <w:bookmarkEnd w:id="11"/>
    </w:tbl>
    <w:p w14:paraId="0CE0B828">
      <w:pPr>
        <w:pStyle w:val="3"/>
        <w:shd w:val="clear" w:color="auto"/>
        <w:spacing w:before="0" w:after="0"/>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sz w:val="24"/>
          <w:szCs w:val="24"/>
          <w:highlight w:val="none"/>
        </w:rPr>
        <w:t>说明</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当正文中的内容与前附表规定的内容不一致时，以前附表的规定为准。</w:t>
      </w:r>
    </w:p>
    <w:p w14:paraId="7F41841E">
      <w:pPr>
        <w:pStyle w:val="3"/>
        <w:keepNext w:val="0"/>
        <w:keepLines w:val="0"/>
        <w:pageBreakBefore/>
        <w:widowControl/>
        <w:shd w:val="clear" w:color="auto"/>
        <w:kinsoku/>
        <w:wordWrap/>
        <w:overflowPunct/>
        <w:topLinePunct w:val="0"/>
        <w:autoSpaceDE/>
        <w:autoSpaceDN/>
        <w:bidi w:val="0"/>
        <w:adjustRightInd/>
        <w:snapToGrid/>
        <w:spacing w:before="0" w:after="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一、说明</w:t>
      </w:r>
      <w:bookmarkEnd w:id="13"/>
    </w:p>
    <w:p w14:paraId="44B9E0D7">
      <w:pPr>
        <w:shd w:val="clear" w:color="auto"/>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1.适用范围：</w:t>
      </w:r>
    </w:p>
    <w:p w14:paraId="49DD3C37">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仅适用于</w:t>
      </w:r>
      <w:r>
        <w:rPr>
          <w:rFonts w:hint="eastAsia" w:ascii="宋体" w:hAnsi="宋体" w:cs="宋体"/>
          <w:color w:val="auto"/>
          <w:sz w:val="24"/>
          <w:szCs w:val="24"/>
          <w:highlight w:val="none"/>
          <w:lang w:eastAsia="zh-CN"/>
        </w:rPr>
        <w:t>新疆科技学院现代化工与纺织实训中心设备采购项目</w:t>
      </w:r>
      <w:r>
        <w:rPr>
          <w:rFonts w:hint="eastAsia" w:ascii="宋体" w:hAnsi="宋体" w:eastAsia="宋体" w:cs="宋体"/>
          <w:color w:val="auto"/>
          <w:sz w:val="24"/>
          <w:szCs w:val="24"/>
          <w:highlight w:val="none"/>
        </w:rPr>
        <w:t>。</w:t>
      </w:r>
    </w:p>
    <w:p w14:paraId="0D423081">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依据</w:t>
      </w:r>
    </w:p>
    <w:p w14:paraId="45870E41">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根据《中华人民共和国政府采购法》、《中华人民共和国政府采购实施条例》及有关法律、法规等。</w:t>
      </w:r>
    </w:p>
    <w:p w14:paraId="20495FD1">
      <w:pPr>
        <w:shd w:val="clear" w:color="auto"/>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3E3536F3">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“采购人”系指：新疆科技学院。</w:t>
      </w:r>
    </w:p>
    <w:p w14:paraId="5A975899">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“采购代理机构”指：</w:t>
      </w:r>
      <w:r>
        <w:rPr>
          <w:rFonts w:hint="eastAsia" w:ascii="宋体" w:hAnsi="宋体" w:cs="宋体"/>
          <w:color w:val="auto"/>
          <w:kern w:val="0"/>
          <w:sz w:val="24"/>
          <w:szCs w:val="24"/>
          <w:highlight w:val="none"/>
          <w:lang w:eastAsia="zh-CN"/>
        </w:rPr>
        <w:t>新疆新之建工程咨询有限公司</w:t>
      </w:r>
      <w:r>
        <w:rPr>
          <w:rFonts w:hint="eastAsia" w:ascii="宋体" w:hAnsi="宋体" w:eastAsia="宋体" w:cs="宋体"/>
          <w:color w:val="auto"/>
          <w:sz w:val="24"/>
          <w:szCs w:val="24"/>
          <w:highlight w:val="none"/>
        </w:rPr>
        <w:t>。</w:t>
      </w:r>
    </w:p>
    <w:p w14:paraId="6BF6BE9B">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“供应商”系指具备资格并响应</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的法人，供应商若成交，在签订和执行合同阶段称“乙方”。</w:t>
      </w:r>
    </w:p>
    <w:p w14:paraId="58F61E98">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”系指由采购人向供应商发出的本采购项目的全部文件（包括修改文件、补充文件、答疑纪要、各种通知和附件等）。</w:t>
      </w:r>
    </w:p>
    <w:p w14:paraId="1F532990">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”系指供应商根据</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提交的所有文件。</w:t>
      </w:r>
    </w:p>
    <w:p w14:paraId="49AFD236">
      <w:pPr>
        <w:shd w:val="clear" w:color="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2.6“货物”，系指供方根据合同规定须向采购人提供的各种形态和种类的物品，包括产品、设备、配件等。</w:t>
      </w:r>
    </w:p>
    <w:p w14:paraId="1C5E016E">
      <w:pPr>
        <w:shd w:val="clear" w:color="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服务</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系指合同文本、技术规范及标准、项目采购需求、本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完成应承担的所有工作并提交相关成果资料。</w:t>
      </w:r>
    </w:p>
    <w:p w14:paraId="23CBA5D0">
      <w:pPr>
        <w:shd w:val="clear" w:color="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bCs/>
          <w:color w:val="auto"/>
          <w:sz w:val="24"/>
          <w:szCs w:val="24"/>
          <w:highlight w:val="none"/>
        </w:rPr>
        <w:t>“工程”</w:t>
      </w:r>
      <w:r>
        <w:rPr>
          <w:rFonts w:hint="eastAsia" w:ascii="宋体" w:hAnsi="宋体" w:eastAsia="宋体" w:cs="宋体"/>
          <w:color w:val="auto"/>
          <w:sz w:val="24"/>
          <w:szCs w:val="24"/>
          <w:highlight w:val="none"/>
        </w:rPr>
        <w:t>系指供方根据合同规定须向采购人提供的永久或临时工程。</w:t>
      </w:r>
    </w:p>
    <w:p w14:paraId="244EDABA">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2.9凡提及的“天、日期、星期、月份和年份”系指公历日历的日历天、日期、星期、月份和年份。 </w:t>
      </w:r>
    </w:p>
    <w:p w14:paraId="3BA71AFA">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2.10.本文件及本合同的货币单位为人民币。</w:t>
      </w:r>
    </w:p>
    <w:p w14:paraId="018E2ECE">
      <w:pPr>
        <w:shd w:val="clear" w:color="auto"/>
        <w:snapToGrid w:val="0"/>
        <w:spacing w:line="360" w:lineRule="auto"/>
        <w:ind w:firstLine="482" w:firstLineChars="200"/>
        <w:jc w:val="left"/>
        <w:rPr>
          <w:rFonts w:hint="eastAsia" w:ascii="宋体" w:hAnsi="宋体" w:eastAsia="宋体" w:cs="宋体"/>
          <w:b/>
          <w:color w:val="auto"/>
          <w:sz w:val="24"/>
          <w:szCs w:val="24"/>
          <w:highlight w:val="none"/>
          <w:lang w:eastAsia="zh-CN"/>
        </w:rPr>
      </w:pPr>
      <w:bookmarkStart w:id="15" w:name="_Toc246216182"/>
      <w:bookmarkStart w:id="16" w:name="_Toc243907573"/>
      <w:bookmarkStart w:id="17" w:name="_Toc243906313"/>
      <w:bookmarkStart w:id="18" w:name="_Toc233274813"/>
      <w:r>
        <w:rPr>
          <w:rFonts w:hint="eastAsia" w:ascii="宋体" w:hAnsi="宋体" w:eastAsia="宋体" w:cs="宋体"/>
          <w:b/>
          <w:color w:val="auto"/>
          <w:sz w:val="24"/>
          <w:szCs w:val="24"/>
          <w:highlight w:val="none"/>
        </w:rPr>
        <w:t>3、采购范围及</w:t>
      </w:r>
      <w:bookmarkEnd w:id="15"/>
      <w:bookmarkEnd w:id="16"/>
      <w:bookmarkEnd w:id="17"/>
      <w:bookmarkEnd w:id="18"/>
      <w:r>
        <w:rPr>
          <w:rFonts w:hint="eastAsia" w:ascii="宋体" w:hAnsi="宋体" w:cs="宋体"/>
          <w:b/>
          <w:color w:val="auto"/>
          <w:sz w:val="24"/>
          <w:szCs w:val="24"/>
          <w:highlight w:val="none"/>
          <w:lang w:eastAsia="zh-CN"/>
        </w:rPr>
        <w:t>质保期</w:t>
      </w:r>
    </w:p>
    <w:p w14:paraId="5ADF7B05">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3.1采购范围：</w:t>
      </w:r>
      <w:r>
        <w:rPr>
          <w:rFonts w:hint="eastAsia" w:ascii="宋体" w:hAnsi="宋体" w:cs="宋体"/>
          <w:color w:val="auto"/>
          <w:sz w:val="24"/>
          <w:szCs w:val="24"/>
          <w:highlight w:val="none"/>
          <w:lang w:eastAsia="zh-CN"/>
        </w:rPr>
        <w:t>新疆科技学院现代化工与纺织实训中心设备采购项目</w:t>
      </w:r>
      <w:r>
        <w:rPr>
          <w:rFonts w:hint="eastAsia" w:ascii="宋体" w:hAnsi="宋体" w:eastAsia="宋体" w:cs="宋体"/>
          <w:color w:val="auto"/>
          <w:sz w:val="24"/>
          <w:szCs w:val="24"/>
          <w:highlight w:val="none"/>
          <w:lang w:eastAsia="zh-CN"/>
        </w:rPr>
        <w:t>，具体内容详见招标文件。</w:t>
      </w:r>
    </w:p>
    <w:p w14:paraId="1774A9B9">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bookmarkStart w:id="19" w:name="_Toc243907574"/>
      <w:bookmarkStart w:id="20" w:name="_Toc233274814"/>
      <w:bookmarkStart w:id="21" w:name="_Toc243906314"/>
      <w:bookmarkStart w:id="22" w:name="_Toc246216183"/>
      <w:r>
        <w:rPr>
          <w:rFonts w:hint="eastAsia" w:ascii="宋体" w:hAnsi="宋体" w:eastAsia="宋体" w:cs="宋体"/>
          <w:color w:val="auto"/>
          <w:sz w:val="24"/>
          <w:szCs w:val="24"/>
          <w:highlight w:val="none"/>
        </w:rPr>
        <w:t>详见招标文件</w:t>
      </w:r>
      <w:r>
        <w:rPr>
          <w:rFonts w:hint="eastAsia" w:ascii="宋体" w:hAnsi="宋体" w:eastAsia="宋体" w:cs="宋体"/>
          <w:color w:val="auto"/>
          <w:sz w:val="24"/>
          <w:szCs w:val="24"/>
          <w:highlight w:val="none"/>
          <w:lang w:val="en-US" w:eastAsia="zh-CN"/>
        </w:rPr>
        <w:t>前附须知表</w:t>
      </w:r>
      <w:r>
        <w:rPr>
          <w:rFonts w:hint="eastAsia" w:ascii="宋体" w:hAnsi="宋体" w:eastAsia="宋体" w:cs="宋体"/>
          <w:color w:val="auto"/>
          <w:kern w:val="0"/>
          <w:sz w:val="24"/>
          <w:szCs w:val="24"/>
          <w:highlight w:val="none"/>
        </w:rPr>
        <w:t>。</w:t>
      </w:r>
    </w:p>
    <w:p w14:paraId="5B86F11F">
      <w:pPr>
        <w:shd w:val="clear" w:color="auto"/>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bookmarkEnd w:id="19"/>
      <w:bookmarkEnd w:id="20"/>
      <w:bookmarkEnd w:id="21"/>
      <w:bookmarkEnd w:id="22"/>
      <w:r>
        <w:rPr>
          <w:rFonts w:hint="eastAsia" w:ascii="宋体" w:hAnsi="宋体" w:eastAsia="宋体" w:cs="宋体"/>
          <w:b/>
          <w:color w:val="auto"/>
          <w:sz w:val="24"/>
          <w:szCs w:val="24"/>
          <w:highlight w:val="none"/>
        </w:rPr>
        <w:t>合格供应商资格要求</w:t>
      </w:r>
    </w:p>
    <w:p w14:paraId="40FD8913">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4.1详见第一章“</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公告”中的供应商资格要求。</w:t>
      </w:r>
    </w:p>
    <w:p w14:paraId="4C766028">
      <w:pPr>
        <w:shd w:val="clear" w:color="auto"/>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5、政府采购活动中，采购人员及相关人员与供应商有下列利害关系之一的，应当回避：</w:t>
      </w:r>
    </w:p>
    <w:p w14:paraId="064C7409">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5.1参加采购活动前3年内与供应商存在劳动关系；</w:t>
      </w:r>
    </w:p>
    <w:p w14:paraId="250CE664">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5.2参加采购活动前3年内担任供应商的董事、监事；</w:t>
      </w:r>
    </w:p>
    <w:p w14:paraId="1A8CD8E9">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5.3参加采购活动前3年内是供应商的控股股东或者实际控制人；</w:t>
      </w:r>
    </w:p>
    <w:p w14:paraId="063C0CC7">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5.4与供应商的法定代表人或者负责人有夫妻、直系血亲、三代以内旁系血亲或者近姻亲关系；</w:t>
      </w:r>
    </w:p>
    <w:p w14:paraId="100C3053">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5.5与供应商有其他可能影响政府采购活动公平、公正进行的关系。</w:t>
      </w:r>
    </w:p>
    <w:p w14:paraId="091EC477">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成员。</w:t>
      </w:r>
    </w:p>
    <w:p w14:paraId="180E74EF">
      <w:pPr>
        <w:pStyle w:val="159"/>
        <w:shd w:val="clear" w:color="auto"/>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6CF7BA04">
      <w:pPr>
        <w:pStyle w:val="19"/>
        <w:shd w:val="clear" w:color="auto"/>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6、参与</w:t>
      </w:r>
      <w:r>
        <w:rPr>
          <w:rFonts w:hint="eastAsia"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费用</w:t>
      </w:r>
    </w:p>
    <w:p w14:paraId="5548C2B2">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6.1供应商应承担所有与</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准备和</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有关的全部费用，不论结果如何，采购人和采购代理机构无义务和责任承担供应商所发生的一切费用。</w:t>
      </w:r>
    </w:p>
    <w:p w14:paraId="7C3B3815">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6.2供应商在</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准备、实地考察全过程中，如果发生人身伤亡、财物或其它任何损失，不论何种原因所造成，均由供应商自行承担全部责任和损失。</w:t>
      </w:r>
    </w:p>
    <w:p w14:paraId="37FCFA5A">
      <w:pPr>
        <w:pStyle w:val="19"/>
        <w:shd w:val="clear" w:color="auto"/>
        <w:spacing w:line="360" w:lineRule="auto"/>
        <w:ind w:firstLine="482" w:firstLineChars="200"/>
        <w:rPr>
          <w:rFonts w:hint="eastAsia" w:ascii="宋体" w:hAnsi="宋体" w:eastAsia="宋体" w:cs="宋体"/>
          <w:b/>
          <w:color w:val="auto"/>
          <w:sz w:val="24"/>
          <w:szCs w:val="24"/>
          <w:highlight w:val="none"/>
        </w:rPr>
      </w:pPr>
      <w:bookmarkStart w:id="23" w:name="_Toc233274816"/>
      <w:bookmarkStart w:id="24" w:name="_Toc243907576"/>
      <w:bookmarkStart w:id="25" w:name="_Toc243906316"/>
      <w:bookmarkStart w:id="26" w:name="_Toc245897276"/>
      <w:r>
        <w:rPr>
          <w:rFonts w:hint="eastAsia" w:ascii="宋体" w:hAnsi="宋体" w:eastAsia="宋体" w:cs="宋体"/>
          <w:b/>
          <w:color w:val="auto"/>
          <w:sz w:val="24"/>
          <w:szCs w:val="24"/>
          <w:highlight w:val="none"/>
        </w:rPr>
        <w:t>7、法律适用</w:t>
      </w:r>
      <w:bookmarkEnd w:id="23"/>
      <w:bookmarkEnd w:id="24"/>
      <w:bookmarkEnd w:id="25"/>
      <w:bookmarkEnd w:id="26"/>
    </w:p>
    <w:p w14:paraId="4762C8C6">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7.1本次</w:t>
      </w:r>
      <w:r>
        <w:rPr>
          <w:rFonts w:hint="eastAsia" w:hAnsi="宋体" w:eastAsia="宋体" w:cs="宋体"/>
          <w:color w:val="auto"/>
          <w:sz w:val="24"/>
          <w:szCs w:val="24"/>
          <w:highlight w:val="none"/>
          <w:lang w:eastAsia="zh-CN"/>
        </w:rPr>
        <w:t>投标活动</w:t>
      </w:r>
      <w:r>
        <w:rPr>
          <w:rFonts w:hint="eastAsia" w:ascii="宋体" w:hAnsi="宋体" w:eastAsia="宋体" w:cs="宋体"/>
          <w:color w:val="auto"/>
          <w:sz w:val="24"/>
          <w:szCs w:val="24"/>
          <w:highlight w:val="none"/>
        </w:rPr>
        <w:t>及由本次</w:t>
      </w:r>
      <w:r>
        <w:rPr>
          <w:rFonts w:hint="eastAsia"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产生的合同受中国法律制约和保护。</w:t>
      </w:r>
    </w:p>
    <w:p w14:paraId="681886E4">
      <w:pPr>
        <w:pStyle w:val="19"/>
        <w:shd w:val="clear" w:color="auto"/>
        <w:spacing w:line="360" w:lineRule="auto"/>
        <w:ind w:firstLine="482" w:firstLineChars="200"/>
        <w:rPr>
          <w:rFonts w:hint="eastAsia" w:ascii="宋体" w:hAnsi="宋体" w:eastAsia="宋体" w:cs="宋体"/>
          <w:b/>
          <w:color w:val="auto"/>
          <w:sz w:val="24"/>
          <w:szCs w:val="24"/>
          <w:highlight w:val="none"/>
        </w:rPr>
      </w:pPr>
      <w:bookmarkStart w:id="27" w:name="_Toc245897277"/>
      <w:bookmarkStart w:id="28" w:name="_Toc243906317"/>
      <w:bookmarkStart w:id="29" w:name="_Toc233274817"/>
      <w:bookmarkStart w:id="30" w:name="_Toc243907577"/>
      <w:r>
        <w:rPr>
          <w:rFonts w:hint="eastAsia" w:ascii="宋体" w:hAnsi="宋体" w:eastAsia="宋体" w:cs="宋体"/>
          <w:b/>
          <w:color w:val="auto"/>
          <w:sz w:val="24"/>
          <w:szCs w:val="24"/>
          <w:highlight w:val="none"/>
        </w:rPr>
        <w:t>8、</w:t>
      </w:r>
      <w:r>
        <w:rPr>
          <w:rFonts w:hint="eastAsia" w:hAnsi="宋体" w:eastAsia="宋体" w:cs="宋体"/>
          <w:b/>
          <w:color w:val="auto"/>
          <w:sz w:val="24"/>
          <w:szCs w:val="24"/>
          <w:highlight w:val="none"/>
          <w:lang w:eastAsia="zh-CN"/>
        </w:rPr>
        <w:t>招标文件</w:t>
      </w:r>
      <w:r>
        <w:rPr>
          <w:rFonts w:hint="eastAsia" w:ascii="宋体" w:hAnsi="宋体" w:eastAsia="宋体" w:cs="宋体"/>
          <w:b/>
          <w:color w:val="auto"/>
          <w:sz w:val="24"/>
          <w:szCs w:val="24"/>
          <w:highlight w:val="none"/>
        </w:rPr>
        <w:t>的约束力</w:t>
      </w:r>
      <w:bookmarkEnd w:id="27"/>
      <w:bookmarkEnd w:id="28"/>
      <w:bookmarkEnd w:id="29"/>
      <w:bookmarkEnd w:id="30"/>
    </w:p>
    <w:p w14:paraId="3227AC10">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8.1供应商若成交，即被认为接受了本</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中的所有条件和规定。是采购人与</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签订合同的依据且是合同的组成部分。</w:t>
      </w:r>
    </w:p>
    <w:p w14:paraId="43138188">
      <w:pPr>
        <w:pStyle w:val="11"/>
        <w:shd w:val="clear" w:color="auto"/>
        <w:ind w:firstLine="0"/>
        <w:rPr>
          <w:rFonts w:hint="eastAsia" w:ascii="宋体" w:hAnsi="宋体" w:eastAsia="宋体" w:cs="宋体"/>
          <w:color w:val="auto"/>
          <w:sz w:val="24"/>
          <w:szCs w:val="24"/>
          <w:highlight w:val="none"/>
        </w:rPr>
      </w:pPr>
    </w:p>
    <w:p w14:paraId="75CFE385">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A870709">
      <w:pPr>
        <w:pStyle w:val="161"/>
        <w:shd w:val="clear" w:color="auto"/>
        <w:spacing w:line="360" w:lineRule="auto"/>
        <w:ind w:left="0" w:firstLine="2570" w:firstLineChars="8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第三章 </w:t>
      </w:r>
      <w:r>
        <w:rPr>
          <w:rFonts w:hint="eastAsia" w:hAnsi="宋体" w:cs="宋体"/>
          <w:b/>
          <w:color w:val="auto"/>
          <w:sz w:val="32"/>
          <w:szCs w:val="32"/>
          <w:highlight w:val="none"/>
          <w:lang w:eastAsia="zh-CN"/>
        </w:rPr>
        <w:t>投标文件</w:t>
      </w:r>
      <w:r>
        <w:rPr>
          <w:rFonts w:hint="eastAsia" w:ascii="宋体" w:hAnsi="宋体" w:eastAsia="宋体" w:cs="宋体"/>
          <w:b/>
          <w:color w:val="auto"/>
          <w:sz w:val="32"/>
          <w:szCs w:val="32"/>
          <w:highlight w:val="none"/>
        </w:rPr>
        <w:t>的编制、递交</w:t>
      </w:r>
    </w:p>
    <w:p w14:paraId="5EFE129D">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31" w:name="_Toc243907579"/>
      <w:bookmarkStart w:id="32" w:name="_Toc243906319"/>
      <w:bookmarkStart w:id="33" w:name="_Toc233274819"/>
      <w:bookmarkStart w:id="34" w:name="_Toc246216188"/>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的组成</w:t>
      </w:r>
      <w:bookmarkEnd w:id="31"/>
      <w:bookmarkEnd w:id="32"/>
      <w:bookmarkEnd w:id="33"/>
      <w:bookmarkEnd w:id="34"/>
    </w:p>
    <w:p w14:paraId="73EA7C6B">
      <w:pPr>
        <w:shd w:val="clear" w:color="auto"/>
        <w:spacing w:line="360" w:lineRule="auto"/>
        <w:ind w:firstLine="48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是</w:t>
      </w:r>
      <w:r>
        <w:rPr>
          <w:rFonts w:hint="eastAsia" w:ascii="宋体" w:hAnsi="宋体" w:cs="宋体"/>
          <w:color w:val="auto"/>
          <w:sz w:val="24"/>
          <w:szCs w:val="24"/>
          <w:highlight w:val="none"/>
          <w:lang w:eastAsia="zh-CN"/>
        </w:rPr>
        <w:t>新疆科技学院现代化工与纺织实训中心设备采购项目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程序、合同文本进行说明。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包括下列内容：</w:t>
      </w:r>
    </w:p>
    <w:p w14:paraId="5A6AAB64">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_Toc13129_WPSOffice_Level1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hAnsi="宋体" w:eastAsia="宋体" w:cs="宋体"/>
          <w:color w:val="auto"/>
          <w:sz w:val="24"/>
          <w:szCs w:val="24"/>
          <w:highlight w:val="none"/>
          <w:lang w:eastAsia="zh-CN"/>
        </w:rPr>
        <w:t>招标公告</w:t>
      </w:r>
      <w:r>
        <w:rPr>
          <w:rFonts w:hint="eastAsia" w:ascii="宋体" w:hAnsi="宋体" w:eastAsia="宋体" w:cs="宋体"/>
          <w:color w:val="auto"/>
          <w:sz w:val="24"/>
          <w:szCs w:val="24"/>
          <w:highlight w:val="none"/>
        </w:rPr>
        <w:fldChar w:fldCharType="end"/>
      </w:r>
    </w:p>
    <w:p w14:paraId="2A7A300D">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_Toc32258_WPSOffice_Level1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fldChar w:fldCharType="end"/>
      </w:r>
    </w:p>
    <w:p w14:paraId="465497B9">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_Toc3717_WPSOffice_Level1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第三章  </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的编制、递交</w:t>
      </w:r>
      <w:r>
        <w:rPr>
          <w:rFonts w:hint="eastAsia" w:ascii="宋体" w:hAnsi="宋体" w:eastAsia="宋体" w:cs="宋体"/>
          <w:color w:val="auto"/>
          <w:sz w:val="24"/>
          <w:szCs w:val="24"/>
          <w:highlight w:val="none"/>
        </w:rPr>
        <w:fldChar w:fldCharType="end"/>
      </w:r>
    </w:p>
    <w:p w14:paraId="56E8617D">
      <w:pPr>
        <w:pStyle w:val="19"/>
        <w:shd w:val="clear" w:color="auto"/>
        <w:spacing w:line="360" w:lineRule="auto"/>
        <w:ind w:firstLine="4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_Toc12453_WPSOffice_Level1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、评审、确定</w:t>
      </w:r>
      <w:r>
        <w:rPr>
          <w:rFonts w:hint="eastAsia" w:hAnsi="宋体" w:eastAsia="宋体" w:cs="宋体"/>
          <w:color w:val="auto"/>
          <w:sz w:val="24"/>
          <w:szCs w:val="24"/>
          <w:highlight w:val="none"/>
          <w:lang w:eastAsia="zh-CN"/>
        </w:rPr>
        <w:t>中标供应商</w:t>
      </w:r>
    </w:p>
    <w:p w14:paraId="1947FAD6">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评定成交方式和标准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14:paraId="1EE89E3D">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_Toc7744_WPSOffice_Level1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hAnsi="宋体" w:cs="宋体"/>
          <w:color w:val="auto"/>
          <w:sz w:val="24"/>
          <w:szCs w:val="24"/>
          <w:highlight w:val="none"/>
          <w:lang w:eastAsia="zh-CN"/>
        </w:rPr>
        <w:t>采购需求清单</w:t>
      </w:r>
      <w:r>
        <w:rPr>
          <w:rFonts w:hint="eastAsia" w:ascii="宋体" w:hAnsi="宋体" w:eastAsia="宋体" w:cs="宋体"/>
          <w:color w:val="auto"/>
          <w:sz w:val="24"/>
          <w:szCs w:val="24"/>
          <w:highlight w:val="none"/>
        </w:rPr>
        <w:fldChar w:fldCharType="end"/>
      </w:r>
    </w:p>
    <w:p w14:paraId="0E008CAF">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_Toc11436_WPSOffice_Level1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合同格式及合同条款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14:paraId="132416CD">
      <w:pPr>
        <w:pStyle w:val="19"/>
        <w:shd w:val="clear" w:color="auto"/>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_Toc11362_WPSOffice_Level1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第八章  </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14:paraId="5E29E918">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.2 </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以中文编印，以中文文本为准。</w:t>
      </w:r>
    </w:p>
    <w:p w14:paraId="4B8EF99D">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.3 除非有特殊要求，</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不单独提供采购项目使用地的自然环境、气候条件、劳动力及公用设施等情况，供应商被视为熟悉上述条件或若成交履行合同有关的一切情况。</w:t>
      </w:r>
    </w:p>
    <w:p w14:paraId="2B2443FD">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.4采购人向供应商提供的有关数据和资料，是采购人现有的能被供应商利用的资料，供应商对此做出的推论、理解和结论自行负责。</w:t>
      </w:r>
    </w:p>
    <w:p w14:paraId="01B9E1CB">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35" w:name="_Toc243907580"/>
      <w:bookmarkStart w:id="36" w:name="_Toc243906320"/>
      <w:bookmarkStart w:id="37" w:name="_Toc245897280"/>
      <w:bookmarkStart w:id="38" w:name="_Toc233274820"/>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的澄清</w:t>
      </w:r>
      <w:bookmarkEnd w:id="35"/>
      <w:bookmarkEnd w:id="36"/>
      <w:bookmarkEnd w:id="37"/>
      <w:bookmarkEnd w:id="38"/>
    </w:p>
    <w:p w14:paraId="5418AF00">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供应商对</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如有疑问，可要求澄清，应按</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时间前在政采云平台上提出，采购人和采购代理机构将视情况在政采云平台上予以澄清，答复中包括所提问题，但不包括问题的来源，答复一经发布将视为已经通知所有潜在投标供应商，请各投标供应商及时关注相关信息。</w:t>
      </w:r>
    </w:p>
    <w:p w14:paraId="34B28738">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.2 如果上述答复涉及对</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的修改或补充，则它将被视为</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的组成部分。凡原先所发</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中的内容与答复中的内容不一致之处，以最后书面答复为准。任何电话或口头咨询和答复的意思解释均不具有法律约束力。</w:t>
      </w:r>
    </w:p>
    <w:p w14:paraId="16E0B88E">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.3供应商在递交</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截止日期</w:t>
      </w:r>
      <w:r>
        <w:rPr>
          <w:rFonts w:hint="eastAsia"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日前未对</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提出异议的，采购单位将视其为同意。在规定的时间后就</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内容提出的质疑将不予受理。</w:t>
      </w:r>
    </w:p>
    <w:p w14:paraId="0CDAE873">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39" w:name="_Toc243907581"/>
      <w:bookmarkStart w:id="40" w:name="_Toc243906321"/>
      <w:bookmarkStart w:id="41" w:name="_Toc233274821"/>
      <w:bookmarkStart w:id="42" w:name="_Toc245897281"/>
      <w:r>
        <w:rPr>
          <w:rFonts w:hint="eastAsia" w:hAnsi="宋体" w:cs="宋体"/>
          <w:color w:val="auto"/>
          <w:sz w:val="24"/>
          <w:szCs w:val="24"/>
          <w:highlight w:val="none"/>
          <w:lang w:val="en-US" w:eastAsia="zh-CN"/>
        </w:rPr>
        <w:t>3、</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的修改和补充</w:t>
      </w:r>
      <w:bookmarkEnd w:id="39"/>
      <w:bookmarkEnd w:id="40"/>
      <w:bookmarkEnd w:id="41"/>
      <w:bookmarkEnd w:id="42"/>
    </w:p>
    <w:p w14:paraId="71011041">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.1在递交</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截止日期</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5日前的任何时候，采购人可主动地或依据供应商要求澄清的疑问而修改、补充</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，采购代理机构将对修改和补充的内容在政采云平台上发布，修改和补充文件将作为</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的组成部分，对所有供应商具有约束力。</w:t>
      </w:r>
    </w:p>
    <w:p w14:paraId="60EB8D6F">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.2为使供应商在准备</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时有合理的时间考虑</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的修改和/或补充，采购代理机构可延长递交</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截止时间和开启时间，但至少应当在规定的递交</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的截止时间</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5日前，在政采云平台上通知所有领取</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的每位供应商，不足</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5日的，应当顺延提交</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截止日期。</w:t>
      </w:r>
    </w:p>
    <w:p w14:paraId="1E7E23DF">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43" w:name="_Toc243906323"/>
      <w:bookmarkStart w:id="44" w:name="_Toc243907583"/>
      <w:bookmarkStart w:id="45" w:name="_Toc245897283"/>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的编写</w:t>
      </w:r>
      <w:bookmarkEnd w:id="43"/>
      <w:bookmarkEnd w:id="44"/>
      <w:bookmarkEnd w:id="45"/>
    </w:p>
    <w:p w14:paraId="4CA4040E">
      <w:pPr>
        <w:shd w:val="clear" w:color="auto"/>
        <w:spacing w:line="360" w:lineRule="auto"/>
        <w:ind w:firstLine="48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.1供应商必须详细阅读</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的章、节、条款、格式等所有内容，按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，并保证所提供的全部文件及相关资料的真实性，以使其对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做出实质性响应。供应商应仔细阅读并充分理解</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、技术规范及标准、项目采购需求、合同文本后编制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7B087F00">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46" w:name="_Toc243906324"/>
      <w:bookmarkStart w:id="47" w:name="_Toc245897284"/>
      <w:bookmarkStart w:id="48" w:name="_Toc233274824"/>
      <w:bookmarkStart w:id="49" w:name="_Toc243907584"/>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的语言及计量单位</w:t>
      </w:r>
      <w:bookmarkEnd w:id="46"/>
      <w:bookmarkEnd w:id="47"/>
      <w:bookmarkEnd w:id="48"/>
      <w:bookmarkEnd w:id="49"/>
    </w:p>
    <w:p w14:paraId="25D72A53">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及供应商和采购人及采购代理机构就有关</w:t>
      </w:r>
      <w:r>
        <w:rPr>
          <w:rFonts w:hint="eastAsia"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的所有文件和来往函件，应以中文书写。供应商可以提交用其他语言（原文）打印的资料，但必须翻译成中文，当原文和译文（中文）之间存有差异和/或矛盾时，以中文为准。</w:t>
      </w:r>
    </w:p>
    <w:p w14:paraId="000545FE">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.2 除在</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的项目采购需求中另有规定外，计量单位应使用中华人民共和国法定计量单位（国际单位制和国家选定的其它计量单位）。如供应商采用其它计量单位，需事先得到采购人的同意。</w:t>
      </w:r>
    </w:p>
    <w:p w14:paraId="40AD2ACD">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50" w:name="_Toc243906325"/>
      <w:bookmarkStart w:id="51" w:name="_Toc233274825"/>
      <w:bookmarkStart w:id="52" w:name="_Toc243907585"/>
      <w:bookmarkStart w:id="53" w:name="_Toc245897285"/>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w:t>
      </w:r>
      <w:bookmarkEnd w:id="50"/>
      <w:bookmarkEnd w:id="51"/>
      <w:bookmarkEnd w:id="52"/>
      <w:bookmarkEnd w:id="53"/>
    </w:p>
    <w:p w14:paraId="78C0A2DF">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投标现场无需递交投标文件。</w:t>
      </w:r>
    </w:p>
    <w:p w14:paraId="0611FB3C">
      <w:pPr>
        <w:pStyle w:val="19"/>
        <w:shd w:val="clear" w:color="auto"/>
        <w:spacing w:line="360" w:lineRule="auto"/>
        <w:ind w:firstLine="44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包括但不限于以下内容，各供应商应对照</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要求提供相关的证明资料：</w:t>
      </w:r>
    </w:p>
    <w:p w14:paraId="78DBD2E1">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一、投标文件封面</w:t>
      </w:r>
    </w:p>
    <w:p w14:paraId="1F398D07">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二、资格审查资料</w:t>
      </w:r>
    </w:p>
    <w:p w14:paraId="0BCCC8D9">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三、商务技术文件组成</w:t>
      </w:r>
    </w:p>
    <w:p w14:paraId="1206EEB0">
      <w:pPr>
        <w:pStyle w:val="19"/>
        <w:shd w:val="clear" w:color="auto"/>
        <w:spacing w:line="360" w:lineRule="auto"/>
        <w:ind w:firstLine="422" w:firstLineChars="17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237AD3D5">
      <w:pPr>
        <w:pStyle w:val="19"/>
        <w:shd w:val="clear" w:color="auto"/>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上述各种证件、证书等资料原件的扫描件，供应商应如实提供资料，并保证真实可靠，不得弄虚作假。如供应商隐瞒事实真相、弄虚作假，一经查实，取消该供应商的</w:t>
      </w:r>
      <w:r>
        <w:rPr>
          <w:rFonts w:hint="eastAsia"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资格，若成交的，取消其成交资格。</w:t>
      </w:r>
    </w:p>
    <w:p w14:paraId="5A04B55F">
      <w:pPr>
        <w:pStyle w:val="19"/>
        <w:shd w:val="clear" w:color="auto"/>
        <w:spacing w:line="360" w:lineRule="auto"/>
        <w:ind w:firstLine="480"/>
        <w:outlineLvl w:val="1"/>
        <w:rPr>
          <w:rFonts w:hint="eastAsia" w:ascii="宋体" w:hAnsi="宋体" w:eastAsia="宋体" w:cs="宋体"/>
          <w:color w:val="auto"/>
          <w:sz w:val="24"/>
          <w:szCs w:val="24"/>
          <w:highlight w:val="none"/>
        </w:rPr>
      </w:pPr>
      <w:bookmarkStart w:id="54" w:name="_Toc245897286"/>
      <w:bookmarkStart w:id="55" w:name="_Toc233274827"/>
      <w:bookmarkStart w:id="56" w:name="_Toc246216196"/>
      <w:bookmarkStart w:id="57" w:name="_Toc243906326"/>
      <w:bookmarkStart w:id="58" w:name="_Toc243907587"/>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bookmarkEnd w:id="54"/>
    </w:p>
    <w:p w14:paraId="5984323F">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提供的格式及商务报价说明完整地填写所提供的合同项目内容、单价以及合价等内容。</w:t>
      </w:r>
    </w:p>
    <w:p w14:paraId="190F9843">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、商务报价</w:t>
      </w:r>
      <w:bookmarkEnd w:id="55"/>
      <w:bookmarkEnd w:id="56"/>
      <w:bookmarkEnd w:id="57"/>
      <w:bookmarkEnd w:id="58"/>
    </w:p>
    <w:p w14:paraId="5DE66617">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.1供应商的商务报价应是为采购人提供全部合同设备与服务，以及合同文本、技术规范及标准、项目采购需求及本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约定的所有费用的总和。</w:t>
      </w:r>
    </w:p>
    <w:p w14:paraId="63241640">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任何因供应商忽视或误解采购范围、技术规范及标准、项目采购需求、合同文本和项目现场情况，若成交，采购人将不予批准由此而产生的索赔或</w:t>
      </w:r>
      <w:r>
        <w:rPr>
          <w:rFonts w:hint="eastAsia" w:ascii="宋体" w:hAnsi="宋体" w:cs="宋体"/>
          <w:color w:val="auto"/>
          <w:sz w:val="24"/>
          <w:szCs w:val="24"/>
          <w:highlight w:val="none"/>
          <w:lang w:eastAsia="zh-CN"/>
        </w:rPr>
        <w:t>质保期</w:t>
      </w:r>
      <w:r>
        <w:rPr>
          <w:rFonts w:hint="eastAsia" w:ascii="宋体" w:hAnsi="宋体" w:eastAsia="宋体" w:cs="宋体"/>
          <w:color w:val="auto"/>
          <w:sz w:val="24"/>
          <w:szCs w:val="24"/>
          <w:highlight w:val="none"/>
        </w:rPr>
        <w:t>延长申请。</w:t>
      </w:r>
    </w:p>
    <w:p w14:paraId="3D43945B">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商务报价中不得包含合同文本、技术规范及标准、项目采购需求、本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要求以外的其他内容，否则，在评审时报价不予核减，若成交，在授予合同或结算时，采购人有权将此部分费用从成交价或合同文本中扣减。</w:t>
      </w:r>
    </w:p>
    <w:p w14:paraId="4FFBFE89">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.2商务报价总价应包括的内容和计价因素</w:t>
      </w:r>
    </w:p>
    <w:p w14:paraId="4A220855">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w:t>
      </w:r>
      <w:r>
        <w:rPr>
          <w:rFonts w:hint="eastAsia" w:ascii="宋体" w:hAnsi="宋体" w:cs="宋体"/>
          <w:color w:val="auto"/>
          <w:sz w:val="24"/>
          <w:szCs w:val="24"/>
          <w:highlight w:val="none"/>
          <w:lang w:eastAsia="zh-CN"/>
        </w:rPr>
        <w:t>新疆科技学院现代化工与纺织实训中心设备采购项目</w:t>
      </w:r>
      <w:r>
        <w:rPr>
          <w:rFonts w:hint="eastAsia" w:ascii="宋体" w:hAnsi="宋体" w:eastAsia="宋体" w:cs="宋体"/>
          <w:color w:val="auto"/>
          <w:sz w:val="24"/>
          <w:szCs w:val="24"/>
          <w:highlight w:val="none"/>
        </w:rPr>
        <w:t>应承担的所有工作。</w:t>
      </w:r>
    </w:p>
    <w:p w14:paraId="66BC4217">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（2）供应商根据对本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技术规范和标准、项目采购需求、合同文本的理解，应达到的技术指标、检验及验收标准等要求，结合市场情况进行商务报价。供应商应充分考虑合同执行期内工程的市场风险和国家政策性调整风险等因素对商务报价的影响。</w:t>
      </w:r>
    </w:p>
    <w:p w14:paraId="3D4A6368">
      <w:pPr>
        <w:shd w:val="clear" w:color="auto"/>
        <w:spacing w:line="360" w:lineRule="auto"/>
        <w:ind w:firstLine="482"/>
        <w:jc w:val="left"/>
        <w:rPr>
          <w:rFonts w:hint="eastAsia" w:ascii="宋体" w:hAnsi="宋体" w:eastAsia="宋体" w:cs="宋体"/>
          <w:color w:val="auto"/>
          <w:sz w:val="24"/>
          <w:szCs w:val="24"/>
          <w:highlight w:val="none"/>
        </w:rPr>
      </w:pPr>
      <w:bookmarkStart w:id="59" w:name="_Toc233274828"/>
      <w:bookmarkStart w:id="60" w:name="_Toc246216197"/>
      <w:bookmarkStart w:id="61" w:name="_Toc243907588"/>
      <w:bookmarkStart w:id="62" w:name="_Toc243906327"/>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.3供应商应按照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所附的格式完整地填写开标一览表。供应商应对采购范围内的全部内容进行报价。</w:t>
      </w:r>
    </w:p>
    <w:p w14:paraId="6D1A605B">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.4供应商若成交，不得以任何理由在合同执行期间予以价格调整。任何包含价格调整的要求将被认为是非响应而予以拒绝。</w:t>
      </w:r>
    </w:p>
    <w:bookmarkEnd w:id="59"/>
    <w:bookmarkEnd w:id="60"/>
    <w:bookmarkEnd w:id="61"/>
    <w:bookmarkEnd w:id="62"/>
    <w:p w14:paraId="34C2B599">
      <w:pPr>
        <w:shd w:val="clear" w:color="auto"/>
        <w:spacing w:line="360" w:lineRule="auto"/>
        <w:ind w:firstLine="482"/>
        <w:jc w:val="left"/>
        <w:rPr>
          <w:rFonts w:hint="eastAsia" w:ascii="宋体" w:hAnsi="宋体" w:eastAsia="宋体" w:cs="宋体"/>
          <w:color w:val="auto"/>
          <w:sz w:val="24"/>
          <w:szCs w:val="24"/>
          <w:highlight w:val="none"/>
        </w:rPr>
      </w:pPr>
      <w:bookmarkStart w:id="63" w:name="_Toc245897288"/>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、商务报价货币</w:t>
      </w:r>
      <w:bookmarkEnd w:id="63"/>
    </w:p>
    <w:p w14:paraId="0B51120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中的所有报价一律使用人民币（RMB）填报。</w:t>
      </w:r>
    </w:p>
    <w:p w14:paraId="1C49CB95">
      <w:pPr>
        <w:shd w:val="clear" w:color="auto"/>
        <w:spacing w:line="360" w:lineRule="auto"/>
        <w:ind w:firstLine="482"/>
        <w:jc w:val="left"/>
        <w:rPr>
          <w:rFonts w:hint="eastAsia" w:ascii="宋体" w:hAnsi="宋体" w:eastAsia="宋体" w:cs="宋体"/>
          <w:color w:val="auto"/>
          <w:sz w:val="24"/>
          <w:szCs w:val="24"/>
          <w:highlight w:val="none"/>
        </w:rPr>
      </w:pPr>
      <w:bookmarkStart w:id="64" w:name="_Toc245897289"/>
      <w:bookmarkStart w:id="65" w:name="_Toc233274829"/>
      <w:bookmarkStart w:id="66" w:name="_Toc243907589"/>
      <w:bookmarkStart w:id="67" w:name="_Toc243906328"/>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、供应商资格证明文件</w:t>
      </w:r>
      <w:bookmarkEnd w:id="64"/>
      <w:bookmarkEnd w:id="65"/>
      <w:bookmarkEnd w:id="66"/>
      <w:bookmarkEnd w:id="67"/>
    </w:p>
    <w:p w14:paraId="1E18D209">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供应商必须提交证明其有资格参加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和成交后有能力履行合同的文件。</w:t>
      </w:r>
    </w:p>
    <w:p w14:paraId="0905A687">
      <w:pPr>
        <w:shd w:val="clear" w:color="auto"/>
        <w:spacing w:line="360" w:lineRule="auto"/>
        <w:ind w:firstLine="482"/>
        <w:jc w:val="left"/>
        <w:rPr>
          <w:rFonts w:hint="eastAsia" w:ascii="宋体" w:hAnsi="宋体" w:eastAsia="宋体" w:cs="宋体"/>
          <w:color w:val="auto"/>
          <w:sz w:val="24"/>
          <w:szCs w:val="24"/>
          <w:highlight w:val="none"/>
          <w:lang w:eastAsia="zh-CN"/>
        </w:rPr>
      </w:pPr>
      <w:bookmarkStart w:id="68" w:name="_Toc245897290"/>
      <w:bookmarkStart w:id="69" w:name="_Toc243907590"/>
      <w:bookmarkStart w:id="70" w:name="_Toc233274830"/>
      <w:bookmarkStart w:id="71" w:name="_Toc243906329"/>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、提供的工程符合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规定的技术</w:t>
      </w:r>
      <w:bookmarkEnd w:id="68"/>
      <w:bookmarkEnd w:id="69"/>
      <w:bookmarkEnd w:id="70"/>
      <w:bookmarkEnd w:id="71"/>
      <w:r>
        <w:rPr>
          <w:rFonts w:hint="eastAsia" w:ascii="宋体" w:hAnsi="宋体" w:eastAsia="宋体" w:cs="宋体"/>
          <w:color w:val="auto"/>
          <w:sz w:val="24"/>
          <w:szCs w:val="24"/>
          <w:highlight w:val="none"/>
          <w:lang w:eastAsia="zh-CN"/>
        </w:rPr>
        <w:t>投标文件</w:t>
      </w:r>
    </w:p>
    <w:p w14:paraId="685E5664">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 供应商须提交证明其拟供设备和服务符合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、技术规范及标准、项目采购需求规定的技术</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的一部分；</w:t>
      </w:r>
    </w:p>
    <w:p w14:paraId="045B6823">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.2供应商应逐条对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、项目采购需求、合同文本等进行仔细阅读，提出自己提供的设备和服务是否对其做出了实质性的响应。</w:t>
      </w:r>
    </w:p>
    <w:p w14:paraId="38B71CF8">
      <w:pPr>
        <w:shd w:val="clear" w:color="auto"/>
        <w:spacing w:line="360" w:lineRule="auto"/>
        <w:ind w:firstLine="482"/>
        <w:jc w:val="left"/>
        <w:rPr>
          <w:rFonts w:hint="eastAsia" w:ascii="宋体" w:hAnsi="宋体" w:eastAsia="宋体" w:cs="宋体"/>
          <w:color w:val="auto"/>
          <w:sz w:val="24"/>
          <w:szCs w:val="24"/>
          <w:highlight w:val="none"/>
        </w:rPr>
      </w:pPr>
      <w:bookmarkStart w:id="72" w:name="_Toc243906330"/>
      <w:bookmarkStart w:id="73" w:name="_Toc243907591"/>
      <w:bookmarkStart w:id="74" w:name="_Toc245897291"/>
      <w:bookmarkStart w:id="75" w:name="_Toc233274831"/>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有效期</w:t>
      </w:r>
      <w:bookmarkEnd w:id="72"/>
      <w:bookmarkEnd w:id="73"/>
      <w:bookmarkEnd w:id="74"/>
      <w:bookmarkEnd w:id="75"/>
    </w:p>
    <w:p w14:paraId="11306136">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有效期为递交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天（日历日）。供应商的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有效期比规定的有效期短的，将被视为非响应而予以拒绝。</w:t>
      </w:r>
    </w:p>
    <w:p w14:paraId="44A9333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.2 特殊情况下，在原有效期届满之前，采购人可征得供应商的同意延长其有效期，这种要求与答复均应以书面形式。供应商拒绝延长的，其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失效。同意延长有效期的供应商，既不要求也不允许其修改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799DE665">
      <w:pPr>
        <w:shd w:val="clear" w:color="auto"/>
        <w:spacing w:line="360" w:lineRule="auto"/>
        <w:ind w:firstLine="482"/>
        <w:jc w:val="left"/>
        <w:rPr>
          <w:rFonts w:hint="eastAsia" w:ascii="宋体" w:hAnsi="宋体" w:eastAsia="宋体" w:cs="宋体"/>
          <w:color w:val="auto"/>
          <w:sz w:val="24"/>
          <w:szCs w:val="24"/>
          <w:highlight w:val="none"/>
        </w:rPr>
      </w:pPr>
      <w:bookmarkStart w:id="76" w:name="_Toc243907592"/>
      <w:bookmarkStart w:id="77" w:name="_Toc233274832"/>
      <w:bookmarkStart w:id="78" w:name="_Toc245897292"/>
      <w:bookmarkStart w:id="79" w:name="_Toc243906331"/>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的签署及规定</w:t>
      </w:r>
      <w:bookmarkEnd w:id="76"/>
      <w:bookmarkEnd w:id="77"/>
      <w:bookmarkEnd w:id="78"/>
      <w:bookmarkEnd w:id="79"/>
    </w:p>
    <w:p w14:paraId="0BF5FD08">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.1所有</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均为明标。</w:t>
      </w:r>
    </w:p>
    <w:p w14:paraId="41BA8A49">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.2 供应商将政采云电子交易客户端下载、安装完成后，可通过账号密码或CA登录客户端进行投标文件制作；</w:t>
      </w:r>
      <w:r>
        <w:rPr>
          <w:rFonts w:hint="eastAsia" w:ascii="宋体" w:hAnsi="宋体" w:eastAsia="宋体" w:cs="宋体"/>
          <w:color w:val="auto"/>
          <w:sz w:val="24"/>
          <w:szCs w:val="24"/>
          <w:highlight w:val="none"/>
          <w:lang w:val="zh-CN"/>
        </w:rPr>
        <w:t>投标文件应根据格式要求在需要盖章和（或）签字的地方进行签章和（或）签字；</w:t>
      </w:r>
      <w:r>
        <w:rPr>
          <w:rFonts w:hint="eastAsia" w:ascii="宋体" w:hAnsi="宋体" w:eastAsia="宋体" w:cs="宋体"/>
          <w:color w:val="auto"/>
          <w:sz w:val="24"/>
          <w:szCs w:val="24"/>
          <w:highlight w:val="none"/>
        </w:rPr>
        <w:t>在使用政采云投标客户端时，建议使用WIN7及以上操作系统。客户端请至新疆政府采购网下载专区查看，如有问题可拨打政采云客户服务热线400-881-7190进行咨询。</w:t>
      </w:r>
    </w:p>
    <w:p w14:paraId="1154E2FE">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rPr>
        <w:t>.3供应商应提交本须知规定的</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3C6304FF">
      <w:pPr>
        <w:shd w:val="clear" w:color="auto"/>
        <w:spacing w:line="360" w:lineRule="auto"/>
        <w:ind w:firstLine="482"/>
        <w:jc w:val="left"/>
        <w:rPr>
          <w:rFonts w:hint="eastAsia" w:ascii="宋体" w:hAnsi="宋体" w:eastAsia="宋体" w:cs="宋体"/>
          <w:color w:val="auto"/>
          <w:sz w:val="24"/>
          <w:szCs w:val="24"/>
          <w:highlight w:val="none"/>
          <w:lang w:eastAsia="zh-CN"/>
        </w:rPr>
      </w:pPr>
      <w:bookmarkStart w:id="80" w:name="_Toc243907597"/>
      <w:bookmarkStart w:id="81" w:name="_Toc243906336"/>
      <w:bookmarkStart w:id="82" w:name="_Toc233274837"/>
      <w:bookmarkStart w:id="83" w:name="_Toc245897297"/>
      <w:bookmarkStart w:id="84" w:name="_Toc12453_WPSOffice_Level1"/>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、迟交的</w:t>
      </w:r>
      <w:bookmarkEnd w:id="80"/>
      <w:bookmarkEnd w:id="81"/>
      <w:bookmarkEnd w:id="82"/>
      <w:bookmarkEnd w:id="83"/>
      <w:r>
        <w:rPr>
          <w:rFonts w:hint="eastAsia" w:ascii="宋体" w:hAnsi="宋体" w:eastAsia="宋体" w:cs="宋体"/>
          <w:color w:val="auto"/>
          <w:sz w:val="24"/>
          <w:szCs w:val="24"/>
          <w:highlight w:val="none"/>
          <w:lang w:eastAsia="zh-CN"/>
        </w:rPr>
        <w:t>投标文件</w:t>
      </w:r>
    </w:p>
    <w:p w14:paraId="7A41AE14">
      <w:pPr>
        <w:shd w:val="clear" w:color="auto"/>
        <w:spacing w:line="360" w:lineRule="auto"/>
        <w:ind w:firstLine="482"/>
        <w:jc w:val="left"/>
        <w:rPr>
          <w:rFonts w:hint="eastAsia" w:ascii="宋体" w:hAnsi="宋体" w:eastAsia="宋体" w:cs="宋体"/>
          <w:color w:val="auto"/>
          <w:sz w:val="24"/>
          <w:szCs w:val="24"/>
          <w:highlight w:val="none"/>
        </w:rPr>
      </w:pPr>
      <w:bookmarkStart w:id="85" w:name="_Toc233274838"/>
      <w:bookmarkStart w:id="86" w:name="_Toc243907598"/>
      <w:bookmarkStart w:id="87" w:name="_Toc245897298"/>
      <w:bookmarkStart w:id="88" w:name="_Toc243906337"/>
      <w:r>
        <w:rPr>
          <w:rFonts w:hint="eastAsia" w:ascii="宋体" w:hAnsi="宋体" w:eastAsia="宋体" w:cs="宋体"/>
          <w:color w:val="auto"/>
          <w:sz w:val="24"/>
          <w:szCs w:val="24"/>
          <w:highlight w:val="none"/>
        </w:rPr>
        <w:t>投标截止时间以后上传递交的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6DD0D9B5">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的递交、修改和撤回</w:t>
      </w:r>
      <w:bookmarkEnd w:id="85"/>
      <w:bookmarkEnd w:id="86"/>
      <w:bookmarkEnd w:id="87"/>
      <w:bookmarkEnd w:id="88"/>
    </w:p>
    <w:p w14:paraId="37CB732A">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.1 供应商在提交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后可在截止时间前对其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进行修改或撤回。</w:t>
      </w:r>
    </w:p>
    <w:p w14:paraId="06ABD9B4">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截止时间之后，供应商不得对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14:paraId="7ACF6DD2">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供应商不得在截止时间起至</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有效期期满前撤回</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6F8AD6C4">
      <w:pPr>
        <w:shd w:val="clear" w:color="auto"/>
        <w:spacing w:line="360" w:lineRule="auto"/>
        <w:ind w:firstLine="482"/>
        <w:jc w:val="left"/>
        <w:rPr>
          <w:rFonts w:hint="eastAsia" w:ascii="宋体" w:hAnsi="宋体" w:eastAsia="宋体" w:cs="宋体"/>
          <w:color w:val="auto"/>
          <w:sz w:val="24"/>
          <w:szCs w:val="24"/>
          <w:highlight w:val="none"/>
          <w:lang w:eastAsia="zh-CN"/>
        </w:rPr>
      </w:pPr>
      <w:bookmarkStart w:id="89" w:name="_Toc243907599"/>
      <w:bookmarkStart w:id="90" w:name="_Toc243906338"/>
      <w:bookmarkStart w:id="91" w:name="_Toc233274839"/>
      <w:bookmarkStart w:id="92" w:name="_Toc245897299"/>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、递交</w:t>
      </w:r>
      <w:bookmarkEnd w:id="89"/>
      <w:bookmarkEnd w:id="90"/>
      <w:bookmarkEnd w:id="91"/>
      <w:bookmarkEnd w:id="92"/>
      <w:r>
        <w:rPr>
          <w:rFonts w:hint="eastAsia" w:ascii="宋体" w:hAnsi="宋体" w:eastAsia="宋体" w:cs="宋体"/>
          <w:color w:val="auto"/>
          <w:sz w:val="24"/>
          <w:szCs w:val="24"/>
          <w:highlight w:val="none"/>
          <w:lang w:eastAsia="zh-CN"/>
        </w:rPr>
        <w:t>投标文件</w:t>
      </w:r>
    </w:p>
    <w:p w14:paraId="79D67431">
      <w:pPr>
        <w:shd w:val="clear" w:color="auto"/>
        <w:spacing w:line="360" w:lineRule="auto"/>
        <w:ind w:firstLine="482"/>
        <w:jc w:val="left"/>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供应商应按本供应商须知前附表中规定的时间及地点递交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bookmarkStart w:id="93" w:name="_Toc243906339"/>
      <w:bookmarkStart w:id="94" w:name="_Toc246216209"/>
      <w:bookmarkStart w:id="95" w:name="_Toc233274840"/>
      <w:bookmarkStart w:id="96" w:name="_Toc243907600"/>
      <w:r>
        <w:rPr>
          <w:rFonts w:hint="eastAsia" w:ascii="宋体" w:hAnsi="宋体" w:eastAsia="宋体" w:cs="宋体"/>
          <w:b/>
          <w:color w:val="auto"/>
          <w:sz w:val="32"/>
          <w:szCs w:val="32"/>
          <w:highlight w:val="none"/>
        </w:rPr>
        <w:br w:type="page"/>
      </w:r>
    </w:p>
    <w:p w14:paraId="5DEA9256">
      <w:pPr>
        <w:pStyle w:val="161"/>
        <w:shd w:val="clear" w:color="auto"/>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color w:val="auto"/>
          <w:sz w:val="32"/>
          <w:szCs w:val="32"/>
          <w:highlight w:val="none"/>
        </w:rPr>
        <w:t>第四章、</w:t>
      </w:r>
      <w:r>
        <w:rPr>
          <w:rFonts w:hint="eastAsia" w:hAnsi="宋体" w:cs="宋体"/>
          <w:b/>
          <w:color w:val="auto"/>
          <w:sz w:val="32"/>
          <w:szCs w:val="32"/>
          <w:highlight w:val="none"/>
          <w:lang w:val="en-US" w:eastAsia="zh-CN"/>
        </w:rPr>
        <w:t>开标</w:t>
      </w:r>
      <w:r>
        <w:rPr>
          <w:rFonts w:hint="eastAsia" w:ascii="宋体" w:hAnsi="宋体" w:eastAsia="宋体" w:cs="宋体"/>
          <w:b/>
          <w:color w:val="auto"/>
          <w:sz w:val="32"/>
          <w:szCs w:val="32"/>
          <w:highlight w:val="none"/>
        </w:rPr>
        <w:t>、评审、</w:t>
      </w:r>
      <w:bookmarkEnd w:id="93"/>
      <w:bookmarkEnd w:id="94"/>
      <w:bookmarkEnd w:id="95"/>
      <w:bookmarkEnd w:id="96"/>
      <w:r>
        <w:rPr>
          <w:rFonts w:hint="eastAsia" w:ascii="宋体" w:hAnsi="宋体" w:eastAsia="宋体" w:cs="宋体"/>
          <w:b/>
          <w:color w:val="auto"/>
          <w:sz w:val="32"/>
          <w:szCs w:val="32"/>
          <w:highlight w:val="none"/>
        </w:rPr>
        <w:t>确定</w:t>
      </w:r>
      <w:r>
        <w:rPr>
          <w:rFonts w:hint="eastAsia" w:hAnsi="宋体" w:cs="宋体"/>
          <w:b/>
          <w:color w:val="auto"/>
          <w:sz w:val="32"/>
          <w:szCs w:val="32"/>
          <w:highlight w:val="none"/>
          <w:lang w:eastAsia="zh-CN"/>
        </w:rPr>
        <w:t>中标供应商</w:t>
      </w:r>
    </w:p>
    <w:p w14:paraId="3D7A3B6E">
      <w:pPr>
        <w:shd w:val="clear" w:color="auto"/>
        <w:spacing w:line="360" w:lineRule="auto"/>
        <w:ind w:firstLine="482"/>
        <w:jc w:val="left"/>
        <w:rPr>
          <w:rFonts w:hint="eastAsia" w:ascii="宋体" w:hAnsi="宋体" w:eastAsia="宋体" w:cs="宋体"/>
          <w:color w:val="auto"/>
          <w:sz w:val="24"/>
          <w:szCs w:val="24"/>
          <w:highlight w:val="none"/>
        </w:rPr>
      </w:pPr>
      <w:bookmarkStart w:id="97" w:name="_Toc243907601"/>
      <w:bookmarkStart w:id="98" w:name="_Toc233274841"/>
      <w:bookmarkStart w:id="99" w:name="_Toc243906340"/>
      <w:bookmarkStart w:id="100" w:name="_Toc245897301"/>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bookmarkEnd w:id="97"/>
      <w:bookmarkEnd w:id="98"/>
      <w:bookmarkEnd w:id="99"/>
      <w:bookmarkEnd w:id="100"/>
      <w:r>
        <w:rPr>
          <w:rFonts w:hint="eastAsia" w:ascii="宋体" w:hAnsi="宋体" w:eastAsia="宋体" w:cs="宋体"/>
          <w:color w:val="auto"/>
          <w:sz w:val="24"/>
          <w:szCs w:val="24"/>
          <w:highlight w:val="none"/>
        </w:rPr>
        <w:t>开标会议</w:t>
      </w:r>
    </w:p>
    <w:p w14:paraId="3FCDB9AA">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.1采购人在本供应商须知前附表规定的时间和地点组织开标会议。</w:t>
      </w:r>
    </w:p>
    <w:p w14:paraId="68DB7EBA">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采用不见面方式。</w:t>
      </w:r>
    </w:p>
    <w:p w14:paraId="0C949FF2">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会议由采购代理机构组织并主持。</w:t>
      </w:r>
    </w:p>
    <w:p w14:paraId="0684E54B">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.4在</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过程中，工作人员如发现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组成部分不齐全，由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认定其有效性。</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认定的无效</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将不进入评审阶段。</w:t>
      </w:r>
    </w:p>
    <w:p w14:paraId="1DCAB5AA">
      <w:pPr>
        <w:shd w:val="clear" w:color="auto"/>
        <w:spacing w:line="360" w:lineRule="auto"/>
        <w:ind w:firstLine="482"/>
        <w:jc w:val="left"/>
        <w:rPr>
          <w:rFonts w:hint="eastAsia" w:ascii="宋体" w:hAnsi="宋体" w:eastAsia="宋体" w:cs="宋体"/>
          <w:color w:val="auto"/>
          <w:sz w:val="24"/>
          <w:szCs w:val="24"/>
          <w:highlight w:val="none"/>
          <w:lang w:eastAsia="zh-CN"/>
        </w:rPr>
      </w:pPr>
      <w:bookmarkStart w:id="101" w:name="_Toc243907602"/>
      <w:bookmarkStart w:id="102" w:name="_Toc233274842"/>
      <w:bookmarkStart w:id="103" w:name="_Toc243906341"/>
      <w:bookmarkStart w:id="104" w:name="_Toc245897302"/>
      <w:r>
        <w:rPr>
          <w:rFonts w:hint="eastAsia" w:ascii="宋体" w:hAnsi="宋体" w:eastAsia="宋体" w:cs="宋体"/>
          <w:color w:val="auto"/>
          <w:sz w:val="24"/>
          <w:szCs w:val="24"/>
          <w:highlight w:val="none"/>
        </w:rPr>
        <w:t>2、</w:t>
      </w:r>
      <w:bookmarkEnd w:id="101"/>
      <w:bookmarkEnd w:id="102"/>
      <w:bookmarkEnd w:id="103"/>
      <w:bookmarkEnd w:id="104"/>
      <w:r>
        <w:rPr>
          <w:rFonts w:hint="eastAsia" w:ascii="宋体" w:hAnsi="宋体" w:eastAsia="宋体" w:cs="宋体"/>
          <w:color w:val="auto"/>
          <w:sz w:val="24"/>
          <w:szCs w:val="24"/>
          <w:highlight w:val="none"/>
          <w:lang w:eastAsia="zh-CN"/>
        </w:rPr>
        <w:t>评审小组</w:t>
      </w:r>
    </w:p>
    <w:p w14:paraId="3BD40D44">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成员组成：按照《中华人民共和国政府采购法》及相关法律、法规规定组建，由采购人代表和评审专家组成。</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将负责对供应商提交的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、评审，确保</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、评审过程公正、合法、保密，并向采购人推荐</w:t>
      </w:r>
      <w:r>
        <w:rPr>
          <w:rFonts w:hint="eastAsia" w:ascii="宋体" w:hAnsi="宋体" w:eastAsia="宋体" w:cs="宋体"/>
          <w:color w:val="auto"/>
          <w:sz w:val="24"/>
          <w:szCs w:val="24"/>
          <w:highlight w:val="none"/>
          <w:lang w:eastAsia="zh-CN"/>
        </w:rPr>
        <w:t>中标候选供应商</w:t>
      </w:r>
      <w:r>
        <w:rPr>
          <w:rFonts w:hint="eastAsia" w:ascii="宋体" w:hAnsi="宋体" w:eastAsia="宋体" w:cs="宋体"/>
          <w:color w:val="auto"/>
          <w:sz w:val="24"/>
          <w:szCs w:val="24"/>
          <w:highlight w:val="none"/>
        </w:rPr>
        <w:t>。</w:t>
      </w:r>
    </w:p>
    <w:p w14:paraId="0751A68D">
      <w:pPr>
        <w:shd w:val="clear" w:color="auto"/>
        <w:spacing w:line="360" w:lineRule="auto"/>
        <w:ind w:firstLine="48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w:t>
      </w:r>
    </w:p>
    <w:p w14:paraId="717F071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判断</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的响应性仅基于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本身而不依靠任何外部证据，但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有不真实、不正确的内容除外。</w:t>
      </w:r>
    </w:p>
    <w:p w14:paraId="08E2E59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实质上没有响应</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将予以拒绝，供应商不得通过修正或撤消不符合要求的偏离或保留，而使其成为实质上响应。</w:t>
      </w:r>
    </w:p>
    <w:p w14:paraId="0A5F51DD">
      <w:pPr>
        <w:shd w:val="clear" w:color="auto"/>
        <w:spacing w:line="360" w:lineRule="auto"/>
        <w:ind w:firstLine="482"/>
        <w:jc w:val="left"/>
        <w:rPr>
          <w:rFonts w:hint="eastAsia" w:ascii="宋体" w:hAnsi="宋体" w:eastAsia="宋体" w:cs="宋体"/>
          <w:color w:val="auto"/>
          <w:sz w:val="24"/>
          <w:szCs w:val="24"/>
          <w:highlight w:val="none"/>
        </w:rPr>
      </w:pPr>
      <w:bookmarkStart w:id="105" w:name="_Toc233274843"/>
      <w:bookmarkStart w:id="106" w:name="_Toc243906344"/>
      <w:bookmarkStart w:id="107" w:name="_Toc245897304"/>
      <w:bookmarkStart w:id="108" w:name="_Toc243907605"/>
      <w:bookmarkStart w:id="109" w:name="_Toc224622928"/>
      <w:bookmarkStart w:id="110" w:name="_Toc224624767"/>
      <w:bookmarkStart w:id="111" w:name="_Toc224623557"/>
      <w:bookmarkStart w:id="112" w:name="_Toc224620150"/>
      <w:bookmarkStart w:id="113" w:name="_Toc224620071"/>
      <w:bookmarkStart w:id="114" w:name="_Toc245897305"/>
      <w:bookmarkStart w:id="115" w:name="_Toc243907606"/>
      <w:bookmarkStart w:id="116" w:name="_Toc224623451"/>
      <w:bookmarkStart w:id="117" w:name="_Toc224624488"/>
      <w:bookmarkStart w:id="118" w:name="_Toc224623663"/>
      <w:bookmarkStart w:id="119" w:name="_Toc243906345"/>
      <w:bookmarkStart w:id="120" w:name="_Toc224624628"/>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、评审</w:t>
      </w:r>
      <w:bookmarkEnd w:id="105"/>
      <w:bookmarkEnd w:id="106"/>
      <w:bookmarkEnd w:id="107"/>
      <w:bookmarkEnd w:id="108"/>
    </w:p>
    <w:p w14:paraId="77107CC1">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采用综合评分法对供应商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和报价进行综合评分。</w:t>
      </w:r>
    </w:p>
    <w:p w14:paraId="7D7939A8">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将对实质性响应</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进行详细评审和比较。对设备、服务、价格等进行比较，并与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、项目采购需求和采购人的实际需要进行比较和评价。</w:t>
      </w:r>
    </w:p>
    <w:p w14:paraId="46C49282">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.3商务报价错误的修正</w:t>
      </w:r>
    </w:p>
    <w:p w14:paraId="1094EA08">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如果发现商务报价存在计算或表达上错误，则按下列原则进行修正：</w:t>
      </w:r>
    </w:p>
    <w:p w14:paraId="168B9E20">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（1）用数字表示的数额与用文字表示的数额不一致时，以文字数额为准；</w:t>
      </w:r>
    </w:p>
    <w:p w14:paraId="46B14B1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（2）单价与工程量的乘积与总价之间不一致时，以单价为准。若单价有明显小数点错位，应以总价为准，并修改单价。</w:t>
      </w:r>
    </w:p>
    <w:p w14:paraId="3A75E1A0">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将按</w:t>
      </w:r>
      <w:r>
        <w:rPr>
          <w:rFonts w:hint="eastAsia" w:ascii="宋体" w:hAnsi="宋体" w:cs="宋体"/>
          <w:color w:val="auto"/>
          <w:sz w:val="24"/>
          <w:szCs w:val="24"/>
          <w:highlight w:val="none"/>
          <w:lang w:val="en-US" w:eastAsia="zh-CN"/>
        </w:rPr>
        <w:t>本章</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.3条原则修正商务报价，并要求供应商进行确认。确认后的报价和文件将对供应商具有约束力。并以修正后的报价作为评审的依据。</w:t>
      </w:r>
    </w:p>
    <w:bookmarkEnd w:id="109"/>
    <w:bookmarkEnd w:id="110"/>
    <w:bookmarkEnd w:id="111"/>
    <w:bookmarkEnd w:id="112"/>
    <w:bookmarkEnd w:id="113"/>
    <w:bookmarkEnd w:id="114"/>
    <w:bookmarkEnd w:id="115"/>
    <w:bookmarkEnd w:id="116"/>
    <w:bookmarkEnd w:id="117"/>
    <w:bookmarkEnd w:id="118"/>
    <w:bookmarkEnd w:id="119"/>
    <w:bookmarkEnd w:id="120"/>
    <w:p w14:paraId="2842B709">
      <w:pPr>
        <w:shd w:val="clear" w:color="auto"/>
        <w:spacing w:line="360" w:lineRule="auto"/>
        <w:ind w:firstLine="482"/>
        <w:jc w:val="left"/>
        <w:rPr>
          <w:rFonts w:hint="eastAsia" w:ascii="宋体" w:hAnsi="宋体" w:eastAsia="宋体" w:cs="宋体"/>
          <w:color w:val="auto"/>
          <w:sz w:val="24"/>
          <w:szCs w:val="24"/>
          <w:highlight w:val="none"/>
        </w:rPr>
      </w:pPr>
      <w:bookmarkStart w:id="121" w:name="_Toc243906346"/>
      <w:bookmarkStart w:id="122" w:name="_Toc245897306"/>
      <w:bookmarkStart w:id="123" w:name="_Toc243907607"/>
      <w:bookmarkStart w:id="124" w:name="_Toc233274845"/>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的澄清</w:t>
      </w:r>
    </w:p>
    <w:p w14:paraId="20918144">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.1为有助于对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的审查、评价和比较，</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在评审过程中有权随时请供应商对其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进行澄清，供应商对澄清问题的答复应加盖投标单位公章和法定代表或委托代理人签字或盖章，但不得寻求、提供或允许对最后报价或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中的其他实质性内容做任何更改。</w:t>
      </w:r>
    </w:p>
    <w:p w14:paraId="0FA8EDF3">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.2供应商法定代表或委托代理人在评审过程中应保证随时接受</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质询。若供应商法定代表或委托代理人因故不能接受质询，其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仍有效，但应视为供应商已默认</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对缺席的质询所作出的结论。</w:t>
      </w:r>
    </w:p>
    <w:p w14:paraId="30926E09">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允许供应商通过澄清答复修正其最后报价中不构成重大偏离的、微小的、非正规的、不一致的或不规范的地方，但这些修正不能影响任何供应商的相关名次排列。</w:t>
      </w:r>
    </w:p>
    <w:p w14:paraId="089EEF6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.4如果供应商在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中未对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、技术规格及标准、项目采购需求、合同主要内容等提出偏离意见或澄清，将视同供应商同意上述文件的全部条款和要求。</w:t>
      </w:r>
    </w:p>
    <w:p w14:paraId="2D4B3113">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、重大偏离</w:t>
      </w:r>
      <w:bookmarkEnd w:id="121"/>
      <w:bookmarkEnd w:id="122"/>
      <w:bookmarkEnd w:id="123"/>
      <w:bookmarkEnd w:id="124"/>
    </w:p>
    <w:p w14:paraId="6E2A3CA8">
      <w:pPr>
        <w:shd w:val="clear" w:color="auto"/>
        <w:spacing w:line="360" w:lineRule="auto"/>
        <w:ind w:firstLine="482"/>
        <w:jc w:val="left"/>
        <w:rPr>
          <w:rFonts w:hint="eastAsia" w:ascii="宋体" w:hAnsi="宋体" w:eastAsia="宋体" w:cs="宋体"/>
          <w:color w:val="auto"/>
          <w:sz w:val="24"/>
          <w:szCs w:val="24"/>
          <w:highlight w:val="none"/>
        </w:rPr>
      </w:pPr>
      <w:bookmarkStart w:id="125" w:name="_Toc245897307"/>
      <w:bookmarkStart w:id="126" w:name="_Toc243907608"/>
      <w:bookmarkStart w:id="127" w:name="_Toc243906347"/>
      <w:bookmarkStart w:id="128" w:name="_Toc233274846"/>
      <w:r>
        <w:rPr>
          <w:rFonts w:hint="eastAsia" w:ascii="宋体" w:hAnsi="宋体" w:eastAsia="宋体" w:cs="宋体"/>
          <w:color w:val="auto"/>
          <w:sz w:val="24"/>
          <w:szCs w:val="24"/>
          <w:highlight w:val="none"/>
        </w:rPr>
        <w:t>重大偏离是指实质上影响合同的供货范围、质量和性能、供货及</w:t>
      </w:r>
      <w:r>
        <w:rPr>
          <w:rFonts w:hint="eastAsia" w:ascii="宋体" w:hAnsi="宋体" w:cs="宋体"/>
          <w:color w:val="auto"/>
          <w:sz w:val="24"/>
          <w:szCs w:val="24"/>
          <w:highlight w:val="none"/>
          <w:lang w:eastAsia="zh-CN"/>
        </w:rPr>
        <w:t>质保期</w:t>
      </w:r>
      <w:r>
        <w:rPr>
          <w:rFonts w:hint="eastAsia" w:ascii="宋体" w:hAnsi="宋体" w:eastAsia="宋体" w:cs="宋体"/>
          <w:color w:val="auto"/>
          <w:sz w:val="24"/>
          <w:szCs w:val="24"/>
          <w:highlight w:val="none"/>
        </w:rPr>
        <w:t>等，或者实质上不满足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的要求，而且限制了采购人的权力或减轻了供应商的义务。纠正或承认这些偏离将会对其他实质上响应要求的供应商合理的竞争地位产生不公正的影响。</w:t>
      </w:r>
    </w:p>
    <w:p w14:paraId="22145850">
      <w:pPr>
        <w:shd w:val="clear" w:color="auto"/>
        <w:spacing w:line="360" w:lineRule="auto"/>
        <w:ind w:firstLine="48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bookmarkEnd w:id="125"/>
      <w:bookmarkEnd w:id="126"/>
      <w:bookmarkEnd w:id="127"/>
      <w:bookmarkEnd w:id="128"/>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投标文件</w:t>
      </w:r>
    </w:p>
    <w:p w14:paraId="54442DEC">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有下列情形之一的，由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评审后按无效</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处理：</w:t>
      </w:r>
    </w:p>
    <w:p w14:paraId="628BF9E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.1供应商的商务报价高于采购项目预算；</w:t>
      </w:r>
    </w:p>
    <w:p w14:paraId="606BB9D6">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附有采购人不能接受条件的；</w:t>
      </w:r>
    </w:p>
    <w:p w14:paraId="135B0DE0">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.3出现重大偏离的；</w:t>
      </w:r>
    </w:p>
    <w:p w14:paraId="27B4B1F0">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.4对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提出的实质性要求和条件未能实质性响应；</w:t>
      </w:r>
    </w:p>
    <w:p w14:paraId="03473F6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.5《中华人民共和国政府采购法》、《中华人民共和国政府采购实施条例》及相关法律法规及</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明确规定可以作无效响应的其他情形。</w:t>
      </w:r>
    </w:p>
    <w:p w14:paraId="7A31A868">
      <w:pPr>
        <w:shd w:val="clear" w:color="auto"/>
        <w:spacing w:line="360" w:lineRule="auto"/>
        <w:ind w:firstLine="482"/>
        <w:jc w:val="left"/>
        <w:rPr>
          <w:rFonts w:hint="eastAsia" w:ascii="宋体" w:hAnsi="宋体" w:eastAsia="宋体" w:cs="宋体"/>
          <w:color w:val="auto"/>
          <w:sz w:val="24"/>
          <w:szCs w:val="24"/>
          <w:highlight w:val="none"/>
        </w:rPr>
      </w:pPr>
      <w:bookmarkStart w:id="129" w:name="_Toc233274847"/>
      <w:bookmarkStart w:id="130" w:name="_Toc245897308"/>
      <w:bookmarkStart w:id="131" w:name="_Toc243907609"/>
      <w:bookmarkStart w:id="132" w:name="_Toc243906348"/>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、评审</w:t>
      </w:r>
      <w:bookmarkEnd w:id="129"/>
      <w:bookmarkEnd w:id="130"/>
      <w:bookmarkEnd w:id="131"/>
      <w:bookmarkEnd w:id="132"/>
      <w:r>
        <w:rPr>
          <w:rFonts w:hint="eastAsia" w:ascii="宋体" w:hAnsi="宋体" w:eastAsia="宋体" w:cs="宋体"/>
          <w:color w:val="auto"/>
          <w:sz w:val="24"/>
          <w:szCs w:val="24"/>
          <w:highlight w:val="none"/>
        </w:rPr>
        <w:t>标准</w:t>
      </w:r>
    </w:p>
    <w:p w14:paraId="4744805D">
      <w:pPr>
        <w:shd w:val="clear" w:color="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.1本项目评审采用综合评分法，严格按照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的要求和条件进行。</w:t>
      </w:r>
    </w:p>
    <w:p w14:paraId="30FD13F7">
      <w:pPr>
        <w:pStyle w:val="161"/>
        <w:shd w:val="clear" w:color="auto"/>
        <w:spacing w:line="360" w:lineRule="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初审。初审分为资格性审查和符合性审查。</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初审由</w:t>
      </w:r>
      <w:r>
        <w:rPr>
          <w:rFonts w:hint="eastAsia"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根据各供应商</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进行评审，未通过初审的供应商其</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将按照无效</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w:t>
      </w:r>
    </w:p>
    <w:p w14:paraId="41F548C4">
      <w:pPr>
        <w:pStyle w:val="161"/>
        <w:shd w:val="clear" w:color="auto"/>
        <w:spacing w:line="360" w:lineRule="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.2.1资格性审查。依据法律法规和</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的规定，对</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中的资格证明等进行审查，以确定供应商是否具备</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w:t>
      </w:r>
    </w:p>
    <w:p w14:paraId="26D80C50">
      <w:pPr>
        <w:pStyle w:val="161"/>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根据评审办法规定的评审因素和评审标准，对供应商的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进行资格评审。资格性检查不合格的供应商的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作无效文件处理。</w:t>
      </w:r>
    </w:p>
    <w:p w14:paraId="226047B2">
      <w:pPr>
        <w:pStyle w:val="161"/>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eastAsia="zh-CN"/>
        </w:rPr>
        <w:t>评审小组</w:t>
      </w:r>
      <w:r>
        <w:rPr>
          <w:rFonts w:hint="eastAsia" w:ascii="宋体" w:hAnsi="宋体" w:eastAsia="宋体" w:cs="宋体"/>
          <w:color w:val="auto"/>
          <w:sz w:val="24"/>
          <w:szCs w:val="24"/>
          <w:highlight w:val="none"/>
        </w:rPr>
        <w:t>在进行资格检查时，不得改变</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rPr>
        <w:t>中已载明的资格条件、标准和办法。</w:t>
      </w:r>
    </w:p>
    <w:p w14:paraId="06F062B8">
      <w:pPr>
        <w:pStyle w:val="161"/>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eastAsia="zh-CN"/>
        </w:rPr>
        <w:t>评审小组</w:t>
      </w:r>
      <w:r>
        <w:rPr>
          <w:rFonts w:hint="eastAsia" w:ascii="宋体" w:hAnsi="宋体" w:eastAsia="宋体" w:cs="宋体"/>
          <w:color w:val="auto"/>
          <w:sz w:val="24"/>
          <w:szCs w:val="24"/>
          <w:highlight w:val="none"/>
        </w:rPr>
        <w:t>应逐项对照资格性检查要求所提交的相应证明文件。</w:t>
      </w:r>
    </w:p>
    <w:p w14:paraId="4FA0FD96">
      <w:pPr>
        <w:pStyle w:val="161"/>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eastAsia="zh-CN"/>
        </w:rPr>
        <w:t>评审小组</w:t>
      </w:r>
      <w:r>
        <w:rPr>
          <w:rFonts w:hint="eastAsia" w:ascii="宋体" w:hAnsi="宋体" w:eastAsia="宋体" w:cs="宋体"/>
          <w:color w:val="auto"/>
          <w:sz w:val="24"/>
          <w:szCs w:val="24"/>
          <w:highlight w:val="none"/>
        </w:rPr>
        <w:t>在评审中必要时可按供应商提供的联系方式就有关问题进行查询核实，或要求供应商做出澄清，查询及澄清结果将作为审查的依据。</w:t>
      </w:r>
    </w:p>
    <w:p w14:paraId="16D0FBD8">
      <w:pPr>
        <w:pStyle w:val="161"/>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（5）通过全部资格性检查条件合格的供应商才能通过资格检查，其</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方可进入下一个检查阶段。</w:t>
      </w:r>
    </w:p>
    <w:p w14:paraId="71647EF6">
      <w:pPr>
        <w:pStyle w:val="161"/>
        <w:shd w:val="clear" w:color="auto"/>
        <w:spacing w:line="360" w:lineRule="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.2.2符合性审查。依据</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的规定，从</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的有效性、完整性和对</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的响应程度进行审查，以确定是否对</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的实质性要求作出响应。</w:t>
      </w:r>
    </w:p>
    <w:p w14:paraId="6B96F5EF">
      <w:pPr>
        <w:pStyle w:val="161"/>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根据评审办法规定的评审因素和评审标准，对供应商的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进行符合性检查。符合性检查不合格的供应商的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作无效文件处理。</w:t>
      </w:r>
    </w:p>
    <w:p w14:paraId="74A6C6BC">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.3澄清有关问题。对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中含义不明确、同类问题表述不一致或者有明显文字和计算错误的内容，</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可要求供应商作出必要的澄清、说明或者纠正，并由其法定代表或委托代理人签字或盖章，并不得超出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的范围或者改变</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w:t>
      </w:r>
    </w:p>
    <w:p w14:paraId="0FF2B642">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.4比较与评价。</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中规定的评审标准和标准，对资格性检查和符合性检查合格的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进行商务和技术评估，综合比较与评价。</w:t>
      </w:r>
    </w:p>
    <w:p w14:paraId="14BA3112">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.5评审分值：总分值为100分，其中价格分值为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分，其余部分（技术及商务）分值为</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分。具体评审评分内容详本</w:t>
      </w:r>
      <w:r>
        <w:rPr>
          <w:rFonts w:hint="eastAsia" w:hAnsi="宋体" w:cs="宋体"/>
          <w:color w:val="auto"/>
          <w:sz w:val="24"/>
          <w:szCs w:val="24"/>
          <w:highlight w:val="none"/>
          <w:lang w:eastAsia="zh-CN"/>
        </w:rPr>
        <w:t>招标文件</w:t>
      </w:r>
      <w:r>
        <w:rPr>
          <w:rFonts w:hint="eastAsia" w:ascii="宋体" w:hAnsi="宋体" w:eastAsia="宋体" w:cs="宋体"/>
          <w:color w:val="auto"/>
          <w:sz w:val="24"/>
          <w:szCs w:val="24"/>
          <w:highlight w:val="none"/>
        </w:rPr>
        <w:t>”第五章、评定成交方式和标准（综合评分法）”</w:t>
      </w:r>
    </w:p>
    <w:p w14:paraId="0BC66FDA">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候选供应商</w:t>
      </w:r>
    </w:p>
    <w:p w14:paraId="55DEB27A">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.1各供应商的评审得分由高至低排序，评审得分排列前3名的供应商被推荐为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候选供应商。评审得分相同的，按照最后报价由低到高的顺序推荐。评审得分且最后报价相同的，由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按照技术指标优劣顺序推荐第一名中标候选人。</w:t>
      </w:r>
    </w:p>
    <w:p w14:paraId="22F8D7E5">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.2评分计算结果保留两位小数，第三位小数四舍五入。</w:t>
      </w:r>
    </w:p>
    <w:p w14:paraId="35D6BD2A">
      <w:pPr>
        <w:shd w:val="clear" w:color="auto"/>
        <w:spacing w:line="360" w:lineRule="auto"/>
        <w:ind w:firstLine="482"/>
        <w:jc w:val="left"/>
        <w:rPr>
          <w:rFonts w:hint="eastAsia" w:ascii="宋体" w:hAnsi="宋体" w:eastAsia="宋体" w:cs="宋体"/>
          <w:color w:val="auto"/>
          <w:sz w:val="24"/>
          <w:szCs w:val="24"/>
          <w:highlight w:val="none"/>
        </w:rPr>
      </w:pPr>
      <w:bookmarkStart w:id="133" w:name="_Toc233274848"/>
      <w:bookmarkStart w:id="134" w:name="_Toc245897309"/>
      <w:bookmarkStart w:id="135" w:name="_Toc243907610"/>
      <w:bookmarkStart w:id="136" w:name="_Toc243906349"/>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复核。</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评分汇总结束后，</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应当进行评审复核，对拟推荐为</w:t>
      </w:r>
      <w:r>
        <w:rPr>
          <w:rFonts w:hint="eastAsia" w:ascii="宋体" w:hAnsi="宋体" w:eastAsia="宋体" w:cs="宋体"/>
          <w:color w:val="auto"/>
          <w:sz w:val="24"/>
          <w:szCs w:val="24"/>
          <w:highlight w:val="none"/>
          <w:lang w:eastAsia="zh-CN"/>
        </w:rPr>
        <w:t>中标候选供应商</w:t>
      </w:r>
      <w:r>
        <w:rPr>
          <w:rFonts w:hint="eastAsia" w:ascii="宋体" w:hAnsi="宋体" w:eastAsia="宋体" w:cs="宋体"/>
          <w:color w:val="auto"/>
          <w:sz w:val="24"/>
          <w:szCs w:val="24"/>
          <w:highlight w:val="none"/>
        </w:rPr>
        <w:t>的、报价最低的、供应商资格审查未通过的、供应商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作无效处理的重点复核。</w:t>
      </w:r>
    </w:p>
    <w:p w14:paraId="3F63B827">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采购人根据</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推荐的</w:t>
      </w:r>
      <w:r>
        <w:rPr>
          <w:rFonts w:hint="eastAsia" w:ascii="宋体" w:hAnsi="宋体" w:eastAsia="宋体" w:cs="宋体"/>
          <w:color w:val="auto"/>
          <w:sz w:val="24"/>
          <w:szCs w:val="24"/>
          <w:highlight w:val="none"/>
          <w:lang w:eastAsia="zh-CN"/>
        </w:rPr>
        <w:t>中标候选供应商</w:t>
      </w:r>
      <w:r>
        <w:rPr>
          <w:rFonts w:hint="eastAsia" w:ascii="宋体" w:hAnsi="宋体" w:eastAsia="宋体" w:cs="宋体"/>
          <w:color w:val="auto"/>
          <w:sz w:val="24"/>
          <w:szCs w:val="24"/>
          <w:highlight w:val="none"/>
        </w:rPr>
        <w:t>及有关规定确定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5A415A46">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、采购人依法接受和拒绝任一或所有供应商的权力</w:t>
      </w:r>
    </w:p>
    <w:p w14:paraId="4301C4A1">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采购人保留确定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之前的任何时候依法接受或拒绝任一或所有供应商的权力，对受影响的供应商不承担任何责任，也无义务向受影响的供应商解释采取这一行动的理由。</w:t>
      </w:r>
    </w:p>
    <w:p w14:paraId="01928AE8">
      <w:pPr>
        <w:shd w:val="clear" w:color="auto"/>
        <w:spacing w:line="360" w:lineRule="auto"/>
        <w:ind w:firstLine="48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w:t>
      </w:r>
      <w:bookmarkEnd w:id="133"/>
      <w:bookmarkEnd w:id="134"/>
      <w:bookmarkEnd w:id="135"/>
      <w:bookmarkEnd w:id="136"/>
      <w:r>
        <w:rPr>
          <w:rFonts w:hint="eastAsia" w:ascii="宋体" w:hAnsi="宋体" w:eastAsia="宋体" w:cs="宋体"/>
          <w:color w:val="auto"/>
          <w:sz w:val="24"/>
          <w:szCs w:val="24"/>
          <w:highlight w:val="none"/>
          <w:lang w:eastAsia="zh-CN"/>
        </w:rPr>
        <w:t>中标通知书</w:t>
      </w:r>
    </w:p>
    <w:p w14:paraId="7E6E848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.1在评审结束后2个工作日内将评审报告送采购人，采购人在收到评审报告后5个工作日内确定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622A52C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.2采购人确定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后，及时通知采购代理机构，采购代理机构将按程序在</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确定后2个工作内公告成交结果，公告内容合法，同时向</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一经发出即发生法律效力。</w:t>
      </w:r>
    </w:p>
    <w:p w14:paraId="39344029">
      <w:pPr>
        <w:shd w:val="clear" w:color="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》将是合同的组成部分。</w:t>
      </w:r>
    </w:p>
    <w:p w14:paraId="0457E4E7">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.4采购人将通知其他未成交的供应商。</w:t>
      </w:r>
    </w:p>
    <w:p w14:paraId="68144659">
      <w:pPr>
        <w:shd w:val="clear" w:color="auto"/>
        <w:spacing w:line="360" w:lineRule="auto"/>
        <w:ind w:firstLine="482"/>
        <w:jc w:val="left"/>
        <w:rPr>
          <w:rFonts w:hint="eastAsia" w:ascii="宋体" w:hAnsi="宋体" w:eastAsia="宋体" w:cs="宋体"/>
          <w:color w:val="auto"/>
          <w:sz w:val="24"/>
          <w:szCs w:val="24"/>
          <w:highlight w:val="none"/>
        </w:rPr>
      </w:pPr>
      <w:bookmarkStart w:id="137" w:name="_Toc243907611"/>
      <w:bookmarkStart w:id="138" w:name="_Toc233274849"/>
      <w:bookmarkStart w:id="139" w:name="_Toc243906350"/>
      <w:bookmarkStart w:id="140" w:name="_Toc245897310"/>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、纪律与保密事项</w:t>
      </w:r>
      <w:bookmarkEnd w:id="137"/>
      <w:bookmarkEnd w:id="138"/>
      <w:bookmarkEnd w:id="139"/>
      <w:bookmarkEnd w:id="140"/>
    </w:p>
    <w:p w14:paraId="0DD03AF1">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.1凡参与</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工作的有关人员均应自觉接受有关主管部门的监督，不得向他人透露可能影响公平竞争的有关</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的其他情况。</w:t>
      </w:r>
    </w:p>
    <w:p w14:paraId="4C85354E">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.2领取本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及其它相关资料者，应对文件进行保密，不得用作本次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以外的任何用途。由采购人向供应商提供的图纸、技术资料和所有其它资料，均视为保密资料，除非得到采购人的同意，不得向第三方透露。</w:t>
      </w:r>
    </w:p>
    <w:p w14:paraId="28DB7774">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.3供应商不得与采购人串通</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，不得向采购人或者</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成员行贿谋取成交，不得以他人名义参与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或者以其它任何方式弄虚作假骗取参与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。供应商不得以任何方式干扰、影响评审工作。</w:t>
      </w:r>
    </w:p>
    <w:p w14:paraId="5B4D730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.4供应商不得在</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过程中互相串通、结盟、损害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的公正性和竞争性，或以任何方式影响其他供应商参与正当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。扰乱市场，破坏公平竞争原则。如供应商在</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过程中互相串通，一经查实，将取消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w:t>
      </w:r>
    </w:p>
    <w:p w14:paraId="2CD49A5F">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之日起直至授予</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合同为止，凡属于对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的审查、澄清、评价、比较有关的资料和成交候选人的推荐情况及与评审有关的其他任何情况均严格保密。</w:t>
      </w:r>
    </w:p>
    <w:p w14:paraId="1204F75E">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.6从</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之日起至授予合同期间，供应商试图向</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、采购代理机构施加任何影响或对采购人的比较及授予合同的决定进行影响，都可能导致其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被拒绝。</w:t>
      </w:r>
    </w:p>
    <w:p w14:paraId="76827FE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.7除供应商被要求对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进行澄清外，从</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之时起至授予合同期间，供应商不得就与其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有关的事项主动与</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、采购代理机构以及采购人联系。</w:t>
      </w:r>
    </w:p>
    <w:p w14:paraId="76B20A1D">
      <w:pPr>
        <w:shd w:val="clear" w:color="auto"/>
        <w:spacing w:line="360" w:lineRule="auto"/>
        <w:ind w:firstLine="48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确定后，采购人不对未</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就评审过程以及未能成交原因作出任何解释，未</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不得向</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或其他有关人员询问评审过程的情况和索取评审过程的资料。</w:t>
      </w:r>
    </w:p>
    <w:p w14:paraId="7B504C4A">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rPr>
        <w:t>、授予合同</w:t>
      </w:r>
    </w:p>
    <w:p w14:paraId="04E13808">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本采购项目的采购合同将授予按本须知确定</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684D2DE1">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141" w:name="_Toc233274855"/>
      <w:bookmarkStart w:id="142" w:name="_Toc243906357"/>
      <w:bookmarkStart w:id="143" w:name="_Toc245897317"/>
      <w:bookmarkStart w:id="144" w:name="_Toc243907620"/>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、签订合同</w:t>
      </w:r>
      <w:bookmarkEnd w:id="141"/>
      <w:bookmarkEnd w:id="142"/>
      <w:bookmarkEnd w:id="143"/>
      <w:bookmarkEnd w:id="144"/>
    </w:p>
    <w:p w14:paraId="3922302F">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.1</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应当自</w:t>
      </w:r>
      <w:r>
        <w:rPr>
          <w:rFonts w:hint="eastAsia"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发出之日起三十日内，按照</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订立书面合同。</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不得要求订立背离本</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合同文本等</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实质性内容的其他协议。</w:t>
      </w:r>
    </w:p>
    <w:p w14:paraId="0B0B28D0">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.2</w:t>
      </w:r>
      <w:r>
        <w:rPr>
          <w:rFonts w:hint="eastAsia"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w:t>
      </w:r>
      <w:r>
        <w:rPr>
          <w:rFonts w:hint="eastAsia"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及其澄清文件、技术规范及标准、项目采购需求、本</w:t>
      </w:r>
      <w:r>
        <w:rPr>
          <w:rFonts w:hint="eastAsia"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（含修改文件或补充文件）及答疑纪要等，均为签订合同的依据。</w:t>
      </w:r>
    </w:p>
    <w:p w14:paraId="3DFEF503">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.3采购人如不按本须知规定与</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签订合同，或者采购人、</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签订背离合同实质性内容的协议，由监督管理部门责令其改正。</w:t>
      </w:r>
    </w:p>
    <w:p w14:paraId="335ADCB4">
      <w:pPr>
        <w:pStyle w:val="19"/>
        <w:shd w:val="clear" w:color="auto"/>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.4</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如不按本须知规定与采购人签订合同，则按违约处理，采购人将有权取消</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资格，给采购人造成损失的，还应当予以赔偿，同时依法承担相应的法律责任。</w:t>
      </w:r>
    </w:p>
    <w:p w14:paraId="0B640A4C">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拒绝与采购人签订合同的，采购人可以按照评审报告推荐的成交候选人名单排序，确定下一名候选人为</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，并组织重新选定的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和采购人签订合同，也可以重新开展政府采购活动。</w:t>
      </w:r>
    </w:p>
    <w:p w14:paraId="69D3645D">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.6未</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的保证金在</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发出后5个工作日内退还，</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的保证金在采购合同签订后5个工作日内退还.</w:t>
      </w:r>
    </w:p>
    <w:p w14:paraId="4B46C4EC">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bookmarkStart w:id="145" w:name="_Toc243907621"/>
      <w:bookmarkStart w:id="146" w:name="_Toc245897318"/>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rPr>
        <w:t>、合同的签订准则</w:t>
      </w:r>
      <w:bookmarkEnd w:id="145"/>
      <w:bookmarkEnd w:id="146"/>
    </w:p>
    <w:p w14:paraId="15ABC263">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rPr>
        <w:t>.1合同签订必须由采购人、</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双方法定代表或其委托代理人签署并加盖法人公章后方能生效。</w:t>
      </w:r>
    </w:p>
    <w:p w14:paraId="433B6595">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rPr>
        <w:t>.2合同转包（实质性要求）</w:t>
      </w:r>
    </w:p>
    <w:p w14:paraId="70C9DA75">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将任何政府采购合同义务转包。本项目所称转包，是指</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将政府采购合同义务转让给第三人，并退出现有政府采购合同当事人双方的权利义务关系，受让人（即第三人）成为政府采购合同的另一方当事人的行为。</w:t>
      </w:r>
    </w:p>
    <w:p w14:paraId="2A59C415">
      <w:pPr>
        <w:pStyle w:val="19"/>
        <w:shd w:val="clear" w:color="auto"/>
        <w:spacing w:line="360" w:lineRule="auto"/>
        <w:outlineLvl w:val="1"/>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转包的，视同拒绝履行政府采购合同义务，将依法追究法律责任。</w:t>
      </w:r>
    </w:p>
    <w:p w14:paraId="23A8F86F">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rPr>
        <w:t>.3补充合同</w:t>
      </w:r>
    </w:p>
    <w:p w14:paraId="09A799EB">
      <w:pPr>
        <w:pStyle w:val="19"/>
        <w:shd w:val="clear" w:color="auto"/>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采购合同履行过程中，采购人需要追加与合同标的相同的设备或者服务的，在不改变合同其他条款的前提下，可以与</w:t>
      </w:r>
      <w:r>
        <w:rPr>
          <w:rFonts w:hint="eastAsia"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 xml:space="preserve">协商签订补充合同，但所有补充合同的采购金额不得超过原合同采购金额的百分之十，该补充合同应当在原政府采购合同履行过程中，不得在原政府采购合同履行结束后，且采购工设备和服务的名称、价格、履约方式、验收标准等必须与原政府采购合同一致。 </w:t>
      </w:r>
    </w:p>
    <w:p w14:paraId="598CFBD1">
      <w:pPr>
        <w:shd w:val="clear" w:color="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询问、质疑、投诉</w:t>
      </w:r>
    </w:p>
    <w:p w14:paraId="2AB87AF9">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、询问</w:t>
      </w:r>
    </w:p>
    <w:p w14:paraId="42671E5B">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供应商对采购活动事项有疑问的，可以向采购人或采购代理机构提出询问，采购人或采购代理机构应当在三个工作日内对供应商依法提出的询问作出答复，但答复的内容不得涉及商业秘密。</w:t>
      </w:r>
    </w:p>
    <w:p w14:paraId="29FCBFCF">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、质疑</w:t>
      </w:r>
    </w:p>
    <w:p w14:paraId="5D45D69D">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.1 供应商认为采购文件、采购过程和中标、成交结果使自己的合法权益受到损害的，可以在知道或者应知其权益受到损害之日起七个工作日内，将质疑文件原件和必要的证明材料送达采购代理机构。</w:t>
      </w:r>
    </w:p>
    <w:p w14:paraId="32FC7887">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5DD4D148">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 xml:space="preserve">.3上述应知其权益受到损害之日是指： </w:t>
      </w:r>
    </w:p>
    <w:p w14:paraId="73914E89">
      <w:pPr>
        <w:shd w:val="clear" w:color="auto"/>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（1）对采购文件提出质疑的，为采购文件公告期限届满之日起计算； </w:t>
      </w:r>
    </w:p>
    <w:p w14:paraId="1556EEB3">
      <w:pPr>
        <w:shd w:val="clear" w:color="auto"/>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（2）对采购过程提出质疑的，自采购程序环节结束之日起计算；</w:t>
      </w:r>
    </w:p>
    <w:p w14:paraId="2A031F5A">
      <w:pPr>
        <w:shd w:val="clear" w:color="auto"/>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（3）对中标或者成交结果提出质疑的，自中标或者成交结果公告期限届满之日起计算。</w:t>
      </w:r>
    </w:p>
    <w:p w14:paraId="67AAF042">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.4质疑供应商在法定质疑期内应当一次性提出针对同一采购环节提出质疑。</w:t>
      </w:r>
    </w:p>
    <w:p w14:paraId="2554E4BE">
      <w:pPr>
        <w:shd w:val="clear" w:color="auto"/>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w:t>
      </w:r>
    </w:p>
    <w:p w14:paraId="79FAFDAF">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（1）供应商的姓名或者名称、地址、邮编、联系人及联系电话（包括座机、手机、传真号码等）； </w:t>
      </w:r>
    </w:p>
    <w:p w14:paraId="09E3D828">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（2）质疑项目的名称、项目编号、包号、采购公告发布时间、递交投标文件或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 xml:space="preserve">截止时间； </w:t>
      </w:r>
    </w:p>
    <w:p w14:paraId="5B5CDE68">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（3）具体、明确的质疑事项和与质疑事项相关的请求； </w:t>
      </w:r>
    </w:p>
    <w:p w14:paraId="5D1FCF95">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（4）事实依据（具体条款，认为自己合法权益受到损害或可能受到损害的相关证据材料。如涉及到产品功能或技术指标的，应出具相关制造商的证明文件）； </w:t>
      </w:r>
    </w:p>
    <w:p w14:paraId="6FCE3020">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（5）必要的法律依据； </w:t>
      </w:r>
    </w:p>
    <w:p w14:paraId="6512D917">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（6）提起质疑的日期；</w:t>
      </w:r>
    </w:p>
    <w:p w14:paraId="60B21B66">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（7）质疑文件应当署名，质疑人为自然人的，应当由本人签字并附有效身份证明；质疑人为法人或其他组织的，应当由法定代表人签字并加盖单位公章；</w:t>
      </w:r>
    </w:p>
    <w:p w14:paraId="1BA485E7">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（8）供应商委托代理质疑的，应当提交授权委托书，并载明代理人的姓名或者名称、代理事项、具体权限、期限和相关事项。</w:t>
      </w:r>
    </w:p>
    <w:p w14:paraId="20CFB6C6">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.6质疑供应商是指直接参加本项目采购活动的供应商，未参加政府采购活动的供应商或在采购活动中自身权益未受到损害的供应商所提出的质疑不予受理。</w:t>
      </w:r>
    </w:p>
    <w:p w14:paraId="3A93B809">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.7采购人、采购代理机构在收到供应商的书面质疑后将及时组织调查核实，在七个工作日内作出答复，并以书面形式通知质疑供应商和其他有关供应商，答复的内容不涉及商业秘密。</w:t>
      </w:r>
    </w:p>
    <w:p w14:paraId="4B89CE65">
      <w:pPr>
        <w:shd w:val="clear" w:color="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、投诉</w:t>
      </w:r>
    </w:p>
    <w:p w14:paraId="0D8161F0">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.1 质疑供应商对采购人、采购代理机构的答复不满意，或采购人、采购代理机构未在规定的时间内作出答复的，可以在答复期满后十五个工作日内向采购项目同级财政部门提起投诉。</w:t>
      </w:r>
    </w:p>
    <w:p w14:paraId="0A8A51D8">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.2供应商投诉的事项不得超出已质疑事项的范围，但基于质疑答复内容提出的投诉事项除外。</w:t>
      </w:r>
    </w:p>
    <w:p w14:paraId="175AE849">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、诚实信用</w:t>
      </w:r>
    </w:p>
    <w:p w14:paraId="3B3AFBDC">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供应商不得虚假承诺，否则，按照提供虚假材料谋取中标或成交处理。</w:t>
      </w:r>
    </w:p>
    <w:p w14:paraId="0D5E7DAB">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义务、工作纪律</w:t>
      </w:r>
    </w:p>
    <w:p w14:paraId="4F46F22A">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在政府采购活动中承担以下义务：</w:t>
      </w:r>
    </w:p>
    <w:p w14:paraId="6BBC73E1">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）遵守评审工作纪律；</w:t>
      </w:r>
    </w:p>
    <w:p w14:paraId="2B9209AC">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）按照客观、公正、审慎的原则，根据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规定的评审程序、评审方法和评审标准进行独立评审；</w:t>
      </w:r>
    </w:p>
    <w:p w14:paraId="73989319">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）不得泄露评审文件、评审情况和在评审过程中获悉的商业秘密；</w:t>
      </w:r>
    </w:p>
    <w:p w14:paraId="2A32BC58">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）及时向财政部门报告评审过程中发现的采购人、采购代理机构向评审专家做倾向性、误导性的解释或者说明，以及供应商行贿、提供虚假材料或者串通等违法行为；</w:t>
      </w:r>
    </w:p>
    <w:p w14:paraId="0957432A">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内容违反国家有关强制性规定或者</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存在歧义、重大缺陷导致评审工作无法进行时，停止评审并向采购人或者采购代理机构书面说明情况；</w:t>
      </w:r>
    </w:p>
    <w:p w14:paraId="6CB17B33">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）及时向财政、监察等部门举报在评审过程中受到非法干预的情况；</w:t>
      </w:r>
    </w:p>
    <w:p w14:paraId="5C85859C">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）配合答复处理供应商的询问、质疑和投诉等事项；</w:t>
      </w:r>
    </w:p>
    <w:p w14:paraId="0DB540F7">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）法律、法规和规章规定的其他义务。</w:t>
      </w:r>
    </w:p>
    <w:p w14:paraId="34DCC42C">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、评审专家在政府采购活动中应当遵守以下工作纪律：</w:t>
      </w:r>
    </w:p>
    <w:p w14:paraId="7C4F0504">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）不得参加与自己有《中华人民共和国政府采购法实施条例》第九条规定的利害关系的政府采购项目的评标活动。发现参加了与自己有利害关系的评审活动，须主动提出回避，退出评审；</w:t>
      </w:r>
    </w:p>
    <w:p w14:paraId="61225351">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）评审前，应当将通讯工具或者相关电子设备交由采购代理机构统一保管；</w:t>
      </w:r>
    </w:p>
    <w:p w14:paraId="448E6B2B">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）评审过程中，不得与外界联系，因发生不可预见情况，确实需要与外界联系的，应当在监督人员监督之下办理；</w:t>
      </w:r>
    </w:p>
    <w:p w14:paraId="13AF425E">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）评审过程中，不得发表影响评审公正的倾向性、歧视性言论，不得征询或者接受采购人的倾向性意见，不得明示或暗示供应商在澄清时表达与其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原义不同的意见，不得以</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没有规定的评审方法和标准作为评审的依据，不得修改或者细化评审程序、评审方法、评审因素和评审标准，不得违规撰写评审意见，不得拒绝对自己的评审意见签字确认；</w:t>
      </w:r>
    </w:p>
    <w:p w14:paraId="4DCCD636">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）在评审过程中和评审结束后，不得记录、复制或带走任何评审资料，不得向外界透露评审内容；</w:t>
      </w:r>
    </w:p>
    <w:p w14:paraId="7BEA566C">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）评审现场服从采购代理机构工作人员的管理，接受现场监督人员的合法监督；</w:t>
      </w:r>
    </w:p>
    <w:p w14:paraId="0F8FE2F1">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）遵守有关廉洁自律规定，不得私下接触供应商，不得收受供应商及有关业务单位和个人的财物或好处，不得接受采购代理机构的请托。</w:t>
      </w:r>
    </w:p>
    <w:p w14:paraId="195A1924">
      <w:pPr>
        <w:pStyle w:val="11"/>
        <w:shd w:val="clear" w:color="auto"/>
        <w:rPr>
          <w:rFonts w:hint="eastAsia" w:ascii="宋体" w:hAnsi="宋体" w:eastAsia="宋体" w:cs="宋体"/>
          <w:color w:val="auto"/>
          <w:sz w:val="24"/>
          <w:szCs w:val="24"/>
          <w:highlight w:val="none"/>
        </w:rPr>
      </w:pPr>
    </w:p>
    <w:bookmarkEnd w:id="14"/>
    <w:p w14:paraId="645B97FB">
      <w:pPr>
        <w:shd w:val="clear"/>
        <w:rPr>
          <w:rFonts w:hint="eastAsia" w:ascii="宋体" w:hAnsi="宋体" w:eastAsia="宋体" w:cs="宋体"/>
          <w:b/>
          <w:color w:val="auto"/>
          <w:sz w:val="32"/>
          <w:szCs w:val="32"/>
          <w:highlight w:val="none"/>
        </w:rPr>
      </w:pPr>
      <w:bookmarkStart w:id="147" w:name="_Toc161194713"/>
      <w:bookmarkStart w:id="148" w:name="_Toc163267147"/>
      <w:r>
        <w:rPr>
          <w:rFonts w:hint="eastAsia" w:ascii="宋体" w:hAnsi="宋体" w:eastAsia="宋体" w:cs="宋体"/>
          <w:b/>
          <w:color w:val="auto"/>
          <w:sz w:val="32"/>
          <w:szCs w:val="32"/>
          <w:highlight w:val="none"/>
        </w:rPr>
        <w:br w:type="page"/>
      </w:r>
    </w:p>
    <w:p w14:paraId="47EAAB8C">
      <w:pPr>
        <w:shd w:val="clear" w:color="auto"/>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第五章、评定成交方式和标准</w:t>
      </w:r>
      <w:bookmarkEnd w:id="84"/>
      <w:bookmarkStart w:id="149" w:name="_Toc163267204"/>
    </w:p>
    <w:p w14:paraId="35BE706B">
      <w:pPr>
        <w:shd w:val="clear" w:color="auto"/>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一.综合评分</w:t>
      </w:r>
    </w:p>
    <w:p w14:paraId="0FFB973E">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和报价进行综合评分。</w:t>
      </w:r>
    </w:p>
    <w:p w14:paraId="4893418E">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全部实质性要求且按评审因素的量化指标评审得分最高的供应商为</w:t>
      </w:r>
      <w:r>
        <w:rPr>
          <w:rFonts w:hint="eastAsia" w:ascii="宋体" w:hAnsi="宋体" w:eastAsia="宋体" w:cs="宋体"/>
          <w:color w:val="auto"/>
          <w:sz w:val="24"/>
          <w:szCs w:val="24"/>
          <w:highlight w:val="none"/>
          <w:lang w:eastAsia="zh-CN"/>
        </w:rPr>
        <w:t>中标候选供应商</w:t>
      </w:r>
      <w:r>
        <w:rPr>
          <w:rFonts w:hint="eastAsia" w:ascii="宋体" w:hAnsi="宋体" w:eastAsia="宋体" w:cs="宋体"/>
          <w:color w:val="auto"/>
          <w:sz w:val="24"/>
          <w:szCs w:val="24"/>
          <w:highlight w:val="none"/>
        </w:rPr>
        <w:t>的评审方法。</w:t>
      </w:r>
    </w:p>
    <w:p w14:paraId="60752FCD">
      <w:pPr>
        <w:numPr>
          <w:ilvl w:val="0"/>
          <w:numId w:val="7"/>
        </w:num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评审时，</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各成员应当独立对每个有效响应的文件进行评价、打分，然后汇总每个供应商每项评分因素的得分。</w:t>
      </w:r>
    </w:p>
    <w:p w14:paraId="4C1A0880">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3.评标</w:t>
      </w:r>
      <w:r>
        <w:rPr>
          <w:rFonts w:hint="eastAsia" w:ascii="宋体" w:hAnsi="宋体" w:eastAsia="宋体" w:cs="宋体"/>
          <w:color w:val="auto"/>
          <w:sz w:val="24"/>
          <w:szCs w:val="24"/>
          <w:highlight w:val="none"/>
        </w:rPr>
        <w:t>委员会推荐</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得分最高的为第一中标候选人。采购人应当接受评标委员会推荐的中标候选人，不得在评标委员会推荐的中标候选人之外确定中标人。评标委员会无义务向供应商进行任何有关评标的解释工作。</w:t>
      </w:r>
    </w:p>
    <w:p w14:paraId="16FC2237">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人应当确定排名第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14:paraId="6C1DF8BD">
      <w:pPr>
        <w:shd w:val="clear" w:color="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在确定中标供应商前，采购人不得与投标供应商就投标价格、投标方案等实质性内容进行谈判。</w:t>
      </w:r>
    </w:p>
    <w:p w14:paraId="70186502">
      <w:pPr>
        <w:pStyle w:val="33"/>
        <w:shd w:val="clear"/>
        <w:rPr>
          <w:rFonts w:hint="eastAsia"/>
        </w:rPr>
      </w:pPr>
    </w:p>
    <w:p w14:paraId="3C75EE87">
      <w:pPr>
        <w:keepNext w:val="0"/>
        <w:keepLines w:val="0"/>
        <w:pageBreakBefore/>
        <w:widowControl w:val="0"/>
        <w:numPr>
          <w:ilvl w:val="0"/>
          <w:numId w:val="8"/>
        </w:numPr>
        <w:shd w:val="clear" w:color="auto"/>
        <w:kinsoku/>
        <w:wordWrap/>
        <w:overflowPunct/>
        <w:topLinePunct w:val="0"/>
        <w:autoSpaceDE/>
        <w:autoSpaceDN/>
        <w:bidi w:val="0"/>
        <w:adjustRightInd/>
        <w:snapToGrid/>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综合评分细则表：</w:t>
      </w:r>
    </w:p>
    <w:p w14:paraId="3E275172">
      <w:pPr>
        <w:pStyle w:val="34"/>
        <w:shd w:val="clear" w:color="auto"/>
        <w:ind w:left="0" w:leftChars="0" w:firstLine="0" w:firstLineChars="0"/>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rPr>
        <w:t>初步评审</w:t>
      </w:r>
      <w:r>
        <w:rPr>
          <w:rFonts w:hint="eastAsia" w:ascii="宋体" w:hAnsi="宋体"/>
          <w:b/>
          <w:bCs/>
          <w:color w:val="auto"/>
          <w:sz w:val="24"/>
          <w:szCs w:val="24"/>
          <w:highlight w:val="none"/>
          <w:lang w:val="en-US" w:eastAsia="zh-CN"/>
        </w:rPr>
        <w:t>(资格审查标准)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5694"/>
        <w:gridCol w:w="739"/>
        <w:gridCol w:w="792"/>
        <w:gridCol w:w="687"/>
      </w:tblGrid>
      <w:tr w14:paraId="5AD1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07" w:type="dxa"/>
            <w:tcBorders>
              <w:bottom w:val="single" w:color="auto" w:sz="4" w:space="0"/>
            </w:tcBorders>
            <w:noWrap w:val="0"/>
            <w:vAlign w:val="center"/>
          </w:tcPr>
          <w:p w14:paraId="01823B1C">
            <w:pPr>
              <w:shd w:val="clear" w:color="auto"/>
              <w:spacing w:line="340" w:lineRule="exact"/>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5694" w:type="dxa"/>
            <w:tcBorders>
              <w:bottom w:val="single" w:color="auto" w:sz="4" w:space="0"/>
            </w:tcBorders>
            <w:noWrap w:val="0"/>
            <w:vAlign w:val="center"/>
          </w:tcPr>
          <w:p w14:paraId="69145BBB">
            <w:pPr>
              <w:shd w:val="clear" w:color="auto"/>
              <w:spacing w:line="340" w:lineRule="exact"/>
              <w:jc w:val="center"/>
              <w:rPr>
                <w:rFonts w:ascii="宋体" w:hAnsi="宋体"/>
                <w:b/>
                <w:color w:val="auto"/>
                <w:sz w:val="24"/>
                <w:szCs w:val="24"/>
                <w:highlight w:val="none"/>
              </w:rPr>
            </w:pPr>
            <w:r>
              <w:rPr>
                <w:rFonts w:hint="eastAsia" w:ascii="宋体" w:hAnsi="宋体"/>
                <w:bCs/>
                <w:color w:val="auto"/>
                <w:sz w:val="24"/>
                <w:szCs w:val="24"/>
                <w:highlight w:val="none"/>
              </w:rPr>
              <w:t>评审内容及标准</w:t>
            </w:r>
          </w:p>
        </w:tc>
        <w:tc>
          <w:tcPr>
            <w:tcW w:w="739" w:type="dxa"/>
            <w:tcBorders>
              <w:bottom w:val="single" w:color="auto" w:sz="4" w:space="0"/>
            </w:tcBorders>
            <w:noWrap w:val="0"/>
            <w:vAlign w:val="center"/>
          </w:tcPr>
          <w:p w14:paraId="46C933D6">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供应商1</w:t>
            </w:r>
          </w:p>
        </w:tc>
        <w:tc>
          <w:tcPr>
            <w:tcW w:w="792" w:type="dxa"/>
            <w:tcBorders>
              <w:bottom w:val="single" w:color="auto" w:sz="4" w:space="0"/>
            </w:tcBorders>
            <w:noWrap w:val="0"/>
            <w:vAlign w:val="center"/>
          </w:tcPr>
          <w:p w14:paraId="0F39F3D3">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供应商2</w:t>
            </w:r>
          </w:p>
        </w:tc>
        <w:tc>
          <w:tcPr>
            <w:tcW w:w="687" w:type="dxa"/>
            <w:tcBorders>
              <w:bottom w:val="single" w:color="auto" w:sz="4" w:space="0"/>
            </w:tcBorders>
            <w:noWrap w:val="0"/>
            <w:vAlign w:val="center"/>
          </w:tcPr>
          <w:p w14:paraId="09590449">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w:t>
            </w:r>
          </w:p>
        </w:tc>
      </w:tr>
      <w:tr w14:paraId="4CA9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5E41A5D4">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694" w:type="dxa"/>
            <w:noWrap w:val="0"/>
            <w:vAlign w:val="center"/>
          </w:tcPr>
          <w:p w14:paraId="5111A10B">
            <w:pPr>
              <w:shd w:val="clear" w:color="auto"/>
              <w:spacing w:line="340" w:lineRule="exact"/>
              <w:rPr>
                <w:rFonts w:ascii="宋体" w:hAnsi="宋体"/>
                <w:bCs/>
                <w:color w:val="auto"/>
                <w:sz w:val="24"/>
                <w:szCs w:val="24"/>
                <w:highlight w:val="none"/>
              </w:rPr>
            </w:pPr>
            <w:r>
              <w:rPr>
                <w:rFonts w:hint="eastAsia" w:ascii="宋体" w:hAnsi="宋体"/>
                <w:bCs/>
                <w:color w:val="auto"/>
                <w:sz w:val="24"/>
                <w:szCs w:val="24"/>
                <w:highlight w:val="none"/>
                <w:lang w:eastAsia="zh-CN"/>
              </w:rPr>
              <w:t>有效的投标保证金缴纳凭证/保函；</w:t>
            </w:r>
          </w:p>
        </w:tc>
        <w:tc>
          <w:tcPr>
            <w:tcW w:w="739" w:type="dxa"/>
            <w:noWrap w:val="0"/>
            <w:vAlign w:val="center"/>
          </w:tcPr>
          <w:p w14:paraId="7CD46E18">
            <w:pPr>
              <w:shd w:val="clear" w:color="auto"/>
              <w:spacing w:line="340" w:lineRule="exact"/>
              <w:rPr>
                <w:rFonts w:ascii="宋体" w:hAnsi="宋体"/>
                <w:color w:val="auto"/>
                <w:sz w:val="24"/>
                <w:szCs w:val="24"/>
                <w:highlight w:val="none"/>
              </w:rPr>
            </w:pPr>
          </w:p>
        </w:tc>
        <w:tc>
          <w:tcPr>
            <w:tcW w:w="792" w:type="dxa"/>
            <w:noWrap w:val="0"/>
            <w:vAlign w:val="center"/>
          </w:tcPr>
          <w:p w14:paraId="39DEBB8A">
            <w:pPr>
              <w:shd w:val="clear" w:color="auto"/>
              <w:spacing w:line="340" w:lineRule="exact"/>
              <w:rPr>
                <w:rFonts w:ascii="宋体" w:hAnsi="宋体"/>
                <w:color w:val="auto"/>
                <w:sz w:val="24"/>
                <w:szCs w:val="24"/>
                <w:highlight w:val="none"/>
              </w:rPr>
            </w:pPr>
          </w:p>
        </w:tc>
        <w:tc>
          <w:tcPr>
            <w:tcW w:w="687" w:type="dxa"/>
            <w:noWrap w:val="0"/>
            <w:vAlign w:val="center"/>
          </w:tcPr>
          <w:p w14:paraId="3ACF20C3">
            <w:pPr>
              <w:shd w:val="clear" w:color="auto"/>
              <w:spacing w:line="340" w:lineRule="exact"/>
              <w:rPr>
                <w:rFonts w:ascii="宋体" w:hAnsi="宋体"/>
                <w:color w:val="auto"/>
                <w:sz w:val="24"/>
                <w:szCs w:val="24"/>
                <w:highlight w:val="none"/>
              </w:rPr>
            </w:pPr>
          </w:p>
        </w:tc>
      </w:tr>
      <w:tr w14:paraId="17BD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30C3D22B">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5694" w:type="dxa"/>
            <w:noWrap w:val="0"/>
            <w:vAlign w:val="center"/>
          </w:tcPr>
          <w:p w14:paraId="48C95640">
            <w:pPr>
              <w:shd w:val="clear" w:color="auto"/>
              <w:spacing w:line="340" w:lineRule="exact"/>
              <w:rPr>
                <w:rFonts w:hint="eastAsia" w:ascii="宋体" w:hAnsi="宋体" w:eastAsia="宋体"/>
                <w:bCs/>
                <w:color w:val="auto"/>
                <w:sz w:val="24"/>
                <w:szCs w:val="24"/>
                <w:highlight w:val="none"/>
                <w:lang w:eastAsia="zh-CN"/>
              </w:rPr>
            </w:pPr>
            <w:r>
              <w:rPr>
                <w:rFonts w:hint="eastAsia" w:ascii="宋体" w:hAnsi="宋体" w:eastAsia="宋体" w:cs="宋体"/>
                <w:bCs/>
                <w:color w:val="auto"/>
                <w:sz w:val="24"/>
                <w:szCs w:val="24"/>
                <w:highlight w:val="none"/>
              </w:rPr>
              <w:t>请根据要求单独上传《中小企业声明函》。格式以采购文件要求为准</w:t>
            </w:r>
            <w:r>
              <w:rPr>
                <w:rFonts w:hint="eastAsia" w:ascii="宋体" w:hAnsi="宋体" w:eastAsia="宋体" w:cs="宋体"/>
                <w:bCs/>
                <w:color w:val="auto"/>
                <w:sz w:val="24"/>
                <w:szCs w:val="24"/>
                <w:highlight w:val="none"/>
                <w:lang w:eastAsia="zh-CN"/>
              </w:rPr>
              <w:t>；</w:t>
            </w:r>
          </w:p>
        </w:tc>
        <w:tc>
          <w:tcPr>
            <w:tcW w:w="739" w:type="dxa"/>
            <w:noWrap w:val="0"/>
            <w:vAlign w:val="center"/>
          </w:tcPr>
          <w:p w14:paraId="33C6CBC9">
            <w:pPr>
              <w:shd w:val="clear" w:color="auto"/>
              <w:spacing w:line="340" w:lineRule="exact"/>
              <w:rPr>
                <w:rFonts w:ascii="宋体" w:hAnsi="宋体"/>
                <w:color w:val="auto"/>
                <w:sz w:val="24"/>
                <w:szCs w:val="24"/>
                <w:highlight w:val="none"/>
              </w:rPr>
            </w:pPr>
          </w:p>
        </w:tc>
        <w:tc>
          <w:tcPr>
            <w:tcW w:w="792" w:type="dxa"/>
            <w:noWrap w:val="0"/>
            <w:vAlign w:val="center"/>
          </w:tcPr>
          <w:p w14:paraId="0DFDCE01">
            <w:pPr>
              <w:shd w:val="clear" w:color="auto"/>
              <w:spacing w:line="340" w:lineRule="exact"/>
              <w:rPr>
                <w:rFonts w:ascii="宋体" w:hAnsi="宋体"/>
                <w:color w:val="auto"/>
                <w:sz w:val="24"/>
                <w:szCs w:val="24"/>
                <w:highlight w:val="none"/>
              </w:rPr>
            </w:pPr>
          </w:p>
        </w:tc>
        <w:tc>
          <w:tcPr>
            <w:tcW w:w="687" w:type="dxa"/>
            <w:noWrap w:val="0"/>
            <w:vAlign w:val="center"/>
          </w:tcPr>
          <w:p w14:paraId="35E9E81D">
            <w:pPr>
              <w:shd w:val="clear" w:color="auto"/>
              <w:spacing w:line="340" w:lineRule="exact"/>
              <w:rPr>
                <w:rFonts w:ascii="宋体" w:hAnsi="宋体"/>
                <w:color w:val="auto"/>
                <w:sz w:val="24"/>
                <w:szCs w:val="24"/>
                <w:highlight w:val="none"/>
              </w:rPr>
            </w:pPr>
          </w:p>
        </w:tc>
      </w:tr>
      <w:tr w14:paraId="597A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68BFC564">
            <w:pPr>
              <w:shd w:val="clear" w:color="auto"/>
              <w:spacing w:line="3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5694" w:type="dxa"/>
            <w:noWrap w:val="0"/>
            <w:vAlign w:val="center"/>
          </w:tcPr>
          <w:p w14:paraId="40F67B70">
            <w:pPr>
              <w:shd w:val="clear" w:color="auto"/>
              <w:spacing w:line="340" w:lineRule="exact"/>
              <w:rPr>
                <w:rFonts w:hint="eastAsia" w:ascii="宋体" w:hAnsi="宋体" w:eastAsia="宋体"/>
                <w:bCs/>
                <w:color w:val="auto"/>
                <w:sz w:val="24"/>
                <w:szCs w:val="24"/>
                <w:highlight w:val="none"/>
                <w:lang w:eastAsia="zh-CN"/>
              </w:rPr>
            </w:pPr>
            <w:r>
              <w:rPr>
                <w:rFonts w:hint="eastAsia" w:asciiTheme="minorEastAsia" w:hAnsiTheme="minorEastAsia" w:eastAsiaTheme="minorEastAsia" w:cstheme="minorEastAsia"/>
                <w:sz w:val="24"/>
                <w:szCs w:val="24"/>
                <w:highlight w:val="none"/>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tc>
        <w:tc>
          <w:tcPr>
            <w:tcW w:w="739" w:type="dxa"/>
            <w:noWrap w:val="0"/>
            <w:vAlign w:val="center"/>
          </w:tcPr>
          <w:p w14:paraId="167E538C">
            <w:pPr>
              <w:shd w:val="clear" w:color="auto"/>
              <w:spacing w:line="340" w:lineRule="exact"/>
              <w:rPr>
                <w:rFonts w:ascii="宋体" w:hAnsi="宋体"/>
                <w:color w:val="auto"/>
                <w:sz w:val="24"/>
                <w:szCs w:val="24"/>
                <w:highlight w:val="none"/>
              </w:rPr>
            </w:pPr>
          </w:p>
        </w:tc>
        <w:tc>
          <w:tcPr>
            <w:tcW w:w="792" w:type="dxa"/>
            <w:noWrap w:val="0"/>
            <w:vAlign w:val="center"/>
          </w:tcPr>
          <w:p w14:paraId="5A4ED316">
            <w:pPr>
              <w:shd w:val="clear" w:color="auto"/>
              <w:spacing w:line="340" w:lineRule="exact"/>
              <w:rPr>
                <w:rFonts w:ascii="宋体" w:hAnsi="宋体"/>
                <w:color w:val="auto"/>
                <w:sz w:val="24"/>
                <w:szCs w:val="24"/>
                <w:highlight w:val="none"/>
              </w:rPr>
            </w:pPr>
          </w:p>
        </w:tc>
        <w:tc>
          <w:tcPr>
            <w:tcW w:w="687" w:type="dxa"/>
            <w:noWrap w:val="0"/>
            <w:vAlign w:val="center"/>
          </w:tcPr>
          <w:p w14:paraId="0F7BE032">
            <w:pPr>
              <w:shd w:val="clear" w:color="auto"/>
              <w:spacing w:line="340" w:lineRule="exact"/>
              <w:rPr>
                <w:rFonts w:ascii="宋体" w:hAnsi="宋体"/>
                <w:color w:val="auto"/>
                <w:sz w:val="24"/>
                <w:szCs w:val="24"/>
                <w:highlight w:val="none"/>
              </w:rPr>
            </w:pPr>
          </w:p>
        </w:tc>
      </w:tr>
      <w:tr w14:paraId="326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07091736">
            <w:pPr>
              <w:shd w:val="clear" w:color="auto"/>
              <w:spacing w:line="34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5694" w:type="dxa"/>
            <w:noWrap w:val="0"/>
            <w:vAlign w:val="center"/>
          </w:tcPr>
          <w:p w14:paraId="6E429125">
            <w:pPr>
              <w:shd w:val="clear" w:color="auto"/>
              <w:spacing w:line="340" w:lineRule="exact"/>
              <w:rPr>
                <w:rFonts w:hint="default" w:asciiTheme="minorEastAsia" w:hAnsiTheme="minorEastAsia" w:eastAsiaTheme="minorEastAsia" w:cstheme="minorEastAsia"/>
                <w:sz w:val="24"/>
                <w:szCs w:val="24"/>
                <w:highlight w:val="none"/>
                <w:lang w:val="en-US"/>
              </w:rPr>
            </w:pPr>
            <w:r>
              <w:rPr>
                <w:rFonts w:hint="default" w:asciiTheme="minorEastAsia" w:hAnsiTheme="minorEastAsia" w:eastAsiaTheme="minorEastAsia" w:cstheme="minorEastAsia"/>
                <w:sz w:val="24"/>
                <w:szCs w:val="24"/>
                <w:highlight w:val="none"/>
                <w:lang w:val="en-US"/>
              </w:rPr>
              <w:t>具有良好的商业信誉和健全的财务会计制度；（</w:t>
            </w:r>
            <w:r>
              <w:rPr>
                <w:rFonts w:hint="eastAsia" w:asciiTheme="minorEastAsia" w:hAnsiTheme="minorEastAsia" w:eastAsiaTheme="minorEastAsia" w:cstheme="minorEastAsia"/>
                <w:sz w:val="24"/>
                <w:szCs w:val="24"/>
                <w:highlight w:val="none"/>
                <w:lang w:val="en-US" w:eastAsia="zh-CN"/>
              </w:rPr>
              <w:t>提供健全的财务会计制度证明文件或近一年内银行提供的资信证明，例如2023年度至2025年度任意一年会计师事务所出具的财务审计报告或财务状况报告等，新成立公司自成立之日起提供</w:t>
            </w:r>
            <w:r>
              <w:rPr>
                <w:rFonts w:hint="default" w:asciiTheme="minorEastAsia" w:hAnsiTheme="minorEastAsia" w:eastAsiaTheme="minorEastAsia" w:cstheme="minorEastAsia"/>
                <w:sz w:val="24"/>
                <w:szCs w:val="24"/>
                <w:highlight w:val="none"/>
                <w:lang w:val="en-US"/>
              </w:rPr>
              <w:t>）</w:t>
            </w:r>
          </w:p>
        </w:tc>
        <w:tc>
          <w:tcPr>
            <w:tcW w:w="739" w:type="dxa"/>
            <w:noWrap w:val="0"/>
            <w:vAlign w:val="center"/>
          </w:tcPr>
          <w:p w14:paraId="03CE5E6A">
            <w:pPr>
              <w:shd w:val="clear" w:color="auto"/>
              <w:spacing w:line="340" w:lineRule="exact"/>
              <w:rPr>
                <w:rFonts w:hint="default" w:ascii="宋体" w:hAnsi="宋体"/>
                <w:color w:val="auto"/>
                <w:sz w:val="24"/>
                <w:szCs w:val="24"/>
                <w:highlight w:val="none"/>
                <w:lang w:val="en-US"/>
              </w:rPr>
            </w:pPr>
          </w:p>
        </w:tc>
        <w:tc>
          <w:tcPr>
            <w:tcW w:w="792" w:type="dxa"/>
            <w:noWrap w:val="0"/>
            <w:vAlign w:val="center"/>
          </w:tcPr>
          <w:p w14:paraId="2C4865DC">
            <w:pPr>
              <w:shd w:val="clear" w:color="auto"/>
              <w:spacing w:line="340" w:lineRule="exact"/>
              <w:rPr>
                <w:rFonts w:hint="default" w:ascii="宋体" w:hAnsi="宋体"/>
                <w:color w:val="auto"/>
                <w:sz w:val="24"/>
                <w:szCs w:val="24"/>
                <w:highlight w:val="none"/>
                <w:lang w:val="en-US"/>
              </w:rPr>
            </w:pPr>
          </w:p>
        </w:tc>
        <w:tc>
          <w:tcPr>
            <w:tcW w:w="687" w:type="dxa"/>
            <w:noWrap w:val="0"/>
            <w:vAlign w:val="center"/>
          </w:tcPr>
          <w:p w14:paraId="4B1B2F28">
            <w:pPr>
              <w:shd w:val="clear" w:color="auto"/>
              <w:spacing w:line="340" w:lineRule="exact"/>
              <w:rPr>
                <w:rFonts w:hint="default" w:ascii="宋体" w:hAnsi="宋体"/>
                <w:color w:val="auto"/>
                <w:sz w:val="24"/>
                <w:szCs w:val="24"/>
                <w:highlight w:val="none"/>
                <w:lang w:val="en-US"/>
              </w:rPr>
            </w:pPr>
          </w:p>
        </w:tc>
      </w:tr>
      <w:tr w14:paraId="1DFF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75A5C050">
            <w:pPr>
              <w:shd w:val="clear" w:color="auto"/>
              <w:spacing w:line="34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694" w:type="dxa"/>
            <w:noWrap w:val="0"/>
            <w:vAlign w:val="center"/>
          </w:tcPr>
          <w:p w14:paraId="1BDEC724">
            <w:pPr>
              <w:shd w:val="clear" w:color="auto"/>
              <w:spacing w:line="340" w:lineRule="exact"/>
              <w:rPr>
                <w:rFonts w:hint="default" w:asciiTheme="minorEastAsia" w:hAnsiTheme="minorEastAsia" w:eastAsiaTheme="minorEastAsia" w:cstheme="minorEastAsia"/>
                <w:sz w:val="24"/>
                <w:szCs w:val="24"/>
                <w:highlight w:val="none"/>
                <w:lang w:val="en-US"/>
              </w:rPr>
            </w:pPr>
            <w:r>
              <w:rPr>
                <w:rFonts w:hint="default" w:asciiTheme="minorEastAsia" w:hAnsiTheme="minorEastAsia" w:eastAsiaTheme="minorEastAsia" w:cstheme="minorEastAsia"/>
                <w:sz w:val="24"/>
                <w:szCs w:val="24"/>
                <w:highlight w:val="none"/>
                <w:lang w:val="en-US"/>
              </w:rPr>
              <w:t>具有履行合同所必需的设备和专业技术能力；（提供具有履行合同所必需的设备和专业技术能力的承诺函）</w:t>
            </w:r>
          </w:p>
        </w:tc>
        <w:tc>
          <w:tcPr>
            <w:tcW w:w="739" w:type="dxa"/>
            <w:noWrap w:val="0"/>
            <w:vAlign w:val="center"/>
          </w:tcPr>
          <w:p w14:paraId="3ED534FE">
            <w:pPr>
              <w:shd w:val="clear" w:color="auto"/>
              <w:spacing w:line="340" w:lineRule="exact"/>
              <w:rPr>
                <w:rFonts w:hint="default" w:ascii="宋体" w:hAnsi="宋体"/>
                <w:color w:val="auto"/>
                <w:sz w:val="24"/>
                <w:szCs w:val="24"/>
                <w:highlight w:val="none"/>
                <w:lang w:val="en-US"/>
              </w:rPr>
            </w:pPr>
          </w:p>
        </w:tc>
        <w:tc>
          <w:tcPr>
            <w:tcW w:w="792" w:type="dxa"/>
            <w:noWrap w:val="0"/>
            <w:vAlign w:val="center"/>
          </w:tcPr>
          <w:p w14:paraId="5BEC8613">
            <w:pPr>
              <w:shd w:val="clear" w:color="auto"/>
              <w:spacing w:line="340" w:lineRule="exact"/>
              <w:rPr>
                <w:rFonts w:hint="default" w:ascii="宋体" w:hAnsi="宋体"/>
                <w:color w:val="auto"/>
                <w:sz w:val="24"/>
                <w:szCs w:val="24"/>
                <w:highlight w:val="none"/>
                <w:lang w:val="en-US"/>
              </w:rPr>
            </w:pPr>
          </w:p>
        </w:tc>
        <w:tc>
          <w:tcPr>
            <w:tcW w:w="687" w:type="dxa"/>
            <w:noWrap w:val="0"/>
            <w:vAlign w:val="center"/>
          </w:tcPr>
          <w:p w14:paraId="56931431">
            <w:pPr>
              <w:shd w:val="clear" w:color="auto"/>
              <w:spacing w:line="340" w:lineRule="exact"/>
              <w:rPr>
                <w:rFonts w:hint="default" w:ascii="宋体" w:hAnsi="宋体"/>
                <w:color w:val="auto"/>
                <w:sz w:val="24"/>
                <w:szCs w:val="24"/>
                <w:highlight w:val="none"/>
                <w:lang w:val="en-US"/>
              </w:rPr>
            </w:pPr>
          </w:p>
        </w:tc>
      </w:tr>
      <w:tr w14:paraId="2F49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15EC2DFF">
            <w:pPr>
              <w:shd w:val="clear" w:color="auto"/>
              <w:spacing w:line="34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5694" w:type="dxa"/>
            <w:noWrap w:val="0"/>
            <w:vAlign w:val="center"/>
          </w:tcPr>
          <w:p w14:paraId="263B23E2">
            <w:pPr>
              <w:shd w:val="clear" w:color="auto"/>
              <w:spacing w:line="340" w:lineRule="exact"/>
              <w:rPr>
                <w:rFonts w:hint="default" w:asciiTheme="minorEastAsia" w:hAnsiTheme="minorEastAsia" w:eastAsiaTheme="minorEastAsia" w:cstheme="minorEastAsia"/>
                <w:sz w:val="24"/>
                <w:szCs w:val="24"/>
                <w:highlight w:val="none"/>
                <w:lang w:val="en-US"/>
              </w:rPr>
            </w:pPr>
            <w:r>
              <w:rPr>
                <w:rFonts w:hint="default" w:asciiTheme="minorEastAsia" w:hAnsiTheme="minorEastAsia" w:eastAsiaTheme="minorEastAsia" w:cstheme="minorEastAsia"/>
                <w:sz w:val="24"/>
                <w:szCs w:val="24"/>
                <w:highlight w:val="none"/>
                <w:lang w:val="en-US"/>
              </w:rPr>
              <w:t>有依法缴纳税收和社会保障资金的良好记录；（递交投标文件</w:t>
            </w:r>
            <w:r>
              <w:rPr>
                <w:rFonts w:hint="eastAsia" w:asciiTheme="minorEastAsia" w:hAnsiTheme="minorEastAsia" w:eastAsiaTheme="minorEastAsia" w:cstheme="minorEastAsia"/>
                <w:sz w:val="24"/>
                <w:szCs w:val="24"/>
                <w:highlight w:val="none"/>
                <w:lang w:val="en-US" w:eastAsia="zh-CN"/>
              </w:rPr>
              <w:t>截止</w:t>
            </w:r>
            <w:r>
              <w:rPr>
                <w:rFonts w:hint="default" w:asciiTheme="minorEastAsia" w:hAnsiTheme="minorEastAsia" w:eastAsiaTheme="minorEastAsia" w:cstheme="minorEastAsia"/>
                <w:sz w:val="24"/>
                <w:szCs w:val="24"/>
                <w:highlight w:val="none"/>
                <w:lang w:val="en-US"/>
              </w:rPr>
              <w:t>时间前一年内至少一个月依法缴纳税收及缴纳社会保障资金的证明材料，投标人依法享受缓缴、免缴税收、社会保障资金的，提供证明材料）</w:t>
            </w:r>
          </w:p>
        </w:tc>
        <w:tc>
          <w:tcPr>
            <w:tcW w:w="739" w:type="dxa"/>
            <w:noWrap w:val="0"/>
            <w:vAlign w:val="center"/>
          </w:tcPr>
          <w:p w14:paraId="23915A6F">
            <w:pPr>
              <w:shd w:val="clear" w:color="auto"/>
              <w:spacing w:line="340" w:lineRule="exact"/>
              <w:rPr>
                <w:rFonts w:hint="default" w:ascii="宋体" w:hAnsi="宋体"/>
                <w:color w:val="auto"/>
                <w:sz w:val="24"/>
                <w:szCs w:val="24"/>
                <w:highlight w:val="none"/>
                <w:lang w:val="en-US"/>
              </w:rPr>
            </w:pPr>
          </w:p>
        </w:tc>
        <w:tc>
          <w:tcPr>
            <w:tcW w:w="792" w:type="dxa"/>
            <w:noWrap w:val="0"/>
            <w:vAlign w:val="center"/>
          </w:tcPr>
          <w:p w14:paraId="772CB6B9">
            <w:pPr>
              <w:shd w:val="clear" w:color="auto"/>
              <w:spacing w:line="340" w:lineRule="exact"/>
              <w:rPr>
                <w:rFonts w:hint="default" w:ascii="宋体" w:hAnsi="宋体"/>
                <w:color w:val="auto"/>
                <w:sz w:val="24"/>
                <w:szCs w:val="24"/>
                <w:highlight w:val="none"/>
                <w:lang w:val="en-US"/>
              </w:rPr>
            </w:pPr>
          </w:p>
        </w:tc>
        <w:tc>
          <w:tcPr>
            <w:tcW w:w="687" w:type="dxa"/>
            <w:noWrap w:val="0"/>
            <w:vAlign w:val="center"/>
          </w:tcPr>
          <w:p w14:paraId="40F78260">
            <w:pPr>
              <w:shd w:val="clear" w:color="auto"/>
              <w:spacing w:line="340" w:lineRule="exact"/>
              <w:rPr>
                <w:rFonts w:hint="default" w:ascii="宋体" w:hAnsi="宋体"/>
                <w:color w:val="auto"/>
                <w:sz w:val="24"/>
                <w:szCs w:val="24"/>
                <w:highlight w:val="none"/>
                <w:lang w:val="en-US"/>
              </w:rPr>
            </w:pPr>
          </w:p>
        </w:tc>
      </w:tr>
      <w:tr w14:paraId="6BF2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7" w:type="dxa"/>
            <w:noWrap w:val="0"/>
            <w:vAlign w:val="center"/>
          </w:tcPr>
          <w:p w14:paraId="2672D2C2">
            <w:pPr>
              <w:shd w:val="clear" w:color="auto"/>
              <w:spacing w:line="34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7</w:t>
            </w:r>
          </w:p>
        </w:tc>
        <w:tc>
          <w:tcPr>
            <w:tcW w:w="5694" w:type="dxa"/>
            <w:noWrap w:val="0"/>
            <w:vAlign w:val="center"/>
          </w:tcPr>
          <w:p w14:paraId="0727F221">
            <w:pPr>
              <w:shd w:val="clear" w:color="auto"/>
              <w:spacing w:line="3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参加采购活动前三年内，在经营活动中没有重大违法记录。查询渠道“中国政府采购网”、“信用中国”及“中国执行信息公开网”，被列入失信被执行人、重大税收违法案件当事人名单、政府采购严重违法失信行为记录名单的供应商，不得参与本次政府采购活动，供应商自行登录网站进行查询结果并打印完整查询结果。</w:t>
            </w:r>
          </w:p>
        </w:tc>
        <w:tc>
          <w:tcPr>
            <w:tcW w:w="739" w:type="dxa"/>
            <w:noWrap w:val="0"/>
            <w:vAlign w:val="center"/>
          </w:tcPr>
          <w:p w14:paraId="3E7E4486">
            <w:pPr>
              <w:shd w:val="clear" w:color="auto"/>
              <w:spacing w:line="340" w:lineRule="exact"/>
              <w:rPr>
                <w:rFonts w:hint="default" w:ascii="宋体" w:hAnsi="宋体"/>
                <w:color w:val="auto"/>
                <w:sz w:val="24"/>
                <w:szCs w:val="24"/>
                <w:highlight w:val="none"/>
                <w:lang w:val="en-US"/>
              </w:rPr>
            </w:pPr>
          </w:p>
        </w:tc>
        <w:tc>
          <w:tcPr>
            <w:tcW w:w="792" w:type="dxa"/>
            <w:noWrap w:val="0"/>
            <w:vAlign w:val="center"/>
          </w:tcPr>
          <w:p w14:paraId="67C470F3">
            <w:pPr>
              <w:shd w:val="clear" w:color="auto"/>
              <w:spacing w:line="340" w:lineRule="exact"/>
              <w:rPr>
                <w:rFonts w:hint="default" w:ascii="宋体" w:hAnsi="宋体"/>
                <w:color w:val="auto"/>
                <w:sz w:val="24"/>
                <w:szCs w:val="24"/>
                <w:highlight w:val="none"/>
                <w:lang w:val="en-US"/>
              </w:rPr>
            </w:pPr>
          </w:p>
        </w:tc>
        <w:tc>
          <w:tcPr>
            <w:tcW w:w="687" w:type="dxa"/>
            <w:noWrap w:val="0"/>
            <w:vAlign w:val="center"/>
          </w:tcPr>
          <w:p w14:paraId="4A7D08AD">
            <w:pPr>
              <w:shd w:val="clear" w:color="auto"/>
              <w:spacing w:line="340" w:lineRule="exact"/>
              <w:rPr>
                <w:rFonts w:hint="default" w:ascii="宋体" w:hAnsi="宋体"/>
                <w:color w:val="auto"/>
                <w:sz w:val="24"/>
                <w:szCs w:val="24"/>
                <w:highlight w:val="none"/>
                <w:lang w:val="en-US"/>
              </w:rPr>
            </w:pPr>
          </w:p>
        </w:tc>
      </w:tr>
      <w:tr w14:paraId="592C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301" w:type="dxa"/>
            <w:gridSpan w:val="2"/>
            <w:noWrap w:val="0"/>
            <w:vAlign w:val="center"/>
          </w:tcPr>
          <w:p w14:paraId="5F07A442">
            <w:pPr>
              <w:shd w:val="clear" w:color="auto"/>
              <w:spacing w:line="340" w:lineRule="exact"/>
              <w:rPr>
                <w:rFonts w:ascii="宋体" w:hAnsi="宋体"/>
                <w:b/>
                <w:color w:val="auto"/>
                <w:sz w:val="24"/>
                <w:szCs w:val="24"/>
                <w:highlight w:val="none"/>
              </w:rPr>
            </w:pPr>
            <w:r>
              <w:rPr>
                <w:rFonts w:hint="eastAsia" w:ascii="宋体" w:hAnsi="宋体"/>
                <w:color w:val="auto"/>
                <w:sz w:val="24"/>
                <w:szCs w:val="24"/>
                <w:highlight w:val="none"/>
              </w:rPr>
              <w:t>结论：是否通过</w:t>
            </w:r>
            <w:r>
              <w:rPr>
                <w:rFonts w:hint="eastAsia" w:ascii="宋体" w:hAnsi="宋体"/>
                <w:b/>
                <w:color w:val="auto"/>
                <w:sz w:val="24"/>
                <w:szCs w:val="24"/>
                <w:highlight w:val="none"/>
              </w:rPr>
              <w:t>（</w:t>
            </w:r>
            <w:r>
              <w:rPr>
                <w:rFonts w:hint="eastAsia" w:ascii="宋体" w:hAnsi="宋体"/>
                <w:bCs/>
                <w:color w:val="auto"/>
                <w:sz w:val="24"/>
                <w:szCs w:val="24"/>
                <w:highlight w:val="none"/>
              </w:rPr>
              <w:t>资格审查</w:t>
            </w:r>
            <w:r>
              <w:rPr>
                <w:rFonts w:hint="eastAsia" w:ascii="宋体" w:hAnsi="宋体"/>
                <w:color w:val="auto"/>
                <w:sz w:val="24"/>
                <w:szCs w:val="24"/>
                <w:highlight w:val="none"/>
              </w:rPr>
              <w:t>合格后方可进入符合性审查阶段</w:t>
            </w:r>
            <w:r>
              <w:rPr>
                <w:rFonts w:hint="eastAsia" w:ascii="宋体" w:hAnsi="宋体"/>
                <w:b/>
                <w:color w:val="auto"/>
                <w:sz w:val="24"/>
                <w:szCs w:val="24"/>
                <w:highlight w:val="none"/>
              </w:rPr>
              <w:t>）</w:t>
            </w:r>
          </w:p>
        </w:tc>
        <w:tc>
          <w:tcPr>
            <w:tcW w:w="739" w:type="dxa"/>
            <w:noWrap w:val="0"/>
            <w:vAlign w:val="center"/>
          </w:tcPr>
          <w:p w14:paraId="1CA25CF6">
            <w:pPr>
              <w:shd w:val="clear" w:color="auto"/>
              <w:spacing w:line="340" w:lineRule="exact"/>
              <w:rPr>
                <w:rFonts w:ascii="宋体" w:hAnsi="宋体"/>
                <w:color w:val="auto"/>
                <w:sz w:val="24"/>
                <w:szCs w:val="24"/>
                <w:highlight w:val="none"/>
              </w:rPr>
            </w:pPr>
          </w:p>
        </w:tc>
        <w:tc>
          <w:tcPr>
            <w:tcW w:w="792" w:type="dxa"/>
            <w:noWrap w:val="0"/>
            <w:vAlign w:val="center"/>
          </w:tcPr>
          <w:p w14:paraId="2CD8BE3E">
            <w:pPr>
              <w:shd w:val="clear" w:color="auto"/>
              <w:spacing w:line="340" w:lineRule="exact"/>
              <w:rPr>
                <w:rFonts w:ascii="宋体" w:hAnsi="宋体"/>
                <w:color w:val="auto"/>
                <w:sz w:val="24"/>
                <w:szCs w:val="24"/>
                <w:highlight w:val="none"/>
              </w:rPr>
            </w:pPr>
          </w:p>
        </w:tc>
        <w:tc>
          <w:tcPr>
            <w:tcW w:w="687" w:type="dxa"/>
            <w:noWrap w:val="0"/>
            <w:vAlign w:val="center"/>
          </w:tcPr>
          <w:p w14:paraId="4C7AC6E8">
            <w:pPr>
              <w:shd w:val="clear" w:color="auto"/>
              <w:spacing w:line="340" w:lineRule="exact"/>
              <w:rPr>
                <w:rFonts w:ascii="宋体" w:hAnsi="宋体"/>
                <w:color w:val="auto"/>
                <w:sz w:val="24"/>
                <w:szCs w:val="24"/>
                <w:highlight w:val="none"/>
              </w:rPr>
            </w:pPr>
          </w:p>
        </w:tc>
      </w:tr>
      <w:tr w14:paraId="11DB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8519" w:type="dxa"/>
            <w:gridSpan w:val="5"/>
            <w:noWrap w:val="0"/>
            <w:vAlign w:val="center"/>
          </w:tcPr>
          <w:p w14:paraId="3F34C261">
            <w:pPr>
              <w:shd w:val="clear" w:color="auto"/>
              <w:spacing w:line="340" w:lineRule="exact"/>
              <w:rPr>
                <w:rFonts w:ascii="宋体" w:hAnsi="宋体"/>
                <w:b/>
                <w:color w:val="auto"/>
                <w:sz w:val="24"/>
                <w:szCs w:val="24"/>
                <w:highlight w:val="none"/>
              </w:rPr>
            </w:pPr>
            <w:r>
              <w:rPr>
                <w:rFonts w:hint="eastAsia" w:ascii="宋体" w:hAnsi="宋体"/>
                <w:color w:val="auto"/>
                <w:sz w:val="24"/>
                <w:szCs w:val="24"/>
                <w:highlight w:val="none"/>
              </w:rPr>
              <w:t>备注：如果投标文件中有一项未通过上述审查标准，评标委员会将认定整个投标文件不响应招标文件而予以投标无效，并且不允许供应商通过修改或撤销其不符合要求的差异或保留，使之成为具有响应性的投标。通过审核的以“√”标记；未通过的以“×”标记，并予以说明。</w:t>
            </w:r>
          </w:p>
        </w:tc>
      </w:tr>
    </w:tbl>
    <w:p w14:paraId="62875E2C">
      <w:pPr>
        <w:pStyle w:val="15"/>
        <w:shd w:val="clear" w:color="auto"/>
        <w:rPr>
          <w:rFonts w:hint="eastAsia" w:ascii="宋体" w:hAnsi="宋体"/>
          <w:b/>
          <w:bCs/>
          <w:color w:val="auto"/>
          <w:sz w:val="24"/>
          <w:szCs w:val="24"/>
          <w:highlight w:val="none"/>
          <w:lang w:val="en-US" w:eastAsia="zh-CN"/>
        </w:rPr>
      </w:pPr>
    </w:p>
    <w:p w14:paraId="67726540">
      <w:pPr>
        <w:pStyle w:val="214"/>
        <w:shd w:val="clear" w:color="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rPr>
        <w:t>初步评审</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符合性审查</w:t>
      </w:r>
      <w:r>
        <w:rPr>
          <w:rFonts w:hint="eastAsia" w:ascii="宋体" w:hAnsi="宋体"/>
          <w:b/>
          <w:bCs/>
          <w:color w:val="auto"/>
          <w:sz w:val="24"/>
          <w:szCs w:val="24"/>
          <w:highlight w:val="none"/>
          <w:lang w:val="en-US" w:eastAsia="zh-CN"/>
        </w:rPr>
        <w:t>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463"/>
        <w:gridCol w:w="4863"/>
        <w:gridCol w:w="610"/>
        <w:gridCol w:w="663"/>
        <w:gridCol w:w="663"/>
        <w:gridCol w:w="673"/>
      </w:tblGrid>
      <w:tr w14:paraId="0761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84" w:type="dxa"/>
            <w:tcBorders>
              <w:bottom w:val="single" w:color="auto" w:sz="4" w:space="0"/>
            </w:tcBorders>
            <w:noWrap w:val="0"/>
            <w:vAlign w:val="center"/>
          </w:tcPr>
          <w:p w14:paraId="7F34A7B5">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项目</w:t>
            </w:r>
          </w:p>
        </w:tc>
        <w:tc>
          <w:tcPr>
            <w:tcW w:w="5326" w:type="dxa"/>
            <w:gridSpan w:val="2"/>
            <w:tcBorders>
              <w:bottom w:val="single" w:color="auto" w:sz="4" w:space="0"/>
            </w:tcBorders>
            <w:noWrap w:val="0"/>
            <w:vAlign w:val="center"/>
          </w:tcPr>
          <w:p w14:paraId="6B150742">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评  审  内  容</w:t>
            </w:r>
          </w:p>
        </w:tc>
        <w:tc>
          <w:tcPr>
            <w:tcW w:w="610" w:type="dxa"/>
            <w:tcBorders>
              <w:bottom w:val="single" w:color="auto" w:sz="4" w:space="0"/>
            </w:tcBorders>
            <w:noWrap w:val="0"/>
            <w:vAlign w:val="center"/>
          </w:tcPr>
          <w:p w14:paraId="633A0860">
            <w:pPr>
              <w:shd w:val="clear" w:color="auto"/>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供应商1</w:t>
            </w:r>
          </w:p>
        </w:tc>
        <w:tc>
          <w:tcPr>
            <w:tcW w:w="663" w:type="dxa"/>
            <w:tcBorders>
              <w:bottom w:val="single" w:color="auto" w:sz="4" w:space="0"/>
            </w:tcBorders>
            <w:noWrap w:val="0"/>
            <w:vAlign w:val="center"/>
          </w:tcPr>
          <w:p w14:paraId="09F597B5">
            <w:pPr>
              <w:shd w:val="clear" w:color="auto"/>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供应商2</w:t>
            </w:r>
          </w:p>
        </w:tc>
        <w:tc>
          <w:tcPr>
            <w:tcW w:w="663" w:type="dxa"/>
            <w:tcBorders>
              <w:bottom w:val="single" w:color="auto" w:sz="4" w:space="0"/>
            </w:tcBorders>
            <w:noWrap w:val="0"/>
            <w:vAlign w:val="center"/>
          </w:tcPr>
          <w:p w14:paraId="7C817CC7">
            <w:pPr>
              <w:shd w:val="clear" w:color="auto"/>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供应商3</w:t>
            </w:r>
          </w:p>
        </w:tc>
        <w:tc>
          <w:tcPr>
            <w:tcW w:w="673" w:type="dxa"/>
            <w:tcBorders>
              <w:bottom w:val="single" w:color="auto" w:sz="4" w:space="0"/>
            </w:tcBorders>
            <w:noWrap w:val="0"/>
            <w:vAlign w:val="center"/>
          </w:tcPr>
          <w:p w14:paraId="62464972">
            <w:pPr>
              <w:shd w:val="clear" w:color="auto"/>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供应商N</w:t>
            </w:r>
          </w:p>
        </w:tc>
      </w:tr>
      <w:tr w14:paraId="245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584" w:type="dxa"/>
            <w:vMerge w:val="restart"/>
            <w:noWrap w:val="0"/>
            <w:vAlign w:val="center"/>
          </w:tcPr>
          <w:p w14:paraId="63498376">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初</w:t>
            </w:r>
          </w:p>
          <w:p w14:paraId="334CBEAA">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步</w:t>
            </w:r>
          </w:p>
          <w:p w14:paraId="7A1D60F8">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评</w:t>
            </w:r>
          </w:p>
          <w:p w14:paraId="6FA58EEF">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审</w:t>
            </w:r>
          </w:p>
          <w:p w14:paraId="1C3CC935">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w:t>
            </w:r>
          </w:p>
          <w:p w14:paraId="5DE5C17F">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符合性审查</w:t>
            </w:r>
          </w:p>
          <w:p w14:paraId="19CAA71E">
            <w:pPr>
              <w:shd w:val="clear" w:color="auto"/>
              <w:spacing w:line="440" w:lineRule="exact"/>
              <w:jc w:val="center"/>
              <w:rPr>
                <w:rFonts w:ascii="宋体" w:hAnsi="宋体"/>
                <w:color w:val="auto"/>
                <w:sz w:val="24"/>
                <w:szCs w:val="24"/>
                <w:highlight w:val="none"/>
              </w:rPr>
            </w:pPr>
            <w:r>
              <w:rPr>
                <w:rFonts w:hint="eastAsia" w:ascii="宋体" w:hAnsi="宋体"/>
                <w:b/>
                <w:color w:val="auto"/>
                <w:sz w:val="24"/>
                <w:szCs w:val="24"/>
                <w:highlight w:val="none"/>
              </w:rPr>
              <w:t>︺</w:t>
            </w:r>
          </w:p>
        </w:tc>
        <w:tc>
          <w:tcPr>
            <w:tcW w:w="463" w:type="dxa"/>
            <w:noWrap w:val="0"/>
            <w:vAlign w:val="center"/>
          </w:tcPr>
          <w:p w14:paraId="1154270F">
            <w:pPr>
              <w:shd w:val="clear" w:color="auto"/>
              <w:jc w:val="center"/>
              <w:rPr>
                <w:rFonts w:ascii="宋体" w:hAnsi="宋体"/>
                <w:color w:val="auto"/>
                <w:szCs w:val="21"/>
                <w:highlight w:val="none"/>
              </w:rPr>
            </w:pPr>
            <w:r>
              <w:rPr>
                <w:rFonts w:hint="eastAsia" w:ascii="宋体" w:hAnsi="宋体"/>
                <w:color w:val="auto"/>
                <w:sz w:val="24"/>
                <w:szCs w:val="24"/>
                <w:highlight w:val="none"/>
              </w:rPr>
              <w:t>1</w:t>
            </w:r>
          </w:p>
        </w:tc>
        <w:tc>
          <w:tcPr>
            <w:tcW w:w="4863" w:type="dxa"/>
            <w:noWrap w:val="0"/>
            <w:vAlign w:val="center"/>
          </w:tcPr>
          <w:p w14:paraId="3F27819E">
            <w:pPr>
              <w:shd w:val="clear" w:color="auto"/>
              <w:rPr>
                <w:rFonts w:ascii="宋体" w:hAnsi="宋体"/>
                <w:color w:val="auto"/>
                <w:szCs w:val="21"/>
                <w:highlight w:val="none"/>
              </w:rPr>
            </w:pPr>
            <w:r>
              <w:rPr>
                <w:rFonts w:hint="eastAsia" w:ascii="宋体" w:hAnsi="宋体"/>
                <w:color w:val="auto"/>
                <w:sz w:val="24"/>
                <w:szCs w:val="24"/>
                <w:highlight w:val="none"/>
                <w:lang w:val="en-US" w:eastAsia="zh-CN"/>
              </w:rPr>
              <w:t>投标报价不得超过招标文件采购预算及最高投标限价，是否按照招标文件格式填写；</w:t>
            </w:r>
          </w:p>
        </w:tc>
        <w:tc>
          <w:tcPr>
            <w:tcW w:w="610" w:type="dxa"/>
            <w:noWrap w:val="0"/>
            <w:vAlign w:val="center"/>
          </w:tcPr>
          <w:p w14:paraId="52DF0239">
            <w:pPr>
              <w:shd w:val="clear" w:color="auto"/>
              <w:spacing w:line="440" w:lineRule="exact"/>
              <w:rPr>
                <w:rFonts w:ascii="宋体" w:hAnsi="宋体"/>
                <w:color w:val="auto"/>
                <w:sz w:val="24"/>
                <w:szCs w:val="24"/>
                <w:highlight w:val="none"/>
              </w:rPr>
            </w:pPr>
          </w:p>
        </w:tc>
        <w:tc>
          <w:tcPr>
            <w:tcW w:w="663" w:type="dxa"/>
            <w:noWrap w:val="0"/>
            <w:vAlign w:val="center"/>
          </w:tcPr>
          <w:p w14:paraId="2FD70DA8">
            <w:pPr>
              <w:shd w:val="clear" w:color="auto"/>
              <w:spacing w:line="440" w:lineRule="exact"/>
              <w:rPr>
                <w:rFonts w:ascii="宋体" w:hAnsi="宋体"/>
                <w:color w:val="auto"/>
                <w:sz w:val="24"/>
                <w:szCs w:val="24"/>
                <w:highlight w:val="none"/>
              </w:rPr>
            </w:pPr>
          </w:p>
        </w:tc>
        <w:tc>
          <w:tcPr>
            <w:tcW w:w="663" w:type="dxa"/>
            <w:noWrap w:val="0"/>
            <w:vAlign w:val="center"/>
          </w:tcPr>
          <w:p w14:paraId="405F3D20">
            <w:pPr>
              <w:shd w:val="clear" w:color="auto"/>
              <w:spacing w:line="440" w:lineRule="exact"/>
              <w:rPr>
                <w:rFonts w:ascii="宋体" w:hAnsi="宋体"/>
                <w:color w:val="auto"/>
                <w:sz w:val="24"/>
                <w:szCs w:val="24"/>
                <w:highlight w:val="none"/>
              </w:rPr>
            </w:pPr>
          </w:p>
        </w:tc>
        <w:tc>
          <w:tcPr>
            <w:tcW w:w="673" w:type="dxa"/>
            <w:noWrap w:val="0"/>
            <w:vAlign w:val="center"/>
          </w:tcPr>
          <w:p w14:paraId="4E11E87F">
            <w:pPr>
              <w:shd w:val="clear" w:color="auto"/>
              <w:spacing w:line="440" w:lineRule="exact"/>
              <w:rPr>
                <w:rFonts w:ascii="宋体" w:hAnsi="宋体"/>
                <w:color w:val="auto"/>
                <w:sz w:val="24"/>
                <w:szCs w:val="24"/>
                <w:highlight w:val="none"/>
              </w:rPr>
            </w:pPr>
          </w:p>
        </w:tc>
      </w:tr>
      <w:tr w14:paraId="778D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84" w:type="dxa"/>
            <w:vMerge w:val="continue"/>
            <w:noWrap w:val="0"/>
            <w:vAlign w:val="center"/>
          </w:tcPr>
          <w:p w14:paraId="43FF894D">
            <w:pPr>
              <w:shd w:val="clear" w:color="auto"/>
              <w:spacing w:line="440" w:lineRule="exact"/>
              <w:jc w:val="center"/>
              <w:rPr>
                <w:rFonts w:hint="eastAsia" w:ascii="宋体" w:hAnsi="宋体"/>
                <w:b/>
                <w:color w:val="auto"/>
                <w:sz w:val="24"/>
                <w:szCs w:val="24"/>
                <w:highlight w:val="none"/>
              </w:rPr>
            </w:pPr>
          </w:p>
        </w:tc>
        <w:tc>
          <w:tcPr>
            <w:tcW w:w="463" w:type="dxa"/>
            <w:noWrap w:val="0"/>
            <w:vAlign w:val="center"/>
          </w:tcPr>
          <w:p w14:paraId="3B22C1BD">
            <w:pPr>
              <w:shd w:val="clear" w:color="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4863" w:type="dxa"/>
            <w:noWrap w:val="0"/>
            <w:vAlign w:val="center"/>
          </w:tcPr>
          <w:p w14:paraId="68F8B6CD">
            <w:pPr>
              <w:shd w:val="clear" w:color="auto"/>
              <w:rPr>
                <w:rFonts w:hint="eastAsia" w:ascii="宋体" w:hAnsi="宋体"/>
                <w:color w:val="auto"/>
                <w:sz w:val="24"/>
                <w:szCs w:val="24"/>
                <w:highlight w:val="none"/>
              </w:rPr>
            </w:pPr>
            <w:r>
              <w:rPr>
                <w:rFonts w:hint="eastAsia" w:ascii="宋体" w:hAnsi="宋体"/>
                <w:color w:val="auto"/>
                <w:sz w:val="24"/>
                <w:szCs w:val="24"/>
                <w:highlight w:val="none"/>
              </w:rPr>
              <w:t>投标文件是否</w:t>
            </w:r>
            <w:r>
              <w:rPr>
                <w:rFonts w:hint="eastAsia" w:ascii="宋体" w:hAnsi="宋体"/>
                <w:color w:val="auto"/>
                <w:sz w:val="24"/>
                <w:szCs w:val="24"/>
                <w:highlight w:val="none"/>
                <w:lang w:val="zh-CN"/>
              </w:rPr>
              <w:t>按照招标文件规定格式完整提供</w:t>
            </w:r>
            <w:r>
              <w:rPr>
                <w:rFonts w:hint="eastAsia" w:ascii="宋体" w:hAnsi="宋体"/>
                <w:color w:val="auto"/>
                <w:sz w:val="24"/>
                <w:szCs w:val="24"/>
                <w:highlight w:val="none"/>
              </w:rPr>
              <w:t>；</w:t>
            </w:r>
          </w:p>
        </w:tc>
        <w:tc>
          <w:tcPr>
            <w:tcW w:w="610" w:type="dxa"/>
            <w:noWrap w:val="0"/>
            <w:vAlign w:val="center"/>
          </w:tcPr>
          <w:p w14:paraId="6F444B4C">
            <w:pPr>
              <w:shd w:val="clear" w:color="auto"/>
              <w:spacing w:line="440" w:lineRule="exact"/>
              <w:rPr>
                <w:rFonts w:ascii="宋体" w:hAnsi="宋体"/>
                <w:color w:val="auto"/>
                <w:sz w:val="24"/>
                <w:szCs w:val="24"/>
                <w:highlight w:val="none"/>
              </w:rPr>
            </w:pPr>
          </w:p>
        </w:tc>
        <w:tc>
          <w:tcPr>
            <w:tcW w:w="663" w:type="dxa"/>
            <w:noWrap w:val="0"/>
            <w:vAlign w:val="center"/>
          </w:tcPr>
          <w:p w14:paraId="74F90F03">
            <w:pPr>
              <w:shd w:val="clear" w:color="auto"/>
              <w:spacing w:line="440" w:lineRule="exact"/>
              <w:rPr>
                <w:rFonts w:ascii="宋体" w:hAnsi="宋体"/>
                <w:color w:val="auto"/>
                <w:sz w:val="24"/>
                <w:szCs w:val="24"/>
                <w:highlight w:val="none"/>
              </w:rPr>
            </w:pPr>
          </w:p>
        </w:tc>
        <w:tc>
          <w:tcPr>
            <w:tcW w:w="663" w:type="dxa"/>
            <w:noWrap w:val="0"/>
            <w:vAlign w:val="center"/>
          </w:tcPr>
          <w:p w14:paraId="7C30707B">
            <w:pPr>
              <w:shd w:val="clear" w:color="auto"/>
              <w:spacing w:line="440" w:lineRule="exact"/>
              <w:rPr>
                <w:rFonts w:ascii="宋体" w:hAnsi="宋体"/>
                <w:color w:val="auto"/>
                <w:sz w:val="24"/>
                <w:szCs w:val="24"/>
                <w:highlight w:val="none"/>
              </w:rPr>
            </w:pPr>
          </w:p>
        </w:tc>
        <w:tc>
          <w:tcPr>
            <w:tcW w:w="673" w:type="dxa"/>
            <w:noWrap w:val="0"/>
            <w:vAlign w:val="center"/>
          </w:tcPr>
          <w:p w14:paraId="44F3EE98">
            <w:pPr>
              <w:shd w:val="clear" w:color="auto"/>
              <w:spacing w:line="440" w:lineRule="exact"/>
              <w:rPr>
                <w:rFonts w:ascii="宋体" w:hAnsi="宋体"/>
                <w:color w:val="auto"/>
                <w:sz w:val="24"/>
                <w:szCs w:val="24"/>
                <w:highlight w:val="none"/>
              </w:rPr>
            </w:pPr>
          </w:p>
        </w:tc>
      </w:tr>
      <w:tr w14:paraId="573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84" w:type="dxa"/>
            <w:vMerge w:val="continue"/>
            <w:noWrap w:val="0"/>
            <w:vAlign w:val="center"/>
          </w:tcPr>
          <w:p w14:paraId="7E7CD571">
            <w:pPr>
              <w:shd w:val="clear" w:color="auto"/>
              <w:spacing w:line="440" w:lineRule="exact"/>
              <w:jc w:val="center"/>
              <w:rPr>
                <w:rFonts w:ascii="宋体" w:hAnsi="宋体"/>
                <w:color w:val="auto"/>
                <w:sz w:val="24"/>
                <w:szCs w:val="24"/>
                <w:highlight w:val="none"/>
              </w:rPr>
            </w:pPr>
          </w:p>
        </w:tc>
        <w:tc>
          <w:tcPr>
            <w:tcW w:w="463" w:type="dxa"/>
            <w:noWrap w:val="0"/>
            <w:vAlign w:val="center"/>
          </w:tcPr>
          <w:p w14:paraId="2120E3FF">
            <w:pPr>
              <w:shd w:val="clear" w:color="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4863" w:type="dxa"/>
            <w:noWrap w:val="0"/>
            <w:vAlign w:val="center"/>
          </w:tcPr>
          <w:p w14:paraId="657ADA7F">
            <w:pPr>
              <w:shd w:val="clear" w:color="auto"/>
              <w:rPr>
                <w:rFonts w:ascii="宋体" w:hAnsi="宋体"/>
                <w:color w:val="auto"/>
                <w:szCs w:val="21"/>
                <w:highlight w:val="none"/>
              </w:rPr>
            </w:pPr>
            <w:r>
              <w:rPr>
                <w:rFonts w:hint="eastAsia" w:ascii="宋体" w:hAnsi="宋体"/>
                <w:color w:val="auto"/>
                <w:sz w:val="24"/>
                <w:szCs w:val="24"/>
                <w:highlight w:val="none"/>
                <w:lang w:val="zh-CN"/>
              </w:rPr>
              <w:t>投标文件中法定代表人身份证明书是否按招标文件规定格式完整提供</w:t>
            </w:r>
            <w:r>
              <w:rPr>
                <w:rFonts w:hint="eastAsia" w:ascii="宋体" w:hAnsi="宋体"/>
                <w:color w:val="auto"/>
                <w:sz w:val="24"/>
                <w:szCs w:val="24"/>
                <w:highlight w:val="none"/>
              </w:rPr>
              <w:t>；</w:t>
            </w:r>
          </w:p>
        </w:tc>
        <w:tc>
          <w:tcPr>
            <w:tcW w:w="610" w:type="dxa"/>
            <w:noWrap w:val="0"/>
            <w:vAlign w:val="center"/>
          </w:tcPr>
          <w:p w14:paraId="2902864A">
            <w:pPr>
              <w:shd w:val="clear" w:color="auto"/>
              <w:spacing w:line="440" w:lineRule="exact"/>
              <w:rPr>
                <w:rFonts w:ascii="宋体" w:hAnsi="宋体"/>
                <w:color w:val="auto"/>
                <w:sz w:val="24"/>
                <w:szCs w:val="24"/>
                <w:highlight w:val="none"/>
              </w:rPr>
            </w:pPr>
          </w:p>
        </w:tc>
        <w:tc>
          <w:tcPr>
            <w:tcW w:w="663" w:type="dxa"/>
            <w:noWrap w:val="0"/>
            <w:vAlign w:val="center"/>
          </w:tcPr>
          <w:p w14:paraId="279BA0DA">
            <w:pPr>
              <w:shd w:val="clear" w:color="auto"/>
              <w:spacing w:line="440" w:lineRule="exact"/>
              <w:rPr>
                <w:rFonts w:ascii="宋体" w:hAnsi="宋体"/>
                <w:color w:val="auto"/>
                <w:sz w:val="24"/>
                <w:szCs w:val="24"/>
                <w:highlight w:val="none"/>
              </w:rPr>
            </w:pPr>
          </w:p>
        </w:tc>
        <w:tc>
          <w:tcPr>
            <w:tcW w:w="663" w:type="dxa"/>
            <w:noWrap w:val="0"/>
            <w:vAlign w:val="center"/>
          </w:tcPr>
          <w:p w14:paraId="456FF29E">
            <w:pPr>
              <w:shd w:val="clear" w:color="auto"/>
              <w:spacing w:line="440" w:lineRule="exact"/>
              <w:rPr>
                <w:rFonts w:ascii="宋体" w:hAnsi="宋体"/>
                <w:color w:val="auto"/>
                <w:sz w:val="24"/>
                <w:szCs w:val="24"/>
                <w:highlight w:val="none"/>
              </w:rPr>
            </w:pPr>
          </w:p>
        </w:tc>
        <w:tc>
          <w:tcPr>
            <w:tcW w:w="673" w:type="dxa"/>
            <w:noWrap w:val="0"/>
            <w:vAlign w:val="center"/>
          </w:tcPr>
          <w:p w14:paraId="3F115364">
            <w:pPr>
              <w:shd w:val="clear" w:color="auto"/>
              <w:spacing w:line="440" w:lineRule="exact"/>
              <w:rPr>
                <w:rFonts w:ascii="宋体" w:hAnsi="宋体"/>
                <w:color w:val="auto"/>
                <w:sz w:val="24"/>
                <w:szCs w:val="24"/>
                <w:highlight w:val="none"/>
              </w:rPr>
            </w:pPr>
          </w:p>
        </w:tc>
      </w:tr>
      <w:tr w14:paraId="4D9C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84" w:type="dxa"/>
            <w:vMerge w:val="continue"/>
            <w:noWrap w:val="0"/>
            <w:vAlign w:val="center"/>
          </w:tcPr>
          <w:p w14:paraId="15099D60">
            <w:pPr>
              <w:shd w:val="clear" w:color="auto"/>
              <w:spacing w:line="440" w:lineRule="exact"/>
              <w:jc w:val="center"/>
              <w:rPr>
                <w:rFonts w:ascii="宋体" w:hAnsi="宋体"/>
                <w:color w:val="auto"/>
                <w:sz w:val="24"/>
                <w:szCs w:val="24"/>
                <w:highlight w:val="none"/>
              </w:rPr>
            </w:pPr>
          </w:p>
        </w:tc>
        <w:tc>
          <w:tcPr>
            <w:tcW w:w="463" w:type="dxa"/>
            <w:noWrap w:val="0"/>
            <w:vAlign w:val="center"/>
          </w:tcPr>
          <w:p w14:paraId="6EB9C96D">
            <w:pPr>
              <w:shd w:val="clear" w:color="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4863" w:type="dxa"/>
            <w:noWrap w:val="0"/>
            <w:vAlign w:val="center"/>
          </w:tcPr>
          <w:p w14:paraId="74B12AC5">
            <w:pPr>
              <w:shd w:val="clear" w:color="auto"/>
              <w:rPr>
                <w:rFonts w:ascii="宋体" w:hAnsi="宋体"/>
                <w:color w:val="auto"/>
                <w:szCs w:val="21"/>
                <w:highlight w:val="none"/>
              </w:rPr>
            </w:pPr>
            <w:r>
              <w:rPr>
                <w:rFonts w:hint="eastAsia" w:ascii="宋体" w:hAnsi="宋体"/>
                <w:color w:val="auto"/>
                <w:sz w:val="24"/>
                <w:szCs w:val="24"/>
                <w:highlight w:val="none"/>
                <w:lang w:val="zh-CN"/>
              </w:rPr>
              <w:t>投标文件中法定代表人授权委托书是否按招标文件规定格式完整提供</w:t>
            </w:r>
            <w:r>
              <w:rPr>
                <w:rFonts w:hint="eastAsia" w:ascii="宋体" w:hAnsi="宋体"/>
                <w:color w:val="auto"/>
                <w:sz w:val="24"/>
                <w:szCs w:val="24"/>
                <w:highlight w:val="none"/>
              </w:rPr>
              <w:t>；</w:t>
            </w:r>
          </w:p>
        </w:tc>
        <w:tc>
          <w:tcPr>
            <w:tcW w:w="610" w:type="dxa"/>
            <w:noWrap w:val="0"/>
            <w:vAlign w:val="center"/>
          </w:tcPr>
          <w:p w14:paraId="0BD15E98">
            <w:pPr>
              <w:shd w:val="clear" w:color="auto"/>
              <w:spacing w:line="440" w:lineRule="exact"/>
              <w:rPr>
                <w:rFonts w:ascii="宋体" w:hAnsi="宋体"/>
                <w:color w:val="auto"/>
                <w:sz w:val="24"/>
                <w:szCs w:val="24"/>
                <w:highlight w:val="none"/>
              </w:rPr>
            </w:pPr>
          </w:p>
        </w:tc>
        <w:tc>
          <w:tcPr>
            <w:tcW w:w="663" w:type="dxa"/>
            <w:noWrap w:val="0"/>
            <w:vAlign w:val="center"/>
          </w:tcPr>
          <w:p w14:paraId="2525B98D">
            <w:pPr>
              <w:shd w:val="clear" w:color="auto"/>
              <w:spacing w:line="440" w:lineRule="exact"/>
              <w:rPr>
                <w:rFonts w:ascii="宋体" w:hAnsi="宋体"/>
                <w:color w:val="auto"/>
                <w:sz w:val="24"/>
                <w:szCs w:val="24"/>
                <w:highlight w:val="none"/>
              </w:rPr>
            </w:pPr>
          </w:p>
        </w:tc>
        <w:tc>
          <w:tcPr>
            <w:tcW w:w="663" w:type="dxa"/>
            <w:noWrap w:val="0"/>
            <w:vAlign w:val="center"/>
          </w:tcPr>
          <w:p w14:paraId="24C36EE1">
            <w:pPr>
              <w:shd w:val="clear" w:color="auto"/>
              <w:spacing w:line="440" w:lineRule="exact"/>
              <w:rPr>
                <w:rFonts w:ascii="宋体" w:hAnsi="宋体"/>
                <w:color w:val="auto"/>
                <w:sz w:val="24"/>
                <w:szCs w:val="24"/>
                <w:highlight w:val="none"/>
              </w:rPr>
            </w:pPr>
          </w:p>
        </w:tc>
        <w:tc>
          <w:tcPr>
            <w:tcW w:w="673" w:type="dxa"/>
            <w:noWrap w:val="0"/>
            <w:vAlign w:val="center"/>
          </w:tcPr>
          <w:p w14:paraId="46495A63">
            <w:pPr>
              <w:shd w:val="clear" w:color="auto"/>
              <w:spacing w:line="440" w:lineRule="exact"/>
              <w:rPr>
                <w:rFonts w:ascii="宋体" w:hAnsi="宋体"/>
                <w:color w:val="auto"/>
                <w:sz w:val="24"/>
                <w:szCs w:val="24"/>
                <w:highlight w:val="none"/>
              </w:rPr>
            </w:pPr>
          </w:p>
        </w:tc>
      </w:tr>
      <w:tr w14:paraId="0947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84" w:type="dxa"/>
            <w:vMerge w:val="continue"/>
            <w:noWrap w:val="0"/>
            <w:vAlign w:val="center"/>
          </w:tcPr>
          <w:p w14:paraId="587AA81B">
            <w:pPr>
              <w:shd w:val="clear" w:color="auto"/>
              <w:spacing w:line="440" w:lineRule="exact"/>
              <w:jc w:val="center"/>
              <w:rPr>
                <w:rFonts w:ascii="宋体" w:hAnsi="宋体"/>
                <w:color w:val="auto"/>
                <w:sz w:val="24"/>
                <w:szCs w:val="24"/>
                <w:highlight w:val="none"/>
              </w:rPr>
            </w:pPr>
          </w:p>
        </w:tc>
        <w:tc>
          <w:tcPr>
            <w:tcW w:w="463" w:type="dxa"/>
            <w:noWrap w:val="0"/>
            <w:vAlign w:val="center"/>
          </w:tcPr>
          <w:p w14:paraId="6F1126BB">
            <w:pPr>
              <w:shd w:val="clear" w:color="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863" w:type="dxa"/>
            <w:noWrap w:val="0"/>
            <w:vAlign w:val="center"/>
          </w:tcPr>
          <w:p w14:paraId="12D16A62">
            <w:pPr>
              <w:shd w:val="clear" w:color="auto"/>
              <w:rPr>
                <w:rFonts w:ascii="宋体" w:hAnsi="宋体"/>
                <w:color w:val="auto"/>
                <w:szCs w:val="21"/>
                <w:highlight w:val="none"/>
              </w:rPr>
            </w:pPr>
            <w:r>
              <w:rPr>
                <w:rFonts w:hint="eastAsia" w:ascii="宋体" w:hAnsi="宋体"/>
                <w:color w:val="auto"/>
                <w:sz w:val="24"/>
                <w:szCs w:val="24"/>
                <w:highlight w:val="none"/>
              </w:rPr>
              <w:t>投标文件是否按招标文件要求签字或盖章；</w:t>
            </w:r>
          </w:p>
        </w:tc>
        <w:tc>
          <w:tcPr>
            <w:tcW w:w="610" w:type="dxa"/>
            <w:noWrap w:val="0"/>
            <w:vAlign w:val="center"/>
          </w:tcPr>
          <w:p w14:paraId="70493B40">
            <w:pPr>
              <w:shd w:val="clear" w:color="auto"/>
              <w:spacing w:line="440" w:lineRule="exact"/>
              <w:rPr>
                <w:rFonts w:ascii="宋体" w:hAnsi="宋体"/>
                <w:color w:val="auto"/>
                <w:sz w:val="24"/>
                <w:szCs w:val="24"/>
                <w:highlight w:val="none"/>
              </w:rPr>
            </w:pPr>
          </w:p>
        </w:tc>
        <w:tc>
          <w:tcPr>
            <w:tcW w:w="663" w:type="dxa"/>
            <w:noWrap w:val="0"/>
            <w:vAlign w:val="center"/>
          </w:tcPr>
          <w:p w14:paraId="0776759A">
            <w:pPr>
              <w:shd w:val="clear" w:color="auto"/>
              <w:spacing w:line="440" w:lineRule="exact"/>
              <w:rPr>
                <w:rFonts w:ascii="宋体" w:hAnsi="宋体"/>
                <w:color w:val="auto"/>
                <w:sz w:val="24"/>
                <w:szCs w:val="24"/>
                <w:highlight w:val="none"/>
              </w:rPr>
            </w:pPr>
          </w:p>
        </w:tc>
        <w:tc>
          <w:tcPr>
            <w:tcW w:w="663" w:type="dxa"/>
            <w:noWrap w:val="0"/>
            <w:vAlign w:val="center"/>
          </w:tcPr>
          <w:p w14:paraId="44872A7D">
            <w:pPr>
              <w:shd w:val="clear" w:color="auto"/>
              <w:spacing w:line="440" w:lineRule="exact"/>
              <w:rPr>
                <w:rFonts w:ascii="宋体" w:hAnsi="宋体"/>
                <w:color w:val="auto"/>
                <w:sz w:val="24"/>
                <w:szCs w:val="24"/>
                <w:highlight w:val="none"/>
              </w:rPr>
            </w:pPr>
          </w:p>
        </w:tc>
        <w:tc>
          <w:tcPr>
            <w:tcW w:w="673" w:type="dxa"/>
            <w:noWrap w:val="0"/>
            <w:vAlign w:val="center"/>
          </w:tcPr>
          <w:p w14:paraId="73124772">
            <w:pPr>
              <w:shd w:val="clear" w:color="auto"/>
              <w:spacing w:line="440" w:lineRule="exact"/>
              <w:rPr>
                <w:rFonts w:ascii="宋体" w:hAnsi="宋体"/>
                <w:color w:val="auto"/>
                <w:sz w:val="24"/>
                <w:szCs w:val="24"/>
                <w:highlight w:val="none"/>
              </w:rPr>
            </w:pPr>
          </w:p>
        </w:tc>
      </w:tr>
      <w:tr w14:paraId="783C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84" w:type="dxa"/>
            <w:vMerge w:val="continue"/>
            <w:noWrap w:val="0"/>
            <w:vAlign w:val="center"/>
          </w:tcPr>
          <w:p w14:paraId="2142DA3A">
            <w:pPr>
              <w:shd w:val="clear" w:color="auto"/>
              <w:spacing w:line="440" w:lineRule="exact"/>
              <w:jc w:val="center"/>
              <w:rPr>
                <w:rFonts w:ascii="宋体" w:hAnsi="宋体"/>
                <w:color w:val="auto"/>
                <w:sz w:val="24"/>
                <w:szCs w:val="24"/>
                <w:highlight w:val="none"/>
              </w:rPr>
            </w:pPr>
          </w:p>
        </w:tc>
        <w:tc>
          <w:tcPr>
            <w:tcW w:w="463" w:type="dxa"/>
            <w:noWrap w:val="0"/>
            <w:vAlign w:val="center"/>
          </w:tcPr>
          <w:p w14:paraId="15D3C260">
            <w:pPr>
              <w:shd w:val="clear" w:color="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4863" w:type="dxa"/>
            <w:noWrap w:val="0"/>
            <w:vAlign w:val="center"/>
          </w:tcPr>
          <w:p w14:paraId="6EF69CA5">
            <w:pPr>
              <w:shd w:val="clear" w:color="auto"/>
              <w:rPr>
                <w:rFonts w:ascii="宋体" w:hAnsi="宋体"/>
                <w:color w:val="auto"/>
                <w:szCs w:val="21"/>
                <w:highlight w:val="none"/>
              </w:rPr>
            </w:pPr>
            <w:r>
              <w:rPr>
                <w:rFonts w:hint="eastAsia" w:ascii="宋体" w:hAnsi="宋体"/>
                <w:color w:val="auto"/>
                <w:sz w:val="24"/>
                <w:szCs w:val="24"/>
                <w:highlight w:val="none"/>
              </w:rPr>
              <w:t>投标保证金</w:t>
            </w:r>
            <w:r>
              <w:rPr>
                <w:rFonts w:hint="eastAsia" w:ascii="宋体" w:hAnsi="宋体"/>
                <w:color w:val="auto"/>
                <w:sz w:val="24"/>
                <w:szCs w:val="24"/>
                <w:highlight w:val="none"/>
                <w:lang w:val="en-US" w:eastAsia="zh-CN"/>
              </w:rPr>
              <w:t>是否按招标文件规定</w:t>
            </w:r>
            <w:r>
              <w:rPr>
                <w:rFonts w:hint="eastAsia" w:ascii="宋体" w:hAnsi="宋体"/>
                <w:color w:val="auto"/>
                <w:sz w:val="24"/>
                <w:szCs w:val="24"/>
                <w:highlight w:val="none"/>
              </w:rPr>
              <w:t>缴纳</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缴纳</w:t>
            </w:r>
            <w:r>
              <w:rPr>
                <w:rFonts w:hint="eastAsia" w:ascii="宋体" w:hAnsi="宋体"/>
                <w:color w:val="auto"/>
                <w:sz w:val="24"/>
                <w:szCs w:val="24"/>
                <w:highlight w:val="none"/>
              </w:rPr>
              <w:t>主体是否与供应商一致、提供投标担保符合招标文件要求；</w:t>
            </w:r>
          </w:p>
        </w:tc>
        <w:tc>
          <w:tcPr>
            <w:tcW w:w="610" w:type="dxa"/>
            <w:noWrap w:val="0"/>
            <w:vAlign w:val="center"/>
          </w:tcPr>
          <w:p w14:paraId="57AB4EB6">
            <w:pPr>
              <w:shd w:val="clear" w:color="auto"/>
              <w:spacing w:line="440" w:lineRule="exact"/>
              <w:rPr>
                <w:rFonts w:ascii="宋体" w:hAnsi="宋体"/>
                <w:color w:val="auto"/>
                <w:sz w:val="24"/>
                <w:szCs w:val="24"/>
                <w:highlight w:val="none"/>
              </w:rPr>
            </w:pPr>
          </w:p>
        </w:tc>
        <w:tc>
          <w:tcPr>
            <w:tcW w:w="663" w:type="dxa"/>
            <w:noWrap w:val="0"/>
            <w:vAlign w:val="center"/>
          </w:tcPr>
          <w:p w14:paraId="2E3C8D7C">
            <w:pPr>
              <w:shd w:val="clear" w:color="auto"/>
              <w:spacing w:line="440" w:lineRule="exact"/>
              <w:rPr>
                <w:rFonts w:ascii="宋体" w:hAnsi="宋体"/>
                <w:color w:val="auto"/>
                <w:sz w:val="24"/>
                <w:szCs w:val="24"/>
                <w:highlight w:val="none"/>
              </w:rPr>
            </w:pPr>
          </w:p>
        </w:tc>
        <w:tc>
          <w:tcPr>
            <w:tcW w:w="663" w:type="dxa"/>
            <w:noWrap w:val="0"/>
            <w:vAlign w:val="center"/>
          </w:tcPr>
          <w:p w14:paraId="071C6616">
            <w:pPr>
              <w:shd w:val="clear" w:color="auto"/>
              <w:spacing w:line="440" w:lineRule="exact"/>
              <w:rPr>
                <w:rFonts w:ascii="宋体" w:hAnsi="宋体"/>
                <w:color w:val="auto"/>
                <w:sz w:val="24"/>
                <w:szCs w:val="24"/>
                <w:highlight w:val="none"/>
              </w:rPr>
            </w:pPr>
          </w:p>
        </w:tc>
        <w:tc>
          <w:tcPr>
            <w:tcW w:w="673" w:type="dxa"/>
            <w:noWrap w:val="0"/>
            <w:vAlign w:val="center"/>
          </w:tcPr>
          <w:p w14:paraId="4A0304C0">
            <w:pPr>
              <w:shd w:val="clear" w:color="auto"/>
              <w:spacing w:line="440" w:lineRule="exact"/>
              <w:rPr>
                <w:rFonts w:ascii="宋体" w:hAnsi="宋体"/>
                <w:color w:val="auto"/>
                <w:sz w:val="24"/>
                <w:szCs w:val="24"/>
                <w:highlight w:val="none"/>
              </w:rPr>
            </w:pPr>
          </w:p>
        </w:tc>
      </w:tr>
      <w:tr w14:paraId="411B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84" w:type="dxa"/>
            <w:vMerge w:val="continue"/>
            <w:noWrap w:val="0"/>
            <w:vAlign w:val="center"/>
          </w:tcPr>
          <w:p w14:paraId="3F9216F6">
            <w:pPr>
              <w:shd w:val="clear" w:color="auto"/>
              <w:spacing w:line="440" w:lineRule="exact"/>
              <w:jc w:val="center"/>
              <w:rPr>
                <w:rFonts w:ascii="宋体" w:hAnsi="宋体"/>
                <w:color w:val="auto"/>
                <w:sz w:val="24"/>
                <w:szCs w:val="24"/>
                <w:highlight w:val="none"/>
              </w:rPr>
            </w:pPr>
          </w:p>
        </w:tc>
        <w:tc>
          <w:tcPr>
            <w:tcW w:w="463" w:type="dxa"/>
            <w:noWrap w:val="0"/>
            <w:vAlign w:val="center"/>
          </w:tcPr>
          <w:p w14:paraId="1F3C2CE4">
            <w:pPr>
              <w:shd w:val="clear" w:color="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4863" w:type="dxa"/>
            <w:noWrap w:val="0"/>
            <w:vAlign w:val="center"/>
          </w:tcPr>
          <w:p w14:paraId="096D1B3E">
            <w:pPr>
              <w:shd w:val="clear" w:color="auto"/>
              <w:rPr>
                <w:rFonts w:ascii="宋体" w:hAnsi="宋体"/>
                <w:color w:val="auto"/>
                <w:szCs w:val="21"/>
                <w:highlight w:val="none"/>
              </w:rPr>
            </w:pPr>
            <w:r>
              <w:rPr>
                <w:rFonts w:hint="eastAsia" w:ascii="宋体" w:hAnsi="宋体"/>
                <w:color w:val="auto"/>
                <w:sz w:val="24"/>
                <w:szCs w:val="24"/>
                <w:highlight w:val="none"/>
              </w:rPr>
              <w:t>投标文件的供货期、</w:t>
            </w:r>
            <w:r>
              <w:rPr>
                <w:rFonts w:hint="eastAsia" w:ascii="宋体" w:hAnsi="宋体"/>
                <w:color w:val="auto"/>
                <w:sz w:val="24"/>
                <w:szCs w:val="24"/>
                <w:highlight w:val="none"/>
                <w:lang w:eastAsia="zh-CN"/>
              </w:rPr>
              <w:t>质保期</w:t>
            </w:r>
            <w:r>
              <w:rPr>
                <w:rFonts w:hint="eastAsia" w:ascii="宋体" w:hAnsi="宋体"/>
                <w:color w:val="auto"/>
                <w:sz w:val="24"/>
                <w:szCs w:val="24"/>
                <w:highlight w:val="none"/>
              </w:rPr>
              <w:t>是否满足招标文件规定期限；</w:t>
            </w:r>
          </w:p>
        </w:tc>
        <w:tc>
          <w:tcPr>
            <w:tcW w:w="610" w:type="dxa"/>
            <w:noWrap w:val="0"/>
            <w:vAlign w:val="center"/>
          </w:tcPr>
          <w:p w14:paraId="17D37320">
            <w:pPr>
              <w:shd w:val="clear" w:color="auto"/>
              <w:spacing w:line="440" w:lineRule="exact"/>
              <w:rPr>
                <w:rFonts w:ascii="宋体" w:hAnsi="宋体"/>
                <w:color w:val="auto"/>
                <w:sz w:val="24"/>
                <w:szCs w:val="24"/>
                <w:highlight w:val="none"/>
              </w:rPr>
            </w:pPr>
          </w:p>
        </w:tc>
        <w:tc>
          <w:tcPr>
            <w:tcW w:w="663" w:type="dxa"/>
            <w:noWrap w:val="0"/>
            <w:vAlign w:val="center"/>
          </w:tcPr>
          <w:p w14:paraId="1E18DE34">
            <w:pPr>
              <w:shd w:val="clear" w:color="auto"/>
              <w:spacing w:line="440" w:lineRule="exact"/>
              <w:rPr>
                <w:rFonts w:ascii="宋体" w:hAnsi="宋体"/>
                <w:color w:val="auto"/>
                <w:sz w:val="24"/>
                <w:szCs w:val="24"/>
                <w:highlight w:val="none"/>
              </w:rPr>
            </w:pPr>
          </w:p>
        </w:tc>
        <w:tc>
          <w:tcPr>
            <w:tcW w:w="663" w:type="dxa"/>
            <w:noWrap w:val="0"/>
            <w:vAlign w:val="center"/>
          </w:tcPr>
          <w:p w14:paraId="27A8612E">
            <w:pPr>
              <w:shd w:val="clear" w:color="auto"/>
              <w:spacing w:line="440" w:lineRule="exact"/>
              <w:rPr>
                <w:rFonts w:ascii="宋体" w:hAnsi="宋体"/>
                <w:color w:val="auto"/>
                <w:sz w:val="24"/>
                <w:szCs w:val="24"/>
                <w:highlight w:val="none"/>
              </w:rPr>
            </w:pPr>
          </w:p>
        </w:tc>
        <w:tc>
          <w:tcPr>
            <w:tcW w:w="673" w:type="dxa"/>
            <w:noWrap w:val="0"/>
            <w:vAlign w:val="center"/>
          </w:tcPr>
          <w:p w14:paraId="776FAC22">
            <w:pPr>
              <w:shd w:val="clear" w:color="auto"/>
              <w:spacing w:line="440" w:lineRule="exact"/>
              <w:rPr>
                <w:rFonts w:ascii="宋体" w:hAnsi="宋体"/>
                <w:color w:val="auto"/>
                <w:sz w:val="24"/>
                <w:szCs w:val="24"/>
                <w:highlight w:val="none"/>
              </w:rPr>
            </w:pPr>
          </w:p>
        </w:tc>
      </w:tr>
      <w:tr w14:paraId="5F69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84" w:type="dxa"/>
            <w:vMerge w:val="continue"/>
            <w:noWrap w:val="0"/>
            <w:vAlign w:val="center"/>
          </w:tcPr>
          <w:p w14:paraId="6F3FE1BC">
            <w:pPr>
              <w:shd w:val="clear" w:color="auto"/>
              <w:spacing w:line="440" w:lineRule="exact"/>
              <w:jc w:val="center"/>
              <w:rPr>
                <w:rFonts w:ascii="宋体" w:hAnsi="宋体"/>
                <w:color w:val="auto"/>
                <w:sz w:val="24"/>
                <w:szCs w:val="24"/>
                <w:highlight w:val="none"/>
              </w:rPr>
            </w:pPr>
          </w:p>
        </w:tc>
        <w:tc>
          <w:tcPr>
            <w:tcW w:w="463" w:type="dxa"/>
            <w:noWrap w:val="0"/>
            <w:vAlign w:val="center"/>
          </w:tcPr>
          <w:p w14:paraId="360C9DEB">
            <w:pPr>
              <w:shd w:val="clear" w:color="auto"/>
              <w:jc w:val="center"/>
              <w:rPr>
                <w:rFonts w:ascii="宋体" w:hAnsi="宋体"/>
                <w:color w:val="auto"/>
                <w:sz w:val="24"/>
                <w:szCs w:val="24"/>
                <w:highlight w:val="none"/>
              </w:rPr>
            </w:pPr>
            <w:r>
              <w:rPr>
                <w:rFonts w:hint="eastAsia" w:ascii="宋体" w:hAnsi="宋体"/>
                <w:color w:val="auto"/>
                <w:sz w:val="24"/>
                <w:szCs w:val="24"/>
                <w:highlight w:val="none"/>
              </w:rPr>
              <w:t>8</w:t>
            </w:r>
          </w:p>
        </w:tc>
        <w:tc>
          <w:tcPr>
            <w:tcW w:w="4863" w:type="dxa"/>
            <w:noWrap w:val="0"/>
            <w:vAlign w:val="center"/>
          </w:tcPr>
          <w:p w14:paraId="227380F9">
            <w:pPr>
              <w:shd w:val="clear" w:color="auto"/>
              <w:rPr>
                <w:rFonts w:ascii="宋体" w:hAnsi="宋体"/>
                <w:color w:val="auto"/>
                <w:szCs w:val="21"/>
                <w:highlight w:val="none"/>
              </w:rPr>
            </w:pPr>
            <w:r>
              <w:rPr>
                <w:rFonts w:hint="eastAsia" w:ascii="宋体" w:hAnsi="宋体"/>
                <w:color w:val="auto"/>
                <w:sz w:val="24"/>
                <w:szCs w:val="24"/>
                <w:highlight w:val="none"/>
              </w:rPr>
              <w:t>投标有效期是否满足招标文件要求的；</w:t>
            </w:r>
          </w:p>
        </w:tc>
        <w:tc>
          <w:tcPr>
            <w:tcW w:w="610" w:type="dxa"/>
            <w:noWrap w:val="0"/>
            <w:vAlign w:val="center"/>
          </w:tcPr>
          <w:p w14:paraId="0BEC02C5">
            <w:pPr>
              <w:shd w:val="clear" w:color="auto"/>
              <w:spacing w:line="440" w:lineRule="exact"/>
              <w:rPr>
                <w:rFonts w:ascii="宋体" w:hAnsi="宋体"/>
                <w:color w:val="auto"/>
                <w:sz w:val="24"/>
                <w:szCs w:val="24"/>
                <w:highlight w:val="none"/>
              </w:rPr>
            </w:pPr>
          </w:p>
        </w:tc>
        <w:tc>
          <w:tcPr>
            <w:tcW w:w="663" w:type="dxa"/>
            <w:noWrap w:val="0"/>
            <w:vAlign w:val="center"/>
          </w:tcPr>
          <w:p w14:paraId="35F91437">
            <w:pPr>
              <w:shd w:val="clear" w:color="auto"/>
              <w:spacing w:line="440" w:lineRule="exact"/>
              <w:rPr>
                <w:rFonts w:ascii="宋体" w:hAnsi="宋体"/>
                <w:color w:val="auto"/>
                <w:sz w:val="24"/>
                <w:szCs w:val="24"/>
                <w:highlight w:val="none"/>
              </w:rPr>
            </w:pPr>
          </w:p>
        </w:tc>
        <w:tc>
          <w:tcPr>
            <w:tcW w:w="663" w:type="dxa"/>
            <w:noWrap w:val="0"/>
            <w:vAlign w:val="center"/>
          </w:tcPr>
          <w:p w14:paraId="61CDE756">
            <w:pPr>
              <w:shd w:val="clear" w:color="auto"/>
              <w:spacing w:line="440" w:lineRule="exact"/>
              <w:rPr>
                <w:rFonts w:ascii="宋体" w:hAnsi="宋体"/>
                <w:color w:val="auto"/>
                <w:sz w:val="24"/>
                <w:szCs w:val="24"/>
                <w:highlight w:val="none"/>
              </w:rPr>
            </w:pPr>
          </w:p>
        </w:tc>
        <w:tc>
          <w:tcPr>
            <w:tcW w:w="673" w:type="dxa"/>
            <w:noWrap w:val="0"/>
            <w:vAlign w:val="center"/>
          </w:tcPr>
          <w:p w14:paraId="018A4438">
            <w:pPr>
              <w:shd w:val="clear" w:color="auto"/>
              <w:spacing w:line="440" w:lineRule="exact"/>
              <w:rPr>
                <w:rFonts w:ascii="宋体" w:hAnsi="宋体"/>
                <w:color w:val="auto"/>
                <w:sz w:val="24"/>
                <w:szCs w:val="24"/>
                <w:highlight w:val="none"/>
              </w:rPr>
            </w:pPr>
          </w:p>
        </w:tc>
      </w:tr>
      <w:tr w14:paraId="07C7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84" w:type="dxa"/>
            <w:vMerge w:val="continue"/>
            <w:noWrap w:val="0"/>
            <w:vAlign w:val="center"/>
          </w:tcPr>
          <w:p w14:paraId="65586BA8">
            <w:pPr>
              <w:shd w:val="clear" w:color="auto"/>
              <w:spacing w:line="440" w:lineRule="exact"/>
              <w:jc w:val="center"/>
              <w:rPr>
                <w:rFonts w:ascii="宋体" w:hAnsi="宋体"/>
                <w:color w:val="auto"/>
                <w:sz w:val="24"/>
                <w:szCs w:val="24"/>
                <w:highlight w:val="none"/>
              </w:rPr>
            </w:pPr>
          </w:p>
        </w:tc>
        <w:tc>
          <w:tcPr>
            <w:tcW w:w="463" w:type="dxa"/>
            <w:noWrap w:val="0"/>
            <w:vAlign w:val="center"/>
          </w:tcPr>
          <w:p w14:paraId="5E2AF46D">
            <w:pPr>
              <w:shd w:val="clear" w:color="auto"/>
              <w:jc w:val="center"/>
              <w:rPr>
                <w:rFonts w:ascii="宋体" w:hAnsi="宋体"/>
                <w:color w:val="auto"/>
                <w:sz w:val="24"/>
                <w:szCs w:val="24"/>
                <w:highlight w:val="none"/>
              </w:rPr>
            </w:pPr>
            <w:r>
              <w:rPr>
                <w:rFonts w:hint="eastAsia" w:ascii="宋体" w:hAnsi="宋体"/>
                <w:color w:val="auto"/>
                <w:sz w:val="24"/>
                <w:szCs w:val="24"/>
                <w:highlight w:val="none"/>
              </w:rPr>
              <w:t>9</w:t>
            </w:r>
          </w:p>
        </w:tc>
        <w:tc>
          <w:tcPr>
            <w:tcW w:w="4863" w:type="dxa"/>
            <w:noWrap w:val="0"/>
            <w:vAlign w:val="center"/>
          </w:tcPr>
          <w:p w14:paraId="0A198F15">
            <w:pPr>
              <w:shd w:val="clear" w:color="auto"/>
              <w:rPr>
                <w:rFonts w:hint="eastAsia" w:ascii="宋体" w:hAnsi="宋体" w:eastAsia="宋体"/>
                <w:color w:val="auto"/>
                <w:szCs w:val="21"/>
                <w:highlight w:val="none"/>
                <w:lang w:eastAsia="zh-CN"/>
              </w:rPr>
            </w:pPr>
            <w:r>
              <w:rPr>
                <w:rFonts w:hint="eastAsia" w:ascii="宋体" w:hAnsi="宋体"/>
                <w:color w:val="auto"/>
                <w:sz w:val="24"/>
                <w:szCs w:val="24"/>
                <w:highlight w:val="none"/>
              </w:rPr>
              <w:t>投标文件是否附有采购人不能接受的条件</w:t>
            </w:r>
            <w:r>
              <w:rPr>
                <w:rFonts w:hint="eastAsia" w:ascii="宋体" w:hAnsi="宋体"/>
                <w:color w:val="auto"/>
                <w:sz w:val="24"/>
                <w:szCs w:val="24"/>
                <w:highlight w:val="none"/>
                <w:lang w:eastAsia="zh-CN"/>
              </w:rPr>
              <w:t>。</w:t>
            </w:r>
          </w:p>
        </w:tc>
        <w:tc>
          <w:tcPr>
            <w:tcW w:w="610" w:type="dxa"/>
            <w:noWrap w:val="0"/>
            <w:vAlign w:val="center"/>
          </w:tcPr>
          <w:p w14:paraId="16DE90EE">
            <w:pPr>
              <w:shd w:val="clear" w:color="auto"/>
              <w:spacing w:line="440" w:lineRule="exact"/>
              <w:rPr>
                <w:rFonts w:ascii="宋体" w:hAnsi="宋体"/>
                <w:color w:val="auto"/>
                <w:sz w:val="24"/>
                <w:szCs w:val="24"/>
                <w:highlight w:val="none"/>
              </w:rPr>
            </w:pPr>
          </w:p>
        </w:tc>
        <w:tc>
          <w:tcPr>
            <w:tcW w:w="663" w:type="dxa"/>
            <w:noWrap w:val="0"/>
            <w:vAlign w:val="center"/>
          </w:tcPr>
          <w:p w14:paraId="5067AD5A">
            <w:pPr>
              <w:shd w:val="clear" w:color="auto"/>
              <w:spacing w:line="440" w:lineRule="exact"/>
              <w:rPr>
                <w:rFonts w:ascii="宋体" w:hAnsi="宋体"/>
                <w:color w:val="auto"/>
                <w:sz w:val="24"/>
                <w:szCs w:val="24"/>
                <w:highlight w:val="none"/>
              </w:rPr>
            </w:pPr>
          </w:p>
        </w:tc>
        <w:tc>
          <w:tcPr>
            <w:tcW w:w="663" w:type="dxa"/>
            <w:noWrap w:val="0"/>
            <w:vAlign w:val="center"/>
          </w:tcPr>
          <w:p w14:paraId="198D3E9A">
            <w:pPr>
              <w:shd w:val="clear" w:color="auto"/>
              <w:spacing w:line="440" w:lineRule="exact"/>
              <w:rPr>
                <w:rFonts w:ascii="宋体" w:hAnsi="宋体"/>
                <w:color w:val="auto"/>
                <w:sz w:val="24"/>
                <w:szCs w:val="24"/>
                <w:highlight w:val="none"/>
              </w:rPr>
            </w:pPr>
          </w:p>
        </w:tc>
        <w:tc>
          <w:tcPr>
            <w:tcW w:w="673" w:type="dxa"/>
            <w:noWrap w:val="0"/>
            <w:vAlign w:val="center"/>
          </w:tcPr>
          <w:p w14:paraId="4822529D">
            <w:pPr>
              <w:shd w:val="clear" w:color="auto"/>
              <w:spacing w:line="440" w:lineRule="exact"/>
              <w:rPr>
                <w:rFonts w:ascii="宋体" w:hAnsi="宋体"/>
                <w:color w:val="auto"/>
                <w:sz w:val="24"/>
                <w:szCs w:val="24"/>
                <w:highlight w:val="none"/>
              </w:rPr>
            </w:pPr>
          </w:p>
        </w:tc>
      </w:tr>
      <w:tr w14:paraId="785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519" w:type="dxa"/>
            <w:gridSpan w:val="7"/>
            <w:noWrap w:val="0"/>
            <w:vAlign w:val="center"/>
          </w:tcPr>
          <w:p w14:paraId="56C32380">
            <w:pPr>
              <w:shd w:val="clear" w:color="auto"/>
              <w:spacing w:line="440" w:lineRule="exact"/>
              <w:rPr>
                <w:rFonts w:ascii="宋体" w:hAnsi="宋体"/>
                <w:b/>
                <w:color w:val="auto"/>
                <w:sz w:val="24"/>
                <w:szCs w:val="24"/>
                <w:highlight w:val="none"/>
              </w:rPr>
            </w:pPr>
            <w:r>
              <w:rPr>
                <w:rFonts w:hint="eastAsia" w:ascii="宋体" w:hAnsi="宋体"/>
                <w:color w:val="auto"/>
                <w:sz w:val="24"/>
                <w:szCs w:val="24"/>
                <w:highlight w:val="none"/>
              </w:rPr>
              <w:t>结论：是否通过初步评审</w:t>
            </w:r>
            <w:r>
              <w:rPr>
                <w:rFonts w:hint="eastAsia" w:ascii="宋体" w:hAnsi="宋体"/>
                <w:b/>
                <w:color w:val="auto"/>
                <w:sz w:val="24"/>
                <w:szCs w:val="24"/>
                <w:highlight w:val="none"/>
              </w:rPr>
              <w:t>（</w:t>
            </w:r>
            <w:r>
              <w:rPr>
                <w:rFonts w:hint="eastAsia" w:ascii="宋体" w:hAnsi="宋体"/>
                <w:color w:val="auto"/>
                <w:sz w:val="24"/>
                <w:szCs w:val="24"/>
                <w:highlight w:val="none"/>
              </w:rPr>
              <w:t>初步评审合格后方可进入详细评审阶段</w:t>
            </w:r>
            <w:r>
              <w:rPr>
                <w:rFonts w:hint="eastAsia" w:ascii="宋体" w:hAnsi="宋体"/>
                <w:b/>
                <w:color w:val="auto"/>
                <w:sz w:val="24"/>
                <w:szCs w:val="24"/>
                <w:highlight w:val="none"/>
              </w:rPr>
              <w:t>）</w:t>
            </w:r>
          </w:p>
        </w:tc>
      </w:tr>
      <w:tr w14:paraId="5577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519" w:type="dxa"/>
            <w:gridSpan w:val="7"/>
            <w:noWrap w:val="0"/>
            <w:vAlign w:val="center"/>
          </w:tcPr>
          <w:p w14:paraId="21EEDC07">
            <w:pPr>
              <w:shd w:val="clear" w:color="auto"/>
              <w:spacing w:line="440" w:lineRule="exact"/>
              <w:rPr>
                <w:rFonts w:ascii="宋体" w:hAnsi="宋体"/>
                <w:b/>
                <w:color w:val="auto"/>
                <w:sz w:val="24"/>
                <w:szCs w:val="24"/>
                <w:highlight w:val="none"/>
              </w:rPr>
            </w:pPr>
            <w:r>
              <w:rPr>
                <w:rFonts w:hint="eastAsia" w:ascii="宋体" w:hAnsi="宋体"/>
                <w:color w:val="auto"/>
                <w:sz w:val="24"/>
                <w:szCs w:val="24"/>
                <w:highlight w:val="none"/>
              </w:rPr>
              <w:t>备注：如果投标文件中有一项未通过上述审查标准，评标委员会将认定整个投标文件不响应竞磋文件而予以投标无效，并且不允许供应商通过修改或撤销其不符合要求的差异或保留，使之成为具有响应性的投标。通过审核的以“√”标记；未通过的以“×”标记，并予以说明。</w:t>
            </w:r>
          </w:p>
        </w:tc>
      </w:tr>
    </w:tbl>
    <w:p w14:paraId="1375B760">
      <w:pPr>
        <w:shd w:val="clear" w:color="auto"/>
        <w:rPr>
          <w:rFonts w:hint="eastAsia" w:ascii="宋体" w:hAnsi="宋体"/>
          <w:b/>
          <w:bCs/>
          <w:color w:val="auto"/>
          <w:sz w:val="24"/>
          <w:szCs w:val="24"/>
          <w:highlight w:val="none"/>
          <w:lang w:val="en-US" w:eastAsia="zh-CN"/>
        </w:rPr>
      </w:pPr>
    </w:p>
    <w:p w14:paraId="393E0C22">
      <w:pPr>
        <w:pStyle w:val="34"/>
        <w:shd w:val="clear" w:color="auto"/>
        <w:rPr>
          <w:rFonts w:hint="eastAsia"/>
          <w:color w:val="auto"/>
          <w:highlight w:val="none"/>
          <w:lang w:val="en-US" w:eastAsia="zh-CN"/>
        </w:rPr>
      </w:pPr>
    </w:p>
    <w:bookmarkEnd w:id="149"/>
    <w:p w14:paraId="05CA9686">
      <w:pPr>
        <w:pStyle w:val="11"/>
        <w:shd w:val="clear" w:color="auto"/>
        <w:jc w:val="center"/>
        <w:rPr>
          <w:rFonts w:hint="eastAsia" w:eastAsia="宋体"/>
          <w:color w:val="auto"/>
          <w:sz w:val="24"/>
          <w:szCs w:val="24"/>
          <w:highlight w:val="none"/>
          <w:lang w:val="en-US" w:eastAsia="zh-CN"/>
        </w:rPr>
      </w:pPr>
      <w:bookmarkStart w:id="150" w:name="_Toc7744_WPSOffice_Level1"/>
      <w:r>
        <w:rPr>
          <w:rFonts w:hint="eastAsia" w:ascii="宋体" w:hAnsi="宋体"/>
          <w:b/>
          <w:bCs/>
          <w:color w:val="auto"/>
          <w:sz w:val="24"/>
          <w:szCs w:val="24"/>
          <w:highlight w:val="none"/>
        </w:rPr>
        <w:t>详细评审</w:t>
      </w:r>
      <w:r>
        <w:rPr>
          <w:rFonts w:hint="eastAsia" w:ascii="宋体" w:hAnsi="宋体"/>
          <w:b/>
          <w:bCs/>
          <w:color w:val="auto"/>
          <w:sz w:val="24"/>
          <w:szCs w:val="24"/>
          <w:highlight w:val="none"/>
          <w:lang w:val="en-US" w:eastAsia="zh-CN"/>
        </w:rPr>
        <w:t>标准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246"/>
        <w:gridCol w:w="1445"/>
        <w:gridCol w:w="5096"/>
        <w:gridCol w:w="733"/>
      </w:tblGrid>
      <w:tr w14:paraId="5FEAF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841" w:hRule="atLeast"/>
          <w:jc w:val="center"/>
        </w:trPr>
        <w:tc>
          <w:tcPr>
            <w:tcW w:w="1246" w:type="dxa"/>
            <w:shd w:val="clear" w:color="auto" w:fill="auto"/>
            <w:noWrap w:val="0"/>
            <w:vAlign w:val="center"/>
          </w:tcPr>
          <w:p w14:paraId="73F3A0F6">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评标项目</w:t>
            </w:r>
          </w:p>
        </w:tc>
        <w:tc>
          <w:tcPr>
            <w:tcW w:w="1445" w:type="dxa"/>
            <w:shd w:val="clear" w:color="auto" w:fill="auto"/>
            <w:noWrap w:val="0"/>
            <w:vAlign w:val="center"/>
          </w:tcPr>
          <w:p w14:paraId="60752693">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评标分项</w:t>
            </w:r>
          </w:p>
        </w:tc>
        <w:tc>
          <w:tcPr>
            <w:tcW w:w="5096" w:type="dxa"/>
            <w:shd w:val="clear" w:color="auto" w:fill="auto"/>
            <w:noWrap w:val="0"/>
            <w:vAlign w:val="center"/>
          </w:tcPr>
          <w:p w14:paraId="7CD240D5">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评标分项</w:t>
            </w:r>
          </w:p>
        </w:tc>
        <w:tc>
          <w:tcPr>
            <w:tcW w:w="733" w:type="dxa"/>
            <w:shd w:val="clear" w:color="auto" w:fill="auto"/>
            <w:noWrap w:val="0"/>
            <w:vAlign w:val="center"/>
          </w:tcPr>
          <w:p w14:paraId="5CDF362D">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分值</w:t>
            </w:r>
          </w:p>
        </w:tc>
      </w:tr>
      <w:tr w14:paraId="43E1E6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5" w:hRule="atLeast"/>
          <w:jc w:val="center"/>
        </w:trPr>
        <w:tc>
          <w:tcPr>
            <w:tcW w:w="1246" w:type="dxa"/>
            <w:shd w:val="clear" w:color="auto" w:fill="auto"/>
            <w:noWrap w:val="0"/>
            <w:vAlign w:val="center"/>
          </w:tcPr>
          <w:p w14:paraId="48069168">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价格部分（30分）</w:t>
            </w:r>
          </w:p>
        </w:tc>
        <w:tc>
          <w:tcPr>
            <w:tcW w:w="1445" w:type="dxa"/>
            <w:shd w:val="clear" w:color="auto" w:fill="auto"/>
            <w:noWrap w:val="0"/>
            <w:vAlign w:val="center"/>
          </w:tcPr>
          <w:p w14:paraId="64EB9F70">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5096" w:type="dxa"/>
            <w:shd w:val="clear" w:color="auto" w:fill="auto"/>
            <w:noWrap w:val="0"/>
            <w:vAlign w:val="center"/>
          </w:tcPr>
          <w:p w14:paraId="3423FA1B">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价格分采用低价优先法计算，即满足本招标文件要求的最低投标报价为评标基准价，其价格分为满分，其它投标人的价格分统一按照下列公式计算:投标报价得分=(评标基准价/投标报价)</w:t>
            </w:r>
            <w:r>
              <w:rPr>
                <w:rFonts w:hint="eastAsia" w:ascii="宋体" w:hAnsi="宋体" w:cs="宋体"/>
                <w:snapToGrid w:val="0"/>
                <w:sz w:val="24"/>
                <w:szCs w:val="24"/>
                <w:highlight w:val="none"/>
                <w:lang w:val="en-US" w:eastAsia="zh-CN" w:bidi="ar-SA"/>
              </w:rPr>
              <w:t>×</w:t>
            </w:r>
            <w:r>
              <w:rPr>
                <w:rFonts w:hint="eastAsia" w:ascii="宋体" w:hAnsi="宋体" w:eastAsia="宋体" w:cs="宋体"/>
                <w:snapToGrid w:val="0"/>
                <w:sz w:val="24"/>
                <w:szCs w:val="24"/>
                <w:highlight w:val="none"/>
                <w:lang w:val="en-US" w:eastAsia="zh-CN" w:bidi="ar-SA"/>
              </w:rPr>
              <w:t>价格分分值(精确到小数点后两位)。超过了采购项目预算或最高限价的，为无效投标。</w:t>
            </w:r>
          </w:p>
          <w:p w14:paraId="6FDA8638">
            <w:pPr>
              <w:pStyle w:val="183"/>
              <w:shd w:val="clear" w:color="auto"/>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rPr>
              <w:t>评标委员会认为供应商的最低报价明显不合理或者低于成本，有可能影响商品质量和不能诚信履约的，应当提供书面文件予以解释说明，并在评标现场合理的时间内提交相关证明材料。投标人不能合理说明或者不能提供相关证明材料的，由评标委员会认定该投标人以低于成本报价竞标，其投标应作无效投标处理。</w:t>
            </w:r>
          </w:p>
        </w:tc>
        <w:tc>
          <w:tcPr>
            <w:tcW w:w="733" w:type="dxa"/>
            <w:shd w:val="clear" w:color="auto" w:fill="auto"/>
            <w:noWrap w:val="0"/>
            <w:vAlign w:val="center"/>
          </w:tcPr>
          <w:p w14:paraId="34649D1A">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30</w:t>
            </w:r>
          </w:p>
        </w:tc>
      </w:tr>
      <w:tr w14:paraId="16746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90" w:hRule="atLeast"/>
          <w:jc w:val="center"/>
        </w:trPr>
        <w:tc>
          <w:tcPr>
            <w:tcW w:w="1246" w:type="dxa"/>
            <w:vMerge w:val="restart"/>
            <w:shd w:val="clear" w:color="auto" w:fill="auto"/>
            <w:noWrap w:val="0"/>
            <w:vAlign w:val="center"/>
          </w:tcPr>
          <w:p w14:paraId="751D20D8">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商务部分（1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tc>
        <w:tc>
          <w:tcPr>
            <w:tcW w:w="1445" w:type="dxa"/>
            <w:shd w:val="clear" w:color="auto" w:fill="auto"/>
            <w:noWrap w:val="0"/>
            <w:vAlign w:val="center"/>
          </w:tcPr>
          <w:p w14:paraId="18F89D60">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类似项目业绩</w:t>
            </w:r>
          </w:p>
        </w:tc>
        <w:tc>
          <w:tcPr>
            <w:tcW w:w="5096" w:type="dxa"/>
            <w:shd w:val="clear" w:color="auto" w:fill="auto"/>
            <w:noWrap w:val="0"/>
            <w:vAlign w:val="center"/>
          </w:tcPr>
          <w:p w14:paraId="4057167C">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提供近三年（</w:t>
            </w:r>
            <w:r>
              <w:rPr>
                <w:rFonts w:hint="eastAsia" w:ascii="宋体" w:hAnsi="宋体" w:cs="宋体"/>
                <w:snapToGrid w:val="0"/>
                <w:sz w:val="24"/>
                <w:szCs w:val="24"/>
                <w:highlight w:val="none"/>
                <w:lang w:val="en-US" w:eastAsia="zh-CN" w:bidi="ar-SA"/>
              </w:rPr>
              <w:t>2023年3月1日至今</w:t>
            </w:r>
            <w:r>
              <w:rPr>
                <w:rFonts w:hint="eastAsia" w:ascii="宋体" w:hAnsi="宋体" w:eastAsia="宋体" w:cs="宋体"/>
                <w:snapToGrid w:val="0"/>
                <w:sz w:val="24"/>
                <w:szCs w:val="24"/>
                <w:highlight w:val="none"/>
                <w:lang w:val="en-US" w:eastAsia="zh-CN" w:bidi="ar-SA"/>
              </w:rPr>
              <w:t>）已完成类似项目业绩，以供应商业绩为准，业绩证明材料为：合同或中标通知书复印件，每提供1项有效业绩得</w:t>
            </w:r>
            <w:r>
              <w:rPr>
                <w:rFonts w:hint="eastAsia" w:ascii="宋体" w:hAnsi="宋体" w:cs="宋体"/>
                <w:snapToGrid w:val="0"/>
                <w:sz w:val="24"/>
                <w:szCs w:val="24"/>
                <w:highlight w:val="none"/>
                <w:lang w:val="en-US" w:eastAsia="zh-CN" w:bidi="ar-SA"/>
              </w:rPr>
              <w:t>3</w:t>
            </w:r>
            <w:r>
              <w:rPr>
                <w:rFonts w:hint="eastAsia" w:ascii="宋体" w:hAnsi="宋体" w:eastAsia="宋体" w:cs="宋体"/>
                <w:snapToGrid w:val="0"/>
                <w:sz w:val="24"/>
                <w:szCs w:val="24"/>
                <w:highlight w:val="none"/>
                <w:lang w:val="en-US" w:eastAsia="zh-CN" w:bidi="ar-SA"/>
              </w:rPr>
              <w:t>分，本项最多得</w:t>
            </w:r>
            <w:r>
              <w:rPr>
                <w:rFonts w:hint="eastAsia" w:ascii="宋体" w:hAnsi="宋体" w:cs="宋体"/>
                <w:snapToGrid w:val="0"/>
                <w:sz w:val="24"/>
                <w:szCs w:val="24"/>
                <w:highlight w:val="none"/>
                <w:lang w:val="en-US" w:eastAsia="zh-CN" w:bidi="ar-SA"/>
              </w:rPr>
              <w:t>9</w:t>
            </w:r>
            <w:r>
              <w:rPr>
                <w:rFonts w:hint="eastAsia" w:ascii="宋体" w:hAnsi="宋体" w:eastAsia="宋体" w:cs="宋体"/>
                <w:snapToGrid w:val="0"/>
                <w:sz w:val="24"/>
                <w:szCs w:val="24"/>
                <w:highlight w:val="none"/>
                <w:lang w:val="en-US" w:eastAsia="zh-CN" w:bidi="ar-SA"/>
              </w:rPr>
              <w:t>分；未提供业绩证明材料或是经评标委员会认定为无效业绩的，本项不得分。</w:t>
            </w:r>
          </w:p>
        </w:tc>
        <w:tc>
          <w:tcPr>
            <w:tcW w:w="733" w:type="dxa"/>
            <w:shd w:val="clear" w:color="auto" w:fill="auto"/>
            <w:noWrap w:val="0"/>
            <w:vAlign w:val="center"/>
          </w:tcPr>
          <w:p w14:paraId="2639BA80">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r>
      <w:tr w14:paraId="1D293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1045" w:hRule="atLeast"/>
          <w:jc w:val="center"/>
        </w:trPr>
        <w:tc>
          <w:tcPr>
            <w:tcW w:w="1246" w:type="dxa"/>
            <w:vMerge w:val="continue"/>
            <w:shd w:val="clear" w:color="auto" w:fill="auto"/>
            <w:noWrap w:val="0"/>
            <w:vAlign w:val="center"/>
          </w:tcPr>
          <w:p w14:paraId="15E41431">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p>
        </w:tc>
        <w:tc>
          <w:tcPr>
            <w:tcW w:w="1445" w:type="dxa"/>
            <w:shd w:val="clear" w:color="auto" w:fill="auto"/>
            <w:noWrap w:val="0"/>
            <w:vAlign w:val="center"/>
          </w:tcPr>
          <w:p w14:paraId="0EDDFBE4">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eastAsia" w:ascii="宋体" w:hAnsi="宋体" w:eastAsia="宋体" w:cs="宋体"/>
                <w:kern w:val="2"/>
                <w:sz w:val="24"/>
                <w:szCs w:val="24"/>
                <w:highlight w:val="none"/>
                <w:lang w:eastAsia="zh-CN"/>
              </w:rPr>
            </w:pPr>
            <w:r>
              <w:rPr>
                <w:rFonts w:hint="eastAsia" w:ascii="宋体" w:hAnsi="宋体" w:cs="宋体"/>
                <w:sz w:val="24"/>
                <w:szCs w:val="24"/>
                <w:highlight w:val="none"/>
              </w:rPr>
              <w:t>项目实施人员</w:t>
            </w:r>
          </w:p>
        </w:tc>
        <w:tc>
          <w:tcPr>
            <w:tcW w:w="5096" w:type="dxa"/>
            <w:shd w:val="clear" w:color="auto" w:fill="auto"/>
            <w:noWrap w:val="0"/>
            <w:vAlign w:val="center"/>
          </w:tcPr>
          <w:p w14:paraId="3D0A4D3D">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cs="宋体"/>
                <w:sz w:val="24"/>
                <w:szCs w:val="24"/>
                <w:highlight w:val="none"/>
              </w:rPr>
              <w:t>投标人项目实施人员中具有系统规划与管理师、软件设计师、网络工程师等相关证书，每提供一项证书得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w:t>
            </w:r>
            <w:r>
              <w:rPr>
                <w:rFonts w:hint="eastAsia" w:ascii="宋体" w:hAnsi="宋体" w:cs="宋体"/>
                <w:sz w:val="24"/>
                <w:szCs w:val="24"/>
                <w:highlight w:val="none"/>
                <w:lang w:val="en-US" w:eastAsia="zh-CN"/>
              </w:rPr>
              <w:t>6</w:t>
            </w:r>
            <w:r>
              <w:rPr>
                <w:rFonts w:hint="eastAsia" w:ascii="宋体" w:hAnsi="宋体" w:cs="宋体"/>
                <w:sz w:val="24"/>
                <w:szCs w:val="24"/>
                <w:highlight w:val="none"/>
              </w:rPr>
              <w:t>分。注：提供证书复印件加盖公章。</w:t>
            </w:r>
          </w:p>
        </w:tc>
        <w:tc>
          <w:tcPr>
            <w:tcW w:w="733" w:type="dxa"/>
            <w:shd w:val="clear" w:color="auto" w:fill="auto"/>
            <w:noWrap w:val="0"/>
            <w:vAlign w:val="center"/>
          </w:tcPr>
          <w:p w14:paraId="36393642">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eastAsia" w:ascii="宋体" w:hAnsi="宋体" w:cs="宋体"/>
                <w:sz w:val="24"/>
                <w:szCs w:val="24"/>
                <w:highlight w:val="none"/>
                <w:lang w:val="en-US" w:eastAsia="zh-CN"/>
              </w:rPr>
            </w:pPr>
            <w:r>
              <w:rPr>
                <w:rFonts w:hint="eastAsia" w:ascii="宋体" w:hAnsi="宋体" w:cs="宋体"/>
                <w:color w:val="auto"/>
                <w:sz w:val="24"/>
                <w:szCs w:val="24"/>
                <w:highlight w:val="none"/>
                <w:lang w:val="en-US" w:eastAsia="zh-CN"/>
              </w:rPr>
              <w:t>6</w:t>
            </w:r>
          </w:p>
        </w:tc>
      </w:tr>
      <w:tr w14:paraId="541E41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1856" w:hRule="atLeast"/>
          <w:jc w:val="center"/>
        </w:trPr>
        <w:tc>
          <w:tcPr>
            <w:tcW w:w="1246" w:type="dxa"/>
            <w:vMerge w:val="restart"/>
            <w:shd w:val="clear" w:color="auto" w:fill="auto"/>
            <w:noWrap w:val="0"/>
            <w:vAlign w:val="center"/>
          </w:tcPr>
          <w:p w14:paraId="16B0D001">
            <w:pPr>
              <w:pStyle w:val="183"/>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cs="宋体"/>
                <w:sz w:val="24"/>
                <w:szCs w:val="24"/>
                <w:highlight w:val="none"/>
                <w:lang w:val="en-US" w:eastAsia="zh-CN"/>
              </w:rPr>
              <w:t>55</w:t>
            </w:r>
            <w:r>
              <w:rPr>
                <w:rFonts w:hint="eastAsia" w:ascii="宋体" w:hAnsi="宋体" w:eastAsia="宋体" w:cs="宋体"/>
                <w:sz w:val="24"/>
                <w:szCs w:val="24"/>
                <w:highlight w:val="none"/>
              </w:rPr>
              <w:t>分）</w:t>
            </w:r>
          </w:p>
        </w:tc>
        <w:tc>
          <w:tcPr>
            <w:tcW w:w="1445" w:type="dxa"/>
            <w:shd w:val="clear" w:color="auto" w:fill="auto"/>
            <w:noWrap w:val="0"/>
            <w:vAlign w:val="center"/>
          </w:tcPr>
          <w:p w14:paraId="6AC49A8D">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技术响应</w:t>
            </w:r>
          </w:p>
          <w:p w14:paraId="2D9FBC1D">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eastAsia="宋体" w:cs="宋体"/>
                <w:sz w:val="24"/>
                <w:szCs w:val="24"/>
                <w:highlight w:val="none"/>
                <w:lang w:val="en-US" w:eastAsia="zh-CN"/>
              </w:rPr>
            </w:pPr>
          </w:p>
        </w:tc>
        <w:tc>
          <w:tcPr>
            <w:tcW w:w="5096" w:type="dxa"/>
            <w:shd w:val="clear" w:color="auto" w:fill="auto"/>
            <w:noWrap w:val="0"/>
            <w:vAlign w:val="center"/>
          </w:tcPr>
          <w:p w14:paraId="68D70FC9">
            <w:pPr>
              <w:pStyle w:val="183"/>
              <w:shd w:val="clear" w:color="auto"/>
              <w:spacing w:line="360" w:lineRule="auto"/>
              <w:jc w:val="left"/>
              <w:rPr>
                <w:rFonts w:hint="default"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所投产品技术参数完全符合招标文件采购需求的要求，得</w:t>
            </w:r>
            <w:r>
              <w:rPr>
                <w:rFonts w:hint="eastAsia" w:ascii="宋体" w:hAnsi="宋体" w:cs="宋体"/>
                <w:snapToGrid w:val="0"/>
                <w:sz w:val="24"/>
                <w:szCs w:val="24"/>
                <w:highlight w:val="none"/>
                <w:lang w:val="en-US" w:eastAsia="zh-CN" w:bidi="ar-SA"/>
              </w:rPr>
              <w:t>20</w:t>
            </w:r>
            <w:r>
              <w:rPr>
                <w:rFonts w:hint="eastAsia" w:ascii="宋体" w:hAnsi="宋体" w:eastAsia="宋体" w:cs="宋体"/>
                <w:snapToGrid w:val="0"/>
                <w:sz w:val="24"/>
                <w:szCs w:val="24"/>
                <w:highlight w:val="none"/>
                <w:lang w:val="en-US" w:eastAsia="zh-CN" w:bidi="ar-SA"/>
              </w:rPr>
              <w:t>分。</w:t>
            </w:r>
            <w:r>
              <w:rPr>
                <w:rFonts w:hint="eastAsia" w:ascii="宋体" w:hAnsi="宋体" w:eastAsia="宋体" w:cs="宋体"/>
                <w:snapToGrid w:val="0"/>
                <w:color w:val="auto"/>
                <w:sz w:val="24"/>
                <w:szCs w:val="24"/>
                <w:highlight w:val="none"/>
                <w:lang w:val="en-US" w:eastAsia="zh-CN" w:bidi="ar-SA"/>
              </w:rPr>
              <w:t>根据采购需求清单中的技术参数进行评审</w:t>
            </w:r>
            <w:r>
              <w:rPr>
                <w:rFonts w:hint="eastAsia" w:ascii="宋体" w:hAnsi="宋体" w:cs="宋体"/>
                <w:snapToGrid w:val="0"/>
                <w:color w:val="auto"/>
                <w:sz w:val="24"/>
                <w:szCs w:val="24"/>
                <w:highlight w:val="none"/>
                <w:lang w:val="en-US" w:eastAsia="zh-CN" w:bidi="ar-SA"/>
              </w:rPr>
              <w:t>，全部满足得20分，</w:t>
            </w:r>
            <w:r>
              <w:rPr>
                <w:rFonts w:hint="eastAsia" w:ascii="宋体" w:hAnsi="宋体" w:cs="宋体"/>
                <w:sz w:val="24"/>
                <w:szCs w:val="24"/>
                <w:highlight w:val="none"/>
              </w:rPr>
              <w:t>技术参数</w:t>
            </w:r>
            <w:r>
              <w:rPr>
                <w:rFonts w:hint="eastAsia" w:ascii="仿宋" w:hAnsi="仿宋" w:cs="仿宋"/>
                <w:sz w:val="24"/>
                <w:szCs w:val="24"/>
                <w:highlight w:val="none"/>
              </w:rPr>
              <w:t>“</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仿宋" w:hAnsi="仿宋" w:cs="仿宋"/>
                <w:sz w:val="24"/>
                <w:szCs w:val="24"/>
                <w:highlight w:val="none"/>
              </w:rPr>
              <w:t>”条款的</w:t>
            </w:r>
            <w:r>
              <w:rPr>
                <w:rFonts w:hint="eastAsia" w:ascii="宋体" w:hAnsi="宋体" w:cs="宋体"/>
                <w:sz w:val="24"/>
                <w:szCs w:val="24"/>
                <w:highlight w:val="none"/>
              </w:rPr>
              <w:t>有一项不满足扣</w:t>
            </w:r>
            <w:r>
              <w:rPr>
                <w:rFonts w:hint="eastAsia" w:ascii="宋体" w:hAnsi="宋体" w:cs="宋体"/>
                <w:sz w:val="24"/>
                <w:szCs w:val="24"/>
                <w:highlight w:val="none"/>
                <w:lang w:val="en-US" w:eastAsia="zh-CN"/>
              </w:rPr>
              <w:t>0.5</w:t>
            </w:r>
            <w:r>
              <w:rPr>
                <w:rFonts w:hint="eastAsia" w:ascii="宋体" w:hAnsi="宋体" w:cs="宋体"/>
                <w:sz w:val="24"/>
                <w:szCs w:val="24"/>
                <w:highlight w:val="none"/>
              </w:rPr>
              <w:t>分，扣完为止。</w:t>
            </w:r>
          </w:p>
          <w:p w14:paraId="79462339">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注：完全照抄招标参数本项不得分。投标人须对本招标文件</w:t>
            </w:r>
            <w:r>
              <w:rPr>
                <w:rFonts w:hint="default" w:ascii="宋体" w:hAnsi="宋体" w:eastAsia="宋体" w:cs="宋体"/>
                <w:snapToGrid w:val="0"/>
                <w:sz w:val="24"/>
                <w:szCs w:val="24"/>
                <w:highlight w:val="none"/>
                <w:lang w:val="en-US" w:eastAsia="zh-CN" w:bidi="ar-SA"/>
              </w:rPr>
              <w:t>技术要求进行点对点应答，必须在引用本招标文件的基础上,进行逐条逐项答复、说明和解释,特别对有具体参数要求的指标，投标人必须提供所投货物</w:t>
            </w:r>
            <w:r>
              <w:rPr>
                <w:rFonts w:hint="eastAsia" w:ascii="宋体" w:hAnsi="宋体" w:eastAsia="宋体" w:cs="宋体"/>
                <w:snapToGrid w:val="0"/>
                <w:sz w:val="24"/>
                <w:szCs w:val="24"/>
                <w:highlight w:val="none"/>
                <w:lang w:val="en-US" w:eastAsia="zh-CN" w:bidi="ar-SA"/>
              </w:rPr>
              <w:t>对应的证明材料，若未提供有效证明材料则该参数将被视为负偏离。</w:t>
            </w:r>
          </w:p>
        </w:tc>
        <w:tc>
          <w:tcPr>
            <w:tcW w:w="733" w:type="dxa"/>
            <w:shd w:val="clear" w:color="auto" w:fill="auto"/>
            <w:noWrap w:val="0"/>
            <w:vAlign w:val="center"/>
          </w:tcPr>
          <w:p w14:paraId="7274D7B6">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r>
      <w:tr w14:paraId="6CC28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2" w:hRule="atLeast"/>
          <w:jc w:val="center"/>
        </w:trPr>
        <w:tc>
          <w:tcPr>
            <w:tcW w:w="1246" w:type="dxa"/>
            <w:vMerge w:val="continue"/>
            <w:shd w:val="clear" w:color="auto" w:fill="auto"/>
            <w:noWrap w:val="0"/>
            <w:vAlign w:val="center"/>
          </w:tcPr>
          <w:p w14:paraId="18102378">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p>
        </w:tc>
        <w:tc>
          <w:tcPr>
            <w:tcW w:w="1445" w:type="dxa"/>
            <w:shd w:val="clear" w:color="auto" w:fill="auto"/>
            <w:noWrap w:val="0"/>
            <w:vAlign w:val="center"/>
          </w:tcPr>
          <w:p w14:paraId="1CE144B3">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项目实施方案</w:t>
            </w:r>
          </w:p>
        </w:tc>
        <w:tc>
          <w:tcPr>
            <w:tcW w:w="5096" w:type="dxa"/>
            <w:shd w:val="clear" w:color="auto" w:fill="auto"/>
            <w:noWrap w:val="0"/>
            <w:vAlign w:val="center"/>
          </w:tcPr>
          <w:p w14:paraId="008FACE9">
            <w:pPr>
              <w:pStyle w:val="183"/>
              <w:shd w:val="clear" w:color="auto"/>
              <w:spacing w:line="360" w:lineRule="auto"/>
              <w:jc w:val="left"/>
              <w:rPr>
                <w:rFonts w:hint="eastAsia" w:ascii="宋体" w:hAnsi="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投标人根据本项目特点，提供本项目实施方案包括：</w:t>
            </w:r>
            <w:r>
              <w:rPr>
                <w:rFonts w:hint="eastAsia" w:ascii="宋体" w:hAnsi="宋体" w:cs="宋体"/>
                <w:snapToGrid w:val="0"/>
                <w:sz w:val="24"/>
                <w:szCs w:val="24"/>
                <w:highlight w:val="none"/>
                <w:lang w:val="en-US" w:eastAsia="zh-CN" w:bidi="ar-SA"/>
              </w:rPr>
              <w:t>（1）</w:t>
            </w:r>
            <w:r>
              <w:rPr>
                <w:rFonts w:hint="eastAsia" w:ascii="宋体" w:hAnsi="宋体" w:eastAsia="宋体" w:cs="宋体"/>
                <w:snapToGrid w:val="0"/>
                <w:sz w:val="24"/>
                <w:szCs w:val="24"/>
                <w:highlight w:val="none"/>
                <w:lang w:val="en-US" w:eastAsia="zh-CN" w:bidi="ar-SA"/>
              </w:rPr>
              <w:t>产品总体介绍</w:t>
            </w:r>
            <w:r>
              <w:rPr>
                <w:rFonts w:hint="eastAsia" w:ascii="宋体" w:hAnsi="宋体" w:cs="宋体"/>
                <w:snapToGrid w:val="0"/>
                <w:sz w:val="24"/>
                <w:szCs w:val="24"/>
                <w:highlight w:val="none"/>
                <w:lang w:val="en-US" w:eastAsia="zh-CN" w:bidi="ar-SA"/>
              </w:rPr>
              <w:t>、（2）开发流程及进度安排、（3）产品遵循标准及功能性能特色、（4）系统安全措施及质量措施、（5）系统检测运行方法、（6）产品安装调试及验收等内容；</w:t>
            </w:r>
          </w:p>
          <w:p w14:paraId="532FD364">
            <w:pPr>
              <w:pStyle w:val="183"/>
              <w:shd w:val="clear" w:color="auto"/>
              <w:spacing w:line="360" w:lineRule="auto"/>
              <w:jc w:val="left"/>
              <w:rPr>
                <w:rFonts w:hint="default" w:ascii="宋体" w:hAnsi="宋体" w:cs="宋体"/>
                <w:snapToGrid w:val="0"/>
                <w:sz w:val="24"/>
                <w:szCs w:val="24"/>
                <w:highlight w:val="none"/>
                <w:lang w:val="en-US" w:eastAsia="zh-CN" w:bidi="ar-SA"/>
              </w:rPr>
            </w:pPr>
            <w:r>
              <w:rPr>
                <w:rFonts w:hint="default" w:ascii="宋体" w:hAnsi="宋体" w:cs="宋体"/>
                <w:snapToGrid w:val="0"/>
                <w:sz w:val="24"/>
                <w:szCs w:val="24"/>
                <w:highlight w:val="none"/>
                <w:lang w:val="en-US" w:eastAsia="zh-CN" w:bidi="ar-SA"/>
              </w:rPr>
              <w:t>根据投标人提供内容进行评分，全部符合实际需求得</w:t>
            </w:r>
            <w:r>
              <w:rPr>
                <w:rFonts w:hint="eastAsia" w:ascii="宋体" w:hAnsi="宋体" w:cs="宋体"/>
                <w:snapToGrid w:val="0"/>
                <w:sz w:val="24"/>
                <w:szCs w:val="24"/>
                <w:highlight w:val="none"/>
                <w:lang w:val="en-US" w:eastAsia="zh-CN" w:bidi="ar-SA"/>
              </w:rPr>
              <w:t>18</w:t>
            </w:r>
            <w:r>
              <w:rPr>
                <w:rFonts w:hint="default" w:ascii="宋体" w:hAnsi="宋体" w:cs="宋体"/>
                <w:snapToGrid w:val="0"/>
                <w:sz w:val="24"/>
                <w:szCs w:val="24"/>
                <w:highlight w:val="none"/>
                <w:lang w:val="en-US" w:eastAsia="zh-CN" w:bidi="ar-SA"/>
              </w:rPr>
              <w:t>分；每缺一个要素扣</w:t>
            </w:r>
            <w:r>
              <w:rPr>
                <w:rFonts w:hint="eastAsia" w:ascii="宋体" w:hAnsi="宋体" w:cs="宋体"/>
                <w:snapToGrid w:val="0"/>
                <w:sz w:val="24"/>
                <w:szCs w:val="24"/>
                <w:highlight w:val="none"/>
                <w:lang w:val="en-US" w:eastAsia="zh-CN" w:bidi="ar-SA"/>
              </w:rPr>
              <w:t>3</w:t>
            </w:r>
            <w:r>
              <w:rPr>
                <w:rFonts w:hint="default" w:ascii="宋体" w:hAnsi="宋体" w:cs="宋体"/>
                <w:snapToGrid w:val="0"/>
                <w:sz w:val="24"/>
                <w:szCs w:val="24"/>
                <w:highlight w:val="none"/>
                <w:lang w:val="en-US" w:eastAsia="zh-CN" w:bidi="ar-SA"/>
              </w:rPr>
              <w:t>分；每个要素里每有一处内容缺陷扣1分，扣完为止。(</w:t>
            </w:r>
            <w:r>
              <w:rPr>
                <w:rFonts w:hint="eastAsia" w:ascii="宋体" w:hAnsi="宋体" w:cs="宋体"/>
                <w:snapToGrid w:val="0"/>
                <w:sz w:val="24"/>
                <w:szCs w:val="24"/>
                <w:highlight w:val="none"/>
                <w:lang w:val="en-US" w:eastAsia="zh-CN" w:bidi="ar-SA"/>
              </w:rPr>
              <w:t>“内容缺陷”包括:1.内容与实际情况不匹配、2.不符合项目特点、3.内容不完整或缺少关键节点、4.涉及的规范及标准与项目无关、5.存在描述内容过于简略、6.缺失不全、7.前后矛盾、8.表述不清晰、9.凭空编造、10.逻辑混淆错误</w:t>
            </w:r>
            <w:r>
              <w:rPr>
                <w:rFonts w:hint="default" w:ascii="宋体" w:hAnsi="宋体" w:cs="宋体"/>
                <w:snapToGrid w:val="0"/>
                <w:sz w:val="24"/>
                <w:szCs w:val="24"/>
                <w:highlight w:val="none"/>
                <w:lang w:val="en-US" w:eastAsia="zh-CN" w:bidi="ar-SA"/>
              </w:rPr>
              <w:t>)</w:t>
            </w:r>
          </w:p>
        </w:tc>
        <w:tc>
          <w:tcPr>
            <w:tcW w:w="733" w:type="dxa"/>
            <w:shd w:val="clear" w:color="auto" w:fill="auto"/>
            <w:noWrap w:val="0"/>
            <w:vAlign w:val="center"/>
          </w:tcPr>
          <w:p w14:paraId="2C142574">
            <w:pPr>
              <w:pStyle w:val="183"/>
              <w:shd w:val="clear" w:color="auto"/>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r>
      <w:tr w14:paraId="6ECE5C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72" w:hRule="atLeast"/>
          <w:jc w:val="center"/>
        </w:trPr>
        <w:tc>
          <w:tcPr>
            <w:tcW w:w="1246" w:type="dxa"/>
            <w:vMerge w:val="continue"/>
            <w:shd w:val="clear" w:color="auto" w:fill="auto"/>
            <w:noWrap w:val="0"/>
            <w:vAlign w:val="center"/>
          </w:tcPr>
          <w:p w14:paraId="13129846">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p>
        </w:tc>
        <w:tc>
          <w:tcPr>
            <w:tcW w:w="1445" w:type="dxa"/>
            <w:shd w:val="clear" w:color="auto" w:fill="auto"/>
            <w:noWrap w:val="0"/>
            <w:vAlign w:val="center"/>
          </w:tcPr>
          <w:p w14:paraId="3AC700C2">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eastAsia="宋体" w:cs="宋体"/>
                <w:snapToGrid w:val="0"/>
                <w:sz w:val="24"/>
                <w:szCs w:val="24"/>
                <w:highlight w:val="none"/>
                <w:lang w:val="en-US" w:eastAsia="zh-CN" w:bidi="ar-SA"/>
              </w:rPr>
            </w:pPr>
            <w:r>
              <w:rPr>
                <w:rFonts w:hint="eastAsia" w:ascii="宋体" w:hAnsi="宋体" w:eastAsia="宋体" w:cs="宋体"/>
                <w:sz w:val="24"/>
                <w:szCs w:val="24"/>
                <w:highlight w:val="none"/>
              </w:rPr>
              <w:t>售后服务</w:t>
            </w:r>
            <w:r>
              <w:rPr>
                <w:rFonts w:hint="eastAsia" w:ascii="宋体" w:hAnsi="宋体" w:cs="宋体"/>
                <w:sz w:val="24"/>
                <w:szCs w:val="24"/>
                <w:highlight w:val="none"/>
                <w:lang w:val="en-US" w:eastAsia="zh-CN"/>
              </w:rPr>
              <w:t>方案</w:t>
            </w:r>
          </w:p>
        </w:tc>
        <w:tc>
          <w:tcPr>
            <w:tcW w:w="5096" w:type="dxa"/>
            <w:shd w:val="clear" w:color="auto" w:fill="auto"/>
            <w:noWrap w:val="0"/>
            <w:vAlign w:val="center"/>
          </w:tcPr>
          <w:p w14:paraId="05D84C45">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投标人根据本项目特点，提供售后服务方案包括</w:t>
            </w:r>
            <w:r>
              <w:rPr>
                <w:rFonts w:hint="eastAsia" w:ascii="宋体" w:hAnsi="宋体" w:cs="宋体"/>
                <w:snapToGrid w:val="0"/>
                <w:sz w:val="24"/>
                <w:szCs w:val="24"/>
                <w:highlight w:val="none"/>
                <w:lang w:val="en-US" w:eastAsia="zh-CN" w:bidi="ar-SA"/>
              </w:rPr>
              <w:t>：（1）售后</w:t>
            </w:r>
            <w:r>
              <w:rPr>
                <w:rFonts w:hint="eastAsia" w:ascii="宋体" w:hAnsi="宋体" w:eastAsia="宋体" w:cs="宋体"/>
                <w:snapToGrid w:val="0"/>
                <w:sz w:val="24"/>
                <w:szCs w:val="24"/>
                <w:highlight w:val="none"/>
                <w:lang w:val="en-US" w:eastAsia="zh-CN" w:bidi="ar-SA"/>
              </w:rPr>
              <w:t>服务体系、</w:t>
            </w:r>
            <w:r>
              <w:rPr>
                <w:rFonts w:hint="eastAsia" w:ascii="宋体" w:hAnsi="宋体" w:cs="宋体"/>
                <w:snapToGrid w:val="0"/>
                <w:sz w:val="24"/>
                <w:szCs w:val="24"/>
                <w:highlight w:val="none"/>
                <w:lang w:val="en-US" w:eastAsia="zh-CN" w:bidi="ar-SA"/>
              </w:rPr>
              <w:t>（2）售后服务响应</w:t>
            </w:r>
            <w:r>
              <w:rPr>
                <w:rFonts w:hint="eastAsia" w:ascii="宋体" w:hAnsi="宋体" w:eastAsia="宋体" w:cs="宋体"/>
                <w:snapToGrid w:val="0"/>
                <w:sz w:val="24"/>
                <w:szCs w:val="24"/>
                <w:highlight w:val="none"/>
                <w:lang w:val="en-US" w:eastAsia="zh-CN" w:bidi="ar-SA"/>
              </w:rPr>
              <w:t>、</w:t>
            </w:r>
            <w:r>
              <w:rPr>
                <w:rFonts w:hint="eastAsia" w:ascii="宋体" w:hAnsi="宋体" w:cs="宋体"/>
                <w:snapToGrid w:val="0"/>
                <w:sz w:val="24"/>
                <w:szCs w:val="24"/>
                <w:highlight w:val="none"/>
                <w:lang w:val="en-US" w:eastAsia="zh-CN" w:bidi="ar-SA"/>
              </w:rPr>
              <w:t>（3）出现问题后的处理措施</w:t>
            </w:r>
            <w:r>
              <w:rPr>
                <w:rFonts w:hint="eastAsia" w:ascii="宋体" w:hAnsi="宋体" w:eastAsia="宋体" w:cs="宋体"/>
                <w:snapToGrid w:val="0"/>
                <w:sz w:val="24"/>
                <w:szCs w:val="24"/>
                <w:highlight w:val="none"/>
                <w:lang w:val="en-US" w:eastAsia="zh-CN" w:bidi="ar-SA"/>
              </w:rPr>
              <w:t>、</w:t>
            </w:r>
            <w:r>
              <w:rPr>
                <w:rFonts w:hint="eastAsia" w:ascii="宋体" w:hAnsi="宋体" w:cs="宋体"/>
                <w:snapToGrid w:val="0"/>
                <w:sz w:val="24"/>
                <w:szCs w:val="24"/>
                <w:highlight w:val="none"/>
                <w:lang w:val="en-US" w:eastAsia="zh-CN" w:bidi="ar-SA"/>
              </w:rPr>
              <w:t>（4）售后维护升级服务</w:t>
            </w:r>
            <w:r>
              <w:rPr>
                <w:rFonts w:hint="eastAsia" w:ascii="宋体" w:hAnsi="宋体" w:eastAsia="宋体" w:cs="宋体"/>
                <w:snapToGrid w:val="0"/>
                <w:sz w:val="24"/>
                <w:szCs w:val="24"/>
                <w:highlight w:val="none"/>
                <w:lang w:val="en-US" w:eastAsia="zh-CN" w:bidi="ar-SA"/>
              </w:rPr>
              <w:t>、</w:t>
            </w:r>
            <w:r>
              <w:rPr>
                <w:rFonts w:hint="eastAsia" w:ascii="宋体" w:hAnsi="宋体" w:cs="宋体"/>
                <w:snapToGrid w:val="0"/>
                <w:sz w:val="24"/>
                <w:szCs w:val="24"/>
                <w:highlight w:val="none"/>
                <w:lang w:val="en-US" w:eastAsia="zh-CN" w:bidi="ar-SA"/>
              </w:rPr>
              <w:t>（5）售后服务保障措施</w:t>
            </w:r>
            <w:r>
              <w:rPr>
                <w:rFonts w:hint="eastAsia" w:ascii="宋体" w:hAnsi="宋体" w:eastAsia="宋体" w:cs="宋体"/>
                <w:snapToGrid w:val="0"/>
                <w:sz w:val="24"/>
                <w:szCs w:val="24"/>
                <w:highlight w:val="none"/>
                <w:lang w:val="en-US" w:eastAsia="zh-CN" w:bidi="ar-SA"/>
              </w:rPr>
              <w:t>等内容；</w:t>
            </w:r>
          </w:p>
          <w:p w14:paraId="7F68FDC9">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根据投标人提供内容进行评分，全部符合实际需求得</w:t>
            </w:r>
            <w:r>
              <w:rPr>
                <w:rFonts w:hint="eastAsia" w:ascii="宋体" w:hAnsi="宋体" w:cs="宋体"/>
                <w:snapToGrid w:val="0"/>
                <w:sz w:val="24"/>
                <w:szCs w:val="24"/>
                <w:highlight w:val="none"/>
                <w:lang w:val="en-US" w:eastAsia="zh-CN" w:bidi="ar-SA"/>
              </w:rPr>
              <w:t>15</w:t>
            </w:r>
            <w:r>
              <w:rPr>
                <w:rFonts w:hint="eastAsia" w:ascii="宋体" w:hAnsi="宋体" w:eastAsia="宋体" w:cs="宋体"/>
                <w:snapToGrid w:val="0"/>
                <w:sz w:val="24"/>
                <w:szCs w:val="24"/>
                <w:highlight w:val="none"/>
                <w:lang w:val="en-US" w:eastAsia="zh-CN" w:bidi="ar-SA"/>
              </w:rPr>
              <w:t>分；每缺一个要素扣</w:t>
            </w:r>
            <w:r>
              <w:rPr>
                <w:rFonts w:hint="eastAsia" w:ascii="宋体" w:hAnsi="宋体" w:cs="宋体"/>
                <w:snapToGrid w:val="0"/>
                <w:sz w:val="24"/>
                <w:szCs w:val="24"/>
                <w:highlight w:val="none"/>
                <w:lang w:val="en-US" w:eastAsia="zh-CN" w:bidi="ar-SA"/>
              </w:rPr>
              <w:t>3</w:t>
            </w:r>
            <w:r>
              <w:rPr>
                <w:rFonts w:hint="eastAsia" w:ascii="宋体" w:hAnsi="宋体" w:eastAsia="宋体" w:cs="宋体"/>
                <w:snapToGrid w:val="0"/>
                <w:sz w:val="24"/>
                <w:szCs w:val="24"/>
                <w:highlight w:val="none"/>
                <w:lang w:val="en-US" w:eastAsia="zh-CN" w:bidi="ar-SA"/>
              </w:rPr>
              <w:t>分；</w:t>
            </w:r>
            <w:r>
              <w:rPr>
                <w:rFonts w:hint="default" w:ascii="宋体" w:hAnsi="宋体" w:cs="宋体"/>
                <w:snapToGrid w:val="0"/>
                <w:sz w:val="24"/>
                <w:szCs w:val="24"/>
                <w:highlight w:val="none"/>
                <w:lang w:val="en-US" w:eastAsia="zh-CN" w:bidi="ar-SA"/>
              </w:rPr>
              <w:t>每个要素里每有一处内容缺陷扣1分，</w:t>
            </w:r>
            <w:r>
              <w:rPr>
                <w:rFonts w:hint="eastAsia" w:ascii="宋体" w:hAnsi="宋体" w:eastAsia="宋体" w:cs="宋体"/>
                <w:snapToGrid w:val="0"/>
                <w:sz w:val="24"/>
                <w:szCs w:val="24"/>
                <w:highlight w:val="none"/>
                <w:lang w:val="en-US" w:eastAsia="zh-CN" w:bidi="ar-SA"/>
              </w:rPr>
              <w:t>扣完为止。(</w:t>
            </w:r>
            <w:r>
              <w:rPr>
                <w:rFonts w:hint="eastAsia" w:ascii="宋体" w:hAnsi="宋体" w:cs="宋体"/>
                <w:snapToGrid w:val="0"/>
                <w:sz w:val="24"/>
                <w:szCs w:val="24"/>
                <w:highlight w:val="none"/>
                <w:lang w:val="en-US" w:eastAsia="zh-CN" w:bidi="ar-SA"/>
              </w:rPr>
              <w:t>“内容缺陷”包括:1.内容与实际情况不匹配、2.不符合项目特点、3.内容不完整或缺少关键节点、4.涉及的规范及标准与项目无关、5.存在描述内容过于简略、6.缺失不全、7.前后矛盾、8.表述不清晰、9.凭空编造、10.逻辑混淆错误</w:t>
            </w:r>
            <w:r>
              <w:rPr>
                <w:rFonts w:hint="eastAsia" w:ascii="宋体" w:hAnsi="宋体" w:eastAsia="宋体" w:cs="宋体"/>
                <w:snapToGrid w:val="0"/>
                <w:sz w:val="24"/>
                <w:szCs w:val="24"/>
                <w:highlight w:val="none"/>
                <w:lang w:val="en-US" w:eastAsia="zh-CN" w:bidi="ar-SA"/>
              </w:rPr>
              <w:t>)</w:t>
            </w:r>
          </w:p>
        </w:tc>
        <w:tc>
          <w:tcPr>
            <w:tcW w:w="733" w:type="dxa"/>
            <w:shd w:val="clear" w:color="auto" w:fill="auto"/>
            <w:noWrap w:val="0"/>
            <w:vAlign w:val="center"/>
          </w:tcPr>
          <w:p w14:paraId="454157CA">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eastAsia="宋体" w:cs="宋体"/>
                <w:snapToGrid w:val="0"/>
                <w:sz w:val="24"/>
                <w:szCs w:val="24"/>
                <w:highlight w:val="none"/>
                <w:lang w:val="en-US" w:eastAsia="zh-CN" w:bidi="ar-SA"/>
              </w:rPr>
            </w:pPr>
            <w:r>
              <w:rPr>
                <w:rFonts w:hint="eastAsia" w:ascii="宋体" w:hAnsi="宋体" w:cs="宋体"/>
                <w:sz w:val="24"/>
                <w:szCs w:val="24"/>
                <w:highlight w:val="none"/>
                <w:lang w:val="en-US" w:eastAsia="zh-CN"/>
              </w:rPr>
              <w:t>15</w:t>
            </w:r>
          </w:p>
        </w:tc>
      </w:tr>
      <w:tr w14:paraId="23AA25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2" w:hRule="atLeast"/>
          <w:jc w:val="center"/>
        </w:trPr>
        <w:tc>
          <w:tcPr>
            <w:tcW w:w="1246" w:type="dxa"/>
            <w:vMerge w:val="continue"/>
            <w:shd w:val="clear" w:color="auto" w:fill="auto"/>
            <w:noWrap w:val="0"/>
            <w:vAlign w:val="center"/>
          </w:tcPr>
          <w:p w14:paraId="12B6A693">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ascii="宋体" w:hAnsi="宋体" w:eastAsia="宋体" w:cs="宋体"/>
                <w:sz w:val="24"/>
                <w:szCs w:val="24"/>
                <w:highlight w:val="none"/>
              </w:rPr>
            </w:pPr>
          </w:p>
        </w:tc>
        <w:tc>
          <w:tcPr>
            <w:tcW w:w="1445" w:type="dxa"/>
            <w:shd w:val="clear" w:color="auto" w:fill="auto"/>
            <w:noWrap w:val="0"/>
            <w:vAlign w:val="center"/>
          </w:tcPr>
          <w:p w14:paraId="7FD2943F">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服务承诺</w:t>
            </w:r>
          </w:p>
        </w:tc>
        <w:tc>
          <w:tcPr>
            <w:tcW w:w="5096" w:type="dxa"/>
            <w:shd w:val="clear" w:color="auto" w:fill="auto"/>
            <w:noWrap w:val="0"/>
            <w:vAlign w:val="center"/>
          </w:tcPr>
          <w:p w14:paraId="73FC9CA1">
            <w:pPr>
              <w:pStyle w:val="183"/>
              <w:shd w:val="clear" w:color="auto"/>
              <w:spacing w:line="360" w:lineRule="auto"/>
              <w:jc w:val="left"/>
              <w:rPr>
                <w:rFonts w:hint="eastAsia" w:ascii="宋体" w:hAnsi="宋体" w:eastAsia="宋体" w:cs="宋体"/>
                <w:snapToGrid w:val="0"/>
                <w:sz w:val="24"/>
                <w:szCs w:val="24"/>
                <w:highlight w:val="none"/>
                <w:lang w:val="en-US" w:eastAsia="zh-CN" w:bidi="ar-SA"/>
              </w:rPr>
            </w:pPr>
            <w:r>
              <w:rPr>
                <w:rFonts w:hint="eastAsia" w:ascii="宋体" w:hAnsi="宋体" w:eastAsia="宋体" w:cs="宋体"/>
                <w:sz w:val="24"/>
                <w:szCs w:val="24"/>
                <w:lang w:val="en-US" w:eastAsia="zh-CN"/>
              </w:rPr>
              <w:t>提供本项目</w:t>
            </w:r>
            <w:r>
              <w:rPr>
                <w:rFonts w:hint="eastAsia" w:ascii="宋体" w:hAnsi="宋体" w:cs="宋体"/>
                <w:sz w:val="24"/>
                <w:szCs w:val="24"/>
                <w:lang w:val="en-US" w:eastAsia="zh-CN"/>
              </w:rPr>
              <w:t>提供</w:t>
            </w:r>
            <w:r>
              <w:rPr>
                <w:rFonts w:hint="eastAsia" w:ascii="宋体" w:hAnsi="宋体" w:eastAsia="宋体" w:cs="宋体"/>
                <w:sz w:val="24"/>
                <w:szCs w:val="24"/>
                <w:lang w:val="en-US" w:eastAsia="zh-CN"/>
              </w:rPr>
              <w:t>服务承诺函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具体内容包括根据工作要求结合</w:t>
            </w:r>
            <w:r>
              <w:rPr>
                <w:rFonts w:hint="eastAsia" w:ascii="宋体" w:hAnsi="宋体" w:cs="宋体"/>
                <w:sz w:val="24"/>
                <w:szCs w:val="24"/>
                <w:lang w:val="en-US" w:eastAsia="zh-CN"/>
              </w:rPr>
              <w:t>采购需求，</w:t>
            </w:r>
            <w:r>
              <w:rPr>
                <w:rFonts w:hint="eastAsia" w:ascii="宋体" w:hAnsi="宋体" w:eastAsia="宋体" w:cs="宋体"/>
                <w:sz w:val="24"/>
                <w:szCs w:val="24"/>
                <w:lang w:val="en-US" w:eastAsia="zh-CN"/>
              </w:rPr>
              <w:t>合理安排投入的</w:t>
            </w:r>
            <w:r>
              <w:rPr>
                <w:rFonts w:hint="eastAsia" w:ascii="宋体" w:hAnsi="宋体" w:cs="宋体"/>
                <w:sz w:val="24"/>
                <w:szCs w:val="24"/>
                <w:lang w:val="en-US" w:eastAsia="zh-CN"/>
              </w:rPr>
              <w:t>软件维护</w:t>
            </w:r>
            <w:r>
              <w:rPr>
                <w:rFonts w:hint="eastAsia" w:ascii="宋体" w:hAnsi="宋体" w:eastAsia="宋体" w:cs="宋体"/>
                <w:sz w:val="24"/>
                <w:szCs w:val="24"/>
                <w:lang w:val="en-US" w:eastAsia="zh-CN"/>
              </w:rPr>
              <w:t>工作人员、设备</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严格按照招标文件规定的标准开展</w:t>
            </w:r>
            <w:r>
              <w:rPr>
                <w:rFonts w:hint="eastAsia" w:ascii="宋体" w:hAnsi="宋体" w:cs="宋体"/>
                <w:sz w:val="24"/>
                <w:szCs w:val="24"/>
                <w:lang w:val="en-US" w:eastAsia="zh-CN"/>
              </w:rPr>
              <w:t>软件维护</w:t>
            </w:r>
            <w:r>
              <w:rPr>
                <w:rFonts w:hint="eastAsia" w:ascii="宋体" w:hAnsi="宋体" w:eastAsia="宋体" w:cs="宋体"/>
                <w:sz w:val="24"/>
                <w:szCs w:val="24"/>
                <w:lang w:val="en-US" w:eastAsia="zh-CN"/>
              </w:rPr>
              <w:t>工作</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及时响应应急需求等。提供符合要求的承诺得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未提供承诺或承诺内容不完整、不符合要求的不得分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格式自拟</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tc>
        <w:tc>
          <w:tcPr>
            <w:tcW w:w="733" w:type="dxa"/>
            <w:shd w:val="clear" w:color="auto" w:fill="auto"/>
            <w:noWrap w:val="0"/>
            <w:vAlign w:val="center"/>
          </w:tcPr>
          <w:p w14:paraId="51E67E23">
            <w:pPr>
              <w:pStyle w:val="183"/>
              <w:keepNext w:val="0"/>
              <w:keepLines w:val="0"/>
              <w:pageBreakBefore w:val="0"/>
              <w:widowControl/>
              <w:shd w:val="clear"/>
              <w:kinsoku/>
              <w:wordWrap/>
              <w:overflowPunct/>
              <w:topLinePunct w:val="0"/>
              <w:autoSpaceDE/>
              <w:autoSpaceDN/>
              <w:bidi w:val="0"/>
              <w:adjustRightInd w:val="0"/>
              <w:snapToGrid w:val="0"/>
              <w:spacing w:line="400" w:lineRule="exact"/>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bl>
    <w:tbl>
      <w:tblPr>
        <w:tblStyle w:val="35"/>
        <w:tblpPr w:leftFromText="180" w:rightFromText="180" w:vertAnchor="text" w:horzAnchor="page" w:tblpX="1755" w:tblpY="211"/>
        <w:tblOverlap w:val="never"/>
        <w:tblW w:w="85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0"/>
      </w:tblGrid>
      <w:tr w14:paraId="36161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550" w:type="dxa"/>
            <w:tcBorders>
              <w:top w:val="single" w:color="auto" w:sz="4" w:space="0"/>
              <w:bottom w:val="single" w:color="auto" w:sz="4" w:space="0"/>
            </w:tcBorders>
            <w:vAlign w:val="center"/>
          </w:tcPr>
          <w:p w14:paraId="7A8B0E03">
            <w:pPr>
              <w:shd w:val="clear"/>
              <w:snapToGrid w:val="0"/>
              <w:spacing w:line="44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sz w:val="24"/>
                <w:szCs w:val="24"/>
              </w:rPr>
              <w:t>属于中小企业</w:t>
            </w:r>
            <w:r>
              <w:rPr>
                <w:rFonts w:hint="eastAsia" w:asciiTheme="minorEastAsia" w:hAnsiTheme="minorEastAsia" w:eastAsiaTheme="minorEastAsia" w:cstheme="minorEastAsia"/>
                <w:sz w:val="24"/>
                <w:szCs w:val="24"/>
              </w:rPr>
              <w:t>评审优惠内容及幅度如下：</w:t>
            </w:r>
          </w:p>
          <w:p w14:paraId="3E11957D">
            <w:pPr>
              <w:shd w:val="clear"/>
              <w:snapToGrid w:val="0"/>
              <w:spacing w:line="440" w:lineRule="exact"/>
              <w:ind w:firstLine="241"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中小企业（含中型、小型、微型企业）应当</w:t>
            </w:r>
            <w:r>
              <w:rPr>
                <w:rFonts w:hint="eastAsia" w:asciiTheme="minorEastAsia" w:hAnsiTheme="minorEastAsia" w:eastAsiaTheme="minorEastAsia" w:cstheme="minorEastAsia"/>
                <w:b/>
                <w:sz w:val="24"/>
                <w:szCs w:val="24"/>
              </w:rPr>
              <w:t>同时符合</w:t>
            </w:r>
            <w:r>
              <w:rPr>
                <w:rFonts w:hint="eastAsia" w:asciiTheme="minorEastAsia" w:hAnsiTheme="minorEastAsia" w:eastAsiaTheme="minorEastAsia" w:cstheme="minorEastAsia"/>
                <w:sz w:val="24"/>
                <w:szCs w:val="24"/>
              </w:rPr>
              <w:t>以下条件：</w:t>
            </w:r>
          </w:p>
          <w:p w14:paraId="528AE98D">
            <w:pPr>
              <w:pStyle w:val="248"/>
              <w:shd w:val="clear"/>
              <w:spacing w:line="440" w:lineRule="exact"/>
              <w:ind w:left="846" w:leftChars="40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①符合中小企业划分标准（按《关于印发中小企业划型标准规定的通知》（工信部联企业〔2011〕300号）执行）；</w:t>
            </w:r>
          </w:p>
          <w:p w14:paraId="26C5AC7C">
            <w:pPr>
              <w:pStyle w:val="248"/>
              <w:shd w:val="clear"/>
              <w:spacing w:line="440" w:lineRule="exact"/>
              <w:ind w:left="846" w:leftChars="40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②提供本企业制造的货物、承担的项目或者服务，或者提供其他中小企业制造的货物。本项所称货物不包括使用大型企业注册商标的货物；</w:t>
            </w:r>
          </w:p>
          <w:p w14:paraId="5D2D26A2">
            <w:pPr>
              <w:pStyle w:val="248"/>
              <w:shd w:val="clear"/>
              <w:spacing w:line="440" w:lineRule="exact"/>
              <w:ind w:left="846" w:leftChars="403"/>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③小型、微型企业提供中型企业制造的货物的，视同为中型企业。</w:t>
            </w:r>
          </w:p>
        </w:tc>
      </w:tr>
    </w:tbl>
    <w:p w14:paraId="2F23C632">
      <w:pPr>
        <w:shd w:val="clear" w:color="auto"/>
        <w:rPr>
          <w:color w:val="auto"/>
          <w:highlight w:val="none"/>
        </w:rPr>
      </w:pPr>
    </w:p>
    <w:p w14:paraId="475A502B">
      <w:pPr>
        <w:shd w:val="clear" w:color="auto"/>
        <w:topLinePunct/>
        <w:spacing w:line="400" w:lineRule="exact"/>
        <w:jc w:val="left"/>
        <w:rPr>
          <w:rFonts w:hint="eastAsia" w:ascii="宋体" w:hAnsi="宋体" w:cs="宋体"/>
          <w:color w:val="auto"/>
          <w:sz w:val="24"/>
          <w:szCs w:val="28"/>
          <w:highlight w:val="none"/>
          <w:lang w:val="zh-CN"/>
        </w:rPr>
      </w:pPr>
      <w:r>
        <w:rPr>
          <w:rFonts w:hint="eastAsia" w:ascii="宋体" w:hAnsi="宋体" w:cs="宋体"/>
          <w:color w:val="auto"/>
          <w:sz w:val="24"/>
          <w:szCs w:val="28"/>
          <w:highlight w:val="none"/>
          <w:lang w:val="en-US" w:eastAsia="zh-CN"/>
        </w:rPr>
        <w:t>1</w:t>
      </w:r>
      <w:r>
        <w:rPr>
          <w:rFonts w:hint="eastAsia" w:ascii="宋体" w:hAnsi="宋体" w:cs="宋体"/>
          <w:color w:val="auto"/>
          <w:sz w:val="24"/>
          <w:szCs w:val="28"/>
          <w:highlight w:val="none"/>
          <w:lang w:val="zh-CN"/>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40899C87">
      <w:pPr>
        <w:shd w:val="clear" w:color="auto"/>
        <w:topLinePunct/>
        <w:spacing w:line="400" w:lineRule="exact"/>
        <w:jc w:val="left"/>
        <w:rPr>
          <w:rFonts w:hint="eastAsia" w:ascii="宋体" w:hAnsi="宋体" w:cs="宋体"/>
          <w:color w:val="auto"/>
          <w:sz w:val="24"/>
          <w:szCs w:val="28"/>
          <w:highlight w:val="none"/>
          <w:lang w:val="zh-CN"/>
        </w:rPr>
      </w:pPr>
      <w:r>
        <w:rPr>
          <w:rFonts w:hint="eastAsia" w:ascii="宋体" w:hAnsi="宋体" w:cs="宋体"/>
          <w:color w:val="auto"/>
          <w:sz w:val="24"/>
          <w:szCs w:val="28"/>
          <w:highlight w:val="none"/>
          <w:lang w:val="en-US" w:eastAsia="zh-CN"/>
        </w:rPr>
        <w:t>2</w:t>
      </w:r>
      <w:r>
        <w:rPr>
          <w:rFonts w:hint="eastAsia" w:ascii="宋体" w:hAnsi="宋体" w:cs="宋体"/>
          <w:color w:val="auto"/>
          <w:sz w:val="24"/>
          <w:szCs w:val="28"/>
          <w:highlight w:val="none"/>
          <w:lang w:val="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1F17A8E">
      <w:pPr>
        <w:shd w:val="clear" w:color="auto"/>
        <w:topLinePunct/>
        <w:spacing w:line="400" w:lineRule="exact"/>
        <w:jc w:val="left"/>
        <w:rPr>
          <w:rFonts w:hint="eastAsia" w:ascii="宋体" w:hAnsi="宋体" w:cs="宋体"/>
          <w:color w:val="auto"/>
          <w:sz w:val="24"/>
          <w:szCs w:val="28"/>
          <w:highlight w:val="none"/>
          <w:lang w:val="zh-CN"/>
        </w:rPr>
      </w:pP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lang w:val="zh-CN"/>
        </w:rPr>
        <w:t>、在任何评标环节中，需评标委员会就某项评审结论做出表决的，由评标委员会全体成员按照少数服从多数的原则，以记名投票方式表决。</w:t>
      </w:r>
    </w:p>
    <w:p w14:paraId="1F292D46">
      <w:pPr>
        <w:keepNext w:val="0"/>
        <w:keepLines w:val="0"/>
        <w:pageBreakBefore/>
        <w:widowControl w:val="0"/>
        <w:shd w:val="clear" w:color="auto"/>
        <w:kinsoku/>
        <w:wordWrap/>
        <w:overflowPunct/>
        <w:topLinePunct/>
        <w:autoSpaceDE/>
        <w:autoSpaceDN/>
        <w:bidi w:val="0"/>
        <w:adjustRightInd/>
        <w:snapToGrid/>
        <w:spacing w:line="400" w:lineRule="exact"/>
        <w:jc w:val="center"/>
        <w:textAlignment w:val="auto"/>
        <w:rPr>
          <w:rFonts w:hint="eastAsia" w:hAnsi="宋体" w:cs="宋体"/>
          <w:b/>
          <w:bCs/>
          <w:color w:val="auto"/>
          <w:sz w:val="24"/>
          <w:szCs w:val="24"/>
          <w:highlight w:val="none"/>
        </w:rPr>
      </w:pPr>
      <w:r>
        <w:rPr>
          <w:rFonts w:hint="eastAsia" w:hAnsi="宋体" w:cs="宋体"/>
          <w:b/>
          <w:bCs/>
          <w:color w:val="auto"/>
          <w:sz w:val="32"/>
          <w:szCs w:val="32"/>
          <w:highlight w:val="none"/>
        </w:rPr>
        <w:fldChar w:fldCharType="begin"/>
      </w:r>
      <w:r>
        <w:rPr>
          <w:rFonts w:hint="eastAsia" w:hAnsi="宋体" w:cs="宋体"/>
          <w:b/>
          <w:bCs/>
          <w:color w:val="auto"/>
          <w:sz w:val="32"/>
          <w:szCs w:val="32"/>
          <w:highlight w:val="none"/>
        </w:rPr>
        <w:instrText xml:space="preserve"> HYPERLINK \l _Toc7744_WPSOffice_Level1 </w:instrText>
      </w:r>
      <w:r>
        <w:rPr>
          <w:rFonts w:hint="eastAsia" w:hAnsi="宋体" w:cs="宋体"/>
          <w:b/>
          <w:bCs/>
          <w:color w:val="auto"/>
          <w:sz w:val="32"/>
          <w:szCs w:val="32"/>
          <w:highlight w:val="none"/>
        </w:rPr>
        <w:fldChar w:fldCharType="separate"/>
      </w:r>
      <w:r>
        <w:rPr>
          <w:rFonts w:hint="eastAsia" w:hAnsi="宋体" w:cs="宋体"/>
          <w:b/>
          <w:bCs/>
          <w:color w:val="auto"/>
          <w:sz w:val="32"/>
          <w:szCs w:val="32"/>
          <w:highlight w:val="none"/>
        </w:rPr>
        <w:t xml:space="preserve">第六章  </w:t>
      </w:r>
      <w:r>
        <w:rPr>
          <w:rFonts w:hint="eastAsia" w:hAnsi="宋体" w:cs="宋体"/>
          <w:b/>
          <w:bCs/>
          <w:color w:val="auto"/>
          <w:sz w:val="32"/>
          <w:szCs w:val="32"/>
          <w:highlight w:val="none"/>
          <w:lang w:eastAsia="zh-CN"/>
        </w:rPr>
        <w:t>采购需求清单</w:t>
      </w:r>
      <w:r>
        <w:rPr>
          <w:rFonts w:hint="eastAsia" w:hAnsi="宋体" w:cs="宋体"/>
          <w:b/>
          <w:bCs/>
          <w:color w:val="auto"/>
          <w:sz w:val="32"/>
          <w:szCs w:val="32"/>
          <w:highlight w:val="none"/>
        </w:rPr>
        <w:fldChar w:fldCharType="end"/>
      </w:r>
    </w:p>
    <w:p w14:paraId="7B58A29D">
      <w:pPr>
        <w:pStyle w:val="34"/>
        <w:numPr>
          <w:ilvl w:val="0"/>
          <w:numId w:val="0"/>
        </w:numPr>
        <w:shd w:val="clea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一、</w:t>
      </w:r>
      <w:r>
        <w:rPr>
          <w:rFonts w:hint="eastAsia" w:asciiTheme="minorEastAsia" w:hAnsiTheme="minorEastAsia" w:eastAsiaTheme="minorEastAsia" w:cstheme="minorEastAsia"/>
          <w:color w:val="auto"/>
          <w:sz w:val="24"/>
          <w:szCs w:val="24"/>
          <w:lang w:val="en-US" w:eastAsia="zh-CN"/>
        </w:rPr>
        <w:t>实验装置</w:t>
      </w:r>
    </w:p>
    <w:tbl>
      <w:tblPr>
        <w:tblStyle w:val="35"/>
        <w:tblW w:w="4237" w:type="pct"/>
        <w:jc w:val="center"/>
        <w:tblLayout w:type="fixed"/>
        <w:tblCellMar>
          <w:top w:w="0" w:type="dxa"/>
          <w:left w:w="108" w:type="dxa"/>
          <w:bottom w:w="0" w:type="dxa"/>
          <w:right w:w="108" w:type="dxa"/>
        </w:tblCellMar>
      </w:tblPr>
      <w:tblGrid>
        <w:gridCol w:w="754"/>
        <w:gridCol w:w="3147"/>
        <w:gridCol w:w="1075"/>
        <w:gridCol w:w="894"/>
        <w:gridCol w:w="1352"/>
      </w:tblGrid>
      <w:tr w14:paraId="5E4C0C35">
        <w:tblPrEx>
          <w:tblCellMar>
            <w:top w:w="0" w:type="dxa"/>
            <w:left w:w="108" w:type="dxa"/>
            <w:bottom w:w="0" w:type="dxa"/>
            <w:right w:w="108" w:type="dxa"/>
          </w:tblCellMar>
        </w:tblPrEx>
        <w:trPr>
          <w:trHeight w:val="560" w:hRule="atLeast"/>
          <w:jc w:val="center"/>
        </w:trPr>
        <w:tc>
          <w:tcPr>
            <w:tcW w:w="522" w:type="pct"/>
            <w:tcBorders>
              <w:top w:val="single" w:color="auto" w:sz="6" w:space="0"/>
              <w:left w:val="single" w:color="auto" w:sz="6" w:space="0"/>
              <w:bottom w:val="single" w:color="auto" w:sz="6" w:space="0"/>
              <w:right w:val="single" w:color="auto" w:sz="6" w:space="0"/>
            </w:tcBorders>
            <w:shd w:val="clear" w:color="000000" w:fill="auto"/>
            <w:vAlign w:val="center"/>
          </w:tcPr>
          <w:p w14:paraId="68D53EF9">
            <w:pPr>
              <w:widowControl/>
              <w:shd w:val="clear"/>
              <w:adjustRightInd w:val="0"/>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178" w:type="pct"/>
            <w:tcBorders>
              <w:top w:val="single" w:color="auto" w:sz="6" w:space="0"/>
              <w:left w:val="single" w:color="auto" w:sz="6" w:space="0"/>
              <w:bottom w:val="single" w:color="auto" w:sz="6" w:space="0"/>
              <w:right w:val="single" w:color="auto" w:sz="6" w:space="0"/>
            </w:tcBorders>
            <w:shd w:val="clear" w:color="000000" w:fill="auto"/>
            <w:vAlign w:val="center"/>
          </w:tcPr>
          <w:p w14:paraId="57DDD59C">
            <w:pPr>
              <w:widowControl/>
              <w:shd w:val="clear"/>
              <w:adjustRightInd w:val="0"/>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产品名称</w:t>
            </w:r>
          </w:p>
        </w:tc>
        <w:tc>
          <w:tcPr>
            <w:tcW w:w="744" w:type="pct"/>
            <w:tcBorders>
              <w:top w:val="single" w:color="auto" w:sz="6" w:space="0"/>
              <w:left w:val="single" w:color="auto" w:sz="6" w:space="0"/>
              <w:bottom w:val="single" w:color="auto" w:sz="4" w:space="0"/>
              <w:right w:val="single" w:color="auto" w:sz="6" w:space="0"/>
            </w:tcBorders>
            <w:shd w:val="clear" w:color="000000" w:fill="auto"/>
            <w:vAlign w:val="center"/>
          </w:tcPr>
          <w:p w14:paraId="67EC8CA9">
            <w:pPr>
              <w:widowControl/>
              <w:shd w:val="clear"/>
              <w:adjustRightInd w:val="0"/>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619" w:type="pct"/>
            <w:tcBorders>
              <w:top w:val="single" w:color="auto" w:sz="6" w:space="0"/>
              <w:left w:val="single" w:color="auto" w:sz="6" w:space="0"/>
              <w:bottom w:val="single" w:color="auto" w:sz="6" w:space="0"/>
              <w:right w:val="single" w:color="auto" w:sz="4" w:space="0"/>
            </w:tcBorders>
            <w:shd w:val="clear" w:color="000000" w:fill="auto"/>
            <w:vAlign w:val="center"/>
          </w:tcPr>
          <w:p w14:paraId="7467E0D0">
            <w:pPr>
              <w:widowControl/>
              <w:shd w:val="clear"/>
              <w:adjustRightInd w:val="0"/>
              <w:snapToGrid w:val="0"/>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单位</w:t>
            </w:r>
          </w:p>
        </w:tc>
        <w:tc>
          <w:tcPr>
            <w:tcW w:w="935" w:type="pct"/>
            <w:tcBorders>
              <w:top w:val="single" w:color="auto" w:sz="6" w:space="0"/>
              <w:left w:val="single" w:color="auto" w:sz="6" w:space="0"/>
              <w:bottom w:val="single" w:color="auto" w:sz="6" w:space="0"/>
              <w:right w:val="single" w:color="auto" w:sz="4" w:space="0"/>
            </w:tcBorders>
            <w:shd w:val="clear" w:color="000000" w:fill="auto"/>
            <w:vAlign w:val="center"/>
          </w:tcPr>
          <w:p w14:paraId="35415FA9">
            <w:pPr>
              <w:widowControl/>
              <w:shd w:val="clear"/>
              <w:adjustRightInd w:val="0"/>
              <w:snapToGrid w:val="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备注</w:t>
            </w:r>
          </w:p>
        </w:tc>
      </w:tr>
      <w:tr w14:paraId="24AB887A">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4" w:space="0"/>
              <w:right w:val="single" w:color="auto" w:sz="4" w:space="0"/>
            </w:tcBorders>
            <w:shd w:val="clear" w:color="000000" w:fill="auto"/>
            <w:vAlign w:val="center"/>
          </w:tcPr>
          <w:p w14:paraId="2FDE6ECA">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178" w:type="pct"/>
            <w:tcBorders>
              <w:top w:val="single" w:color="auto" w:sz="6" w:space="0"/>
              <w:left w:val="nil"/>
              <w:bottom w:val="single" w:color="auto" w:sz="4" w:space="0"/>
              <w:right w:val="single" w:color="auto" w:sz="4" w:space="0"/>
            </w:tcBorders>
            <w:shd w:val="clear" w:color="000000" w:fill="auto"/>
            <w:vAlign w:val="center"/>
          </w:tcPr>
          <w:p w14:paraId="3C821C6B">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催化裂化装置3D虚拟仿真平台</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4B9EB9A9">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4" w:space="0"/>
              <w:right w:val="single" w:color="auto" w:sz="4" w:space="0"/>
            </w:tcBorders>
            <w:shd w:val="clear" w:color="000000" w:fill="auto"/>
            <w:vAlign w:val="center"/>
          </w:tcPr>
          <w:p w14:paraId="3FC1F3DC">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4" w:space="0"/>
              <w:right w:val="single" w:color="auto" w:sz="4" w:space="0"/>
            </w:tcBorders>
            <w:shd w:val="clear" w:color="000000" w:fill="auto"/>
            <w:vAlign w:val="center"/>
          </w:tcPr>
          <w:p w14:paraId="624D98B3">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p>
        </w:tc>
      </w:tr>
      <w:tr w14:paraId="2E26C0DF">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6" w:space="0"/>
              <w:right w:val="single" w:color="auto" w:sz="4" w:space="0"/>
            </w:tcBorders>
            <w:shd w:val="clear" w:color="000000" w:fill="auto"/>
            <w:vAlign w:val="center"/>
          </w:tcPr>
          <w:p w14:paraId="453CBB70">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178" w:type="pct"/>
            <w:tcBorders>
              <w:top w:val="single" w:color="auto" w:sz="6" w:space="0"/>
              <w:left w:val="nil"/>
              <w:bottom w:val="single" w:color="auto" w:sz="6" w:space="0"/>
              <w:right w:val="single" w:color="auto" w:sz="4" w:space="0"/>
            </w:tcBorders>
            <w:shd w:val="clear" w:color="000000" w:fill="auto"/>
            <w:vAlign w:val="center"/>
          </w:tcPr>
          <w:p w14:paraId="51C03277">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原油处理3D虚拟仿真平台</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22D1B817">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6" w:space="0"/>
              <w:right w:val="single" w:color="auto" w:sz="4" w:space="0"/>
            </w:tcBorders>
            <w:shd w:val="clear" w:color="000000" w:fill="auto"/>
            <w:vAlign w:val="center"/>
          </w:tcPr>
          <w:p w14:paraId="172A299F">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6" w:space="0"/>
              <w:right w:val="single" w:color="auto" w:sz="4" w:space="0"/>
            </w:tcBorders>
            <w:shd w:val="clear" w:color="000000" w:fill="auto"/>
            <w:vAlign w:val="center"/>
          </w:tcPr>
          <w:p w14:paraId="787824AA">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p>
        </w:tc>
      </w:tr>
      <w:tr w14:paraId="0C611A0C">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6" w:space="0"/>
              <w:right w:val="single" w:color="auto" w:sz="4" w:space="0"/>
            </w:tcBorders>
            <w:shd w:val="clear" w:color="000000" w:fill="auto"/>
            <w:vAlign w:val="center"/>
          </w:tcPr>
          <w:p w14:paraId="01520203">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178" w:type="pct"/>
            <w:tcBorders>
              <w:top w:val="single" w:color="auto" w:sz="6" w:space="0"/>
              <w:left w:val="nil"/>
              <w:bottom w:val="single" w:color="auto" w:sz="6" w:space="0"/>
              <w:right w:val="single" w:color="auto" w:sz="4" w:space="0"/>
            </w:tcBorders>
            <w:shd w:val="clear" w:color="000000" w:fill="auto"/>
            <w:vAlign w:val="center"/>
          </w:tcPr>
          <w:p w14:paraId="014B458C">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条干均匀度测试分析仪</w:t>
            </w:r>
          </w:p>
          <w:p w14:paraId="1FCD1A5E">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（核心产品）</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3E77FF69">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6" w:space="0"/>
              <w:right w:val="single" w:color="auto" w:sz="4" w:space="0"/>
            </w:tcBorders>
            <w:shd w:val="clear" w:color="000000" w:fill="auto"/>
            <w:vAlign w:val="center"/>
          </w:tcPr>
          <w:p w14:paraId="07BE0069">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6" w:space="0"/>
              <w:right w:val="single" w:color="auto" w:sz="4" w:space="0"/>
            </w:tcBorders>
            <w:shd w:val="clear" w:color="000000" w:fill="auto"/>
            <w:vAlign w:val="center"/>
          </w:tcPr>
          <w:p w14:paraId="3BEE9910">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p>
        </w:tc>
      </w:tr>
      <w:tr w14:paraId="2D639ADD">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6" w:space="0"/>
              <w:right w:val="single" w:color="auto" w:sz="4" w:space="0"/>
            </w:tcBorders>
            <w:shd w:val="clear" w:color="000000" w:fill="auto"/>
            <w:vAlign w:val="center"/>
          </w:tcPr>
          <w:p w14:paraId="51D252AB">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178" w:type="pct"/>
            <w:tcBorders>
              <w:top w:val="single" w:color="auto" w:sz="6" w:space="0"/>
              <w:left w:val="nil"/>
              <w:bottom w:val="single" w:color="auto" w:sz="6" w:space="0"/>
              <w:right w:val="single" w:color="auto" w:sz="4" w:space="0"/>
            </w:tcBorders>
            <w:shd w:val="clear" w:color="000000" w:fill="auto"/>
            <w:vAlign w:val="center"/>
          </w:tcPr>
          <w:p w14:paraId="762D2834">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滚箱式起球仪</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1C92FAFA">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6" w:space="0"/>
              <w:right w:val="single" w:color="auto" w:sz="4" w:space="0"/>
            </w:tcBorders>
            <w:shd w:val="clear" w:color="000000" w:fill="auto"/>
            <w:vAlign w:val="center"/>
          </w:tcPr>
          <w:p w14:paraId="02EDC848">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6" w:space="0"/>
              <w:right w:val="single" w:color="auto" w:sz="4" w:space="0"/>
            </w:tcBorders>
            <w:shd w:val="clear" w:color="000000" w:fill="auto"/>
            <w:vAlign w:val="center"/>
          </w:tcPr>
          <w:p w14:paraId="4C12CD72">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p>
        </w:tc>
      </w:tr>
      <w:tr w14:paraId="6DF00664">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6" w:space="0"/>
              <w:right w:val="single" w:color="auto" w:sz="4" w:space="0"/>
            </w:tcBorders>
            <w:shd w:val="clear" w:color="000000" w:fill="auto"/>
            <w:vAlign w:val="center"/>
          </w:tcPr>
          <w:p w14:paraId="3DA38558">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178" w:type="pct"/>
            <w:tcBorders>
              <w:top w:val="single" w:color="auto" w:sz="6" w:space="0"/>
              <w:left w:val="nil"/>
              <w:bottom w:val="single" w:color="auto" w:sz="6" w:space="0"/>
              <w:right w:val="single" w:color="auto" w:sz="4" w:space="0"/>
            </w:tcBorders>
            <w:shd w:val="clear" w:color="000000" w:fill="auto"/>
            <w:vAlign w:val="center"/>
          </w:tcPr>
          <w:p w14:paraId="299A6524">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织物风格仪</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3B7FA868">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6" w:space="0"/>
              <w:right w:val="single" w:color="auto" w:sz="4" w:space="0"/>
            </w:tcBorders>
            <w:shd w:val="clear" w:color="000000" w:fill="auto"/>
            <w:vAlign w:val="center"/>
          </w:tcPr>
          <w:p w14:paraId="0B3C3D4E">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6" w:space="0"/>
              <w:right w:val="single" w:color="auto" w:sz="4" w:space="0"/>
            </w:tcBorders>
            <w:shd w:val="clear" w:color="000000" w:fill="auto"/>
            <w:vAlign w:val="center"/>
          </w:tcPr>
          <w:p w14:paraId="44F1DBD8">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p>
        </w:tc>
      </w:tr>
      <w:tr w14:paraId="72E6BF9D">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6" w:space="0"/>
              <w:right w:val="single" w:color="auto" w:sz="4" w:space="0"/>
            </w:tcBorders>
            <w:shd w:val="clear" w:color="000000" w:fill="auto"/>
            <w:vAlign w:val="center"/>
          </w:tcPr>
          <w:p w14:paraId="392C1A1A">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178" w:type="pct"/>
            <w:tcBorders>
              <w:top w:val="single" w:color="auto" w:sz="6" w:space="0"/>
              <w:left w:val="nil"/>
              <w:bottom w:val="single" w:color="auto" w:sz="6" w:space="0"/>
              <w:right w:val="single" w:color="auto" w:sz="4" w:space="0"/>
            </w:tcBorders>
            <w:shd w:val="clear" w:color="000000" w:fill="auto"/>
            <w:vAlign w:val="center"/>
          </w:tcPr>
          <w:p w14:paraId="307BBC0A">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针织技术三维虚拟仿真教学系统</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7485B7C5">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6" w:space="0"/>
              <w:right w:val="single" w:color="auto" w:sz="4" w:space="0"/>
            </w:tcBorders>
            <w:shd w:val="clear" w:color="000000" w:fill="auto"/>
            <w:vAlign w:val="center"/>
          </w:tcPr>
          <w:p w14:paraId="78F8B46D">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6" w:space="0"/>
              <w:right w:val="single" w:color="auto" w:sz="4" w:space="0"/>
            </w:tcBorders>
            <w:shd w:val="clear" w:color="000000" w:fill="auto"/>
            <w:vAlign w:val="center"/>
          </w:tcPr>
          <w:p w14:paraId="0C91CBBE">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p>
        </w:tc>
      </w:tr>
      <w:tr w14:paraId="6F51D918">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6" w:space="0"/>
              <w:right w:val="single" w:color="auto" w:sz="4" w:space="0"/>
            </w:tcBorders>
            <w:shd w:val="clear" w:color="000000" w:fill="auto"/>
            <w:vAlign w:val="center"/>
          </w:tcPr>
          <w:p w14:paraId="26EB2678">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178" w:type="pct"/>
            <w:tcBorders>
              <w:top w:val="single" w:color="auto" w:sz="6" w:space="0"/>
              <w:left w:val="nil"/>
              <w:bottom w:val="single" w:color="auto" w:sz="6" w:space="0"/>
              <w:right w:val="single" w:color="auto" w:sz="4" w:space="0"/>
            </w:tcBorders>
            <w:shd w:val="clear" w:color="000000" w:fill="auto"/>
            <w:vAlign w:val="center"/>
          </w:tcPr>
          <w:p w14:paraId="1E2A69B8">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纺织AI设计系统</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1322BA5C">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6" w:space="0"/>
              <w:right w:val="single" w:color="auto" w:sz="4" w:space="0"/>
            </w:tcBorders>
            <w:shd w:val="clear" w:color="000000" w:fill="auto"/>
            <w:vAlign w:val="center"/>
          </w:tcPr>
          <w:p w14:paraId="375B8C45">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6" w:space="0"/>
              <w:right w:val="single" w:color="auto" w:sz="4" w:space="0"/>
            </w:tcBorders>
            <w:shd w:val="clear" w:color="000000" w:fill="auto"/>
            <w:vAlign w:val="center"/>
          </w:tcPr>
          <w:p w14:paraId="071C5286">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（包含100个网络点）</w:t>
            </w:r>
          </w:p>
        </w:tc>
      </w:tr>
      <w:tr w14:paraId="4BD0A93E">
        <w:tblPrEx>
          <w:tblCellMar>
            <w:top w:w="0" w:type="dxa"/>
            <w:left w:w="108" w:type="dxa"/>
            <w:bottom w:w="0" w:type="dxa"/>
            <w:right w:w="108" w:type="dxa"/>
          </w:tblCellMar>
        </w:tblPrEx>
        <w:trPr>
          <w:trHeight w:val="849" w:hRule="atLeast"/>
          <w:jc w:val="center"/>
        </w:trPr>
        <w:tc>
          <w:tcPr>
            <w:tcW w:w="522" w:type="pct"/>
            <w:tcBorders>
              <w:top w:val="single" w:color="auto" w:sz="6" w:space="0"/>
              <w:left w:val="single" w:color="auto" w:sz="4" w:space="0"/>
              <w:bottom w:val="single" w:color="auto" w:sz="4" w:space="0"/>
              <w:right w:val="single" w:color="auto" w:sz="4" w:space="0"/>
            </w:tcBorders>
            <w:shd w:val="clear" w:color="000000" w:fill="auto"/>
            <w:vAlign w:val="center"/>
          </w:tcPr>
          <w:p w14:paraId="2C45C570">
            <w:pPr>
              <w:widowControl/>
              <w:shd w:val="clear"/>
              <w:adjustRightInd w:val="0"/>
              <w:snapToGrid w:val="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178" w:type="pct"/>
            <w:tcBorders>
              <w:top w:val="single" w:color="auto" w:sz="6" w:space="0"/>
              <w:left w:val="nil"/>
              <w:bottom w:val="single" w:color="auto" w:sz="4" w:space="0"/>
              <w:right w:val="single" w:color="auto" w:sz="4" w:space="0"/>
            </w:tcBorders>
            <w:shd w:val="clear" w:color="000000" w:fill="auto"/>
            <w:vAlign w:val="center"/>
          </w:tcPr>
          <w:p w14:paraId="1D69938F">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涤/棉染整加工虚拟仿真</w:t>
            </w:r>
          </w:p>
        </w:tc>
        <w:tc>
          <w:tcPr>
            <w:tcW w:w="744" w:type="pct"/>
            <w:tcBorders>
              <w:top w:val="single" w:color="auto" w:sz="4" w:space="0"/>
              <w:left w:val="single" w:color="auto" w:sz="4" w:space="0"/>
              <w:bottom w:val="single" w:color="auto" w:sz="4" w:space="0"/>
              <w:right w:val="single" w:color="auto" w:sz="4" w:space="0"/>
            </w:tcBorders>
            <w:shd w:val="clear" w:color="000000" w:fill="auto"/>
            <w:vAlign w:val="center"/>
          </w:tcPr>
          <w:p w14:paraId="175E325E">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19" w:type="pct"/>
            <w:tcBorders>
              <w:top w:val="single" w:color="auto" w:sz="6" w:space="0"/>
              <w:left w:val="nil"/>
              <w:bottom w:val="single" w:color="auto" w:sz="4" w:space="0"/>
              <w:right w:val="single" w:color="auto" w:sz="4" w:space="0"/>
            </w:tcBorders>
            <w:shd w:val="clear" w:color="000000" w:fill="auto"/>
            <w:vAlign w:val="center"/>
          </w:tcPr>
          <w:p w14:paraId="3E5CBF66">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935" w:type="pct"/>
            <w:tcBorders>
              <w:top w:val="single" w:color="auto" w:sz="6" w:space="0"/>
              <w:left w:val="nil"/>
              <w:bottom w:val="single" w:color="auto" w:sz="4" w:space="0"/>
              <w:right w:val="single" w:color="auto" w:sz="4" w:space="0"/>
            </w:tcBorders>
            <w:shd w:val="clear" w:color="000000" w:fill="auto"/>
            <w:vAlign w:val="center"/>
          </w:tcPr>
          <w:p w14:paraId="134701EB">
            <w:pPr>
              <w:widowControl/>
              <w:shd w:val="clear"/>
              <w:adjustRightInd w:val="0"/>
              <w:snapToGrid w:val="0"/>
              <w:jc w:val="center"/>
              <w:rPr>
                <w:rFonts w:hint="eastAsia" w:ascii="宋体" w:hAnsi="宋体" w:eastAsia="宋体" w:cs="宋体"/>
                <w:i w:val="0"/>
                <w:iCs w:val="0"/>
                <w:color w:val="000000"/>
                <w:kern w:val="0"/>
                <w:sz w:val="24"/>
                <w:szCs w:val="24"/>
                <w:highlight w:val="none"/>
                <w:u w:val="none"/>
                <w:lang w:val="en-US" w:eastAsia="zh-CN" w:bidi="ar"/>
              </w:rPr>
            </w:pPr>
          </w:p>
        </w:tc>
      </w:tr>
    </w:tbl>
    <w:p w14:paraId="09DC56F5">
      <w:pPr>
        <w:pStyle w:val="34"/>
        <w:numPr>
          <w:ilvl w:val="0"/>
          <w:numId w:val="0"/>
        </w:numPr>
        <w:shd w:val="clea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二、技术参数</w:t>
      </w:r>
    </w:p>
    <w:p w14:paraId="23050204">
      <w:pPr>
        <w:shd w:val="clear" w:color="auto"/>
        <w:topLinePunct/>
        <w:spacing w:line="400" w:lineRule="exact"/>
        <w:jc w:val="left"/>
        <w:rPr>
          <w:rFonts w:hint="default" w:ascii="宋体" w:hAnsi="宋体" w:eastAsia="宋体" w:cs="宋体"/>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（一）催化裂化装置虚拟仿真平台</w:t>
      </w:r>
    </w:p>
    <w:p w14:paraId="05302333">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催化裂化虚拟仿真：</w:t>
      </w:r>
      <w:r>
        <w:rPr>
          <w:rFonts w:hint="eastAsia" w:ascii="宋体" w:hAnsi="宋体" w:eastAsia="宋体" w:cs="宋体"/>
          <w:color w:val="auto"/>
          <w:sz w:val="24"/>
          <w:szCs w:val="28"/>
          <w:highlight w:val="none"/>
          <w:lang w:val="en-US" w:eastAsia="zh-CN"/>
        </w:rPr>
        <w:t>催化裂化虚拟仿真要求包含催化裂化装置（反再工段）3D虚拟仿真软件和柴油加氢装置（分馏工段）3D虚拟仿真软件两部分内容。要求在虚拟化工厂里学员可以根据自己的需要选择不同岗位进行培训，如内操作工、外操作工等。</w:t>
      </w:r>
    </w:p>
    <w:p w14:paraId="070F1F0C">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default" w:ascii="Calibri" w:hAnsi="Calibri" w:eastAsia="宋体" w:cs="Calibri"/>
          <w:color w:val="auto"/>
          <w:sz w:val="24"/>
          <w:szCs w:val="28"/>
          <w:highlight w:val="none"/>
          <w:lang w:val="en-US" w:eastAsia="zh-CN"/>
        </w:rPr>
        <w:t>①</w:t>
      </w:r>
      <w:r>
        <w:rPr>
          <w:rFonts w:hint="eastAsia" w:ascii="宋体" w:hAnsi="宋体" w:eastAsia="宋体" w:cs="宋体"/>
          <w:color w:val="auto"/>
          <w:sz w:val="24"/>
          <w:szCs w:val="28"/>
          <w:highlight w:val="none"/>
          <w:lang w:val="en-US" w:eastAsia="zh-CN"/>
        </w:rPr>
        <w:t>催化裂化装置（反再工段）3D虚拟仿真软件</w:t>
      </w:r>
    </w:p>
    <w:p w14:paraId="68F22A7C">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1.工艺流程</w:t>
      </w:r>
    </w:p>
    <w:p w14:paraId="187BA729">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软件软件工艺流程主要包括：反再工段（主要包括：沉降器、再生器、风机、余热锅炉等设备）与分馏吸收稳定工段。</w:t>
      </w:r>
    </w:p>
    <w:p w14:paraId="7F34F919">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2.工艺卡片</w:t>
      </w:r>
    </w:p>
    <w:p w14:paraId="179DAEAB">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主要设备数量不少于30个，</w:t>
      </w:r>
      <w:r>
        <w:rPr>
          <w:rFonts w:hint="eastAsia" w:ascii="宋体" w:hAnsi="宋体" w:cs="宋体"/>
          <w:color w:val="auto"/>
          <w:sz w:val="24"/>
          <w:szCs w:val="28"/>
          <w:highlight w:val="yellow"/>
        </w:rPr>
        <w:t>提供设备名称列表</w:t>
      </w:r>
      <w:r>
        <w:rPr>
          <w:rFonts w:hint="eastAsia" w:ascii="宋体" w:hAnsi="宋体" w:eastAsia="宋体" w:cs="宋体"/>
          <w:color w:val="auto"/>
          <w:sz w:val="24"/>
          <w:szCs w:val="28"/>
          <w:highlight w:val="none"/>
          <w:lang w:val="en-US" w:eastAsia="zh-CN"/>
        </w:rPr>
        <w:t>。主要控制与显示仪表不少于40个，</w:t>
      </w:r>
      <w:r>
        <w:rPr>
          <w:rFonts w:hint="eastAsia" w:ascii="宋体" w:hAnsi="宋体" w:cs="宋体"/>
          <w:color w:val="auto"/>
          <w:sz w:val="24"/>
          <w:szCs w:val="28"/>
          <w:highlight w:val="yellow"/>
        </w:rPr>
        <w:t>提供仪表名称列表</w:t>
      </w:r>
      <w:r>
        <w:rPr>
          <w:rFonts w:hint="eastAsia" w:ascii="宋体" w:hAnsi="宋体" w:cs="宋体"/>
          <w:color w:val="auto"/>
          <w:sz w:val="24"/>
          <w:szCs w:val="28"/>
        </w:rPr>
        <w:t>。</w:t>
      </w:r>
    </w:p>
    <w:p w14:paraId="15D78DF7">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3.工艺培训内容</w:t>
      </w:r>
    </w:p>
    <w:p w14:paraId="3D13A56F">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3.1冷态开车、正常停车</w:t>
      </w:r>
    </w:p>
    <w:p w14:paraId="602FE3B7">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3.2常见工艺事故处理要求包含：（1）切换主风机；（2）再生器尾燃；（3）低温省煤器泄漏。</w:t>
      </w:r>
    </w:p>
    <w:p w14:paraId="0D4655D4">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4.软件内容</w:t>
      </w:r>
    </w:p>
    <w:p w14:paraId="3E1815CA">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4.1反应器</w:t>
      </w:r>
    </w:p>
    <w:p w14:paraId="7AECD05F">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采用多产异构烷烃的催化裂化工艺技术（MIP），新型串联提升管反应器，优化催化裂化的一次反应和二次反应。串联提升管反应器设计为两个反应区：第一反应区以一次裂化反应为主，采用较高的反应温度，经较短的停留时间后进入扩径的第二反应区下部，第二反应区通过扩径、补充待生剂等措施，降低油气和催化剂的流速、降低该区的反应温度、满足低重时空速要求，以增加氢转移和异构化反应，适度控制二次裂化反应。</w:t>
      </w:r>
    </w:p>
    <w:p w14:paraId="05268360">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反应器参数:</w:t>
      </w:r>
    </w:p>
    <w:p w14:paraId="15C50524">
      <w:pPr>
        <w:shd w:val="clear" w:color="auto"/>
        <w:topLinePunct/>
        <w:spacing w:line="400" w:lineRule="exact"/>
        <w:ind w:firstLine="480" w:firstLineChars="200"/>
        <w:jc w:val="left"/>
        <w:rPr>
          <w:rFonts w:hint="eastAsia" w:ascii="宋体" w:hAnsi="宋体" w:cs="宋体"/>
          <w:color w:val="auto"/>
          <w:sz w:val="24"/>
          <w:szCs w:val="28"/>
          <w:highlight w:val="yellow"/>
        </w:rPr>
      </w:pPr>
      <w:r>
        <w:rPr>
          <w:rFonts w:hint="eastAsia" w:ascii="宋体" w:hAnsi="宋体" w:cs="宋体"/>
          <w:color w:val="auto"/>
          <w:sz w:val="24"/>
          <w:szCs w:val="28"/>
          <w:highlight w:val="yellow"/>
        </w:rPr>
        <w:t>反应器关键参数（温度、停留时间、剂油比、处理量等）应符合催化裂化装置通用设计规范及典型MIP工艺原理，为满足教学培训需求，仿真软件支持关键参数（如处理量、反应温度等）在合理范围内由用户进行调节。</w:t>
      </w:r>
    </w:p>
    <w:p w14:paraId="1AD48A1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4.2反应温度控制策略</w:t>
      </w:r>
    </w:p>
    <w:p w14:paraId="2612814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4.2.1自动控制方式</w:t>
      </w:r>
    </w:p>
    <w:p w14:paraId="3399E79D">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提升管温度采用PID控制，温度降低时开大再生滑阀TV101，加大再生催化剂进入提升管反应器底部的量，反之关小再生滑阀TV101。</w:t>
      </w:r>
    </w:p>
    <w:p w14:paraId="0D280AD5">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提升管二反温度控制采用PID控制，温度降低时，关小沉降器循环剂循环阀TV102，反之则开大。</w:t>
      </w:r>
    </w:p>
    <w:p w14:paraId="55BC354D">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4.2.2正常操作情况下的反应温度控制</w:t>
      </w:r>
    </w:p>
    <w:tbl>
      <w:tblPr>
        <w:tblStyle w:val="35"/>
        <w:tblW w:w="0" w:type="auto"/>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321"/>
        <w:gridCol w:w="5285"/>
      </w:tblGrid>
      <w:tr w14:paraId="7DD7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14:paraId="7B989015">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序号</w:t>
            </w:r>
          </w:p>
        </w:tc>
        <w:tc>
          <w:tcPr>
            <w:tcW w:w="2321" w:type="dxa"/>
            <w:vAlign w:val="center"/>
          </w:tcPr>
          <w:p w14:paraId="26DC6CD7">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影响因素</w:t>
            </w:r>
          </w:p>
        </w:tc>
        <w:tc>
          <w:tcPr>
            <w:tcW w:w="5285" w:type="dxa"/>
            <w:vAlign w:val="center"/>
          </w:tcPr>
          <w:p w14:paraId="71484DA4">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调节方法</w:t>
            </w:r>
          </w:p>
        </w:tc>
      </w:tr>
      <w:tr w14:paraId="164B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tcPr>
          <w:p w14:paraId="5199C27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w:t>
            </w:r>
          </w:p>
        </w:tc>
        <w:tc>
          <w:tcPr>
            <w:tcW w:w="2321" w:type="dxa"/>
          </w:tcPr>
          <w:p w14:paraId="12C65056">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再生温度</w:t>
            </w:r>
          </w:p>
        </w:tc>
        <w:tc>
          <w:tcPr>
            <w:tcW w:w="5285" w:type="dxa"/>
          </w:tcPr>
          <w:p w14:paraId="5D04A571">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提高再生温度，则反应温度上升</w:t>
            </w:r>
          </w:p>
        </w:tc>
      </w:tr>
      <w:tr w14:paraId="1F61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tcPr>
          <w:p w14:paraId="762C4333">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p>
        </w:tc>
        <w:tc>
          <w:tcPr>
            <w:tcW w:w="2321" w:type="dxa"/>
          </w:tcPr>
          <w:p w14:paraId="1B1AE9C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进料流量</w:t>
            </w:r>
          </w:p>
        </w:tc>
        <w:tc>
          <w:tcPr>
            <w:tcW w:w="5285" w:type="dxa"/>
          </w:tcPr>
          <w:p w14:paraId="728625B7">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提高进料流量，则反应温度下降</w:t>
            </w:r>
          </w:p>
        </w:tc>
      </w:tr>
      <w:tr w14:paraId="75AF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tcPr>
          <w:p w14:paraId="083A77A2">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p>
        </w:tc>
        <w:tc>
          <w:tcPr>
            <w:tcW w:w="2321" w:type="dxa"/>
          </w:tcPr>
          <w:p w14:paraId="460C36C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再生滑阀开度</w:t>
            </w:r>
          </w:p>
        </w:tc>
        <w:tc>
          <w:tcPr>
            <w:tcW w:w="5285" w:type="dxa"/>
          </w:tcPr>
          <w:p w14:paraId="5D9D46BB">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提高再生滑阀开度，则反应温度上升</w:t>
            </w:r>
          </w:p>
        </w:tc>
      </w:tr>
      <w:tr w14:paraId="23CD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tcPr>
          <w:p w14:paraId="60F9DA17">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w:t>
            </w:r>
          </w:p>
        </w:tc>
        <w:tc>
          <w:tcPr>
            <w:tcW w:w="2321" w:type="dxa"/>
          </w:tcPr>
          <w:p w14:paraId="6C30A05C">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两器压差</w:t>
            </w:r>
          </w:p>
        </w:tc>
        <w:tc>
          <w:tcPr>
            <w:tcW w:w="5285" w:type="dxa"/>
          </w:tcPr>
          <w:p w14:paraId="2084DADE">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提高两器压差（即沉降器压力大于再生器压力），则反应温度下降</w:t>
            </w:r>
          </w:p>
        </w:tc>
      </w:tr>
      <w:tr w14:paraId="5549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tcPr>
          <w:p w14:paraId="10E15EC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w:t>
            </w:r>
          </w:p>
        </w:tc>
        <w:tc>
          <w:tcPr>
            <w:tcW w:w="2321" w:type="dxa"/>
          </w:tcPr>
          <w:p w14:paraId="30FDE79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预提升干气/蒸汽流量</w:t>
            </w:r>
          </w:p>
        </w:tc>
        <w:tc>
          <w:tcPr>
            <w:tcW w:w="5285" w:type="dxa"/>
          </w:tcPr>
          <w:p w14:paraId="17A94F0A">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在一定范围内加大预提升干气/蒸汽流量，则反应温度上升，达到一定阈值后，变化不明显</w:t>
            </w:r>
          </w:p>
        </w:tc>
      </w:tr>
      <w:tr w14:paraId="7430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tcPr>
          <w:p w14:paraId="10948042">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w:t>
            </w:r>
          </w:p>
        </w:tc>
        <w:tc>
          <w:tcPr>
            <w:tcW w:w="2321" w:type="dxa"/>
          </w:tcPr>
          <w:p w14:paraId="2C0925FD">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终止剂流量</w:t>
            </w:r>
          </w:p>
        </w:tc>
        <w:tc>
          <w:tcPr>
            <w:tcW w:w="5285" w:type="dxa"/>
          </w:tcPr>
          <w:p w14:paraId="760335B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提高终止剂流量，则反应温度下降</w:t>
            </w:r>
          </w:p>
        </w:tc>
      </w:tr>
    </w:tbl>
    <w:p w14:paraId="02FEB5A6">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4.2.3 异常操作情况下反应温度控制</w:t>
      </w:r>
    </w:p>
    <w:tbl>
      <w:tblPr>
        <w:tblStyle w:val="35"/>
        <w:tblW w:w="8155"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653"/>
        <w:gridCol w:w="2842"/>
        <w:gridCol w:w="3106"/>
      </w:tblGrid>
      <w:tr w14:paraId="7E81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dxa"/>
            <w:vAlign w:val="center"/>
          </w:tcPr>
          <w:p w14:paraId="0CBE530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序号</w:t>
            </w:r>
          </w:p>
        </w:tc>
        <w:tc>
          <w:tcPr>
            <w:tcW w:w="1653" w:type="dxa"/>
            <w:vAlign w:val="center"/>
          </w:tcPr>
          <w:p w14:paraId="7C840D01">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可能原因</w:t>
            </w:r>
          </w:p>
        </w:tc>
        <w:tc>
          <w:tcPr>
            <w:tcW w:w="2842" w:type="dxa"/>
            <w:vAlign w:val="center"/>
          </w:tcPr>
          <w:p w14:paraId="70F3DAEB">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现象</w:t>
            </w:r>
          </w:p>
        </w:tc>
        <w:tc>
          <w:tcPr>
            <w:tcW w:w="3106" w:type="dxa"/>
            <w:vAlign w:val="center"/>
          </w:tcPr>
          <w:p w14:paraId="56225771">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处理方法</w:t>
            </w:r>
          </w:p>
        </w:tc>
      </w:tr>
      <w:tr w14:paraId="771E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14:paraId="43EABE9F">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w:t>
            </w:r>
          </w:p>
        </w:tc>
        <w:tc>
          <w:tcPr>
            <w:tcW w:w="1653" w:type="dxa"/>
          </w:tcPr>
          <w:p w14:paraId="1F9FBC4B">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反应压力波动</w:t>
            </w:r>
          </w:p>
        </w:tc>
        <w:tc>
          <w:tcPr>
            <w:tcW w:w="2842" w:type="dxa"/>
          </w:tcPr>
          <w:p w14:paraId="4E075D9D">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反应压力波动，再生压力相对稳定</w:t>
            </w:r>
          </w:p>
        </w:tc>
        <w:tc>
          <w:tcPr>
            <w:tcW w:w="3106" w:type="dxa"/>
          </w:tcPr>
          <w:p w14:paraId="0B9F3E1C">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将气压机压力控制改为手动</w:t>
            </w:r>
          </w:p>
        </w:tc>
      </w:tr>
      <w:tr w14:paraId="34F3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14:paraId="641A7C3A">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p>
        </w:tc>
        <w:tc>
          <w:tcPr>
            <w:tcW w:w="1653" w:type="dxa"/>
          </w:tcPr>
          <w:p w14:paraId="671CA3CC">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再生压力波动</w:t>
            </w:r>
          </w:p>
        </w:tc>
        <w:tc>
          <w:tcPr>
            <w:tcW w:w="2842" w:type="dxa"/>
          </w:tcPr>
          <w:p w14:paraId="50C4A412">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再生压力波动，反应压力相对稳定</w:t>
            </w:r>
          </w:p>
        </w:tc>
        <w:tc>
          <w:tcPr>
            <w:tcW w:w="3106" w:type="dxa"/>
          </w:tcPr>
          <w:p w14:paraId="22D73403">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稳定好再生器压力和主风流量</w:t>
            </w:r>
          </w:p>
        </w:tc>
      </w:tr>
      <w:tr w14:paraId="4F52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14:paraId="6D13F563">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p>
        </w:tc>
        <w:tc>
          <w:tcPr>
            <w:tcW w:w="1653" w:type="dxa"/>
            <w:shd w:val="clear" w:color="auto" w:fill="auto"/>
          </w:tcPr>
          <w:p w14:paraId="31B9BA9F">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藏量突变</w:t>
            </w:r>
          </w:p>
        </w:tc>
        <w:tc>
          <w:tcPr>
            <w:tcW w:w="2842" w:type="dxa"/>
          </w:tcPr>
          <w:p w14:paraId="3D392FB7">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系统总藏量突然增大或降低</w:t>
            </w:r>
          </w:p>
        </w:tc>
        <w:tc>
          <w:tcPr>
            <w:tcW w:w="3106" w:type="dxa"/>
          </w:tcPr>
          <w:p w14:paraId="55E86409">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检查大型加卸料线阀门有否泄漏；保证再生器二密相藏量大于20t，防止从再生器料腿跑剂</w:t>
            </w:r>
          </w:p>
        </w:tc>
      </w:tr>
      <w:tr w14:paraId="584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14:paraId="2AB75EA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w:t>
            </w:r>
          </w:p>
        </w:tc>
        <w:tc>
          <w:tcPr>
            <w:tcW w:w="1653" w:type="dxa"/>
            <w:shd w:val="clear" w:color="auto" w:fill="auto"/>
          </w:tcPr>
          <w:p w14:paraId="57B5D732">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shd w:val="clear" w:fill="FFFFFF" w:themeFill="background1"/>
                <w:lang w:val="en-US" w:eastAsia="zh-CN"/>
              </w:rPr>
              <w:t>滑阀</w:t>
            </w:r>
            <w:r>
              <w:rPr>
                <w:rFonts w:hint="eastAsia" w:ascii="宋体" w:hAnsi="宋体" w:cs="宋体"/>
                <w:color w:val="auto"/>
                <w:sz w:val="24"/>
                <w:szCs w:val="28"/>
                <w:highlight w:val="none"/>
                <w:shd w:val="clear" w:fill="FFFFFF" w:themeFill="background1"/>
              </w:rPr>
              <w:t>失灵</w:t>
            </w:r>
          </w:p>
        </w:tc>
        <w:tc>
          <w:tcPr>
            <w:tcW w:w="2842" w:type="dxa"/>
          </w:tcPr>
          <w:p w14:paraId="760D866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待生或再生滑阀不受控制</w:t>
            </w:r>
          </w:p>
        </w:tc>
        <w:tc>
          <w:tcPr>
            <w:tcW w:w="3106" w:type="dxa"/>
          </w:tcPr>
          <w:p w14:paraId="7FEA3D89">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将相应滑阀切换为手动，迅速排除故障</w:t>
            </w:r>
          </w:p>
        </w:tc>
      </w:tr>
      <w:tr w14:paraId="18EA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14:paraId="52544715">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w:t>
            </w:r>
          </w:p>
        </w:tc>
        <w:tc>
          <w:tcPr>
            <w:tcW w:w="1653" w:type="dxa"/>
          </w:tcPr>
          <w:p w14:paraId="0637C7D9">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原料带水</w:t>
            </w:r>
          </w:p>
        </w:tc>
        <w:tc>
          <w:tcPr>
            <w:tcW w:w="2842" w:type="dxa"/>
          </w:tcPr>
          <w:p w14:paraId="24FA93CB">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反应压力大幅上升，反应温度下降，进料流量持续波动</w:t>
            </w:r>
          </w:p>
        </w:tc>
        <w:tc>
          <w:tcPr>
            <w:tcW w:w="3106" w:type="dxa"/>
          </w:tcPr>
          <w:p w14:paraId="3C04A2EC">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将原料流量降低，并联系上游装置，加强原料脱水</w:t>
            </w:r>
          </w:p>
        </w:tc>
      </w:tr>
    </w:tbl>
    <w:p w14:paraId="76718216">
      <w:pPr>
        <w:shd w:val="clear" w:color="auto"/>
        <w:topLinePunct/>
        <w:spacing w:line="400" w:lineRule="exact"/>
        <w:jc w:val="left"/>
        <w:rPr>
          <w:rFonts w:hint="eastAsia" w:ascii="宋体" w:hAnsi="宋体" w:eastAsia="宋体" w:cs="宋体"/>
          <w:color w:val="auto"/>
          <w:sz w:val="24"/>
          <w:szCs w:val="28"/>
          <w:highlight w:val="none"/>
          <w:lang w:val="zh-CN"/>
        </w:rPr>
      </w:pPr>
    </w:p>
    <w:p w14:paraId="07A33120">
      <w:pPr>
        <w:shd w:val="clear" w:color="auto"/>
        <w:topLinePunct/>
        <w:spacing w:line="400" w:lineRule="exact"/>
        <w:jc w:val="left"/>
        <w:rPr>
          <w:rFonts w:hint="eastAsia" w:ascii="宋体" w:hAnsi="宋体" w:eastAsia="宋体" w:cs="宋体"/>
          <w:b w:val="0"/>
          <w:bCs w:val="0"/>
          <w:color w:val="auto"/>
          <w:sz w:val="24"/>
          <w:szCs w:val="28"/>
          <w:highlight w:val="none"/>
          <w:lang w:val="zh-CN"/>
        </w:rPr>
      </w:pPr>
      <w:r>
        <w:rPr>
          <w:rFonts w:hint="default" w:ascii="Calibri" w:hAnsi="Calibri" w:eastAsia="宋体" w:cs="Calibri"/>
          <w:b w:val="0"/>
          <w:bCs w:val="0"/>
          <w:color w:val="auto"/>
          <w:sz w:val="24"/>
          <w:szCs w:val="28"/>
          <w:highlight w:val="none"/>
          <w:lang w:val="zh-CN"/>
        </w:rPr>
        <w:t>②</w:t>
      </w:r>
      <w:r>
        <w:rPr>
          <w:rFonts w:hint="eastAsia" w:ascii="宋体" w:hAnsi="宋体" w:eastAsia="宋体" w:cs="宋体"/>
          <w:b w:val="0"/>
          <w:bCs w:val="0"/>
          <w:color w:val="auto"/>
          <w:sz w:val="24"/>
          <w:szCs w:val="28"/>
          <w:highlight w:val="none"/>
          <w:lang w:val="zh-CN"/>
        </w:rPr>
        <w:t>柴油加氢装置（分馏工段）3D虚拟仿真软件</w:t>
      </w:r>
    </w:p>
    <w:p w14:paraId="50EE8ACE">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1.工艺流程</w:t>
      </w:r>
    </w:p>
    <w:p w14:paraId="4C9A1D7B">
      <w:pPr>
        <w:shd w:val="clear"/>
        <w:topLinePunct/>
        <w:spacing w:line="400" w:lineRule="exact"/>
        <w:ind w:firstLine="480" w:firstLineChars="200"/>
        <w:jc w:val="left"/>
        <w:rPr>
          <w:rFonts w:hint="eastAsia" w:ascii="宋体" w:hAnsi="宋体" w:cs="宋体"/>
          <w:color w:val="auto"/>
          <w:sz w:val="24"/>
          <w:szCs w:val="28"/>
        </w:rPr>
      </w:pPr>
      <w:r>
        <w:rPr>
          <w:rFonts w:hint="eastAsia" w:ascii="宋体" w:hAnsi="宋体" w:cs="宋体"/>
          <w:color w:val="auto"/>
          <w:sz w:val="24"/>
          <w:szCs w:val="28"/>
          <w:highlight w:val="yellow"/>
        </w:rPr>
        <w:t>软件工艺流程主要包括：分馏工段（主要包括：</w:t>
      </w:r>
      <w:r>
        <w:rPr>
          <w:rFonts w:hint="eastAsia" w:ascii="宋体" w:hAnsi="宋体" w:cs="宋体"/>
          <w:color w:val="auto"/>
          <w:sz w:val="24"/>
          <w:szCs w:val="28"/>
          <w:highlight w:val="yellow"/>
          <w:lang w:val="en-US" w:eastAsia="zh-CN"/>
        </w:rPr>
        <w:t>分馏塔、汽提塔、回流罐</w:t>
      </w:r>
      <w:r>
        <w:rPr>
          <w:rFonts w:hint="eastAsia" w:ascii="宋体" w:hAnsi="宋体" w:cs="宋体"/>
          <w:color w:val="auto"/>
          <w:sz w:val="24"/>
          <w:szCs w:val="28"/>
          <w:highlight w:val="yellow"/>
        </w:rPr>
        <w:t>、换热器、泵等设备）。</w:t>
      </w:r>
    </w:p>
    <w:p w14:paraId="438927EA">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2.工艺卡片</w:t>
      </w:r>
    </w:p>
    <w:p w14:paraId="6E517C8A">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主要设备数量不少于90个，</w:t>
      </w:r>
      <w:r>
        <w:rPr>
          <w:rFonts w:hint="eastAsia" w:ascii="宋体" w:hAnsi="宋体" w:cs="宋体"/>
          <w:color w:val="auto"/>
          <w:sz w:val="24"/>
          <w:szCs w:val="28"/>
          <w:highlight w:val="yellow"/>
        </w:rPr>
        <w:t>提供设备名称列表</w:t>
      </w:r>
      <w:r>
        <w:rPr>
          <w:rFonts w:hint="eastAsia" w:ascii="宋体" w:hAnsi="宋体" w:eastAsia="宋体" w:cs="宋体"/>
          <w:color w:val="auto"/>
          <w:sz w:val="24"/>
          <w:szCs w:val="28"/>
          <w:highlight w:val="none"/>
          <w:lang w:val="en-US" w:eastAsia="zh-CN"/>
        </w:rPr>
        <w:t>。主要控制与显示仪表不少于200个，</w:t>
      </w:r>
      <w:r>
        <w:rPr>
          <w:rFonts w:hint="eastAsia" w:ascii="宋体" w:hAnsi="宋体" w:cs="宋体"/>
          <w:color w:val="auto"/>
          <w:sz w:val="24"/>
          <w:szCs w:val="28"/>
          <w:highlight w:val="yellow"/>
        </w:rPr>
        <w:t>提供设备名称列表</w:t>
      </w:r>
      <w:r>
        <w:rPr>
          <w:rFonts w:hint="eastAsia" w:ascii="宋体" w:hAnsi="宋体" w:eastAsia="宋体" w:cs="宋体"/>
          <w:color w:val="auto"/>
          <w:sz w:val="24"/>
          <w:szCs w:val="28"/>
          <w:highlight w:val="none"/>
          <w:lang w:val="en-US" w:eastAsia="zh-CN"/>
        </w:rPr>
        <w:t>。</w:t>
      </w:r>
    </w:p>
    <w:p w14:paraId="4D10035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3.工艺培训内容</w:t>
      </w:r>
    </w:p>
    <w:p w14:paraId="07837D56">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3.1冷态开车：能够训练按正确步骤开关相应的阀门、设备和仪表，贯通流程；</w:t>
      </w:r>
    </w:p>
    <w:p w14:paraId="0086F224">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3.2正常操作：能够训练正确控制和调节工况参数；</w:t>
      </w:r>
    </w:p>
    <w:p w14:paraId="2FD5CF2A">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3.3正常停车：能够训练按正确步骤停车；</w:t>
      </w:r>
    </w:p>
    <w:p w14:paraId="5A315BFE">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3.4常见工艺事故处理。</w:t>
      </w:r>
    </w:p>
    <w:p w14:paraId="50CBE766">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4.催化裂化虚拟仿真要求具备以下培训系统功能：</w:t>
      </w:r>
    </w:p>
    <w:p w14:paraId="47970FD2">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4.1数学模型：软件基于实时数据库，建立遵循传热、传质、动量传递和化学反应动力学、化工热力学和自动控制等基本原理的数学机理模型。</w:t>
      </w:r>
    </w:p>
    <w:p w14:paraId="54D627FA">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4.2仿DCS系统：DCS系统应便于操作人员更方便地学习和使用系统，系统标准包括：总貌图、各流程图画面（包括DCS图和现场图）、控制组、趋势组、系统报警、变量监控、系统状态显示、弹出子图显示画面、弹出控制面板显示画面等。支持设备、阀门位号搜索功能，可快速定位搜索对象所在页面，并红框闪烁提示。</w:t>
      </w:r>
    </w:p>
    <w:p w14:paraId="7C7A085B">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4.3评分系统：对仿DCS和虚拟现实场景中的操作和工艺参数进行实时评定，可导出、打印成绩。在评分模型中，设置常规步骤评价系统，设置工艺参数的质量评价系统，占比需要按照教学需求进行设置。</w:t>
      </w:r>
    </w:p>
    <w:p w14:paraId="2A01A229">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4.4教师站：教师站基于局域网的网络通信与控制软件，可以方便的对学员机的项目进行统一启动和控制，选择是否屏蔽评分界面，实时显示得分，获取成绩，对成绩进行统计等；需设置有仿真项目考试、设置事故工况、快速启动、理论题考试，文件下发，师生交流等功能。</w:t>
      </w:r>
    </w:p>
    <w:p w14:paraId="59410C7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4.5设备学习：在虚拟现实场景中展现该工艺相关的主要设备的结构、及工作原理、日常运行注意事项。</w:t>
      </w:r>
    </w:p>
    <w:p w14:paraId="2B9A0ABE">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微软雅黑" w:hAnsi="微软雅黑" w:eastAsia="微软雅黑" w:cs="微软雅黑"/>
          <w:color w:val="auto"/>
          <w:sz w:val="24"/>
          <w:szCs w:val="28"/>
        </w:rPr>
        <w:t>▲</w:t>
      </w:r>
      <w:r>
        <w:rPr>
          <w:rFonts w:hint="eastAsia" w:ascii="宋体" w:hAnsi="宋体" w:eastAsia="宋体" w:cs="宋体"/>
          <w:color w:val="auto"/>
          <w:sz w:val="24"/>
          <w:szCs w:val="28"/>
          <w:highlight w:val="none"/>
          <w:lang w:val="en-US" w:eastAsia="zh-CN"/>
        </w:rPr>
        <w:t>提供化工设备3D视频素材库（账号数量不少于1个，使用期限不少于12个月）：对真实设备进行3D建模，并通过视频的形式进行三维展示，利用动画、特效等形式展示设备的内外部各个结构以及工作原理，清晰明了学习设备。用户可通过移动端设备扫码查看所有设备知识点，也可以通过PC版客户端进行学习使用，包含但不限于阀门、换热器、泵、塔、压缩机、分离设备、测量仪表等类型常见设备不少于90个，阀门包含但不限于闸阀、自力式调节阀、电磁阀、升降式止回阀、气动薄膜三通调节阀、气动活塞式球阀、旋塞阀等；换热器包含但不限于螺旋绕管式换热器、热虹吸式换热器、蒸发式冷凝器、釜式换热器、填料函式换热器、板翅式换热器等；分离设备包含但不限于沉降槽、静电除尘器、丝网分离式气液分离器、压滤机、填料分离式气液分离器等。</w:t>
      </w:r>
    </w:p>
    <w:p w14:paraId="2285D2FB">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4.6模型控制：切换、暂停、停止、运行培训项目，存储、读取快门，改变模型时钟，变量监控，事故运行状态监控等。</w:t>
      </w:r>
    </w:p>
    <w:p w14:paraId="5BD24FE0">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4.7角色切换：在进入场景前可进行角色选择，进入三维场景后可在界面直接切换角色，包含：外操作工、内操作工、安全员、班长等。</w:t>
      </w:r>
    </w:p>
    <w:p w14:paraId="2B121EE3">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lang w:val="zh-CN"/>
        </w:rPr>
        <w:t>配套资源</w:t>
      </w:r>
    </w:p>
    <w:p w14:paraId="12569A1D">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yellow"/>
          <w:lang w:val="zh-CN"/>
        </w:rPr>
        <w:t>在线学习系统（账号满足实际学生数量</w:t>
      </w:r>
      <w:r>
        <w:rPr>
          <w:rFonts w:hint="eastAsia" w:ascii="宋体" w:hAnsi="宋体" w:eastAsia="宋体" w:cs="宋体"/>
          <w:color w:val="auto"/>
          <w:sz w:val="24"/>
          <w:szCs w:val="28"/>
          <w:highlight w:val="yellow"/>
          <w:lang w:val="en-US" w:eastAsia="zh-CN"/>
        </w:rPr>
        <w:t>同时在线学习</w:t>
      </w:r>
      <w:r>
        <w:rPr>
          <w:rFonts w:hint="eastAsia" w:ascii="宋体" w:hAnsi="宋体" w:cs="宋体"/>
          <w:color w:val="auto"/>
          <w:sz w:val="24"/>
          <w:szCs w:val="28"/>
          <w:highlight w:val="yellow"/>
          <w:lang w:val="en-US" w:eastAsia="zh-CN"/>
        </w:rPr>
        <w:t>1</w:t>
      </w:r>
      <w:r>
        <w:rPr>
          <w:rFonts w:hint="eastAsia" w:ascii="宋体" w:hAnsi="宋体" w:eastAsia="宋体" w:cs="宋体"/>
          <w:color w:val="auto"/>
          <w:sz w:val="24"/>
          <w:szCs w:val="28"/>
          <w:highlight w:val="yellow"/>
          <w:lang w:val="en-US" w:eastAsia="zh-CN"/>
        </w:rPr>
        <w:t>00人次</w:t>
      </w:r>
      <w:r>
        <w:rPr>
          <w:rFonts w:hint="eastAsia" w:ascii="宋体" w:hAnsi="宋体" w:eastAsia="宋体" w:cs="宋体"/>
          <w:color w:val="auto"/>
          <w:sz w:val="24"/>
          <w:szCs w:val="28"/>
          <w:highlight w:val="yellow"/>
          <w:lang w:val="zh-CN"/>
        </w:rPr>
        <w:t>）</w:t>
      </w:r>
    </w:p>
    <w:p w14:paraId="6F25132C">
      <w:pPr>
        <w:shd w:val="clear" w:color="auto"/>
        <w:topLinePunct/>
        <w:spacing w:line="400" w:lineRule="exact"/>
        <w:jc w:val="left"/>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二</w:t>
      </w:r>
      <w:r>
        <w:rPr>
          <w:rFonts w:hint="eastAsia"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原油处理3D虚拟仿真平台</w:t>
      </w:r>
      <w:r>
        <w:rPr>
          <w:rFonts w:hint="eastAsia" w:ascii="宋体" w:hAnsi="宋体" w:eastAsia="宋体" w:cs="宋体"/>
          <w:b/>
          <w:bCs/>
          <w:color w:val="auto"/>
          <w:sz w:val="24"/>
          <w:szCs w:val="28"/>
          <w:highlight w:val="none"/>
          <w:lang w:val="zh-CN"/>
        </w:rPr>
        <w:t xml:space="preserve"> </w:t>
      </w:r>
    </w:p>
    <w:p w14:paraId="51E8492C">
      <w:pPr>
        <w:shd w:val="clear" w:color="auto"/>
        <w:topLinePunct/>
        <w:spacing w:line="400" w:lineRule="exact"/>
        <w:jc w:val="left"/>
        <w:rPr>
          <w:rFonts w:hint="eastAsia" w:ascii="宋体" w:hAnsi="宋体" w:eastAsia="宋体" w:cs="宋体"/>
          <w:color w:val="auto"/>
          <w:sz w:val="24"/>
          <w:szCs w:val="28"/>
          <w:highlight w:val="none"/>
          <w:lang w:val="zh-CN"/>
        </w:rPr>
      </w:pPr>
      <w:r>
        <w:rPr>
          <w:rFonts w:hint="default" w:ascii="Calibri" w:hAnsi="Calibri" w:eastAsia="宋体" w:cs="Calibri"/>
          <w:color w:val="auto"/>
          <w:sz w:val="24"/>
          <w:szCs w:val="28"/>
          <w:highlight w:val="none"/>
          <w:lang w:val="zh-CN"/>
        </w:rPr>
        <w:t>①</w:t>
      </w:r>
      <w:r>
        <w:rPr>
          <w:rFonts w:hint="eastAsia" w:ascii="宋体" w:hAnsi="宋体" w:eastAsia="宋体" w:cs="宋体"/>
          <w:color w:val="auto"/>
          <w:sz w:val="24"/>
          <w:szCs w:val="28"/>
          <w:highlight w:val="none"/>
          <w:lang w:val="zh-CN"/>
        </w:rPr>
        <w:t>主要技术参数要求</w:t>
      </w:r>
    </w:p>
    <w:p w14:paraId="1635C352">
      <w:pPr>
        <w:shd w:val="clear" w:color="auto"/>
        <w:tabs>
          <w:tab w:val="left" w:pos="316"/>
        </w:tabs>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1</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highlight w:val="none"/>
          <w:lang w:val="zh-CN"/>
        </w:rPr>
        <w:t>软件基本内容</w:t>
      </w:r>
    </w:p>
    <w:p w14:paraId="4A47138D">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软件要求基于动态过程仿真软件运行平台开发，利用虚拟现实技术，以3D形式模拟原油处理常减压装置生产工厂环境和操作过程。软件需采用“3D虚拟现场站+DCS中控室”相结合的模式，并需设置不同角色进行培训，如多个外操员负责不同工段。</w:t>
      </w:r>
    </w:p>
    <w:p w14:paraId="4FD4F538">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2.工艺流程</w:t>
      </w:r>
    </w:p>
    <w:p w14:paraId="21E3739A">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要求装置为石油常减压蒸馏装置，包含：原油换热及闪蒸、电脱盐、常压蒸馏、减压蒸馏等工段。</w:t>
      </w:r>
    </w:p>
    <w:p w14:paraId="23C887A3">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工艺卡片要求：（1）设备列表，提供不少于80项设备列表，</w:t>
      </w:r>
      <w:r>
        <w:rPr>
          <w:rFonts w:hint="eastAsia" w:ascii="宋体" w:hAnsi="宋体" w:cs="宋体"/>
          <w:color w:val="auto"/>
          <w:sz w:val="24"/>
          <w:szCs w:val="28"/>
          <w:highlight w:val="yellow"/>
        </w:rPr>
        <w:t>包含设备名称列表</w:t>
      </w:r>
      <w:r>
        <w:rPr>
          <w:rFonts w:hint="eastAsia" w:ascii="宋体" w:hAnsi="宋体" w:eastAsia="宋体" w:cs="宋体"/>
          <w:color w:val="auto"/>
          <w:sz w:val="24"/>
          <w:szCs w:val="28"/>
          <w:highlight w:val="none"/>
          <w:lang w:val="en-US" w:eastAsia="zh-CN"/>
        </w:rPr>
        <w:t>。（2）控制仪表，提供不少于70项仪表列表，</w:t>
      </w:r>
      <w:r>
        <w:rPr>
          <w:rFonts w:hint="eastAsia" w:ascii="宋体" w:hAnsi="宋体" w:cs="宋体"/>
          <w:color w:val="auto"/>
          <w:sz w:val="24"/>
          <w:szCs w:val="28"/>
          <w:highlight w:val="yellow"/>
        </w:rPr>
        <w:t>包含名称、额定值</w:t>
      </w:r>
      <w:r>
        <w:rPr>
          <w:rFonts w:hint="eastAsia" w:ascii="宋体" w:hAnsi="宋体" w:eastAsia="宋体" w:cs="宋体"/>
          <w:color w:val="auto"/>
          <w:sz w:val="24"/>
          <w:szCs w:val="28"/>
          <w:highlight w:val="none"/>
          <w:lang w:val="en-US" w:eastAsia="zh-CN"/>
        </w:rPr>
        <w:t>。（3）显示仪表，提供不少于80项仪表列表，</w:t>
      </w:r>
      <w:r>
        <w:rPr>
          <w:rFonts w:hint="eastAsia" w:ascii="宋体" w:hAnsi="宋体" w:cs="宋体"/>
          <w:color w:val="auto"/>
          <w:sz w:val="24"/>
          <w:szCs w:val="28"/>
          <w:highlight w:val="yellow"/>
        </w:rPr>
        <w:t>包含名称、额定值</w:t>
      </w:r>
      <w:r>
        <w:rPr>
          <w:rFonts w:hint="eastAsia" w:ascii="宋体" w:hAnsi="宋体" w:eastAsia="宋体" w:cs="宋体"/>
          <w:color w:val="auto"/>
          <w:sz w:val="24"/>
          <w:szCs w:val="28"/>
          <w:highlight w:val="none"/>
          <w:lang w:val="en-US" w:eastAsia="zh-CN"/>
        </w:rPr>
        <w:t>。</w:t>
      </w:r>
    </w:p>
    <w:p w14:paraId="35A9DEAF">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lang w:val="zh-CN"/>
        </w:rPr>
        <w:t>培训内容要求</w:t>
      </w:r>
    </w:p>
    <w:p w14:paraId="5D160087">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3.1冷态开车：要求包含以下主要操作：引开工汽油，引原油，正常开车，电脱盐系统投用。</w:t>
      </w:r>
    </w:p>
    <w:p w14:paraId="3CC56FA1">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3.2正常操作：能够训练正确控制和调节工况参数；</w:t>
      </w:r>
    </w:p>
    <w:p w14:paraId="37090006">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3.3正常停车：能够训练按正确步骤停车。要求包含以下主要操作：停电脱盐系统，降量降温，常压炉停车，常压塔停工，减压炉停车，减压塔停车，系统退油。</w:t>
      </w:r>
    </w:p>
    <w:p w14:paraId="1BB0DC7A">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微软雅黑" w:hAnsi="微软雅黑" w:eastAsia="微软雅黑" w:cs="微软雅黑"/>
          <w:color w:val="auto"/>
          <w:sz w:val="24"/>
          <w:szCs w:val="28"/>
        </w:rPr>
        <w:t>▲</w:t>
      </w:r>
      <w:r>
        <w:rPr>
          <w:rFonts w:hint="eastAsia" w:ascii="宋体" w:hAnsi="宋体" w:eastAsia="宋体" w:cs="宋体"/>
          <w:color w:val="auto"/>
          <w:sz w:val="24"/>
          <w:szCs w:val="28"/>
          <w:highlight w:val="none"/>
          <w:lang w:val="zh-CN"/>
        </w:rPr>
        <w:t>截图展示化工流程模拟系统：精馏塔设计模块：根据严格计算的结果去计算塔 径、塔高，确定塔板参数并作出塔板负荷性能图。页面内配备精馏塔的 3D 模型，使设计工作更直 观高效。操作应包含：1&gt;塔分布：创建项目时支持引入稳态模拟中的严格塔模型，在塔分布界面即 可看到每层塔板的 TPFQ 组成数据，辅助用于后续塔板设计。2&gt;塔体设计：对塔径、塔板间距、塔 顶塔底高度、人孔数等进行设计，确定塔高。3&gt;塔板设计：对塔板结构进行设计，确定塔板类型、 溢流类型等各项数据.4&gt;负荷性能图：根据设计数据，查看塔板负荷性能图是否满足塔的设计要求。</w:t>
      </w:r>
      <w:r>
        <w:rPr>
          <w:rFonts w:hint="eastAsia" w:ascii="宋体" w:hAnsi="宋体" w:eastAsia="宋体" w:cs="宋体"/>
          <w:color w:val="auto"/>
          <w:sz w:val="24"/>
          <w:szCs w:val="28"/>
          <w:highlight w:val="none"/>
          <w:lang w:val="zh-CN"/>
        </w:rPr>
        <w:br w:type="textWrapping"/>
      </w:r>
      <w:r>
        <w:rPr>
          <w:rFonts w:hint="eastAsia" w:ascii="宋体" w:hAnsi="宋体" w:eastAsia="宋体" w:cs="宋体"/>
          <w:color w:val="auto"/>
          <w:sz w:val="24"/>
          <w:szCs w:val="28"/>
          <w:highlight w:val="none"/>
          <w:lang w:val="zh-CN"/>
        </w:rPr>
        <w:t>3.4常见事故处理，需要包含以下培训项目：</w:t>
      </w:r>
    </w:p>
    <w:p w14:paraId="238F6A82">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（1）闪蒸塔釜泵坏；（2）常顶油出料调节阀卡；（3）减压炉鼓风机自停；（4）燃料气压力急剧下降；（5）原油带水；</w:t>
      </w:r>
    </w:p>
    <w:p w14:paraId="5F8E8757">
      <w:pPr>
        <w:shd w:val="clear" w:color="auto"/>
        <w:tabs>
          <w:tab w:val="left" w:pos="416"/>
        </w:tabs>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4.软件仿真培训系统功能：</w:t>
      </w:r>
    </w:p>
    <w:p w14:paraId="5446EBA0">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4.1数学模型：软件需基于实时数据库，建立遵循传热、传质、动量传递和化学反应动力学、化工热力学和自动控制等基本原理的数学机理模型。</w:t>
      </w:r>
    </w:p>
    <w:p w14:paraId="233FF245">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4.2仿DCS系统：模仿相关工艺真实DCS控制系统的主要界面，具体应包括总貌画面、各流程图画面、控制组、趋势组、报警、细目、变量监控、各种操作仪表及弹出子画面，操作方式和控制方案完全相同。流程图画面应包括换热器、电脱盐、闪蒸塔、常压炉、常压炉余热、常压塔、减压炉、减压炉余热、减压塔、公用工程等画面。</w:t>
      </w:r>
    </w:p>
    <w:p w14:paraId="62BDB2BA">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4.3虚拟现实HMI：要求虚拟化工厂场景高度逼真，可在该场景主要完成现场操作及其它辅助操作功能，可以和仿DCS系统实时通讯并跟其共用一个实时数据库。UI设计应主要包括地图导航、位置搜索、角色切换、知识点等。</w:t>
      </w:r>
    </w:p>
    <w:p w14:paraId="79DE00A7">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w:t>
      </w: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评分系统：要求可对仿DCS和虚拟现实场景中的操作和工艺参数进行实时评定，可导出、打印成绩。在评分模型中，设置常规步骤评价系统，对操作步骤正误进行评定；设置工艺参数的质量评价系统，对重要参数控制的合理性、稳定性进行动态评定。</w:t>
      </w:r>
    </w:p>
    <w:p w14:paraId="1506B191">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lang w:val="zh-CN"/>
        </w:rPr>
        <w:t>模型控制：切换、暂停、停止、运行培训项目，存储、读取快门，改变模型时钟，变量监控，事故运行状态监控等。</w:t>
      </w:r>
    </w:p>
    <w:p w14:paraId="177CD1A2">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lang w:val="zh-CN"/>
        </w:rPr>
        <w:t>地图系统：地图支持在三维场景界面收起、打开，为学员提供场景中方向的指引。</w:t>
      </w:r>
    </w:p>
    <w:p w14:paraId="0E82EF63">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lang w:val="zh-CN"/>
        </w:rPr>
        <w:t>配套资源</w:t>
      </w:r>
    </w:p>
    <w:p w14:paraId="7452C661">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在线学习系统（账号满足实际学生数量</w:t>
      </w:r>
      <w:r>
        <w:rPr>
          <w:rFonts w:hint="eastAsia" w:ascii="宋体" w:hAnsi="宋体" w:eastAsia="宋体" w:cs="宋体"/>
          <w:color w:val="auto"/>
          <w:sz w:val="24"/>
          <w:szCs w:val="28"/>
          <w:highlight w:val="none"/>
          <w:lang w:val="en-US" w:eastAsia="zh-CN"/>
        </w:rPr>
        <w:t>同时在线学习</w:t>
      </w:r>
      <w:r>
        <w:rPr>
          <w:rFonts w:hint="eastAsia" w:ascii="宋体" w:hAnsi="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00人次</w:t>
      </w:r>
      <w:r>
        <w:rPr>
          <w:rFonts w:hint="eastAsia" w:ascii="宋体" w:hAnsi="宋体" w:eastAsia="宋体" w:cs="宋体"/>
          <w:color w:val="auto"/>
          <w:sz w:val="24"/>
          <w:szCs w:val="28"/>
          <w:highlight w:val="none"/>
          <w:lang w:val="zh-CN"/>
        </w:rPr>
        <w:t>）</w:t>
      </w:r>
    </w:p>
    <w:p w14:paraId="708EA56C">
      <w:pPr>
        <w:shd w:val="clear" w:color="auto"/>
        <w:topLinePunct/>
        <w:spacing w:line="400" w:lineRule="exact"/>
        <w:jc w:val="left"/>
        <w:rPr>
          <w:rFonts w:hint="default" w:ascii="宋体" w:hAnsi="宋体" w:eastAsia="宋体" w:cs="宋体"/>
          <w:b/>
          <w:bCs/>
          <w:color w:val="auto"/>
          <w:sz w:val="24"/>
          <w:szCs w:val="28"/>
          <w:highlight w:val="none"/>
          <w:lang w:val="en-US" w:eastAsia="zh-CN"/>
        </w:rPr>
      </w:pPr>
      <w:r>
        <w:rPr>
          <w:rFonts w:hint="default" w:ascii="宋体" w:hAnsi="宋体" w:eastAsia="宋体" w:cs="宋体"/>
          <w:b/>
          <w:bCs/>
          <w:color w:val="auto"/>
          <w:sz w:val="24"/>
          <w:szCs w:val="28"/>
          <w:highlight w:val="none"/>
          <w:lang w:val="en-US" w:eastAsia="zh-CN"/>
        </w:rPr>
        <w:t>（</w:t>
      </w:r>
      <w:r>
        <w:rPr>
          <w:rFonts w:hint="eastAsia" w:ascii="宋体" w:hAnsi="宋体" w:eastAsia="宋体" w:cs="宋体"/>
          <w:b/>
          <w:bCs/>
          <w:color w:val="auto"/>
          <w:sz w:val="24"/>
          <w:szCs w:val="28"/>
          <w:highlight w:val="none"/>
          <w:lang w:val="en-US" w:eastAsia="zh-CN"/>
        </w:rPr>
        <w:t>三</w:t>
      </w:r>
      <w:r>
        <w:rPr>
          <w:rFonts w:hint="default" w:ascii="宋体" w:hAnsi="宋体" w:eastAsia="宋体" w:cs="宋体"/>
          <w:b/>
          <w:bCs/>
          <w:color w:val="auto"/>
          <w:sz w:val="24"/>
          <w:szCs w:val="28"/>
          <w:highlight w:val="none"/>
          <w:lang w:val="en-US" w:eastAsia="zh-CN"/>
        </w:rPr>
        <w:t>）条干均匀度测试分析仪</w:t>
      </w:r>
      <w:r>
        <w:rPr>
          <w:rFonts w:hint="eastAsia" w:ascii="宋体" w:hAnsi="宋体" w:cs="宋体"/>
          <w:b/>
          <w:bCs/>
          <w:color w:val="auto"/>
          <w:sz w:val="24"/>
          <w:szCs w:val="28"/>
          <w:highlight w:val="none"/>
          <w:lang w:val="en-US" w:eastAsia="zh-CN"/>
        </w:rPr>
        <w:t>（核心产品）</w:t>
      </w:r>
    </w:p>
    <w:p w14:paraId="710B99BC">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主要技术参数要求</w:t>
      </w:r>
    </w:p>
    <w:p w14:paraId="24C4AA2D">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1.</w:t>
      </w: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可测量细纱、粗纱、条子的条干不匀。</w:t>
      </w:r>
    </w:p>
    <w:p w14:paraId="2C27739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2采用先进的驱动技术，实现</w:t>
      </w:r>
      <w:r>
        <w:rPr>
          <w:rFonts w:hint="eastAsia" w:ascii="宋体" w:hAnsi="宋体" w:cs="宋体"/>
          <w:color w:val="auto"/>
          <w:sz w:val="24"/>
          <w:szCs w:val="28"/>
          <w:highlight w:val="yellow"/>
          <w:lang w:val="en-US" w:eastAsia="zh-CN"/>
        </w:rPr>
        <w:t>不低于</w:t>
      </w:r>
      <w:r>
        <w:rPr>
          <w:rFonts w:hint="default" w:ascii="宋体" w:hAnsi="宋体" w:eastAsia="宋体" w:cs="宋体"/>
          <w:color w:val="auto"/>
          <w:sz w:val="24"/>
          <w:szCs w:val="28"/>
          <w:highlight w:val="none"/>
          <w:lang w:val="zh-CN"/>
        </w:rPr>
        <w:t>800m/min高速测试。</w:t>
      </w:r>
    </w:p>
    <w:p w14:paraId="245BEC7D">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3检测传感器根据被测纱条细度自动移动换槽，检测结果更准确。</w:t>
      </w:r>
    </w:p>
    <w:p w14:paraId="70C112CA">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4自动推纱调零，自动调均值，操作更方便，效率更高。</w:t>
      </w:r>
    </w:p>
    <w:p w14:paraId="1B6C3048">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5专家分析系统能够评价纱线质量水平，给用户提供工艺和设备故障分析结果。</w:t>
      </w:r>
    </w:p>
    <w:p w14:paraId="0492611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6</w:t>
      </w:r>
      <w:r>
        <w:rPr>
          <w:rFonts w:hint="default"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zh-CN"/>
        </w:rPr>
        <w:t>CV－L曲线分析软件，能实时定量分析纱线非周期性不匀并可追溯到产生的工序。</w:t>
      </w:r>
    </w:p>
    <w:p w14:paraId="25F4E642">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7不匀曲线可以保存、回放、并在不匀曲线上标注疵点位置。</w:t>
      </w:r>
    </w:p>
    <w:p w14:paraId="0F0F9CD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8测试过程中纱条拉断时自动报警。</w:t>
      </w:r>
    </w:p>
    <w:p w14:paraId="63F8C6F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9强大的统计分析功能，提供年度、月度产品质量水平分析图形和质量趋势图为用户科学管理提供依据。</w:t>
      </w:r>
    </w:p>
    <w:p w14:paraId="101B1C6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10采用图形化界面，与检测分机面板按键配合操作，实现一键操作完成测试。</w:t>
      </w:r>
    </w:p>
    <w:p w14:paraId="4957E610">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11纱线毛羽指数测试。</w:t>
      </w:r>
    </w:p>
    <w:p w14:paraId="3167302F">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12可选配竹节纱功能，并对不规则的竹节纱问题可以提供稳定详细的质量分析。</w:t>
      </w:r>
    </w:p>
    <w:p w14:paraId="638029F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13可选配的纱疵分级功能。</w:t>
      </w:r>
    </w:p>
    <w:p w14:paraId="1110994F">
      <w:pPr>
        <w:shd w:val="clear" w:color="auto"/>
        <w:topLinePunct/>
        <w:spacing w:line="400" w:lineRule="exact"/>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2.装置主体参数要求</w:t>
      </w:r>
    </w:p>
    <w:p w14:paraId="63F2A9BF">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1电容检测槽</w:t>
      </w:r>
      <w:r>
        <w:rPr>
          <w:rFonts w:hint="default" w:ascii="宋体" w:hAnsi="宋体" w:eastAsia="宋体" w:cs="宋体"/>
          <w:color w:val="auto"/>
          <w:sz w:val="24"/>
          <w:szCs w:val="28"/>
          <w:highlight w:val="none"/>
          <w:lang w:val="en-US" w:eastAsia="zh-CN"/>
        </w:rPr>
        <w:t>≥</w:t>
      </w:r>
      <w:r>
        <w:rPr>
          <w:rFonts w:hint="default" w:ascii="宋体" w:hAnsi="宋体" w:eastAsia="宋体" w:cs="宋体"/>
          <w:color w:val="auto"/>
          <w:sz w:val="24"/>
          <w:szCs w:val="28"/>
          <w:highlight w:val="none"/>
          <w:lang w:val="zh-CN"/>
        </w:rPr>
        <w:t>4个</w:t>
      </w:r>
    </w:p>
    <w:p w14:paraId="674AE743">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2测试范围：4tex~12k tex</w:t>
      </w:r>
    </w:p>
    <w:p w14:paraId="53493773">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3测试速度：4、8、25、50、100、200、400、800m/min</w:t>
      </w:r>
      <w:r>
        <w:rPr>
          <w:rFonts w:hint="eastAsia" w:ascii="宋体" w:hAnsi="宋体" w:cs="宋体"/>
          <w:color w:val="auto"/>
          <w:sz w:val="24"/>
          <w:szCs w:val="28"/>
          <w:highlight w:val="yellow"/>
          <w:lang w:val="en-US" w:eastAsia="zh-CN"/>
        </w:rPr>
        <w:t>等</w:t>
      </w:r>
    </w:p>
    <w:p w14:paraId="0748A41A">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2.4</w:t>
      </w:r>
      <w:r>
        <w:rPr>
          <w:rFonts w:hint="default" w:ascii="宋体" w:hAnsi="宋体" w:eastAsia="宋体" w:cs="宋体"/>
          <w:color w:val="auto"/>
          <w:sz w:val="24"/>
          <w:szCs w:val="28"/>
          <w:highlight w:val="none"/>
          <w:lang w:val="zh-CN"/>
        </w:rPr>
        <w:t>测试时间：10sec~20min可任意设定</w:t>
      </w:r>
    </w:p>
    <w:p w14:paraId="0EC4975A">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5</w:t>
      </w:r>
      <w:r>
        <w:rPr>
          <w:rFonts w:hint="default"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zh-CN"/>
        </w:rPr>
        <w:t>CV%、U%值范围：0.2%-100%</w:t>
      </w:r>
    </w:p>
    <w:p w14:paraId="4287A13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6变异——长度曲线：切割长度1cm~1500m</w:t>
      </w:r>
    </w:p>
    <w:p w14:paraId="0D9924A8">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7同时输出三类12档疵点值：</w:t>
      </w:r>
    </w:p>
    <w:p w14:paraId="497FE1A0">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8细节-30%，-40%，-50%，-60%</w:t>
      </w:r>
      <w:r>
        <w:rPr>
          <w:rFonts w:hint="eastAsia" w:ascii="宋体" w:hAnsi="宋体" w:cs="宋体"/>
          <w:color w:val="auto"/>
          <w:sz w:val="24"/>
          <w:szCs w:val="28"/>
          <w:highlight w:val="cyan"/>
          <w:lang w:val="en-US" w:eastAsia="zh-CN"/>
        </w:rPr>
        <w:t>等</w:t>
      </w:r>
    </w:p>
    <w:p w14:paraId="3DBF014F">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9粗节+35%，+50%，+70%，+</w:t>
      </w:r>
      <w:bookmarkStart w:id="204" w:name="_GoBack"/>
      <w:bookmarkEnd w:id="204"/>
      <w:r>
        <w:rPr>
          <w:rFonts w:hint="default" w:ascii="宋体" w:hAnsi="宋体" w:eastAsia="宋体" w:cs="宋体"/>
          <w:color w:val="auto"/>
          <w:sz w:val="24"/>
          <w:szCs w:val="28"/>
          <w:highlight w:val="none"/>
          <w:lang w:val="zh-CN"/>
        </w:rPr>
        <w:t>100%</w:t>
      </w:r>
      <w:r>
        <w:rPr>
          <w:rFonts w:hint="eastAsia" w:ascii="宋体" w:hAnsi="宋体" w:cs="宋体"/>
          <w:color w:val="auto"/>
          <w:sz w:val="24"/>
          <w:szCs w:val="28"/>
          <w:highlight w:val="cyan"/>
          <w:lang w:val="en-US" w:eastAsia="zh-CN"/>
        </w:rPr>
        <w:t>等</w:t>
      </w:r>
    </w:p>
    <w:p w14:paraId="156262C1">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2.10</w:t>
      </w:r>
      <w:r>
        <w:rPr>
          <w:rFonts w:hint="default" w:ascii="宋体" w:hAnsi="宋体" w:eastAsia="宋体" w:cs="宋体"/>
          <w:color w:val="auto"/>
          <w:sz w:val="24"/>
          <w:szCs w:val="28"/>
          <w:highlight w:val="none"/>
          <w:lang w:val="zh-CN"/>
        </w:rPr>
        <w:t>棉结+140%，+200%，+280%，+400%</w:t>
      </w:r>
      <w:r>
        <w:rPr>
          <w:rFonts w:hint="eastAsia" w:ascii="宋体" w:hAnsi="宋体" w:cs="宋体"/>
          <w:color w:val="auto"/>
          <w:sz w:val="24"/>
          <w:szCs w:val="28"/>
          <w:highlight w:val="cyan"/>
          <w:lang w:val="en-US" w:eastAsia="zh-CN"/>
        </w:rPr>
        <w:t>等</w:t>
      </w:r>
    </w:p>
    <w:p w14:paraId="0A9E457F">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11波谱图：</w:t>
      </w:r>
      <w:r>
        <w:rPr>
          <w:rFonts w:hint="eastAsia" w:ascii="宋体" w:hAnsi="宋体" w:cs="宋体"/>
          <w:color w:val="auto"/>
          <w:sz w:val="24"/>
          <w:szCs w:val="28"/>
          <w:highlight w:val="yellow"/>
          <w:lang w:val="en-US" w:eastAsia="zh-CN"/>
        </w:rPr>
        <w:t>≥</w:t>
      </w:r>
      <w:r>
        <w:rPr>
          <w:rFonts w:hint="default" w:ascii="宋体" w:hAnsi="宋体" w:eastAsia="宋体" w:cs="宋体"/>
          <w:color w:val="auto"/>
          <w:sz w:val="24"/>
          <w:szCs w:val="28"/>
          <w:highlight w:val="yellow"/>
          <w:lang w:val="zh-CN"/>
        </w:rPr>
        <w:t>170个通道</w:t>
      </w:r>
      <w:r>
        <w:rPr>
          <w:rFonts w:hint="default" w:ascii="宋体" w:hAnsi="宋体" w:eastAsia="宋体" w:cs="宋体"/>
          <w:color w:val="auto"/>
          <w:sz w:val="24"/>
          <w:szCs w:val="28"/>
          <w:highlight w:val="none"/>
          <w:lang w:val="zh-CN"/>
        </w:rPr>
        <w:t>，波长范围1cm~2950m</w:t>
      </w:r>
    </w:p>
    <w:p w14:paraId="57A1E632">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12线密度频率分布图：-100%~+100%，+100%~+400%</w:t>
      </w:r>
    </w:p>
    <w:p w14:paraId="2DDEA55A">
      <w:pPr>
        <w:shd w:val="clear" w:color="auto"/>
        <w:topLinePunct/>
        <w:spacing w:line="400" w:lineRule="exact"/>
        <w:ind w:firstLine="480" w:firstLineChars="200"/>
        <w:jc w:val="left"/>
        <w:rPr>
          <w:rFonts w:hint="eastAsia" w:ascii="宋体" w:hAnsi="宋体" w:cs="宋体"/>
          <w:color w:val="auto"/>
          <w:sz w:val="24"/>
          <w:szCs w:val="28"/>
          <w:highlight w:val="yellow"/>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13</w:t>
      </w:r>
      <w:r>
        <w:rPr>
          <w:rFonts w:hint="default"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zh-CN"/>
        </w:rPr>
        <w:t>DR%值：</w:t>
      </w:r>
      <w:r>
        <w:rPr>
          <w:rFonts w:hint="default" w:ascii="宋体" w:hAnsi="宋体" w:eastAsia="宋体" w:cs="宋体"/>
          <w:color w:val="auto"/>
          <w:sz w:val="24"/>
          <w:szCs w:val="28"/>
          <w:highlight w:val="yellow"/>
          <w:lang w:val="zh-CN"/>
        </w:rPr>
        <w:t>输出</w:t>
      </w:r>
      <w:r>
        <w:rPr>
          <w:rFonts w:hint="eastAsia" w:ascii="宋体" w:hAnsi="宋体" w:cs="宋体"/>
          <w:color w:val="auto"/>
          <w:sz w:val="24"/>
          <w:szCs w:val="28"/>
          <w:highlight w:val="yellow"/>
          <w:lang w:val="en-US" w:eastAsia="zh-CN"/>
        </w:rPr>
        <w:t>不少于</w:t>
      </w:r>
      <w:r>
        <w:rPr>
          <w:rFonts w:hint="eastAsia" w:ascii="宋体" w:hAnsi="宋体" w:eastAsia="宋体" w:cs="宋体"/>
          <w:color w:val="auto"/>
          <w:sz w:val="24"/>
          <w:szCs w:val="28"/>
          <w:highlight w:val="yellow"/>
          <w:lang w:val="zh-CN" w:eastAsia="zh-CN"/>
        </w:rPr>
        <w:t>四档</w:t>
      </w:r>
      <w:r>
        <w:rPr>
          <w:rFonts w:hint="default" w:ascii="宋体" w:hAnsi="宋体" w:eastAsia="宋体" w:cs="宋体"/>
          <w:color w:val="auto"/>
          <w:sz w:val="24"/>
          <w:szCs w:val="28"/>
          <w:highlight w:val="yellow"/>
          <w:lang w:val="zh-CN"/>
        </w:rPr>
        <w:t>DR%值</w:t>
      </w:r>
      <w:r>
        <w:rPr>
          <w:rFonts w:hint="eastAsia" w:ascii="宋体" w:hAnsi="宋体" w:cs="宋体"/>
          <w:color w:val="auto"/>
          <w:sz w:val="24"/>
          <w:szCs w:val="28"/>
          <w:highlight w:val="yellow"/>
          <w:lang w:val="zh-CN"/>
        </w:rPr>
        <w:t>。</w:t>
      </w:r>
    </w:p>
    <w:p w14:paraId="4191D081">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14单组测量次数：≤20，一组可实现两个品种测试；同一品种可实现：最多10组200管数据统计</w:t>
      </w:r>
    </w:p>
    <w:p w14:paraId="7089441D">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15输入电源：电压220V±10%    频率50Hz±5Hz    功耗≤500VA</w:t>
      </w:r>
    </w:p>
    <w:p w14:paraId="7A362D80">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w:t>
      </w:r>
      <w:r>
        <w:rPr>
          <w:rFonts w:hint="default" w:ascii="宋体" w:hAnsi="宋体" w:eastAsia="宋体" w:cs="宋体"/>
          <w:color w:val="auto"/>
          <w:sz w:val="24"/>
          <w:szCs w:val="28"/>
          <w:highlight w:val="none"/>
          <w:lang w:val="zh-CN"/>
        </w:rPr>
        <w:t>配置要求</w:t>
      </w:r>
    </w:p>
    <w:p w14:paraId="394049EC">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3.1</w:t>
      </w:r>
      <w:r>
        <w:rPr>
          <w:rFonts w:hint="default" w:ascii="宋体" w:hAnsi="宋体" w:eastAsia="宋体" w:cs="宋体"/>
          <w:color w:val="auto"/>
          <w:sz w:val="24"/>
          <w:szCs w:val="28"/>
          <w:highlight w:val="none"/>
          <w:lang w:val="zh-CN"/>
        </w:rPr>
        <w:t>主机1台；</w:t>
      </w:r>
    </w:p>
    <w:p w14:paraId="49816379">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3.2</w:t>
      </w:r>
      <w:r>
        <w:rPr>
          <w:rFonts w:hint="default" w:ascii="宋体" w:hAnsi="宋体" w:eastAsia="宋体" w:cs="宋体"/>
          <w:color w:val="auto"/>
          <w:sz w:val="24"/>
          <w:szCs w:val="28"/>
          <w:highlight w:val="none"/>
          <w:lang w:val="zh-CN"/>
        </w:rPr>
        <w:t>电脑1台；</w:t>
      </w:r>
    </w:p>
    <w:p w14:paraId="6C165DFA">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w:t>
      </w:r>
      <w:r>
        <w:rPr>
          <w:rFonts w:hint="default" w:ascii="宋体" w:hAnsi="宋体" w:eastAsia="宋体" w:cs="宋体"/>
          <w:color w:val="auto"/>
          <w:sz w:val="24"/>
          <w:szCs w:val="28"/>
          <w:highlight w:val="none"/>
          <w:lang w:val="zh-CN"/>
        </w:rPr>
        <w:t>3打印机1台；</w:t>
      </w:r>
    </w:p>
    <w:p w14:paraId="03168F83">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3.4</w:t>
      </w:r>
      <w:r>
        <w:rPr>
          <w:rFonts w:hint="default" w:ascii="宋体" w:hAnsi="宋体" w:eastAsia="宋体" w:cs="宋体"/>
          <w:color w:val="auto"/>
          <w:sz w:val="24"/>
          <w:szCs w:val="28"/>
          <w:highlight w:val="none"/>
          <w:lang w:val="zh-CN"/>
        </w:rPr>
        <w:t>说明书1份</w:t>
      </w:r>
    </w:p>
    <w:p w14:paraId="429B00B9">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配套资源</w:t>
      </w:r>
    </w:p>
    <w:p w14:paraId="37742BAE">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在线学习系统（账号满足实际学生数量</w:t>
      </w:r>
      <w:r>
        <w:rPr>
          <w:rFonts w:hint="eastAsia" w:ascii="宋体" w:hAnsi="宋体" w:eastAsia="宋体" w:cs="宋体"/>
          <w:color w:val="auto"/>
          <w:sz w:val="24"/>
          <w:szCs w:val="28"/>
          <w:highlight w:val="none"/>
          <w:lang w:val="en-US" w:eastAsia="zh-CN"/>
        </w:rPr>
        <w:t>同时在线学习</w:t>
      </w:r>
      <w:r>
        <w:rPr>
          <w:rFonts w:hint="eastAsia" w:ascii="宋体" w:hAnsi="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00人次</w:t>
      </w:r>
      <w:r>
        <w:rPr>
          <w:rFonts w:hint="eastAsia" w:ascii="宋体" w:hAnsi="宋体" w:eastAsia="宋体" w:cs="宋体"/>
          <w:color w:val="auto"/>
          <w:sz w:val="24"/>
          <w:szCs w:val="28"/>
          <w:highlight w:val="none"/>
          <w:lang w:val="zh-CN"/>
        </w:rPr>
        <w:t>）</w:t>
      </w:r>
    </w:p>
    <w:p w14:paraId="5F3E8102">
      <w:pPr>
        <w:shd w:val="clear" w:color="auto"/>
        <w:topLinePunct/>
        <w:spacing w:line="400" w:lineRule="exact"/>
        <w:jc w:val="left"/>
        <w:rPr>
          <w:rFonts w:hint="default" w:ascii="宋体" w:hAnsi="宋体" w:eastAsia="宋体" w:cs="宋体"/>
          <w:b/>
          <w:bCs/>
          <w:color w:val="auto"/>
          <w:sz w:val="24"/>
          <w:szCs w:val="28"/>
          <w:highlight w:val="none"/>
          <w:lang w:val="zh-CN"/>
        </w:rPr>
      </w:pPr>
      <w:r>
        <w:rPr>
          <w:rFonts w:hint="default"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四</w:t>
      </w:r>
      <w:r>
        <w:rPr>
          <w:rFonts w:hint="default" w:ascii="宋体" w:hAnsi="宋体" w:eastAsia="宋体" w:cs="宋体"/>
          <w:b/>
          <w:bCs/>
          <w:color w:val="auto"/>
          <w:sz w:val="24"/>
          <w:szCs w:val="28"/>
          <w:highlight w:val="none"/>
          <w:lang w:val="zh-CN" w:eastAsia="zh-CN"/>
        </w:rPr>
        <w:t>）</w:t>
      </w:r>
      <w:r>
        <w:rPr>
          <w:rFonts w:hint="default" w:ascii="宋体" w:hAnsi="宋体" w:eastAsia="宋体" w:cs="宋体"/>
          <w:b/>
          <w:bCs/>
          <w:color w:val="auto"/>
          <w:sz w:val="24"/>
          <w:szCs w:val="28"/>
          <w:highlight w:val="none"/>
          <w:lang w:val="en-US" w:eastAsia="zh-CN"/>
        </w:rPr>
        <w:t>滚箱式起球仪</w:t>
      </w:r>
      <w:r>
        <w:rPr>
          <w:rFonts w:hint="default" w:ascii="宋体" w:hAnsi="宋体" w:eastAsia="宋体" w:cs="宋体"/>
          <w:b/>
          <w:bCs/>
          <w:color w:val="auto"/>
          <w:sz w:val="24"/>
          <w:szCs w:val="28"/>
          <w:highlight w:val="none"/>
          <w:lang w:val="zh-CN"/>
        </w:rPr>
        <w:t xml:space="preserve"> </w:t>
      </w:r>
    </w:p>
    <w:p w14:paraId="3E840A5A">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主要技术参数要求</w:t>
      </w:r>
    </w:p>
    <w:p w14:paraId="5BAA2DE7">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1.1</w:t>
      </w:r>
      <w:r>
        <w:rPr>
          <w:rFonts w:hint="default" w:ascii="宋体" w:hAnsi="宋体" w:eastAsia="宋体" w:cs="宋体"/>
          <w:color w:val="auto"/>
          <w:sz w:val="24"/>
          <w:szCs w:val="28"/>
          <w:highlight w:val="none"/>
          <w:lang w:val="zh-CN"/>
        </w:rPr>
        <w:t>适用于纺织品织物起球箱法起毛起球性能测定；</w:t>
      </w:r>
    </w:p>
    <w:p w14:paraId="06FB30D0">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1.2</w:t>
      </w:r>
      <w:r>
        <w:rPr>
          <w:rFonts w:hint="default" w:ascii="宋体" w:hAnsi="宋体" w:eastAsia="宋体" w:cs="宋体"/>
          <w:color w:val="auto"/>
          <w:sz w:val="24"/>
          <w:szCs w:val="28"/>
          <w:highlight w:val="none"/>
          <w:lang w:val="zh-CN"/>
        </w:rPr>
        <w:t xml:space="preserve">满足标准：GB/T 4802.3-2008、ISO 12945-1等； </w:t>
      </w:r>
    </w:p>
    <w:p w14:paraId="0A945FB2">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装置主体参数要求</w:t>
      </w:r>
    </w:p>
    <w:p w14:paraId="2F413FB8">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2.1</w:t>
      </w:r>
      <w:r>
        <w:rPr>
          <w:rFonts w:hint="default" w:ascii="宋体" w:hAnsi="宋体" w:eastAsia="宋体" w:cs="宋体"/>
          <w:color w:val="auto"/>
          <w:sz w:val="24"/>
          <w:szCs w:val="28"/>
          <w:highlight w:val="none"/>
          <w:lang w:val="zh-CN"/>
        </w:rPr>
        <w:t>内村橡胶软木采用快拆式设计；</w:t>
      </w:r>
    </w:p>
    <w:p w14:paraId="43AC6677">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2.2</w:t>
      </w:r>
      <w:r>
        <w:rPr>
          <w:rFonts w:hint="default" w:ascii="宋体" w:hAnsi="宋体" w:eastAsia="宋体" w:cs="宋体"/>
          <w:color w:val="auto"/>
          <w:sz w:val="24"/>
          <w:szCs w:val="28"/>
          <w:highlight w:val="none"/>
          <w:lang w:val="zh-CN"/>
        </w:rPr>
        <w:t>配有电子刹车控制系统；</w:t>
      </w:r>
    </w:p>
    <w:p w14:paraId="1487D160">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2.3</w:t>
      </w:r>
      <w:r>
        <w:rPr>
          <w:rFonts w:hint="default" w:ascii="宋体" w:hAnsi="宋体" w:eastAsia="宋体" w:cs="宋体"/>
          <w:color w:val="auto"/>
          <w:sz w:val="24"/>
          <w:szCs w:val="28"/>
          <w:highlight w:val="none"/>
          <w:lang w:val="zh-CN"/>
        </w:rPr>
        <w:t>起球箱数量</w:t>
      </w:r>
      <w:r>
        <w:rPr>
          <w:rFonts w:hint="default" w:ascii="宋体" w:hAnsi="宋体" w:eastAsia="宋体" w:cs="宋体"/>
          <w:color w:val="auto"/>
          <w:sz w:val="24"/>
          <w:szCs w:val="28"/>
          <w:highlight w:val="none"/>
          <w:lang w:val="en-US" w:eastAsia="zh-CN"/>
        </w:rPr>
        <w:t>≥</w:t>
      </w:r>
      <w:r>
        <w:rPr>
          <w:rFonts w:hint="default" w:ascii="宋体" w:hAnsi="宋体" w:eastAsia="宋体" w:cs="宋体"/>
          <w:color w:val="auto"/>
          <w:sz w:val="24"/>
          <w:szCs w:val="28"/>
          <w:highlight w:val="none"/>
          <w:lang w:val="zh-CN"/>
        </w:rPr>
        <w:t>4只；</w:t>
      </w:r>
    </w:p>
    <w:p w14:paraId="0BBE6FE3">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2.4</w:t>
      </w:r>
      <w:r>
        <w:rPr>
          <w:rFonts w:hint="default" w:ascii="宋体" w:hAnsi="宋体" w:eastAsia="宋体" w:cs="宋体"/>
          <w:color w:val="auto"/>
          <w:sz w:val="24"/>
          <w:szCs w:val="28"/>
          <w:highlight w:val="none"/>
          <w:lang w:val="zh-CN"/>
        </w:rPr>
        <w:t>箱内未衬软木前尺寸：</w:t>
      </w:r>
      <w:r>
        <w:rPr>
          <w:rFonts w:hint="eastAsia" w:ascii="宋体" w:hAnsi="宋体" w:cs="宋体"/>
          <w:color w:val="auto"/>
          <w:sz w:val="24"/>
          <w:szCs w:val="28"/>
          <w:highlight w:val="yellow"/>
          <w:lang w:val="en-US" w:eastAsia="zh-CN"/>
        </w:rPr>
        <w:t>约</w:t>
      </w:r>
      <w:r>
        <w:rPr>
          <w:rFonts w:hint="eastAsia" w:ascii="宋体" w:hAnsi="宋体" w:eastAsia="宋体" w:cs="宋体"/>
          <w:color w:val="auto"/>
          <w:sz w:val="24"/>
          <w:szCs w:val="28"/>
          <w:highlight w:val="none"/>
          <w:lang w:val="zh-CN" w:eastAsia="zh-CN"/>
        </w:rPr>
        <w:t>（</w:t>
      </w:r>
      <w:r>
        <w:rPr>
          <w:rFonts w:hint="default" w:ascii="宋体" w:hAnsi="宋体" w:eastAsia="宋体" w:cs="宋体"/>
          <w:color w:val="auto"/>
          <w:sz w:val="24"/>
          <w:szCs w:val="28"/>
          <w:highlight w:val="none"/>
          <w:lang w:val="zh-CN"/>
        </w:rPr>
        <w:t>235×235×235</w:t>
      </w:r>
      <w:r>
        <w:rPr>
          <w:rFonts w:hint="eastAsia" w:ascii="宋体" w:hAnsi="宋体" w:eastAsia="宋体" w:cs="宋体"/>
          <w:color w:val="auto"/>
          <w:sz w:val="24"/>
          <w:szCs w:val="28"/>
          <w:highlight w:val="none"/>
          <w:lang w:val="zh-CN" w:eastAsia="zh-CN"/>
        </w:rPr>
        <w:t>）</w:t>
      </w:r>
      <w:r>
        <w:rPr>
          <w:rFonts w:hint="default" w:ascii="宋体" w:hAnsi="宋体" w:eastAsia="宋体" w:cs="宋体"/>
          <w:color w:val="auto"/>
          <w:sz w:val="24"/>
          <w:szCs w:val="28"/>
          <w:highlight w:val="none"/>
          <w:lang w:val="zh-CN"/>
        </w:rPr>
        <w:t>mm；</w:t>
      </w:r>
    </w:p>
    <w:p w14:paraId="3780E38F">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2.5</w:t>
      </w:r>
      <w:r>
        <w:rPr>
          <w:rFonts w:hint="default" w:ascii="宋体" w:hAnsi="宋体" w:eastAsia="宋体" w:cs="宋体"/>
          <w:color w:val="auto"/>
          <w:sz w:val="24"/>
          <w:szCs w:val="28"/>
          <w:highlight w:val="none"/>
          <w:lang w:val="zh-CN"/>
        </w:rPr>
        <w:t>箱体转速可调范围：（10～80）r/min；</w:t>
      </w:r>
    </w:p>
    <w:p w14:paraId="1A875BE2">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2.6</w:t>
      </w:r>
      <w:r>
        <w:rPr>
          <w:rFonts w:hint="default" w:ascii="宋体" w:hAnsi="宋体" w:eastAsia="宋体" w:cs="宋体"/>
          <w:color w:val="auto"/>
          <w:sz w:val="24"/>
          <w:szCs w:val="28"/>
          <w:highlight w:val="none"/>
          <w:lang w:val="zh-CN"/>
        </w:rPr>
        <w:t>计数范围</w:t>
      </w:r>
      <w:r>
        <w:rPr>
          <w:rFonts w:hint="eastAsia" w:ascii="宋体" w:hAnsi="宋体" w:eastAsia="宋体" w:cs="宋体"/>
          <w:color w:val="auto"/>
          <w:sz w:val="24"/>
          <w:szCs w:val="28"/>
          <w:highlight w:val="none"/>
          <w:lang w:val="zh-CN" w:eastAsia="zh-CN"/>
        </w:rPr>
        <w:t>：</w:t>
      </w:r>
      <w:r>
        <w:rPr>
          <w:rFonts w:hint="default" w:ascii="宋体" w:hAnsi="宋体" w:eastAsia="宋体" w:cs="宋体"/>
          <w:color w:val="auto"/>
          <w:sz w:val="24"/>
          <w:szCs w:val="28"/>
          <w:highlight w:val="none"/>
          <w:lang w:val="zh-CN"/>
        </w:rPr>
        <w:t xml:space="preserve"> （1～99999）次；</w:t>
      </w:r>
    </w:p>
    <w:p w14:paraId="6BE97E26">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2.7</w:t>
      </w:r>
      <w:r>
        <w:rPr>
          <w:rFonts w:hint="default" w:ascii="宋体" w:hAnsi="宋体" w:eastAsia="宋体" w:cs="宋体"/>
          <w:color w:val="auto"/>
          <w:sz w:val="24"/>
          <w:szCs w:val="28"/>
          <w:highlight w:val="none"/>
          <w:lang w:val="zh-CN"/>
        </w:rPr>
        <w:t>载样管外形</w:t>
      </w:r>
      <w:r>
        <w:rPr>
          <w:rFonts w:hint="eastAsia" w:ascii="宋体" w:hAnsi="宋体" w:eastAsia="宋体" w:cs="宋体"/>
          <w:color w:val="auto"/>
          <w:sz w:val="24"/>
          <w:szCs w:val="28"/>
          <w:highlight w:val="none"/>
          <w:lang w:val="zh-CN" w:eastAsia="zh-CN"/>
        </w:rPr>
        <w:t>：</w:t>
      </w:r>
      <w:r>
        <w:rPr>
          <w:rFonts w:hint="eastAsia" w:ascii="宋体" w:hAnsi="宋体" w:cs="宋体"/>
          <w:color w:val="auto"/>
          <w:sz w:val="24"/>
          <w:szCs w:val="28"/>
          <w:highlight w:val="yellow"/>
          <w:lang w:val="en-US" w:eastAsia="zh-CN"/>
        </w:rPr>
        <w:t>约</w:t>
      </w:r>
      <w:r>
        <w:rPr>
          <w:rFonts w:hint="default" w:ascii="宋体" w:hAnsi="宋体" w:eastAsia="宋体" w:cs="宋体"/>
          <w:color w:val="auto"/>
          <w:sz w:val="24"/>
          <w:szCs w:val="28"/>
          <w:highlight w:val="none"/>
          <w:lang w:val="zh-CN"/>
        </w:rPr>
        <w:t>Φ31.5mm×140mm；</w:t>
      </w:r>
    </w:p>
    <w:p w14:paraId="69D3A93C">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2.8</w:t>
      </w:r>
      <w:r>
        <w:rPr>
          <w:rFonts w:hint="default" w:ascii="宋体" w:hAnsi="宋体" w:eastAsia="宋体" w:cs="宋体"/>
          <w:color w:val="auto"/>
          <w:sz w:val="24"/>
          <w:szCs w:val="28"/>
          <w:highlight w:val="none"/>
          <w:lang w:val="zh-CN"/>
        </w:rPr>
        <w:t>载样管数量</w:t>
      </w:r>
      <w:r>
        <w:rPr>
          <w:rFonts w:hint="default" w:ascii="宋体" w:hAnsi="宋体" w:eastAsia="宋体" w:cs="宋体"/>
          <w:color w:val="auto"/>
          <w:sz w:val="24"/>
          <w:szCs w:val="28"/>
          <w:highlight w:val="none"/>
          <w:lang w:val="en-US" w:eastAsia="zh-CN"/>
        </w:rPr>
        <w:t>≥</w:t>
      </w:r>
      <w:r>
        <w:rPr>
          <w:rFonts w:hint="default" w:ascii="宋体" w:hAnsi="宋体" w:eastAsia="宋体" w:cs="宋体"/>
          <w:color w:val="auto"/>
          <w:sz w:val="24"/>
          <w:szCs w:val="28"/>
          <w:highlight w:val="none"/>
          <w:lang w:val="zh-CN"/>
        </w:rPr>
        <w:t>16根；</w:t>
      </w:r>
    </w:p>
    <w:p w14:paraId="15E19EDC">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2.9</w:t>
      </w:r>
      <w:r>
        <w:rPr>
          <w:rFonts w:hint="default" w:ascii="宋体" w:hAnsi="宋体" w:eastAsia="宋体" w:cs="宋体"/>
          <w:color w:val="auto"/>
          <w:sz w:val="24"/>
          <w:szCs w:val="28"/>
          <w:highlight w:val="none"/>
          <w:lang w:val="zh-CN"/>
        </w:rPr>
        <w:t>外形尺寸</w:t>
      </w:r>
      <w:r>
        <w:rPr>
          <w:rFonts w:hint="eastAsia" w:ascii="宋体" w:hAnsi="宋体" w:eastAsia="宋体" w:cs="宋体"/>
          <w:color w:val="auto"/>
          <w:sz w:val="24"/>
          <w:szCs w:val="28"/>
          <w:highlight w:val="none"/>
          <w:lang w:val="zh-CN" w:eastAsia="zh-CN"/>
        </w:rPr>
        <w:t>：</w:t>
      </w:r>
      <w:r>
        <w:rPr>
          <w:rFonts w:hint="eastAsia" w:ascii="宋体" w:hAnsi="宋体" w:cs="宋体"/>
          <w:color w:val="auto"/>
          <w:sz w:val="24"/>
          <w:szCs w:val="28"/>
          <w:highlight w:val="yellow"/>
          <w:lang w:val="en-US" w:eastAsia="zh-CN"/>
        </w:rPr>
        <w:t>约</w:t>
      </w:r>
      <w:r>
        <w:rPr>
          <w:rFonts w:hint="default" w:ascii="宋体" w:hAnsi="宋体" w:eastAsia="宋体" w:cs="宋体"/>
          <w:color w:val="auto"/>
          <w:sz w:val="24"/>
          <w:szCs w:val="28"/>
          <w:highlight w:val="none"/>
          <w:lang w:val="zh-CN"/>
        </w:rPr>
        <w:t>(960×510×935)mm；</w:t>
      </w:r>
    </w:p>
    <w:p w14:paraId="1A629CB3">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w:t>
      </w:r>
      <w:r>
        <w:rPr>
          <w:rFonts w:hint="default" w:ascii="宋体" w:hAnsi="宋体" w:eastAsia="宋体" w:cs="宋体"/>
          <w:color w:val="auto"/>
          <w:sz w:val="24"/>
          <w:szCs w:val="28"/>
          <w:highlight w:val="none"/>
          <w:lang w:val="zh-CN"/>
        </w:rPr>
        <w:t>配置要求</w:t>
      </w:r>
    </w:p>
    <w:p w14:paraId="2EB134AD">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w:t>
      </w:r>
      <w:r>
        <w:rPr>
          <w:rFonts w:hint="default" w:ascii="宋体" w:hAnsi="宋体" w:eastAsia="宋体" w:cs="宋体"/>
          <w:color w:val="auto"/>
          <w:sz w:val="24"/>
          <w:szCs w:val="28"/>
          <w:highlight w:val="none"/>
          <w:lang w:val="zh-CN"/>
        </w:rPr>
        <w:t>.1 产品合格证1份；</w:t>
      </w:r>
    </w:p>
    <w:p w14:paraId="3809B4C8">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3.2</w:t>
      </w:r>
      <w:r>
        <w:rPr>
          <w:rFonts w:hint="default" w:ascii="宋体" w:hAnsi="宋体" w:eastAsia="宋体" w:cs="宋体"/>
          <w:color w:val="auto"/>
          <w:sz w:val="24"/>
          <w:szCs w:val="28"/>
          <w:highlight w:val="none"/>
          <w:lang w:val="zh-CN"/>
        </w:rPr>
        <w:t>产品说明书</w:t>
      </w:r>
      <w:r>
        <w:rPr>
          <w:rFonts w:hint="default" w:ascii="宋体" w:hAnsi="宋体" w:eastAsia="宋体" w:cs="宋体"/>
          <w:color w:val="auto"/>
          <w:sz w:val="24"/>
          <w:szCs w:val="28"/>
          <w:highlight w:val="none"/>
          <w:lang w:val="zh-CN"/>
        </w:rPr>
        <w:tab/>
      </w:r>
      <w:r>
        <w:rPr>
          <w:rFonts w:hint="default" w:ascii="宋体" w:hAnsi="宋体" w:eastAsia="宋体" w:cs="宋体"/>
          <w:color w:val="auto"/>
          <w:sz w:val="24"/>
          <w:szCs w:val="28"/>
          <w:highlight w:val="none"/>
          <w:lang w:val="zh-CN"/>
        </w:rPr>
        <w:t>1份；</w:t>
      </w:r>
    </w:p>
    <w:p w14:paraId="4ACD5B53">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3.3</w:t>
      </w:r>
      <w:r>
        <w:rPr>
          <w:rFonts w:hint="default" w:ascii="宋体" w:hAnsi="宋体" w:eastAsia="宋体" w:cs="宋体"/>
          <w:color w:val="auto"/>
          <w:sz w:val="24"/>
          <w:szCs w:val="28"/>
          <w:highlight w:val="none"/>
          <w:lang w:val="zh-CN"/>
        </w:rPr>
        <w:t>主机1台；</w:t>
      </w:r>
    </w:p>
    <w:p w14:paraId="6A2C7A1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3.4</w:t>
      </w:r>
      <w:r>
        <w:rPr>
          <w:rFonts w:hint="default" w:ascii="宋体" w:hAnsi="宋体" w:eastAsia="宋体" w:cs="宋体"/>
          <w:color w:val="auto"/>
          <w:sz w:val="24"/>
          <w:szCs w:val="28"/>
          <w:highlight w:val="none"/>
          <w:lang w:val="zh-CN"/>
        </w:rPr>
        <w:t>裁样板1只；</w:t>
      </w:r>
    </w:p>
    <w:p w14:paraId="71C24AC8">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3.5</w:t>
      </w:r>
      <w:r>
        <w:rPr>
          <w:rFonts w:hint="default" w:ascii="宋体" w:hAnsi="宋体" w:eastAsia="宋体" w:cs="宋体"/>
          <w:color w:val="auto"/>
          <w:sz w:val="24"/>
          <w:szCs w:val="28"/>
          <w:highlight w:val="none"/>
          <w:lang w:val="zh-CN"/>
        </w:rPr>
        <w:t>载样管16只；</w:t>
      </w:r>
    </w:p>
    <w:p w14:paraId="76919314">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3.6</w:t>
      </w:r>
      <w:r>
        <w:rPr>
          <w:rFonts w:hint="default" w:ascii="宋体" w:hAnsi="宋体" w:eastAsia="宋体" w:cs="宋体"/>
          <w:color w:val="auto"/>
          <w:sz w:val="24"/>
          <w:szCs w:val="28"/>
          <w:highlight w:val="none"/>
          <w:lang w:val="zh-CN"/>
        </w:rPr>
        <w:t>保险管2个；</w:t>
      </w:r>
    </w:p>
    <w:p w14:paraId="381C475B">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3.7</w:t>
      </w:r>
      <w:r>
        <w:rPr>
          <w:rFonts w:hint="default" w:ascii="宋体" w:hAnsi="宋体" w:eastAsia="宋体" w:cs="宋体"/>
          <w:color w:val="auto"/>
          <w:sz w:val="24"/>
          <w:szCs w:val="28"/>
          <w:highlight w:val="none"/>
          <w:lang w:val="zh-CN"/>
        </w:rPr>
        <w:t>产品质量跟踪信息反馈单2张</w:t>
      </w:r>
    </w:p>
    <w:p w14:paraId="27308B0F">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配套资源</w:t>
      </w:r>
    </w:p>
    <w:p w14:paraId="6EDD86DF">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在线学习系统（账号满足实际学生数量</w:t>
      </w:r>
      <w:r>
        <w:rPr>
          <w:rFonts w:hint="eastAsia" w:ascii="宋体" w:hAnsi="宋体" w:eastAsia="宋体" w:cs="宋体"/>
          <w:color w:val="auto"/>
          <w:sz w:val="24"/>
          <w:szCs w:val="28"/>
          <w:highlight w:val="none"/>
          <w:lang w:val="en-US" w:eastAsia="zh-CN"/>
        </w:rPr>
        <w:t>同时在线学习</w:t>
      </w:r>
      <w:r>
        <w:rPr>
          <w:rFonts w:hint="eastAsia" w:ascii="宋体" w:hAnsi="宋体" w:cs="宋体"/>
          <w:color w:val="auto"/>
          <w:sz w:val="24"/>
          <w:szCs w:val="28"/>
          <w:highlight w:val="yellow"/>
          <w:lang w:val="en-US" w:eastAsia="zh-CN"/>
        </w:rPr>
        <w:t>1</w:t>
      </w:r>
      <w:r>
        <w:rPr>
          <w:rFonts w:hint="eastAsia" w:ascii="宋体" w:hAnsi="宋体" w:eastAsia="宋体" w:cs="宋体"/>
          <w:color w:val="auto"/>
          <w:sz w:val="24"/>
          <w:szCs w:val="28"/>
          <w:highlight w:val="yellow"/>
          <w:lang w:val="en-US" w:eastAsia="zh-CN"/>
        </w:rPr>
        <w:t>00</w:t>
      </w:r>
      <w:r>
        <w:rPr>
          <w:rFonts w:hint="eastAsia" w:ascii="宋体" w:hAnsi="宋体" w:eastAsia="宋体" w:cs="宋体"/>
          <w:color w:val="auto"/>
          <w:sz w:val="24"/>
          <w:szCs w:val="28"/>
          <w:highlight w:val="none"/>
          <w:lang w:val="en-US" w:eastAsia="zh-CN"/>
        </w:rPr>
        <w:t>人次</w:t>
      </w:r>
      <w:r>
        <w:rPr>
          <w:rFonts w:hint="eastAsia" w:ascii="宋体" w:hAnsi="宋体" w:eastAsia="宋体" w:cs="宋体"/>
          <w:color w:val="auto"/>
          <w:sz w:val="24"/>
          <w:szCs w:val="28"/>
          <w:highlight w:val="none"/>
          <w:lang w:val="zh-CN"/>
        </w:rPr>
        <w:t>）</w:t>
      </w:r>
    </w:p>
    <w:p w14:paraId="7EF3BB2F">
      <w:pPr>
        <w:shd w:val="clear" w:color="auto"/>
        <w:topLinePunct/>
        <w:spacing w:line="400" w:lineRule="exact"/>
        <w:jc w:val="left"/>
        <w:rPr>
          <w:rFonts w:hint="default" w:ascii="宋体" w:hAnsi="宋体" w:eastAsia="宋体" w:cs="宋体"/>
          <w:b/>
          <w:bCs/>
          <w:color w:val="auto"/>
          <w:sz w:val="24"/>
          <w:szCs w:val="28"/>
          <w:highlight w:val="none"/>
          <w:lang w:val="zh-CN"/>
        </w:rPr>
      </w:pPr>
      <w:bookmarkStart w:id="151" w:name="OLE_LINK2"/>
      <w:r>
        <w:rPr>
          <w:rFonts w:hint="default"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五</w:t>
      </w:r>
      <w:r>
        <w:rPr>
          <w:rFonts w:hint="default" w:ascii="宋体" w:hAnsi="宋体" w:eastAsia="宋体" w:cs="宋体"/>
          <w:b/>
          <w:bCs/>
          <w:color w:val="auto"/>
          <w:sz w:val="24"/>
          <w:szCs w:val="28"/>
          <w:highlight w:val="none"/>
          <w:lang w:val="zh-CN" w:eastAsia="zh-CN"/>
        </w:rPr>
        <w:t>）</w:t>
      </w:r>
      <w:r>
        <w:rPr>
          <w:rFonts w:hint="default" w:ascii="宋体" w:hAnsi="宋体" w:eastAsia="宋体" w:cs="宋体"/>
          <w:b/>
          <w:bCs/>
          <w:color w:val="auto"/>
          <w:sz w:val="24"/>
          <w:szCs w:val="28"/>
          <w:highlight w:val="none"/>
          <w:lang w:val="en-US" w:eastAsia="zh-CN"/>
        </w:rPr>
        <w:t>织物风格</w:t>
      </w:r>
      <w:r>
        <w:rPr>
          <w:rFonts w:hint="default" w:ascii="宋体" w:hAnsi="宋体" w:eastAsia="宋体" w:cs="宋体"/>
          <w:b/>
          <w:bCs/>
          <w:color w:val="auto"/>
          <w:sz w:val="24"/>
          <w:szCs w:val="28"/>
          <w:highlight w:val="none"/>
          <w:lang w:val="zh-CN"/>
        </w:rPr>
        <w:t xml:space="preserve"> </w:t>
      </w:r>
    </w:p>
    <w:bookmarkEnd w:id="151"/>
    <w:p w14:paraId="388F9B6D">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主要技术参数要求</w:t>
      </w:r>
    </w:p>
    <w:p w14:paraId="2FC592E4">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1.1</w:t>
      </w:r>
      <w:r>
        <w:rPr>
          <w:rFonts w:hint="default" w:ascii="宋体" w:hAnsi="宋体" w:eastAsia="宋体" w:cs="宋体"/>
          <w:color w:val="auto"/>
          <w:sz w:val="24"/>
          <w:szCs w:val="28"/>
          <w:highlight w:val="none"/>
          <w:lang w:val="zh-CN"/>
        </w:rPr>
        <w:t>用于测试织物的弯曲特性、摩擦特性、压缩特性、起拱变形、交织阻力、平整度和每平方米的重量等多项与织物风格有关的指标；</w:t>
      </w:r>
    </w:p>
    <w:p w14:paraId="2104BEA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1.1.1</w:t>
      </w:r>
      <w:r>
        <w:rPr>
          <w:rFonts w:hint="default" w:ascii="宋体" w:hAnsi="宋体" w:eastAsia="宋体" w:cs="宋体"/>
          <w:color w:val="auto"/>
          <w:sz w:val="24"/>
          <w:szCs w:val="28"/>
          <w:highlight w:val="none"/>
          <w:lang w:val="zh-CN"/>
        </w:rPr>
        <w:t xml:space="preserve"> 弯曲特性测试：评价织物产品的活络性和刚柔程度。指标：活络率、弯曲刚性、弯曲刚性指数、最大抗弯力及CV值；</w:t>
      </w:r>
    </w:p>
    <w:p w14:paraId="22D03A4B">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1.1.2</w:t>
      </w:r>
      <w:r>
        <w:rPr>
          <w:rFonts w:hint="default" w:ascii="宋体" w:hAnsi="宋体" w:eastAsia="宋体" w:cs="宋体"/>
          <w:color w:val="auto"/>
          <w:sz w:val="24"/>
          <w:szCs w:val="28"/>
          <w:highlight w:val="none"/>
          <w:lang w:val="zh-CN"/>
        </w:rPr>
        <w:t xml:space="preserve"> 摩擦特性测试：评价织物产品表面的光滑、粗糙和匀爽程度。指标：静摩擦系数、动摩擦系数、动摩擦系数的变异系数及CV值；</w:t>
      </w:r>
    </w:p>
    <w:p w14:paraId="728EC7EC">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1.1.3</w:t>
      </w:r>
      <w:r>
        <w:rPr>
          <w:rFonts w:hint="default" w:ascii="宋体" w:hAnsi="宋体" w:eastAsia="宋体" w:cs="宋体"/>
          <w:color w:val="auto"/>
          <w:sz w:val="24"/>
          <w:szCs w:val="28"/>
          <w:highlight w:val="none"/>
          <w:lang w:val="zh-CN"/>
        </w:rPr>
        <w:t>压缩特性测试：评价织物产品的厚实性、蓬松性和压缩回复性。指标：表观厚度、稳定厚度、压缩率、压缩弹性率、比压缩弹性率、蓬松度、表观密度及CV值；</w:t>
      </w:r>
    </w:p>
    <w:p w14:paraId="2D6CE6AF">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1.1.4</w:t>
      </w:r>
      <w:r>
        <w:rPr>
          <w:rFonts w:hint="default" w:ascii="宋体" w:hAnsi="宋体" w:eastAsia="宋体" w:cs="宋体"/>
          <w:color w:val="auto"/>
          <w:sz w:val="24"/>
          <w:szCs w:val="28"/>
          <w:highlight w:val="none"/>
          <w:lang w:val="zh-CN"/>
        </w:rPr>
        <w:t>起拱变形测试：评价织物制成服装后，在服用膝部、肘部的残留变形情况。指标：起拱残留率及CV值；</w:t>
      </w:r>
    </w:p>
    <w:p w14:paraId="3E45377D">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1.1.5</w:t>
      </w:r>
      <w:r>
        <w:rPr>
          <w:rFonts w:hint="default" w:ascii="宋体" w:hAnsi="宋体" w:eastAsia="宋体" w:cs="宋体"/>
          <w:color w:val="auto"/>
          <w:sz w:val="24"/>
          <w:szCs w:val="28"/>
          <w:highlight w:val="none"/>
          <w:lang w:val="zh-CN"/>
        </w:rPr>
        <w:t>交织阻力测试：评测织物的活络和板结的程度、预测穿着过程中产生的披裂的可能性。指标：交织阻力及CV值；</w:t>
      </w:r>
    </w:p>
    <w:p w14:paraId="62AC99FD">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1.1.6</w:t>
      </w:r>
      <w:r>
        <w:rPr>
          <w:rFonts w:hint="default" w:ascii="宋体" w:hAnsi="宋体" w:eastAsia="宋体" w:cs="宋体"/>
          <w:color w:val="auto"/>
          <w:sz w:val="24"/>
          <w:szCs w:val="28"/>
          <w:highlight w:val="none"/>
          <w:lang w:val="zh-CN"/>
        </w:rPr>
        <w:t>平整度测试：评价织物厚度的均匀性。指标：平整度及CV值；</w:t>
      </w:r>
    </w:p>
    <w:p w14:paraId="7F9F48FB">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装置主体参数要求</w:t>
      </w:r>
    </w:p>
    <w:p w14:paraId="7B3CAFE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2.1</w:t>
      </w:r>
      <w:r>
        <w:rPr>
          <w:rFonts w:hint="default" w:ascii="宋体" w:hAnsi="宋体" w:eastAsia="宋体" w:cs="宋体"/>
          <w:color w:val="auto"/>
          <w:sz w:val="24"/>
          <w:szCs w:val="28"/>
          <w:highlight w:val="none"/>
          <w:lang w:val="zh-CN"/>
        </w:rPr>
        <w:t xml:space="preserve">  测力指标：</w:t>
      </w:r>
    </w:p>
    <w:p w14:paraId="1FAB40D9">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.1.1测力范围：0～200cN；</w:t>
      </w:r>
    </w:p>
    <w:p w14:paraId="0D5F8632">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.1.2 分辨率：</w:t>
      </w:r>
      <w:r>
        <w:rPr>
          <w:rFonts w:hint="eastAsia" w:ascii="宋体" w:hAnsi="宋体" w:cs="宋体"/>
          <w:color w:val="auto"/>
          <w:sz w:val="24"/>
          <w:szCs w:val="28"/>
          <w:highlight w:val="yellow"/>
          <w:lang w:val="en-US" w:eastAsia="zh-CN"/>
        </w:rPr>
        <w:t>≤</w:t>
      </w:r>
      <w:r>
        <w:rPr>
          <w:rFonts w:hint="default" w:ascii="宋体" w:hAnsi="宋体" w:eastAsia="宋体" w:cs="宋体"/>
          <w:color w:val="auto"/>
          <w:sz w:val="24"/>
          <w:szCs w:val="28"/>
          <w:highlight w:val="none"/>
          <w:lang w:val="zh-CN"/>
        </w:rPr>
        <w:t xml:space="preserve">0.1cN；      </w:t>
      </w:r>
    </w:p>
    <w:p w14:paraId="32369277">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.1.3 非线性误差：≤0.5％；</w:t>
      </w:r>
    </w:p>
    <w:p w14:paraId="3E9996E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 xml:space="preserve">.1.4 重复性误差：≤0.25％；       </w:t>
      </w:r>
    </w:p>
    <w:p w14:paraId="7B5098E3">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.1.5 稳定性误差：≤0.1cN／min，≤0.5cN／h；</w:t>
      </w:r>
    </w:p>
    <w:p w14:paraId="0135A5C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.2位移指标；</w:t>
      </w:r>
    </w:p>
    <w:p w14:paraId="0D1563F4">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.2.1位移量程：0～100mm；</w:t>
      </w:r>
    </w:p>
    <w:p w14:paraId="0D7CA016">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.2.2分辨率：数字量</w:t>
      </w:r>
      <w:r>
        <w:rPr>
          <w:rFonts w:hint="eastAsia" w:ascii="宋体" w:hAnsi="宋体" w:cs="宋体"/>
          <w:color w:val="auto"/>
          <w:sz w:val="24"/>
          <w:szCs w:val="28"/>
          <w:highlight w:val="yellow"/>
          <w:lang w:val="en-US" w:eastAsia="zh-CN"/>
        </w:rPr>
        <w:t>≤</w:t>
      </w:r>
      <w:r>
        <w:rPr>
          <w:rFonts w:hint="default" w:ascii="宋体" w:hAnsi="宋体" w:eastAsia="宋体" w:cs="宋体"/>
          <w:color w:val="auto"/>
          <w:sz w:val="24"/>
          <w:szCs w:val="28"/>
          <w:highlight w:val="none"/>
          <w:lang w:val="zh-CN"/>
        </w:rPr>
        <w:t>0.01mm，模拟量</w:t>
      </w:r>
      <w:r>
        <w:rPr>
          <w:rFonts w:hint="eastAsia" w:ascii="宋体" w:hAnsi="宋体" w:cs="宋体"/>
          <w:color w:val="auto"/>
          <w:sz w:val="24"/>
          <w:szCs w:val="28"/>
          <w:highlight w:val="yellow"/>
          <w:lang w:val="en-US" w:eastAsia="zh-CN"/>
        </w:rPr>
        <w:t>≤</w:t>
      </w:r>
      <w:r>
        <w:rPr>
          <w:rFonts w:hint="default" w:ascii="宋体" w:hAnsi="宋体" w:eastAsia="宋体" w:cs="宋体"/>
          <w:color w:val="auto"/>
          <w:sz w:val="24"/>
          <w:szCs w:val="28"/>
          <w:highlight w:val="none"/>
          <w:lang w:val="zh-CN"/>
        </w:rPr>
        <w:t>0.001mm；</w:t>
      </w:r>
    </w:p>
    <w:p w14:paraId="3FFF8F8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.2.3位移精度：0～3mm±0.01mm（检验时2mm起校），3～100mm±0.05mm；</w:t>
      </w:r>
    </w:p>
    <w:p w14:paraId="3D2AAF6A">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.2.4重复性误差：±0.01mm；</w:t>
      </w:r>
    </w:p>
    <w:p w14:paraId="061360A5">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.2.5稳定性误差：±0.05mm；</w:t>
      </w:r>
    </w:p>
    <w:p w14:paraId="7721A699">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2</w:t>
      </w:r>
      <w:r>
        <w:rPr>
          <w:rFonts w:hint="default" w:ascii="宋体" w:hAnsi="宋体" w:eastAsia="宋体" w:cs="宋体"/>
          <w:color w:val="auto"/>
          <w:sz w:val="24"/>
          <w:szCs w:val="28"/>
          <w:highlight w:val="none"/>
          <w:lang w:val="zh-CN"/>
        </w:rPr>
        <w:t>.3电源：AC220V±10%、50Hz；　</w:t>
      </w:r>
    </w:p>
    <w:p w14:paraId="49C940D8">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w:t>
      </w:r>
      <w:r>
        <w:rPr>
          <w:rFonts w:hint="default" w:ascii="宋体" w:hAnsi="宋体" w:eastAsia="宋体" w:cs="宋体"/>
          <w:color w:val="auto"/>
          <w:sz w:val="24"/>
          <w:szCs w:val="28"/>
          <w:highlight w:val="none"/>
          <w:lang w:val="zh-CN"/>
        </w:rPr>
        <w:t>配置要求</w:t>
      </w:r>
    </w:p>
    <w:p w14:paraId="745DACB9">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w:t>
      </w:r>
      <w:r>
        <w:rPr>
          <w:rFonts w:hint="default" w:ascii="宋体" w:hAnsi="宋体" w:eastAsia="宋体" w:cs="宋体"/>
          <w:color w:val="auto"/>
          <w:sz w:val="24"/>
          <w:szCs w:val="28"/>
          <w:highlight w:val="none"/>
          <w:lang w:val="zh-CN" w:eastAsia="zh-CN"/>
        </w:rPr>
        <w:t>.</w:t>
      </w: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主机1台：</w:t>
      </w:r>
    </w:p>
    <w:p w14:paraId="34F62B2A">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3.2</w:t>
      </w:r>
      <w:r>
        <w:rPr>
          <w:rFonts w:hint="default" w:ascii="宋体" w:hAnsi="宋体" w:eastAsia="宋体" w:cs="宋体"/>
          <w:color w:val="auto"/>
          <w:sz w:val="24"/>
          <w:szCs w:val="28"/>
          <w:highlight w:val="none"/>
          <w:lang w:val="zh-CN"/>
        </w:rPr>
        <w:t>电脑1台；</w:t>
      </w:r>
    </w:p>
    <w:p w14:paraId="21EF10C7">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3.3</w:t>
      </w:r>
      <w:r>
        <w:rPr>
          <w:rFonts w:hint="default" w:ascii="宋体" w:hAnsi="宋体" w:eastAsia="宋体" w:cs="宋体"/>
          <w:color w:val="auto"/>
          <w:sz w:val="24"/>
          <w:szCs w:val="28"/>
          <w:highlight w:val="none"/>
          <w:lang w:val="zh-CN"/>
        </w:rPr>
        <w:t>合格证1份；</w:t>
      </w:r>
    </w:p>
    <w:p w14:paraId="514401A7">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3.4</w:t>
      </w:r>
      <w:r>
        <w:rPr>
          <w:rFonts w:hint="default" w:ascii="宋体" w:hAnsi="宋体" w:eastAsia="宋体" w:cs="宋体"/>
          <w:color w:val="auto"/>
          <w:sz w:val="24"/>
          <w:szCs w:val="28"/>
          <w:highlight w:val="none"/>
          <w:lang w:val="zh-CN"/>
        </w:rPr>
        <w:t>保修单1份；</w:t>
      </w:r>
    </w:p>
    <w:p w14:paraId="7185ABFE">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3.5</w:t>
      </w:r>
      <w:r>
        <w:rPr>
          <w:rFonts w:hint="default" w:ascii="宋体" w:hAnsi="宋体" w:eastAsia="宋体" w:cs="宋体"/>
          <w:color w:val="auto"/>
          <w:sz w:val="24"/>
          <w:szCs w:val="28"/>
          <w:highlight w:val="none"/>
          <w:lang w:val="zh-CN"/>
        </w:rPr>
        <w:t>说明书1本；</w:t>
      </w:r>
    </w:p>
    <w:p w14:paraId="47FD7AF9">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配套资源</w:t>
      </w:r>
    </w:p>
    <w:p w14:paraId="155977F1">
      <w:pPr>
        <w:shd w:val="clear" w:color="auto"/>
        <w:topLinePunct/>
        <w:spacing w:line="40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8"/>
          <w:highlight w:val="none"/>
          <w:lang w:val="zh-CN"/>
        </w:rPr>
        <w:t>在线学习系统（账号满足实际学生数量</w:t>
      </w:r>
      <w:r>
        <w:rPr>
          <w:rFonts w:hint="eastAsia" w:ascii="宋体" w:hAnsi="宋体" w:eastAsia="宋体" w:cs="宋体"/>
          <w:color w:val="auto"/>
          <w:sz w:val="24"/>
          <w:szCs w:val="28"/>
          <w:highlight w:val="none"/>
          <w:lang w:val="en-US" w:eastAsia="zh-CN"/>
        </w:rPr>
        <w:t>同时在线学习</w:t>
      </w:r>
      <w:r>
        <w:rPr>
          <w:rFonts w:hint="eastAsia" w:ascii="宋体" w:hAnsi="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00人次</w:t>
      </w:r>
      <w:r>
        <w:rPr>
          <w:rFonts w:hint="eastAsia" w:ascii="宋体" w:hAnsi="宋体" w:eastAsia="宋体" w:cs="宋体"/>
          <w:color w:val="auto"/>
          <w:sz w:val="24"/>
          <w:szCs w:val="28"/>
          <w:highlight w:val="none"/>
          <w:lang w:val="zh-CN"/>
        </w:rPr>
        <w:t>）</w:t>
      </w:r>
    </w:p>
    <w:p w14:paraId="04426C77">
      <w:pPr>
        <w:shd w:val="clear" w:color="auto"/>
        <w:topLinePunct/>
        <w:spacing w:line="400" w:lineRule="exact"/>
        <w:jc w:val="left"/>
        <w:rPr>
          <w:rFonts w:hint="default" w:ascii="宋体" w:hAnsi="宋体" w:eastAsia="宋体" w:cs="宋体"/>
          <w:b/>
          <w:bCs/>
          <w:color w:val="auto"/>
          <w:sz w:val="24"/>
          <w:szCs w:val="28"/>
          <w:highlight w:val="none"/>
          <w:lang w:val="zh-CN"/>
        </w:rPr>
      </w:pPr>
      <w:bookmarkStart w:id="152" w:name="_Hlk76647020"/>
      <w:r>
        <w:rPr>
          <w:rFonts w:hint="default"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六</w:t>
      </w:r>
      <w:r>
        <w:rPr>
          <w:rFonts w:hint="default" w:ascii="宋体" w:hAnsi="宋体" w:eastAsia="宋体" w:cs="宋体"/>
          <w:b/>
          <w:bCs/>
          <w:color w:val="auto"/>
          <w:sz w:val="24"/>
          <w:szCs w:val="28"/>
          <w:highlight w:val="none"/>
          <w:lang w:val="zh-CN" w:eastAsia="zh-CN"/>
        </w:rPr>
        <w:t>）</w:t>
      </w:r>
      <w:bookmarkEnd w:id="152"/>
      <w:r>
        <w:rPr>
          <w:rFonts w:hint="default" w:ascii="宋体" w:hAnsi="宋体" w:eastAsia="宋体" w:cs="宋体"/>
          <w:b/>
          <w:bCs/>
          <w:color w:val="auto"/>
          <w:sz w:val="24"/>
          <w:szCs w:val="28"/>
          <w:highlight w:val="none"/>
          <w:lang w:val="en-US" w:eastAsia="zh-CN"/>
        </w:rPr>
        <w:t>针织技术三维虚拟仿真教学系统</w:t>
      </w:r>
      <w:r>
        <w:rPr>
          <w:rFonts w:hint="default" w:ascii="宋体" w:hAnsi="宋体" w:eastAsia="宋体" w:cs="宋体"/>
          <w:b/>
          <w:bCs/>
          <w:color w:val="auto"/>
          <w:sz w:val="24"/>
          <w:szCs w:val="28"/>
          <w:highlight w:val="none"/>
          <w:lang w:val="zh-CN"/>
        </w:rPr>
        <w:t xml:space="preserve"> </w:t>
      </w:r>
    </w:p>
    <w:p w14:paraId="3EBAB6D9">
      <w:pPr>
        <w:shd w:val="clear" w:color="auto"/>
        <w:topLinePunct/>
        <w:spacing w:line="400" w:lineRule="exact"/>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w:t>
      </w:r>
      <w:r>
        <w:rPr>
          <w:rFonts w:hint="default" w:ascii="宋体" w:hAnsi="宋体" w:eastAsia="宋体" w:cs="宋体"/>
          <w:color w:val="auto"/>
          <w:sz w:val="24"/>
          <w:szCs w:val="28"/>
          <w:highlight w:val="none"/>
          <w:lang w:val="zh-CN"/>
        </w:rPr>
        <w:t>主要技术参数要求</w:t>
      </w:r>
    </w:p>
    <w:p w14:paraId="3D0BE4D0">
      <w:pPr>
        <w:shd w:val="clear" w:color="auto"/>
        <w:topLinePunct/>
        <w:spacing w:line="400" w:lineRule="exact"/>
        <w:ind w:firstLine="480" w:firstLineChars="200"/>
        <w:jc w:val="left"/>
        <w:rPr>
          <w:rFonts w:hint="default" w:ascii="宋体" w:hAnsi="宋体" w:eastAsia="宋体" w:cs="宋体"/>
          <w:color w:val="auto"/>
          <w:sz w:val="24"/>
          <w:szCs w:val="28"/>
          <w:highlight w:val="none"/>
          <w:lang w:val="zh-CN"/>
        </w:rPr>
      </w:pPr>
      <w:r>
        <w:rPr>
          <w:rFonts w:hint="default" w:ascii="宋体" w:hAnsi="宋体" w:eastAsia="宋体" w:cs="宋体"/>
          <w:color w:val="auto"/>
          <w:sz w:val="24"/>
          <w:szCs w:val="28"/>
          <w:highlight w:val="none"/>
          <w:lang w:val="en-US" w:eastAsia="zh-CN"/>
        </w:rPr>
        <w:t>1.1</w:t>
      </w:r>
      <w:r>
        <w:rPr>
          <w:rFonts w:hint="default" w:ascii="宋体" w:hAnsi="宋体" w:eastAsia="宋体" w:cs="宋体"/>
          <w:color w:val="auto"/>
          <w:sz w:val="24"/>
          <w:szCs w:val="28"/>
          <w:highlight w:val="none"/>
          <w:lang w:val="zh-CN"/>
        </w:rPr>
        <w:t>对横机的组成结构进行认知，包括给纱机构，编织机构，牵拉机构，控制机构，可学习穿线过程，机头组成，织针组成，罗拉运动，控制机构等，要求重要机构可以重点单独展示。设备采用三维模型展示，能够清</w:t>
      </w:r>
      <w:r>
        <w:rPr>
          <w:rFonts w:hint="eastAsia" w:ascii="宋体" w:hAnsi="宋体" w:eastAsia="宋体" w:cs="宋体"/>
          <w:color w:val="auto"/>
          <w:sz w:val="24"/>
          <w:szCs w:val="28"/>
          <w:highlight w:val="none"/>
          <w:lang w:val="zh-CN" w:eastAsia="zh-CN"/>
        </w:rPr>
        <w:t>楚地</w:t>
      </w:r>
      <w:r>
        <w:rPr>
          <w:rFonts w:hint="default" w:ascii="宋体" w:hAnsi="宋体" w:eastAsia="宋体" w:cs="宋体"/>
          <w:color w:val="auto"/>
          <w:sz w:val="24"/>
          <w:szCs w:val="28"/>
          <w:highlight w:val="none"/>
          <w:lang w:val="zh-CN"/>
        </w:rPr>
        <w:t>观察零部件细节。穿线流程清晰明了，关键位置能够暂停，展示详细的穿线过程。</w:t>
      </w:r>
    </w:p>
    <w:p w14:paraId="2BDA2B01">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w:t>
      </w:r>
      <w:r>
        <w:rPr>
          <w:rFonts w:hint="default" w:ascii="宋体" w:hAnsi="宋体" w:eastAsia="宋体" w:cs="宋体"/>
          <w:color w:val="auto"/>
          <w:sz w:val="24"/>
          <w:szCs w:val="28"/>
          <w:highlight w:val="none"/>
          <w:lang w:val="en-US" w:eastAsia="zh-CN"/>
        </w:rPr>
        <w:t>1.2</w:t>
      </w:r>
      <w:r>
        <w:rPr>
          <w:rFonts w:hint="eastAsia" w:ascii="宋体" w:hAnsi="宋体" w:eastAsia="宋体" w:cs="宋体"/>
          <w:color w:val="auto"/>
          <w:sz w:val="24"/>
          <w:szCs w:val="28"/>
          <w:highlight w:val="none"/>
          <w:lang w:val="en-US" w:eastAsia="zh-CN"/>
        </w:rPr>
        <w:t>对典型编织轨迹进行三维模拟，可以全方位对编织过程进行观察，多视角展示，包含俯视图、侧视图、内视图、外视图。展现编织过程中织针运动轨迹，电磁选针，不同针之间的配合联动，针踵的受力点，织物成圈脱圈等内容，单独对一根针进行详细讲解，包括成圈轨迹、集圈轨迹、浮线轨迹、移圈轨迹、成圈集圈轨迹。</w:t>
      </w:r>
    </w:p>
    <w:p w14:paraId="6A1A10FA">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w:t>
      </w:r>
      <w:r>
        <w:rPr>
          <w:rFonts w:hint="eastAsia" w:ascii="宋体" w:hAnsi="宋体" w:eastAsia="宋体" w:cs="宋体"/>
          <w:color w:val="auto"/>
          <w:sz w:val="24"/>
          <w:szCs w:val="28"/>
          <w:highlight w:val="none"/>
          <w:lang w:val="en-US" w:eastAsia="zh-CN"/>
        </w:rPr>
        <w:t>1.3</w:t>
      </w:r>
      <w:r>
        <w:rPr>
          <w:rFonts w:hint="eastAsia" w:ascii="宋体" w:hAnsi="宋体" w:eastAsia="宋体" w:cs="宋体"/>
          <w:color w:val="auto"/>
          <w:sz w:val="24"/>
          <w:szCs w:val="28"/>
          <w:highlight w:val="yellow"/>
          <w:lang w:val="en-US" w:eastAsia="zh-CN"/>
        </w:rPr>
        <w:t>三维动画的形式展现织针配合形成不同织物的过程（不少于18种），包括基本组织</w:t>
      </w:r>
      <w:r>
        <w:rPr>
          <w:rFonts w:hint="eastAsia" w:ascii="宋体" w:hAnsi="宋体" w:cs="宋体"/>
          <w:color w:val="auto"/>
          <w:sz w:val="24"/>
          <w:szCs w:val="28"/>
          <w:highlight w:val="yellow"/>
          <w:lang w:val="en-US" w:eastAsia="zh-CN"/>
        </w:rPr>
        <w:t>：前针床平针、后针床平针、1+1罗纹、2+2罗纹、2+2绞花、左挑孔、右挑孔、阿兰花、单面提花、四平组织、棉毛组织、双元宝，成型组织:明收、暗收、明放、暗放</w:t>
      </w:r>
      <w:r>
        <w:rPr>
          <w:rFonts w:hint="eastAsia" w:ascii="宋体" w:hAnsi="宋体" w:eastAsia="宋体" w:cs="宋体"/>
          <w:color w:val="auto"/>
          <w:sz w:val="24"/>
          <w:szCs w:val="28"/>
          <w:highlight w:val="none"/>
          <w:lang w:val="en-US" w:eastAsia="zh-CN"/>
        </w:rPr>
        <w:t>。</w:t>
      </w:r>
    </w:p>
    <w:p w14:paraId="5F000F92">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1.4能够展现从制版到产品的整个流程，包括电脑制版，穿线，开机操作等。</w:t>
      </w:r>
    </w:p>
    <w:p w14:paraId="561114BD">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w:t>
      </w:r>
      <w:r>
        <w:rPr>
          <w:rFonts w:hint="eastAsia" w:ascii="宋体" w:hAnsi="宋体" w:eastAsia="宋体" w:cs="宋体"/>
          <w:color w:val="auto"/>
          <w:sz w:val="24"/>
          <w:szCs w:val="28"/>
          <w:highlight w:val="none"/>
          <w:lang w:val="en-US" w:eastAsia="zh-CN"/>
        </w:rPr>
        <w:t>1.5系统要包括训练模式与考核模式，训练模式下，根据操作提示进行操作，错误时有错误提示；考核模式下，没有操作提示，根据题目进行操作，操作完毕出现最终分数以及错误点，分数和错误记录可以提交到虚拟仿真平台供教师查看。</w:t>
      </w:r>
    </w:p>
    <w:p w14:paraId="492B4CAE">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1.6</w:t>
      </w:r>
      <w:r>
        <w:rPr>
          <w:rFonts w:hint="default" w:ascii="宋体" w:hAnsi="宋体" w:eastAsia="宋体" w:cs="宋体"/>
          <w:color w:val="auto"/>
          <w:sz w:val="24"/>
          <w:szCs w:val="28"/>
          <w:highlight w:val="none"/>
          <w:lang w:val="en-US" w:eastAsia="zh-CN"/>
        </w:rPr>
        <w:t>编织原理、织物形成过程以动态矢量+三维动画展示，难表现部位通过色彩凸显、透明处理强化视觉效果；情景化实训模式让操作层接近真实实验环境，理论与实训深度结合，互动性贴合真实操作体验</w:t>
      </w:r>
      <w:r>
        <w:rPr>
          <w:rFonts w:hint="eastAsia" w:ascii="宋体" w:hAnsi="宋体" w:eastAsia="宋体" w:cs="宋体"/>
          <w:color w:val="auto"/>
          <w:sz w:val="24"/>
          <w:szCs w:val="28"/>
          <w:highlight w:val="none"/>
          <w:lang w:val="en-US" w:eastAsia="zh-CN"/>
        </w:rPr>
        <w:t>。</w:t>
      </w:r>
    </w:p>
    <w:p w14:paraId="50C902BA">
      <w:pPr>
        <w:shd w:val="clear" w:color="auto"/>
        <w:topLinePunct/>
        <w:spacing w:line="400" w:lineRule="exact"/>
        <w:jc w:val="left"/>
        <w:rPr>
          <w:rFonts w:hint="default"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lang w:val="zh-CN"/>
        </w:rPr>
        <w:t>装置主体参数要求</w:t>
      </w:r>
    </w:p>
    <w:p w14:paraId="72B13629">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 xml:space="preserve">▲2.1 </w:t>
      </w:r>
      <w:r>
        <w:rPr>
          <w:rFonts w:hint="default" w:ascii="宋体" w:hAnsi="宋体" w:eastAsia="宋体" w:cs="宋体"/>
          <w:color w:val="auto"/>
          <w:sz w:val="24"/>
          <w:szCs w:val="28"/>
          <w:highlight w:val="none"/>
          <w:lang w:val="en-US" w:eastAsia="zh-CN"/>
        </w:rPr>
        <w:t>系统采用B/S系统架构，满足校园网、互联网远程开放实验教学需要。支持Windows 7及以上操作系统。</w:t>
      </w:r>
    </w:p>
    <w:p w14:paraId="0E1625EA">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2.2</w:t>
      </w:r>
      <w:r>
        <w:rPr>
          <w:rFonts w:hint="eastAsia" w:ascii="宋体" w:hAnsi="宋体" w:eastAsia="宋体" w:cs="宋体"/>
          <w:color w:val="auto"/>
          <w:sz w:val="24"/>
          <w:szCs w:val="28"/>
          <w:highlight w:val="yellow"/>
          <w:lang w:val="zh-CN"/>
        </w:rPr>
        <w:t>对</w:t>
      </w:r>
      <w:r>
        <w:rPr>
          <w:rFonts w:hint="eastAsia" w:ascii="宋体" w:hAnsi="宋体" w:cs="宋体"/>
          <w:color w:val="auto"/>
          <w:sz w:val="24"/>
          <w:szCs w:val="28"/>
          <w:highlight w:val="yellow"/>
          <w:lang w:val="en-US" w:eastAsia="zh-CN"/>
        </w:rPr>
        <w:t>电脑横机设备</w:t>
      </w:r>
      <w:r>
        <w:rPr>
          <w:rFonts w:hint="eastAsia" w:ascii="宋体" w:hAnsi="宋体" w:eastAsia="宋体" w:cs="宋体"/>
          <w:color w:val="auto"/>
          <w:sz w:val="24"/>
          <w:szCs w:val="28"/>
          <w:highlight w:val="yellow"/>
          <w:lang w:val="zh-CN"/>
        </w:rPr>
        <w:t>进行三维建模，要求模型精度高，贴图逼真</w:t>
      </w:r>
      <w:r>
        <w:rPr>
          <w:rFonts w:hint="eastAsia" w:ascii="宋体" w:hAnsi="宋体" w:cs="宋体"/>
          <w:color w:val="auto"/>
          <w:sz w:val="24"/>
          <w:szCs w:val="28"/>
          <w:highlight w:val="yellow"/>
          <w:lang w:val="zh-CN"/>
        </w:rPr>
        <w:t>，零部件细节清晰，实验结果与真实设备的制版、操作逻辑高度契合</w:t>
      </w:r>
      <w:r>
        <w:rPr>
          <w:rFonts w:hint="eastAsia" w:ascii="宋体" w:hAnsi="宋体" w:eastAsia="宋体" w:cs="宋体"/>
          <w:color w:val="auto"/>
          <w:sz w:val="24"/>
          <w:szCs w:val="28"/>
          <w:highlight w:val="none"/>
          <w:lang w:val="zh-CN"/>
        </w:rPr>
        <w:t>。</w:t>
      </w:r>
    </w:p>
    <w:p w14:paraId="36B8100F">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2.3</w:t>
      </w:r>
      <w:r>
        <w:rPr>
          <w:rFonts w:hint="eastAsia" w:ascii="宋体" w:hAnsi="宋体" w:eastAsia="宋体" w:cs="宋体"/>
          <w:color w:val="auto"/>
          <w:sz w:val="24"/>
          <w:szCs w:val="28"/>
          <w:highlight w:val="none"/>
          <w:lang w:val="zh-CN"/>
        </w:rPr>
        <w:t>操作方式，使用键盘，鼠标完成操作。要求操作简单，操作提示明确显眼。</w:t>
      </w:r>
    </w:p>
    <w:p w14:paraId="11A2538E">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2.4</w:t>
      </w:r>
      <w:r>
        <w:rPr>
          <w:rFonts w:hint="eastAsia" w:ascii="宋体" w:hAnsi="宋体" w:eastAsia="宋体" w:cs="宋体"/>
          <w:color w:val="auto"/>
          <w:sz w:val="24"/>
          <w:szCs w:val="28"/>
          <w:highlight w:val="none"/>
          <w:lang w:val="zh-CN"/>
        </w:rPr>
        <w:t>界面要求简洁、美观大方，符合针织教学特色。</w:t>
      </w:r>
    </w:p>
    <w:p w14:paraId="2BF3224B">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2.5</w:t>
      </w:r>
      <w:r>
        <w:rPr>
          <w:rFonts w:hint="eastAsia" w:ascii="宋体" w:hAnsi="宋体" w:eastAsia="宋体" w:cs="宋体"/>
          <w:color w:val="auto"/>
          <w:sz w:val="24"/>
          <w:szCs w:val="28"/>
          <w:highlight w:val="none"/>
          <w:lang w:val="zh-CN"/>
        </w:rPr>
        <w:t>仿真实验：在全三维的环境下，学生根据任务要求，在同样的环境下，按照规定的步骤进行操作，如果学员操作错误，系统会通过引导信息栏给予提示，学员亦可自行获得帮助信息。</w:t>
      </w:r>
    </w:p>
    <w:p w14:paraId="7A211CEE">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2.6</w:t>
      </w:r>
      <w:r>
        <w:rPr>
          <w:rFonts w:hint="eastAsia" w:ascii="宋体" w:hAnsi="宋体" w:eastAsia="宋体" w:cs="宋体"/>
          <w:color w:val="auto"/>
          <w:sz w:val="24"/>
          <w:szCs w:val="28"/>
          <w:highlight w:val="none"/>
          <w:lang w:val="zh-CN"/>
        </w:rPr>
        <w:t>训练考核</w:t>
      </w:r>
      <w:r>
        <w:rPr>
          <w:rFonts w:hint="eastAsia" w:ascii="宋体" w:hAnsi="宋体" w:eastAsia="宋体" w:cs="宋体"/>
          <w:color w:val="auto"/>
          <w:sz w:val="24"/>
          <w:szCs w:val="28"/>
          <w:highlight w:val="none"/>
          <w:lang w:val="zh-CN" w:eastAsia="zh-CN"/>
        </w:rPr>
        <w:t>：</w:t>
      </w:r>
      <w:r>
        <w:rPr>
          <w:rFonts w:hint="eastAsia" w:ascii="宋体" w:hAnsi="宋体" w:eastAsia="宋体" w:cs="宋体"/>
          <w:color w:val="auto"/>
          <w:sz w:val="24"/>
          <w:szCs w:val="28"/>
          <w:highlight w:val="none"/>
          <w:lang w:val="zh-CN"/>
        </w:rPr>
        <w:t>同样的环境下，限定的时间内，在没有系统提示的情况下，完成考核。</w:t>
      </w:r>
      <w:bookmarkStart w:id="153" w:name="_Toc7505017"/>
    </w:p>
    <w:bookmarkEnd w:id="153"/>
    <w:p w14:paraId="4B309C7E">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rPr>
        <w:t>▲</w:t>
      </w:r>
      <w:r>
        <w:rPr>
          <w:rFonts w:hint="eastAsia" w:ascii="宋体" w:hAnsi="宋体" w:eastAsia="宋体" w:cs="宋体"/>
          <w:color w:val="auto"/>
          <w:sz w:val="24"/>
          <w:szCs w:val="28"/>
          <w:highlight w:val="none"/>
          <w:lang w:val="en-US" w:eastAsia="zh-CN"/>
        </w:rPr>
        <w:t>2.7</w:t>
      </w:r>
      <w:r>
        <w:rPr>
          <w:rFonts w:hint="eastAsia" w:ascii="宋体" w:hAnsi="宋体" w:eastAsia="宋体" w:cs="宋体"/>
          <w:color w:val="auto"/>
          <w:sz w:val="24"/>
          <w:szCs w:val="28"/>
          <w:highlight w:val="none"/>
          <w:lang w:val="zh-CN"/>
        </w:rPr>
        <w:t>在互联网上可实现多人同时在线运行，网络传输介质应具备很强的抗干扰能力</w:t>
      </w:r>
      <w:r>
        <w:rPr>
          <w:rFonts w:hint="eastAsia" w:ascii="宋体" w:hAnsi="宋体" w:eastAsia="宋体" w:cs="宋体"/>
          <w:color w:val="auto"/>
          <w:sz w:val="24"/>
          <w:szCs w:val="28"/>
          <w:highlight w:val="none"/>
          <w:lang w:val="zh-CN" w:eastAsia="zh-CN"/>
        </w:rPr>
        <w:t>。</w:t>
      </w:r>
    </w:p>
    <w:p w14:paraId="662E7C80">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2.8</w:t>
      </w:r>
      <w:r>
        <w:rPr>
          <w:rFonts w:hint="eastAsia" w:ascii="宋体" w:hAnsi="宋体" w:eastAsia="宋体" w:cs="宋体"/>
          <w:color w:val="auto"/>
          <w:sz w:val="24"/>
          <w:szCs w:val="28"/>
          <w:highlight w:val="none"/>
          <w:lang w:val="zh-CN" w:eastAsia="zh-CN"/>
        </w:rPr>
        <w:t>仅用键鼠操作，无外接设备要求，适配Win7及以上全系统。</w:t>
      </w:r>
    </w:p>
    <w:p w14:paraId="73CBD03B">
      <w:pPr>
        <w:shd w:val="clear" w:color="auto"/>
        <w:topLinePunct/>
        <w:spacing w:line="400" w:lineRule="exact"/>
        <w:jc w:val="left"/>
        <w:rPr>
          <w:rFonts w:hint="default"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lang w:val="zh-CN"/>
        </w:rPr>
        <w:t>配置要求</w:t>
      </w:r>
    </w:p>
    <w:p w14:paraId="342BB007">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lang w:val="zh-CN"/>
        </w:rPr>
        <w:t>.1 操作手</w:t>
      </w:r>
      <w:r>
        <w:rPr>
          <w:rFonts w:hint="eastAsia" w:ascii="宋体" w:hAnsi="宋体" w:eastAsia="宋体" w:cs="宋体"/>
          <w:color w:val="auto"/>
          <w:sz w:val="24"/>
          <w:szCs w:val="28"/>
          <w:highlight w:val="none"/>
          <w:lang w:val="en-US" w:eastAsia="zh-CN"/>
        </w:rPr>
        <w:t>册。</w:t>
      </w:r>
    </w:p>
    <w:p w14:paraId="5DFAFFD5">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配套资源</w:t>
      </w:r>
    </w:p>
    <w:p w14:paraId="6DABAC6A">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在线学习系统（账号满足实际学生数量</w:t>
      </w:r>
      <w:r>
        <w:rPr>
          <w:rFonts w:hint="eastAsia" w:ascii="宋体" w:hAnsi="宋体" w:eastAsia="宋体" w:cs="宋体"/>
          <w:color w:val="auto"/>
          <w:sz w:val="24"/>
          <w:szCs w:val="28"/>
          <w:highlight w:val="none"/>
          <w:lang w:val="en-US" w:eastAsia="zh-CN"/>
        </w:rPr>
        <w:t>同时在线学习</w:t>
      </w:r>
      <w:r>
        <w:rPr>
          <w:rFonts w:hint="eastAsia" w:ascii="宋体" w:hAnsi="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00人次</w:t>
      </w:r>
      <w:r>
        <w:rPr>
          <w:rFonts w:hint="eastAsia" w:ascii="宋体" w:hAnsi="宋体" w:eastAsia="宋体" w:cs="宋体"/>
          <w:color w:val="auto"/>
          <w:sz w:val="24"/>
          <w:szCs w:val="28"/>
          <w:highlight w:val="none"/>
          <w:lang w:val="zh-CN"/>
        </w:rPr>
        <w:t>）</w:t>
      </w:r>
    </w:p>
    <w:p w14:paraId="42E877F0">
      <w:pPr>
        <w:shd w:val="clear" w:color="auto"/>
        <w:topLinePunct/>
        <w:spacing w:line="400" w:lineRule="exact"/>
        <w:jc w:val="left"/>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七</w:t>
      </w:r>
      <w:r>
        <w:rPr>
          <w:rFonts w:hint="eastAsia" w:ascii="宋体" w:hAnsi="宋体" w:eastAsia="宋体" w:cs="宋体"/>
          <w:b/>
          <w:bCs/>
          <w:color w:val="auto"/>
          <w:sz w:val="24"/>
          <w:szCs w:val="28"/>
          <w:highlight w:val="none"/>
          <w:lang w:val="zh-CN" w:eastAsia="zh-CN"/>
        </w:rPr>
        <w:t>）</w:t>
      </w:r>
      <w:r>
        <w:rPr>
          <w:rFonts w:hint="eastAsia" w:ascii="宋体" w:hAnsi="宋体" w:eastAsia="宋体" w:cs="宋体"/>
          <w:b/>
          <w:bCs/>
          <w:color w:val="auto"/>
          <w:sz w:val="24"/>
          <w:szCs w:val="28"/>
          <w:highlight w:val="none"/>
          <w:lang w:val="en-US" w:eastAsia="zh-CN"/>
        </w:rPr>
        <w:t>纺织AI设计系统</w:t>
      </w:r>
    </w:p>
    <w:p w14:paraId="10A5E7AE">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zh-CN"/>
        </w:rPr>
        <w:t>主要技术参数要求</w:t>
      </w:r>
    </w:p>
    <w:p w14:paraId="75E992F3">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1.1</w:t>
      </w:r>
      <w:r>
        <w:rPr>
          <w:rFonts w:hint="default" w:ascii="宋体" w:hAnsi="宋体" w:eastAsia="宋体" w:cs="宋体"/>
          <w:color w:val="auto"/>
          <w:sz w:val="24"/>
          <w:szCs w:val="28"/>
          <w:highlight w:val="none"/>
          <w:lang w:val="en-US" w:eastAsia="zh-CN"/>
        </w:rPr>
        <w:t>具备完整的纬编织物结构设计能力，可用于开发单双面多针道结构织物、单双面提花织物以及单面衬垫织物等多种纬编产品。应能够针对不同结构特点提供相应的设计环境，在统一软件平台上完成不同类型纬编产品的结构设计与工艺规划。</w:t>
      </w:r>
    </w:p>
    <w:p w14:paraId="6AEA0B67">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1.2</w:t>
      </w:r>
      <w:r>
        <w:rPr>
          <w:rFonts w:hint="default" w:ascii="宋体" w:hAnsi="宋体" w:eastAsia="宋体" w:cs="宋体"/>
          <w:color w:val="auto"/>
          <w:sz w:val="24"/>
          <w:szCs w:val="28"/>
          <w:highlight w:val="none"/>
          <w:lang w:val="en-US" w:eastAsia="zh-CN"/>
        </w:rPr>
        <w:t>需支持对织物结构参数及织造方式的灵活设置，满足多样化纬编产品的研发需求。</w:t>
      </w:r>
    </w:p>
    <w:p w14:paraId="2B5D8C8A">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w:t>
      </w:r>
      <w:r>
        <w:rPr>
          <w:rFonts w:hint="eastAsia" w:ascii="宋体" w:hAnsi="宋体" w:eastAsia="宋体" w:cs="宋体"/>
          <w:color w:val="auto"/>
          <w:sz w:val="24"/>
          <w:szCs w:val="28"/>
          <w:highlight w:val="none"/>
          <w:lang w:val="en-US" w:eastAsia="zh-CN"/>
        </w:rPr>
        <w:t>1.3</w:t>
      </w:r>
      <w:r>
        <w:rPr>
          <w:rFonts w:hint="default" w:ascii="宋体" w:hAnsi="宋体" w:eastAsia="宋体" w:cs="宋体"/>
          <w:color w:val="auto"/>
          <w:sz w:val="24"/>
          <w:szCs w:val="28"/>
          <w:highlight w:val="none"/>
          <w:lang w:val="en-US" w:eastAsia="zh-CN"/>
        </w:rPr>
        <w:t>提供完整的纬编工艺设计功能，支持三角排列图、织针排列图及工艺编织图的设计与编辑。三种工艺设计图之间应具有关联关系，</w:t>
      </w:r>
      <w:r>
        <w:rPr>
          <w:rFonts w:hint="eastAsia" w:ascii="宋体" w:hAnsi="宋体" w:cs="宋体"/>
          <w:color w:val="auto"/>
          <w:sz w:val="24"/>
          <w:szCs w:val="28"/>
          <w:highlight w:val="yellow"/>
          <w:lang w:val="en-US" w:eastAsia="zh-CN"/>
        </w:rPr>
        <w:t>能够进行转换</w:t>
      </w:r>
      <w:r>
        <w:rPr>
          <w:rFonts w:hint="default" w:ascii="宋体" w:hAnsi="宋体" w:eastAsia="宋体" w:cs="宋体"/>
          <w:color w:val="auto"/>
          <w:sz w:val="24"/>
          <w:szCs w:val="28"/>
          <w:highlight w:val="none"/>
          <w:lang w:val="en-US" w:eastAsia="zh-CN"/>
        </w:rPr>
        <w:t>。</w:t>
      </w:r>
    </w:p>
    <w:p w14:paraId="00E61ECB">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w:t>
      </w:r>
      <w:r>
        <w:rPr>
          <w:rFonts w:hint="eastAsia" w:ascii="宋体" w:hAnsi="宋体" w:eastAsia="宋体" w:cs="宋体"/>
          <w:color w:val="auto"/>
          <w:sz w:val="24"/>
          <w:szCs w:val="28"/>
          <w:highlight w:val="none"/>
          <w:lang w:val="en-US" w:eastAsia="zh-CN"/>
        </w:rPr>
        <w:t>1.4</w:t>
      </w:r>
      <w:r>
        <w:rPr>
          <w:rFonts w:hint="default" w:ascii="宋体" w:hAnsi="宋体" w:eastAsia="宋体" w:cs="宋体"/>
          <w:color w:val="auto"/>
          <w:sz w:val="24"/>
          <w:szCs w:val="28"/>
          <w:highlight w:val="none"/>
          <w:lang w:val="en-US" w:eastAsia="zh-CN"/>
        </w:rPr>
        <w:t>系统需支持在软件环境中直接进行花型图案绘制，同时也需支持导入符合针织设计规范的花型图案文件进行编辑与应用。设计人员应能根据织物结构需求对图案进行调整，使花型与织物组织结构实现合理匹配。</w:t>
      </w:r>
    </w:p>
    <w:p w14:paraId="47AB4365">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1.5</w:t>
      </w:r>
      <w:r>
        <w:rPr>
          <w:rFonts w:hint="default" w:ascii="宋体" w:hAnsi="宋体" w:eastAsia="宋体" w:cs="宋体"/>
          <w:color w:val="auto"/>
          <w:sz w:val="24"/>
          <w:szCs w:val="28"/>
          <w:highlight w:val="none"/>
          <w:lang w:val="en-US" w:eastAsia="zh-CN"/>
        </w:rPr>
        <w:t>提供原料信息编辑功能，用户可根据实际生产需求对纱线原料进行参数设置，包括纱线粗细、颜色属性及原料名称（品名）等信息。应支持通过对纱线参数的设置，在设计阶段对织物外观及结构效果进行准确描述，为后续织物仿真及工艺设计提供基础数据支持。</w:t>
      </w:r>
    </w:p>
    <w:p w14:paraId="56DE2665">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w:t>
      </w:r>
      <w:r>
        <w:rPr>
          <w:rFonts w:hint="eastAsia" w:ascii="宋体" w:hAnsi="宋体" w:eastAsia="宋体" w:cs="宋体"/>
          <w:color w:val="auto"/>
          <w:sz w:val="24"/>
          <w:szCs w:val="28"/>
          <w:highlight w:val="none"/>
          <w:lang w:val="en-US" w:eastAsia="zh-CN"/>
        </w:rPr>
        <w:t>1.6</w:t>
      </w:r>
      <w:r>
        <w:rPr>
          <w:rFonts w:hint="default" w:ascii="宋体" w:hAnsi="宋体" w:eastAsia="宋体" w:cs="宋体"/>
          <w:color w:val="auto"/>
          <w:sz w:val="24"/>
          <w:szCs w:val="28"/>
          <w:highlight w:val="none"/>
          <w:lang w:val="en-US" w:eastAsia="zh-CN"/>
        </w:rPr>
        <w:t>具备织物模拟功能，可根据已完成的织物结构设计及原料参数，对纬编织物的外观效果进行模拟展示。支持通过模拟结果使设计人员直观观察织物结构特征及花型效果。</w:t>
      </w:r>
    </w:p>
    <w:p w14:paraId="6BE97195">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1.7</w:t>
      </w:r>
      <w:r>
        <w:rPr>
          <w:rFonts w:hint="default" w:ascii="宋体" w:hAnsi="宋体" w:eastAsia="宋体" w:cs="宋体"/>
          <w:color w:val="auto"/>
          <w:sz w:val="24"/>
          <w:szCs w:val="28"/>
          <w:highlight w:val="none"/>
          <w:lang w:val="en-US" w:eastAsia="zh-CN"/>
        </w:rPr>
        <w:t>支持编织动画，通过逐个线圈生成方式动态模拟编织过程，用于设计验证及教学演示</w:t>
      </w:r>
      <w:r>
        <w:rPr>
          <w:rFonts w:hint="eastAsia" w:ascii="宋体" w:hAnsi="宋体" w:eastAsia="宋体" w:cs="宋体"/>
          <w:color w:val="auto"/>
          <w:sz w:val="24"/>
          <w:szCs w:val="28"/>
          <w:highlight w:val="none"/>
          <w:lang w:val="en-US" w:eastAsia="zh-CN"/>
        </w:rPr>
        <w:t>。</w:t>
      </w:r>
    </w:p>
    <w:p w14:paraId="58D91AF4">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lang w:val="zh-CN"/>
        </w:rPr>
        <w:t>装置主体参数要求</w:t>
      </w:r>
    </w:p>
    <w:p w14:paraId="4235AB05">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2.1</w:t>
      </w:r>
      <w:r>
        <w:rPr>
          <w:rFonts w:hint="default" w:ascii="宋体" w:hAnsi="宋体" w:eastAsia="宋体" w:cs="宋体"/>
          <w:color w:val="auto"/>
          <w:sz w:val="24"/>
          <w:szCs w:val="28"/>
          <w:highlight w:val="none"/>
          <w:lang w:val="en-US" w:eastAsia="zh-CN"/>
        </w:rPr>
        <w:t>支持网络化部署与多终端使用，可在局域网环境下实现多用户同时访问与使用。满足多用户同时进行织物设计、工艺编辑及数据查看等操作需求。系统需通过统一的许可管理机制进行用户数量控制，保证系统运行稳定</w:t>
      </w:r>
      <w:r>
        <w:rPr>
          <w:rFonts w:hint="eastAsia" w:ascii="宋体" w:hAnsi="宋体" w:eastAsia="宋体" w:cs="宋体"/>
          <w:color w:val="auto"/>
          <w:sz w:val="24"/>
          <w:szCs w:val="28"/>
          <w:highlight w:val="none"/>
          <w:lang w:val="en-US" w:eastAsia="zh-CN"/>
        </w:rPr>
        <w:t>。</w:t>
      </w:r>
    </w:p>
    <w:p w14:paraId="1C2AE545">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2.2</w:t>
      </w:r>
      <w:r>
        <w:rPr>
          <w:rFonts w:hint="default" w:ascii="宋体" w:hAnsi="宋体" w:eastAsia="宋体" w:cs="宋体"/>
          <w:color w:val="auto"/>
          <w:sz w:val="24"/>
          <w:szCs w:val="28"/>
          <w:highlight w:val="none"/>
          <w:lang w:val="en-US" w:eastAsia="zh-CN"/>
        </w:rPr>
        <w:t>花型图案参数：系统具备专业的花型图案设计功能，支持图案绘制、编辑、复制、循环及颜色管理等操作。</w:t>
      </w:r>
    </w:p>
    <w:p w14:paraId="1586D842">
      <w:pPr>
        <w:shd w:val="clear" w:color="auto"/>
        <w:topLinePunct/>
        <w:spacing w:line="400" w:lineRule="exact"/>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3.配置要求</w:t>
      </w:r>
    </w:p>
    <w:p w14:paraId="3A95B0C1">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3.1 操作手册</w:t>
      </w:r>
    </w:p>
    <w:p w14:paraId="36607B62">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3.2</w:t>
      </w:r>
      <w:r>
        <w:rPr>
          <w:rFonts w:hint="default" w:ascii="宋体" w:hAnsi="宋体" w:eastAsia="宋体" w:cs="宋体"/>
          <w:color w:val="auto"/>
          <w:sz w:val="24"/>
          <w:szCs w:val="28"/>
          <w:highlight w:val="none"/>
          <w:lang w:val="en-US" w:eastAsia="zh-CN"/>
        </w:rPr>
        <w:t>培训1周</w:t>
      </w:r>
    </w:p>
    <w:p w14:paraId="2B515438">
      <w:pPr>
        <w:shd w:val="clear" w:color="auto"/>
        <w:topLinePunct/>
        <w:spacing w:line="400" w:lineRule="exact"/>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配套资源</w:t>
      </w:r>
    </w:p>
    <w:p w14:paraId="37D505A6">
      <w:pPr>
        <w:shd w:val="clear" w:color="auto"/>
        <w:topLinePunct/>
        <w:spacing w:line="400" w:lineRule="exact"/>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在线学习系统（账号满足实际学生数量</w:t>
      </w:r>
      <w:r>
        <w:rPr>
          <w:rFonts w:hint="eastAsia" w:ascii="宋体" w:hAnsi="宋体" w:eastAsia="宋体" w:cs="宋体"/>
          <w:color w:val="auto"/>
          <w:sz w:val="24"/>
          <w:szCs w:val="28"/>
          <w:highlight w:val="none"/>
          <w:lang w:val="en-US" w:eastAsia="zh-CN"/>
        </w:rPr>
        <w:t>同时在线学习</w:t>
      </w:r>
      <w:r>
        <w:rPr>
          <w:rFonts w:hint="eastAsia" w:ascii="宋体" w:hAnsi="宋体" w:eastAsia="宋体" w:cs="宋体"/>
          <w:color w:val="auto"/>
          <w:sz w:val="24"/>
          <w:szCs w:val="28"/>
          <w:highlight w:val="yellow"/>
          <w:lang w:val="en-US" w:eastAsia="zh-CN"/>
        </w:rPr>
        <w:t>100</w:t>
      </w:r>
      <w:r>
        <w:rPr>
          <w:rFonts w:hint="eastAsia" w:ascii="宋体" w:hAnsi="宋体" w:eastAsia="宋体" w:cs="宋体"/>
          <w:color w:val="auto"/>
          <w:sz w:val="24"/>
          <w:szCs w:val="28"/>
          <w:highlight w:val="none"/>
          <w:lang w:val="en-US" w:eastAsia="zh-CN"/>
        </w:rPr>
        <w:t>人次</w:t>
      </w:r>
      <w:r>
        <w:rPr>
          <w:rFonts w:hint="eastAsia" w:ascii="宋体" w:hAnsi="宋体" w:eastAsia="宋体" w:cs="宋体"/>
          <w:color w:val="auto"/>
          <w:sz w:val="24"/>
          <w:szCs w:val="28"/>
          <w:highlight w:val="none"/>
          <w:lang w:val="zh-CN"/>
        </w:rPr>
        <w:t>）</w:t>
      </w:r>
    </w:p>
    <w:p w14:paraId="64AEF285">
      <w:pPr>
        <w:shd w:val="clear" w:color="auto"/>
        <w:topLinePunct/>
        <w:spacing w:line="400" w:lineRule="exact"/>
        <w:jc w:val="left"/>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（八）涤/棉染整加工虚拟仿真</w:t>
      </w:r>
    </w:p>
    <w:p w14:paraId="60FECC08">
      <w:pPr>
        <w:shd w:val="clear" w:color="auto"/>
        <w:topLinePunct/>
        <w:spacing w:line="400" w:lineRule="exact"/>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1.主要技术参数要求</w:t>
      </w:r>
    </w:p>
    <w:p w14:paraId="00C44447">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1.1</w:t>
      </w:r>
      <w:r>
        <w:rPr>
          <w:rFonts w:hint="eastAsia" w:ascii="宋体" w:hAnsi="宋体" w:eastAsia="宋体" w:cs="宋体"/>
          <w:color w:val="auto"/>
          <w:sz w:val="24"/>
          <w:szCs w:val="28"/>
          <w:highlight w:val="none"/>
          <w:lang w:val="en-US" w:eastAsia="zh-CN"/>
        </w:rPr>
        <w:t>本系统是针对涤/棉混纺染整相关实验课程配套开发的可在网上开展的虚拟实验，系统模拟真实企业生产中用到的工艺和设备，提供与真实企业相似的生产环境。</w:t>
      </w:r>
    </w:p>
    <w:p w14:paraId="76F9B382">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w:t>
      </w:r>
      <w:r>
        <w:rPr>
          <w:rFonts w:hint="default" w:ascii="宋体" w:hAnsi="宋体" w:eastAsia="宋体" w:cs="宋体"/>
          <w:color w:val="auto"/>
          <w:sz w:val="24"/>
          <w:szCs w:val="28"/>
          <w:highlight w:val="none"/>
          <w:lang w:val="en-US" w:eastAsia="zh-CN"/>
        </w:rPr>
        <w:t>1.2</w:t>
      </w:r>
      <w:r>
        <w:rPr>
          <w:rFonts w:hint="eastAsia" w:ascii="宋体" w:hAnsi="宋体" w:eastAsia="宋体" w:cs="宋体"/>
          <w:color w:val="auto"/>
          <w:sz w:val="24"/>
          <w:szCs w:val="28"/>
          <w:highlight w:val="none"/>
          <w:lang w:val="en-US" w:eastAsia="zh-CN"/>
        </w:rPr>
        <w:t>系统需完整模拟涤/棉混纺染整全流程，烧毛、退煮漂、预定型、丝光、染色、印花、后整理、质检包装还原八大核心工艺相关仪器设备，系统按照实际工厂布局，设置坯布仓库、前处理车间、染色车间、印花车间、后整合车间、成品检验包装车间、成品仓库。提供完善的设备认知功能，所有核心设备点击后有详细介绍，其介绍包含结构、用途、操作原理。</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3系统需提供两种操作模式：一是练习模式，含操作指引、评分功能、错误提示，二是考核模式，需具有屏蔽提示功能，仅保留评分及操作记录，以满足不同教学场景需求。</w:t>
      </w:r>
    </w:p>
    <w:p w14:paraId="439405C6">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4系统需提供设备拆装认知功能，内置烧毛机、退煮漂联合机、热定型机、高温高压溢流染色机、连续轧染联合机、圆网印花机、蒸化机、树脂整理机八大主要设备的三维模型爆炸合并动画，支持各部件单独查看、拆装练习，同步展示设备运行三维动画及透视运行三维动画，可通过知识点界面按钮或流程步骤弹窗调用。</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5系统需提供厂区漫游功能，支持用户通过键盘鼠标自由漫游或小地图跳转，可进入任意车间练习，领取任务单，进入车间前需完成安全操作考核（防护装备选择、安全设施排查）。</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6系统需支持各核心工艺完整的设备操作、参数设置及问题处理功能，支撑输入核心参数，操作错误时触发对应的问题场景及处理流程，同步记录操作轨迹。</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7系统需提供安全设施排查及理论考核功能，设置厂区安全设施缺失排查场景，配套安全设施使用规范理论考核题（单选+多选），考核通过率与实验总评分挂钩。</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8系统需内置小地图功能，可实时显示用户当前位置，查看车间列表，支持精确搜索位置并快速跳转，提升操作便捷性。</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9系统需提供设备操作功能，系统需支持工艺参数由学生自主输入数字，且系统可基于输入数字运行设备，基于输入参数不同最终可呈现不同的处理结果，同时系统基于效果进行评分，烧毛机、预定型机、丝光机、</w:t>
      </w:r>
      <w:r>
        <w:rPr>
          <w:rFonts w:hint="default" w:ascii="宋体" w:hAnsi="宋体" w:eastAsia="宋体" w:cs="宋体"/>
          <w:color w:val="auto"/>
          <w:sz w:val="24"/>
          <w:szCs w:val="28"/>
          <w:highlight w:val="none"/>
          <w:lang w:val="en-US" w:eastAsia="zh-CN"/>
        </w:rPr>
        <w:t>高温高压溢流染色机</w:t>
      </w:r>
      <w:r>
        <w:rPr>
          <w:rFonts w:hint="eastAsia" w:ascii="宋体" w:hAnsi="宋体" w:eastAsia="宋体" w:cs="宋体"/>
          <w:color w:val="auto"/>
          <w:sz w:val="24"/>
          <w:szCs w:val="28"/>
          <w:highlight w:val="none"/>
          <w:lang w:val="en-US" w:eastAsia="zh-CN"/>
        </w:rPr>
        <w:t>、连续轧染联合机、圆网印花机、蒸化机均能实现以上效果，烧毛机支持展示烧毛效果（烧毛等级、织物绒毛）、预定型机支持展示定型效果（温度过高织物是否泛黄）、丝光机支持展示丝光效果（给出棉纤维截面及纵向形状图片和丝光钡值）。</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10系统需提供染色车间设备操作功能，支持展示高温高压溢流染色机、连续轧染联合机等设备的核心操作功能，</w:t>
      </w:r>
      <w:r>
        <w:rPr>
          <w:rFonts w:hint="default" w:ascii="宋体" w:hAnsi="宋体" w:eastAsia="宋体" w:cs="宋体"/>
          <w:color w:val="auto"/>
          <w:sz w:val="24"/>
          <w:szCs w:val="28"/>
          <w:highlight w:val="none"/>
          <w:lang w:val="en-US" w:eastAsia="zh-CN"/>
        </w:rPr>
        <w:t>高温高压溢流染色机</w:t>
      </w:r>
      <w:r>
        <w:rPr>
          <w:rFonts w:hint="eastAsia" w:ascii="宋体" w:hAnsi="宋体" w:eastAsia="宋体" w:cs="宋体"/>
          <w:color w:val="auto"/>
          <w:sz w:val="24"/>
          <w:szCs w:val="28"/>
          <w:highlight w:val="none"/>
          <w:lang w:val="en-US" w:eastAsia="zh-CN"/>
        </w:rPr>
        <w:t>与连续轧染联合机支持展示布面染料颜色图片，颜色深浅、是否均匀等染色效果。</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11系统需提供印花车间设备操作功能，支持展示圆网印花机、蒸化机、水洗机等设备的核心操作功能，圆网印花机支持展示渗化造成边缘模糊和花型缺失等现象印花效果、蒸化机支持展示蒸化出现渗化造成边缘模糊等现象。</w:t>
      </w:r>
      <w:r>
        <w:rPr>
          <w:rFonts w:hint="eastAsia"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▲1.12系统需提供后整理车间设备操作功能，支持展示树脂整理机、预缩机、拉幅机等设备的</w:t>
      </w:r>
      <w:r>
        <w:rPr>
          <w:rFonts w:hint="default" w:ascii="宋体" w:hAnsi="宋体" w:eastAsia="宋体" w:cs="宋体"/>
          <w:color w:val="auto"/>
          <w:sz w:val="24"/>
          <w:szCs w:val="28"/>
          <w:highlight w:val="none"/>
          <w:lang w:val="en-US" w:eastAsia="zh-CN"/>
        </w:rPr>
        <w:t>核心操作功能。</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1.13系统需提供成品检验包装区设备操作功能，支持展示验布量布机、包装系统等设备的核心操作功能。</w:t>
      </w:r>
      <w:r>
        <w:rPr>
          <w:rFonts w:hint="default" w:ascii="宋体" w:hAnsi="宋体" w:eastAsia="宋体" w:cs="宋体"/>
          <w:color w:val="auto"/>
          <w:sz w:val="24"/>
          <w:szCs w:val="28"/>
          <w:highlight w:val="none"/>
          <w:lang w:val="en-US" w:eastAsia="zh-CN"/>
        </w:rPr>
        <w:br w:type="textWrapping"/>
      </w:r>
      <w:r>
        <w:rPr>
          <w:rFonts w:hint="default" w:ascii="宋体" w:hAnsi="宋体" w:eastAsia="宋体" w:cs="宋体"/>
          <w:color w:val="auto"/>
          <w:sz w:val="24"/>
          <w:szCs w:val="28"/>
          <w:highlight w:val="none"/>
          <w:lang w:val="en-US" w:eastAsia="zh-CN"/>
        </w:rPr>
        <w:t>2.装置主体参数要求</w:t>
      </w:r>
    </w:p>
    <w:p w14:paraId="66BBBB56">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w:t>
      </w:r>
      <w:r>
        <w:rPr>
          <w:rFonts w:hint="default" w:ascii="宋体" w:hAnsi="宋体" w:eastAsia="宋体" w:cs="宋体"/>
          <w:color w:val="auto"/>
          <w:sz w:val="24"/>
          <w:szCs w:val="28"/>
          <w:highlight w:val="none"/>
          <w:lang w:val="en-US" w:eastAsia="zh-CN"/>
        </w:rPr>
        <w:t>2.1系统采用B/S系统架构，满足校园网、互联网远程开放实验教学需要。支持Windows 7及以上操作系统。</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2.2采用分步骤展示实验操作过程，支持视角任意角度的旋转、移动、缩放操作。</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2.3通过键盘+鼠标的方式来进行操作，较好的体现实验资源教学过程中的人机交互功能。</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2.4模型制作要求</w:t>
      </w:r>
      <w:r>
        <w:rPr>
          <w:rFonts w:hint="default" w:ascii="宋体" w:hAnsi="宋体" w:eastAsia="宋体" w:cs="宋体"/>
          <w:color w:val="auto"/>
          <w:sz w:val="24"/>
          <w:szCs w:val="28"/>
          <w:highlight w:val="none"/>
          <w:lang w:val="en-US" w:eastAsia="zh-CN"/>
        </w:rPr>
        <w:br w:type="textWrapping"/>
      </w:r>
      <w:r>
        <w:rPr>
          <w:rFonts w:hint="default" w:ascii="宋体" w:hAnsi="宋体" w:eastAsia="宋体" w:cs="宋体"/>
          <w:color w:val="auto"/>
          <w:sz w:val="24"/>
          <w:szCs w:val="28"/>
          <w:highlight w:val="none"/>
          <w:lang w:val="en-US" w:eastAsia="zh-CN"/>
        </w:rPr>
        <w:t>系统中模型、材质、纹理等文件规范命名及分层、分类管理</w:t>
      </w:r>
      <w:r>
        <w:rPr>
          <w:rFonts w:hint="eastAsia" w:ascii="宋体" w:hAnsi="宋体" w:cs="宋体"/>
          <w:color w:val="auto"/>
          <w:sz w:val="24"/>
          <w:szCs w:val="28"/>
          <w:highlight w:val="none"/>
          <w:lang w:val="en-US" w:eastAsia="zh-CN"/>
        </w:rPr>
        <w:t>，</w:t>
      </w:r>
      <w:r>
        <w:rPr>
          <w:rFonts w:hint="default" w:ascii="宋体" w:hAnsi="宋体" w:eastAsia="宋体" w:cs="宋体"/>
          <w:color w:val="auto"/>
          <w:sz w:val="24"/>
          <w:szCs w:val="28"/>
          <w:highlight w:val="none"/>
          <w:lang w:val="en-US" w:eastAsia="zh-CN"/>
        </w:rPr>
        <w:t>不能重名，易于识别，模型格式至少是.fbx或.3ds；均为3D效果，构建与真实物种1:1比例非拟人化、非漫画形象，仿真度高；单个max文件里如有多个物体，需将多个物体打组（单个物体无需打组），静态辅助物体需要结组成一个物体；材质球命名与物体名称一致，材质球的ID号和物体的ID号必须一致；模型制作既要保证逼真的质量又要控制好三角面的数量，单个模型的面数控制5000三角面以内，不能有多余面；模型的中心点在模型的中心位置。</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2.5贴图材质要求</w:t>
      </w:r>
      <w:r>
        <w:rPr>
          <w:rFonts w:hint="default" w:ascii="宋体" w:hAnsi="宋体" w:eastAsia="宋体" w:cs="宋体"/>
          <w:color w:val="auto"/>
          <w:sz w:val="24"/>
          <w:szCs w:val="28"/>
          <w:highlight w:val="none"/>
          <w:lang w:val="en-US" w:eastAsia="zh-CN"/>
        </w:rPr>
        <w:br w:type="textWrapping"/>
      </w:r>
      <w:r>
        <w:rPr>
          <w:rFonts w:hint="default" w:ascii="宋体" w:hAnsi="宋体" w:eastAsia="宋体" w:cs="宋体"/>
          <w:color w:val="auto"/>
          <w:sz w:val="24"/>
          <w:szCs w:val="28"/>
          <w:highlight w:val="none"/>
          <w:lang w:val="en-US" w:eastAsia="zh-CN"/>
        </w:rPr>
        <w:t>模型要进行烘焙处理，以生成带有纹理、阴影、高光、反射等效果的贴图；所有模型采用实物贴图，并做优化处理，要色彩协调，明暗和冷暖统一，贴图格式为.jpg/.png/.tif/.tga，进行法线贴图处理来达到最佳的视觉效果；一个物件给一张贴图，纹理贴图不要放在凹凸通道里，一张贴图要占满整个画布，不能出现浪费贴图空间的情况，场景中连续贴图不能看到有明显的缝隙；UV展开要均匀舒展，避免拉伸，最大化提高UV的利用率；材质大小长宽像素为2的次方倍数，贴图大小最大不超过2048*2048；同种贴图必须使用一个材质球。</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2.6场景要求</w:t>
      </w:r>
      <w:r>
        <w:rPr>
          <w:rFonts w:hint="default" w:ascii="宋体" w:hAnsi="宋体" w:eastAsia="宋体" w:cs="宋体"/>
          <w:color w:val="auto"/>
          <w:sz w:val="24"/>
          <w:szCs w:val="28"/>
          <w:highlight w:val="none"/>
          <w:lang w:val="en-US" w:eastAsia="zh-CN"/>
        </w:rPr>
        <w:br w:type="textWrapping"/>
      </w:r>
      <w:r>
        <w:rPr>
          <w:rFonts w:hint="default" w:ascii="宋体" w:hAnsi="宋体" w:eastAsia="宋体" w:cs="宋体"/>
          <w:color w:val="auto"/>
          <w:sz w:val="24"/>
          <w:szCs w:val="28"/>
          <w:highlight w:val="none"/>
          <w:lang w:val="en-US" w:eastAsia="zh-CN"/>
        </w:rPr>
        <w:t>场景制作：1:1实物大小显示，可对场景模型进行实时顶点优化和动态加载LOD设置调整，根据视觉效果调整优化比例，减少数据量，提高运行效率，帧速率25帧以上。</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场景布置：基本物件在制作过程中严禁有缩放，有旋转的物体应保留旋转信息，不要镜像物体。</w:t>
      </w:r>
      <w:r>
        <w:rPr>
          <w:rFonts w:hint="default" w:ascii="宋体" w:hAnsi="宋体" w:eastAsia="宋体" w:cs="宋体"/>
          <w:color w:val="auto"/>
          <w:sz w:val="24"/>
          <w:szCs w:val="28"/>
          <w:highlight w:val="none"/>
          <w:lang w:val="en-US" w:eastAsia="zh-CN"/>
        </w:rPr>
        <w:br w:type="textWrapping"/>
      </w:r>
      <w:r>
        <w:rPr>
          <w:rFonts w:hint="default" w:ascii="宋体" w:hAnsi="宋体" w:eastAsia="宋体" w:cs="宋体"/>
          <w:color w:val="auto"/>
          <w:sz w:val="24"/>
          <w:szCs w:val="28"/>
          <w:highlight w:val="none"/>
          <w:lang w:val="en-US" w:eastAsia="zh-CN"/>
        </w:rPr>
        <w:t>整体场景及效果：紧紧围绕现实中的真实环境进行场景建设，真实的反应环境、设施状态，主相机内视野场景由近到远有自然过渡的效果。</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2.7系统内嵌提醒帮助机制，设制文本提示框等信息。</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2.8系统需采用主流虚拟引擎工具制作，如Unity3d等，支持B/S结构网络技术，兼容TCP/IP协议，支持网络实时渲染。</w:t>
      </w:r>
      <w:r>
        <w:rPr>
          <w:rFonts w:hint="default" w:ascii="宋体" w:hAnsi="宋体" w:eastAsia="宋体" w:cs="宋体"/>
          <w:color w:val="auto"/>
          <w:sz w:val="24"/>
          <w:szCs w:val="28"/>
          <w:highlight w:val="none"/>
          <w:lang w:val="en-US" w:eastAsia="zh-CN"/>
        </w:rPr>
        <w:br w:type="textWrapping"/>
      </w:r>
      <w:r>
        <w:rPr>
          <w:rFonts w:hint="eastAsia" w:ascii="宋体" w:hAnsi="宋体" w:eastAsia="宋体" w:cs="宋体"/>
          <w:color w:val="auto"/>
          <w:sz w:val="24"/>
          <w:szCs w:val="28"/>
          <w:highlight w:val="none"/>
          <w:lang w:val="en-US" w:eastAsia="zh-CN"/>
        </w:rPr>
        <w:t xml:space="preserve">    </w:t>
      </w:r>
      <w:r>
        <w:rPr>
          <w:rFonts w:hint="default" w:ascii="宋体" w:hAnsi="宋体" w:eastAsia="宋体" w:cs="宋体"/>
          <w:color w:val="auto"/>
          <w:sz w:val="24"/>
          <w:szCs w:val="28"/>
          <w:highlight w:val="none"/>
          <w:lang w:val="en-US" w:eastAsia="zh-CN"/>
        </w:rPr>
        <w:t>2.9提供第一人称控制方式，采用键盘、鼠标来控制，移动、旋转要符合逻辑且运行流畅。</w:t>
      </w:r>
    </w:p>
    <w:p w14:paraId="74BA6CBB">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2.10系统提供评分功能，内置标准化考评点，覆盖安全操作、设备操作、参数设置、问题处理等全环节，支持评分结果导出，可按车间、工艺模块拆分评分明细。</w:t>
      </w:r>
    </w:p>
    <w:p w14:paraId="179FF1C8">
      <w:pPr>
        <w:shd w:val="clear" w:color="auto"/>
        <w:topLinePunct/>
        <w:spacing w:line="400" w:lineRule="exact"/>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3.配置要求</w:t>
      </w:r>
    </w:p>
    <w:p w14:paraId="5BCEF15F">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3.1 操作手册</w:t>
      </w:r>
    </w:p>
    <w:p w14:paraId="579B41DB">
      <w:pPr>
        <w:shd w:val="clear" w:color="auto"/>
        <w:topLinePunct/>
        <w:spacing w:line="400" w:lineRule="exact"/>
        <w:ind w:firstLine="480" w:firstLineChars="200"/>
        <w:jc w:val="left"/>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3.2培训1周</w:t>
      </w:r>
    </w:p>
    <w:p w14:paraId="65738EBD">
      <w:pPr>
        <w:shd w:val="clear" w:color="auto"/>
        <w:topLinePunct/>
        <w:spacing w:line="400" w:lineRule="exact"/>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4.配套资源</w:t>
      </w:r>
    </w:p>
    <w:p w14:paraId="75C7A2BC">
      <w:pPr>
        <w:shd w:val="clear" w:color="auto"/>
        <w:topLinePunct/>
        <w:spacing w:line="400" w:lineRule="exact"/>
        <w:ind w:firstLine="480" w:firstLineChars="200"/>
        <w:jc w:val="left"/>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在线学习系统（账号满足实际学生数量同时在线学习</w:t>
      </w:r>
      <w:r>
        <w:rPr>
          <w:rFonts w:hint="eastAsia" w:ascii="宋体" w:hAnsi="宋体" w:cs="宋体"/>
          <w:color w:val="auto"/>
          <w:sz w:val="24"/>
          <w:szCs w:val="28"/>
          <w:highlight w:val="none"/>
          <w:lang w:val="en-US" w:eastAsia="zh-CN"/>
        </w:rPr>
        <w:t>1</w:t>
      </w:r>
      <w:r>
        <w:rPr>
          <w:rFonts w:hint="eastAsia" w:ascii="宋体" w:hAnsi="宋体" w:eastAsia="宋体" w:cs="宋体"/>
          <w:color w:val="auto"/>
          <w:sz w:val="24"/>
          <w:szCs w:val="28"/>
          <w:highlight w:val="none"/>
          <w:lang w:val="en-US" w:eastAsia="zh-CN"/>
        </w:rPr>
        <w:t>00人次）</w:t>
      </w:r>
    </w:p>
    <w:p w14:paraId="5CF664A7">
      <w:pPr>
        <w:pStyle w:val="15"/>
        <w:shd w:val="clear"/>
        <w:ind w:left="0" w:leftChars="0" w:firstLine="0" w:firstLineChars="0"/>
        <w:rPr>
          <w:rFonts w:hint="eastAsia"/>
          <w:lang w:val="zh-CN"/>
        </w:rPr>
      </w:pPr>
    </w:p>
    <w:p w14:paraId="62BADAB5">
      <w:pPr>
        <w:pStyle w:val="34"/>
        <w:numPr>
          <w:ilvl w:val="0"/>
          <w:numId w:val="0"/>
        </w:numPr>
        <w:shd w:val="clear"/>
        <w:tabs>
          <w:tab w:val="left" w:pos="216"/>
        </w:tabs>
        <w:ind w:leftChars="214"/>
        <w:rPr>
          <w:rFonts w:hint="default" w:asciiTheme="minorEastAsia" w:hAnsiTheme="minorEastAsia" w:eastAsiaTheme="minorEastAsia" w:cstheme="minorEastAsia"/>
          <w:color w:val="auto"/>
          <w:sz w:val="24"/>
          <w:szCs w:val="24"/>
          <w:lang w:val="en-US" w:eastAsia="zh-CN"/>
        </w:rPr>
      </w:pPr>
    </w:p>
    <w:p w14:paraId="4BD1F16C">
      <w:pPr>
        <w:shd w:val="clear"/>
        <w:spacing w:line="360" w:lineRule="auto"/>
        <w:jc w:val="left"/>
        <w:rPr>
          <w:rFonts w:hint="eastAsia" w:ascii="宋体" w:hAnsi="宋体" w:eastAsia="宋体" w:cs="宋体"/>
          <w:b/>
          <w:bCs/>
          <w:color w:val="auto"/>
          <w:sz w:val="24"/>
          <w:szCs w:val="24"/>
          <w:highlight w:val="none"/>
        </w:rPr>
      </w:pPr>
    </w:p>
    <w:p w14:paraId="76E51E4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sectPr>
          <w:pgSz w:w="11906" w:h="16838"/>
          <w:pgMar w:top="1440" w:right="1800" w:bottom="1440" w:left="1800" w:header="851" w:footer="992" w:gutter="0"/>
          <w:cols w:space="720" w:num="1"/>
          <w:docGrid w:type="lines" w:linePitch="312" w:charSpace="0"/>
        </w:sectPr>
      </w:pPr>
    </w:p>
    <w:bookmarkEnd w:id="147"/>
    <w:bookmarkEnd w:id="148"/>
    <w:bookmarkEnd w:id="150"/>
    <w:p w14:paraId="033FE22C">
      <w:pPr>
        <w:pStyle w:val="161"/>
        <w:keepNext w:val="0"/>
        <w:keepLines w:val="0"/>
        <w:pageBreakBefore/>
        <w:widowControl w:val="0"/>
        <w:shd w:val="clear" w:color="auto"/>
        <w:kinsoku/>
        <w:wordWrap/>
        <w:overflowPunct/>
        <w:topLinePunct w:val="0"/>
        <w:autoSpaceDE/>
        <w:autoSpaceDN/>
        <w:bidi w:val="0"/>
        <w:adjustRightInd/>
        <w:snapToGrid/>
        <w:spacing w:line="360" w:lineRule="auto"/>
        <w:jc w:val="center"/>
        <w:textAlignment w:val="auto"/>
        <w:rPr>
          <w:rFonts w:hint="eastAsia" w:hAnsi="宋体" w:cs="宋体"/>
          <w:b/>
          <w:color w:val="auto"/>
          <w:sz w:val="32"/>
          <w:szCs w:val="32"/>
          <w:highlight w:val="none"/>
        </w:rPr>
      </w:pPr>
      <w:bookmarkStart w:id="154" w:name="_Toc11436_WPSOffice_Level1"/>
      <w:r>
        <w:rPr>
          <w:rFonts w:hint="eastAsia" w:hAnsi="宋体" w:cs="宋体"/>
          <w:b/>
          <w:color w:val="auto"/>
          <w:sz w:val="32"/>
          <w:szCs w:val="32"/>
          <w:highlight w:val="none"/>
        </w:rPr>
        <w:t>第七章  合同格式及合同条款</w:t>
      </w:r>
    </w:p>
    <w:bookmarkEnd w:id="154"/>
    <w:p w14:paraId="09F5FA07">
      <w:pPr>
        <w:pStyle w:val="15"/>
        <w:shd w:val="clear"/>
        <w:spacing w:after="0"/>
        <w:jc w:val="center"/>
        <w:rPr>
          <w:rFonts w:ascii="宋体" w:hAnsi="宋体" w:cs="宋体"/>
          <w:b/>
          <w:bCs/>
          <w:color w:val="auto"/>
          <w:spacing w:val="-20"/>
          <w:kern w:val="44"/>
          <w:sz w:val="48"/>
          <w:szCs w:val="48"/>
          <w:highlight w:val="none"/>
        </w:rPr>
      </w:pPr>
      <w:bookmarkStart w:id="155" w:name="_Toc3995"/>
    </w:p>
    <w:p w14:paraId="75045F5B">
      <w:pPr>
        <w:pStyle w:val="15"/>
        <w:shd w:val="clear"/>
        <w:spacing w:after="0"/>
        <w:jc w:val="center"/>
        <w:rPr>
          <w:rFonts w:ascii="宋体" w:hAnsi="宋体" w:cs="宋体"/>
          <w:b/>
          <w:bCs/>
          <w:color w:val="auto"/>
          <w:spacing w:val="-20"/>
          <w:kern w:val="44"/>
          <w:sz w:val="48"/>
          <w:szCs w:val="48"/>
          <w:highlight w:val="none"/>
        </w:rPr>
      </w:pPr>
    </w:p>
    <w:p w14:paraId="0D5B3680">
      <w:pPr>
        <w:pStyle w:val="15"/>
        <w:shd w:val="clear"/>
        <w:spacing w:after="0"/>
        <w:jc w:val="center"/>
        <w:rPr>
          <w:rFonts w:ascii="宋体" w:hAnsi="宋体" w:cs="宋体"/>
          <w:b/>
          <w:bCs/>
          <w:color w:val="auto"/>
          <w:spacing w:val="-20"/>
          <w:kern w:val="44"/>
          <w:sz w:val="48"/>
          <w:szCs w:val="48"/>
          <w:highlight w:val="none"/>
        </w:rPr>
      </w:pPr>
    </w:p>
    <w:p w14:paraId="7713D934">
      <w:pPr>
        <w:pStyle w:val="15"/>
        <w:shd w:val="clear"/>
        <w:spacing w:after="0"/>
        <w:jc w:val="center"/>
        <w:rPr>
          <w:rFonts w:ascii="宋体" w:hAnsi="宋体" w:cs="宋体"/>
          <w:b/>
          <w:bCs/>
          <w:color w:val="auto"/>
          <w:spacing w:val="-20"/>
          <w:kern w:val="44"/>
          <w:sz w:val="48"/>
          <w:szCs w:val="48"/>
          <w:highlight w:val="none"/>
        </w:rPr>
      </w:pPr>
    </w:p>
    <w:p w14:paraId="26557EF3">
      <w:pPr>
        <w:pStyle w:val="15"/>
        <w:shd w:val="clear"/>
        <w:spacing w:after="0"/>
        <w:jc w:val="center"/>
        <w:rPr>
          <w:rFonts w:ascii="宋体" w:hAnsi="宋体" w:cs="宋体"/>
          <w:b/>
          <w:bCs/>
          <w:color w:val="auto"/>
          <w:spacing w:val="-20"/>
          <w:kern w:val="44"/>
          <w:sz w:val="48"/>
          <w:szCs w:val="48"/>
          <w:highlight w:val="none"/>
        </w:rPr>
      </w:pPr>
    </w:p>
    <w:p w14:paraId="50256F73">
      <w:pPr>
        <w:pStyle w:val="15"/>
        <w:shd w:val="clear"/>
        <w:spacing w:after="0"/>
        <w:jc w:val="center"/>
        <w:rPr>
          <w:rFonts w:hint="eastAsia"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政府采购</w:t>
      </w:r>
      <w:r>
        <w:rPr>
          <w:rFonts w:hint="eastAsia" w:ascii="宋体" w:hAnsi="宋体" w:cs="宋体"/>
          <w:b/>
          <w:bCs/>
          <w:color w:val="auto"/>
          <w:spacing w:val="-20"/>
          <w:kern w:val="44"/>
          <w:sz w:val="36"/>
          <w:szCs w:val="36"/>
          <w:highlight w:val="none"/>
          <w:lang w:eastAsia="zh-CN"/>
        </w:rPr>
        <w:t>货物买卖</w:t>
      </w:r>
      <w:r>
        <w:rPr>
          <w:rFonts w:hint="eastAsia" w:ascii="宋体" w:hAnsi="宋体" w:cs="宋体"/>
          <w:b/>
          <w:bCs/>
          <w:color w:val="auto"/>
          <w:spacing w:val="-20"/>
          <w:kern w:val="44"/>
          <w:sz w:val="36"/>
          <w:szCs w:val="36"/>
          <w:highlight w:val="none"/>
        </w:rPr>
        <w:t>合同</w:t>
      </w:r>
    </w:p>
    <w:p w14:paraId="1D2FB352">
      <w:pPr>
        <w:shd w:val="clear"/>
        <w:rPr>
          <w:rFonts w:ascii="宋体" w:hAnsi="宋体" w:cs="宋体"/>
          <w:b/>
          <w:bCs/>
          <w:color w:val="auto"/>
          <w:spacing w:val="-20"/>
          <w:kern w:val="44"/>
          <w:sz w:val="40"/>
          <w:szCs w:val="40"/>
          <w:highlight w:val="none"/>
        </w:rPr>
      </w:pPr>
    </w:p>
    <w:p w14:paraId="2FE9860C">
      <w:pPr>
        <w:shd w:val="clear"/>
        <w:rPr>
          <w:rFonts w:ascii="宋体" w:hAnsi="宋体" w:cs="宋体"/>
          <w:b/>
          <w:bCs/>
          <w:color w:val="auto"/>
          <w:spacing w:val="-20"/>
          <w:kern w:val="44"/>
          <w:sz w:val="40"/>
          <w:szCs w:val="40"/>
          <w:highlight w:val="none"/>
        </w:rPr>
      </w:pPr>
    </w:p>
    <w:p w14:paraId="64BCA9AD">
      <w:pPr>
        <w:shd w:val="clear"/>
        <w:rPr>
          <w:rFonts w:ascii="宋体" w:hAnsi="宋体" w:cs="宋体"/>
          <w:b/>
          <w:bCs/>
          <w:color w:val="auto"/>
          <w:spacing w:val="-20"/>
          <w:kern w:val="44"/>
          <w:sz w:val="40"/>
          <w:szCs w:val="40"/>
          <w:highlight w:val="none"/>
        </w:rPr>
      </w:pPr>
    </w:p>
    <w:p w14:paraId="0FA9978C">
      <w:pPr>
        <w:shd w:val="clear"/>
        <w:spacing w:line="360" w:lineRule="auto"/>
        <w:ind w:left="420" w:leftChars="200"/>
        <w:rPr>
          <w:color w:val="auto"/>
          <w:sz w:val="24"/>
          <w:szCs w:val="24"/>
          <w:highlight w:val="none"/>
        </w:rPr>
      </w:pPr>
      <w:r>
        <w:rPr>
          <w:rFonts w:hint="eastAsia" w:ascii="宋体" w:hAnsi="宋体" w:cs="宋体"/>
          <w:color w:val="auto"/>
          <w:kern w:val="0"/>
          <w:sz w:val="24"/>
          <w:szCs w:val="24"/>
          <w:highlight w:val="none"/>
        </w:rPr>
        <w:t>项目名称：</w:t>
      </w:r>
      <w:r>
        <w:rPr>
          <w:rFonts w:hint="eastAsia"/>
          <w:color w:val="auto"/>
          <w:sz w:val="24"/>
          <w:szCs w:val="24"/>
          <w:highlight w:val="none"/>
          <w:u w:val="single"/>
        </w:rPr>
        <w:t xml:space="preserve">                             </w:t>
      </w:r>
    </w:p>
    <w:p w14:paraId="46B3E0F2">
      <w:pPr>
        <w:shd w:val="clear"/>
        <w:spacing w:line="360" w:lineRule="auto"/>
        <w:ind w:left="420" w:leftChars="200"/>
        <w:rPr>
          <w:color w:val="auto"/>
          <w:sz w:val="24"/>
          <w:szCs w:val="24"/>
          <w:highlight w:val="none"/>
          <w:u w:val="single"/>
        </w:rPr>
      </w:pPr>
      <w:r>
        <w:rPr>
          <w:rFonts w:hint="eastAsia"/>
          <w:color w:val="auto"/>
          <w:sz w:val="24"/>
          <w:szCs w:val="24"/>
          <w:highlight w:val="none"/>
        </w:rPr>
        <w:t>合同编号：</w:t>
      </w:r>
      <w:r>
        <w:rPr>
          <w:rFonts w:hint="eastAsia"/>
          <w:color w:val="auto"/>
          <w:sz w:val="24"/>
          <w:szCs w:val="24"/>
          <w:highlight w:val="none"/>
          <w:u w:val="single"/>
        </w:rPr>
        <w:t xml:space="preserve">                             </w:t>
      </w:r>
    </w:p>
    <w:p w14:paraId="5B91AF28">
      <w:pPr>
        <w:shd w:val="clear"/>
        <w:spacing w:line="360" w:lineRule="auto"/>
        <w:ind w:left="420" w:leftChars="200"/>
        <w:rPr>
          <w:color w:val="auto"/>
          <w:sz w:val="24"/>
          <w:szCs w:val="24"/>
          <w:highlight w:val="none"/>
        </w:rPr>
      </w:pPr>
      <w:r>
        <w:rPr>
          <w:rFonts w:hint="eastAsia"/>
          <w:color w:val="auto"/>
          <w:sz w:val="24"/>
          <w:szCs w:val="24"/>
          <w:highlight w:val="none"/>
        </w:rPr>
        <w:t>甲    方：</w:t>
      </w:r>
      <w:r>
        <w:rPr>
          <w:rFonts w:hint="eastAsia"/>
          <w:color w:val="auto"/>
          <w:sz w:val="24"/>
          <w:szCs w:val="24"/>
          <w:highlight w:val="none"/>
          <w:u w:val="single"/>
        </w:rPr>
        <w:t xml:space="preserve">                             </w:t>
      </w:r>
    </w:p>
    <w:p w14:paraId="61334ABF">
      <w:pPr>
        <w:shd w:val="clear"/>
        <w:spacing w:line="360" w:lineRule="auto"/>
        <w:ind w:left="420" w:leftChars="200"/>
        <w:rPr>
          <w:color w:val="auto"/>
          <w:sz w:val="24"/>
          <w:szCs w:val="24"/>
          <w:highlight w:val="none"/>
          <w:u w:val="single"/>
        </w:rPr>
      </w:pPr>
      <w:r>
        <w:rPr>
          <w:rFonts w:hint="eastAsia"/>
          <w:color w:val="auto"/>
          <w:sz w:val="24"/>
          <w:szCs w:val="24"/>
          <w:highlight w:val="none"/>
        </w:rPr>
        <w:t>乙    方：</w:t>
      </w:r>
      <w:r>
        <w:rPr>
          <w:rFonts w:hint="eastAsia"/>
          <w:color w:val="auto"/>
          <w:sz w:val="24"/>
          <w:szCs w:val="24"/>
          <w:highlight w:val="none"/>
          <w:u w:val="single"/>
        </w:rPr>
        <w:t xml:space="preserve">                             </w:t>
      </w:r>
    </w:p>
    <w:p w14:paraId="37CA5D06">
      <w:pPr>
        <w:shd w:val="clear"/>
        <w:spacing w:line="360" w:lineRule="auto"/>
        <w:ind w:left="420" w:leftChars="200"/>
        <w:rPr>
          <w:color w:val="auto"/>
          <w:sz w:val="24"/>
          <w:szCs w:val="24"/>
          <w:highlight w:val="none"/>
        </w:rPr>
      </w:pPr>
      <w:r>
        <w:rPr>
          <w:rFonts w:hint="eastAsia"/>
          <w:color w:val="auto"/>
          <w:sz w:val="24"/>
          <w:szCs w:val="24"/>
          <w:highlight w:val="none"/>
        </w:rPr>
        <w:t>签订时间：</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666879FD">
      <w:pPr>
        <w:shd w:val="clear"/>
        <w:rPr>
          <w:color w:val="auto"/>
          <w:highlight w:val="none"/>
        </w:rPr>
      </w:pPr>
    </w:p>
    <w:p w14:paraId="72065604">
      <w:pPr>
        <w:shd w:val="clear"/>
        <w:rPr>
          <w:rFonts w:eastAsia="黑体"/>
          <w:color w:val="auto"/>
          <w:sz w:val="44"/>
          <w:szCs w:val="44"/>
          <w:highlight w:val="none"/>
        </w:rPr>
      </w:pPr>
      <w:r>
        <w:rPr>
          <w:rFonts w:eastAsia="黑体"/>
          <w:color w:val="auto"/>
          <w:sz w:val="44"/>
          <w:szCs w:val="44"/>
          <w:highlight w:val="none"/>
        </w:rPr>
        <w:br w:type="page"/>
      </w:r>
    </w:p>
    <w:p w14:paraId="4EDF19A6">
      <w:pPr>
        <w:shd w:val="clear"/>
        <w:jc w:val="center"/>
        <w:rPr>
          <w:rFonts w:hint="eastAsia" w:eastAsia="黑体"/>
          <w:color w:val="auto"/>
          <w:sz w:val="32"/>
          <w:szCs w:val="32"/>
          <w:highlight w:val="none"/>
          <w:lang w:eastAsia="zh-CN"/>
        </w:rPr>
      </w:pPr>
      <w:r>
        <w:rPr>
          <w:rFonts w:hint="eastAsia" w:eastAsia="黑体"/>
          <w:color w:val="auto"/>
          <w:sz w:val="32"/>
          <w:szCs w:val="32"/>
          <w:highlight w:val="none"/>
          <w:lang w:eastAsia="zh-CN"/>
        </w:rPr>
        <w:t>使</w:t>
      </w:r>
      <w:r>
        <w:rPr>
          <w:rFonts w:hint="eastAsia" w:eastAsia="黑体"/>
          <w:color w:val="auto"/>
          <w:sz w:val="32"/>
          <w:szCs w:val="32"/>
          <w:highlight w:val="none"/>
          <w:lang w:val="en-US" w:eastAsia="zh-CN"/>
        </w:rPr>
        <w:t xml:space="preserve"> </w:t>
      </w:r>
      <w:r>
        <w:rPr>
          <w:rFonts w:hint="eastAsia" w:eastAsia="黑体"/>
          <w:color w:val="auto"/>
          <w:sz w:val="32"/>
          <w:szCs w:val="32"/>
          <w:highlight w:val="none"/>
          <w:lang w:eastAsia="zh-CN"/>
        </w:rPr>
        <w:t>用</w:t>
      </w:r>
      <w:r>
        <w:rPr>
          <w:rFonts w:hint="eastAsia" w:eastAsia="黑体"/>
          <w:color w:val="auto"/>
          <w:sz w:val="32"/>
          <w:szCs w:val="32"/>
          <w:highlight w:val="none"/>
          <w:lang w:val="en-US" w:eastAsia="zh-CN"/>
        </w:rPr>
        <w:t xml:space="preserve"> </w:t>
      </w:r>
      <w:r>
        <w:rPr>
          <w:rFonts w:hint="eastAsia" w:eastAsia="黑体"/>
          <w:color w:val="auto"/>
          <w:sz w:val="32"/>
          <w:szCs w:val="32"/>
          <w:highlight w:val="none"/>
          <w:lang w:eastAsia="zh-CN"/>
        </w:rPr>
        <w:t>说</w:t>
      </w:r>
      <w:r>
        <w:rPr>
          <w:rFonts w:hint="eastAsia" w:eastAsia="黑体"/>
          <w:color w:val="auto"/>
          <w:sz w:val="32"/>
          <w:szCs w:val="32"/>
          <w:highlight w:val="none"/>
          <w:lang w:val="en-US" w:eastAsia="zh-CN"/>
        </w:rPr>
        <w:t xml:space="preserve"> </w:t>
      </w:r>
      <w:r>
        <w:rPr>
          <w:rFonts w:hint="eastAsia" w:eastAsia="黑体"/>
          <w:color w:val="auto"/>
          <w:sz w:val="32"/>
          <w:szCs w:val="32"/>
          <w:highlight w:val="none"/>
          <w:lang w:eastAsia="zh-CN"/>
        </w:rPr>
        <w:t>明</w:t>
      </w:r>
    </w:p>
    <w:p w14:paraId="55EF2EA6">
      <w:pPr>
        <w:shd w:val="clear"/>
        <w:ind w:firstLine="640" w:firstLineChars="200"/>
        <w:rPr>
          <w:rFonts w:hint="eastAsia" w:ascii="仿宋_GB2312" w:hAnsi="仿宋_GB2312" w:eastAsia="仿宋_GB2312" w:cs="仿宋_GB2312"/>
          <w:color w:val="auto"/>
          <w:sz w:val="32"/>
          <w:szCs w:val="32"/>
          <w:highlight w:val="none"/>
          <w:lang w:val="en-US" w:eastAsia="zh-CN"/>
        </w:rPr>
      </w:pPr>
    </w:p>
    <w:p w14:paraId="3AE3BB74">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71C07C4C">
      <w:pPr>
        <w:shd w:val="clear"/>
        <w:spacing w:line="360" w:lineRule="auto"/>
        <w:ind w:firstLine="0" w:firstLineChars="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24"/>
          <w:szCs w:val="24"/>
          <w:highlight w:val="none"/>
          <w:lang w:val="en-US" w:eastAsia="zh-CN"/>
        </w:rPr>
        <w:t>2.本合同标准文本为政府采购货物买卖合同编制提供参考，可以结合采购项目具体情况，对文本作必要的调整修订后使用。</w:t>
      </w:r>
    </w:p>
    <w:p w14:paraId="76DD052D">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54FA1679">
      <w:pPr>
        <w:shd w:val="clear"/>
        <w:ind w:firstLine="880" w:firstLineChars="200"/>
        <w:jc w:val="both"/>
        <w:rPr>
          <w:rFonts w:eastAsia="黑体"/>
          <w:color w:val="auto"/>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55"/>
    <w:p w14:paraId="4341AF47">
      <w:pPr>
        <w:pStyle w:val="3"/>
        <w:shd w:val="clear"/>
        <w:adjustRightInd w:val="0"/>
        <w:snapToGrid w:val="0"/>
        <w:spacing w:beforeLines="0" w:line="400" w:lineRule="exact"/>
        <w:jc w:val="center"/>
        <w:rPr>
          <w:rFonts w:hint="eastAsia" w:ascii="黑体" w:hAnsi="黑体" w:eastAsia="黑体"/>
          <w:color w:val="auto"/>
          <w:sz w:val="28"/>
          <w:szCs w:val="28"/>
          <w:highlight w:val="none"/>
        </w:rPr>
      </w:pPr>
      <w:bookmarkStart w:id="156" w:name="_Toc22209"/>
    </w:p>
    <w:p w14:paraId="7C6EA1EB">
      <w:pPr>
        <w:pStyle w:val="3"/>
        <w:shd w:val="clear"/>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156"/>
    </w:p>
    <w:p w14:paraId="4BB7F949">
      <w:pPr>
        <w:pStyle w:val="3"/>
        <w:shd w:val="clear"/>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410D1E26">
      <w:pPr>
        <w:shd w:val="clea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或采购文件约定的合同甲方）</w:t>
      </w:r>
    </w:p>
    <w:p w14:paraId="5F27C883">
      <w:pPr>
        <w:shd w:val="clea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2915872">
      <w:pPr>
        <w:shd w:val="clea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BAE407A">
      <w:pPr>
        <w:shd w:val="clea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F77C467">
      <w:pPr>
        <w:shd w:val="clear"/>
        <w:spacing w:beforeLines="0" w:line="400" w:lineRule="exact"/>
        <w:rPr>
          <w:rFonts w:hint="default" w:eastAsia="宋体"/>
          <w:color w:val="auto"/>
          <w:highlight w:val="none"/>
          <w:lang w:val="en-US" w:eastAsia="zh-CN"/>
        </w:rPr>
      </w:pPr>
    </w:p>
    <w:p w14:paraId="6C47DBA4">
      <w:pPr>
        <w:pStyle w:val="16"/>
        <w:shd w:val="clear"/>
        <w:adjustRightInd w:val="0"/>
        <w:snapToGrid w:val="0"/>
        <w:spacing w:before="0" w:beforeLines="0" w:after="0" w:line="400" w:lineRule="exact"/>
        <w:ind w:left="0" w:leftChars="0" w:firstLine="420" w:firstLineChars="200"/>
        <w:rPr>
          <w:rFonts w:ascii="宋体" w:hAnsi="宋体"/>
          <w:color w:val="auto"/>
          <w:sz w:val="21"/>
          <w:szCs w:val="21"/>
          <w:highlight w:val="none"/>
        </w:rPr>
      </w:pPr>
      <w:r>
        <w:rPr>
          <w:rFonts w:hint="eastAsia" w:ascii="宋体" w:hAnsi="宋体"/>
          <w:color w:val="auto"/>
          <w:sz w:val="21"/>
          <w:szCs w:val="21"/>
          <w:highlight w:val="none"/>
        </w:rPr>
        <w:t>依据《中华人民共和国民法典》</w:t>
      </w:r>
      <w:r>
        <w:rPr>
          <w:rFonts w:hint="eastAsia" w:ascii="宋体" w:hAnsi="宋体"/>
          <w:color w:val="auto"/>
          <w:sz w:val="21"/>
          <w:szCs w:val="21"/>
          <w:highlight w:val="none"/>
          <w:lang w:eastAsia="zh-CN"/>
        </w:rPr>
        <w:t>、</w:t>
      </w:r>
      <w:r>
        <w:rPr>
          <w:rFonts w:hint="eastAsia" w:ascii="宋体" w:hAnsi="宋体"/>
          <w:color w:val="auto"/>
          <w:sz w:val="21"/>
          <w:szCs w:val="21"/>
          <w:highlight w:val="none"/>
        </w:rPr>
        <w:t>《中华人民共和国政府采购法》等有关的法律法规，以及</w:t>
      </w:r>
      <w:r>
        <w:rPr>
          <w:rFonts w:hint="eastAsia" w:ascii="宋体" w:hAnsi="宋体"/>
          <w:i w:val="0"/>
          <w:iCs w:val="0"/>
          <w:color w:val="auto"/>
          <w:sz w:val="21"/>
          <w:szCs w:val="21"/>
          <w:highlight w:val="none"/>
          <w:u w:val="none"/>
          <w:lang w:eastAsia="zh-CN"/>
        </w:rPr>
        <w:t>本采购项目</w:t>
      </w:r>
      <w:r>
        <w:rPr>
          <w:rFonts w:hint="eastAsia" w:ascii="宋体" w:hAnsi="宋体"/>
          <w:color w:val="auto"/>
          <w:sz w:val="21"/>
          <w:szCs w:val="21"/>
          <w:highlight w:val="none"/>
        </w:rPr>
        <w:t>的</w:t>
      </w:r>
      <w:r>
        <w:rPr>
          <w:rFonts w:hint="eastAsia" w:ascii="宋体" w:hAnsi="宋体"/>
          <w:color w:val="auto"/>
          <w:sz w:val="21"/>
          <w:szCs w:val="21"/>
          <w:highlight w:val="none"/>
          <w:lang w:eastAsia="zh-CN"/>
        </w:rPr>
        <w:t>招标</w:t>
      </w:r>
      <w:r>
        <w:rPr>
          <w:rFonts w:hint="eastAsia" w:ascii="宋体" w:hAnsi="宋体"/>
          <w:color w:val="auto"/>
          <w:sz w:val="21"/>
          <w:szCs w:val="21"/>
          <w:highlight w:val="none"/>
          <w:lang w:val="en-US" w:eastAsia="zh-CN"/>
        </w:rPr>
        <w:t>/谈判</w:t>
      </w:r>
      <w:r>
        <w:rPr>
          <w:rFonts w:hint="eastAsia" w:ascii="宋体" w:hAnsi="宋体"/>
          <w:color w:val="auto"/>
          <w:sz w:val="21"/>
          <w:szCs w:val="21"/>
          <w:highlight w:val="none"/>
          <w:lang w:eastAsia="zh-CN"/>
        </w:rPr>
        <w:t>文件等</w:t>
      </w:r>
      <w:r>
        <w:rPr>
          <w:rFonts w:hint="eastAsia" w:ascii="宋体" w:hAnsi="宋体"/>
          <w:color w:val="auto"/>
          <w:sz w:val="21"/>
          <w:szCs w:val="21"/>
          <w:highlight w:val="none"/>
        </w:rPr>
        <w:t>采购文件</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乙方的《投标（响应）文件》及《中标（成交）通知书》，甲乙双方同意签订本合同。具体情况及要求如下：     </w:t>
      </w:r>
    </w:p>
    <w:p w14:paraId="0E4B2CD7">
      <w:pPr>
        <w:numPr>
          <w:ilvl w:val="0"/>
          <w:numId w:val="9"/>
        </w:numPr>
        <w:shd w:val="clear"/>
        <w:adjustRightInd w:val="0"/>
        <w:snapToGrid w:val="0"/>
        <w:spacing w:before="0" w:beforeLines="0" w:line="400" w:lineRule="exact"/>
        <w:ind w:firstLine="422" w:firstLineChars="200"/>
        <w:rPr>
          <w:rFonts w:ascii="宋体" w:hAnsi="宋体"/>
          <w:b/>
          <w:color w:val="auto"/>
          <w:sz w:val="21"/>
          <w:szCs w:val="21"/>
          <w:highlight w:val="none"/>
        </w:rPr>
      </w:pPr>
      <w:r>
        <w:rPr>
          <w:rFonts w:hint="eastAsia" w:ascii="宋体" w:hAnsi="宋体"/>
          <w:b/>
          <w:color w:val="auto"/>
          <w:sz w:val="21"/>
          <w:szCs w:val="21"/>
          <w:highlight w:val="none"/>
        </w:rPr>
        <w:t>项目信息</w:t>
      </w:r>
    </w:p>
    <w:p w14:paraId="77632A51">
      <w:pPr>
        <w:pStyle w:val="16"/>
        <w:numPr>
          <w:ilvl w:val="0"/>
          <w:numId w:val="10"/>
        </w:numPr>
        <w:shd w:val="clear"/>
        <w:adjustRightInd w:val="0"/>
        <w:snapToGrid w:val="0"/>
        <w:spacing w:before="0" w:beforeLines="0" w:after="0" w:line="400" w:lineRule="exact"/>
        <w:ind w:left="0" w:leftChars="0"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采购项目名称：</w:t>
      </w:r>
      <w:r>
        <w:rPr>
          <w:rFonts w:ascii="宋体" w:hAnsi="宋体"/>
          <w:color w:val="auto"/>
          <w:sz w:val="21"/>
          <w:szCs w:val="21"/>
          <w:highlight w:val="none"/>
          <w:u w:val="single"/>
        </w:rPr>
        <w:t xml:space="preserve">                                          </w:t>
      </w:r>
    </w:p>
    <w:p w14:paraId="6E1680A5">
      <w:pPr>
        <w:pStyle w:val="16"/>
        <w:numPr>
          <w:ilvl w:val="0"/>
          <w:numId w:val="0"/>
        </w:numPr>
        <w:shd w:val="clea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 xml:space="preserve">         采购项目编号：</w:t>
      </w:r>
      <w:r>
        <w:rPr>
          <w:rFonts w:ascii="宋体" w:hAnsi="宋体"/>
          <w:color w:val="auto"/>
          <w:sz w:val="21"/>
          <w:szCs w:val="21"/>
          <w:highlight w:val="none"/>
          <w:u w:val="single"/>
        </w:rPr>
        <w:t xml:space="preserve">                                          </w:t>
      </w:r>
    </w:p>
    <w:p w14:paraId="461A5086">
      <w:pPr>
        <w:pStyle w:val="16"/>
        <w:shd w:val="clear"/>
        <w:adjustRightInd w:val="0"/>
        <w:snapToGrid w:val="0"/>
        <w:spacing w:before="0" w:beforeLines="0" w:after="0" w:line="400" w:lineRule="exact"/>
        <w:ind w:left="0" w:leftChars="0" w:firstLine="420" w:firstLineChars="200"/>
        <w:rPr>
          <w:rFonts w:ascii="宋体" w:hAnsi="宋体"/>
          <w:color w:val="auto"/>
          <w:sz w:val="21"/>
          <w:szCs w:val="21"/>
          <w:highlight w:val="none"/>
        </w:rPr>
      </w:pPr>
      <w:r>
        <w:rPr>
          <w:rFonts w:hint="eastAsia" w:ascii="宋体" w:hAnsi="宋体"/>
          <w:color w:val="auto"/>
          <w:sz w:val="21"/>
          <w:szCs w:val="21"/>
          <w:highlight w:val="none"/>
        </w:rPr>
        <w:t>（2）采购计划编号：</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14:paraId="6C8DDE7A">
      <w:pPr>
        <w:shd w:val="clea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6021372E">
      <w:pPr>
        <w:shd w:val="clea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lang w:val="en-US" w:eastAsia="zh-CN"/>
        </w:rPr>
        <w:t xml:space="preserve"> </w:t>
      </w:r>
    </w:p>
    <w:p w14:paraId="7946F0C0">
      <w:pPr>
        <w:numPr>
          <w:ilvl w:val="0"/>
          <w:numId w:val="0"/>
        </w:numPr>
        <w:shd w:val="clea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351F73B7">
      <w:pPr>
        <w:shd w:val="clea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2B16B52E">
      <w:pPr>
        <w:numPr>
          <w:ilvl w:val="0"/>
          <w:numId w:val="0"/>
        </w:numPr>
        <w:shd w:val="clea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01951FF0">
      <w:pPr>
        <w:numPr>
          <w:ilvl w:val="0"/>
          <w:numId w:val="0"/>
        </w:numPr>
        <w:shd w:val="clea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5968684F">
      <w:pPr>
        <w:numPr>
          <w:ilvl w:val="0"/>
          <w:numId w:val="0"/>
        </w:numPr>
        <w:shd w:val="clea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4AA4A39D">
      <w:pPr>
        <w:pStyle w:val="221"/>
        <w:shd w:val="clear"/>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4EB78F1D">
      <w:pPr>
        <w:pStyle w:val="221"/>
        <w:shd w:val="clear"/>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FA1A6D8">
      <w:pPr>
        <w:pStyle w:val="221"/>
        <w:numPr>
          <w:ilvl w:val="0"/>
          <w:numId w:val="0"/>
        </w:numPr>
        <w:shd w:val="clea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6223B83">
      <w:pPr>
        <w:pStyle w:val="221"/>
        <w:numPr>
          <w:ilvl w:val="0"/>
          <w:numId w:val="0"/>
        </w:numPr>
        <w:shd w:val="clea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5560B990">
      <w:pPr>
        <w:pStyle w:val="221"/>
        <w:numPr>
          <w:ilvl w:val="0"/>
          <w:numId w:val="0"/>
        </w:numPr>
        <w:shd w:val="clea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32EDE96A">
      <w:pPr>
        <w:pStyle w:val="221"/>
        <w:numPr>
          <w:ilvl w:val="0"/>
          <w:numId w:val="0"/>
        </w:numPr>
        <w:shd w:val="clea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11A6C841">
      <w:pPr>
        <w:pStyle w:val="221"/>
        <w:numPr>
          <w:ilvl w:val="0"/>
          <w:numId w:val="0"/>
        </w:numPr>
        <w:shd w:val="clea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7CF011FC">
      <w:pPr>
        <w:pStyle w:val="221"/>
        <w:numPr>
          <w:ilvl w:val="0"/>
          <w:numId w:val="0"/>
        </w:numPr>
        <w:shd w:val="clea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6DD83509">
      <w:pPr>
        <w:pStyle w:val="221"/>
        <w:numPr>
          <w:ilvl w:val="0"/>
          <w:numId w:val="0"/>
        </w:numPr>
        <w:shd w:val="clea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C57C668">
      <w:pPr>
        <w:pStyle w:val="221"/>
        <w:numPr>
          <w:ilvl w:val="0"/>
          <w:numId w:val="0"/>
        </w:numPr>
        <w:shd w:val="clea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5591AA6">
      <w:pPr>
        <w:pStyle w:val="221"/>
        <w:numPr>
          <w:ilvl w:val="0"/>
          <w:numId w:val="0"/>
        </w:numPr>
        <w:shd w:val="clea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2418E683">
      <w:pPr>
        <w:numPr>
          <w:ilvl w:val="0"/>
          <w:numId w:val="0"/>
        </w:numPr>
        <w:shd w:val="clea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7A45279">
      <w:pPr>
        <w:numPr>
          <w:ilvl w:val="0"/>
          <w:numId w:val="0"/>
        </w:numPr>
        <w:shd w:val="clea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9239FDD">
      <w:pPr>
        <w:numPr>
          <w:ilvl w:val="0"/>
          <w:numId w:val="0"/>
        </w:numPr>
        <w:shd w:val="clea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5E3BDB6">
      <w:pPr>
        <w:numPr>
          <w:ilvl w:val="0"/>
          <w:numId w:val="0"/>
        </w:numPr>
        <w:shd w:val="clea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976E200">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1639BC2">
      <w:pPr>
        <w:shd w:val="clea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020592">
      <w:pPr>
        <w:shd w:val="clea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7510D8ED">
      <w:pPr>
        <w:shd w:val="clea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8E6B331">
      <w:pPr>
        <w:shd w:val="clea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0A4A7ACE">
      <w:pPr>
        <w:shd w:val="clea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0C0CFCEC">
      <w:pPr>
        <w:shd w:val="clea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3831B114">
      <w:pPr>
        <w:numPr>
          <w:ilvl w:val="0"/>
          <w:numId w:val="0"/>
        </w:numPr>
        <w:shd w:val="clea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88FFDA">
      <w:pPr>
        <w:pStyle w:val="221"/>
        <w:shd w:val="clear"/>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9DE8E03">
      <w:pPr>
        <w:numPr>
          <w:ilvl w:val="0"/>
          <w:numId w:val="0"/>
        </w:numPr>
        <w:shd w:val="clea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33B1FF64">
      <w:pPr>
        <w:numPr>
          <w:ilvl w:val="0"/>
          <w:numId w:val="0"/>
        </w:numPr>
        <w:shd w:val="clea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416AA94B">
      <w:pPr>
        <w:numPr>
          <w:ilvl w:val="0"/>
          <w:numId w:val="0"/>
        </w:numPr>
        <w:shd w:val="clea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23E011DE">
      <w:pPr>
        <w:shd w:val="clea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6FAC44AE">
      <w:pPr>
        <w:numPr>
          <w:ilvl w:val="0"/>
          <w:numId w:val="0"/>
        </w:numPr>
        <w:shd w:val="clea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52F9BC0F">
      <w:pPr>
        <w:numPr>
          <w:ilvl w:val="0"/>
          <w:numId w:val="0"/>
        </w:numPr>
        <w:shd w:val="clea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5DAEC29">
      <w:pPr>
        <w:numPr>
          <w:ilvl w:val="0"/>
          <w:numId w:val="0"/>
        </w:numPr>
        <w:shd w:val="clea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1748727">
      <w:pPr>
        <w:numPr>
          <w:ilvl w:val="0"/>
          <w:numId w:val="0"/>
        </w:numPr>
        <w:shd w:val="clea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518784A">
      <w:pPr>
        <w:numPr>
          <w:ilvl w:val="0"/>
          <w:numId w:val="0"/>
        </w:numPr>
        <w:shd w:val="clea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4E2DDC3B">
      <w:pPr>
        <w:numPr>
          <w:ilvl w:val="0"/>
          <w:numId w:val="0"/>
        </w:numPr>
        <w:shd w:val="clea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25B2332">
      <w:pPr>
        <w:numPr>
          <w:ilvl w:val="0"/>
          <w:numId w:val="0"/>
        </w:numPr>
        <w:shd w:val="clea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2E1FCC05">
      <w:pPr>
        <w:numPr>
          <w:ilvl w:val="0"/>
          <w:numId w:val="0"/>
        </w:numPr>
        <w:shd w:val="clea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0CB8A0F2">
      <w:pPr>
        <w:pStyle w:val="221"/>
        <w:numPr>
          <w:ilvl w:val="0"/>
          <w:numId w:val="0"/>
        </w:numPr>
        <w:shd w:val="clea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6BD471BB">
      <w:pPr>
        <w:pStyle w:val="221"/>
        <w:shd w:val="clear"/>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2F2C5820">
      <w:pPr>
        <w:numPr>
          <w:ilvl w:val="0"/>
          <w:numId w:val="0"/>
        </w:numPr>
        <w:shd w:val="clea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EFD2F45">
      <w:pPr>
        <w:pStyle w:val="221"/>
        <w:shd w:val="clear"/>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52425A4C">
      <w:pPr>
        <w:numPr>
          <w:ilvl w:val="0"/>
          <w:numId w:val="0"/>
        </w:numPr>
        <w:shd w:val="clea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074E2815">
      <w:pPr>
        <w:numPr>
          <w:ilvl w:val="0"/>
          <w:numId w:val="0"/>
        </w:numPr>
        <w:shd w:val="clea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50434E53">
      <w:pPr>
        <w:numPr>
          <w:ilvl w:val="0"/>
          <w:numId w:val="9"/>
        </w:numPr>
        <w:shd w:val="clea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59653CFA">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9032FCB">
      <w:pPr>
        <w:shd w:val="clea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83B7117">
      <w:pPr>
        <w:shd w:val="clea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741CD7C2">
      <w:pPr>
        <w:shd w:val="clea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B58A3CE">
      <w:pPr>
        <w:shd w:val="clea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06F79E74">
      <w:pPr>
        <w:numPr>
          <w:ilvl w:val="0"/>
          <w:numId w:val="0"/>
        </w:numPr>
        <w:shd w:val="clea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692D35AC">
      <w:pPr>
        <w:shd w:val="clea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78C83299">
      <w:pPr>
        <w:pStyle w:val="170"/>
        <w:shd w:val="clear"/>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5CB8A222">
      <w:pPr>
        <w:shd w:val="clea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7412C3AA">
      <w:pPr>
        <w:shd w:val="clea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7AFA5299">
      <w:pPr>
        <w:shd w:val="clea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541DA340">
      <w:pPr>
        <w:shd w:val="clea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5DF5553">
      <w:pPr>
        <w:numPr>
          <w:ilvl w:val="0"/>
          <w:numId w:val="9"/>
        </w:numPr>
        <w:shd w:val="clea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1FFE6817">
      <w:pPr>
        <w:shd w:val="clea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C748479">
      <w:pPr>
        <w:shd w:val="clea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5D3D85DB">
      <w:pPr>
        <w:shd w:val="clea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360A9AFB">
      <w:pPr>
        <w:pStyle w:val="221"/>
        <w:shd w:val="clear"/>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6E7EB92C">
      <w:pPr>
        <w:pStyle w:val="221"/>
        <w:shd w:val="clear"/>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A7FE784">
      <w:pPr>
        <w:shd w:val="clea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AA0163">
      <w:pPr>
        <w:shd w:val="clea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68084F41">
      <w:pPr>
        <w:shd w:val="clea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B3DEF47">
      <w:pPr>
        <w:numPr>
          <w:ilvl w:val="0"/>
          <w:numId w:val="9"/>
        </w:numPr>
        <w:shd w:val="clea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0C01D7EF">
      <w:pPr>
        <w:numPr>
          <w:ilvl w:val="0"/>
          <w:numId w:val="11"/>
        </w:numPr>
        <w:shd w:val="clea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64702F33">
      <w:pPr>
        <w:numPr>
          <w:ilvl w:val="0"/>
          <w:numId w:val="0"/>
        </w:numPr>
        <w:shd w:val="clea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342BC73C">
      <w:pPr>
        <w:shd w:val="clea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4E97441">
      <w:pPr>
        <w:shd w:val="clea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15BD737">
      <w:pPr>
        <w:shd w:val="clea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11E3570">
      <w:pPr>
        <w:shd w:val="clea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28D5D4D">
      <w:pPr>
        <w:shd w:val="clea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3611F6D">
      <w:pPr>
        <w:shd w:val="clea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22A5C184">
      <w:pPr>
        <w:shd w:val="clea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5BBD59D7">
      <w:pPr>
        <w:shd w:val="clea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4B3AABFE">
      <w:pPr>
        <w:shd w:val="clea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31FB8C54">
      <w:pPr>
        <w:shd w:val="clea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05271A24">
      <w:pPr>
        <w:shd w:val="clea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4CD3930">
      <w:pPr>
        <w:shd w:val="clea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561D2F17">
      <w:pPr>
        <w:shd w:val="clea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40BC4D6D">
      <w:pPr>
        <w:shd w:val="clea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2934B9D8">
      <w:pPr>
        <w:pStyle w:val="221"/>
        <w:shd w:val="clear"/>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724E790">
      <w:pPr>
        <w:shd w:val="clea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58F1C1E4">
      <w:pPr>
        <w:numPr>
          <w:ilvl w:val="0"/>
          <w:numId w:val="9"/>
        </w:numPr>
        <w:shd w:val="clea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3EE9F521">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3C5FCE2">
      <w:pPr>
        <w:shd w:val="clea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0724FE42">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50757D3">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5E1855E">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070218DC">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105F947A">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1CC6A6F1">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050923B9">
      <w:pPr>
        <w:pStyle w:val="221"/>
        <w:shd w:val="clear"/>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16D4F1F0">
      <w:pPr>
        <w:numPr>
          <w:ilvl w:val="0"/>
          <w:numId w:val="9"/>
        </w:numPr>
        <w:shd w:val="clea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0BED8268">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62F945E">
      <w:pPr>
        <w:numPr>
          <w:ilvl w:val="0"/>
          <w:numId w:val="9"/>
        </w:numPr>
        <w:shd w:val="clea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710ECF92">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6F373D16">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48F2B2">
      <w:pPr>
        <w:shd w:val="clea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59725A4D">
      <w:pPr>
        <w:shd w:val="clea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1AA43557">
      <w:pPr>
        <w:shd w:val="clear"/>
        <w:rPr>
          <w:rFonts w:hint="eastAsia"/>
          <w:color w:val="auto"/>
          <w:highlight w:val="none"/>
        </w:rPr>
      </w:pPr>
      <w:r>
        <w:rPr>
          <w:rFonts w:hint="eastAsia"/>
          <w:color w:val="auto"/>
          <w:highlight w:val="none"/>
        </w:rPr>
        <w:br w:type="page"/>
      </w:r>
    </w:p>
    <w:p w14:paraId="703DAC2A">
      <w:pPr>
        <w:pStyle w:val="170"/>
        <w:shd w:val="clear"/>
        <w:rPr>
          <w:rFonts w:hint="eastAsia"/>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56"/>
        <w:gridCol w:w="2622"/>
        <w:gridCol w:w="2151"/>
        <w:gridCol w:w="2302"/>
      </w:tblGrid>
      <w:tr w14:paraId="7775D0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4678" w:type="dxa"/>
            <w:gridSpan w:val="2"/>
            <w:tcBorders>
              <w:bottom w:val="single" w:color="auto" w:sz="2" w:space="0"/>
              <w:right w:val="single" w:color="auto" w:sz="2" w:space="0"/>
            </w:tcBorders>
            <w:noWrap w:val="0"/>
            <w:vAlign w:val="center"/>
          </w:tcPr>
          <w:p w14:paraId="0B35BA32">
            <w:pPr>
              <w:shd w:val="clea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453" w:type="dxa"/>
            <w:gridSpan w:val="2"/>
            <w:tcBorders>
              <w:left w:val="single" w:color="auto" w:sz="2" w:space="0"/>
              <w:bottom w:val="single" w:color="auto" w:sz="2" w:space="0"/>
            </w:tcBorders>
            <w:noWrap w:val="0"/>
            <w:vAlign w:val="center"/>
          </w:tcPr>
          <w:p w14:paraId="7DA284F8">
            <w:pPr>
              <w:shd w:val="clea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6CC02D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56" w:type="dxa"/>
            <w:tcBorders>
              <w:top w:val="single" w:color="auto" w:sz="2" w:space="0"/>
              <w:bottom w:val="single" w:color="auto" w:sz="2" w:space="0"/>
              <w:right w:val="single" w:color="auto" w:sz="2" w:space="0"/>
            </w:tcBorders>
            <w:noWrap w:val="0"/>
            <w:vAlign w:val="center"/>
          </w:tcPr>
          <w:p w14:paraId="39C17E6B">
            <w:pPr>
              <w:shd w:val="clea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4ADE8D4D">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02C26D61">
            <w:pPr>
              <w:shd w:val="clea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302" w:type="dxa"/>
            <w:tcBorders>
              <w:top w:val="single" w:color="auto" w:sz="2" w:space="0"/>
              <w:left w:val="single" w:color="auto" w:sz="2" w:space="0"/>
              <w:bottom w:val="single" w:color="auto" w:sz="2" w:space="0"/>
            </w:tcBorders>
            <w:noWrap w:val="0"/>
            <w:vAlign w:val="center"/>
          </w:tcPr>
          <w:p w14:paraId="6F180D91">
            <w:pPr>
              <w:shd w:val="clear"/>
              <w:adjustRightInd w:val="0"/>
              <w:snapToGrid w:val="0"/>
              <w:spacing w:line="300" w:lineRule="exact"/>
              <w:jc w:val="center"/>
              <w:rPr>
                <w:color w:val="auto"/>
                <w:spacing w:val="20"/>
                <w:szCs w:val="21"/>
                <w:highlight w:val="none"/>
              </w:rPr>
            </w:pPr>
          </w:p>
        </w:tc>
      </w:tr>
      <w:tr w14:paraId="11C1BC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56" w:type="dxa"/>
            <w:vMerge w:val="restart"/>
            <w:tcBorders>
              <w:top w:val="single" w:color="auto" w:sz="2" w:space="0"/>
              <w:right w:val="single" w:color="auto" w:sz="2" w:space="0"/>
            </w:tcBorders>
            <w:noWrap w:val="0"/>
            <w:vAlign w:val="center"/>
          </w:tcPr>
          <w:p w14:paraId="690B50E3">
            <w:pPr>
              <w:shd w:val="clear"/>
              <w:adjustRightInd w:val="0"/>
              <w:snapToGrid w:val="0"/>
              <w:spacing w:line="300" w:lineRule="exact"/>
              <w:jc w:val="center"/>
              <w:rPr>
                <w:color w:val="auto"/>
                <w:szCs w:val="21"/>
                <w:highlight w:val="none"/>
              </w:rPr>
            </w:pPr>
            <w:r>
              <w:rPr>
                <w:color w:val="auto"/>
                <w:szCs w:val="21"/>
                <w:highlight w:val="none"/>
              </w:rPr>
              <w:t>法定代表人</w:t>
            </w:r>
          </w:p>
          <w:p w14:paraId="1B0FCF03">
            <w:pPr>
              <w:shd w:val="clea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622" w:type="dxa"/>
            <w:vMerge w:val="restart"/>
            <w:tcBorders>
              <w:top w:val="single" w:color="auto" w:sz="2" w:space="0"/>
              <w:left w:val="single" w:color="auto" w:sz="2" w:space="0"/>
              <w:right w:val="single" w:color="auto" w:sz="2" w:space="0"/>
            </w:tcBorders>
            <w:noWrap w:val="0"/>
            <w:vAlign w:val="center"/>
          </w:tcPr>
          <w:p w14:paraId="05B8F104">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right w:val="single" w:color="auto" w:sz="2" w:space="0"/>
            </w:tcBorders>
            <w:noWrap w:val="0"/>
            <w:vAlign w:val="center"/>
          </w:tcPr>
          <w:p w14:paraId="56B4C45F">
            <w:pPr>
              <w:shd w:val="clear"/>
              <w:adjustRightInd w:val="0"/>
              <w:snapToGrid w:val="0"/>
              <w:spacing w:line="300" w:lineRule="exact"/>
              <w:jc w:val="center"/>
              <w:rPr>
                <w:color w:val="auto"/>
                <w:szCs w:val="21"/>
                <w:highlight w:val="none"/>
              </w:rPr>
            </w:pPr>
            <w:r>
              <w:rPr>
                <w:color w:val="auto"/>
                <w:szCs w:val="21"/>
                <w:highlight w:val="none"/>
              </w:rPr>
              <w:t>法定代表人</w:t>
            </w:r>
          </w:p>
          <w:p w14:paraId="1E77EC60">
            <w:pPr>
              <w:shd w:val="clea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02" w:type="dxa"/>
            <w:tcBorders>
              <w:top w:val="single" w:color="auto" w:sz="2" w:space="0"/>
              <w:left w:val="single" w:color="auto" w:sz="2" w:space="0"/>
              <w:bottom w:val="single" w:color="auto" w:sz="2" w:space="0"/>
            </w:tcBorders>
            <w:noWrap w:val="0"/>
            <w:vAlign w:val="center"/>
          </w:tcPr>
          <w:p w14:paraId="4F5A8861">
            <w:pPr>
              <w:shd w:val="clear"/>
              <w:adjustRightInd w:val="0"/>
              <w:snapToGrid w:val="0"/>
              <w:spacing w:line="300" w:lineRule="exact"/>
              <w:jc w:val="center"/>
              <w:rPr>
                <w:color w:val="auto"/>
                <w:szCs w:val="21"/>
                <w:highlight w:val="none"/>
              </w:rPr>
            </w:pPr>
          </w:p>
        </w:tc>
      </w:tr>
      <w:tr w14:paraId="54B758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vMerge w:val="continue"/>
            <w:tcBorders>
              <w:bottom w:val="single" w:color="auto" w:sz="2" w:space="0"/>
              <w:right w:val="single" w:color="auto" w:sz="2" w:space="0"/>
            </w:tcBorders>
            <w:noWrap w:val="0"/>
            <w:vAlign w:val="center"/>
          </w:tcPr>
          <w:p w14:paraId="23B732B0">
            <w:pPr>
              <w:shd w:val="clear"/>
              <w:adjustRightInd w:val="0"/>
              <w:snapToGrid w:val="0"/>
              <w:spacing w:line="300" w:lineRule="exact"/>
              <w:jc w:val="center"/>
              <w:rPr>
                <w:color w:val="auto"/>
                <w:szCs w:val="21"/>
                <w:highlight w:val="none"/>
              </w:rPr>
            </w:pPr>
          </w:p>
        </w:tc>
        <w:tc>
          <w:tcPr>
            <w:tcW w:w="2622" w:type="dxa"/>
            <w:vMerge w:val="continue"/>
            <w:tcBorders>
              <w:left w:val="single" w:color="auto" w:sz="2" w:space="0"/>
              <w:bottom w:val="single" w:color="auto" w:sz="2" w:space="0"/>
              <w:right w:val="single" w:color="auto" w:sz="2" w:space="0"/>
            </w:tcBorders>
            <w:noWrap w:val="0"/>
            <w:vAlign w:val="center"/>
          </w:tcPr>
          <w:p w14:paraId="54D8FD14">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17693AF2">
            <w:pPr>
              <w:shd w:val="clea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302" w:type="dxa"/>
            <w:tcBorders>
              <w:top w:val="single" w:color="auto" w:sz="2" w:space="0"/>
              <w:left w:val="single" w:color="auto" w:sz="2" w:space="0"/>
              <w:bottom w:val="single" w:color="auto" w:sz="2" w:space="0"/>
            </w:tcBorders>
            <w:noWrap w:val="0"/>
            <w:vAlign w:val="center"/>
          </w:tcPr>
          <w:p w14:paraId="55FBB940">
            <w:pPr>
              <w:shd w:val="clear"/>
              <w:adjustRightInd w:val="0"/>
              <w:snapToGrid w:val="0"/>
              <w:spacing w:line="300" w:lineRule="exact"/>
              <w:jc w:val="center"/>
              <w:rPr>
                <w:color w:val="auto"/>
                <w:spacing w:val="20"/>
                <w:szCs w:val="21"/>
                <w:highlight w:val="none"/>
              </w:rPr>
            </w:pPr>
          </w:p>
        </w:tc>
      </w:tr>
      <w:tr w14:paraId="5E75FC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747D1524">
            <w:pPr>
              <w:shd w:val="clea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42584E20">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504AAD8B">
            <w:pPr>
              <w:shd w:val="clea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302" w:type="dxa"/>
            <w:tcBorders>
              <w:top w:val="single" w:color="auto" w:sz="2" w:space="0"/>
              <w:left w:val="single" w:color="auto" w:sz="2" w:space="0"/>
              <w:bottom w:val="single" w:color="auto" w:sz="2" w:space="0"/>
            </w:tcBorders>
            <w:noWrap w:val="0"/>
            <w:vAlign w:val="center"/>
          </w:tcPr>
          <w:p w14:paraId="78FF9C50">
            <w:pPr>
              <w:shd w:val="clear"/>
              <w:adjustRightInd w:val="0"/>
              <w:snapToGrid w:val="0"/>
              <w:spacing w:line="300" w:lineRule="exact"/>
              <w:jc w:val="center"/>
              <w:rPr>
                <w:color w:val="auto"/>
                <w:spacing w:val="20"/>
                <w:szCs w:val="21"/>
                <w:highlight w:val="none"/>
              </w:rPr>
            </w:pPr>
          </w:p>
        </w:tc>
      </w:tr>
      <w:tr w14:paraId="005D58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54BE9E8C">
            <w:pPr>
              <w:shd w:val="clear"/>
              <w:adjustRightInd w:val="0"/>
              <w:snapToGrid w:val="0"/>
              <w:spacing w:line="300" w:lineRule="exact"/>
              <w:jc w:val="center"/>
              <w:rPr>
                <w:color w:val="auto"/>
                <w:szCs w:val="21"/>
                <w:highlight w:val="none"/>
              </w:rPr>
            </w:pPr>
            <w:r>
              <w:rPr>
                <w:color w:val="auto"/>
                <w:szCs w:val="21"/>
                <w:highlight w:val="none"/>
              </w:rPr>
              <w:t>联 系 人</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2D3CB86D">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21A08734">
            <w:pPr>
              <w:shd w:val="clear"/>
              <w:adjustRightInd w:val="0"/>
              <w:snapToGrid w:val="0"/>
              <w:spacing w:line="300" w:lineRule="exact"/>
              <w:jc w:val="center"/>
              <w:rPr>
                <w:color w:val="auto"/>
                <w:szCs w:val="21"/>
                <w:highlight w:val="none"/>
              </w:rPr>
            </w:pPr>
            <w:r>
              <w:rPr>
                <w:color w:val="auto"/>
                <w:szCs w:val="21"/>
                <w:highlight w:val="none"/>
              </w:rPr>
              <w:t>联 系 人</w:t>
            </w:r>
          </w:p>
        </w:tc>
        <w:tc>
          <w:tcPr>
            <w:tcW w:w="2302" w:type="dxa"/>
            <w:tcBorders>
              <w:top w:val="single" w:color="auto" w:sz="2" w:space="0"/>
              <w:left w:val="single" w:color="auto" w:sz="2" w:space="0"/>
              <w:bottom w:val="single" w:color="auto" w:sz="2" w:space="0"/>
            </w:tcBorders>
            <w:noWrap w:val="0"/>
            <w:vAlign w:val="center"/>
          </w:tcPr>
          <w:p w14:paraId="392A5478">
            <w:pPr>
              <w:shd w:val="clear"/>
              <w:adjustRightInd w:val="0"/>
              <w:snapToGrid w:val="0"/>
              <w:spacing w:line="300" w:lineRule="exact"/>
              <w:jc w:val="center"/>
              <w:rPr>
                <w:color w:val="auto"/>
                <w:spacing w:val="20"/>
                <w:szCs w:val="21"/>
                <w:highlight w:val="none"/>
              </w:rPr>
            </w:pPr>
          </w:p>
        </w:tc>
      </w:tr>
      <w:tr w14:paraId="1D1CA5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68A01D24">
            <w:pPr>
              <w:shd w:val="clear"/>
              <w:adjustRightInd w:val="0"/>
              <w:snapToGrid w:val="0"/>
              <w:spacing w:line="300" w:lineRule="exact"/>
              <w:jc w:val="center"/>
              <w:rPr>
                <w:color w:val="auto"/>
                <w:szCs w:val="21"/>
                <w:highlight w:val="none"/>
              </w:rPr>
            </w:pPr>
            <w:r>
              <w:rPr>
                <w:color w:val="auto"/>
                <w:szCs w:val="21"/>
                <w:highlight w:val="none"/>
              </w:rPr>
              <w:t>联系电话</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4D8BB1A7">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459A6F0B">
            <w:pPr>
              <w:shd w:val="clear"/>
              <w:adjustRightInd w:val="0"/>
              <w:snapToGrid w:val="0"/>
              <w:spacing w:line="300" w:lineRule="exact"/>
              <w:jc w:val="center"/>
              <w:rPr>
                <w:color w:val="auto"/>
                <w:szCs w:val="21"/>
                <w:highlight w:val="none"/>
              </w:rPr>
            </w:pPr>
            <w:r>
              <w:rPr>
                <w:color w:val="auto"/>
                <w:szCs w:val="21"/>
                <w:highlight w:val="none"/>
              </w:rPr>
              <w:t>联系电话</w:t>
            </w:r>
          </w:p>
        </w:tc>
        <w:tc>
          <w:tcPr>
            <w:tcW w:w="2302" w:type="dxa"/>
            <w:tcBorders>
              <w:top w:val="single" w:color="auto" w:sz="2" w:space="0"/>
              <w:left w:val="single" w:color="auto" w:sz="2" w:space="0"/>
              <w:bottom w:val="single" w:color="auto" w:sz="2" w:space="0"/>
            </w:tcBorders>
            <w:noWrap w:val="0"/>
            <w:vAlign w:val="center"/>
          </w:tcPr>
          <w:p w14:paraId="46F19272">
            <w:pPr>
              <w:shd w:val="clear"/>
              <w:adjustRightInd w:val="0"/>
              <w:snapToGrid w:val="0"/>
              <w:spacing w:line="300" w:lineRule="exact"/>
              <w:jc w:val="center"/>
              <w:rPr>
                <w:color w:val="auto"/>
                <w:spacing w:val="20"/>
                <w:szCs w:val="21"/>
                <w:highlight w:val="none"/>
              </w:rPr>
            </w:pPr>
          </w:p>
        </w:tc>
      </w:tr>
      <w:tr w14:paraId="4B3FD8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58E69AFD">
            <w:pPr>
              <w:shd w:val="clea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429D4718">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787ADC55">
            <w:pPr>
              <w:shd w:val="clea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302" w:type="dxa"/>
            <w:tcBorders>
              <w:top w:val="single" w:color="auto" w:sz="2" w:space="0"/>
              <w:left w:val="single" w:color="auto" w:sz="2" w:space="0"/>
              <w:bottom w:val="single" w:color="auto" w:sz="2" w:space="0"/>
            </w:tcBorders>
            <w:noWrap w:val="0"/>
            <w:vAlign w:val="center"/>
          </w:tcPr>
          <w:p w14:paraId="6F9C0D8D">
            <w:pPr>
              <w:shd w:val="clear"/>
              <w:adjustRightInd w:val="0"/>
              <w:snapToGrid w:val="0"/>
              <w:spacing w:line="300" w:lineRule="exact"/>
              <w:jc w:val="center"/>
              <w:rPr>
                <w:color w:val="auto"/>
                <w:spacing w:val="20"/>
                <w:szCs w:val="21"/>
                <w:highlight w:val="none"/>
              </w:rPr>
            </w:pPr>
          </w:p>
        </w:tc>
      </w:tr>
      <w:tr w14:paraId="2D1989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33186ADB">
            <w:pPr>
              <w:shd w:val="clear"/>
              <w:adjustRightInd w:val="0"/>
              <w:snapToGrid w:val="0"/>
              <w:spacing w:line="300" w:lineRule="exact"/>
              <w:jc w:val="center"/>
              <w:rPr>
                <w:color w:val="auto"/>
                <w:szCs w:val="21"/>
                <w:highlight w:val="none"/>
              </w:rPr>
            </w:pPr>
            <w:r>
              <w:rPr>
                <w:color w:val="auto"/>
                <w:szCs w:val="21"/>
                <w:highlight w:val="none"/>
              </w:rPr>
              <w:t>邮政编码</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510535D3">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78787713">
            <w:pPr>
              <w:shd w:val="clear"/>
              <w:adjustRightInd w:val="0"/>
              <w:snapToGrid w:val="0"/>
              <w:spacing w:line="300" w:lineRule="exact"/>
              <w:jc w:val="center"/>
              <w:rPr>
                <w:color w:val="auto"/>
                <w:szCs w:val="21"/>
                <w:highlight w:val="none"/>
              </w:rPr>
            </w:pPr>
            <w:r>
              <w:rPr>
                <w:color w:val="auto"/>
                <w:szCs w:val="21"/>
                <w:highlight w:val="none"/>
              </w:rPr>
              <w:t>邮政编码</w:t>
            </w:r>
          </w:p>
        </w:tc>
        <w:tc>
          <w:tcPr>
            <w:tcW w:w="2302" w:type="dxa"/>
            <w:tcBorders>
              <w:top w:val="single" w:color="auto" w:sz="2" w:space="0"/>
              <w:left w:val="single" w:color="auto" w:sz="2" w:space="0"/>
              <w:bottom w:val="single" w:color="auto" w:sz="2" w:space="0"/>
            </w:tcBorders>
            <w:noWrap w:val="0"/>
            <w:vAlign w:val="center"/>
          </w:tcPr>
          <w:p w14:paraId="3B38B365">
            <w:pPr>
              <w:shd w:val="clear"/>
              <w:adjustRightInd w:val="0"/>
              <w:snapToGrid w:val="0"/>
              <w:spacing w:line="300" w:lineRule="exact"/>
              <w:jc w:val="center"/>
              <w:rPr>
                <w:color w:val="auto"/>
                <w:spacing w:val="20"/>
                <w:szCs w:val="21"/>
                <w:highlight w:val="none"/>
              </w:rPr>
            </w:pPr>
          </w:p>
        </w:tc>
      </w:tr>
      <w:tr w14:paraId="428AA9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63EB5712">
            <w:pPr>
              <w:shd w:val="clea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5A57FB64">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58F53D3B">
            <w:pPr>
              <w:shd w:val="clea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302" w:type="dxa"/>
            <w:tcBorders>
              <w:top w:val="single" w:color="auto" w:sz="2" w:space="0"/>
              <w:left w:val="single" w:color="auto" w:sz="2" w:space="0"/>
              <w:bottom w:val="single" w:color="auto" w:sz="2" w:space="0"/>
            </w:tcBorders>
            <w:noWrap w:val="0"/>
            <w:vAlign w:val="center"/>
          </w:tcPr>
          <w:p w14:paraId="1831A1AF">
            <w:pPr>
              <w:shd w:val="clear"/>
              <w:adjustRightInd w:val="0"/>
              <w:snapToGrid w:val="0"/>
              <w:spacing w:line="300" w:lineRule="exact"/>
              <w:jc w:val="center"/>
              <w:rPr>
                <w:color w:val="auto"/>
                <w:spacing w:val="20"/>
                <w:szCs w:val="21"/>
                <w:highlight w:val="none"/>
              </w:rPr>
            </w:pPr>
          </w:p>
        </w:tc>
      </w:tr>
      <w:tr w14:paraId="393EE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7F8BC72A">
            <w:pPr>
              <w:shd w:val="clea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622" w:type="dxa"/>
            <w:tcBorders>
              <w:top w:val="single" w:color="auto" w:sz="2" w:space="0"/>
              <w:left w:val="single" w:color="auto" w:sz="2" w:space="0"/>
              <w:bottom w:val="single" w:color="auto" w:sz="2" w:space="0"/>
              <w:right w:val="single" w:color="auto" w:sz="2" w:space="0"/>
            </w:tcBorders>
            <w:noWrap w:val="0"/>
            <w:vAlign w:val="center"/>
          </w:tcPr>
          <w:p w14:paraId="132D124A">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1F1C95BE">
            <w:pPr>
              <w:shd w:val="clea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302" w:type="dxa"/>
            <w:tcBorders>
              <w:top w:val="single" w:color="auto" w:sz="2" w:space="0"/>
              <w:left w:val="single" w:color="auto" w:sz="2" w:space="0"/>
              <w:bottom w:val="single" w:color="auto" w:sz="2" w:space="0"/>
            </w:tcBorders>
            <w:noWrap w:val="0"/>
            <w:vAlign w:val="center"/>
          </w:tcPr>
          <w:p w14:paraId="4AA03770">
            <w:pPr>
              <w:shd w:val="clear"/>
              <w:adjustRightInd w:val="0"/>
              <w:snapToGrid w:val="0"/>
              <w:spacing w:line="300" w:lineRule="exact"/>
              <w:jc w:val="center"/>
              <w:rPr>
                <w:color w:val="auto"/>
                <w:spacing w:val="20"/>
                <w:szCs w:val="21"/>
                <w:highlight w:val="none"/>
              </w:rPr>
            </w:pPr>
          </w:p>
        </w:tc>
      </w:tr>
      <w:tr w14:paraId="475D79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0426645F">
            <w:pPr>
              <w:shd w:val="clear"/>
              <w:adjustRightInd w:val="0"/>
              <w:snapToGrid w:val="0"/>
              <w:spacing w:line="300" w:lineRule="exact"/>
              <w:jc w:val="center"/>
              <w:rPr>
                <w:color w:val="auto"/>
                <w:szCs w:val="21"/>
                <w:highlight w:val="none"/>
              </w:rPr>
            </w:pPr>
          </w:p>
        </w:tc>
        <w:tc>
          <w:tcPr>
            <w:tcW w:w="2622" w:type="dxa"/>
            <w:tcBorders>
              <w:top w:val="single" w:color="auto" w:sz="2" w:space="0"/>
              <w:left w:val="single" w:color="auto" w:sz="2" w:space="0"/>
              <w:bottom w:val="single" w:color="auto" w:sz="2" w:space="0"/>
              <w:right w:val="single" w:color="auto" w:sz="2" w:space="0"/>
            </w:tcBorders>
            <w:noWrap w:val="0"/>
            <w:vAlign w:val="center"/>
          </w:tcPr>
          <w:p w14:paraId="0A144F05">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1120C356">
            <w:pPr>
              <w:shd w:val="clear"/>
              <w:adjustRightInd w:val="0"/>
              <w:snapToGrid w:val="0"/>
              <w:spacing w:line="300" w:lineRule="exact"/>
              <w:jc w:val="center"/>
              <w:rPr>
                <w:color w:val="auto"/>
                <w:szCs w:val="21"/>
                <w:highlight w:val="none"/>
              </w:rPr>
            </w:pPr>
            <w:r>
              <w:rPr>
                <w:color w:val="auto"/>
                <w:szCs w:val="21"/>
                <w:highlight w:val="none"/>
              </w:rPr>
              <w:t>开户名称</w:t>
            </w:r>
          </w:p>
        </w:tc>
        <w:tc>
          <w:tcPr>
            <w:tcW w:w="2302" w:type="dxa"/>
            <w:tcBorders>
              <w:top w:val="single" w:color="auto" w:sz="2" w:space="0"/>
              <w:left w:val="single" w:color="auto" w:sz="2" w:space="0"/>
              <w:bottom w:val="single" w:color="auto" w:sz="2" w:space="0"/>
            </w:tcBorders>
            <w:noWrap w:val="0"/>
            <w:vAlign w:val="center"/>
          </w:tcPr>
          <w:p w14:paraId="40D3180F">
            <w:pPr>
              <w:shd w:val="clear"/>
              <w:adjustRightInd w:val="0"/>
              <w:snapToGrid w:val="0"/>
              <w:spacing w:line="300" w:lineRule="exact"/>
              <w:jc w:val="center"/>
              <w:rPr>
                <w:color w:val="auto"/>
                <w:spacing w:val="20"/>
                <w:szCs w:val="21"/>
                <w:highlight w:val="none"/>
              </w:rPr>
            </w:pPr>
          </w:p>
        </w:tc>
      </w:tr>
      <w:tr w14:paraId="4B3B2C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0A6944DE">
            <w:pPr>
              <w:shd w:val="clear"/>
              <w:adjustRightInd w:val="0"/>
              <w:snapToGrid w:val="0"/>
              <w:spacing w:line="300" w:lineRule="exact"/>
              <w:jc w:val="center"/>
              <w:rPr>
                <w:color w:val="auto"/>
                <w:szCs w:val="21"/>
                <w:highlight w:val="none"/>
              </w:rPr>
            </w:pPr>
          </w:p>
        </w:tc>
        <w:tc>
          <w:tcPr>
            <w:tcW w:w="2622" w:type="dxa"/>
            <w:tcBorders>
              <w:top w:val="single" w:color="auto" w:sz="2" w:space="0"/>
              <w:left w:val="single" w:color="auto" w:sz="2" w:space="0"/>
              <w:bottom w:val="single" w:color="auto" w:sz="2" w:space="0"/>
              <w:right w:val="single" w:color="auto" w:sz="2" w:space="0"/>
            </w:tcBorders>
            <w:noWrap w:val="0"/>
            <w:vAlign w:val="center"/>
          </w:tcPr>
          <w:p w14:paraId="5C939A3A">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0BD61234">
            <w:pPr>
              <w:shd w:val="clear"/>
              <w:adjustRightInd w:val="0"/>
              <w:snapToGrid w:val="0"/>
              <w:spacing w:line="300" w:lineRule="exact"/>
              <w:jc w:val="center"/>
              <w:rPr>
                <w:color w:val="auto"/>
                <w:szCs w:val="21"/>
                <w:highlight w:val="none"/>
              </w:rPr>
            </w:pPr>
            <w:r>
              <w:rPr>
                <w:color w:val="auto"/>
                <w:szCs w:val="21"/>
                <w:highlight w:val="none"/>
              </w:rPr>
              <w:t>开户银行</w:t>
            </w:r>
          </w:p>
        </w:tc>
        <w:tc>
          <w:tcPr>
            <w:tcW w:w="2302" w:type="dxa"/>
            <w:tcBorders>
              <w:top w:val="single" w:color="auto" w:sz="2" w:space="0"/>
              <w:left w:val="single" w:color="auto" w:sz="2" w:space="0"/>
              <w:bottom w:val="single" w:color="auto" w:sz="2" w:space="0"/>
            </w:tcBorders>
            <w:noWrap w:val="0"/>
            <w:vAlign w:val="center"/>
          </w:tcPr>
          <w:p w14:paraId="574F2A04">
            <w:pPr>
              <w:shd w:val="clear"/>
              <w:adjustRightInd w:val="0"/>
              <w:snapToGrid w:val="0"/>
              <w:spacing w:line="300" w:lineRule="exact"/>
              <w:jc w:val="center"/>
              <w:rPr>
                <w:color w:val="auto"/>
                <w:spacing w:val="20"/>
                <w:szCs w:val="21"/>
                <w:highlight w:val="none"/>
              </w:rPr>
            </w:pPr>
          </w:p>
        </w:tc>
      </w:tr>
      <w:tr w14:paraId="11746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bottom w:val="single" w:color="auto" w:sz="2" w:space="0"/>
              <w:right w:val="single" w:color="auto" w:sz="2" w:space="0"/>
            </w:tcBorders>
            <w:noWrap w:val="0"/>
            <w:vAlign w:val="center"/>
          </w:tcPr>
          <w:p w14:paraId="043C940A">
            <w:pPr>
              <w:shd w:val="clear"/>
              <w:adjustRightInd w:val="0"/>
              <w:snapToGrid w:val="0"/>
              <w:spacing w:line="300" w:lineRule="exact"/>
              <w:jc w:val="center"/>
              <w:rPr>
                <w:color w:val="auto"/>
                <w:szCs w:val="21"/>
                <w:highlight w:val="none"/>
              </w:rPr>
            </w:pPr>
          </w:p>
        </w:tc>
        <w:tc>
          <w:tcPr>
            <w:tcW w:w="2622" w:type="dxa"/>
            <w:tcBorders>
              <w:top w:val="single" w:color="auto" w:sz="2" w:space="0"/>
              <w:left w:val="single" w:color="auto" w:sz="2" w:space="0"/>
              <w:bottom w:val="single" w:color="auto" w:sz="2" w:space="0"/>
              <w:right w:val="single" w:color="auto" w:sz="2" w:space="0"/>
            </w:tcBorders>
            <w:noWrap w:val="0"/>
            <w:vAlign w:val="center"/>
          </w:tcPr>
          <w:p w14:paraId="77A8DB45">
            <w:pPr>
              <w:shd w:val="clear"/>
              <w:adjustRightInd w:val="0"/>
              <w:snapToGrid w:val="0"/>
              <w:spacing w:line="300" w:lineRule="exact"/>
              <w:jc w:val="center"/>
              <w:rPr>
                <w:color w:val="auto"/>
                <w:szCs w:val="21"/>
                <w:highlight w:val="none"/>
              </w:rPr>
            </w:pPr>
          </w:p>
        </w:tc>
        <w:tc>
          <w:tcPr>
            <w:tcW w:w="2151" w:type="dxa"/>
            <w:tcBorders>
              <w:top w:val="single" w:color="auto" w:sz="2" w:space="0"/>
              <w:left w:val="single" w:color="auto" w:sz="2" w:space="0"/>
              <w:bottom w:val="single" w:color="auto" w:sz="2" w:space="0"/>
              <w:right w:val="single" w:color="auto" w:sz="2" w:space="0"/>
            </w:tcBorders>
            <w:noWrap w:val="0"/>
            <w:vAlign w:val="center"/>
          </w:tcPr>
          <w:p w14:paraId="23611514">
            <w:pPr>
              <w:shd w:val="clear"/>
              <w:adjustRightInd w:val="0"/>
              <w:snapToGrid w:val="0"/>
              <w:spacing w:line="300" w:lineRule="exact"/>
              <w:jc w:val="center"/>
              <w:rPr>
                <w:color w:val="auto"/>
                <w:szCs w:val="21"/>
                <w:highlight w:val="none"/>
              </w:rPr>
            </w:pPr>
            <w:r>
              <w:rPr>
                <w:color w:val="auto"/>
                <w:szCs w:val="21"/>
                <w:highlight w:val="none"/>
              </w:rPr>
              <w:t>银行账号</w:t>
            </w:r>
          </w:p>
        </w:tc>
        <w:tc>
          <w:tcPr>
            <w:tcW w:w="2302" w:type="dxa"/>
            <w:tcBorders>
              <w:top w:val="single" w:color="auto" w:sz="2" w:space="0"/>
              <w:left w:val="single" w:color="auto" w:sz="2" w:space="0"/>
              <w:bottom w:val="single" w:color="auto" w:sz="2" w:space="0"/>
            </w:tcBorders>
            <w:noWrap w:val="0"/>
            <w:vAlign w:val="center"/>
          </w:tcPr>
          <w:p w14:paraId="25886102">
            <w:pPr>
              <w:shd w:val="clear"/>
              <w:adjustRightInd w:val="0"/>
              <w:snapToGrid w:val="0"/>
              <w:spacing w:line="300" w:lineRule="exact"/>
              <w:jc w:val="center"/>
              <w:rPr>
                <w:color w:val="auto"/>
                <w:spacing w:val="20"/>
                <w:szCs w:val="21"/>
                <w:highlight w:val="none"/>
              </w:rPr>
            </w:pPr>
          </w:p>
        </w:tc>
      </w:tr>
      <w:tr w14:paraId="3F0CD8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31" w:type="dxa"/>
            <w:gridSpan w:val="4"/>
            <w:tcBorders>
              <w:top w:val="single" w:color="auto" w:sz="2" w:space="0"/>
            </w:tcBorders>
            <w:noWrap w:val="0"/>
            <w:vAlign w:val="center"/>
          </w:tcPr>
          <w:p w14:paraId="4F9B3633">
            <w:pPr>
              <w:pStyle w:val="16"/>
              <w:shd w:val="clear"/>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58FFD68E">
      <w:pPr>
        <w:pStyle w:val="3"/>
        <w:shd w:val="clear"/>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157" w:name="_Toc27624"/>
      <w:r>
        <w:rPr>
          <w:rFonts w:hint="eastAsia" w:ascii="黑体" w:hAnsi="黑体" w:eastAsia="黑体"/>
          <w:b w:val="0"/>
          <w:bCs w:val="0"/>
          <w:color w:val="auto"/>
          <w:sz w:val="28"/>
          <w:szCs w:val="28"/>
          <w:highlight w:val="none"/>
        </w:rPr>
        <w:t>第二节 政府采购合同通用条款</w:t>
      </w:r>
      <w:bookmarkEnd w:id="157"/>
    </w:p>
    <w:p w14:paraId="3850C3F8">
      <w:pPr>
        <w:shd w:val="clea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1BBCAF3B">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A024472">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E209A83">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7DF73E6">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90486AC">
      <w:pPr>
        <w:shd w:val="clea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36DC7015">
      <w:pPr>
        <w:shd w:val="clea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30967CCE">
      <w:pPr>
        <w:shd w:val="clea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7E3F74F">
      <w:pPr>
        <w:shd w:val="clea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8697ECB">
      <w:pPr>
        <w:shd w:val="clea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7E774838">
      <w:pPr>
        <w:shd w:val="clea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72DAB87B">
      <w:pPr>
        <w:shd w:val="clea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6F96655">
      <w:pPr>
        <w:shd w:val="clea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3C9EA3D">
      <w:pPr>
        <w:numPr>
          <w:ilvl w:val="0"/>
          <w:numId w:val="12"/>
        </w:num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6EEB800B">
      <w:pPr>
        <w:shd w:val="clea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27FF90FF">
      <w:pPr>
        <w:shd w:val="clea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6343202">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4AC7408">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13EA9552">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BC397A3">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F39BEF9">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3EDDF4B7">
      <w:pPr>
        <w:shd w:val="clea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39BBF1D1">
      <w:pPr>
        <w:shd w:val="clea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1B025745">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5F87D9">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8CAD95E">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258331CD">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5873FCBE">
      <w:pPr>
        <w:pStyle w:val="15"/>
        <w:keepNext w:val="0"/>
        <w:keepLines w:val="0"/>
        <w:pageBreakBefore w:val="0"/>
        <w:widowControl/>
        <w:shd w:val="clear"/>
        <w:kinsoku/>
        <w:wordWrap/>
        <w:overflowPunct/>
        <w:topLinePunct w:val="0"/>
        <w:autoSpaceDE/>
        <w:autoSpaceDN/>
        <w:bidi w:val="0"/>
        <w:adjustRightInd/>
        <w:snapToGrid/>
        <w:spacing w:after="0" w:line="400" w:lineRule="exact"/>
        <w:ind w:left="0" w:leftChars="0" w:right="-119" w:firstLine="400" w:firstLineChars="200"/>
        <w:textAlignment w:val="auto"/>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50AE07C7">
      <w:pPr>
        <w:pStyle w:val="15"/>
        <w:keepNext w:val="0"/>
        <w:keepLines w:val="0"/>
        <w:pageBreakBefore w:val="0"/>
        <w:widowControl/>
        <w:shd w:val="clear"/>
        <w:kinsoku/>
        <w:wordWrap/>
        <w:overflowPunct/>
        <w:topLinePunct w:val="0"/>
        <w:autoSpaceDE/>
        <w:autoSpaceDN/>
        <w:bidi w:val="0"/>
        <w:adjustRightInd/>
        <w:snapToGrid/>
        <w:spacing w:after="0" w:line="400" w:lineRule="exact"/>
        <w:ind w:left="0" w:leftChars="0" w:right="-119" w:firstLine="400" w:firstLineChars="200"/>
        <w:textAlignment w:val="auto"/>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2208E29D">
      <w:pPr>
        <w:numPr>
          <w:ilvl w:val="0"/>
          <w:numId w:val="13"/>
        </w:numPr>
        <w:shd w:val="clea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09CA6CA4">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0905541">
      <w:pPr>
        <w:shd w:val="clea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00E742D">
      <w:pPr>
        <w:shd w:val="clea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6AAF4542">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31A7185">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03B574F6">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D8C3995">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2244403B">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11E158B2">
      <w:pPr>
        <w:pStyle w:val="221"/>
        <w:shd w:val="clear"/>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30A79D59">
      <w:pPr>
        <w:shd w:val="clea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63EF945A">
      <w:pPr>
        <w:pStyle w:val="19"/>
        <w:shd w:val="clear"/>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18CA1CD">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D79F036">
      <w:pPr>
        <w:pStyle w:val="19"/>
        <w:shd w:val="clear"/>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6936B8E">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A1E0462">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BCDE689">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46760DB6">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8BBBBC9">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CE79786">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6FA4117">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4E07067">
      <w:pPr>
        <w:shd w:val="clea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C78513C">
      <w:pPr>
        <w:shd w:val="clea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7BDB5D3D">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377AFE49">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20033576">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D43101B">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45505CD7">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158"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58"/>
      <w:r>
        <w:rPr>
          <w:rFonts w:hint="eastAsia" w:ascii="宋体" w:hAnsi="宋体"/>
          <w:color w:val="auto"/>
          <w:szCs w:val="21"/>
          <w:highlight w:val="none"/>
        </w:rPr>
        <w:t>。</w:t>
      </w:r>
    </w:p>
    <w:p w14:paraId="567E464C">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F2DA5E0">
      <w:pPr>
        <w:shd w:val="clea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12BB4A76">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3F9BC757">
      <w:pPr>
        <w:shd w:val="clea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20C6B5A8">
      <w:pPr>
        <w:shd w:val="clea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lang w:val="en-US"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w:t>
      </w:r>
      <w:r>
        <w:rPr>
          <w:rFonts w:hint="eastAsia" w:ascii="宋体" w:hAnsi="宋体" w:eastAsia="宋体" w:cs="Times New Roman"/>
          <w:b w:val="0"/>
          <w:color w:val="auto"/>
          <w:kern w:val="2"/>
          <w:sz w:val="21"/>
          <w:szCs w:val="21"/>
          <w:highlight w:val="none"/>
          <w:lang w:val="en-US" w:eastAsia="zh-CN" w:bidi="ar-SA"/>
        </w:rPr>
        <w:t>满足合同约定支付条件的，甲方原则上应当自收到发票后10个工作日内将资金支付到合同约定的乙方账户，不得以机构变动、人员更替、政策调整等为由迟延付款，不得将采购文件和合同</w:t>
      </w:r>
      <w:r>
        <w:rPr>
          <w:rFonts w:hint="eastAsia" w:ascii="宋体" w:hAnsi="宋体" w:eastAsia="宋体" w:cs="宋体"/>
          <w:color w:val="auto"/>
          <w:szCs w:val="15"/>
          <w:highlight w:val="none"/>
          <w:lang w:val="en-US" w:eastAsia="zh-CN"/>
        </w:rPr>
        <w:t>中未规定的义务作为向乙方付款的条件。具体合同价款支付时间在【政府采购合同专用条款】中约定。</w:t>
      </w:r>
    </w:p>
    <w:p w14:paraId="320D98F7">
      <w:pPr>
        <w:shd w:val="clea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3</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履约保证金</w:t>
      </w:r>
    </w:p>
    <w:p w14:paraId="362DBC85">
      <w:pPr>
        <w:shd w:val="clea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w:t>
      </w:r>
      <w:r>
        <w:rPr>
          <w:rFonts w:hint="eastAsia" w:ascii="宋体" w:hAnsi="宋体" w:eastAsia="宋体" w:cs="宋体"/>
          <w:color w:val="auto"/>
          <w:szCs w:val="15"/>
          <w:highlight w:val="none"/>
          <w:lang w:eastAsia="zh-CN"/>
        </w:rPr>
        <w:t>3</w:t>
      </w:r>
      <w:r>
        <w:rPr>
          <w:rFonts w:hint="eastAsia" w:ascii="宋体" w:hAnsi="宋体" w:eastAsia="宋体" w:cs="宋体"/>
          <w:color w:val="auto"/>
          <w:szCs w:val="15"/>
          <w:highlight w:val="none"/>
        </w:rPr>
        <w:t>.1 乙方应当以支票、汇票、本票或者金融机构、担保机构出具的保函等非现金形式提交。</w:t>
      </w:r>
    </w:p>
    <w:p w14:paraId="0C768F61">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eastAsia="宋体" w:cs="宋体"/>
          <w:color w:val="auto"/>
          <w:szCs w:val="15"/>
          <w:highlight w:val="none"/>
        </w:rPr>
        <w:t>1</w:t>
      </w:r>
      <w:r>
        <w:rPr>
          <w:rFonts w:hint="eastAsia" w:ascii="宋体" w:hAnsi="宋体" w:eastAsia="宋体" w:cs="宋体"/>
          <w:color w:val="auto"/>
          <w:szCs w:val="15"/>
          <w:highlight w:val="none"/>
          <w:lang w:eastAsia="zh-CN"/>
        </w:rPr>
        <w:t>3</w:t>
      </w:r>
      <w:r>
        <w:rPr>
          <w:rFonts w:hint="eastAsia" w:ascii="宋体" w:hAnsi="宋体" w:eastAsia="宋体" w:cs="宋体"/>
          <w:color w:val="auto"/>
          <w:szCs w:val="15"/>
          <w:highlight w:val="none"/>
        </w:rPr>
        <w:t>.2 如果</w:t>
      </w:r>
      <w:r>
        <w:rPr>
          <w:rFonts w:hint="eastAsia" w:ascii="宋体" w:hAnsi="宋体"/>
          <w:color w:val="auto"/>
          <w:szCs w:val="21"/>
          <w:highlight w:val="none"/>
        </w:rPr>
        <w:t>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3724B81">
      <w:pPr>
        <w:shd w:val="clea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4B32F42">
      <w:pPr>
        <w:shd w:val="clea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6A4D46F">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6AF1B443">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E3F2115">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330E6BC">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1EC1775">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6B8A657E">
      <w:pPr>
        <w:pStyle w:val="22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05C7896">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2B623D1">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398D4820">
      <w:pPr>
        <w:shd w:val="clea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5F4C0E5">
      <w:pPr>
        <w:shd w:val="clea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22F2FF2">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8CFFD3B">
      <w:pPr>
        <w:shd w:val="clea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57E78FE">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93D1103">
      <w:pPr>
        <w:shd w:val="clea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D7896C1">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2F185BB">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B44912F">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003A7D4">
      <w:pPr>
        <w:numPr>
          <w:ilvl w:val="0"/>
          <w:numId w:val="14"/>
        </w:numPr>
        <w:shd w:val="clea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D9A09E1">
      <w:pPr>
        <w:shd w:val="clea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6347ABBA">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311ADA0F">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2A33705">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5E1C6E3">
      <w:pPr>
        <w:shd w:val="clea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B433FEA">
      <w:pPr>
        <w:pStyle w:val="221"/>
        <w:shd w:val="clear"/>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3734426C">
      <w:pPr>
        <w:shd w:val="clea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2232932">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4DEB2D3">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372876D">
      <w:pPr>
        <w:shd w:val="clea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19774051">
      <w:pPr>
        <w:pStyle w:val="221"/>
        <w:shd w:val="clea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3292CAC">
      <w:pPr>
        <w:pStyle w:val="221"/>
        <w:shd w:val="clear"/>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185D7C81">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0E5CCB40">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6EE4502">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926D7ED">
      <w:pPr>
        <w:shd w:val="clea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663C388">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F27AA13">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36892C0">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9681545">
      <w:pPr>
        <w:shd w:val="clea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5644724">
      <w:pPr>
        <w:pStyle w:val="221"/>
        <w:shd w:val="clear"/>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6CA96DF2">
      <w:pPr>
        <w:pStyle w:val="221"/>
        <w:shd w:val="clear"/>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DA44813">
      <w:pPr>
        <w:pStyle w:val="221"/>
        <w:shd w:val="clear"/>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28C7A8A5">
      <w:pPr>
        <w:shd w:val="clea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6227362">
      <w:pPr>
        <w:shd w:val="clea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1A2576D3">
      <w:pPr>
        <w:shd w:val="clea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32F005C">
      <w:pPr>
        <w:pStyle w:val="15"/>
        <w:shd w:val="clear"/>
        <w:spacing w:after="0" w:line="400" w:lineRule="exact"/>
        <w:ind w:firstLine="40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EBFEA4">
      <w:pPr>
        <w:shd w:val="clea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315CC603">
      <w:pPr>
        <w:pStyle w:val="221"/>
        <w:shd w:val="clear"/>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BA2E23">
      <w:pPr>
        <w:pStyle w:val="221"/>
        <w:shd w:val="clear"/>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46954491">
      <w:pPr>
        <w:numPr>
          <w:ilvl w:val="0"/>
          <w:numId w:val="0"/>
        </w:numPr>
        <w:shd w:val="clea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6FE9927">
      <w:pPr>
        <w:pStyle w:val="221"/>
        <w:shd w:val="clear"/>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3C72F7F7">
      <w:pPr>
        <w:pStyle w:val="221"/>
        <w:shd w:val="clear"/>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575DE2AE">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1431E77">
      <w:pPr>
        <w:shd w:val="clea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C877C26">
      <w:pPr>
        <w:numPr>
          <w:ilvl w:val="0"/>
          <w:numId w:val="15"/>
        </w:numPr>
        <w:shd w:val="clea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BFE5CAF">
      <w:pPr>
        <w:shd w:val="clea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3B27427">
      <w:pPr>
        <w:shd w:val="clea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59" w:name="_Toc20313"/>
    </w:p>
    <w:p w14:paraId="3ADB1FF4">
      <w:pPr>
        <w:shd w:val="clea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5BE398B1">
      <w:pPr>
        <w:pStyle w:val="3"/>
        <w:shd w:val="clear"/>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159"/>
    </w:p>
    <w:tbl>
      <w:tblPr>
        <w:tblStyle w:val="35"/>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D967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04EFC95">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AA25CF">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6EEC75DE">
            <w:pPr>
              <w:shd w:val="clea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38A91F6B">
            <w:pPr>
              <w:shd w:val="clear"/>
              <w:adjustRightInd w:val="0"/>
              <w:snapToGrid w:val="0"/>
              <w:jc w:val="left"/>
              <w:rPr>
                <w:rFonts w:ascii="宋体" w:hAnsi="宋体"/>
                <w:color w:val="auto"/>
                <w:szCs w:val="21"/>
                <w:highlight w:val="none"/>
              </w:rPr>
            </w:pPr>
          </w:p>
        </w:tc>
      </w:tr>
      <w:tr w14:paraId="14886F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F264BFA">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17AC089">
            <w:pPr>
              <w:shd w:val="clea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7B896E1B">
            <w:pPr>
              <w:shd w:val="clea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73F97EAF">
            <w:pPr>
              <w:shd w:val="clear"/>
              <w:adjustRightInd w:val="0"/>
              <w:snapToGrid w:val="0"/>
              <w:jc w:val="left"/>
              <w:rPr>
                <w:rFonts w:ascii="宋体" w:hAnsi="宋体" w:eastAsia="宋体" w:cs="Times New Roman"/>
                <w:color w:val="auto"/>
                <w:kern w:val="2"/>
                <w:sz w:val="21"/>
                <w:szCs w:val="21"/>
                <w:highlight w:val="none"/>
                <w:lang w:val="en-US" w:eastAsia="zh-CN" w:bidi="ar-SA"/>
              </w:rPr>
            </w:pPr>
          </w:p>
        </w:tc>
      </w:tr>
      <w:tr w14:paraId="456B7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7B87D2">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07F9F2">
            <w:pPr>
              <w:shd w:val="clea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3A69BFC2">
            <w:pPr>
              <w:shd w:val="clea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7D7C4F93">
            <w:pPr>
              <w:shd w:val="clear"/>
              <w:adjustRightInd w:val="0"/>
              <w:snapToGrid w:val="0"/>
              <w:jc w:val="left"/>
              <w:rPr>
                <w:rFonts w:ascii="宋体" w:hAnsi="宋体" w:eastAsia="宋体" w:cs="Times New Roman"/>
                <w:color w:val="auto"/>
                <w:kern w:val="2"/>
                <w:sz w:val="21"/>
                <w:szCs w:val="21"/>
                <w:highlight w:val="none"/>
                <w:lang w:val="en-US" w:eastAsia="zh-CN" w:bidi="ar-SA"/>
              </w:rPr>
            </w:pPr>
          </w:p>
        </w:tc>
      </w:tr>
      <w:tr w14:paraId="4E550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3BF7ED">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3A0C46">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58F1DE2F">
            <w:pPr>
              <w:shd w:val="clea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7C39F60A">
            <w:pPr>
              <w:shd w:val="clear"/>
              <w:adjustRightInd w:val="0"/>
              <w:snapToGrid w:val="0"/>
              <w:jc w:val="left"/>
              <w:rPr>
                <w:rFonts w:ascii="宋体" w:hAnsi="宋体" w:eastAsia="宋体" w:cs="Times New Roman"/>
                <w:color w:val="auto"/>
                <w:kern w:val="2"/>
                <w:sz w:val="21"/>
                <w:szCs w:val="21"/>
                <w:highlight w:val="none"/>
                <w:lang w:val="en-US" w:eastAsia="zh-CN" w:bidi="ar-SA"/>
              </w:rPr>
            </w:pPr>
          </w:p>
        </w:tc>
      </w:tr>
      <w:tr w14:paraId="0A42C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5E572D9">
            <w:pPr>
              <w:shd w:val="clea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552D84A">
            <w:pPr>
              <w:shd w:val="clea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000E1196">
            <w:pPr>
              <w:shd w:val="clea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247310E0">
            <w:pPr>
              <w:shd w:val="clear"/>
              <w:adjustRightInd w:val="0"/>
              <w:snapToGrid w:val="0"/>
              <w:jc w:val="left"/>
              <w:rPr>
                <w:rFonts w:ascii="宋体" w:hAnsi="宋体" w:eastAsia="宋体" w:cs="Times New Roman"/>
                <w:color w:val="auto"/>
                <w:kern w:val="2"/>
                <w:sz w:val="21"/>
                <w:szCs w:val="21"/>
                <w:highlight w:val="none"/>
                <w:lang w:val="en-US" w:eastAsia="zh-CN" w:bidi="ar-SA"/>
              </w:rPr>
            </w:pPr>
          </w:p>
        </w:tc>
      </w:tr>
      <w:tr w14:paraId="2DD45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CB1FEF">
            <w:pPr>
              <w:shd w:val="clea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6FF7DEC4">
            <w:pPr>
              <w:shd w:val="clea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1F9FAFED">
            <w:pPr>
              <w:shd w:val="clea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66E9A48C">
            <w:pPr>
              <w:shd w:val="clear"/>
              <w:adjustRightInd w:val="0"/>
              <w:snapToGrid w:val="0"/>
              <w:jc w:val="left"/>
              <w:rPr>
                <w:rFonts w:ascii="宋体" w:hAnsi="宋体" w:eastAsia="宋体" w:cs="Times New Roman"/>
                <w:color w:val="auto"/>
                <w:kern w:val="2"/>
                <w:sz w:val="21"/>
                <w:szCs w:val="21"/>
                <w:highlight w:val="none"/>
                <w:lang w:val="en-US" w:eastAsia="zh-CN" w:bidi="ar-SA"/>
              </w:rPr>
            </w:pPr>
          </w:p>
        </w:tc>
      </w:tr>
      <w:tr w14:paraId="26F59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3BA3107">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461E6B">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7721AF7E">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3187EEF1">
            <w:pPr>
              <w:shd w:val="clear"/>
              <w:rPr>
                <w:color w:val="auto"/>
                <w:highlight w:val="none"/>
              </w:rPr>
            </w:pPr>
          </w:p>
        </w:tc>
      </w:tr>
      <w:tr w14:paraId="0597AB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AF99DA5">
            <w:pPr>
              <w:shd w:val="clear"/>
              <w:adjustRightInd w:val="0"/>
              <w:snapToGrid w:val="0"/>
              <w:jc w:val="center"/>
              <w:rPr>
                <w:rFonts w:hint="eastAsia" w:ascii="宋体" w:hAnsi="宋体"/>
                <w:color w:val="auto"/>
                <w:szCs w:val="21"/>
                <w:highlight w:val="none"/>
              </w:rPr>
            </w:pPr>
          </w:p>
        </w:tc>
        <w:tc>
          <w:tcPr>
            <w:tcW w:w="1742" w:type="dxa"/>
            <w:noWrap w:val="0"/>
            <w:vAlign w:val="center"/>
          </w:tcPr>
          <w:p w14:paraId="42C65D78">
            <w:pPr>
              <w:shd w:val="clea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4E51D812">
            <w:pPr>
              <w:shd w:val="clear"/>
              <w:rPr>
                <w:rFonts w:hint="eastAsia"/>
                <w:color w:val="auto"/>
                <w:highlight w:val="none"/>
              </w:rPr>
            </w:pPr>
          </w:p>
        </w:tc>
      </w:tr>
      <w:tr w14:paraId="37577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C9961AA">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26F1DD">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393C84BC">
            <w:pPr>
              <w:shd w:val="clea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2E1E05BB">
            <w:pPr>
              <w:shd w:val="clear"/>
              <w:rPr>
                <w:rFonts w:hint="eastAsia"/>
                <w:color w:val="auto"/>
                <w:highlight w:val="none"/>
              </w:rPr>
            </w:pPr>
          </w:p>
        </w:tc>
      </w:tr>
      <w:tr w14:paraId="4FA91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38BD754">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522BA0D">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3497A0AD">
            <w:pPr>
              <w:shd w:val="clea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44443279">
            <w:pPr>
              <w:shd w:val="clear"/>
              <w:rPr>
                <w:rFonts w:hint="eastAsia"/>
                <w:color w:val="auto"/>
                <w:highlight w:val="none"/>
              </w:rPr>
            </w:pPr>
          </w:p>
        </w:tc>
      </w:tr>
      <w:tr w14:paraId="07789A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EF21B7">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BEEB34">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6117569B">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41AD78B8">
            <w:pPr>
              <w:shd w:val="clear"/>
              <w:autoSpaceDE w:val="0"/>
              <w:autoSpaceDN w:val="0"/>
              <w:adjustRightInd w:val="0"/>
              <w:snapToGrid w:val="0"/>
              <w:ind w:firstLine="420" w:firstLineChars="200"/>
              <w:jc w:val="left"/>
              <w:rPr>
                <w:rFonts w:ascii="宋体" w:hAnsi="宋体"/>
                <w:color w:val="auto"/>
                <w:szCs w:val="21"/>
                <w:highlight w:val="none"/>
              </w:rPr>
            </w:pPr>
          </w:p>
        </w:tc>
      </w:tr>
      <w:tr w14:paraId="7555C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C85AFFD">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FACA698">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26CA306D">
            <w:pPr>
              <w:shd w:val="clea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794E2A52">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2082FB87">
            <w:pPr>
              <w:shd w:val="clear"/>
              <w:adjustRightInd w:val="0"/>
              <w:snapToGrid w:val="0"/>
              <w:jc w:val="left"/>
              <w:rPr>
                <w:rFonts w:ascii="宋体" w:hAnsi="宋体"/>
                <w:color w:val="auto"/>
                <w:szCs w:val="21"/>
                <w:highlight w:val="none"/>
              </w:rPr>
            </w:pPr>
          </w:p>
        </w:tc>
      </w:tr>
      <w:tr w14:paraId="083AF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1B85BB">
            <w:pPr>
              <w:shd w:val="clea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7D03E940">
            <w:pPr>
              <w:pStyle w:val="221"/>
              <w:shd w:val="clear"/>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79A12DAA">
            <w:pPr>
              <w:shd w:val="clea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5A53C433">
            <w:pPr>
              <w:shd w:val="clear"/>
              <w:adjustRightInd w:val="0"/>
              <w:snapToGrid w:val="0"/>
              <w:jc w:val="left"/>
              <w:rPr>
                <w:rFonts w:ascii="宋体" w:hAnsi="宋体"/>
                <w:color w:val="auto"/>
                <w:szCs w:val="21"/>
                <w:highlight w:val="none"/>
              </w:rPr>
            </w:pPr>
          </w:p>
        </w:tc>
      </w:tr>
      <w:tr w14:paraId="09484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730D9E2">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126E46">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48A322B5">
            <w:pPr>
              <w:shd w:val="clea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2D06E0A3">
            <w:pPr>
              <w:shd w:val="clear"/>
              <w:adjustRightInd w:val="0"/>
              <w:snapToGrid w:val="0"/>
              <w:jc w:val="left"/>
              <w:rPr>
                <w:rFonts w:ascii="宋体" w:hAnsi="宋体"/>
                <w:color w:val="auto"/>
                <w:szCs w:val="21"/>
                <w:highlight w:val="none"/>
              </w:rPr>
            </w:pPr>
          </w:p>
        </w:tc>
      </w:tr>
      <w:tr w14:paraId="51122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DFE50A7">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D8B7522">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240C51BA">
            <w:pPr>
              <w:shd w:val="clea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3467CC20">
            <w:pPr>
              <w:shd w:val="clear"/>
              <w:adjustRightInd w:val="0"/>
              <w:snapToGrid w:val="0"/>
              <w:jc w:val="left"/>
              <w:rPr>
                <w:rFonts w:ascii="宋体" w:hAnsi="宋体"/>
                <w:color w:val="auto"/>
                <w:szCs w:val="21"/>
                <w:highlight w:val="none"/>
              </w:rPr>
            </w:pPr>
          </w:p>
        </w:tc>
      </w:tr>
      <w:tr w14:paraId="6745B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7AB064">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C7560FA">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02788D4D">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0DCECE28">
            <w:pPr>
              <w:shd w:val="clear"/>
              <w:adjustRightInd w:val="0"/>
              <w:snapToGrid w:val="0"/>
              <w:jc w:val="left"/>
              <w:rPr>
                <w:rFonts w:ascii="宋体" w:hAnsi="宋体"/>
                <w:color w:val="auto"/>
                <w:szCs w:val="21"/>
                <w:highlight w:val="none"/>
              </w:rPr>
            </w:pPr>
          </w:p>
        </w:tc>
      </w:tr>
      <w:tr w14:paraId="1EB869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91D4C58">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05426F">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5E8D5AC4">
            <w:pPr>
              <w:shd w:val="clea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37F754C3">
            <w:pPr>
              <w:shd w:val="clear"/>
              <w:adjustRightInd w:val="0"/>
              <w:snapToGrid w:val="0"/>
              <w:jc w:val="left"/>
              <w:rPr>
                <w:rFonts w:ascii="宋体" w:hAnsi="宋体"/>
                <w:color w:val="auto"/>
                <w:szCs w:val="21"/>
                <w:highlight w:val="none"/>
              </w:rPr>
            </w:pPr>
          </w:p>
        </w:tc>
      </w:tr>
      <w:tr w14:paraId="0237E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9F48FB4">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B120BAD">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66DB7684">
            <w:pPr>
              <w:shd w:val="clea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5D7EE910">
            <w:pPr>
              <w:shd w:val="clear"/>
              <w:adjustRightInd w:val="0"/>
              <w:snapToGrid w:val="0"/>
              <w:jc w:val="left"/>
              <w:rPr>
                <w:rFonts w:ascii="宋体" w:hAnsi="宋体"/>
                <w:color w:val="auto"/>
                <w:szCs w:val="21"/>
                <w:highlight w:val="none"/>
              </w:rPr>
            </w:pPr>
          </w:p>
        </w:tc>
      </w:tr>
      <w:tr w14:paraId="4A17C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EBCBB8">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8BDA39">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1CB68923">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17671055">
            <w:pPr>
              <w:shd w:val="clear"/>
              <w:adjustRightInd w:val="0"/>
              <w:snapToGrid w:val="0"/>
              <w:jc w:val="left"/>
              <w:rPr>
                <w:rFonts w:ascii="宋体" w:hAnsi="宋体"/>
                <w:color w:val="auto"/>
                <w:szCs w:val="21"/>
                <w:highlight w:val="none"/>
              </w:rPr>
            </w:pPr>
          </w:p>
        </w:tc>
      </w:tr>
      <w:tr w14:paraId="64F3E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FCFBC60">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AB38AB0">
            <w:pPr>
              <w:shd w:val="clea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5B50B474">
            <w:pPr>
              <w:shd w:val="clea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495CB3B7">
            <w:pPr>
              <w:shd w:val="clear"/>
              <w:adjustRightInd w:val="0"/>
              <w:snapToGrid w:val="0"/>
              <w:jc w:val="left"/>
              <w:rPr>
                <w:rFonts w:ascii="宋体" w:hAnsi="宋体"/>
                <w:color w:val="auto"/>
                <w:szCs w:val="21"/>
                <w:highlight w:val="none"/>
              </w:rPr>
            </w:pPr>
          </w:p>
        </w:tc>
      </w:tr>
      <w:tr w14:paraId="2E62CA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F592AEB">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1ABF80">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39AE5F7B">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6A964774">
            <w:pPr>
              <w:shd w:val="clear"/>
              <w:adjustRightInd w:val="0"/>
              <w:snapToGrid w:val="0"/>
              <w:jc w:val="left"/>
              <w:rPr>
                <w:rFonts w:ascii="宋体" w:hAnsi="宋体"/>
                <w:color w:val="auto"/>
                <w:szCs w:val="21"/>
                <w:highlight w:val="none"/>
                <w:u w:val="single"/>
              </w:rPr>
            </w:pPr>
          </w:p>
        </w:tc>
      </w:tr>
      <w:tr w14:paraId="74289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3869106">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7C62F9">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68B62910">
            <w:pPr>
              <w:shd w:val="clea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38BDE638">
            <w:pPr>
              <w:shd w:val="clear"/>
              <w:adjustRightInd w:val="0"/>
              <w:snapToGrid w:val="0"/>
              <w:jc w:val="left"/>
              <w:rPr>
                <w:rFonts w:ascii="宋体" w:hAnsi="宋体"/>
                <w:color w:val="auto"/>
                <w:szCs w:val="21"/>
                <w:highlight w:val="none"/>
                <w:u w:val="single"/>
              </w:rPr>
            </w:pPr>
          </w:p>
        </w:tc>
      </w:tr>
      <w:tr w14:paraId="5A4158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C4E3057">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9AAB22F">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DBB8C74">
            <w:pPr>
              <w:shd w:val="clea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404B706F">
            <w:pPr>
              <w:shd w:val="clear"/>
              <w:adjustRightInd w:val="0"/>
              <w:snapToGrid w:val="0"/>
              <w:jc w:val="left"/>
              <w:rPr>
                <w:rFonts w:ascii="宋体" w:hAnsi="宋体"/>
                <w:color w:val="auto"/>
                <w:szCs w:val="21"/>
                <w:highlight w:val="none"/>
                <w:u w:val="single"/>
              </w:rPr>
            </w:pPr>
          </w:p>
        </w:tc>
      </w:tr>
      <w:tr w14:paraId="4C8F4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05B05BF">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C70A35">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3E872249">
            <w:pPr>
              <w:shd w:val="clea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00FCBD15">
            <w:pPr>
              <w:shd w:val="clea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0D7FC8E">
            <w:pPr>
              <w:shd w:val="clea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31EF697B">
            <w:pPr>
              <w:shd w:val="clea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05C0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A1077C8">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E9F9DC">
            <w:pPr>
              <w:shd w:val="clea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635E3FE2">
            <w:pPr>
              <w:shd w:val="clea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317EDDB6">
            <w:pPr>
              <w:shd w:val="clear"/>
              <w:adjustRightInd w:val="0"/>
              <w:snapToGrid w:val="0"/>
              <w:jc w:val="left"/>
              <w:rPr>
                <w:rFonts w:hint="default" w:ascii="宋体" w:hAnsi="宋体" w:eastAsia="宋体"/>
                <w:color w:val="auto"/>
                <w:szCs w:val="21"/>
                <w:highlight w:val="none"/>
                <w:lang w:val="en-US" w:eastAsia="zh-CN"/>
              </w:rPr>
            </w:pPr>
          </w:p>
        </w:tc>
      </w:tr>
    </w:tbl>
    <w:p w14:paraId="40FB16CD">
      <w:pPr>
        <w:shd w:val="clear"/>
        <w:rPr>
          <w:color w:val="auto"/>
          <w:highlight w:val="none"/>
        </w:rPr>
      </w:pPr>
    </w:p>
    <w:p w14:paraId="22E676E4">
      <w:pPr>
        <w:shd w:val="clear"/>
        <w:rPr>
          <w:color w:val="auto"/>
          <w:highlight w:val="none"/>
        </w:rPr>
      </w:pPr>
    </w:p>
    <w:p w14:paraId="5FAE4EA3">
      <w:pPr>
        <w:pStyle w:val="11"/>
        <w:shd w:val="clear" w:color="auto"/>
        <w:rPr>
          <w:rFonts w:hint="eastAsia" w:ascii="宋体" w:hAnsi="宋体" w:eastAsia="宋体" w:cs="宋体"/>
          <w:sz w:val="24"/>
          <w:szCs w:val="24"/>
          <w:highlight w:val="none"/>
          <w:lang w:val="zh-CN"/>
        </w:rPr>
      </w:pPr>
    </w:p>
    <w:p w14:paraId="246F2EB6">
      <w:pPr>
        <w:shd w:val="clear" w:color="auto"/>
        <w:spacing w:line="360" w:lineRule="auto"/>
        <w:ind w:firstLine="482" w:firstLineChars="200"/>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szCs w:val="24"/>
          <w:highlight w:val="none"/>
          <w:lang w:val="en-US" w:eastAsia="zh-CN"/>
        </w:rPr>
        <w:t>合同以甲乙双方</w:t>
      </w:r>
      <w:r>
        <w:rPr>
          <w:rFonts w:hint="eastAsia" w:ascii="宋体" w:hAnsi="宋体" w:eastAsia="宋体" w:cs="宋体"/>
          <w:b/>
          <w:bCs/>
          <w:color w:val="auto"/>
          <w:sz w:val="24"/>
          <w:szCs w:val="24"/>
          <w:highlight w:val="none"/>
        </w:rPr>
        <w:t>实际签订为准</w:t>
      </w:r>
    </w:p>
    <w:p w14:paraId="4807FC93">
      <w:pPr>
        <w:shd w:val="clear" w:color="auto"/>
        <w:spacing w:line="360" w:lineRule="auto"/>
        <w:ind w:firstLine="482" w:firstLineChars="200"/>
        <w:jc w:val="center"/>
        <w:rPr>
          <w:rFonts w:hint="default" w:ascii="宋体" w:hAnsi="宋体" w:eastAsia="宋体" w:cs="宋体"/>
          <w:b/>
          <w:color w:val="auto"/>
          <w:sz w:val="24"/>
          <w:highlight w:val="none"/>
          <w:lang w:val="en-US" w:eastAsia="zh-CN"/>
        </w:rPr>
      </w:pPr>
    </w:p>
    <w:p w14:paraId="32138DDE">
      <w:pPr>
        <w:shd w:val="clear" w:color="auto"/>
        <w:spacing w:line="360" w:lineRule="auto"/>
        <w:ind w:firstLine="482" w:firstLineChars="200"/>
        <w:jc w:val="center"/>
        <w:rPr>
          <w:rFonts w:hint="default" w:ascii="宋体" w:hAnsi="宋体" w:eastAsia="宋体" w:cs="宋体"/>
          <w:b/>
          <w:color w:val="auto"/>
          <w:sz w:val="24"/>
          <w:highlight w:val="none"/>
          <w:lang w:val="en-US" w:eastAsia="zh-CN"/>
        </w:rPr>
      </w:pPr>
    </w:p>
    <w:p w14:paraId="06949719">
      <w:pPr>
        <w:shd w:val="clear" w:color="auto"/>
        <w:spacing w:line="360" w:lineRule="auto"/>
        <w:ind w:firstLine="482" w:firstLineChars="200"/>
        <w:jc w:val="center"/>
        <w:rPr>
          <w:rFonts w:hint="default" w:ascii="宋体" w:hAnsi="宋体" w:eastAsia="宋体" w:cs="宋体"/>
          <w:b/>
          <w:color w:val="auto"/>
          <w:sz w:val="24"/>
          <w:highlight w:val="none"/>
          <w:lang w:val="en-US" w:eastAsia="zh-CN"/>
        </w:rPr>
      </w:pPr>
    </w:p>
    <w:p w14:paraId="04097EDC">
      <w:pPr>
        <w:pStyle w:val="11"/>
        <w:shd w:val="clear" w:color="auto"/>
        <w:ind w:firstLine="0"/>
        <w:rPr>
          <w:rFonts w:hint="eastAsia" w:ascii="宋体" w:hAnsi="宋体" w:cs="宋体"/>
          <w:color w:val="auto"/>
          <w:highlight w:val="none"/>
        </w:rPr>
      </w:pPr>
    </w:p>
    <w:p w14:paraId="00593544">
      <w:pPr>
        <w:keepNext w:val="0"/>
        <w:keepLines w:val="0"/>
        <w:pageBreakBefore/>
        <w:widowControl w:val="0"/>
        <w:numPr>
          <w:ilvl w:val="0"/>
          <w:numId w:val="16"/>
        </w:numPr>
        <w:shd w:val="clear" w:color="auto"/>
        <w:kinsoku/>
        <w:wordWrap/>
        <w:overflowPunct/>
        <w:topLinePunct w:val="0"/>
        <w:autoSpaceDE/>
        <w:autoSpaceDN/>
        <w:bidi w:val="0"/>
        <w:adjustRightInd/>
        <w:snapToGrid/>
        <w:spacing w:line="440" w:lineRule="exact"/>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投标文件</w:t>
      </w:r>
      <w:r>
        <w:rPr>
          <w:rFonts w:hint="eastAsia" w:ascii="宋体" w:hAnsi="宋体" w:cs="宋体"/>
          <w:b/>
          <w:color w:val="auto"/>
          <w:sz w:val="32"/>
          <w:szCs w:val="32"/>
          <w:highlight w:val="none"/>
        </w:rPr>
        <w:t>格式</w:t>
      </w:r>
      <w:bookmarkStart w:id="160" w:name="_Toc15461_WPSOffice_Level1"/>
      <w:bookmarkStart w:id="161" w:name="_Toc30658_WPSOffice_Level1"/>
      <w:bookmarkStart w:id="162" w:name="_Toc27363_WPSOffice_Level1"/>
      <w:bookmarkStart w:id="163" w:name="_Toc20883_WPSOffice_Level1"/>
      <w:bookmarkStart w:id="164" w:name="_Toc2224_WPSOffice_Level1"/>
      <w:bookmarkStart w:id="165" w:name="_Toc11695_WPSOffice_Level1"/>
      <w:bookmarkStart w:id="166" w:name="_Toc24698_WPSOffice_Level1"/>
    </w:p>
    <w:p w14:paraId="46D94243">
      <w:pPr>
        <w:pStyle w:val="15"/>
        <w:shd w:val="clear" w:color="auto"/>
        <w:ind w:left="0"/>
        <w:rPr>
          <w:rFonts w:hint="eastAsia" w:ascii="宋体" w:hAnsi="宋体" w:cs="宋体"/>
          <w:color w:val="auto"/>
          <w:highlight w:val="none"/>
        </w:rPr>
      </w:pPr>
    </w:p>
    <w:bookmarkEnd w:id="160"/>
    <w:bookmarkEnd w:id="161"/>
    <w:bookmarkEnd w:id="162"/>
    <w:bookmarkEnd w:id="163"/>
    <w:bookmarkEnd w:id="164"/>
    <w:bookmarkEnd w:id="165"/>
    <w:bookmarkEnd w:id="166"/>
    <w:p w14:paraId="3D1E5119">
      <w:pPr>
        <w:numPr>
          <w:ilvl w:val="0"/>
          <w:numId w:val="17"/>
        </w:num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的投标文件接收电子投标文件（网上上传）；</w:t>
      </w:r>
    </w:p>
    <w:p w14:paraId="6AB2B0CF">
      <w:pPr>
        <w:numPr>
          <w:ilvl w:val="0"/>
          <w:numId w:val="17"/>
        </w:num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组成：投标文件封面、资格审查资料、商务及技术文件组成；</w:t>
      </w:r>
    </w:p>
    <w:p w14:paraId="191A6E8F">
      <w:pPr>
        <w:numPr>
          <w:ilvl w:val="0"/>
          <w:numId w:val="17"/>
        </w:num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的投标文件编制内容：</w:t>
      </w:r>
    </w:p>
    <w:p w14:paraId="4E7345CF">
      <w:pPr>
        <w:shd w:val="clear" w:color="auto"/>
        <w:topLinePunct/>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封面（格式附后）；</w:t>
      </w:r>
    </w:p>
    <w:p w14:paraId="7F670257">
      <w:pPr>
        <w:shd w:val="clear" w:color="auto"/>
        <w:topLinePunct/>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2、开标一览表（格式附后）；</w:t>
      </w:r>
    </w:p>
    <w:p w14:paraId="6E00C424">
      <w:pPr>
        <w:shd w:val="clear" w:color="auto"/>
        <w:topLinePunct/>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3、报价明细表（格式附后）；</w:t>
      </w:r>
    </w:p>
    <w:p w14:paraId="7C079F8D">
      <w:pPr>
        <w:shd w:val="clear" w:color="auto"/>
        <w:topLinePunct/>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4、投标函（格式附后）；</w:t>
      </w:r>
    </w:p>
    <w:p w14:paraId="5C140081">
      <w:pPr>
        <w:shd w:val="clear" w:color="auto"/>
        <w:topLinePunct/>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5、投标方标书内需编制的资质证明文件，包括但不仅限于：</w:t>
      </w:r>
    </w:p>
    <w:p w14:paraId="53F00F0E">
      <w:pPr>
        <w:shd w:val="clear" w:color="auto"/>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（1）法定代表人身份证明或法定代表人授权委托书</w:t>
      </w:r>
      <w:r>
        <w:rPr>
          <w:rFonts w:hint="eastAsia" w:ascii="宋体" w:hAnsi="宋体" w:cs="宋体"/>
          <w:color w:val="auto"/>
          <w:kern w:val="0"/>
          <w:sz w:val="24"/>
          <w:szCs w:val="24"/>
          <w:highlight w:val="none"/>
          <w:lang w:val="en-US" w:eastAsia="zh-CN"/>
        </w:rPr>
        <w:t>和委托人身份证</w:t>
      </w:r>
      <w:r>
        <w:rPr>
          <w:rFonts w:hint="eastAsia" w:ascii="宋体" w:hAnsi="宋体" w:cs="宋体"/>
          <w:color w:val="auto"/>
          <w:kern w:val="0"/>
          <w:sz w:val="24"/>
          <w:szCs w:val="24"/>
          <w:highlight w:val="none"/>
        </w:rPr>
        <w:t>（格式附后）；</w:t>
      </w:r>
    </w:p>
    <w:p w14:paraId="54F566F4">
      <w:pPr>
        <w:shd w:val="clear" w:color="auto"/>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Theme="minorEastAsia" w:hAnsiTheme="minorEastAsia" w:eastAsiaTheme="minorEastAsia" w:cstheme="minorEastAsia"/>
          <w:sz w:val="24"/>
          <w:szCs w:val="24"/>
          <w:highlight w:val="none"/>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r>
        <w:rPr>
          <w:rFonts w:hint="eastAsia" w:ascii="宋体" w:hAnsi="宋体" w:cs="宋体"/>
          <w:color w:val="auto"/>
          <w:kern w:val="0"/>
          <w:sz w:val="24"/>
          <w:szCs w:val="24"/>
          <w:highlight w:val="none"/>
        </w:rPr>
        <w:t>；</w:t>
      </w:r>
    </w:p>
    <w:p w14:paraId="7535FE9C">
      <w:pPr>
        <w:shd w:val="clear" w:color="auto"/>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（3）具有良好的商业信誉和健全的财务会计制度</w:t>
      </w:r>
      <w:r>
        <w:rPr>
          <w:rFonts w:hint="eastAsia" w:ascii="宋体" w:hAnsi="宋体" w:cs="宋体"/>
          <w:color w:val="auto"/>
          <w:kern w:val="0"/>
          <w:sz w:val="24"/>
          <w:szCs w:val="24"/>
          <w:highlight w:val="none"/>
          <w:lang w:eastAsia="zh-CN"/>
        </w:rPr>
        <w:t>；</w:t>
      </w:r>
    </w:p>
    <w:p w14:paraId="59BDE2D2">
      <w:pPr>
        <w:shd w:val="clear" w:color="auto"/>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（4）具有履行合同所必需的设备和专业技术能力</w:t>
      </w:r>
      <w:r>
        <w:rPr>
          <w:rFonts w:hint="eastAsia" w:ascii="宋体" w:hAnsi="宋体" w:cs="宋体"/>
          <w:color w:val="auto"/>
          <w:kern w:val="0"/>
          <w:sz w:val="24"/>
          <w:szCs w:val="24"/>
          <w:highlight w:val="none"/>
          <w:lang w:eastAsia="zh-CN"/>
        </w:rPr>
        <w:t>；</w:t>
      </w:r>
    </w:p>
    <w:p w14:paraId="298F7EEC">
      <w:pPr>
        <w:shd w:val="clear" w:color="auto"/>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（5）有依法缴纳税收和社会保障资金的良好记录</w:t>
      </w:r>
      <w:r>
        <w:rPr>
          <w:rFonts w:hint="eastAsia" w:ascii="宋体" w:hAnsi="宋体" w:cs="宋体"/>
          <w:color w:val="auto"/>
          <w:kern w:val="0"/>
          <w:sz w:val="24"/>
          <w:szCs w:val="24"/>
          <w:highlight w:val="none"/>
          <w:lang w:eastAsia="zh-CN"/>
        </w:rPr>
        <w:t>；</w:t>
      </w:r>
    </w:p>
    <w:p w14:paraId="71CE9C45">
      <w:pPr>
        <w:shd w:val="clear" w:color="auto"/>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6）参加采购活动前三年内，在经营活动中没有重大违法记录。查询渠道“中国政府采购网”、“信用中国”及“中国执行信息公开网”，被列入失信被执行人、重大税收违法案件当事人名单、政府采购严重违法失信行为记录名单的供应商，不得参与本次政府采购活动，供应商自行登录网站进:行查询结果并打印完整查询结果。</w:t>
      </w:r>
      <w:r>
        <w:rPr>
          <w:rFonts w:hint="eastAsia" w:ascii="宋体" w:hAnsi="宋体" w:cs="宋体"/>
          <w:color w:val="auto"/>
          <w:kern w:val="0"/>
          <w:sz w:val="24"/>
          <w:szCs w:val="24"/>
          <w:highlight w:val="none"/>
          <w:lang w:eastAsia="zh-CN"/>
        </w:rPr>
        <w:t>；</w:t>
      </w:r>
    </w:p>
    <w:p w14:paraId="7C7BB2BE">
      <w:pPr>
        <w:shd w:val="clear" w:color="auto"/>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eastAsia="zh-CN"/>
        </w:rPr>
        <w:t>缴纳投标保证金凭证</w:t>
      </w:r>
    </w:p>
    <w:p w14:paraId="6C57DF8F">
      <w:pPr>
        <w:shd w:val="clear" w:color="auto"/>
        <w:spacing w:line="360" w:lineRule="auto"/>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6、供应商认为需提供的证明文件及资料；</w:t>
      </w:r>
    </w:p>
    <w:p w14:paraId="61266047">
      <w:pPr>
        <w:shd w:val="clear" w:color="auto"/>
        <w:tabs>
          <w:tab w:val="left" w:pos="6738"/>
        </w:tabs>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kern w:val="0"/>
          <w:sz w:val="24"/>
          <w:szCs w:val="24"/>
          <w:highlight w:val="none"/>
        </w:rPr>
        <w:t>反商业贿赂承诺书（格式附后）</w:t>
      </w:r>
      <w:r>
        <w:rPr>
          <w:rFonts w:hint="eastAsia" w:ascii="宋体" w:hAnsi="宋体" w:cs="宋体"/>
          <w:b/>
          <w:bCs/>
          <w:color w:val="auto"/>
          <w:sz w:val="24"/>
          <w:szCs w:val="24"/>
          <w:highlight w:val="none"/>
        </w:rPr>
        <w:t>；</w:t>
      </w:r>
    </w:p>
    <w:p w14:paraId="18A2061D">
      <w:pPr>
        <w:shd w:val="clear" w:color="auto"/>
        <w:tabs>
          <w:tab w:val="left" w:pos="6738"/>
        </w:tabs>
        <w:spacing w:line="360" w:lineRule="auto"/>
        <w:ind w:firstLine="482" w:firstLineChars="200"/>
        <w:jc w:val="left"/>
        <w:rPr>
          <w:rFonts w:hint="eastAsia"/>
          <w:color w:val="auto"/>
          <w:highlight w:val="none"/>
        </w:rPr>
      </w:pP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、廉洁投标承诺书（格式附后）；</w:t>
      </w:r>
    </w:p>
    <w:p w14:paraId="43E67457">
      <w:pPr>
        <w:shd w:val="clear" w:color="auto"/>
        <w:tabs>
          <w:tab w:val="left" w:pos="6738"/>
        </w:tabs>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9、关于《中华人民共和国政府采购法》第二十二条的承诺书</w:t>
      </w:r>
      <w:r>
        <w:rPr>
          <w:rFonts w:hint="eastAsia" w:ascii="宋体" w:hAnsi="宋体" w:cs="宋体"/>
          <w:b/>
          <w:bCs/>
          <w:color w:val="auto"/>
          <w:kern w:val="0"/>
          <w:sz w:val="24"/>
          <w:szCs w:val="24"/>
          <w:highlight w:val="none"/>
        </w:rPr>
        <w:t>（格式附后）</w:t>
      </w:r>
      <w:r>
        <w:rPr>
          <w:rFonts w:hint="eastAsia" w:ascii="宋体" w:hAnsi="宋体" w:cs="宋体"/>
          <w:b/>
          <w:bCs/>
          <w:color w:val="auto"/>
          <w:kern w:val="0"/>
          <w:sz w:val="24"/>
          <w:szCs w:val="24"/>
          <w:highlight w:val="none"/>
          <w:lang w:eastAsia="zh-CN"/>
        </w:rPr>
        <w:t>；</w:t>
      </w:r>
    </w:p>
    <w:p w14:paraId="3AB27691">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eastAsia="zh-CN"/>
        </w:rPr>
        <w:t>、关于资格的声明函（格式附后）；</w:t>
      </w:r>
    </w:p>
    <w:p w14:paraId="1722E49D">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zh-CN" w:eastAsia="zh-CN"/>
        </w:rPr>
        <w:t>采购需求</w:t>
      </w:r>
      <w:r>
        <w:rPr>
          <w:rFonts w:hint="eastAsia" w:ascii="宋体" w:hAnsi="宋体" w:eastAsia="宋体" w:cs="宋体"/>
          <w:b/>
          <w:bCs/>
          <w:color w:val="auto"/>
          <w:kern w:val="0"/>
          <w:sz w:val="24"/>
          <w:szCs w:val="24"/>
          <w:highlight w:val="none"/>
          <w:lang w:val="en-US" w:eastAsia="zh-CN"/>
        </w:rPr>
        <w:t>技术</w:t>
      </w:r>
      <w:r>
        <w:rPr>
          <w:rFonts w:hint="eastAsia" w:ascii="宋体" w:hAnsi="宋体" w:eastAsia="宋体" w:cs="宋体"/>
          <w:b/>
          <w:bCs/>
          <w:color w:val="auto"/>
          <w:kern w:val="0"/>
          <w:sz w:val="24"/>
          <w:szCs w:val="24"/>
          <w:highlight w:val="none"/>
          <w:lang w:val="zh-CN" w:eastAsia="zh-CN"/>
        </w:rPr>
        <w:t>响应</w:t>
      </w:r>
      <w:r>
        <w:rPr>
          <w:rFonts w:hint="eastAsia" w:ascii="宋体" w:hAnsi="宋体" w:eastAsia="宋体" w:cs="宋体"/>
          <w:b/>
          <w:bCs/>
          <w:color w:val="auto"/>
          <w:kern w:val="0"/>
          <w:sz w:val="24"/>
          <w:szCs w:val="24"/>
          <w:highlight w:val="none"/>
          <w:lang w:val="en-US" w:eastAsia="zh-CN"/>
        </w:rPr>
        <w:t>参数</w:t>
      </w:r>
      <w:r>
        <w:rPr>
          <w:rFonts w:hint="eastAsia" w:ascii="宋体" w:hAnsi="宋体" w:eastAsia="宋体" w:cs="宋体"/>
          <w:b/>
          <w:bCs/>
          <w:color w:val="auto"/>
          <w:kern w:val="0"/>
          <w:sz w:val="24"/>
          <w:szCs w:val="24"/>
          <w:highlight w:val="none"/>
          <w:lang w:val="zh-CN" w:eastAsia="zh-CN"/>
        </w:rPr>
        <w:t>偏离表</w:t>
      </w:r>
      <w:r>
        <w:rPr>
          <w:rFonts w:hint="eastAsia" w:ascii="宋体" w:hAnsi="宋体" w:eastAsia="宋体" w:cs="宋体"/>
          <w:b/>
          <w:bCs/>
          <w:color w:val="auto"/>
          <w:kern w:val="0"/>
          <w:sz w:val="24"/>
          <w:szCs w:val="24"/>
          <w:highlight w:val="none"/>
          <w:lang w:eastAsia="zh-CN"/>
        </w:rPr>
        <w:t>；</w:t>
      </w:r>
    </w:p>
    <w:p w14:paraId="3426E2EF">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、供应商类似项目业绩表</w:t>
      </w:r>
    </w:p>
    <w:p w14:paraId="1B2768E9">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13、</w:t>
      </w:r>
      <w:r>
        <w:rPr>
          <w:rFonts w:hint="eastAsia" w:ascii="宋体" w:hAnsi="宋体" w:eastAsia="宋体" w:cs="宋体"/>
          <w:b/>
          <w:bCs/>
          <w:color w:val="auto"/>
          <w:kern w:val="0"/>
          <w:sz w:val="24"/>
          <w:szCs w:val="24"/>
          <w:highlight w:val="none"/>
          <w:lang w:val="en-US" w:eastAsia="zh-CN"/>
        </w:rPr>
        <w:t>项目实施</w:t>
      </w:r>
      <w:r>
        <w:rPr>
          <w:rFonts w:hint="eastAsia" w:ascii="宋体" w:hAnsi="宋体" w:eastAsia="宋体" w:cs="宋体"/>
          <w:b/>
          <w:bCs/>
          <w:color w:val="auto"/>
          <w:kern w:val="0"/>
          <w:sz w:val="24"/>
          <w:szCs w:val="24"/>
          <w:highlight w:val="none"/>
          <w:lang w:val="zh-CN" w:eastAsia="zh-CN"/>
        </w:rPr>
        <w:t>方案</w:t>
      </w:r>
      <w:r>
        <w:rPr>
          <w:rFonts w:hint="eastAsia" w:ascii="宋体" w:hAnsi="宋体" w:eastAsia="宋体" w:cs="宋体"/>
          <w:b/>
          <w:bCs/>
          <w:color w:val="auto"/>
          <w:kern w:val="0"/>
          <w:sz w:val="24"/>
          <w:szCs w:val="24"/>
          <w:highlight w:val="none"/>
          <w:lang w:eastAsia="zh-CN"/>
        </w:rPr>
        <w:t>；</w:t>
      </w:r>
    </w:p>
    <w:p w14:paraId="7FA595DA">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售后服务</w:t>
      </w:r>
      <w:r>
        <w:rPr>
          <w:rFonts w:hint="eastAsia" w:ascii="宋体" w:hAnsi="宋体" w:eastAsia="宋体" w:cs="宋体"/>
          <w:b/>
          <w:bCs/>
          <w:color w:val="auto"/>
          <w:kern w:val="0"/>
          <w:sz w:val="24"/>
          <w:szCs w:val="24"/>
          <w:highlight w:val="none"/>
          <w:lang w:val="en-US" w:eastAsia="zh-CN"/>
        </w:rPr>
        <w:t>方案；</w:t>
      </w:r>
    </w:p>
    <w:p w14:paraId="152590CA">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培训方案；</w:t>
      </w:r>
    </w:p>
    <w:p w14:paraId="04121B64">
      <w:pPr>
        <w:shd w:val="clear" w:color="auto"/>
        <w:tabs>
          <w:tab w:val="left" w:pos="6738"/>
        </w:tabs>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eastAsia="zh-CN"/>
        </w:rPr>
        <w:t>、提供其它有利于投标的资料。</w:t>
      </w:r>
    </w:p>
    <w:p w14:paraId="1F374143">
      <w:pPr>
        <w:pStyle w:val="11"/>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（1）中、小微企业声明函；</w:t>
      </w:r>
      <w:r>
        <w:rPr>
          <w:rFonts w:hint="eastAsia" w:ascii="宋体" w:hAnsi="宋体" w:cs="宋体"/>
          <w:color w:val="auto"/>
          <w:kern w:val="0"/>
          <w:sz w:val="24"/>
          <w:szCs w:val="24"/>
          <w:highlight w:val="none"/>
        </w:rPr>
        <w:t>（格式附后）</w:t>
      </w:r>
    </w:p>
    <w:p w14:paraId="7BFA8A03">
      <w:pPr>
        <w:pStyle w:val="11"/>
        <w:shd w:val="clear" w:color="auto"/>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（2）其它内容可自行补充。</w:t>
      </w:r>
    </w:p>
    <w:p w14:paraId="1BBECB4E">
      <w:pPr>
        <w:pStyle w:val="11"/>
        <w:shd w:val="clear" w:color="auto"/>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（注：供应商须按招标要求提供，</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响应文件应当使用</w:t>
      </w:r>
      <w:r>
        <w:rPr>
          <w:rFonts w:hint="eastAsia" w:ascii="宋体" w:hAnsi="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文件所提</w:t>
      </w:r>
      <w:r>
        <w:rPr>
          <w:rFonts w:hint="eastAsia" w:ascii="宋体" w:hAnsi="宋体" w:eastAsia="宋体" w:cs="宋体"/>
          <w:b/>
          <w:bCs/>
          <w:color w:val="auto"/>
          <w:sz w:val="24"/>
          <w:szCs w:val="24"/>
          <w:highlight w:val="none"/>
          <w:lang w:eastAsia="zh-CN"/>
        </w:rPr>
        <w:t>供的</w:t>
      </w:r>
      <w:r>
        <w:rPr>
          <w:rFonts w:hint="eastAsia" w:ascii="宋体" w:hAnsi="宋体" w:eastAsia="宋体" w:cs="宋体"/>
          <w:b/>
          <w:bCs/>
          <w:color w:val="auto"/>
          <w:sz w:val="24"/>
          <w:szCs w:val="24"/>
          <w:highlight w:val="none"/>
        </w:rPr>
        <w:t>响应文件格式（表格可按照同样格式扩展）。未提供格式的，由供应商用文字或者表格、图片等其它形式提供</w:t>
      </w:r>
      <w:r>
        <w:rPr>
          <w:rFonts w:hint="eastAsia" w:ascii="宋体" w:hAnsi="宋体" w:eastAsia="宋体" w:cs="宋体"/>
          <w:b/>
          <w:bCs/>
          <w:color w:val="auto"/>
          <w:sz w:val="24"/>
          <w:szCs w:val="24"/>
          <w:highlight w:val="none"/>
          <w:lang w:eastAsia="zh-CN"/>
        </w:rPr>
        <w:t>。</w:t>
      </w:r>
    </w:p>
    <w:p w14:paraId="233D16F3">
      <w:pPr>
        <w:shd w:val="clear" w:color="auto"/>
        <w:rPr>
          <w:rFonts w:hint="eastAsia" w:ascii="宋体" w:hAnsi="宋体" w:cs="宋体"/>
          <w:b/>
          <w:bCs/>
          <w:color w:val="auto"/>
          <w:sz w:val="32"/>
          <w:szCs w:val="28"/>
          <w:highlight w:val="none"/>
          <w:lang w:eastAsia="zh-CN"/>
        </w:rPr>
      </w:pPr>
      <w:bookmarkStart w:id="167" w:name="_Toc20003_WPSOffice_Level1"/>
      <w:bookmarkStart w:id="168" w:name="_Toc24551_WPSOffice_Level1"/>
      <w:bookmarkStart w:id="169" w:name="_Toc23181_WPSOffice_Level1"/>
      <w:bookmarkStart w:id="170" w:name="_Toc8156_WPSOffice_Level1"/>
      <w:bookmarkStart w:id="171" w:name="_Toc29673_WPSOffice_Level1"/>
      <w:bookmarkStart w:id="172" w:name="_Toc8516_WPSOffice_Level1"/>
    </w:p>
    <w:p w14:paraId="49A7E0ED">
      <w:pPr>
        <w:keepNext w:val="0"/>
        <w:keepLines w:val="0"/>
        <w:pageBreakBefore/>
        <w:widowControl/>
        <w:shd w:val="clear" w:color="auto"/>
        <w:kinsoku/>
        <w:wordWrap/>
        <w:overflowPunct/>
        <w:topLinePunct w:val="0"/>
        <w:autoSpaceDE/>
        <w:autoSpaceDN/>
        <w:bidi w:val="0"/>
        <w:adjustRightInd/>
        <w:snapToGrid/>
        <w:textAlignment w:val="auto"/>
        <w:rPr>
          <w:rFonts w:hint="eastAsia" w:ascii="宋体" w:hAnsi="宋体" w:cs="宋体"/>
          <w:b/>
          <w:bCs/>
          <w:color w:val="auto"/>
          <w:sz w:val="32"/>
          <w:szCs w:val="28"/>
          <w:highlight w:val="none"/>
        </w:rPr>
      </w:pPr>
      <w:r>
        <w:rPr>
          <w:rFonts w:hint="eastAsia" w:ascii="宋体" w:hAnsi="宋体" w:cs="宋体"/>
          <w:b/>
          <w:bCs/>
          <w:color w:val="auto"/>
          <w:sz w:val="32"/>
          <w:szCs w:val="28"/>
          <w:highlight w:val="none"/>
          <w:lang w:val="en-US" w:eastAsia="zh-CN"/>
        </w:rPr>
        <w:t>1.</w:t>
      </w:r>
      <w:r>
        <w:rPr>
          <w:rFonts w:hint="eastAsia" w:ascii="宋体" w:hAnsi="宋体" w:cs="宋体"/>
          <w:b/>
          <w:bCs/>
          <w:color w:val="auto"/>
          <w:sz w:val="32"/>
          <w:szCs w:val="28"/>
          <w:highlight w:val="none"/>
          <w:lang w:eastAsia="zh-CN"/>
        </w:rPr>
        <w:t>投标文件</w:t>
      </w:r>
      <w:r>
        <w:rPr>
          <w:rFonts w:hint="eastAsia" w:ascii="宋体" w:hAnsi="宋体" w:cs="宋体"/>
          <w:b/>
          <w:bCs/>
          <w:color w:val="auto"/>
          <w:sz w:val="32"/>
          <w:szCs w:val="28"/>
          <w:highlight w:val="none"/>
        </w:rPr>
        <w:t>封面格式：</w:t>
      </w:r>
    </w:p>
    <w:p w14:paraId="4F6796F1">
      <w:pPr>
        <w:pStyle w:val="11"/>
        <w:shd w:val="clear" w:color="auto"/>
        <w:rPr>
          <w:rFonts w:hint="eastAsia" w:ascii="宋体" w:hAnsi="宋体" w:cs="宋体"/>
          <w:b/>
          <w:bCs/>
          <w:color w:val="auto"/>
          <w:sz w:val="32"/>
          <w:szCs w:val="28"/>
          <w:highlight w:val="none"/>
        </w:rPr>
      </w:pPr>
    </w:p>
    <w:p w14:paraId="7A3CC937">
      <w:pPr>
        <w:pStyle w:val="11"/>
        <w:shd w:val="clear" w:color="auto"/>
        <w:ind w:firstLine="0"/>
        <w:rPr>
          <w:rFonts w:hint="eastAsia" w:ascii="宋体" w:hAnsi="宋体" w:cs="宋体"/>
          <w:color w:val="auto"/>
          <w:highlight w:val="none"/>
        </w:rPr>
      </w:pPr>
    </w:p>
    <w:p w14:paraId="730743B4">
      <w:pPr>
        <w:pStyle w:val="11"/>
        <w:shd w:val="clear" w:color="auto"/>
        <w:rPr>
          <w:rFonts w:hint="eastAsia" w:ascii="宋体" w:hAnsi="宋体" w:cs="宋体"/>
          <w:color w:val="auto"/>
          <w:highlight w:val="none"/>
        </w:rPr>
      </w:pPr>
    </w:p>
    <w:p w14:paraId="031B8A9B">
      <w:pPr>
        <w:pStyle w:val="11"/>
        <w:shd w:val="clear" w:color="auto"/>
        <w:rPr>
          <w:rFonts w:hint="eastAsia"/>
          <w:color w:val="auto"/>
          <w:highlight w:val="none"/>
        </w:rPr>
      </w:pPr>
      <w:r>
        <w:rPr>
          <w:rFonts w:hint="eastAsia" w:ascii="宋体" w:hAnsi="宋体" w:cs="宋体"/>
          <w:b/>
          <w:color w:val="auto"/>
          <w:sz w:val="44"/>
          <w:szCs w:val="44"/>
          <w:highlight w:val="none"/>
          <w:lang w:eastAsia="zh-CN"/>
        </w:rPr>
        <w:t>新疆科技学院现代化工与纺织实训中心设备采购项目</w:t>
      </w:r>
    </w:p>
    <w:p w14:paraId="4C26649B">
      <w:pPr>
        <w:shd w:val="clear" w:color="auto"/>
        <w:spacing w:line="276" w:lineRule="auto"/>
        <w:ind w:left="-199" w:leftChars="-95"/>
        <w:jc w:val="center"/>
        <w:rPr>
          <w:rFonts w:hint="eastAsia" w:ascii="宋体" w:hAnsi="宋体" w:cs="宋体"/>
          <w:b/>
          <w:color w:val="auto"/>
          <w:sz w:val="40"/>
          <w:szCs w:val="40"/>
          <w:highlight w:val="none"/>
          <w:lang w:eastAsia="zh-CN"/>
        </w:rPr>
      </w:pPr>
    </w:p>
    <w:p w14:paraId="11C6997F">
      <w:pPr>
        <w:shd w:val="clear" w:color="auto"/>
        <w:spacing w:line="276" w:lineRule="auto"/>
        <w:ind w:left="-199" w:leftChars="-95"/>
        <w:jc w:val="center"/>
        <w:rPr>
          <w:rFonts w:hint="eastAsia" w:ascii="宋体" w:hAnsi="宋体" w:cs="宋体"/>
          <w:b/>
          <w:color w:val="auto"/>
          <w:sz w:val="40"/>
          <w:szCs w:val="40"/>
          <w:highlight w:val="none"/>
          <w:lang w:eastAsia="zh-CN"/>
        </w:rPr>
      </w:pPr>
    </w:p>
    <w:p w14:paraId="419A4A13">
      <w:pPr>
        <w:shd w:val="clear" w:color="auto"/>
        <w:spacing w:line="276" w:lineRule="auto"/>
        <w:ind w:left="-199" w:leftChars="-95"/>
        <w:jc w:val="center"/>
        <w:rPr>
          <w:rFonts w:hint="eastAsia" w:ascii="宋体" w:hAnsi="宋体" w:cs="宋体"/>
          <w:b/>
          <w:color w:val="auto"/>
          <w:sz w:val="40"/>
          <w:szCs w:val="40"/>
          <w:highlight w:val="none"/>
          <w:lang w:eastAsia="zh-CN"/>
        </w:rPr>
      </w:pPr>
    </w:p>
    <w:p w14:paraId="43A1296F">
      <w:pPr>
        <w:shd w:val="clear" w:color="auto"/>
        <w:spacing w:line="276" w:lineRule="auto"/>
        <w:ind w:left="-199" w:leftChars="-95"/>
        <w:jc w:val="center"/>
        <w:rPr>
          <w:rFonts w:hint="eastAsia" w:ascii="宋体" w:hAnsi="宋体" w:cs="宋体"/>
          <w:b/>
          <w:color w:val="auto"/>
          <w:sz w:val="40"/>
          <w:szCs w:val="40"/>
          <w:highlight w:val="none"/>
          <w:lang w:eastAsia="zh-CN"/>
        </w:rPr>
      </w:pPr>
    </w:p>
    <w:p w14:paraId="53DCB06D">
      <w:pPr>
        <w:shd w:val="clear" w:color="auto"/>
        <w:spacing w:line="276" w:lineRule="auto"/>
        <w:ind w:left="-199" w:leftChars="-95"/>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eastAsia="zh-CN"/>
        </w:rPr>
        <w:t>投标文件</w:t>
      </w:r>
    </w:p>
    <w:p w14:paraId="6FEA332C">
      <w:pPr>
        <w:pStyle w:val="11"/>
        <w:shd w:val="clear" w:color="auto"/>
        <w:rPr>
          <w:rFonts w:hint="eastAsia" w:ascii="宋体" w:hAnsi="宋体" w:cs="宋体"/>
          <w:color w:val="auto"/>
          <w:sz w:val="18"/>
          <w:szCs w:val="16"/>
          <w:highlight w:val="none"/>
        </w:rPr>
      </w:pPr>
    </w:p>
    <w:p w14:paraId="5B423A7B">
      <w:pPr>
        <w:shd w:val="clear" w:color="auto"/>
        <w:spacing w:line="360" w:lineRule="auto"/>
        <w:ind w:firstLine="1687" w:firstLineChars="600"/>
        <w:rPr>
          <w:rFonts w:hint="eastAsia" w:ascii="宋体" w:hAnsi="宋体" w:cs="宋体"/>
          <w:b/>
          <w:color w:val="auto"/>
          <w:kern w:val="0"/>
          <w:sz w:val="28"/>
          <w:szCs w:val="28"/>
          <w:highlight w:val="none"/>
        </w:rPr>
      </w:pPr>
    </w:p>
    <w:p w14:paraId="63631BBD">
      <w:pPr>
        <w:pStyle w:val="148"/>
        <w:numPr>
          <w:ilvl w:val="0"/>
          <w:numId w:val="0"/>
        </w:numPr>
        <w:shd w:val="clear" w:color="auto"/>
        <w:ind w:left="6720" w:leftChars="0"/>
        <w:jc w:val="both"/>
        <w:rPr>
          <w:rFonts w:hint="eastAsia"/>
          <w:color w:val="auto"/>
          <w:highlight w:val="none"/>
        </w:rPr>
      </w:pPr>
    </w:p>
    <w:p w14:paraId="24F9D8C6">
      <w:pPr>
        <w:shd w:val="clear" w:color="auto"/>
        <w:rPr>
          <w:rFonts w:hint="eastAsia" w:ascii="宋体" w:hAnsi="宋体" w:cs="宋体"/>
          <w:b/>
          <w:color w:val="auto"/>
          <w:sz w:val="72"/>
          <w:szCs w:val="72"/>
          <w:highlight w:val="none"/>
        </w:rPr>
      </w:pPr>
      <w:r>
        <w:rPr>
          <w:rFonts w:hint="eastAsia" w:ascii="宋体" w:hAnsi="宋体" w:eastAsia="宋体" w:cs="宋体"/>
          <w:b/>
          <w:bCs/>
          <w:color w:val="auto"/>
          <w:sz w:val="28"/>
          <w:szCs w:val="32"/>
          <w:highlight w:val="none"/>
          <w:lang w:val="en-US" w:eastAsia="zh-CN"/>
        </w:rPr>
        <w:t>采购编号：</w:t>
      </w:r>
      <w:r>
        <w:rPr>
          <w:rFonts w:hint="eastAsia" w:ascii="宋体" w:hAnsi="宋体" w:cs="宋体"/>
          <w:b/>
          <w:bCs/>
          <w:color w:val="auto"/>
          <w:sz w:val="28"/>
          <w:szCs w:val="32"/>
          <w:highlight w:val="none"/>
          <w:lang w:val="en-US" w:eastAsia="zh-CN"/>
        </w:rPr>
        <w:t xml:space="preserve">  </w:t>
      </w:r>
    </w:p>
    <w:p w14:paraId="3C4688C1">
      <w:pPr>
        <w:pStyle w:val="148"/>
        <w:widowControl w:val="0"/>
        <w:numPr>
          <w:ilvl w:val="0"/>
          <w:numId w:val="0"/>
        </w:numPr>
        <w:shd w:val="clear" w:color="auto"/>
        <w:jc w:val="center"/>
        <w:rPr>
          <w:rFonts w:hint="eastAsia" w:ascii="宋体" w:hAnsi="宋体" w:cs="宋体"/>
          <w:b/>
          <w:color w:val="auto"/>
          <w:sz w:val="72"/>
          <w:szCs w:val="72"/>
          <w:highlight w:val="none"/>
        </w:rPr>
      </w:pPr>
    </w:p>
    <w:p w14:paraId="31735BFB">
      <w:pPr>
        <w:pStyle w:val="148"/>
        <w:widowControl w:val="0"/>
        <w:numPr>
          <w:ilvl w:val="0"/>
          <w:numId w:val="0"/>
        </w:numPr>
        <w:shd w:val="clear" w:color="auto"/>
        <w:jc w:val="center"/>
        <w:rPr>
          <w:rFonts w:hint="eastAsia" w:ascii="宋体" w:hAnsi="宋体" w:cs="宋体"/>
          <w:b/>
          <w:color w:val="auto"/>
          <w:sz w:val="72"/>
          <w:szCs w:val="72"/>
          <w:highlight w:val="none"/>
        </w:rPr>
      </w:pPr>
    </w:p>
    <w:p w14:paraId="36D46708">
      <w:pPr>
        <w:pStyle w:val="148"/>
        <w:widowControl w:val="0"/>
        <w:numPr>
          <w:ilvl w:val="0"/>
          <w:numId w:val="0"/>
        </w:numPr>
        <w:shd w:val="clear" w:color="auto"/>
        <w:jc w:val="center"/>
        <w:rPr>
          <w:rFonts w:hint="eastAsia" w:ascii="宋体" w:hAnsi="宋体" w:cs="宋体"/>
          <w:b/>
          <w:color w:val="auto"/>
          <w:sz w:val="72"/>
          <w:szCs w:val="72"/>
          <w:highlight w:val="none"/>
        </w:rPr>
      </w:pPr>
    </w:p>
    <w:p w14:paraId="40AE2298">
      <w:pPr>
        <w:shd w:val="clear" w:color="auto"/>
        <w:spacing w:line="360" w:lineRule="auto"/>
        <w:rPr>
          <w:rFonts w:hint="eastAsia" w:ascii="宋体" w:hAnsi="宋体" w:cs="宋体"/>
          <w:b/>
          <w:color w:val="auto"/>
          <w:highlight w:val="none"/>
        </w:rPr>
      </w:pPr>
    </w:p>
    <w:p w14:paraId="319A54AD">
      <w:pPr>
        <w:shd w:val="clear" w:color="auto"/>
        <w:spacing w:line="360" w:lineRule="auto"/>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供应商（单位名称）：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14:paraId="234A6AF5">
      <w:pPr>
        <w:shd w:val="clear" w:color="auto"/>
        <w:spacing w:line="360" w:lineRule="auto"/>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法定代表人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4C6F538F">
      <w:pPr>
        <w:shd w:val="clear" w:color="auto"/>
        <w:spacing w:line="360" w:lineRule="auto"/>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单位地址：</w:t>
      </w:r>
      <w:r>
        <w:rPr>
          <w:rFonts w:hint="eastAsia" w:ascii="宋体" w:hAnsi="宋体" w:cs="宋体"/>
          <w:color w:val="auto"/>
          <w:sz w:val="28"/>
          <w:szCs w:val="28"/>
          <w:highlight w:val="none"/>
          <w:u w:val="single"/>
        </w:rPr>
        <w:t xml:space="preserve">                                 </w:t>
      </w:r>
    </w:p>
    <w:p w14:paraId="0DB48345">
      <w:pPr>
        <w:shd w:val="clear" w:color="auto"/>
        <w:spacing w:line="360" w:lineRule="auto"/>
        <w:ind w:firstLine="840" w:firstLineChars="3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p>
    <w:p w14:paraId="123BBDDF">
      <w:pPr>
        <w:shd w:val="clear" w:color="auto"/>
        <w:spacing w:line="360" w:lineRule="auto"/>
        <w:ind w:firstLine="840" w:firstLineChars="300"/>
        <w:rPr>
          <w:rFonts w:hint="eastAsia"/>
          <w:color w:val="auto"/>
          <w:highlight w:val="none"/>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rPr>
        <w:t xml:space="preserve">                                 </w:t>
      </w:r>
    </w:p>
    <w:p w14:paraId="026120B6">
      <w:pPr>
        <w:pStyle w:val="238"/>
        <w:keepNext w:val="0"/>
        <w:keepLines w:val="0"/>
        <w:pageBreakBefore/>
        <w:widowControl w:val="0"/>
        <w:shd w:val="clear" w:color="auto"/>
        <w:kinsoku/>
        <w:wordWrap/>
        <w:overflowPunct/>
        <w:topLinePunct w:val="0"/>
        <w:autoSpaceDE/>
        <w:autoSpaceDN/>
        <w:bidi w:val="0"/>
        <w:adjustRightInd/>
        <w:snapToGrid/>
        <w:jc w:val="center"/>
        <w:textAlignment w:val="auto"/>
        <w:rPr>
          <w:rFonts w:hint="eastAsia" w:ascii="宋体" w:hAnsi="宋体" w:cs="宋体"/>
          <w:b/>
          <w:color w:val="auto"/>
          <w:sz w:val="32"/>
          <w:szCs w:val="24"/>
          <w:highlight w:val="none"/>
        </w:rPr>
      </w:pPr>
      <w:bookmarkStart w:id="173" w:name="_Toc32368_WPSOffice_Level1"/>
      <w:bookmarkStart w:id="174" w:name="_Toc13820_WPSOffice_Level1"/>
      <w:bookmarkStart w:id="175" w:name="_Toc23446_WPSOffice_Level1"/>
      <w:bookmarkStart w:id="176" w:name="_Toc10811_WPSOffice_Level1"/>
      <w:bookmarkStart w:id="177" w:name="_Toc26634_WPSOffice_Level1"/>
      <w:bookmarkStart w:id="178" w:name="_Toc10947_WPSOffice_Level1"/>
      <w:bookmarkStart w:id="179" w:name="_Toc5569_WPSOffice_Level1"/>
      <w:r>
        <w:rPr>
          <w:rFonts w:hint="eastAsia" w:ascii="宋体" w:hAnsi="宋体" w:cs="宋体"/>
          <w:b/>
          <w:color w:val="auto"/>
          <w:sz w:val="32"/>
          <w:szCs w:val="24"/>
          <w:highlight w:val="none"/>
          <w:lang w:val="en-US" w:eastAsia="zh-CN"/>
        </w:rPr>
        <w:t>2.</w:t>
      </w:r>
      <w:r>
        <w:rPr>
          <w:rFonts w:hint="eastAsia" w:ascii="宋体" w:hAnsi="宋体" w:cs="宋体"/>
          <w:b/>
          <w:color w:val="auto"/>
          <w:sz w:val="32"/>
          <w:szCs w:val="24"/>
          <w:highlight w:val="none"/>
        </w:rPr>
        <w:t>开标一览表</w:t>
      </w:r>
    </w:p>
    <w:bookmarkEnd w:id="173"/>
    <w:bookmarkEnd w:id="174"/>
    <w:bookmarkEnd w:id="175"/>
    <w:bookmarkEnd w:id="176"/>
    <w:bookmarkEnd w:id="177"/>
    <w:bookmarkEnd w:id="178"/>
    <w:bookmarkEnd w:id="179"/>
    <w:p w14:paraId="5055BE38">
      <w:pPr>
        <w:pStyle w:val="238"/>
        <w:shd w:val="clear" w:color="auto"/>
        <w:jc w:val="both"/>
        <w:rPr>
          <w:rFonts w:hint="eastAsia" w:ascii="宋体" w:hAnsi="宋体" w:cs="宋体"/>
          <w:b/>
          <w:color w:val="auto"/>
          <w:sz w:val="32"/>
          <w:szCs w:val="32"/>
          <w:highlight w:val="none"/>
        </w:rPr>
      </w:pPr>
    </w:p>
    <w:p w14:paraId="10E610AE">
      <w:pPr>
        <w:pStyle w:val="175"/>
        <w:shd w:val="clear" w:color="auto"/>
        <w:spacing w:line="360" w:lineRule="auto"/>
        <w:ind w:firstLine="0" w:firstLineChars="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 xml:space="preserve">                                                    币种：人民币</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87"/>
        <w:gridCol w:w="3029"/>
        <w:gridCol w:w="1236"/>
        <w:gridCol w:w="1724"/>
      </w:tblGrid>
      <w:tr w14:paraId="1C70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82" w:type="dxa"/>
            <w:noWrap w:val="0"/>
            <w:vAlign w:val="center"/>
          </w:tcPr>
          <w:p w14:paraId="1D3650E4">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87" w:type="dxa"/>
            <w:noWrap w:val="0"/>
            <w:vAlign w:val="center"/>
          </w:tcPr>
          <w:p w14:paraId="62B9B45D">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029" w:type="dxa"/>
            <w:noWrap w:val="0"/>
            <w:vAlign w:val="center"/>
          </w:tcPr>
          <w:p w14:paraId="28142CC8">
            <w:pPr>
              <w:shd w:val="clear" w:color="auto"/>
              <w:spacing w:line="500" w:lineRule="exact"/>
              <w:rPr>
                <w:rFonts w:ascii="宋体" w:hAnsi="宋体" w:eastAsia="宋体" w:cs="宋体"/>
                <w:color w:val="auto"/>
                <w:sz w:val="24"/>
                <w:szCs w:val="24"/>
                <w:highlight w:val="none"/>
              </w:rPr>
            </w:pPr>
          </w:p>
        </w:tc>
        <w:tc>
          <w:tcPr>
            <w:tcW w:w="1236" w:type="dxa"/>
            <w:noWrap w:val="0"/>
            <w:vAlign w:val="center"/>
          </w:tcPr>
          <w:p w14:paraId="582D5469">
            <w:pPr>
              <w:shd w:val="clear" w:color="auto"/>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724" w:type="dxa"/>
            <w:noWrap w:val="0"/>
            <w:vAlign w:val="center"/>
          </w:tcPr>
          <w:p w14:paraId="0AF1028B">
            <w:pPr>
              <w:shd w:val="clear" w:color="auto"/>
              <w:spacing w:line="500" w:lineRule="exact"/>
              <w:rPr>
                <w:rFonts w:ascii="宋体" w:hAnsi="宋体" w:eastAsia="宋体" w:cs="宋体"/>
                <w:color w:val="auto"/>
                <w:sz w:val="24"/>
                <w:szCs w:val="24"/>
                <w:highlight w:val="none"/>
              </w:rPr>
            </w:pPr>
          </w:p>
        </w:tc>
      </w:tr>
      <w:tr w14:paraId="4980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2" w:type="dxa"/>
            <w:noWrap w:val="0"/>
            <w:vAlign w:val="center"/>
          </w:tcPr>
          <w:p w14:paraId="4EDC86F5">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87" w:type="dxa"/>
            <w:noWrap w:val="0"/>
            <w:vAlign w:val="center"/>
          </w:tcPr>
          <w:p w14:paraId="22FE08D3">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989" w:type="dxa"/>
            <w:gridSpan w:val="3"/>
            <w:noWrap w:val="0"/>
            <w:vAlign w:val="center"/>
          </w:tcPr>
          <w:p w14:paraId="4E8A8737">
            <w:pPr>
              <w:shd w:val="clear" w:color="auto"/>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F0ED77F">
            <w:pPr>
              <w:shd w:val="clear" w:color="auto"/>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c>
      </w:tr>
      <w:tr w14:paraId="2993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2" w:type="dxa"/>
            <w:noWrap w:val="0"/>
            <w:vAlign w:val="center"/>
          </w:tcPr>
          <w:p w14:paraId="5D76A842">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87" w:type="dxa"/>
            <w:noWrap w:val="0"/>
            <w:vAlign w:val="center"/>
          </w:tcPr>
          <w:p w14:paraId="664B7A23">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供货期</w:t>
            </w:r>
          </w:p>
        </w:tc>
        <w:tc>
          <w:tcPr>
            <w:tcW w:w="5989" w:type="dxa"/>
            <w:gridSpan w:val="3"/>
            <w:noWrap w:val="0"/>
            <w:vAlign w:val="center"/>
          </w:tcPr>
          <w:p w14:paraId="7A16F333">
            <w:pPr>
              <w:shd w:val="clear" w:color="auto"/>
              <w:spacing w:line="500" w:lineRule="exact"/>
              <w:jc w:val="left"/>
              <w:rPr>
                <w:rFonts w:ascii="宋体" w:hAnsi="宋体" w:eastAsia="宋体" w:cs="宋体"/>
                <w:color w:val="auto"/>
                <w:sz w:val="24"/>
                <w:szCs w:val="24"/>
                <w:highlight w:val="none"/>
              </w:rPr>
            </w:pPr>
          </w:p>
        </w:tc>
      </w:tr>
      <w:tr w14:paraId="1A3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2" w:type="dxa"/>
            <w:noWrap w:val="0"/>
            <w:vAlign w:val="center"/>
          </w:tcPr>
          <w:p w14:paraId="42E0C083">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87" w:type="dxa"/>
            <w:noWrap w:val="0"/>
            <w:vAlign w:val="center"/>
          </w:tcPr>
          <w:p w14:paraId="42BDD604">
            <w:pPr>
              <w:shd w:val="clear" w:color="auto"/>
              <w:spacing w:line="5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质保期</w:t>
            </w:r>
          </w:p>
        </w:tc>
        <w:tc>
          <w:tcPr>
            <w:tcW w:w="5989" w:type="dxa"/>
            <w:gridSpan w:val="3"/>
            <w:noWrap w:val="0"/>
            <w:vAlign w:val="center"/>
          </w:tcPr>
          <w:p w14:paraId="6F7E7D91">
            <w:pPr>
              <w:shd w:val="clear" w:color="auto"/>
              <w:spacing w:line="500" w:lineRule="exact"/>
              <w:jc w:val="left"/>
              <w:rPr>
                <w:rFonts w:ascii="宋体" w:hAnsi="宋体" w:eastAsia="宋体" w:cs="宋体"/>
                <w:color w:val="auto"/>
                <w:sz w:val="24"/>
                <w:szCs w:val="24"/>
                <w:highlight w:val="none"/>
              </w:rPr>
            </w:pPr>
          </w:p>
        </w:tc>
      </w:tr>
      <w:tr w14:paraId="649C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2" w:type="dxa"/>
            <w:noWrap w:val="0"/>
            <w:vAlign w:val="center"/>
          </w:tcPr>
          <w:p w14:paraId="19931FFC">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87" w:type="dxa"/>
            <w:noWrap w:val="0"/>
            <w:vAlign w:val="center"/>
          </w:tcPr>
          <w:p w14:paraId="2FD0A2EB">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供货地点</w:t>
            </w:r>
          </w:p>
        </w:tc>
        <w:tc>
          <w:tcPr>
            <w:tcW w:w="5989" w:type="dxa"/>
            <w:gridSpan w:val="3"/>
            <w:noWrap w:val="0"/>
            <w:vAlign w:val="center"/>
          </w:tcPr>
          <w:p w14:paraId="54985D8D">
            <w:pPr>
              <w:shd w:val="clear" w:color="auto"/>
              <w:spacing w:line="500" w:lineRule="exact"/>
              <w:jc w:val="left"/>
              <w:rPr>
                <w:rFonts w:ascii="宋体" w:hAnsi="宋体" w:eastAsia="宋体" w:cs="宋体"/>
                <w:color w:val="auto"/>
                <w:sz w:val="24"/>
                <w:szCs w:val="24"/>
                <w:highlight w:val="none"/>
              </w:rPr>
            </w:pPr>
          </w:p>
        </w:tc>
      </w:tr>
      <w:tr w14:paraId="743D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2" w:type="dxa"/>
            <w:noWrap w:val="0"/>
            <w:vAlign w:val="center"/>
          </w:tcPr>
          <w:p w14:paraId="0F13ECC2">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87" w:type="dxa"/>
            <w:noWrap w:val="0"/>
            <w:vAlign w:val="center"/>
          </w:tcPr>
          <w:p w14:paraId="0D400F1E">
            <w:pPr>
              <w:shd w:val="clear" w:color="auto"/>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989" w:type="dxa"/>
            <w:gridSpan w:val="3"/>
            <w:noWrap w:val="0"/>
            <w:vAlign w:val="center"/>
          </w:tcPr>
          <w:p w14:paraId="06B55E54">
            <w:pPr>
              <w:shd w:val="clear" w:color="auto"/>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响应文件截止之日起90天</w:t>
            </w:r>
          </w:p>
        </w:tc>
      </w:tr>
      <w:tr w14:paraId="1FC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69" w:type="dxa"/>
            <w:gridSpan w:val="2"/>
            <w:noWrap w:val="0"/>
            <w:vAlign w:val="center"/>
          </w:tcPr>
          <w:p w14:paraId="4BA96897">
            <w:pPr>
              <w:pStyle w:val="19"/>
              <w:shd w:val="clear" w:color="auto"/>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5989" w:type="dxa"/>
            <w:gridSpan w:val="3"/>
            <w:noWrap w:val="0"/>
            <w:vAlign w:val="center"/>
          </w:tcPr>
          <w:p w14:paraId="13277C21">
            <w:pPr>
              <w:pStyle w:val="19"/>
              <w:shd w:val="clear" w:color="auto"/>
              <w:spacing w:line="360" w:lineRule="auto"/>
              <w:jc w:val="center"/>
              <w:rPr>
                <w:rFonts w:ascii="宋体" w:hAnsi="宋体" w:eastAsia="宋体" w:cs="宋体"/>
                <w:sz w:val="24"/>
                <w:szCs w:val="24"/>
                <w:highlight w:val="none"/>
              </w:rPr>
            </w:pPr>
          </w:p>
        </w:tc>
      </w:tr>
    </w:tbl>
    <w:p w14:paraId="23009D2D">
      <w:pPr>
        <w:pStyle w:val="238"/>
        <w:shd w:val="clear" w:color="auto"/>
        <w:spacing w:line="360" w:lineRule="auto"/>
        <w:rPr>
          <w:rFonts w:hint="eastAsia" w:ascii="宋体" w:hAnsi="宋体" w:cs="宋体"/>
          <w:color w:val="auto"/>
          <w:sz w:val="24"/>
          <w:szCs w:val="24"/>
          <w:highlight w:val="none"/>
        </w:rPr>
      </w:pPr>
    </w:p>
    <w:p w14:paraId="15B326C7">
      <w:pPr>
        <w:shd w:val="clear" w:color="auto"/>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说明：1、“供货期”指合同生效之日起，多少天内完成合同规定的全部工作内容；</w:t>
      </w:r>
    </w:p>
    <w:p w14:paraId="34595D60">
      <w:pPr>
        <w:shd w:val="clear" w:color="auto"/>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2、供应商如果需要对竞标报价或其它内容加以说明，可在备注中填写。</w:t>
      </w:r>
    </w:p>
    <w:p w14:paraId="383DB415">
      <w:pPr>
        <w:shd w:val="clear" w:color="auto"/>
        <w:spacing w:line="360" w:lineRule="auto"/>
        <w:ind w:firstLine="240" w:firstLineChars="100"/>
        <w:rPr>
          <w:rFonts w:hint="eastAsia" w:ascii="宋体" w:hAnsi="宋体" w:cs="宋体"/>
          <w:color w:val="auto"/>
          <w:sz w:val="24"/>
          <w:szCs w:val="24"/>
          <w:highlight w:val="none"/>
        </w:rPr>
      </w:pPr>
    </w:p>
    <w:p w14:paraId="20DE3DA5">
      <w:pPr>
        <w:shd w:val="clear" w:color="auto"/>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供应商名称(盖章) ：</w:t>
      </w:r>
    </w:p>
    <w:p w14:paraId="6DDA84A4">
      <w:pPr>
        <w:shd w:val="clear" w:color="auto"/>
        <w:spacing w:line="360" w:lineRule="auto"/>
        <w:ind w:firstLine="240" w:firstLineChars="100"/>
        <w:rPr>
          <w:rFonts w:hint="eastAsia" w:ascii="宋体" w:hAnsi="宋体" w:cs="宋体"/>
          <w:color w:val="auto"/>
          <w:sz w:val="24"/>
          <w:szCs w:val="24"/>
          <w:highlight w:val="none"/>
        </w:rPr>
      </w:pPr>
    </w:p>
    <w:p w14:paraId="1CC6B28D">
      <w:pPr>
        <w:shd w:val="clear" w:color="auto"/>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法定代表人或委托代理人（签字或盖章）：</w:t>
      </w:r>
    </w:p>
    <w:p w14:paraId="270251C3">
      <w:pPr>
        <w:shd w:val="clear" w:color="auto"/>
        <w:spacing w:line="360" w:lineRule="auto"/>
        <w:jc w:val="right"/>
        <w:rPr>
          <w:rFonts w:hint="eastAsia" w:ascii="宋体" w:hAnsi="宋体" w:cs="宋体"/>
          <w:color w:val="auto"/>
          <w:sz w:val="24"/>
          <w:szCs w:val="24"/>
          <w:highlight w:val="none"/>
        </w:rPr>
      </w:pPr>
    </w:p>
    <w:p w14:paraId="05C341A9">
      <w:pPr>
        <w:shd w:val="clear" w:color="auto"/>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6FE27D82">
      <w:pPr>
        <w:pStyle w:val="238"/>
        <w:shd w:val="clear" w:color="auto"/>
        <w:rPr>
          <w:rFonts w:hint="eastAsia" w:ascii="宋体" w:hAnsi="宋体" w:cs="宋体"/>
          <w:b/>
          <w:color w:val="auto"/>
          <w:sz w:val="32"/>
          <w:szCs w:val="24"/>
          <w:highlight w:val="none"/>
        </w:rPr>
      </w:pPr>
    </w:p>
    <w:p w14:paraId="7C71B90D">
      <w:pPr>
        <w:pStyle w:val="238"/>
        <w:shd w:val="clear" w:color="auto"/>
        <w:rPr>
          <w:rFonts w:hint="eastAsia" w:ascii="宋体" w:hAnsi="宋体" w:cs="宋体"/>
          <w:b/>
          <w:color w:val="auto"/>
          <w:sz w:val="32"/>
          <w:szCs w:val="24"/>
          <w:highlight w:val="none"/>
        </w:rPr>
      </w:pPr>
    </w:p>
    <w:p w14:paraId="682A1749">
      <w:pPr>
        <w:keepNext w:val="0"/>
        <w:keepLines w:val="0"/>
        <w:pageBreakBefore/>
        <w:widowControl w:val="0"/>
        <w:shd w:val="clear" w:color="auto"/>
        <w:kinsoku/>
        <w:wordWrap/>
        <w:overflowPunct/>
        <w:topLinePunct w:val="0"/>
        <w:autoSpaceDE/>
        <w:autoSpaceDN/>
        <w:bidi w:val="0"/>
        <w:adjustRightInd/>
        <w:snapToGrid/>
        <w:spacing w:line="44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报价明细表</w:t>
      </w:r>
    </w:p>
    <w:p w14:paraId="70A56F56">
      <w:pPr>
        <w:pStyle w:val="11"/>
        <w:shd w:val="clear" w:color="auto"/>
        <w:rPr>
          <w:color w:val="auto"/>
          <w:highlight w:val="none"/>
        </w:rPr>
      </w:pPr>
    </w:p>
    <w:p w14:paraId="52BA2C86">
      <w:pPr>
        <w:shd w:val="clear"/>
        <w:tabs>
          <w:tab w:val="left" w:pos="5100"/>
        </w:tabs>
        <w:spacing w:line="440" w:lineRule="exact"/>
        <w:ind w:firstLine="352" w:firstLineChars="147"/>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 w:val="24"/>
          <w:szCs w:val="24"/>
        </w:rPr>
        <w:t xml:space="preserve">项目名称：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Cs/>
          <w:sz w:val="24"/>
          <w:szCs w:val="24"/>
        </w:rPr>
        <w:t xml:space="preserve"> 项目编号：</w:t>
      </w:r>
    </w:p>
    <w:tbl>
      <w:tblPr>
        <w:tblStyle w:val="35"/>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20"/>
        <w:gridCol w:w="3165"/>
        <w:gridCol w:w="840"/>
        <w:gridCol w:w="930"/>
        <w:gridCol w:w="1080"/>
        <w:gridCol w:w="1117"/>
      </w:tblGrid>
      <w:tr w14:paraId="3B4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B4AE4AD">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20" w:type="dxa"/>
            <w:vAlign w:val="center"/>
          </w:tcPr>
          <w:p w14:paraId="13338C14">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设备名称</w:t>
            </w:r>
          </w:p>
          <w:p w14:paraId="3B919CD4">
            <w:pPr>
              <w:shd w:val="clear"/>
              <w:spacing w:line="440" w:lineRule="exact"/>
              <w:jc w:val="center"/>
              <w:rPr>
                <w:rFonts w:eastAsiaTheme="minorEastAsia"/>
              </w:rPr>
            </w:pPr>
            <w:r>
              <w:rPr>
                <w:rFonts w:hint="eastAsia" w:asciiTheme="minorEastAsia" w:hAnsiTheme="minorEastAsia" w:eastAsiaTheme="minorEastAsia" w:cstheme="minorEastAsia"/>
                <w:sz w:val="24"/>
                <w:szCs w:val="24"/>
              </w:rPr>
              <w:t>（软件平台名称）</w:t>
            </w:r>
          </w:p>
        </w:tc>
        <w:tc>
          <w:tcPr>
            <w:tcW w:w="3165" w:type="dxa"/>
            <w:vAlign w:val="center"/>
          </w:tcPr>
          <w:p w14:paraId="5C3A4861">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厂家（规格/型号</w:t>
            </w:r>
          </w:p>
          <w:p w14:paraId="42F7A980">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及技术参数）</w:t>
            </w:r>
          </w:p>
          <w:p w14:paraId="322E5B6F">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（功能描述）</w:t>
            </w:r>
          </w:p>
        </w:tc>
        <w:tc>
          <w:tcPr>
            <w:tcW w:w="840" w:type="dxa"/>
            <w:vAlign w:val="center"/>
          </w:tcPr>
          <w:p w14:paraId="37767330">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930" w:type="dxa"/>
            <w:vAlign w:val="center"/>
          </w:tcPr>
          <w:p w14:paraId="562DC550">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080" w:type="dxa"/>
            <w:vAlign w:val="center"/>
          </w:tcPr>
          <w:p w14:paraId="34F775D7">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117" w:type="dxa"/>
            <w:vAlign w:val="center"/>
          </w:tcPr>
          <w:p w14:paraId="1470828A">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r>
      <w:tr w14:paraId="3E80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50600D5">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525A8DEC">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77036674">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587E7A88">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072FA022">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491EDAF8">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3FC332C9">
            <w:pPr>
              <w:shd w:val="clear"/>
              <w:spacing w:line="440" w:lineRule="exact"/>
              <w:jc w:val="center"/>
              <w:rPr>
                <w:rFonts w:hint="eastAsia" w:asciiTheme="minorEastAsia" w:hAnsiTheme="minorEastAsia" w:eastAsiaTheme="minorEastAsia" w:cstheme="minorEastAsia"/>
                <w:sz w:val="24"/>
                <w:szCs w:val="24"/>
              </w:rPr>
            </w:pPr>
          </w:p>
        </w:tc>
      </w:tr>
      <w:tr w14:paraId="51EB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5AEF91E">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3497D8C1">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40632A52">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375B6D32">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4978F619">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4085FC3E">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6F2AA439">
            <w:pPr>
              <w:shd w:val="clear"/>
              <w:spacing w:line="440" w:lineRule="exact"/>
              <w:jc w:val="center"/>
              <w:rPr>
                <w:rFonts w:hint="eastAsia" w:asciiTheme="minorEastAsia" w:hAnsiTheme="minorEastAsia" w:eastAsiaTheme="minorEastAsia" w:cstheme="minorEastAsia"/>
                <w:sz w:val="24"/>
                <w:szCs w:val="24"/>
              </w:rPr>
            </w:pPr>
          </w:p>
        </w:tc>
      </w:tr>
      <w:tr w14:paraId="32F6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061AC9B">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7E279491">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4F7B6BD8">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4CE53055">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0F7C182E">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26B85462">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088A0BDF">
            <w:pPr>
              <w:shd w:val="clear"/>
              <w:spacing w:line="440" w:lineRule="exact"/>
              <w:jc w:val="center"/>
              <w:rPr>
                <w:rFonts w:hint="eastAsia" w:asciiTheme="minorEastAsia" w:hAnsiTheme="minorEastAsia" w:eastAsiaTheme="minorEastAsia" w:cstheme="minorEastAsia"/>
                <w:sz w:val="24"/>
                <w:szCs w:val="24"/>
              </w:rPr>
            </w:pPr>
          </w:p>
        </w:tc>
      </w:tr>
      <w:tr w14:paraId="3F56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6ADD7E5">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7640328C">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17E01435">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0A73E5BC">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1B4124C8">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2D2CCB13">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2A775725">
            <w:pPr>
              <w:shd w:val="clear"/>
              <w:spacing w:line="440" w:lineRule="exact"/>
              <w:jc w:val="center"/>
              <w:rPr>
                <w:rFonts w:hint="eastAsia" w:asciiTheme="minorEastAsia" w:hAnsiTheme="minorEastAsia" w:eastAsiaTheme="minorEastAsia" w:cstheme="minorEastAsia"/>
                <w:sz w:val="24"/>
                <w:szCs w:val="24"/>
              </w:rPr>
            </w:pPr>
          </w:p>
        </w:tc>
      </w:tr>
      <w:tr w14:paraId="1BD7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3B349DF">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1025AC55">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1050F4D3">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0CCD021F">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2FD70CF8">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6819584A">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2F5CF2B0">
            <w:pPr>
              <w:shd w:val="clear"/>
              <w:spacing w:line="440" w:lineRule="exact"/>
              <w:jc w:val="center"/>
              <w:rPr>
                <w:rFonts w:hint="eastAsia" w:asciiTheme="minorEastAsia" w:hAnsiTheme="minorEastAsia" w:eastAsiaTheme="minorEastAsia" w:cstheme="minorEastAsia"/>
                <w:sz w:val="24"/>
                <w:szCs w:val="24"/>
              </w:rPr>
            </w:pPr>
          </w:p>
        </w:tc>
      </w:tr>
      <w:tr w14:paraId="558E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733DE96">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0BEEFA2F">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6A00A0CF">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352606D5">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0EE0E6DC">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6505325A">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13699BE3">
            <w:pPr>
              <w:shd w:val="clear"/>
              <w:spacing w:line="440" w:lineRule="exact"/>
              <w:jc w:val="center"/>
              <w:rPr>
                <w:rFonts w:hint="eastAsia" w:asciiTheme="minorEastAsia" w:hAnsiTheme="minorEastAsia" w:eastAsiaTheme="minorEastAsia" w:cstheme="minorEastAsia"/>
                <w:sz w:val="24"/>
                <w:szCs w:val="24"/>
              </w:rPr>
            </w:pPr>
          </w:p>
        </w:tc>
      </w:tr>
      <w:tr w14:paraId="5AF8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52B9788">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34612049">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0D206F3B">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3057F4B0">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3952DE01">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3B1B8C94">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2AECD6CB">
            <w:pPr>
              <w:shd w:val="clear"/>
              <w:spacing w:line="440" w:lineRule="exact"/>
              <w:jc w:val="center"/>
              <w:rPr>
                <w:rFonts w:hint="eastAsia" w:asciiTheme="minorEastAsia" w:hAnsiTheme="minorEastAsia" w:eastAsiaTheme="minorEastAsia" w:cstheme="minorEastAsia"/>
                <w:sz w:val="24"/>
                <w:szCs w:val="24"/>
              </w:rPr>
            </w:pPr>
          </w:p>
        </w:tc>
      </w:tr>
      <w:tr w14:paraId="560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C78F546">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676632F4">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56BDA124">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43DBCE80">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628DD7F8">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76A32C44">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6CE63179">
            <w:pPr>
              <w:shd w:val="clear"/>
              <w:spacing w:line="440" w:lineRule="exact"/>
              <w:jc w:val="center"/>
              <w:rPr>
                <w:rFonts w:hint="eastAsia" w:asciiTheme="minorEastAsia" w:hAnsiTheme="minorEastAsia" w:eastAsiaTheme="minorEastAsia" w:cstheme="minorEastAsia"/>
                <w:sz w:val="24"/>
                <w:szCs w:val="24"/>
              </w:rPr>
            </w:pPr>
          </w:p>
        </w:tc>
      </w:tr>
      <w:tr w14:paraId="2980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5945270">
            <w:pPr>
              <w:shd w:val="clear"/>
              <w:spacing w:line="440" w:lineRule="exact"/>
              <w:jc w:val="center"/>
              <w:rPr>
                <w:rFonts w:hint="eastAsia" w:asciiTheme="minorEastAsia" w:hAnsiTheme="minorEastAsia" w:eastAsiaTheme="minorEastAsia" w:cstheme="minorEastAsia"/>
                <w:sz w:val="24"/>
                <w:szCs w:val="24"/>
              </w:rPr>
            </w:pPr>
          </w:p>
        </w:tc>
        <w:tc>
          <w:tcPr>
            <w:tcW w:w="2020" w:type="dxa"/>
            <w:vAlign w:val="center"/>
          </w:tcPr>
          <w:p w14:paraId="762B585E">
            <w:pPr>
              <w:shd w:val="clear"/>
              <w:spacing w:line="440" w:lineRule="exact"/>
              <w:jc w:val="center"/>
              <w:rPr>
                <w:rFonts w:hint="eastAsia" w:asciiTheme="minorEastAsia" w:hAnsiTheme="minorEastAsia" w:eastAsiaTheme="minorEastAsia" w:cstheme="minorEastAsia"/>
                <w:sz w:val="24"/>
                <w:szCs w:val="24"/>
              </w:rPr>
            </w:pPr>
          </w:p>
        </w:tc>
        <w:tc>
          <w:tcPr>
            <w:tcW w:w="3165" w:type="dxa"/>
            <w:vAlign w:val="center"/>
          </w:tcPr>
          <w:p w14:paraId="77EA0B80">
            <w:pPr>
              <w:shd w:val="clear"/>
              <w:spacing w:line="440" w:lineRule="exact"/>
              <w:jc w:val="center"/>
              <w:rPr>
                <w:rFonts w:hint="eastAsia" w:asciiTheme="minorEastAsia" w:hAnsiTheme="minorEastAsia" w:eastAsiaTheme="minorEastAsia" w:cstheme="minorEastAsia"/>
                <w:sz w:val="24"/>
                <w:szCs w:val="24"/>
              </w:rPr>
            </w:pPr>
          </w:p>
        </w:tc>
        <w:tc>
          <w:tcPr>
            <w:tcW w:w="840" w:type="dxa"/>
            <w:vAlign w:val="center"/>
          </w:tcPr>
          <w:p w14:paraId="68C8295B">
            <w:pPr>
              <w:shd w:val="clear"/>
              <w:spacing w:line="440" w:lineRule="exact"/>
              <w:jc w:val="center"/>
              <w:rPr>
                <w:rFonts w:hint="eastAsia" w:asciiTheme="minorEastAsia" w:hAnsiTheme="minorEastAsia" w:eastAsiaTheme="minorEastAsia" w:cstheme="minorEastAsia"/>
                <w:sz w:val="24"/>
                <w:szCs w:val="24"/>
              </w:rPr>
            </w:pPr>
          </w:p>
        </w:tc>
        <w:tc>
          <w:tcPr>
            <w:tcW w:w="930" w:type="dxa"/>
            <w:vAlign w:val="center"/>
          </w:tcPr>
          <w:p w14:paraId="61E76BA3">
            <w:pPr>
              <w:shd w:val="clear"/>
              <w:spacing w:line="440" w:lineRule="exact"/>
              <w:jc w:val="center"/>
              <w:rPr>
                <w:rFonts w:hint="eastAsia" w:asciiTheme="minorEastAsia" w:hAnsiTheme="minorEastAsia" w:eastAsiaTheme="minorEastAsia" w:cstheme="minorEastAsia"/>
                <w:sz w:val="24"/>
                <w:szCs w:val="24"/>
              </w:rPr>
            </w:pPr>
          </w:p>
        </w:tc>
        <w:tc>
          <w:tcPr>
            <w:tcW w:w="1080" w:type="dxa"/>
            <w:vAlign w:val="center"/>
          </w:tcPr>
          <w:p w14:paraId="0619356B">
            <w:pPr>
              <w:shd w:val="clear"/>
              <w:spacing w:line="440" w:lineRule="exact"/>
              <w:jc w:val="center"/>
              <w:rPr>
                <w:rFonts w:hint="eastAsia" w:asciiTheme="minorEastAsia" w:hAnsiTheme="minorEastAsia" w:eastAsiaTheme="minorEastAsia" w:cstheme="minorEastAsia"/>
                <w:sz w:val="24"/>
                <w:szCs w:val="24"/>
              </w:rPr>
            </w:pPr>
          </w:p>
        </w:tc>
        <w:tc>
          <w:tcPr>
            <w:tcW w:w="1117" w:type="dxa"/>
            <w:vAlign w:val="center"/>
          </w:tcPr>
          <w:p w14:paraId="1022FE40">
            <w:pPr>
              <w:shd w:val="clear"/>
              <w:spacing w:line="440" w:lineRule="exact"/>
              <w:jc w:val="center"/>
              <w:rPr>
                <w:rFonts w:hint="eastAsia" w:asciiTheme="minorEastAsia" w:hAnsiTheme="minorEastAsia" w:eastAsiaTheme="minorEastAsia" w:cstheme="minorEastAsia"/>
                <w:sz w:val="24"/>
                <w:szCs w:val="24"/>
              </w:rPr>
            </w:pPr>
          </w:p>
        </w:tc>
      </w:tr>
      <w:tr w14:paraId="5FFE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vMerge w:val="restart"/>
            <w:vAlign w:val="center"/>
          </w:tcPr>
          <w:p w14:paraId="440C2371">
            <w:pPr>
              <w:shd w:val="clea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tc>
        <w:tc>
          <w:tcPr>
            <w:tcW w:w="7132" w:type="dxa"/>
            <w:gridSpan w:val="5"/>
            <w:vAlign w:val="center"/>
          </w:tcPr>
          <w:p w14:paraId="20B878C6">
            <w:pPr>
              <w:shd w:val="clea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合计金额（小写）：</w:t>
            </w:r>
          </w:p>
        </w:tc>
      </w:tr>
      <w:tr w14:paraId="6B39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vMerge w:val="continue"/>
            <w:vAlign w:val="center"/>
          </w:tcPr>
          <w:p w14:paraId="3016FF47">
            <w:pPr>
              <w:shd w:val="clear"/>
              <w:spacing w:line="440" w:lineRule="exact"/>
              <w:rPr>
                <w:rFonts w:hint="eastAsia" w:asciiTheme="minorEastAsia" w:hAnsiTheme="minorEastAsia" w:eastAsiaTheme="minorEastAsia" w:cstheme="minorEastAsia"/>
                <w:sz w:val="24"/>
                <w:szCs w:val="24"/>
              </w:rPr>
            </w:pPr>
          </w:p>
        </w:tc>
        <w:tc>
          <w:tcPr>
            <w:tcW w:w="7132" w:type="dxa"/>
            <w:gridSpan w:val="5"/>
            <w:vAlign w:val="center"/>
          </w:tcPr>
          <w:p w14:paraId="7D4C17C9">
            <w:pPr>
              <w:shd w:val="clea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合计金额（大写）：</w:t>
            </w:r>
          </w:p>
        </w:tc>
      </w:tr>
    </w:tbl>
    <w:p w14:paraId="191AF6F9">
      <w:pPr>
        <w:shd w:val="clear"/>
        <w:spacing w:line="460" w:lineRule="atLeast"/>
        <w:rPr>
          <w:rFonts w:hint="eastAsia" w:asciiTheme="minorEastAsia" w:hAnsiTheme="minorEastAsia" w:eastAsiaTheme="minorEastAsia" w:cstheme="minorEastAsia"/>
          <w:b/>
          <w:sz w:val="24"/>
          <w:szCs w:val="24"/>
        </w:rPr>
      </w:pPr>
    </w:p>
    <w:p w14:paraId="3A8176EA">
      <w:pPr>
        <w:shd w:val="clea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供应商（盖公章）：</w:t>
      </w:r>
    </w:p>
    <w:p w14:paraId="13BBBB4A">
      <w:pPr>
        <w:shd w:val="clea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法定代表人（签字或盖章）：</w:t>
      </w:r>
    </w:p>
    <w:p w14:paraId="240CB5EA">
      <w:pPr>
        <w:shd w:val="clea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 年  月  日</w:t>
      </w:r>
    </w:p>
    <w:p w14:paraId="16AB960C">
      <w:pPr>
        <w:shd w:val="clear"/>
        <w:spacing w:line="440" w:lineRule="exact"/>
        <w:rPr>
          <w:rFonts w:hint="eastAsia" w:asciiTheme="minorEastAsia" w:hAnsiTheme="minorEastAsia" w:eastAsiaTheme="minorEastAsia" w:cstheme="minorEastAsia"/>
          <w:b/>
          <w:sz w:val="24"/>
          <w:szCs w:val="24"/>
        </w:rPr>
      </w:pPr>
    </w:p>
    <w:p w14:paraId="66D4D06C">
      <w:pPr>
        <w:shd w:val="clear"/>
        <w:spacing w:line="360" w:lineRule="exact"/>
        <w:ind w:right="420"/>
        <w:jc w:val="left"/>
        <w:outlineLvl w:val="0"/>
        <w:rPr>
          <w:rFonts w:hint="eastAsia" w:ascii="宋体" w:hAnsi="宋体" w:cs="宋体"/>
          <w:color w:val="auto"/>
          <w:sz w:val="24"/>
          <w:szCs w:val="24"/>
          <w:highlight w:val="none"/>
        </w:rPr>
      </w:pPr>
      <w:r>
        <w:rPr>
          <w:rFonts w:hint="eastAsia" w:asciiTheme="minorEastAsia" w:hAnsiTheme="minorEastAsia" w:eastAsiaTheme="minorEastAsia" w:cstheme="minorEastAsia"/>
          <w:b/>
          <w:sz w:val="24"/>
          <w:szCs w:val="24"/>
        </w:rPr>
        <w:t>注：投标人应根据设备清单和软件清单进行分项填报，表中表格行数可自行添加。招标文件中未列出的相关辅助材料和在实施过程中涉及到的其它一切费用应在报价时一并考虑，项目实施过程中不再单独结算。表中投标报价总计应与对应报价一览表中投标总价一致。</w:t>
      </w:r>
    </w:p>
    <w:p w14:paraId="1B08D20B">
      <w:pPr>
        <w:pStyle w:val="238"/>
        <w:keepNext w:val="0"/>
        <w:keepLines w:val="0"/>
        <w:pageBreakBefore/>
        <w:widowControl w:val="0"/>
        <w:shd w:val="clear" w:color="auto"/>
        <w:kinsoku/>
        <w:wordWrap/>
        <w:overflowPunct/>
        <w:topLinePunct w:val="0"/>
        <w:autoSpaceDE/>
        <w:autoSpaceDN/>
        <w:bidi w:val="0"/>
        <w:adjustRightInd/>
        <w:snapToGrid/>
        <w:jc w:val="center"/>
        <w:textAlignment w:val="auto"/>
        <w:rPr>
          <w:rFonts w:hint="eastAsia" w:ascii="宋体" w:hAnsi="宋体" w:cs="宋体"/>
          <w:b/>
          <w:color w:val="auto"/>
          <w:sz w:val="32"/>
          <w:szCs w:val="24"/>
          <w:highlight w:val="none"/>
        </w:rPr>
      </w:pPr>
      <w:r>
        <w:rPr>
          <w:rFonts w:hint="eastAsia" w:ascii="宋体" w:hAnsi="宋体" w:cs="宋体"/>
          <w:b/>
          <w:color w:val="auto"/>
          <w:sz w:val="32"/>
          <w:szCs w:val="24"/>
          <w:highlight w:val="none"/>
          <w:lang w:val="en-US" w:eastAsia="zh-CN"/>
        </w:rPr>
        <w:t>4.</w:t>
      </w:r>
      <w:r>
        <w:rPr>
          <w:rFonts w:hint="eastAsia" w:ascii="宋体" w:hAnsi="宋体" w:cs="宋体"/>
          <w:b/>
          <w:color w:val="auto"/>
          <w:sz w:val="32"/>
          <w:szCs w:val="24"/>
          <w:highlight w:val="none"/>
        </w:rPr>
        <w:t>投标函</w:t>
      </w:r>
    </w:p>
    <w:p w14:paraId="0B75C74E">
      <w:pPr>
        <w:pStyle w:val="179"/>
        <w:shd w:val="clear" w:color="auto"/>
        <w:tabs>
          <w:tab w:val="left" w:pos="2259"/>
        </w:tabs>
        <w:spacing w:line="400" w:lineRule="exact"/>
        <w:ind w:firstLine="562" w:firstLineChars="200"/>
        <w:rPr>
          <w:rFonts w:hint="eastAsia" w:ascii="宋体" w:hAnsi="宋体" w:cs="宋体"/>
          <w:b/>
          <w:color w:val="auto"/>
          <w:kern w:val="2"/>
          <w:sz w:val="28"/>
          <w:highlight w:val="none"/>
        </w:rPr>
      </w:pPr>
      <w:r>
        <w:rPr>
          <w:rFonts w:hint="eastAsia" w:ascii="宋体" w:hAnsi="宋体" w:cs="宋体"/>
          <w:b/>
          <w:color w:val="auto"/>
          <w:kern w:val="2"/>
          <w:sz w:val="28"/>
          <w:highlight w:val="none"/>
        </w:rPr>
        <w:tab/>
      </w:r>
    </w:p>
    <w:p w14:paraId="34EBFC02">
      <w:pPr>
        <w:shd w:val="clear" w:color="auto"/>
        <w:spacing w:line="360" w:lineRule="auto"/>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rPr>
        <w:t xml:space="preserve"> </w:t>
      </w:r>
      <w:r>
        <w:rPr>
          <w:rFonts w:hint="eastAsia" w:ascii="宋体" w:hAnsi="宋体" w:cs="宋体"/>
          <w:b/>
          <w:bCs/>
          <w:color w:val="auto"/>
          <w:kern w:val="0"/>
          <w:sz w:val="24"/>
          <w:szCs w:val="24"/>
          <w:highlight w:val="none"/>
          <w:u w:val="single"/>
        </w:rPr>
        <w:t xml:space="preserve">                         </w:t>
      </w:r>
      <w:r>
        <w:rPr>
          <w:rFonts w:hint="eastAsia" w:ascii="宋体" w:hAnsi="宋体" w:cs="宋体"/>
          <w:bCs/>
          <w:color w:val="auto"/>
          <w:kern w:val="0"/>
          <w:sz w:val="28"/>
          <w:szCs w:val="28"/>
          <w:highlight w:val="none"/>
        </w:rPr>
        <w:t xml:space="preserve"> ：</w:t>
      </w:r>
    </w:p>
    <w:p w14:paraId="6B911F24">
      <w:pPr>
        <w:pStyle w:val="21"/>
        <w:shd w:val="clear" w:color="auto"/>
        <w:ind w:left="17" w:leftChars="8" w:firstLine="561" w:firstLineChars="234"/>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我方全面研究了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”项目</w:t>
      </w:r>
      <w:r>
        <w:rPr>
          <w:rFonts w:hint="eastAsia" w:ascii="宋体" w:hAnsi="宋体" w:eastAsia="宋体" w:cs="宋体"/>
          <w:b w:val="0"/>
          <w:bCs/>
          <w:color w:val="auto"/>
          <w:kern w:val="0"/>
          <w:sz w:val="24"/>
          <w:szCs w:val="24"/>
          <w:highlight w:val="none"/>
          <w:lang w:eastAsia="zh-CN"/>
        </w:rPr>
        <w:t>招标文件</w:t>
      </w:r>
      <w:r>
        <w:rPr>
          <w:rFonts w:hint="eastAsia" w:ascii="宋体" w:hAnsi="宋体" w:eastAsia="宋体" w:cs="宋体"/>
          <w:b w:val="0"/>
          <w:bCs/>
          <w:color w:val="auto"/>
          <w:kern w:val="0"/>
          <w:sz w:val="24"/>
          <w:szCs w:val="24"/>
          <w:highlight w:val="none"/>
        </w:rPr>
        <w:t>（文件编号：</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），决定参加本项目</w:t>
      </w:r>
      <w:r>
        <w:rPr>
          <w:rFonts w:hint="eastAsia" w:ascii="宋体" w:hAnsi="宋体" w:eastAsia="宋体" w:cs="宋体"/>
          <w:b w:val="0"/>
          <w:bCs/>
          <w:color w:val="auto"/>
          <w:kern w:val="0"/>
          <w:sz w:val="24"/>
          <w:szCs w:val="24"/>
          <w:highlight w:val="none"/>
          <w:lang w:val="en-US" w:eastAsia="zh-CN"/>
        </w:rPr>
        <w:t>招标活动</w:t>
      </w:r>
      <w:r>
        <w:rPr>
          <w:rFonts w:hint="eastAsia" w:ascii="宋体" w:hAnsi="宋体" w:eastAsia="宋体" w:cs="宋体"/>
          <w:b w:val="0"/>
          <w:bCs/>
          <w:color w:val="auto"/>
          <w:kern w:val="0"/>
          <w:sz w:val="24"/>
          <w:szCs w:val="24"/>
          <w:highlight w:val="none"/>
        </w:rPr>
        <w:t>。我方授权</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（姓名、职务）代表我方</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（供应商的名称）全权处理本项目</w:t>
      </w:r>
      <w:r>
        <w:rPr>
          <w:rFonts w:hint="eastAsia" w:ascii="宋体" w:hAnsi="宋体" w:eastAsia="宋体" w:cs="宋体"/>
          <w:b w:val="0"/>
          <w:bCs/>
          <w:color w:val="auto"/>
          <w:kern w:val="0"/>
          <w:sz w:val="24"/>
          <w:szCs w:val="24"/>
          <w:highlight w:val="none"/>
          <w:lang w:val="en-US" w:eastAsia="zh-CN"/>
        </w:rPr>
        <w:t>招标</w:t>
      </w:r>
      <w:r>
        <w:rPr>
          <w:rFonts w:hint="eastAsia" w:ascii="宋体" w:hAnsi="宋体" w:eastAsia="宋体" w:cs="宋体"/>
          <w:b w:val="0"/>
          <w:bCs/>
          <w:color w:val="auto"/>
          <w:kern w:val="0"/>
          <w:sz w:val="24"/>
          <w:szCs w:val="24"/>
          <w:highlight w:val="none"/>
        </w:rPr>
        <w:t>的有关事宜。</w:t>
      </w:r>
    </w:p>
    <w:p w14:paraId="2D30FA19">
      <w:pPr>
        <w:pStyle w:val="21"/>
        <w:numPr>
          <w:ilvl w:val="0"/>
          <w:numId w:val="18"/>
        </w:numPr>
        <w:shd w:val="clear" w:color="auto"/>
        <w:ind w:left="218" w:leftChars="104" w:firstLine="357" w:firstLineChars="14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我方自愿按照</w:t>
      </w:r>
      <w:r>
        <w:rPr>
          <w:rFonts w:hint="eastAsia" w:ascii="宋体" w:hAnsi="宋体" w:eastAsia="宋体" w:cs="宋体"/>
          <w:b w:val="0"/>
          <w:bCs/>
          <w:color w:val="auto"/>
          <w:kern w:val="0"/>
          <w:sz w:val="24"/>
          <w:szCs w:val="24"/>
          <w:highlight w:val="none"/>
          <w:lang w:eastAsia="zh-CN"/>
        </w:rPr>
        <w:t>招标文件</w:t>
      </w:r>
      <w:r>
        <w:rPr>
          <w:rFonts w:hint="eastAsia" w:ascii="宋体" w:hAnsi="宋体" w:eastAsia="宋体" w:cs="宋体"/>
          <w:b w:val="0"/>
          <w:bCs/>
          <w:color w:val="auto"/>
          <w:kern w:val="0"/>
          <w:sz w:val="24"/>
          <w:szCs w:val="24"/>
          <w:highlight w:val="none"/>
        </w:rPr>
        <w:t>规定的各项要求向采购人提供所需工作内容</w:t>
      </w:r>
      <w:r>
        <w:rPr>
          <w:rFonts w:hint="eastAsia" w:ascii="宋体" w:hAnsi="宋体" w:eastAsia="宋体" w:cs="宋体"/>
          <w:b w:val="0"/>
          <w:bCs/>
          <w:color w:val="auto"/>
          <w:kern w:val="0"/>
          <w:sz w:val="24"/>
          <w:szCs w:val="24"/>
          <w:highlight w:val="none"/>
          <w:u w:val="none"/>
          <w:lang w:val="en-US" w:eastAsia="zh-CN"/>
        </w:rPr>
        <w:t>。</w:t>
      </w:r>
    </w:p>
    <w:p w14:paraId="0603EF76">
      <w:pPr>
        <w:pStyle w:val="21"/>
        <w:shd w:val="clear" w:color="auto"/>
        <w:ind w:left="332" w:leftChars="158" w:firstLine="240" w:firstLineChars="1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rPr>
        <w:t>、若我方成交，我方将严格履行合同规定的责任和义务，保证按采购人要求及我方承诺完成所需工作内容及应尽义务。</w:t>
      </w:r>
    </w:p>
    <w:p w14:paraId="1165D7EC">
      <w:pPr>
        <w:pStyle w:val="21"/>
        <w:shd w:val="clear" w:color="auto"/>
        <w:ind w:left="237" w:leftChars="113" w:firstLine="393" w:firstLineChars="164"/>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、其投标自递交</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截止之日起有效期为</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个日历日。如果我们的投标被接受，则至合同生效时止，本投标始终有效，我们将按服务协议、投标承诺及采购文件的规定履行合同责任和义务。</w:t>
      </w:r>
    </w:p>
    <w:p w14:paraId="10DDAE83">
      <w:pPr>
        <w:pStyle w:val="21"/>
        <w:shd w:val="clear" w:color="auto"/>
        <w:ind w:left="1294" w:leftChars="333" w:hanging="595" w:hangingChars="248"/>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rPr>
        <w:t>、我方按采购文件要求提供本项目的</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w:t>
      </w:r>
    </w:p>
    <w:p w14:paraId="6DBCE22E">
      <w:pPr>
        <w:pStyle w:val="21"/>
        <w:shd w:val="clear" w:color="auto"/>
        <w:ind w:left="0" w:leftChars="0" w:firstLine="660" w:firstLineChars="275"/>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rPr>
        <w:t>、我方愿意提供采购人可能另外要求的，与</w:t>
      </w:r>
      <w:r>
        <w:rPr>
          <w:rFonts w:hint="eastAsia" w:ascii="宋体" w:hAnsi="宋体" w:eastAsia="宋体" w:cs="宋体"/>
          <w:b w:val="0"/>
          <w:bCs/>
          <w:color w:val="auto"/>
          <w:kern w:val="0"/>
          <w:sz w:val="24"/>
          <w:szCs w:val="24"/>
          <w:highlight w:val="none"/>
          <w:lang w:val="en-US" w:eastAsia="zh-CN"/>
        </w:rPr>
        <w:t>招标</w:t>
      </w:r>
      <w:r>
        <w:rPr>
          <w:rFonts w:hint="eastAsia" w:ascii="宋体" w:hAnsi="宋体" w:eastAsia="宋体" w:cs="宋体"/>
          <w:b w:val="0"/>
          <w:bCs/>
          <w:color w:val="auto"/>
          <w:kern w:val="0"/>
          <w:sz w:val="24"/>
          <w:szCs w:val="24"/>
          <w:highlight w:val="none"/>
        </w:rPr>
        <w:t>有关的文件资料，并保证我方已提供和将要提供的文件资料是真实、准确的。</w:t>
      </w:r>
    </w:p>
    <w:p w14:paraId="227EE758">
      <w:pPr>
        <w:pStyle w:val="21"/>
        <w:shd w:val="clear" w:color="auto"/>
        <w:ind w:left="1294" w:leftChars="333" w:hanging="595" w:hangingChars="248"/>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rPr>
        <w:t>、我方完全理解采购人不一定将合同授予最低报价的供应商的行为。</w:t>
      </w:r>
    </w:p>
    <w:p w14:paraId="16335707">
      <w:pPr>
        <w:pStyle w:val="21"/>
        <w:shd w:val="clear" w:color="auto"/>
        <w:ind w:left="1294" w:leftChars="333" w:hanging="595" w:hangingChars="248"/>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7、一旦我方中标，我方愿意按招标要求承担政府采购代理服务费。</w:t>
      </w:r>
    </w:p>
    <w:p w14:paraId="29B2E8F6">
      <w:pPr>
        <w:pStyle w:val="21"/>
        <w:shd w:val="clear" w:color="auto"/>
        <w:ind w:left="1294" w:leftChars="333" w:hanging="595" w:hangingChars="248"/>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8、如果我方未中标，贵方没有必要对我方做出任何解释和说明，我方将充分尊重和理解贵方的选择。</w:t>
      </w:r>
    </w:p>
    <w:p w14:paraId="69815B8C">
      <w:pPr>
        <w:pStyle w:val="144"/>
        <w:shd w:val="clear" w:color="auto"/>
        <w:tabs>
          <w:tab w:val="left" w:pos="750"/>
        </w:tabs>
        <w:adjustRightInd w:val="0"/>
        <w:snapToGrid w:val="0"/>
        <w:spacing w:line="400" w:lineRule="exact"/>
        <w:ind w:left="1083" w:leftChars="278" w:hanging="499" w:hangingChars="208"/>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供应商（盖章）：</w:t>
      </w:r>
      <w:r>
        <w:rPr>
          <w:rFonts w:hint="eastAsia" w:ascii="宋体" w:hAnsi="宋体" w:cs="宋体"/>
          <w:color w:val="auto"/>
          <w:sz w:val="24"/>
          <w:szCs w:val="24"/>
          <w:highlight w:val="none"/>
          <w:u w:val="single"/>
        </w:rPr>
        <w:t xml:space="preserve">                        </w:t>
      </w:r>
    </w:p>
    <w:p w14:paraId="261FD48C">
      <w:pPr>
        <w:pStyle w:val="21"/>
        <w:shd w:val="clear" w:color="auto"/>
        <w:ind w:left="1257" w:leftChars="304" w:hanging="619" w:hangingChars="258"/>
        <w:rPr>
          <w:rFonts w:hint="eastAsia" w:ascii="宋体" w:hAnsi="宋体" w:eastAsia="宋体" w:cs="宋体"/>
          <w:color w:val="auto"/>
          <w:sz w:val="24"/>
          <w:szCs w:val="24"/>
          <w:highlight w:val="none"/>
          <w:u w:val="single"/>
        </w:rPr>
      </w:pPr>
      <w:r>
        <w:rPr>
          <w:rFonts w:hint="eastAsia" w:ascii="宋体" w:hAnsi="宋体" w:eastAsia="宋体" w:cs="宋体"/>
          <w:b w:val="0"/>
          <w:bCs/>
          <w:color w:val="auto"/>
          <w:kern w:val="0"/>
          <w:sz w:val="24"/>
          <w:szCs w:val="24"/>
          <w:highlight w:val="none"/>
        </w:rPr>
        <w:t>法定代表人或委托代理人（签字或盖章）：</w:t>
      </w:r>
      <w:r>
        <w:rPr>
          <w:rFonts w:hint="eastAsia" w:ascii="宋体" w:hAnsi="宋体" w:eastAsia="宋体" w:cs="宋体"/>
          <w:color w:val="auto"/>
          <w:sz w:val="24"/>
          <w:szCs w:val="24"/>
          <w:highlight w:val="none"/>
          <w:u w:val="single"/>
        </w:rPr>
        <w:t xml:space="preserve">                      </w:t>
      </w:r>
    </w:p>
    <w:p w14:paraId="3B490DE4">
      <w:pPr>
        <w:pStyle w:val="21"/>
        <w:shd w:val="clear" w:color="auto"/>
        <w:ind w:left="1257" w:leftChars="304" w:hanging="619" w:hangingChars="258"/>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通讯地址：</w:t>
      </w:r>
    </w:p>
    <w:p w14:paraId="7103700A">
      <w:pPr>
        <w:pStyle w:val="21"/>
        <w:shd w:val="clear" w:color="auto"/>
        <w:spacing w:line="440" w:lineRule="exact"/>
        <w:ind w:left="1257" w:leftChars="304" w:hanging="619" w:hangingChars="258"/>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联系电话：</w:t>
      </w:r>
    </w:p>
    <w:p w14:paraId="5B165453">
      <w:pPr>
        <w:pStyle w:val="21"/>
        <w:shd w:val="clear" w:color="auto"/>
        <w:spacing w:line="440" w:lineRule="exact"/>
        <w:ind w:left="1360" w:leftChars="304" w:hanging="722" w:hangingChars="258"/>
        <w:rPr>
          <w:rFonts w:hint="eastAsia" w:ascii="宋体" w:hAnsi="宋体" w:eastAsia="宋体" w:cs="宋体"/>
          <w:b w:val="0"/>
          <w:bCs/>
          <w:color w:val="auto"/>
          <w:kern w:val="0"/>
          <w:sz w:val="28"/>
          <w:szCs w:val="28"/>
          <w:highlight w:val="none"/>
        </w:rPr>
      </w:pPr>
    </w:p>
    <w:p w14:paraId="0F46F0DB">
      <w:pPr>
        <w:pStyle w:val="21"/>
        <w:shd w:val="clear" w:color="auto"/>
        <w:spacing w:line="440" w:lineRule="exact"/>
        <w:ind w:left="0" w:leftChars="0" w:firstLine="0" w:firstLineChars="0"/>
        <w:jc w:val="righ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    年  月  日</w:t>
      </w:r>
    </w:p>
    <w:p w14:paraId="68C4B220">
      <w:pPr>
        <w:pStyle w:val="21"/>
        <w:shd w:val="clear" w:color="auto"/>
        <w:spacing w:line="440" w:lineRule="exact"/>
        <w:ind w:left="1360" w:leftChars="304" w:hanging="722" w:hangingChars="258"/>
        <w:rPr>
          <w:rFonts w:hint="eastAsia" w:ascii="宋体" w:hAnsi="宋体" w:eastAsia="宋体" w:cs="宋体"/>
          <w:b w:val="0"/>
          <w:bCs/>
          <w:color w:val="auto"/>
          <w:kern w:val="0"/>
          <w:sz w:val="28"/>
          <w:szCs w:val="28"/>
          <w:highlight w:val="none"/>
        </w:rPr>
      </w:pPr>
    </w:p>
    <w:p w14:paraId="3ADE8F95">
      <w:pPr>
        <w:pStyle w:val="21"/>
        <w:shd w:val="clear" w:color="auto"/>
        <w:spacing w:line="440" w:lineRule="exact"/>
        <w:ind w:left="1360" w:leftChars="304" w:hanging="722" w:hangingChars="258"/>
        <w:rPr>
          <w:rFonts w:hint="eastAsia" w:ascii="宋体" w:hAnsi="宋体" w:eastAsia="宋体" w:cs="宋体"/>
          <w:b w:val="0"/>
          <w:bCs/>
          <w:color w:val="auto"/>
          <w:kern w:val="0"/>
          <w:sz w:val="28"/>
          <w:szCs w:val="28"/>
          <w:highlight w:val="none"/>
        </w:rPr>
      </w:pPr>
    </w:p>
    <w:p w14:paraId="117DA8BC">
      <w:pPr>
        <w:pStyle w:val="21"/>
        <w:shd w:val="clear" w:color="auto"/>
        <w:spacing w:line="440" w:lineRule="exact"/>
        <w:ind w:left="1360" w:leftChars="304" w:hanging="722" w:hangingChars="258"/>
        <w:rPr>
          <w:rFonts w:hint="eastAsia" w:ascii="宋体" w:hAnsi="宋体" w:eastAsia="宋体" w:cs="宋体"/>
          <w:b w:val="0"/>
          <w:bCs/>
          <w:color w:val="auto"/>
          <w:kern w:val="0"/>
          <w:sz w:val="28"/>
          <w:szCs w:val="28"/>
          <w:highlight w:val="none"/>
        </w:rPr>
      </w:pPr>
    </w:p>
    <w:p w14:paraId="4BF62D03">
      <w:pPr>
        <w:pStyle w:val="11"/>
        <w:shd w:val="clear" w:color="auto"/>
        <w:ind w:left="0" w:leftChars="0" w:firstLine="0" w:firstLineChars="0"/>
        <w:rPr>
          <w:rFonts w:hint="eastAsia" w:ascii="宋体" w:hAnsi="宋体" w:cs="宋体"/>
          <w:color w:val="auto"/>
          <w:highlight w:val="none"/>
        </w:rPr>
      </w:pPr>
    </w:p>
    <w:p w14:paraId="3611EEE9">
      <w:pPr>
        <w:pStyle w:val="4"/>
        <w:shd w:val="clear" w:color="auto"/>
        <w:spacing w:before="0" w:after="0" w:line="360" w:lineRule="auto"/>
        <w:jc w:val="both"/>
        <w:rPr>
          <w:rFonts w:hint="eastAsia" w:ascii="宋体" w:hAnsi="宋体" w:cs="宋体"/>
          <w:bCs/>
          <w:color w:val="auto"/>
          <w:sz w:val="30"/>
          <w:szCs w:val="30"/>
          <w:highlight w:val="none"/>
          <w:lang w:val="en-US" w:eastAsia="zh-CN"/>
        </w:rPr>
      </w:pPr>
      <w:r>
        <w:rPr>
          <w:rFonts w:hint="eastAsia" w:ascii="宋体" w:hAnsi="宋体" w:cs="宋体"/>
          <w:bCs/>
          <w:color w:val="auto"/>
          <w:sz w:val="30"/>
          <w:szCs w:val="30"/>
          <w:highlight w:val="none"/>
          <w:lang w:val="en-US" w:eastAsia="zh-CN"/>
        </w:rPr>
        <w:t>5.标书内需编制的资质证明文件，包括但不仅限于:</w:t>
      </w:r>
    </w:p>
    <w:p w14:paraId="137F5E43">
      <w:pPr>
        <w:pStyle w:val="4"/>
        <w:shd w:val="clear" w:color="auto"/>
        <w:spacing w:before="0" w:after="0" w:line="360" w:lineRule="auto"/>
        <w:jc w:val="center"/>
        <w:rPr>
          <w:rFonts w:hint="eastAsia" w:ascii="宋体" w:hAnsi="宋体" w:cs="宋体"/>
          <w:bCs/>
          <w:color w:val="auto"/>
          <w:sz w:val="36"/>
          <w:szCs w:val="36"/>
          <w:highlight w:val="none"/>
        </w:rPr>
      </w:pP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lang w:val="en-US" w:eastAsia="zh-CN"/>
        </w:rPr>
        <w:t>1</w:t>
      </w: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rPr>
        <w:t>法定代表人资格证明书</w:t>
      </w:r>
    </w:p>
    <w:p w14:paraId="6A2735FA">
      <w:pPr>
        <w:shd w:val="clear" w:color="auto"/>
        <w:spacing w:line="360" w:lineRule="auto"/>
        <w:ind w:left="1"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6249A3C">
      <w:pPr>
        <w:shd w:val="clear" w:color="auto"/>
        <w:spacing w:line="360" w:lineRule="auto"/>
        <w:ind w:left="1"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p>
    <w:p w14:paraId="3236336D">
      <w:pPr>
        <w:shd w:val="clear" w:color="auto"/>
        <w:spacing w:line="360" w:lineRule="auto"/>
        <w:ind w:left="1"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47279469">
      <w:pPr>
        <w:shd w:val="clear" w:color="auto"/>
        <w:tabs>
          <w:tab w:val="left" w:pos="360"/>
          <w:tab w:val="left" w:pos="18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（单位）的法定代表。为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项目提供设备及服务，签署上述项目的相应文件、进行合同</w:t>
      </w:r>
      <w:r>
        <w:rPr>
          <w:rFonts w:hint="eastAsia" w:ascii="宋体" w:hAnsi="宋体" w:cs="宋体"/>
          <w:color w:val="auto"/>
          <w:sz w:val="24"/>
          <w:szCs w:val="24"/>
          <w:highlight w:val="none"/>
          <w:lang w:val="en-US" w:eastAsia="zh-CN"/>
        </w:rPr>
        <w:t>沟通</w:t>
      </w:r>
      <w:r>
        <w:rPr>
          <w:rFonts w:hint="eastAsia" w:ascii="宋体" w:hAnsi="宋体" w:cs="宋体"/>
          <w:color w:val="auto"/>
          <w:sz w:val="24"/>
          <w:szCs w:val="24"/>
          <w:highlight w:val="none"/>
        </w:rPr>
        <w:t>、签署合同和处理与之有关的一切事务。</w:t>
      </w:r>
    </w:p>
    <w:p w14:paraId="6B59FECA">
      <w:pPr>
        <w:pStyle w:val="11"/>
        <w:shd w:val="clear" w:color="auto"/>
        <w:rPr>
          <w:rFonts w:hint="eastAsia" w:ascii="宋体" w:hAnsi="宋体" w:cs="宋体"/>
          <w:color w:val="auto"/>
          <w:sz w:val="24"/>
          <w:szCs w:val="24"/>
          <w:highlight w:val="none"/>
        </w:rPr>
      </w:pPr>
    </w:p>
    <w:p w14:paraId="5DA4DA9C">
      <w:pPr>
        <w:shd w:val="clear" w:color="auto"/>
        <w:spacing w:line="360" w:lineRule="auto"/>
        <w:ind w:left="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3E50A093">
      <w:pPr>
        <w:shd w:val="clear" w:color="auto"/>
        <w:spacing w:line="360" w:lineRule="auto"/>
        <w:ind w:left="1" w:firstLine="480" w:firstLineChars="200"/>
        <w:jc w:val="right"/>
        <w:rPr>
          <w:rFonts w:hint="eastAsia" w:ascii="宋体" w:hAnsi="宋体" w:cs="宋体"/>
          <w:color w:val="auto"/>
          <w:sz w:val="24"/>
          <w:szCs w:val="24"/>
          <w:highlight w:val="none"/>
        </w:rPr>
      </w:pPr>
    </w:p>
    <w:p w14:paraId="06CFFA4C">
      <w:pPr>
        <w:shd w:val="clear" w:color="auto"/>
        <w:spacing w:line="360" w:lineRule="auto"/>
        <w:ind w:left="1" w:firstLine="480" w:firstLineChars="200"/>
        <w:jc w:val="right"/>
        <w:rPr>
          <w:rFonts w:hint="eastAsia" w:ascii="宋体" w:hAnsi="宋体" w:cs="宋体"/>
          <w:color w:val="auto"/>
          <w:sz w:val="24"/>
          <w:szCs w:val="24"/>
          <w:highlight w:val="none"/>
        </w:rPr>
      </w:pPr>
    </w:p>
    <w:p w14:paraId="605C3FBD">
      <w:pPr>
        <w:shd w:val="clear" w:color="auto"/>
        <w:spacing w:line="360" w:lineRule="auto"/>
        <w:ind w:left="1"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供应商：（盖章）</w:t>
      </w:r>
    </w:p>
    <w:p w14:paraId="04BBE887">
      <w:pPr>
        <w:shd w:val="clear" w:color="auto"/>
        <w:spacing w:line="360" w:lineRule="auto"/>
        <w:ind w:left="1"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15A51516">
      <w:pPr>
        <w:shd w:val="clear" w:color="auto"/>
        <w:tabs>
          <w:tab w:val="left" w:pos="360"/>
          <w:tab w:val="left" w:pos="1800"/>
        </w:tabs>
        <w:spacing w:line="360" w:lineRule="auto"/>
        <w:ind w:firstLine="6000" w:firstLineChars="2500"/>
        <w:rPr>
          <w:rFonts w:hint="eastAsia" w:ascii="宋体" w:hAnsi="宋体" w:cs="宋体"/>
          <w:bCs/>
          <w:color w:val="auto"/>
          <w:sz w:val="24"/>
          <w:szCs w:val="24"/>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08D65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52" w:type="dxa"/>
            <w:noWrap w:val="0"/>
            <w:vAlign w:val="top"/>
          </w:tcPr>
          <w:p w14:paraId="3D8763E9">
            <w:pPr>
              <w:shd w:val="clear" w:color="auto"/>
              <w:tabs>
                <w:tab w:val="left" w:pos="360"/>
                <w:tab w:val="left" w:pos="1800"/>
              </w:tabs>
              <w:spacing w:line="360" w:lineRule="auto"/>
              <w:jc w:val="center"/>
              <w:rPr>
                <w:rFonts w:hint="eastAsia" w:ascii="宋体" w:hAnsi="宋体" w:cs="宋体"/>
                <w:color w:val="auto"/>
                <w:sz w:val="24"/>
                <w:szCs w:val="24"/>
                <w:highlight w:val="none"/>
              </w:rPr>
            </w:pPr>
          </w:p>
          <w:p w14:paraId="55203287">
            <w:pPr>
              <w:shd w:val="clear" w:color="auto"/>
              <w:tabs>
                <w:tab w:val="left" w:pos="360"/>
                <w:tab w:val="left" w:pos="1800"/>
              </w:tabs>
              <w:spacing w:line="360" w:lineRule="auto"/>
              <w:jc w:val="center"/>
              <w:rPr>
                <w:rFonts w:hint="eastAsia" w:ascii="宋体" w:hAnsi="宋体" w:cs="宋体"/>
                <w:color w:val="auto"/>
                <w:sz w:val="24"/>
                <w:szCs w:val="24"/>
                <w:highlight w:val="none"/>
              </w:rPr>
            </w:pPr>
          </w:p>
          <w:p w14:paraId="6BB7CE37">
            <w:pPr>
              <w:shd w:val="clear" w:color="auto"/>
              <w:tabs>
                <w:tab w:val="left" w:pos="360"/>
                <w:tab w:val="left" w:pos="180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法定代表身份证扫描件（正、反两面）</w:t>
            </w:r>
          </w:p>
          <w:p w14:paraId="1924E7F6">
            <w:pPr>
              <w:pStyle w:val="15"/>
              <w:shd w:val="clear" w:color="auto"/>
              <w:rPr>
                <w:rFonts w:hint="eastAsia" w:ascii="宋体" w:hAnsi="宋体" w:cs="宋体"/>
                <w:color w:val="auto"/>
                <w:sz w:val="24"/>
                <w:szCs w:val="24"/>
                <w:highlight w:val="none"/>
              </w:rPr>
            </w:pPr>
          </w:p>
          <w:p w14:paraId="39F35979">
            <w:pPr>
              <w:shd w:val="clear" w:color="auto"/>
              <w:rPr>
                <w:rFonts w:hint="eastAsia" w:ascii="宋体" w:hAnsi="宋体" w:cs="宋体"/>
                <w:color w:val="auto"/>
                <w:sz w:val="24"/>
                <w:szCs w:val="24"/>
                <w:highlight w:val="none"/>
              </w:rPr>
            </w:pPr>
          </w:p>
          <w:p w14:paraId="5DCD0503">
            <w:pPr>
              <w:pStyle w:val="15"/>
              <w:shd w:val="clear" w:color="auto"/>
              <w:rPr>
                <w:rFonts w:hint="eastAsia" w:ascii="宋体" w:hAnsi="宋体" w:cs="宋体"/>
                <w:color w:val="auto"/>
                <w:sz w:val="24"/>
                <w:szCs w:val="24"/>
                <w:highlight w:val="none"/>
              </w:rPr>
            </w:pPr>
          </w:p>
          <w:p w14:paraId="787E3472">
            <w:pPr>
              <w:shd w:val="clear" w:color="auto"/>
              <w:rPr>
                <w:rFonts w:hint="eastAsia" w:ascii="宋体" w:hAnsi="宋体" w:cs="宋体"/>
                <w:color w:val="auto"/>
                <w:sz w:val="24"/>
                <w:szCs w:val="24"/>
                <w:highlight w:val="none"/>
              </w:rPr>
            </w:pPr>
          </w:p>
        </w:tc>
      </w:tr>
    </w:tbl>
    <w:p w14:paraId="2A6F76C2">
      <w:pPr>
        <w:shd w:val="clear" w:color="auto"/>
        <w:tabs>
          <w:tab w:val="left" w:pos="360"/>
          <w:tab w:val="left" w:pos="180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注：法定代表身份证扫描件应反映出证件有效期等所载内容。</w:t>
      </w:r>
    </w:p>
    <w:p w14:paraId="6DBFED11">
      <w:pPr>
        <w:shd w:val="clear" w:color="auto"/>
        <w:tabs>
          <w:tab w:val="left" w:pos="360"/>
          <w:tab w:val="left" w:pos="1800"/>
        </w:tabs>
        <w:spacing w:line="360" w:lineRule="auto"/>
        <w:ind w:left="1980" w:firstLine="1080"/>
        <w:rPr>
          <w:rFonts w:hint="eastAsia" w:ascii="宋体" w:hAnsi="宋体" w:cs="宋体"/>
          <w:bCs/>
          <w:color w:val="auto"/>
          <w:highlight w:val="none"/>
        </w:rPr>
      </w:pPr>
    </w:p>
    <w:p w14:paraId="3E161F2A">
      <w:pPr>
        <w:pStyle w:val="5"/>
        <w:numPr>
          <w:ilvl w:val="0"/>
          <w:numId w:val="0"/>
        </w:numPr>
        <w:shd w:val="clear" w:color="auto"/>
        <w:rPr>
          <w:rFonts w:hint="eastAsia"/>
          <w:color w:val="auto"/>
          <w:highlight w:val="none"/>
        </w:rPr>
      </w:pPr>
    </w:p>
    <w:p w14:paraId="6BAED4D0">
      <w:pPr>
        <w:pStyle w:val="4"/>
        <w:shd w:val="clear" w:color="auto"/>
        <w:spacing w:before="0" w:after="0" w:line="360" w:lineRule="auto"/>
        <w:jc w:val="center"/>
        <w:rPr>
          <w:rFonts w:hint="eastAsia" w:ascii="宋体" w:hAnsi="宋体" w:cs="宋体"/>
          <w:bCs/>
          <w:color w:val="auto"/>
          <w:sz w:val="10"/>
          <w:szCs w:val="10"/>
          <w:highlight w:val="none"/>
        </w:rPr>
      </w:pPr>
    </w:p>
    <w:p w14:paraId="1F444636">
      <w:pPr>
        <w:pStyle w:val="4"/>
        <w:keepNext w:val="0"/>
        <w:keepLines w:val="0"/>
        <w:pageBreakBefore/>
        <w:widowControl w:val="0"/>
        <w:shd w:val="clear" w:color="auto"/>
        <w:kinsoku/>
        <w:wordWrap/>
        <w:overflowPunct/>
        <w:topLinePunct w:val="0"/>
        <w:autoSpaceDE/>
        <w:autoSpaceDN/>
        <w:bidi w:val="0"/>
        <w:adjustRightInd/>
        <w:snapToGrid/>
        <w:spacing w:before="0" w:after="0" w:line="360" w:lineRule="auto"/>
        <w:jc w:val="center"/>
        <w:textAlignment w:val="auto"/>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法定代表人授权委托书</w:t>
      </w:r>
    </w:p>
    <w:p w14:paraId="35DECAA2">
      <w:pPr>
        <w:shd w:val="clear" w:color="auto"/>
        <w:tabs>
          <w:tab w:val="left" w:pos="360"/>
          <w:tab w:val="left" w:pos="1800"/>
        </w:tabs>
        <w:spacing w:line="360" w:lineRule="auto"/>
        <w:ind w:left="19" w:leftChars="9" w:firstLine="458" w:firstLineChars="191"/>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（供应商名称）的法定代表，现授权委托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（姓名），其身份证号为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为我供应商代理人，以本供应商的名义参加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（项目名称）的</w:t>
      </w:r>
      <w:r>
        <w:rPr>
          <w:rFonts w:hint="eastAsia" w:ascii="宋体" w:hAnsi="宋体" w:cs="宋体"/>
          <w:color w:val="auto"/>
          <w:sz w:val="24"/>
          <w:szCs w:val="24"/>
          <w:highlight w:val="none"/>
          <w:lang w:eastAsia="zh-CN"/>
        </w:rPr>
        <w:t>投标活动</w:t>
      </w:r>
      <w:r>
        <w:rPr>
          <w:rFonts w:hint="eastAsia" w:ascii="宋体" w:hAnsi="宋体" w:cs="宋体"/>
          <w:color w:val="auto"/>
          <w:sz w:val="24"/>
          <w:szCs w:val="24"/>
          <w:highlight w:val="none"/>
        </w:rPr>
        <w:t>。</w:t>
      </w:r>
    </w:p>
    <w:p w14:paraId="545F2C1B">
      <w:pPr>
        <w:shd w:val="clear" w:color="auto"/>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代理人在递交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开标</w:t>
      </w:r>
      <w:r>
        <w:rPr>
          <w:rFonts w:hint="eastAsia" w:ascii="宋体" w:hAnsi="宋体" w:cs="宋体"/>
          <w:color w:val="auto"/>
          <w:sz w:val="24"/>
          <w:szCs w:val="24"/>
          <w:highlight w:val="none"/>
        </w:rPr>
        <w:t>、合同过程中所签署的一切文件和处理与之有关的一切事务，我均予以承认。</w:t>
      </w:r>
    </w:p>
    <w:p w14:paraId="3CAD41A6">
      <w:pPr>
        <w:shd w:val="clear" w:color="auto"/>
        <w:tabs>
          <w:tab w:val="left" w:pos="360"/>
          <w:tab w:val="left" w:pos="1800"/>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本授权委托书期限自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日止。</w:t>
      </w:r>
    </w:p>
    <w:p w14:paraId="2272DE87">
      <w:pPr>
        <w:shd w:val="clear" w:color="auto"/>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委托代理人无转委权。特此委托。</w:t>
      </w:r>
    </w:p>
    <w:p w14:paraId="1D2A4BBE">
      <w:pPr>
        <w:shd w:val="clear" w:color="auto"/>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            性别：           年龄：</w:t>
      </w:r>
    </w:p>
    <w:p w14:paraId="0D3E2AB1">
      <w:pPr>
        <w:shd w:val="clear" w:color="auto"/>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                  部门：           职务：</w:t>
      </w:r>
    </w:p>
    <w:p w14:paraId="74181966">
      <w:pPr>
        <w:shd w:val="clear" w:color="auto"/>
        <w:tabs>
          <w:tab w:val="left" w:pos="360"/>
          <w:tab w:val="left" w:pos="1800"/>
        </w:tabs>
        <w:spacing w:line="360" w:lineRule="auto"/>
        <w:ind w:firstLine="3600"/>
        <w:rPr>
          <w:rFonts w:hint="eastAsia" w:ascii="宋体" w:hAnsi="宋体" w:cs="宋体"/>
          <w:color w:val="auto"/>
          <w:sz w:val="24"/>
          <w:szCs w:val="24"/>
          <w:highlight w:val="none"/>
        </w:rPr>
      </w:pPr>
      <w:r>
        <w:rPr>
          <w:rFonts w:hint="eastAsia" w:ascii="宋体" w:hAnsi="宋体" w:cs="宋体"/>
          <w:color w:val="auto"/>
          <w:sz w:val="24"/>
          <w:szCs w:val="24"/>
          <w:highlight w:val="none"/>
        </w:rPr>
        <w:t>供应商：（盖章）</w:t>
      </w:r>
    </w:p>
    <w:p w14:paraId="69480806">
      <w:pPr>
        <w:shd w:val="clear" w:color="auto"/>
        <w:tabs>
          <w:tab w:val="left" w:pos="360"/>
          <w:tab w:val="left" w:pos="1800"/>
        </w:tabs>
        <w:spacing w:line="360" w:lineRule="auto"/>
        <w:ind w:firstLine="36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法定代表：（签字或盖章）</w:t>
      </w:r>
    </w:p>
    <w:p w14:paraId="1C3B0A5C">
      <w:pPr>
        <w:shd w:val="clear" w:color="auto"/>
        <w:tabs>
          <w:tab w:val="left" w:pos="360"/>
          <w:tab w:val="left" w:pos="1800"/>
        </w:tabs>
        <w:spacing w:line="360" w:lineRule="auto"/>
        <w:ind w:firstLine="3600"/>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委托代理人：（签字或盖章）</w:t>
      </w:r>
    </w:p>
    <w:p w14:paraId="1D704CA7">
      <w:pPr>
        <w:shd w:val="clear" w:color="auto"/>
        <w:tabs>
          <w:tab w:val="left" w:pos="360"/>
          <w:tab w:val="left" w:pos="1800"/>
        </w:tabs>
        <w:spacing w:line="360" w:lineRule="auto"/>
        <w:ind w:firstLine="360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4"/>
      </w:tblGrid>
      <w:tr w14:paraId="27729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6" w:hRule="atLeast"/>
          <w:jc w:val="center"/>
        </w:trPr>
        <w:tc>
          <w:tcPr>
            <w:tcW w:w="7164" w:type="dxa"/>
            <w:noWrap w:val="0"/>
            <w:vAlign w:val="top"/>
          </w:tcPr>
          <w:p w14:paraId="30E7EB40">
            <w:pPr>
              <w:shd w:val="clear" w:color="auto"/>
              <w:tabs>
                <w:tab w:val="left" w:pos="360"/>
                <w:tab w:val="left" w:pos="1800"/>
              </w:tabs>
              <w:spacing w:line="360" w:lineRule="auto"/>
              <w:jc w:val="center"/>
              <w:rPr>
                <w:rFonts w:hint="eastAsia" w:ascii="宋体" w:hAnsi="宋体" w:cs="宋体"/>
                <w:color w:val="auto"/>
                <w:sz w:val="24"/>
                <w:szCs w:val="24"/>
                <w:highlight w:val="none"/>
              </w:rPr>
            </w:pPr>
          </w:p>
          <w:p w14:paraId="59EB3866">
            <w:pPr>
              <w:shd w:val="clear" w:color="auto"/>
              <w:tabs>
                <w:tab w:val="left" w:pos="360"/>
                <w:tab w:val="left" w:pos="1800"/>
              </w:tabs>
              <w:spacing w:line="360" w:lineRule="auto"/>
              <w:jc w:val="center"/>
              <w:rPr>
                <w:rFonts w:hint="eastAsia" w:ascii="宋体" w:hAnsi="宋体" w:cs="宋体"/>
                <w:color w:val="auto"/>
                <w:sz w:val="24"/>
                <w:szCs w:val="24"/>
                <w:highlight w:val="none"/>
              </w:rPr>
            </w:pPr>
          </w:p>
          <w:p w14:paraId="19E23E1B">
            <w:pPr>
              <w:shd w:val="clear" w:color="auto"/>
              <w:tabs>
                <w:tab w:val="left" w:pos="360"/>
                <w:tab w:val="left" w:pos="1800"/>
              </w:tab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委托代理人身份证扫描件（正、反两面）</w:t>
            </w:r>
          </w:p>
        </w:tc>
      </w:tr>
    </w:tbl>
    <w:p w14:paraId="279E72DB">
      <w:pPr>
        <w:shd w:val="clear" w:color="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注：委托代理人身份证扫描件应反映出证件有效期等所载内容，作为本法定代表人授权书的附件。</w:t>
      </w:r>
    </w:p>
    <w:p w14:paraId="7139F902">
      <w:pPr>
        <w:pStyle w:val="11"/>
        <w:shd w:val="clear" w:color="auto"/>
        <w:rPr>
          <w:rFonts w:hint="eastAsia" w:ascii="宋体" w:hAnsi="宋体" w:cs="宋体"/>
          <w:color w:val="auto"/>
          <w:highlight w:val="none"/>
        </w:rPr>
      </w:pPr>
    </w:p>
    <w:p w14:paraId="388C0465">
      <w:pPr>
        <w:pStyle w:val="185"/>
        <w:shd w:val="clear" w:color="auto"/>
        <w:outlineLvl w:val="2"/>
        <w:rPr>
          <w:rFonts w:hint="eastAsia" w:ascii="宋体" w:hAnsi="宋体" w:eastAsia="宋体" w:cs="宋体"/>
          <w:color w:val="auto"/>
          <w:kern w:val="2"/>
          <w:highlight w:val="none"/>
        </w:rPr>
      </w:pPr>
    </w:p>
    <w:p w14:paraId="6155D8AC">
      <w:pPr>
        <w:shd w:val="clear"/>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br w:type="page"/>
      </w:r>
    </w:p>
    <w:p w14:paraId="61D7FC8D">
      <w:pPr>
        <w:shd w:val="clea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30"/>
          <w:szCs w:val="30"/>
          <w:highlight w:val="none"/>
          <w:lang w:val="en-US" w:eastAsia="zh-CN" w:bidi="ar-SA"/>
        </w:rPr>
        <w:t>（2）具有独立承担民事责任的能力；</w:t>
      </w:r>
      <w:r>
        <w:rPr>
          <w:rFonts w:hint="eastAsia" w:ascii="宋体" w:hAnsi="宋体" w:eastAsia="宋体" w:cs="宋体"/>
          <w:b w:val="0"/>
          <w:bCs w:val="0"/>
          <w:color w:val="auto"/>
          <w:kern w:val="2"/>
          <w:sz w:val="24"/>
          <w:szCs w:val="24"/>
          <w:highlight w:val="none"/>
          <w:lang w:val="en-US" w:eastAsia="zh-CN" w:bidi="ar-SA"/>
        </w:rPr>
        <w:t>（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61501938">
      <w:pPr>
        <w:pStyle w:val="15"/>
        <w:shd w:val="clear"/>
        <w:rPr>
          <w:rFonts w:hint="eastAsia"/>
          <w:lang w:val="en-US" w:eastAsia="zh-CN"/>
        </w:rPr>
      </w:pPr>
    </w:p>
    <w:p w14:paraId="272C8B5D">
      <w:pPr>
        <w:shd w:val="clear"/>
        <w:jc w:val="both"/>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（3）具有良好的商业信誉和健全的财务会计制度</w:t>
      </w:r>
      <w:r>
        <w:rPr>
          <w:rFonts w:hint="eastAsia" w:ascii="宋体" w:hAnsi="宋体" w:cs="宋体"/>
          <w:b/>
          <w:bCs/>
          <w:color w:val="auto"/>
          <w:kern w:val="2"/>
          <w:sz w:val="30"/>
          <w:szCs w:val="30"/>
          <w:highlight w:val="none"/>
          <w:lang w:val="en-US" w:eastAsia="zh-CN" w:bidi="ar-SA"/>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提供健全的财务会计制度证明文件或近一年内银行提供的资信证明，例如2023年度至2025年度任意一年会计师事务所出具的财务审计报告或财务状况报告等，新成立公司自成立之日起提供</w:t>
      </w:r>
      <w:r>
        <w:rPr>
          <w:rFonts w:hint="eastAsia" w:ascii="宋体" w:hAnsi="宋体" w:eastAsia="宋体" w:cs="宋体"/>
          <w:color w:val="auto"/>
          <w:sz w:val="24"/>
          <w:szCs w:val="24"/>
          <w:highlight w:val="none"/>
          <w:lang w:val="en-US" w:eastAsia="zh-CN"/>
        </w:rPr>
        <w:t>）</w:t>
      </w:r>
    </w:p>
    <w:p w14:paraId="7166099C">
      <w:pPr>
        <w:shd w:val="clear"/>
        <w:jc w:val="center"/>
        <w:rPr>
          <w:rFonts w:hint="eastAsia" w:ascii="宋体" w:hAnsi="宋体" w:eastAsia="宋体" w:cs="宋体"/>
          <w:b/>
          <w:bCs/>
          <w:color w:val="auto"/>
          <w:kern w:val="2"/>
          <w:sz w:val="30"/>
          <w:szCs w:val="30"/>
          <w:highlight w:val="none"/>
          <w:lang w:val="en-US" w:eastAsia="zh-CN" w:bidi="ar-SA"/>
        </w:rPr>
      </w:pPr>
    </w:p>
    <w:p w14:paraId="716FA84E">
      <w:pPr>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30"/>
          <w:szCs w:val="30"/>
          <w:highlight w:val="none"/>
          <w:lang w:val="en-US" w:eastAsia="zh-CN" w:bidi="ar-SA"/>
        </w:rPr>
        <w:t>（4）具有履行合同所必需的设备和专业技术能力</w:t>
      </w:r>
      <w:r>
        <w:rPr>
          <w:rFonts w:hint="eastAsia" w:ascii="宋体" w:hAnsi="宋体" w:cs="宋体"/>
          <w:b/>
          <w:bCs/>
          <w:color w:val="auto"/>
          <w:kern w:val="2"/>
          <w:sz w:val="30"/>
          <w:szCs w:val="30"/>
          <w:highlight w:val="none"/>
          <w:lang w:val="en-US" w:eastAsia="zh-CN" w:bidi="ar-SA"/>
        </w:rPr>
        <w:t>；</w:t>
      </w:r>
      <w:r>
        <w:rPr>
          <w:rFonts w:hint="eastAsia" w:ascii="宋体" w:hAnsi="宋体" w:eastAsia="宋体" w:cs="宋体"/>
          <w:color w:val="auto"/>
          <w:sz w:val="24"/>
          <w:szCs w:val="24"/>
          <w:highlight w:val="none"/>
          <w:lang w:val="en-US" w:eastAsia="zh-CN"/>
        </w:rPr>
        <w:t>（提供具有履行合同所必需的设备和专业技术能力的承诺函）</w:t>
      </w:r>
    </w:p>
    <w:p w14:paraId="2BD2FBA2">
      <w:pPr>
        <w:pStyle w:val="15"/>
        <w:shd w:val="clear"/>
        <w:rPr>
          <w:rFonts w:hint="eastAsia"/>
          <w:lang w:val="en-US" w:eastAsia="zh-CN"/>
        </w:rPr>
      </w:pPr>
    </w:p>
    <w:p w14:paraId="16272383">
      <w:pPr>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30"/>
          <w:szCs w:val="30"/>
          <w:highlight w:val="none"/>
          <w:lang w:val="en-US" w:eastAsia="zh-CN" w:bidi="ar-SA"/>
        </w:rPr>
        <w:t>（5）有依法缴纳税收和社会保障资金的良好记录</w:t>
      </w:r>
      <w:r>
        <w:rPr>
          <w:rFonts w:hint="eastAsia" w:ascii="宋体" w:hAnsi="宋体" w:cs="宋体"/>
          <w:b/>
          <w:bCs/>
          <w:color w:val="auto"/>
          <w:kern w:val="2"/>
          <w:sz w:val="30"/>
          <w:szCs w:val="30"/>
          <w:highlight w:val="none"/>
          <w:lang w:val="en-US" w:eastAsia="zh-CN" w:bidi="ar-SA"/>
        </w:rPr>
        <w:t>；</w:t>
      </w:r>
      <w:r>
        <w:rPr>
          <w:rFonts w:hint="eastAsia" w:ascii="宋体" w:hAnsi="宋体" w:eastAsia="宋体" w:cs="宋体"/>
          <w:color w:val="auto"/>
          <w:sz w:val="24"/>
          <w:szCs w:val="24"/>
          <w:highlight w:val="none"/>
          <w:lang w:val="en-US" w:eastAsia="zh-CN"/>
        </w:rPr>
        <w:t>（递交投标文件截止时间前一年内至少一个月依法缴纳税收及缴纳社会保障资金的证明材料，投标人依法享受缓缴、免缴税收、社会保障资金的，提供证明材料）</w:t>
      </w:r>
    </w:p>
    <w:p w14:paraId="7D7BF2F7">
      <w:pPr>
        <w:pStyle w:val="15"/>
        <w:shd w:val="clear"/>
        <w:rPr>
          <w:rFonts w:hint="eastAsia"/>
          <w:lang w:val="en-US" w:eastAsia="zh-CN"/>
        </w:rPr>
      </w:pPr>
    </w:p>
    <w:p w14:paraId="1D889AF1">
      <w:pPr>
        <w:shd w:val="clear"/>
        <w:jc w:val="left"/>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6）参加采购活动前三年内，在经营活动中没有重大违法记录。查询渠道“中国政府采购网”、“信用中国”及“中国执行信息公开网”，被列入失信被执行人、重大税收违法案件当事人名单、政府采购严重违法失信行为记录名单的供应商，不得参与本次政府采购活动，供应商自行登录网站进:行查询结果并打印完整查询结果。</w:t>
      </w:r>
    </w:p>
    <w:p w14:paraId="24DEA99A">
      <w:pPr>
        <w:pStyle w:val="15"/>
        <w:shd w:val="clear"/>
        <w:rPr>
          <w:rFonts w:hint="eastAsia"/>
          <w:lang w:val="en-US" w:eastAsia="zh-CN"/>
        </w:rPr>
      </w:pPr>
    </w:p>
    <w:p w14:paraId="56609E92">
      <w:pPr>
        <w:shd w:val="clear"/>
        <w:jc w:val="left"/>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（7）</w:t>
      </w:r>
      <w:r>
        <w:rPr>
          <w:rFonts w:hint="eastAsia" w:ascii="宋体" w:hAnsi="宋体" w:cs="宋体"/>
          <w:b/>
          <w:bCs/>
          <w:color w:val="auto"/>
          <w:kern w:val="2"/>
          <w:sz w:val="30"/>
          <w:szCs w:val="30"/>
          <w:highlight w:val="none"/>
          <w:lang w:val="en-US" w:eastAsia="zh-CN" w:bidi="ar-SA"/>
        </w:rPr>
        <w:t>缴纳投标保证金凭证</w:t>
      </w:r>
      <w:r>
        <w:rPr>
          <w:rFonts w:hint="eastAsia" w:ascii="宋体" w:hAnsi="宋体" w:eastAsia="宋体" w:cs="宋体"/>
          <w:b/>
          <w:bCs/>
          <w:color w:val="auto"/>
          <w:kern w:val="2"/>
          <w:sz w:val="30"/>
          <w:szCs w:val="30"/>
          <w:highlight w:val="none"/>
          <w:lang w:val="en-US" w:eastAsia="zh-CN" w:bidi="ar-SA"/>
        </w:rPr>
        <w:br w:type="page"/>
      </w:r>
    </w:p>
    <w:p w14:paraId="2417022B">
      <w:pPr>
        <w:shd w:val="clea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6.供应商认为需提供的证明文件及资料</w:t>
      </w:r>
    </w:p>
    <w:p w14:paraId="1D14B3A0">
      <w:pPr>
        <w:shd w:val="clear"/>
        <w:jc w:val="center"/>
        <w:rPr>
          <w:rFonts w:hint="eastAsia" w:ascii="宋体" w:hAnsi="宋体" w:eastAsia="宋体" w:cs="宋体"/>
          <w:b/>
          <w:bCs/>
          <w:color w:val="auto"/>
          <w:kern w:val="2"/>
          <w:sz w:val="30"/>
          <w:szCs w:val="30"/>
          <w:highlight w:val="none"/>
          <w:lang w:val="en-US" w:eastAsia="zh-CN" w:bidi="ar-SA"/>
        </w:rPr>
      </w:pPr>
    </w:p>
    <w:p w14:paraId="661CD638">
      <w:pPr>
        <w:shd w:val="clea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（格式自拟）</w:t>
      </w:r>
      <w:r>
        <w:rPr>
          <w:rFonts w:hint="eastAsia" w:ascii="宋体" w:hAnsi="宋体" w:eastAsia="宋体" w:cs="宋体"/>
          <w:b/>
          <w:bCs/>
          <w:color w:val="auto"/>
          <w:kern w:val="2"/>
          <w:sz w:val="30"/>
          <w:szCs w:val="30"/>
          <w:highlight w:val="none"/>
          <w:lang w:val="en-US" w:eastAsia="zh-CN" w:bidi="ar-SA"/>
        </w:rPr>
        <w:br w:type="page"/>
      </w:r>
    </w:p>
    <w:p w14:paraId="3B154658">
      <w:pPr>
        <w:shd w:val="clear"/>
        <w:jc w:val="center"/>
        <w:rPr>
          <w:rFonts w:hint="eastAsia" w:ascii="宋体" w:hAnsi="宋体" w:eastAsia="宋体" w:cs="宋体"/>
          <w:color w:val="auto"/>
          <w:kern w:val="2"/>
          <w:highlight w:val="none"/>
        </w:rPr>
      </w:pPr>
      <w:r>
        <w:rPr>
          <w:rFonts w:hint="eastAsia" w:ascii="宋体" w:hAnsi="宋体" w:eastAsia="宋体" w:cs="宋体"/>
          <w:b/>
          <w:bCs/>
          <w:color w:val="auto"/>
          <w:kern w:val="2"/>
          <w:sz w:val="30"/>
          <w:szCs w:val="30"/>
          <w:highlight w:val="none"/>
          <w:lang w:val="en-US" w:eastAsia="zh-CN" w:bidi="ar-SA"/>
        </w:rPr>
        <w:t>7.反商业贿赂承诺书</w:t>
      </w:r>
    </w:p>
    <w:p w14:paraId="27C99E25">
      <w:pPr>
        <w:pStyle w:val="11"/>
        <w:shd w:val="clear" w:color="auto"/>
        <w:ind w:left="0" w:leftChars="0" w:firstLine="0" w:firstLineChars="0"/>
        <w:rPr>
          <w:rFonts w:hint="eastAsia" w:ascii="宋体" w:hAnsi="宋体" w:cs="宋体"/>
          <w:color w:val="auto"/>
          <w:highlight w:val="none"/>
        </w:rPr>
      </w:pPr>
    </w:p>
    <w:p w14:paraId="3451DE71">
      <w:pPr>
        <w:shd w:val="clear" w:color="auto"/>
        <w:spacing w:before="100" w:beforeAutospacing="1" w:after="100" w:afterAutospacing="1"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我公司承诺在</w:t>
      </w:r>
      <w:r>
        <w:rPr>
          <w:rFonts w:hint="eastAsia" w:ascii="宋体" w:hAnsi="宋体" w:cs="宋体"/>
          <w:color w:val="auto"/>
          <w:sz w:val="24"/>
          <w:szCs w:val="24"/>
          <w:highlight w:val="none"/>
          <w:u w:val="single"/>
        </w:rPr>
        <w:t xml:space="preserve">（项目编号、项目名称）          </w:t>
      </w:r>
      <w:r>
        <w:rPr>
          <w:rFonts w:hint="eastAsia" w:ascii="宋体" w:hAnsi="宋体" w:cs="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8C1008A">
      <w:pPr>
        <w:pStyle w:val="144"/>
        <w:shd w:val="clear" w:color="auto"/>
        <w:tabs>
          <w:tab w:val="left" w:pos="750"/>
        </w:tabs>
        <w:adjustRightInd w:val="0"/>
        <w:snapToGrid w:val="0"/>
        <w:spacing w:line="400" w:lineRule="exact"/>
        <w:ind w:firstLine="2640" w:firstLineChars="1100"/>
        <w:rPr>
          <w:rFonts w:hint="eastAsia" w:ascii="宋体" w:hAnsi="宋体" w:cs="宋体"/>
          <w:color w:val="auto"/>
          <w:sz w:val="24"/>
          <w:szCs w:val="24"/>
          <w:highlight w:val="none"/>
        </w:rPr>
      </w:pPr>
      <w:r>
        <w:rPr>
          <w:rFonts w:hint="eastAsia" w:ascii="宋体" w:hAnsi="宋体" w:cs="宋体"/>
          <w:color w:val="auto"/>
          <w:sz w:val="24"/>
          <w:szCs w:val="24"/>
          <w:highlight w:val="none"/>
        </w:rPr>
        <w:t>供应商（盖章）：</w:t>
      </w:r>
      <w:r>
        <w:rPr>
          <w:rFonts w:hint="eastAsia" w:ascii="宋体" w:hAnsi="宋体" w:cs="宋体"/>
          <w:color w:val="auto"/>
          <w:sz w:val="24"/>
          <w:szCs w:val="24"/>
          <w:highlight w:val="none"/>
          <w:u w:val="single"/>
        </w:rPr>
        <w:t xml:space="preserve">                        </w:t>
      </w:r>
    </w:p>
    <w:p w14:paraId="000C76E7">
      <w:pPr>
        <w:pStyle w:val="144"/>
        <w:shd w:val="clear" w:color="auto"/>
        <w:tabs>
          <w:tab w:val="left" w:pos="750"/>
        </w:tabs>
        <w:adjustRightInd w:val="0"/>
        <w:snapToGrid w:val="0"/>
        <w:spacing w:line="400" w:lineRule="exact"/>
        <w:ind w:firstLine="480" w:firstLineChars="200"/>
        <w:rPr>
          <w:rFonts w:hint="eastAsia" w:ascii="宋体" w:hAnsi="宋体" w:cs="宋体"/>
          <w:color w:val="auto"/>
          <w:sz w:val="24"/>
          <w:szCs w:val="24"/>
          <w:highlight w:val="none"/>
        </w:rPr>
      </w:pPr>
    </w:p>
    <w:p w14:paraId="360D30DD">
      <w:pPr>
        <w:pStyle w:val="144"/>
        <w:shd w:val="clear" w:color="auto"/>
        <w:tabs>
          <w:tab w:val="left" w:pos="750"/>
        </w:tabs>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法定代表人或委托代理人（签字或盖章）：</w:t>
      </w:r>
      <w:r>
        <w:rPr>
          <w:rFonts w:hint="eastAsia" w:ascii="宋体" w:hAnsi="宋体" w:cs="宋体"/>
          <w:color w:val="auto"/>
          <w:sz w:val="24"/>
          <w:szCs w:val="24"/>
          <w:highlight w:val="none"/>
          <w:u w:val="single"/>
        </w:rPr>
        <w:t xml:space="preserve">                       </w:t>
      </w:r>
    </w:p>
    <w:p w14:paraId="6715DF4F">
      <w:pPr>
        <w:pStyle w:val="144"/>
        <w:shd w:val="clear" w:color="auto"/>
        <w:tabs>
          <w:tab w:val="left" w:pos="750"/>
        </w:tabs>
        <w:adjustRightInd w:val="0"/>
        <w:snapToGrid w:val="0"/>
        <w:spacing w:line="400" w:lineRule="exact"/>
        <w:ind w:firstLine="2640" w:firstLineChars="1100"/>
        <w:rPr>
          <w:rFonts w:hint="eastAsia" w:ascii="宋体" w:hAnsi="宋体" w:cs="宋体"/>
          <w:color w:val="auto"/>
          <w:sz w:val="24"/>
          <w:szCs w:val="24"/>
          <w:highlight w:val="none"/>
        </w:rPr>
      </w:pPr>
    </w:p>
    <w:p w14:paraId="0379914D">
      <w:pPr>
        <w:pStyle w:val="144"/>
        <w:shd w:val="clear" w:color="auto"/>
        <w:tabs>
          <w:tab w:val="left" w:pos="750"/>
        </w:tabs>
        <w:adjustRightInd w:val="0"/>
        <w:snapToGrid w:val="0"/>
        <w:spacing w:line="400" w:lineRule="exact"/>
        <w:ind w:firstLine="2640" w:firstLineChars="1100"/>
        <w:rPr>
          <w:rFonts w:hint="eastAsia" w:ascii="宋体" w:hAnsi="宋体" w:cs="宋体"/>
          <w:bCs/>
          <w:color w:val="auto"/>
          <w:sz w:val="22"/>
          <w:highlight w:val="none"/>
        </w:rPr>
      </w:pPr>
      <w:r>
        <w:rPr>
          <w:rFonts w:hint="eastAsia" w:ascii="宋体" w:hAnsi="宋体" w:cs="宋体"/>
          <w:color w:val="auto"/>
          <w:sz w:val="24"/>
          <w:szCs w:val="24"/>
          <w:highlight w:val="none"/>
        </w:rPr>
        <w:t>承诺日期：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DEE241F">
      <w:pPr>
        <w:pStyle w:val="11"/>
        <w:shd w:val="clear" w:color="auto"/>
        <w:spacing w:line="400" w:lineRule="exact"/>
        <w:rPr>
          <w:rFonts w:hint="eastAsia" w:ascii="宋体" w:hAnsi="宋体" w:cs="宋体"/>
          <w:color w:val="auto"/>
          <w:sz w:val="24"/>
          <w:szCs w:val="24"/>
          <w:highlight w:val="none"/>
        </w:rPr>
      </w:pPr>
    </w:p>
    <w:p w14:paraId="2DD1F445">
      <w:pPr>
        <w:pStyle w:val="11"/>
        <w:shd w:val="clear" w:color="auto"/>
        <w:spacing w:line="400" w:lineRule="exact"/>
        <w:rPr>
          <w:rFonts w:hint="eastAsia" w:ascii="宋体" w:hAnsi="宋体" w:cs="宋体"/>
          <w:color w:val="auto"/>
          <w:sz w:val="24"/>
          <w:szCs w:val="24"/>
          <w:highlight w:val="none"/>
        </w:rPr>
      </w:pPr>
    </w:p>
    <w:p w14:paraId="02157925">
      <w:pPr>
        <w:pStyle w:val="11"/>
        <w:shd w:val="clear" w:color="auto"/>
        <w:spacing w:line="400" w:lineRule="exact"/>
        <w:rPr>
          <w:rFonts w:hint="eastAsia" w:ascii="宋体" w:hAnsi="宋体" w:cs="宋体"/>
          <w:color w:val="auto"/>
          <w:sz w:val="24"/>
          <w:szCs w:val="24"/>
          <w:highlight w:val="none"/>
        </w:rPr>
      </w:pPr>
    </w:p>
    <w:p w14:paraId="6368A5B7">
      <w:pPr>
        <w:pStyle w:val="11"/>
        <w:shd w:val="clear" w:color="auto"/>
        <w:spacing w:line="400" w:lineRule="exact"/>
        <w:ind w:firstLine="0"/>
        <w:rPr>
          <w:rFonts w:hint="eastAsia" w:ascii="宋体" w:hAnsi="宋体" w:cs="宋体"/>
          <w:b/>
          <w:color w:val="auto"/>
          <w:sz w:val="32"/>
          <w:szCs w:val="32"/>
          <w:highlight w:val="none"/>
        </w:rPr>
      </w:pPr>
    </w:p>
    <w:p w14:paraId="3F0577E8">
      <w:pPr>
        <w:pStyle w:val="11"/>
        <w:shd w:val="clear" w:color="auto"/>
        <w:spacing w:line="400" w:lineRule="exact"/>
        <w:ind w:firstLine="0"/>
        <w:rPr>
          <w:rFonts w:hint="eastAsia" w:ascii="宋体" w:hAnsi="宋体" w:cs="宋体"/>
          <w:b/>
          <w:color w:val="auto"/>
          <w:sz w:val="32"/>
          <w:szCs w:val="32"/>
          <w:highlight w:val="none"/>
        </w:rPr>
      </w:pPr>
    </w:p>
    <w:p w14:paraId="5BF12409">
      <w:pPr>
        <w:pStyle w:val="11"/>
        <w:shd w:val="clear" w:color="auto"/>
        <w:spacing w:line="400" w:lineRule="exact"/>
        <w:ind w:firstLine="0"/>
        <w:rPr>
          <w:rFonts w:hint="eastAsia" w:ascii="宋体" w:hAnsi="宋体" w:cs="宋体"/>
          <w:b/>
          <w:color w:val="auto"/>
          <w:sz w:val="32"/>
          <w:szCs w:val="32"/>
          <w:highlight w:val="none"/>
        </w:rPr>
      </w:pPr>
    </w:p>
    <w:p w14:paraId="530490DD">
      <w:pPr>
        <w:pStyle w:val="11"/>
        <w:shd w:val="clear" w:color="auto"/>
        <w:spacing w:line="400" w:lineRule="exact"/>
        <w:ind w:firstLine="0"/>
        <w:rPr>
          <w:rFonts w:hint="eastAsia" w:ascii="宋体" w:hAnsi="宋体" w:cs="宋体"/>
          <w:b/>
          <w:color w:val="auto"/>
          <w:sz w:val="32"/>
          <w:szCs w:val="32"/>
          <w:highlight w:val="none"/>
        </w:rPr>
      </w:pPr>
    </w:p>
    <w:p w14:paraId="344DF233">
      <w:pPr>
        <w:pStyle w:val="11"/>
        <w:shd w:val="clear" w:color="auto"/>
        <w:spacing w:line="400" w:lineRule="exact"/>
        <w:ind w:firstLine="0"/>
        <w:rPr>
          <w:rFonts w:hint="eastAsia" w:ascii="宋体" w:hAnsi="宋体" w:cs="宋体"/>
          <w:b/>
          <w:color w:val="auto"/>
          <w:sz w:val="32"/>
          <w:szCs w:val="32"/>
          <w:highlight w:val="none"/>
        </w:rPr>
      </w:pPr>
    </w:p>
    <w:p w14:paraId="5C3D7243">
      <w:pPr>
        <w:pStyle w:val="11"/>
        <w:shd w:val="clear" w:color="auto"/>
        <w:spacing w:line="400" w:lineRule="exact"/>
        <w:ind w:firstLine="0"/>
        <w:rPr>
          <w:rFonts w:hint="eastAsia" w:ascii="宋体" w:hAnsi="宋体" w:cs="宋体"/>
          <w:b/>
          <w:color w:val="auto"/>
          <w:sz w:val="32"/>
          <w:szCs w:val="32"/>
          <w:highlight w:val="none"/>
        </w:rPr>
      </w:pPr>
    </w:p>
    <w:p w14:paraId="1ECBEAA5">
      <w:pPr>
        <w:pStyle w:val="11"/>
        <w:shd w:val="clear" w:color="auto"/>
        <w:spacing w:line="400" w:lineRule="exact"/>
        <w:ind w:firstLine="0"/>
        <w:rPr>
          <w:rFonts w:hint="eastAsia" w:ascii="宋体" w:hAnsi="宋体" w:cs="宋体"/>
          <w:b/>
          <w:color w:val="auto"/>
          <w:sz w:val="32"/>
          <w:szCs w:val="32"/>
          <w:highlight w:val="none"/>
        </w:rPr>
      </w:pPr>
    </w:p>
    <w:p w14:paraId="360FFEA2">
      <w:pPr>
        <w:pStyle w:val="11"/>
        <w:shd w:val="clear" w:color="auto"/>
        <w:spacing w:line="400" w:lineRule="exact"/>
        <w:ind w:firstLine="0"/>
        <w:rPr>
          <w:rFonts w:hint="eastAsia" w:ascii="宋体" w:hAnsi="宋体" w:cs="宋体"/>
          <w:b/>
          <w:color w:val="auto"/>
          <w:sz w:val="32"/>
          <w:szCs w:val="32"/>
          <w:highlight w:val="none"/>
        </w:rPr>
      </w:pPr>
    </w:p>
    <w:p w14:paraId="77FC8880">
      <w:pPr>
        <w:pStyle w:val="11"/>
        <w:shd w:val="clear" w:color="auto"/>
        <w:spacing w:line="400" w:lineRule="exact"/>
        <w:ind w:firstLine="0"/>
        <w:rPr>
          <w:rFonts w:hint="eastAsia" w:ascii="宋体" w:hAnsi="宋体" w:cs="宋体"/>
          <w:b/>
          <w:color w:val="auto"/>
          <w:sz w:val="32"/>
          <w:szCs w:val="32"/>
          <w:highlight w:val="none"/>
        </w:rPr>
      </w:pPr>
    </w:p>
    <w:p w14:paraId="2DC3C969">
      <w:pPr>
        <w:pStyle w:val="11"/>
        <w:shd w:val="clear" w:color="auto"/>
        <w:spacing w:line="400" w:lineRule="exact"/>
        <w:ind w:firstLine="0"/>
        <w:rPr>
          <w:rFonts w:hint="eastAsia" w:ascii="宋体" w:hAnsi="宋体" w:cs="宋体"/>
          <w:b/>
          <w:color w:val="auto"/>
          <w:sz w:val="32"/>
          <w:szCs w:val="32"/>
          <w:highlight w:val="none"/>
        </w:rPr>
      </w:pPr>
    </w:p>
    <w:p w14:paraId="1C65B4C6">
      <w:pPr>
        <w:shd w:val="clear" w:color="auto"/>
        <w:rPr>
          <w:rFonts w:hint="eastAsia"/>
          <w:color w:val="auto"/>
          <w:highlight w:val="none"/>
        </w:rPr>
      </w:pPr>
    </w:p>
    <w:p w14:paraId="31370D66">
      <w:pPr>
        <w:pStyle w:val="11"/>
        <w:shd w:val="clear" w:color="auto"/>
        <w:spacing w:line="400" w:lineRule="exact"/>
        <w:ind w:firstLine="0"/>
        <w:rPr>
          <w:rFonts w:hint="eastAsia" w:ascii="宋体" w:hAnsi="宋体" w:cs="宋体"/>
          <w:b/>
          <w:color w:val="auto"/>
          <w:sz w:val="32"/>
          <w:szCs w:val="32"/>
          <w:highlight w:val="none"/>
        </w:rPr>
      </w:pPr>
    </w:p>
    <w:p w14:paraId="156A047E">
      <w:pPr>
        <w:pStyle w:val="185"/>
        <w:keepNext w:val="0"/>
        <w:keepLines w:val="0"/>
        <w:pageBreakBefore/>
        <w:widowControl w:val="0"/>
        <w:shd w:val="clear" w:color="auto"/>
        <w:kinsoku/>
        <w:wordWrap/>
        <w:overflowPunct/>
        <w:topLinePunct w:val="0"/>
        <w:autoSpaceDE/>
        <w:autoSpaceDN/>
        <w:bidi w:val="0"/>
        <w:adjustRightInd/>
        <w:snapToGrid/>
        <w:jc w:val="center"/>
        <w:textAlignment w:val="auto"/>
        <w:outlineLvl w:val="2"/>
        <w:rPr>
          <w:rFonts w:hint="eastAsia" w:ascii="宋体" w:hAnsi="宋体" w:eastAsia="宋体" w:cs="宋体"/>
          <w:b/>
          <w:color w:val="auto"/>
          <w:kern w:val="2"/>
          <w:highlight w:val="none"/>
          <w:lang w:val="en-US" w:eastAsia="zh-CN"/>
        </w:rPr>
      </w:pPr>
      <w:r>
        <w:rPr>
          <w:rFonts w:hint="eastAsia" w:ascii="宋体" w:hAnsi="宋体" w:eastAsia="宋体" w:cs="宋体"/>
          <w:b/>
          <w:color w:val="auto"/>
          <w:kern w:val="2"/>
          <w:highlight w:val="none"/>
          <w:lang w:val="en-US" w:eastAsia="zh-CN"/>
        </w:rPr>
        <w:t>8.廉洁投标承诺书</w:t>
      </w:r>
    </w:p>
    <w:p w14:paraId="4243A309">
      <w:pPr>
        <w:keepNext w:val="0"/>
        <w:keepLines w:val="0"/>
        <w:pageBreakBefore w:val="0"/>
        <w:widowControl w:val="0"/>
        <w:shd w:val="clear" w:color="auto"/>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致新疆科技学院：</w:t>
      </w:r>
    </w:p>
    <w:p w14:paraId="44E05B11">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lang w:val="en-US" w:eastAsia="zh-CN"/>
        </w:rPr>
        <w:t>根据《新疆科技学院关于对招投标实行廉洁承诺及合同备案管理制度的规定》，我单位在贵校</w:t>
      </w:r>
      <w:r>
        <w:rPr>
          <w:rFonts w:hint="eastAsia" w:ascii="宋体" w:hAnsi="宋体" w:eastAsia="宋体" w:cs="宋体"/>
          <w:b w:val="0"/>
          <w:bCs w:val="0"/>
          <w:color w:val="auto"/>
          <w:spacing w:val="0"/>
          <w:sz w:val="24"/>
          <w:szCs w:val="24"/>
          <w:highlight w:val="none"/>
          <w:u w:val="single"/>
          <w:lang w:val="en-US" w:eastAsia="zh-CN"/>
        </w:rPr>
        <w:t xml:space="preserve">                              </w:t>
      </w:r>
      <w:r>
        <w:rPr>
          <w:rFonts w:hint="eastAsia" w:ascii="宋体" w:hAnsi="宋体" w:eastAsia="宋体" w:cs="宋体"/>
          <w:b w:val="0"/>
          <w:bCs w:val="0"/>
          <w:color w:val="auto"/>
          <w:spacing w:val="0"/>
          <w:sz w:val="24"/>
          <w:szCs w:val="24"/>
          <w:highlight w:val="none"/>
          <w:u w:val="none"/>
          <w:lang w:val="en-US" w:eastAsia="zh-CN"/>
        </w:rPr>
        <w:t>项目投标过程中，郑重申明并承诺：</w:t>
      </w:r>
    </w:p>
    <w:p w14:paraId="69F81134">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14:paraId="1206F5AC">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1. 严格遵守有关法律法规和行业标准规范，依法诚信参加投标，自觉维护公平竞争秩序。</w:t>
      </w:r>
    </w:p>
    <w:p w14:paraId="594CF581">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14:paraId="5344864E">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3. 中标人不得无正当理由不与招标人订立合同，在签订合同时向招标人提出附加条件，不按照招标文件要求提交履约保证金或履约保函，或者将中标项目转包、违法分包。</w:t>
      </w:r>
    </w:p>
    <w:p w14:paraId="3A247D9D">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4. 对学校招标人发生违规违纪违法行为的，及时向学校纪检监察机构反映，同时积极配合支持有关部门履行职责（受理单位：中共新疆科技学院纪律检查委员会，举报电话：0996—8612388）。</w:t>
      </w:r>
    </w:p>
    <w:p w14:paraId="5C8BB640">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u w:val="none"/>
          <w:lang w:val="en-US" w:eastAsia="zh-CN"/>
        </w:rPr>
        <w:t>5. 违反以上承诺，学校有权取消我单位投标资格或终止合同，由此引起的一切后果由我方承担。</w:t>
      </w:r>
    </w:p>
    <w:p w14:paraId="4655E0AC">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1FFBF0CC">
      <w:pPr>
        <w:keepNext w:val="0"/>
        <w:keepLines w:val="0"/>
        <w:pageBreakBefore w:val="0"/>
        <w:widowControl w:val="0"/>
        <w:shd w:val="clear" w:color="auto"/>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投标单位（盖单位公章）：</w:t>
      </w:r>
      <w:r>
        <w:rPr>
          <w:rFonts w:hint="eastAsia" w:ascii="宋体" w:hAnsi="宋体" w:eastAsia="宋体" w:cs="宋体"/>
          <w:b w:val="0"/>
          <w:bCs w:val="0"/>
          <w:color w:val="auto"/>
          <w:sz w:val="24"/>
          <w:szCs w:val="24"/>
          <w:highlight w:val="none"/>
          <w:u w:val="single"/>
          <w:lang w:val="en-US" w:eastAsia="zh-CN"/>
        </w:rPr>
        <w:t xml:space="preserve">                 </w:t>
      </w:r>
    </w:p>
    <w:p w14:paraId="629BFFF7">
      <w:pPr>
        <w:keepNext w:val="0"/>
        <w:keepLines w:val="0"/>
        <w:pageBreakBefore w:val="0"/>
        <w:widowControl w:val="0"/>
        <w:shd w:val="clear" w:color="auto"/>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法定代表人或授权代理人</w:t>
      </w:r>
    </w:p>
    <w:p w14:paraId="7BBC7BAA">
      <w:pPr>
        <w:keepNext w:val="0"/>
        <w:keepLines w:val="0"/>
        <w:pageBreakBefore w:val="0"/>
        <w:widowControl w:val="0"/>
        <w:shd w:val="clear" w:color="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 xml:space="preserve">                         （签  字  或  印  章）：</w:t>
      </w:r>
      <w:r>
        <w:rPr>
          <w:rFonts w:hint="eastAsia" w:ascii="宋体" w:hAnsi="宋体" w:eastAsia="宋体" w:cs="宋体"/>
          <w:b w:val="0"/>
          <w:bCs w:val="0"/>
          <w:color w:val="auto"/>
          <w:sz w:val="24"/>
          <w:szCs w:val="24"/>
          <w:highlight w:val="none"/>
          <w:u w:val="single"/>
          <w:lang w:val="en-US" w:eastAsia="zh-CN"/>
        </w:rPr>
        <w:t xml:space="preserve">                 </w:t>
      </w:r>
    </w:p>
    <w:p w14:paraId="6436257D">
      <w:pPr>
        <w:pStyle w:val="11"/>
        <w:shd w:val="clear" w:color="auto"/>
        <w:spacing w:line="400" w:lineRule="exact"/>
        <w:ind w:firstLine="0"/>
        <w:rPr>
          <w:rFonts w:hint="eastAsia" w:ascii="宋体" w:hAnsi="宋体" w:cs="宋体"/>
          <w:b/>
          <w:color w:val="auto"/>
          <w:sz w:val="32"/>
          <w:szCs w:val="32"/>
          <w:highlight w:val="none"/>
        </w:rPr>
      </w:pPr>
      <w:r>
        <w:rPr>
          <w:rFonts w:hint="eastAsia" w:ascii="宋体" w:hAnsi="宋体" w:eastAsia="宋体" w:cs="宋体"/>
          <w:b w:val="0"/>
          <w:bCs w:val="0"/>
          <w:color w:val="auto"/>
          <w:sz w:val="24"/>
          <w:szCs w:val="24"/>
          <w:highlight w:val="none"/>
          <w:lang w:val="en-US" w:eastAsia="zh-CN"/>
        </w:rPr>
        <w:t xml:space="preserve">                                    时  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w:t>
      </w:r>
    </w:p>
    <w:p w14:paraId="2C4DD328">
      <w:pPr>
        <w:pStyle w:val="185"/>
        <w:shd w:val="clear" w:color="auto"/>
        <w:outlineLvl w:val="2"/>
        <w:rPr>
          <w:rFonts w:hint="eastAsia" w:ascii="宋体" w:hAnsi="宋体" w:eastAsia="宋体" w:cs="宋体"/>
          <w:color w:val="auto"/>
          <w:kern w:val="2"/>
          <w:highlight w:val="none"/>
        </w:rPr>
      </w:pPr>
    </w:p>
    <w:p w14:paraId="0F80E955">
      <w:pPr>
        <w:pStyle w:val="4"/>
        <w:keepNext w:val="0"/>
        <w:keepLines w:val="0"/>
        <w:pageBreakBefore/>
        <w:widowControl w:val="0"/>
        <w:shd w:val="clear" w:color="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lang w:val="en-US" w:eastAsia="zh-CN"/>
        </w:rPr>
        <w:t>关于</w:t>
      </w:r>
      <w:r>
        <w:rPr>
          <w:rFonts w:hint="eastAsia" w:ascii="宋体" w:hAnsi="宋体" w:eastAsia="宋体" w:cs="宋体"/>
          <w:b/>
          <w:bCs/>
          <w:color w:val="auto"/>
          <w:sz w:val="30"/>
          <w:szCs w:val="30"/>
          <w:highlight w:val="none"/>
        </w:rPr>
        <w:t>《中华人民共和国政府采购法》第二十二条</w:t>
      </w:r>
      <w:r>
        <w:rPr>
          <w:rFonts w:hint="eastAsia" w:ascii="宋体" w:hAnsi="宋体" w:eastAsia="宋体" w:cs="宋体"/>
          <w:b/>
          <w:bCs/>
          <w:color w:val="auto"/>
          <w:sz w:val="30"/>
          <w:szCs w:val="30"/>
          <w:highlight w:val="none"/>
          <w:lang w:val="en-US" w:eastAsia="zh-CN"/>
        </w:rPr>
        <w:t>的</w:t>
      </w:r>
      <w:r>
        <w:rPr>
          <w:rFonts w:hint="eastAsia" w:ascii="宋体" w:hAnsi="宋体" w:eastAsia="宋体" w:cs="宋体"/>
          <w:b/>
          <w:bCs/>
          <w:color w:val="auto"/>
          <w:sz w:val="30"/>
          <w:szCs w:val="30"/>
          <w:highlight w:val="none"/>
        </w:rPr>
        <w:t>承诺</w:t>
      </w:r>
      <w:r>
        <w:rPr>
          <w:rFonts w:hint="eastAsia" w:ascii="宋体" w:hAnsi="宋体" w:eastAsia="宋体" w:cs="宋体"/>
          <w:b/>
          <w:bCs/>
          <w:color w:val="auto"/>
          <w:sz w:val="30"/>
          <w:szCs w:val="30"/>
          <w:highlight w:val="none"/>
          <w:lang w:val="en-US" w:eastAsia="zh-CN"/>
        </w:rPr>
        <w:t>书</w:t>
      </w:r>
    </w:p>
    <w:p w14:paraId="7A921B72">
      <w:pPr>
        <w:shd w:val="clear" w:color="auto"/>
        <w:spacing w:line="500" w:lineRule="exact"/>
        <w:ind w:firstLine="453" w:firstLineChars="189"/>
        <w:rPr>
          <w:rFonts w:hint="eastAsia" w:ascii="宋体" w:hAnsi="宋体" w:cs="Times New Roman"/>
          <w:bCs/>
          <w:color w:val="auto"/>
          <w:sz w:val="24"/>
          <w:szCs w:val="24"/>
          <w:highlight w:val="none"/>
        </w:rPr>
      </w:pPr>
    </w:p>
    <w:p w14:paraId="7DE7EF0E">
      <w:pPr>
        <w:shd w:val="clear" w:color="auto"/>
        <w:spacing w:line="500" w:lineRule="exact"/>
        <w:ind w:firstLine="453" w:firstLineChars="189"/>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rPr>
        <w:t>致：</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招标人</w:t>
      </w:r>
      <w:r>
        <w:rPr>
          <w:rFonts w:hint="eastAsia" w:ascii="宋体" w:hAnsi="宋体" w:cs="Times New Roman"/>
          <w:bCs/>
          <w:color w:val="auto"/>
          <w:sz w:val="24"/>
          <w:szCs w:val="24"/>
          <w:highlight w:val="none"/>
          <w:lang w:eastAsia="zh-CN"/>
        </w:rPr>
        <w:t>）</w:t>
      </w:r>
    </w:p>
    <w:p w14:paraId="62D2D198">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rPr>
        <w:t>参加贵方组织的</w:t>
      </w:r>
      <w:r>
        <w:rPr>
          <w:rFonts w:hint="eastAsia" w:ascii="宋体" w:hAnsi="宋体" w:cs="Times New Roman"/>
          <w:bCs/>
          <w:color w:val="auto"/>
          <w:sz w:val="24"/>
          <w:szCs w:val="24"/>
          <w:highlight w:val="none"/>
          <w:u w:val="single"/>
          <w:lang w:val="en-US" w:eastAsia="zh-CN"/>
        </w:rPr>
        <w:t xml:space="preserve">项目名称：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u w:val="single"/>
          <w:lang w:val="en-US" w:eastAsia="zh-CN"/>
        </w:rPr>
        <w:t xml:space="preserve">项目编号：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rPr>
        <w:t>的投标活动，</w:t>
      </w:r>
      <w:r>
        <w:rPr>
          <w:rFonts w:hint="eastAsia" w:ascii="宋体" w:hAnsi="宋体" w:cs="Times New Roman"/>
          <w:bCs/>
          <w:color w:val="auto"/>
          <w:sz w:val="24"/>
          <w:szCs w:val="24"/>
          <w:highlight w:val="none"/>
          <w:lang w:val="en-US" w:eastAsia="zh-CN"/>
        </w:rPr>
        <w:t>为便于贵方公正、择优的确定中标人，我方就本次投标有关事项声明如下</w:t>
      </w:r>
      <w:r>
        <w:rPr>
          <w:rFonts w:hint="eastAsia" w:ascii="宋体" w:hAnsi="宋体" w:cs="Times New Roman"/>
          <w:bCs/>
          <w:color w:val="auto"/>
          <w:sz w:val="24"/>
          <w:szCs w:val="24"/>
          <w:highlight w:val="none"/>
        </w:rPr>
        <w:t>：</w:t>
      </w:r>
    </w:p>
    <w:p w14:paraId="1ACB99B0">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（1）具有独立承担民事责任的能力；</w:t>
      </w:r>
    </w:p>
    <w:p w14:paraId="1491857E">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（2）具有良好的商业信誉和健全的财务会计制度；</w:t>
      </w:r>
    </w:p>
    <w:p w14:paraId="1BAAE704">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（3）具有履行合同所必需的设备和专业技术能力；</w:t>
      </w:r>
    </w:p>
    <w:p w14:paraId="75C7FEC9">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（4）有依法缴纳税收和社会保障资金的良好记录；</w:t>
      </w:r>
    </w:p>
    <w:p w14:paraId="10F56275">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（5）参加政府采购活动前三年内，在经营活动中没有重大违法记录；</w:t>
      </w:r>
    </w:p>
    <w:p w14:paraId="4281D2FF">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（6）法律、行政法规规定的其他条件。</w:t>
      </w:r>
    </w:p>
    <w:p w14:paraId="4CBD1616">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我公司已完全了解本</w:t>
      </w:r>
      <w:r>
        <w:rPr>
          <w:rFonts w:hint="eastAsia" w:ascii="宋体" w:hAnsi="宋体" w:cs="Times New Roman"/>
          <w:bCs/>
          <w:color w:val="auto"/>
          <w:sz w:val="24"/>
          <w:szCs w:val="24"/>
          <w:highlight w:val="none"/>
          <w:lang w:eastAsia="zh-CN"/>
        </w:rPr>
        <w:t>招标文件</w:t>
      </w:r>
      <w:r>
        <w:rPr>
          <w:rFonts w:hint="eastAsia" w:ascii="宋体" w:hAnsi="宋体" w:cs="Times New Roman"/>
          <w:bCs/>
          <w:color w:val="auto"/>
          <w:sz w:val="24"/>
          <w:szCs w:val="24"/>
          <w:highlight w:val="none"/>
        </w:rPr>
        <w:t>中规定的技术要求和商务条款。如违反以上承诺，本公司愿承担一切法律责任。</w:t>
      </w:r>
    </w:p>
    <w:p w14:paraId="1B474DDC">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特此承诺。</w:t>
      </w:r>
    </w:p>
    <w:p w14:paraId="6D4604F5">
      <w:pPr>
        <w:shd w:val="clear" w:color="auto"/>
        <w:spacing w:line="500" w:lineRule="exact"/>
        <w:ind w:firstLine="3120" w:firstLineChars="1300"/>
        <w:jc w:val="left"/>
        <w:rPr>
          <w:rFonts w:hint="eastAsia" w:ascii="宋体" w:hAnsi="宋体"/>
          <w:color w:val="auto"/>
          <w:sz w:val="24"/>
          <w:szCs w:val="24"/>
          <w:highlight w:val="none"/>
        </w:rPr>
      </w:pPr>
    </w:p>
    <w:p w14:paraId="23BFBB5F">
      <w:pPr>
        <w:shd w:val="clear" w:color="auto"/>
        <w:spacing w:line="48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承诺人（盖公章）：</w:t>
      </w:r>
      <w:r>
        <w:rPr>
          <w:rFonts w:hint="eastAsia" w:ascii="宋体" w:hAnsi="宋体"/>
          <w:color w:val="auto"/>
          <w:sz w:val="24"/>
          <w:szCs w:val="24"/>
          <w:highlight w:val="none"/>
          <w:u w:val="single"/>
        </w:rPr>
        <w:t xml:space="preserve">     （供应商全称）  </w:t>
      </w:r>
    </w:p>
    <w:p w14:paraId="048FB564">
      <w:pPr>
        <w:shd w:val="clear" w:color="auto"/>
        <w:spacing w:line="480" w:lineRule="auto"/>
        <w:jc w:val="left"/>
        <w:rPr>
          <w:rFonts w:hint="eastAsia" w:ascii="宋体" w:hAnsi="宋体" w:eastAsia="宋体" w:cs="宋体"/>
          <w:color w:val="auto"/>
          <w:kern w:val="2"/>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14:paraId="363F245B">
      <w:pPr>
        <w:pStyle w:val="11"/>
        <w:keepNext w:val="0"/>
        <w:keepLines w:val="0"/>
        <w:pageBreakBefore/>
        <w:widowControl w:val="0"/>
        <w:shd w:val="clear" w:color="auto"/>
        <w:kinsoku/>
        <w:wordWrap/>
        <w:overflowPunct/>
        <w:topLinePunct w:val="0"/>
        <w:autoSpaceDE/>
        <w:autoSpaceDN/>
        <w:bidi w:val="0"/>
        <w:adjustRightInd/>
        <w:snapToGrid/>
        <w:spacing w:line="400" w:lineRule="exact"/>
        <w:ind w:firstLine="0"/>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10.</w:t>
      </w:r>
      <w:r>
        <w:rPr>
          <w:rFonts w:hint="eastAsia" w:ascii="宋体" w:hAnsi="宋体" w:cs="宋体"/>
          <w:b/>
          <w:color w:val="auto"/>
          <w:sz w:val="32"/>
          <w:szCs w:val="32"/>
          <w:highlight w:val="none"/>
        </w:rPr>
        <w:t>关于资格的声明函</w:t>
      </w:r>
    </w:p>
    <w:p w14:paraId="544A1200">
      <w:pPr>
        <w:shd w:val="clear" w:color="auto"/>
        <w:rPr>
          <w:rFonts w:hint="eastAsia"/>
          <w:color w:val="auto"/>
          <w:highlight w:val="none"/>
        </w:rPr>
      </w:pPr>
    </w:p>
    <w:p w14:paraId="4743F7F1">
      <w:pPr>
        <w:shd w:val="clear" w:color="auto"/>
        <w:spacing w:line="380" w:lineRule="exact"/>
        <w:ind w:left="-199" w:leftChars="-95" w:firstLine="720" w:firstLineChars="3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致：</w:t>
      </w:r>
    </w:p>
    <w:p w14:paraId="0924A429">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月　　日</w:t>
      </w:r>
      <w:r>
        <w:rPr>
          <w:rFonts w:hint="eastAsia" w:ascii="宋体" w:hAnsi="宋体" w:cs="宋体"/>
          <w:color w:val="auto"/>
          <w:sz w:val="24"/>
          <w:szCs w:val="24"/>
          <w:highlight w:val="none"/>
        </w:rPr>
        <w:t>第（招标编号）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招标公告关于</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的招标项目，本签字人愿意参加投标，并有能力提供</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 xml:space="preserve"> 项目中的设备招标及相关服务，并保证所提交的所有文件和说明是真实和准确的。</w:t>
      </w:r>
    </w:p>
    <w:p w14:paraId="3326ECBD">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 xml:space="preserve">名称　   </w:t>
      </w:r>
      <w:r>
        <w:rPr>
          <w:rFonts w:hint="eastAsia" w:ascii="宋体" w:hAnsi="宋体" w:cs="宋体"/>
          <w:color w:val="auto"/>
          <w:sz w:val="24"/>
          <w:szCs w:val="24"/>
          <w:highlight w:val="none"/>
        </w:rPr>
        <w:t xml:space="preserve">                      　　　　</w:t>
      </w:r>
    </w:p>
    <w:p w14:paraId="68A412DE">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授权签署本资格文件人（签字）：</w:t>
      </w:r>
      <w:r>
        <w:rPr>
          <w:rFonts w:hint="eastAsia" w:ascii="宋体" w:hAnsi="宋体" w:cs="宋体"/>
          <w:color w:val="auto"/>
          <w:sz w:val="24"/>
          <w:szCs w:val="24"/>
          <w:highlight w:val="none"/>
          <w:u w:val="single"/>
        </w:rPr>
        <w:t xml:space="preserve">授权人姓名 </w:t>
      </w:r>
      <w:r>
        <w:rPr>
          <w:rFonts w:hint="eastAsia" w:ascii="宋体" w:hAnsi="宋体" w:cs="宋体"/>
          <w:color w:val="auto"/>
          <w:sz w:val="24"/>
          <w:szCs w:val="24"/>
          <w:highlight w:val="none"/>
        </w:rPr>
        <w:t xml:space="preserve">            </w:t>
      </w:r>
    </w:p>
    <w:p w14:paraId="7BA7BD15">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签字人姓名、职务：</w:t>
      </w:r>
      <w:r>
        <w:rPr>
          <w:rFonts w:hint="eastAsia" w:ascii="宋体" w:hAnsi="宋体" w:cs="宋体"/>
          <w:color w:val="auto"/>
          <w:sz w:val="24"/>
          <w:szCs w:val="24"/>
          <w:highlight w:val="none"/>
          <w:u w:val="single"/>
        </w:rPr>
        <w:t xml:space="preserve">被授权人姓名、职务 </w:t>
      </w:r>
      <w:r>
        <w:rPr>
          <w:rFonts w:hint="eastAsia" w:ascii="宋体" w:hAnsi="宋体" w:cs="宋体"/>
          <w:color w:val="auto"/>
          <w:sz w:val="24"/>
          <w:szCs w:val="24"/>
          <w:highlight w:val="none"/>
        </w:rPr>
        <w:t xml:space="preserve">                 </w:t>
      </w:r>
    </w:p>
    <w:p w14:paraId="085EA925">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 xml:space="preserve">地址           </w:t>
      </w:r>
      <w:r>
        <w:rPr>
          <w:rFonts w:hint="eastAsia" w:ascii="宋体" w:hAnsi="宋体" w:cs="宋体"/>
          <w:color w:val="auto"/>
          <w:sz w:val="24"/>
          <w:szCs w:val="24"/>
          <w:highlight w:val="none"/>
        </w:rPr>
        <w:t xml:space="preserve">                           　　　　　　　　　　　　　</w:t>
      </w:r>
    </w:p>
    <w:p w14:paraId="60A549E2">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邮编</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　　　　　　　　　　</w:t>
      </w:r>
    </w:p>
    <w:p w14:paraId="2C0B0104">
      <w:pPr>
        <w:shd w:val="clear" w:color="auto"/>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62A79025">
      <w:pPr>
        <w:shd w:val="clear" w:color="auto"/>
        <w:spacing w:line="400" w:lineRule="exact"/>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声明日期：20　　年　月　日</w:t>
      </w:r>
    </w:p>
    <w:p w14:paraId="6C7F675C">
      <w:pPr>
        <w:pStyle w:val="185"/>
        <w:shd w:val="clear" w:color="auto"/>
        <w:jc w:val="center"/>
        <w:outlineLvl w:val="2"/>
        <w:rPr>
          <w:rFonts w:hint="eastAsia" w:ascii="宋体" w:hAnsi="宋体" w:eastAsia="宋体" w:cs="宋体"/>
          <w:bCs/>
          <w:color w:val="auto"/>
          <w:kern w:val="2"/>
          <w:sz w:val="30"/>
          <w:szCs w:val="30"/>
          <w:highlight w:val="none"/>
        </w:rPr>
      </w:pPr>
    </w:p>
    <w:p w14:paraId="4D911E71">
      <w:pPr>
        <w:pStyle w:val="185"/>
        <w:shd w:val="clear" w:color="auto"/>
        <w:jc w:val="center"/>
        <w:outlineLvl w:val="2"/>
        <w:rPr>
          <w:rFonts w:hint="eastAsia" w:ascii="宋体" w:hAnsi="宋体" w:eastAsia="宋体" w:cs="宋体"/>
          <w:bCs/>
          <w:color w:val="auto"/>
          <w:kern w:val="2"/>
          <w:sz w:val="30"/>
          <w:szCs w:val="30"/>
          <w:highlight w:val="none"/>
        </w:rPr>
      </w:pPr>
    </w:p>
    <w:p w14:paraId="43C4D9E3">
      <w:pPr>
        <w:pStyle w:val="185"/>
        <w:shd w:val="clear" w:color="auto"/>
        <w:jc w:val="center"/>
        <w:outlineLvl w:val="2"/>
        <w:rPr>
          <w:rFonts w:hint="eastAsia" w:ascii="宋体" w:hAnsi="宋体" w:eastAsia="宋体" w:cs="宋体"/>
          <w:bCs/>
          <w:color w:val="auto"/>
          <w:kern w:val="2"/>
          <w:sz w:val="30"/>
          <w:szCs w:val="30"/>
          <w:highlight w:val="none"/>
        </w:rPr>
      </w:pPr>
    </w:p>
    <w:p w14:paraId="1EF5A464">
      <w:pPr>
        <w:pStyle w:val="185"/>
        <w:shd w:val="clear" w:color="auto"/>
        <w:jc w:val="center"/>
        <w:outlineLvl w:val="2"/>
        <w:rPr>
          <w:rFonts w:hint="eastAsia" w:ascii="宋体" w:hAnsi="宋体" w:eastAsia="宋体" w:cs="宋体"/>
          <w:bCs/>
          <w:color w:val="auto"/>
          <w:kern w:val="2"/>
          <w:sz w:val="30"/>
          <w:szCs w:val="30"/>
          <w:highlight w:val="none"/>
        </w:rPr>
      </w:pPr>
    </w:p>
    <w:p w14:paraId="32E546E9">
      <w:pPr>
        <w:pStyle w:val="185"/>
        <w:shd w:val="clear" w:color="auto"/>
        <w:jc w:val="center"/>
        <w:outlineLvl w:val="2"/>
        <w:rPr>
          <w:rFonts w:hint="eastAsia" w:ascii="宋体" w:hAnsi="宋体" w:eastAsia="宋体" w:cs="宋体"/>
          <w:bCs/>
          <w:color w:val="auto"/>
          <w:kern w:val="2"/>
          <w:sz w:val="30"/>
          <w:szCs w:val="30"/>
          <w:highlight w:val="none"/>
        </w:rPr>
      </w:pPr>
    </w:p>
    <w:p w14:paraId="1D5443B9">
      <w:pPr>
        <w:pStyle w:val="185"/>
        <w:shd w:val="clear" w:color="auto"/>
        <w:jc w:val="center"/>
        <w:outlineLvl w:val="2"/>
        <w:rPr>
          <w:rFonts w:hint="eastAsia" w:ascii="宋体" w:hAnsi="宋体" w:eastAsia="宋体" w:cs="宋体"/>
          <w:bCs/>
          <w:color w:val="auto"/>
          <w:kern w:val="2"/>
          <w:sz w:val="30"/>
          <w:szCs w:val="30"/>
          <w:highlight w:val="none"/>
        </w:rPr>
      </w:pPr>
    </w:p>
    <w:p w14:paraId="6E8E4541">
      <w:pPr>
        <w:pStyle w:val="185"/>
        <w:shd w:val="clear" w:color="auto"/>
        <w:jc w:val="center"/>
        <w:outlineLvl w:val="2"/>
        <w:rPr>
          <w:rFonts w:hint="eastAsia" w:ascii="宋体" w:hAnsi="宋体" w:eastAsia="宋体" w:cs="宋体"/>
          <w:bCs/>
          <w:color w:val="auto"/>
          <w:kern w:val="2"/>
          <w:sz w:val="30"/>
          <w:szCs w:val="30"/>
          <w:highlight w:val="none"/>
        </w:rPr>
      </w:pPr>
    </w:p>
    <w:p w14:paraId="3DCE0846">
      <w:pPr>
        <w:pStyle w:val="185"/>
        <w:shd w:val="clear" w:color="auto"/>
        <w:jc w:val="center"/>
        <w:outlineLvl w:val="2"/>
        <w:rPr>
          <w:rFonts w:hint="eastAsia" w:ascii="宋体" w:hAnsi="宋体" w:eastAsia="宋体" w:cs="宋体"/>
          <w:bCs/>
          <w:color w:val="auto"/>
          <w:kern w:val="2"/>
          <w:sz w:val="30"/>
          <w:szCs w:val="30"/>
          <w:highlight w:val="none"/>
        </w:rPr>
      </w:pPr>
    </w:p>
    <w:p w14:paraId="56436D86">
      <w:pPr>
        <w:pStyle w:val="185"/>
        <w:shd w:val="clear" w:color="auto"/>
        <w:jc w:val="center"/>
        <w:outlineLvl w:val="2"/>
        <w:rPr>
          <w:rFonts w:hint="eastAsia" w:ascii="宋体" w:hAnsi="宋体" w:eastAsia="宋体" w:cs="宋体"/>
          <w:bCs/>
          <w:color w:val="auto"/>
          <w:kern w:val="2"/>
          <w:sz w:val="30"/>
          <w:szCs w:val="30"/>
          <w:highlight w:val="none"/>
        </w:rPr>
      </w:pPr>
    </w:p>
    <w:p w14:paraId="36DC14B1">
      <w:pPr>
        <w:pStyle w:val="185"/>
        <w:shd w:val="clear" w:color="auto"/>
        <w:jc w:val="center"/>
        <w:outlineLvl w:val="2"/>
        <w:rPr>
          <w:rFonts w:hint="eastAsia" w:ascii="宋体" w:hAnsi="宋体" w:eastAsia="宋体" w:cs="宋体"/>
          <w:bCs/>
          <w:color w:val="auto"/>
          <w:kern w:val="2"/>
          <w:sz w:val="30"/>
          <w:szCs w:val="30"/>
          <w:highlight w:val="none"/>
        </w:rPr>
      </w:pPr>
    </w:p>
    <w:p w14:paraId="72E788CC">
      <w:pPr>
        <w:pStyle w:val="185"/>
        <w:shd w:val="clear" w:color="auto"/>
        <w:jc w:val="center"/>
        <w:outlineLvl w:val="2"/>
        <w:rPr>
          <w:rFonts w:hint="eastAsia" w:ascii="宋体" w:hAnsi="宋体" w:eastAsia="宋体" w:cs="宋体"/>
          <w:bCs/>
          <w:color w:val="auto"/>
          <w:kern w:val="2"/>
          <w:sz w:val="30"/>
          <w:szCs w:val="30"/>
          <w:highlight w:val="none"/>
        </w:rPr>
      </w:pPr>
    </w:p>
    <w:p w14:paraId="5473065F">
      <w:pPr>
        <w:pStyle w:val="185"/>
        <w:shd w:val="clear" w:color="auto"/>
        <w:jc w:val="center"/>
        <w:outlineLvl w:val="2"/>
        <w:rPr>
          <w:rFonts w:hint="eastAsia" w:ascii="宋体" w:hAnsi="宋体" w:eastAsia="宋体" w:cs="宋体"/>
          <w:bCs/>
          <w:color w:val="auto"/>
          <w:kern w:val="2"/>
          <w:sz w:val="30"/>
          <w:szCs w:val="30"/>
          <w:highlight w:val="none"/>
        </w:rPr>
      </w:pPr>
    </w:p>
    <w:p w14:paraId="1B79C4B5">
      <w:pPr>
        <w:shd w:val="clear"/>
        <w:rPr>
          <w:rFonts w:hint="eastAsia" w:ascii="宋体" w:hAnsi="宋体" w:eastAsia="宋体" w:cs="宋体"/>
          <w:bCs/>
          <w:color w:val="auto"/>
          <w:kern w:val="2"/>
          <w:sz w:val="30"/>
          <w:szCs w:val="30"/>
          <w:highlight w:val="none"/>
        </w:rPr>
      </w:pPr>
      <w:r>
        <w:rPr>
          <w:rFonts w:hint="eastAsia" w:ascii="宋体" w:hAnsi="宋体" w:eastAsia="宋体" w:cs="宋体"/>
          <w:bCs/>
          <w:color w:val="auto"/>
          <w:kern w:val="2"/>
          <w:sz w:val="30"/>
          <w:szCs w:val="30"/>
          <w:highlight w:val="none"/>
        </w:rPr>
        <w:br w:type="page"/>
      </w:r>
    </w:p>
    <w:p w14:paraId="572F2EA0">
      <w:pPr>
        <w:pStyle w:val="185"/>
        <w:shd w:val="clear" w:color="auto"/>
        <w:jc w:val="center"/>
        <w:outlineLvl w:val="2"/>
        <w:rPr>
          <w:rFonts w:hint="eastAsia" w:ascii="宋体" w:hAnsi="宋体" w:eastAsia="宋体" w:cs="宋体"/>
          <w:bCs/>
          <w:color w:val="auto"/>
          <w:kern w:val="2"/>
          <w:sz w:val="30"/>
          <w:szCs w:val="30"/>
          <w:highlight w:val="none"/>
        </w:rPr>
      </w:pPr>
    </w:p>
    <w:p w14:paraId="26E659F5">
      <w:pPr>
        <w:widowControl/>
        <w:shd w:val="clear"/>
        <w:jc w:val="center"/>
        <w:rPr>
          <w:rFonts w:hint="eastAsia" w:asciiTheme="minorEastAsia" w:hAnsiTheme="minorEastAsia" w:eastAsiaTheme="minorEastAsia" w:cstheme="minorEastAsia"/>
          <w:b/>
          <w:bCs/>
          <w:sz w:val="24"/>
          <w:highlight w:val="none"/>
          <w:lang w:val="zh-CN"/>
        </w:rPr>
      </w:pPr>
      <w:r>
        <w:rPr>
          <w:rFonts w:hint="eastAsia" w:ascii="宋体" w:hAnsi="宋体" w:cs="宋体"/>
          <w:b/>
          <w:color w:val="auto"/>
          <w:sz w:val="32"/>
          <w:szCs w:val="32"/>
          <w:highlight w:val="none"/>
          <w:lang w:val="en-US" w:eastAsia="zh-CN"/>
        </w:rPr>
        <w:t>11.</w:t>
      </w:r>
      <w:r>
        <w:rPr>
          <w:rFonts w:hint="eastAsia" w:asciiTheme="minorEastAsia" w:hAnsiTheme="minorEastAsia" w:eastAsiaTheme="minorEastAsia" w:cstheme="minorEastAsia"/>
          <w:b/>
          <w:bCs/>
          <w:sz w:val="32"/>
          <w:szCs w:val="22"/>
          <w:highlight w:val="none"/>
          <w:lang w:val="zh-CN"/>
        </w:rPr>
        <w:t>采购需求</w:t>
      </w:r>
      <w:r>
        <w:rPr>
          <w:rFonts w:hint="eastAsia" w:asciiTheme="minorEastAsia" w:hAnsiTheme="minorEastAsia" w:eastAsiaTheme="minorEastAsia" w:cstheme="minorEastAsia"/>
          <w:b/>
          <w:bCs/>
          <w:sz w:val="32"/>
          <w:szCs w:val="22"/>
          <w:highlight w:val="none"/>
          <w:lang w:val="en-US" w:eastAsia="zh-CN"/>
        </w:rPr>
        <w:t>技术</w:t>
      </w:r>
      <w:r>
        <w:rPr>
          <w:rFonts w:hint="eastAsia" w:asciiTheme="minorEastAsia" w:hAnsiTheme="minorEastAsia" w:eastAsiaTheme="minorEastAsia" w:cstheme="minorEastAsia"/>
          <w:b/>
          <w:bCs/>
          <w:sz w:val="32"/>
          <w:szCs w:val="22"/>
          <w:highlight w:val="none"/>
          <w:lang w:val="zh-CN"/>
        </w:rPr>
        <w:t>响应</w:t>
      </w:r>
      <w:r>
        <w:rPr>
          <w:rFonts w:hint="eastAsia" w:asciiTheme="minorEastAsia" w:hAnsiTheme="minorEastAsia" w:eastAsiaTheme="minorEastAsia" w:cstheme="minorEastAsia"/>
          <w:b/>
          <w:bCs/>
          <w:sz w:val="32"/>
          <w:szCs w:val="22"/>
          <w:highlight w:val="none"/>
          <w:lang w:val="en-US" w:eastAsia="zh-CN"/>
        </w:rPr>
        <w:t>参数</w:t>
      </w:r>
      <w:r>
        <w:rPr>
          <w:rFonts w:hint="eastAsia" w:asciiTheme="minorEastAsia" w:hAnsiTheme="minorEastAsia" w:eastAsiaTheme="minorEastAsia" w:cstheme="minorEastAsia"/>
          <w:b/>
          <w:bCs/>
          <w:sz w:val="32"/>
          <w:szCs w:val="22"/>
          <w:highlight w:val="none"/>
          <w:lang w:val="zh-CN"/>
        </w:rPr>
        <w:t>偏离表</w:t>
      </w:r>
    </w:p>
    <w:p w14:paraId="0D999FBE">
      <w:pPr>
        <w:shd w:val="clear"/>
        <w:tabs>
          <w:tab w:val="left" w:pos="3226"/>
        </w:tabs>
        <w:autoSpaceDE w:val="0"/>
        <w:autoSpaceDN w:val="0"/>
        <w:adjustRightInd w:val="0"/>
        <w:spacing w:before="43"/>
        <w:ind w:right="420"/>
        <w:jc w:val="center"/>
        <w:rPr>
          <w:rFonts w:hint="eastAsia" w:asciiTheme="minorEastAsia" w:hAnsiTheme="minorEastAsia" w:eastAsiaTheme="minorEastAsia" w:cstheme="minorEastAsia"/>
          <w:b/>
          <w:bCs/>
          <w:kern w:val="0"/>
          <w:szCs w:val="21"/>
          <w:highlight w:val="none"/>
          <w:lang w:val="zh-CN"/>
        </w:rPr>
      </w:pPr>
    </w:p>
    <w:p w14:paraId="356DC186">
      <w:pPr>
        <w:shd w:val="clea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                             项目编号：</w:t>
      </w:r>
    </w:p>
    <w:tbl>
      <w:tblPr>
        <w:tblStyle w:val="35"/>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14:paraId="6F671B34">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9E94C1D">
            <w:pPr>
              <w:shd w:val="clear"/>
              <w:autoSpaceDE w:val="0"/>
              <w:autoSpaceDN w:val="0"/>
              <w:adjustRightInd w:val="0"/>
              <w:spacing w:before="28"/>
              <w:ind w:left="172"/>
              <w:jc w:val="center"/>
              <w:outlineLvl w:val="0"/>
              <w:rPr>
                <w:rFonts w:hint="eastAsia" w:asciiTheme="minorEastAsia" w:hAnsiTheme="minorEastAsia" w:eastAsiaTheme="minorEastAsia" w:cstheme="minorEastAsia"/>
                <w:kern w:val="0"/>
                <w:sz w:val="24"/>
                <w:highlight w:val="none"/>
                <w:lang w:val="zh-CN"/>
              </w:rPr>
            </w:pPr>
            <w:bookmarkStart w:id="180" w:name="_Toc13868"/>
            <w:bookmarkStart w:id="181" w:name="_Toc520282779"/>
            <w:bookmarkStart w:id="182" w:name="_Toc10090"/>
            <w:r>
              <w:rPr>
                <w:rFonts w:hint="eastAsia" w:asciiTheme="minorEastAsia" w:hAnsiTheme="minorEastAsia" w:eastAsiaTheme="minorEastAsia" w:cstheme="minorEastAsia"/>
                <w:kern w:val="0"/>
                <w:sz w:val="24"/>
                <w:highlight w:val="none"/>
                <w:lang w:val="zh-CN"/>
              </w:rPr>
              <w:t>序号</w:t>
            </w:r>
            <w:bookmarkEnd w:id="180"/>
            <w:bookmarkEnd w:id="181"/>
            <w:bookmarkEnd w:id="182"/>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3852DD00">
            <w:pPr>
              <w:shd w:val="clear"/>
              <w:autoSpaceDE w:val="0"/>
              <w:autoSpaceDN w:val="0"/>
              <w:adjustRightInd w:val="0"/>
              <w:spacing w:before="28"/>
              <w:ind w:left="148"/>
              <w:jc w:val="center"/>
              <w:outlineLvl w:val="0"/>
              <w:rPr>
                <w:rFonts w:hint="eastAsia" w:asciiTheme="minorEastAsia" w:hAnsiTheme="minorEastAsia" w:eastAsiaTheme="minorEastAsia" w:cstheme="minorEastAsia"/>
                <w:kern w:val="0"/>
                <w:sz w:val="24"/>
                <w:highlight w:val="none"/>
                <w:lang w:val="zh-CN"/>
              </w:rPr>
            </w:pPr>
            <w:bookmarkStart w:id="183" w:name="_Toc16947"/>
            <w:bookmarkStart w:id="184" w:name="_Toc15647"/>
            <w:r>
              <w:rPr>
                <w:rFonts w:hint="eastAsia" w:asciiTheme="minorEastAsia" w:hAnsiTheme="minorEastAsia" w:eastAsiaTheme="minorEastAsia" w:cstheme="minorEastAsia"/>
                <w:kern w:val="0"/>
                <w:sz w:val="24"/>
                <w:highlight w:val="none"/>
                <w:lang w:val="zh-CN"/>
              </w:rPr>
              <w:t>采购内容</w:t>
            </w:r>
            <w:bookmarkEnd w:id="183"/>
            <w:bookmarkEnd w:id="184"/>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87A9CE9">
            <w:pPr>
              <w:shd w:val="clear"/>
              <w:autoSpaceDE w:val="0"/>
              <w:autoSpaceDN w:val="0"/>
              <w:adjustRightInd w:val="0"/>
              <w:spacing w:before="28"/>
              <w:jc w:val="center"/>
              <w:outlineLvl w:val="0"/>
              <w:rPr>
                <w:rFonts w:hint="eastAsia" w:asciiTheme="minorEastAsia" w:hAnsiTheme="minorEastAsia" w:eastAsiaTheme="minorEastAsia" w:cstheme="minorEastAsia"/>
                <w:kern w:val="0"/>
                <w:sz w:val="24"/>
                <w:highlight w:val="none"/>
                <w:lang w:val="zh-CN"/>
              </w:rPr>
            </w:pPr>
            <w:bookmarkStart w:id="185" w:name="_Toc21056"/>
            <w:bookmarkStart w:id="186" w:name="_Toc1205"/>
            <w:r>
              <w:rPr>
                <w:rFonts w:hint="eastAsia" w:asciiTheme="minorEastAsia" w:hAnsiTheme="minorEastAsia" w:eastAsiaTheme="minorEastAsia" w:cstheme="minorEastAsia"/>
                <w:kern w:val="0"/>
                <w:sz w:val="24"/>
                <w:highlight w:val="none"/>
                <w:lang w:val="zh-CN"/>
              </w:rPr>
              <w:t>采购需求要求</w:t>
            </w:r>
            <w:bookmarkEnd w:id="185"/>
            <w:bookmarkEnd w:id="186"/>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477B8C1">
            <w:pPr>
              <w:shd w:val="clear"/>
              <w:autoSpaceDE w:val="0"/>
              <w:autoSpaceDN w:val="0"/>
              <w:adjustRightInd w:val="0"/>
              <w:spacing w:before="28"/>
              <w:ind w:left="148"/>
              <w:jc w:val="center"/>
              <w:outlineLvl w:val="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A52D339">
            <w:pPr>
              <w:shd w:val="clear"/>
              <w:autoSpaceDE w:val="0"/>
              <w:autoSpaceDN w:val="0"/>
              <w:adjustRightInd w:val="0"/>
              <w:spacing w:before="28"/>
              <w:ind w:left="208"/>
              <w:jc w:val="center"/>
              <w:outlineLvl w:val="0"/>
              <w:rPr>
                <w:rFonts w:hint="eastAsia" w:asciiTheme="minorEastAsia" w:hAnsiTheme="minorEastAsia" w:eastAsiaTheme="minorEastAsia" w:cstheme="minorEastAsia"/>
                <w:kern w:val="0"/>
                <w:sz w:val="24"/>
                <w:highlight w:val="none"/>
              </w:rPr>
            </w:pPr>
            <w:bookmarkStart w:id="187" w:name="_Toc520282784"/>
            <w:bookmarkStart w:id="188" w:name="_Toc21247"/>
            <w:bookmarkStart w:id="189" w:name="_Toc25396"/>
            <w:r>
              <w:rPr>
                <w:rFonts w:hint="eastAsia" w:asciiTheme="minorEastAsia" w:hAnsiTheme="minorEastAsia" w:eastAsiaTheme="minorEastAsia" w:cstheme="minorEastAsia"/>
                <w:kern w:val="0"/>
                <w:sz w:val="24"/>
                <w:highlight w:val="none"/>
                <w:lang w:val="zh-CN"/>
              </w:rPr>
              <w:t>偏离</w:t>
            </w:r>
            <w:bookmarkEnd w:id="187"/>
            <w:r>
              <w:rPr>
                <w:rFonts w:hint="eastAsia" w:asciiTheme="minorEastAsia" w:hAnsiTheme="minorEastAsia" w:eastAsiaTheme="minorEastAsia" w:cstheme="minorEastAsia"/>
                <w:kern w:val="0"/>
                <w:sz w:val="24"/>
                <w:highlight w:val="none"/>
              </w:rPr>
              <w:t>/响应</w:t>
            </w:r>
            <w:bookmarkEnd w:id="188"/>
            <w:bookmarkEnd w:id="189"/>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21E3576">
            <w:pPr>
              <w:shd w:val="clear"/>
              <w:autoSpaceDE w:val="0"/>
              <w:autoSpaceDN w:val="0"/>
              <w:adjustRightInd w:val="0"/>
              <w:spacing w:before="28"/>
              <w:ind w:left="208"/>
              <w:jc w:val="center"/>
              <w:outlineLvl w:val="0"/>
              <w:rPr>
                <w:rFonts w:hint="eastAsia" w:asciiTheme="minorEastAsia" w:hAnsiTheme="minorEastAsia" w:eastAsiaTheme="minorEastAsia" w:cstheme="minorEastAsia"/>
                <w:kern w:val="0"/>
                <w:sz w:val="24"/>
                <w:highlight w:val="none"/>
                <w:lang w:val="zh-CN"/>
              </w:rPr>
            </w:pPr>
            <w:bookmarkStart w:id="190" w:name="_Toc20595"/>
            <w:bookmarkStart w:id="191" w:name="_Toc29103"/>
            <w:bookmarkStart w:id="192" w:name="_Toc520282785"/>
            <w:r>
              <w:rPr>
                <w:rFonts w:hint="eastAsia" w:asciiTheme="minorEastAsia" w:hAnsiTheme="minorEastAsia" w:eastAsiaTheme="minorEastAsia" w:cstheme="minorEastAsia"/>
                <w:kern w:val="0"/>
                <w:sz w:val="24"/>
                <w:highlight w:val="none"/>
                <w:lang w:val="zh-CN"/>
              </w:rPr>
              <w:t>说明</w:t>
            </w:r>
            <w:bookmarkEnd w:id="190"/>
            <w:bookmarkEnd w:id="191"/>
            <w:bookmarkEnd w:id="192"/>
          </w:p>
        </w:tc>
      </w:tr>
      <w:tr w14:paraId="68BCDDC6">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2799174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5EB41C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7D07BAED">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06B4DAF">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1F36F5D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E0BC70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56F2573">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18950B2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EA8D7E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7D2F808F">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1F70C1CB">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43808CF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AA1002B">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CC47D5F">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C51E4C5">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4324E3B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38080EE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073A76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A675C74">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ECBC15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1FB6848F">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296693A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42A18C7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98EF90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A4E4C49">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B1714B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F36C319">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D7BE1FF">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26163737">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9492D5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267A7CB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BF1E69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4E2BE88">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61F5C9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5C6DCEEA">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32CA936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4DFD5ECF">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7583A83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42E5EBB">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21F89D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434278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27CF8A1">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705EB24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FB1A6E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1D5110CA">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34E3E1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D5337F8">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14C9403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BC9EBAB">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B009D0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2E270C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D670C2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469C4F18">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1043F62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63D6D9F">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CF5614E">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376F23E9">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BBACA8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699F28F">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0DD048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13589EB">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2A889C0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64B4CC00">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57015B8">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4DAC88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62B6EB5">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B1DCA7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A17E7C5">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1A5CDC2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bl>
    <w:p w14:paraId="203DDDD1">
      <w:pPr>
        <w:shd w:val="clear"/>
        <w:tabs>
          <w:tab w:val="left" w:pos="996"/>
        </w:tabs>
        <w:spacing w:line="480" w:lineRule="auto"/>
        <w:ind w:firstLine="480" w:firstLineChars="200"/>
        <w:rPr>
          <w:rFonts w:hint="eastAsia" w:asciiTheme="minorEastAsia" w:hAnsiTheme="minorEastAsia" w:eastAsiaTheme="minorEastAsia" w:cstheme="minorEastAsia"/>
          <w:sz w:val="24"/>
          <w:highlight w:val="none"/>
        </w:rPr>
      </w:pPr>
    </w:p>
    <w:p w14:paraId="731A38FB">
      <w:pPr>
        <w:shd w:val="clear"/>
        <w:tabs>
          <w:tab w:val="left" w:pos="996"/>
        </w:tabs>
        <w:spacing w:line="48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供应商（盖公章）：</w:t>
      </w:r>
    </w:p>
    <w:p w14:paraId="74F000F7">
      <w:pPr>
        <w:shd w:val="clear"/>
        <w:tabs>
          <w:tab w:val="left" w:pos="996"/>
        </w:tabs>
        <w:spacing w:line="48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14:paraId="23716CAE">
      <w:pPr>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p>
    <w:p w14:paraId="0BCE44D1">
      <w:pPr>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备注：供应商采购需求响应有差异的，则在此表中列明实际响应的内容提要并加以说明，以便查对。无差异说明表示完全响应。</w:t>
      </w:r>
    </w:p>
    <w:p w14:paraId="371E9327">
      <w:pPr>
        <w:shd w:val="clear"/>
        <w:rPr>
          <w:rFonts w:hint="eastAsia" w:asciiTheme="minorEastAsia" w:hAnsiTheme="minorEastAsia" w:eastAsiaTheme="minorEastAsia" w:cstheme="minorEastAsia"/>
          <w:highlight w:val="none"/>
        </w:rPr>
      </w:pPr>
    </w:p>
    <w:p w14:paraId="58620559">
      <w:pPr>
        <w:shd w:val="clear"/>
        <w:outlineLvl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br w:type="page"/>
      </w:r>
    </w:p>
    <w:p w14:paraId="001C65EB">
      <w:pPr>
        <w:shd w:val="clear"/>
        <w:spacing w:line="50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12.供应商类似项目业绩表</w:t>
      </w:r>
    </w:p>
    <w:p w14:paraId="3C4CFB59">
      <w:pPr>
        <w:pStyle w:val="34"/>
        <w:shd w:val="clear"/>
        <w:rPr>
          <w:rFonts w:hint="eastAsia"/>
        </w:rPr>
      </w:pPr>
    </w:p>
    <w:tbl>
      <w:tblPr>
        <w:tblStyle w:val="35"/>
        <w:tblW w:w="8453" w:type="dxa"/>
        <w:tblInd w:w="103" w:type="dxa"/>
        <w:tblLayout w:type="fixed"/>
        <w:tblCellMar>
          <w:top w:w="0" w:type="dxa"/>
          <w:left w:w="108" w:type="dxa"/>
          <w:bottom w:w="0" w:type="dxa"/>
          <w:right w:w="108" w:type="dxa"/>
        </w:tblCellMar>
      </w:tblPr>
      <w:tblGrid>
        <w:gridCol w:w="570"/>
        <w:gridCol w:w="1613"/>
        <w:gridCol w:w="2265"/>
        <w:gridCol w:w="1395"/>
        <w:gridCol w:w="1230"/>
        <w:gridCol w:w="1380"/>
      </w:tblGrid>
      <w:tr w14:paraId="0ADD50FB">
        <w:tblPrEx>
          <w:tblCellMar>
            <w:top w:w="0" w:type="dxa"/>
            <w:left w:w="108" w:type="dxa"/>
            <w:bottom w:w="0" w:type="dxa"/>
            <w:right w:w="108" w:type="dxa"/>
          </w:tblCellMar>
        </w:tblPrEx>
        <w:trPr>
          <w:trHeight w:val="1355"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E41E3F">
            <w:pPr>
              <w:shd w:val="clear"/>
              <w:autoSpaceDE w:val="0"/>
              <w:autoSpaceDN w:val="0"/>
              <w:adjustRightInd w:val="0"/>
              <w:jc w:val="center"/>
              <w:outlineLvl w:val="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序号</w:t>
            </w:r>
          </w:p>
        </w:tc>
        <w:tc>
          <w:tcPr>
            <w:tcW w:w="16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FAE2DE">
            <w:pPr>
              <w:shd w:val="clear"/>
              <w:autoSpaceDE w:val="0"/>
              <w:autoSpaceDN w:val="0"/>
              <w:adjustRightInd w:val="0"/>
              <w:jc w:val="center"/>
              <w:outlineLvl w:val="0"/>
              <w:rPr>
                <w:rFonts w:hint="eastAsia" w:asciiTheme="minorEastAsia" w:hAnsiTheme="minorEastAsia" w:eastAsiaTheme="minorEastAsia" w:cstheme="minorEastAsia"/>
                <w:kern w:val="0"/>
                <w:sz w:val="24"/>
                <w:highlight w:val="none"/>
                <w:lang w:val="zh-CN"/>
              </w:rPr>
            </w:pPr>
            <w:bookmarkStart w:id="193" w:name="_Toc12085"/>
            <w:bookmarkStart w:id="194" w:name="_Toc18631"/>
            <w:r>
              <w:rPr>
                <w:rFonts w:hint="eastAsia" w:asciiTheme="minorEastAsia" w:hAnsiTheme="minorEastAsia" w:eastAsiaTheme="minorEastAsia" w:cstheme="minorEastAsia"/>
                <w:kern w:val="0"/>
                <w:sz w:val="24"/>
                <w:highlight w:val="none"/>
                <w:lang w:val="zh-CN"/>
              </w:rPr>
              <w:t>采购单位</w:t>
            </w:r>
            <w:bookmarkEnd w:id="193"/>
            <w:bookmarkEnd w:id="194"/>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67DC00">
            <w:pPr>
              <w:shd w:val="clear"/>
              <w:autoSpaceDE w:val="0"/>
              <w:autoSpaceDN w:val="0"/>
              <w:adjustRightInd w:val="0"/>
              <w:jc w:val="center"/>
              <w:outlineLvl w:val="0"/>
              <w:rPr>
                <w:rFonts w:hint="eastAsia" w:asciiTheme="minorEastAsia" w:hAnsiTheme="minorEastAsia" w:eastAsiaTheme="minorEastAsia" w:cstheme="minorEastAsia"/>
                <w:kern w:val="0"/>
                <w:sz w:val="24"/>
                <w:highlight w:val="none"/>
                <w:lang w:val="zh-CN"/>
              </w:rPr>
            </w:pPr>
            <w:bookmarkStart w:id="195" w:name="_Toc520282834"/>
            <w:bookmarkStart w:id="196" w:name="_Toc6801"/>
            <w:bookmarkStart w:id="197" w:name="_Toc5614"/>
            <w:r>
              <w:rPr>
                <w:rFonts w:hint="eastAsia" w:asciiTheme="minorEastAsia" w:hAnsiTheme="minorEastAsia" w:eastAsiaTheme="minorEastAsia" w:cstheme="minorEastAsia"/>
                <w:kern w:val="0"/>
                <w:sz w:val="24"/>
                <w:highlight w:val="none"/>
                <w:lang w:val="zh-CN"/>
              </w:rPr>
              <w:t>项目名称服务地点</w:t>
            </w:r>
            <w:bookmarkEnd w:id="195"/>
            <w:bookmarkEnd w:id="196"/>
            <w:bookmarkEnd w:id="197"/>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547735">
            <w:pPr>
              <w:shd w:val="clear"/>
              <w:autoSpaceDE w:val="0"/>
              <w:autoSpaceDN w:val="0"/>
              <w:adjustRightInd w:val="0"/>
              <w:jc w:val="center"/>
              <w:outlineLvl w:val="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EA6905">
            <w:pPr>
              <w:shd w:val="clear"/>
              <w:autoSpaceDE w:val="0"/>
              <w:autoSpaceDN w:val="0"/>
              <w:adjustRightInd w:val="0"/>
              <w:jc w:val="center"/>
              <w:outlineLvl w:val="0"/>
              <w:rPr>
                <w:rFonts w:hint="eastAsia" w:asciiTheme="minorEastAsia" w:hAnsiTheme="minorEastAsia" w:eastAsiaTheme="minorEastAsia" w:cstheme="minorEastAsia"/>
                <w:kern w:val="0"/>
                <w:sz w:val="24"/>
                <w:highlight w:val="none"/>
                <w:lang w:val="zh-CN"/>
              </w:rPr>
            </w:pPr>
            <w:bookmarkStart w:id="198" w:name="_Toc21856"/>
            <w:bookmarkStart w:id="199" w:name="_Toc31871"/>
            <w:bookmarkStart w:id="200" w:name="_Toc520282837"/>
            <w:r>
              <w:rPr>
                <w:rFonts w:hint="eastAsia" w:asciiTheme="minorEastAsia" w:hAnsiTheme="minorEastAsia" w:eastAsiaTheme="minorEastAsia" w:cstheme="minorEastAsia"/>
                <w:kern w:val="0"/>
                <w:sz w:val="24"/>
                <w:highlight w:val="none"/>
                <w:lang w:val="zh-CN"/>
              </w:rPr>
              <w:t>合同</w:t>
            </w:r>
            <w:bookmarkEnd w:id="198"/>
            <w:bookmarkEnd w:id="199"/>
            <w:bookmarkEnd w:id="200"/>
            <w:r>
              <w:rPr>
                <w:rFonts w:hint="eastAsia" w:asciiTheme="minorEastAsia" w:hAnsiTheme="minorEastAsia" w:eastAsiaTheme="minorEastAsia" w:cstheme="minorEastAsia"/>
                <w:ker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57670B">
            <w:pPr>
              <w:shd w:val="clear"/>
              <w:autoSpaceDE w:val="0"/>
              <w:autoSpaceDN w:val="0"/>
              <w:adjustRightInd w:val="0"/>
              <w:jc w:val="center"/>
              <w:outlineLvl w:val="0"/>
              <w:rPr>
                <w:rFonts w:hint="eastAsia" w:asciiTheme="minorEastAsia" w:hAnsiTheme="minorEastAsia" w:eastAsiaTheme="minorEastAsia" w:cstheme="minorEastAsia"/>
                <w:kern w:val="0"/>
                <w:sz w:val="24"/>
                <w:highlight w:val="none"/>
                <w:lang w:val="zh-CN"/>
              </w:rPr>
            </w:pPr>
            <w:bookmarkStart w:id="201" w:name="_Toc26176"/>
            <w:bookmarkStart w:id="202" w:name="_Toc520282840"/>
            <w:bookmarkStart w:id="203" w:name="_Toc3357"/>
            <w:r>
              <w:rPr>
                <w:rFonts w:hint="eastAsia" w:asciiTheme="minorEastAsia" w:hAnsiTheme="minorEastAsia" w:eastAsiaTheme="minorEastAsia" w:cstheme="minorEastAsia"/>
                <w:kern w:val="0"/>
                <w:sz w:val="24"/>
                <w:highlight w:val="none"/>
                <w:lang w:val="zh-CN"/>
              </w:rPr>
              <w:t>履约情况</w:t>
            </w:r>
            <w:bookmarkEnd w:id="201"/>
            <w:bookmarkEnd w:id="202"/>
            <w:bookmarkEnd w:id="203"/>
          </w:p>
        </w:tc>
      </w:tr>
      <w:tr w14:paraId="428E8A4B">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5A694B2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74D7953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097A73FF">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6B48A0DA">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A6E9FB3">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2896786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1EDB6F91">
        <w:tblPrEx>
          <w:tblCellMar>
            <w:top w:w="0" w:type="dxa"/>
            <w:left w:w="108" w:type="dxa"/>
            <w:bottom w:w="0" w:type="dxa"/>
            <w:right w:w="108" w:type="dxa"/>
          </w:tblCellMar>
        </w:tblPrEx>
        <w:trPr>
          <w:trHeight w:val="864"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37433B7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0B02DA0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3089C1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0D1AF7D7">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33255ECD">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46A6609A">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3516E50">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1F1594AB">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362E0306">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6394F19">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D873397">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288B1296">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0FAFA26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0037EB7E">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5A074CAA">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F99D9CD">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BDD235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681EDC08">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D5543A4">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17AFF2C4">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0465FB6C">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43A67885">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1393934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4F2DA8A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927A577">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7D2E756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DA1F07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49B2072D">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01A48E77">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3AA3DEA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41818997">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38E0642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653076E">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98C044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r w14:paraId="26D565C2">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5D455665">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F49DEAC">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29C06C22">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0E2FE0E1">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2A57998">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3A973B40">
            <w:pPr>
              <w:shd w:val="clear"/>
              <w:autoSpaceDE w:val="0"/>
              <w:autoSpaceDN w:val="0"/>
              <w:adjustRightInd w:val="0"/>
              <w:jc w:val="left"/>
              <w:rPr>
                <w:rFonts w:hint="eastAsia" w:asciiTheme="minorEastAsia" w:hAnsiTheme="minorEastAsia" w:eastAsiaTheme="minorEastAsia" w:cstheme="minorEastAsia"/>
                <w:kern w:val="0"/>
                <w:sz w:val="24"/>
                <w:highlight w:val="none"/>
                <w:lang w:val="zh-CN"/>
              </w:rPr>
            </w:pPr>
          </w:p>
        </w:tc>
      </w:tr>
    </w:tbl>
    <w:p w14:paraId="6FB397C7">
      <w:pPr>
        <w:pStyle w:val="179"/>
        <w:shd w:val="clear"/>
        <w:snapToGrid w:val="0"/>
        <w:spacing w:line="50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注：后附</w:t>
      </w:r>
      <w:r>
        <w:rPr>
          <w:rFonts w:hint="eastAsia" w:ascii="宋体" w:hAnsi="宋体" w:eastAsia="宋体" w:cs="宋体"/>
          <w:snapToGrid w:val="0"/>
          <w:sz w:val="24"/>
          <w:szCs w:val="24"/>
          <w:highlight w:val="none"/>
          <w:lang w:val="en-US" w:eastAsia="zh-CN" w:bidi="ar-SA"/>
        </w:rPr>
        <w:t>业绩证明材料（合同或中标通知书复印件），未提供业绩证明材料将认定为无效业绩。</w:t>
      </w:r>
    </w:p>
    <w:p w14:paraId="5BBB128D">
      <w:pPr>
        <w:pStyle w:val="179"/>
        <w:shd w:val="clear"/>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5ED755D">
      <w:pPr>
        <w:pStyle w:val="179"/>
        <w:shd w:val="clear"/>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14:paraId="51342090">
      <w:pPr>
        <w:shd w:val="clea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14:paraId="6DA1A70A">
      <w:pPr>
        <w:shd w:val="clea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年  月  日</w:t>
      </w:r>
    </w:p>
    <w:p w14:paraId="1B3F6159">
      <w:pPr>
        <w:pStyle w:val="233"/>
        <w:shd w:val="clear" w:color="auto"/>
        <w:spacing w:after="0" w:line="400" w:lineRule="exact"/>
        <w:rPr>
          <w:rFonts w:hint="eastAsia" w:ascii="宋体" w:hAnsi="宋体" w:cs="宋体"/>
          <w:color w:val="auto"/>
          <w:sz w:val="24"/>
          <w:highlight w:val="none"/>
        </w:rPr>
      </w:pPr>
    </w:p>
    <w:p w14:paraId="6275CC78">
      <w:pPr>
        <w:pStyle w:val="233"/>
        <w:shd w:val="clear" w:color="auto"/>
        <w:spacing w:after="0" w:line="400" w:lineRule="exact"/>
        <w:rPr>
          <w:rFonts w:hint="eastAsia" w:ascii="宋体" w:hAnsi="宋体" w:cs="宋体"/>
          <w:color w:val="auto"/>
          <w:sz w:val="24"/>
          <w:highlight w:val="none"/>
        </w:rPr>
      </w:pPr>
    </w:p>
    <w:p w14:paraId="421F6AF8">
      <w:pPr>
        <w:pStyle w:val="233"/>
        <w:shd w:val="clear" w:color="auto"/>
        <w:spacing w:after="0" w:line="400" w:lineRule="exact"/>
        <w:rPr>
          <w:rFonts w:hint="eastAsia" w:ascii="宋体" w:hAnsi="宋体" w:cs="宋体"/>
          <w:color w:val="auto"/>
          <w:sz w:val="24"/>
          <w:highlight w:val="none"/>
        </w:rPr>
      </w:pPr>
    </w:p>
    <w:bookmarkEnd w:id="167"/>
    <w:bookmarkEnd w:id="168"/>
    <w:bookmarkEnd w:id="169"/>
    <w:bookmarkEnd w:id="170"/>
    <w:bookmarkEnd w:id="171"/>
    <w:bookmarkEnd w:id="172"/>
    <w:p w14:paraId="24344754">
      <w:pPr>
        <w:shd w:val="clea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2967621">
      <w:pPr>
        <w:shd w:val="clea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项目实施方案</w:t>
      </w:r>
    </w:p>
    <w:p w14:paraId="2E05D0BE">
      <w:pPr>
        <w:shd w:val="clear"/>
        <w:jc w:val="center"/>
        <w:rPr>
          <w:rFonts w:hint="eastAsia" w:ascii="宋体" w:hAnsi="宋体" w:cs="宋体"/>
          <w:b w:val="0"/>
          <w:bCs/>
          <w:color w:val="auto"/>
          <w:sz w:val="32"/>
          <w:szCs w:val="32"/>
          <w:highlight w:val="none"/>
          <w:lang w:eastAsia="zh-CN"/>
        </w:rPr>
      </w:pPr>
    </w:p>
    <w:p w14:paraId="6633D95F">
      <w:pPr>
        <w:shd w:val="clear"/>
        <w:jc w:val="center"/>
        <w:rPr>
          <w:rFonts w:hint="eastAsia" w:ascii="宋体" w:hAnsi="宋体" w:cs="宋体"/>
          <w:b w:val="0"/>
          <w:bCs/>
          <w:color w:val="auto"/>
          <w:sz w:val="32"/>
          <w:szCs w:val="32"/>
          <w:highlight w:val="none"/>
          <w:lang w:eastAsia="zh-CN"/>
        </w:rPr>
      </w:pPr>
    </w:p>
    <w:p w14:paraId="78E7B3C6">
      <w:pPr>
        <w:shd w:val="clear"/>
        <w:jc w:val="center"/>
        <w:rPr>
          <w:rFonts w:hint="eastAsia" w:ascii="宋体" w:hAnsi="宋体" w:cs="宋体"/>
          <w:b w:val="0"/>
          <w:bCs/>
          <w:color w:val="auto"/>
          <w:sz w:val="32"/>
          <w:szCs w:val="32"/>
          <w:highlight w:val="none"/>
          <w:lang w:eastAsia="zh-CN"/>
        </w:rPr>
      </w:pPr>
    </w:p>
    <w:p w14:paraId="41F36FD6">
      <w:pPr>
        <w:shd w:val="clear"/>
        <w:jc w:val="cente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格式自拟</w:t>
      </w:r>
      <w:r>
        <w:rPr>
          <w:rFonts w:hint="eastAsia" w:ascii="宋体" w:hAnsi="宋体" w:cs="宋体"/>
          <w:b w:val="0"/>
          <w:bCs/>
          <w:color w:val="auto"/>
          <w:sz w:val="24"/>
          <w:szCs w:val="24"/>
          <w:highlight w:val="none"/>
          <w:lang w:eastAsia="zh-CN"/>
        </w:rPr>
        <w:t>）</w:t>
      </w:r>
    </w:p>
    <w:p w14:paraId="5037C15A">
      <w:pPr>
        <w:shd w:val="clea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br w:type="page"/>
      </w:r>
    </w:p>
    <w:p w14:paraId="08D5073F">
      <w:pPr>
        <w:shd w:val="clea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hint="eastAsia" w:ascii="宋体" w:hAnsi="宋体" w:cs="宋体"/>
          <w:b/>
          <w:color w:val="auto"/>
          <w:sz w:val="32"/>
          <w:szCs w:val="32"/>
          <w:highlight w:val="none"/>
          <w:lang w:val="en-US" w:eastAsia="zh-CN"/>
        </w:rPr>
        <w:t>4.售后服务</w:t>
      </w:r>
      <w:r>
        <w:rPr>
          <w:rFonts w:hint="eastAsia" w:ascii="宋体" w:hAnsi="宋体" w:cs="宋体"/>
          <w:b/>
          <w:color w:val="auto"/>
          <w:sz w:val="32"/>
          <w:szCs w:val="32"/>
          <w:highlight w:val="none"/>
        </w:rPr>
        <w:t>方案</w:t>
      </w:r>
    </w:p>
    <w:p w14:paraId="750F6E19">
      <w:pPr>
        <w:shd w:val="clear"/>
        <w:jc w:val="center"/>
        <w:rPr>
          <w:rFonts w:hint="eastAsia" w:ascii="宋体" w:hAnsi="宋体" w:cs="宋体"/>
          <w:b w:val="0"/>
          <w:bCs/>
          <w:color w:val="auto"/>
          <w:sz w:val="32"/>
          <w:szCs w:val="32"/>
          <w:highlight w:val="none"/>
          <w:lang w:eastAsia="zh-CN"/>
        </w:rPr>
      </w:pPr>
    </w:p>
    <w:p w14:paraId="75CD70E9">
      <w:pPr>
        <w:shd w:val="clear"/>
        <w:jc w:val="center"/>
        <w:rPr>
          <w:rFonts w:hint="eastAsia" w:ascii="宋体" w:hAnsi="宋体" w:cs="宋体"/>
          <w:b w:val="0"/>
          <w:bCs/>
          <w:color w:val="auto"/>
          <w:sz w:val="32"/>
          <w:szCs w:val="32"/>
          <w:highlight w:val="none"/>
          <w:lang w:eastAsia="zh-CN"/>
        </w:rPr>
      </w:pPr>
    </w:p>
    <w:p w14:paraId="75D4C88C">
      <w:pPr>
        <w:shd w:val="clear"/>
        <w:jc w:val="center"/>
        <w:rPr>
          <w:rFonts w:hint="eastAsia" w:ascii="宋体" w:hAnsi="宋体" w:cs="宋体"/>
          <w:b w:val="0"/>
          <w:bCs/>
          <w:color w:val="auto"/>
          <w:sz w:val="32"/>
          <w:szCs w:val="32"/>
          <w:highlight w:val="none"/>
          <w:lang w:eastAsia="zh-CN"/>
        </w:rPr>
      </w:pPr>
    </w:p>
    <w:p w14:paraId="3EFA79FE">
      <w:pPr>
        <w:shd w:val="clear"/>
        <w:jc w:val="cente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格式自拟</w:t>
      </w:r>
      <w:r>
        <w:rPr>
          <w:rFonts w:hint="eastAsia" w:ascii="宋体" w:hAnsi="宋体" w:cs="宋体"/>
          <w:b w:val="0"/>
          <w:bCs/>
          <w:color w:val="auto"/>
          <w:sz w:val="24"/>
          <w:szCs w:val="24"/>
          <w:highlight w:val="none"/>
          <w:lang w:eastAsia="zh-CN"/>
        </w:rPr>
        <w:t>）</w:t>
      </w:r>
    </w:p>
    <w:p w14:paraId="3943E65F">
      <w:pPr>
        <w:shd w:val="clea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br w:type="page"/>
      </w:r>
    </w:p>
    <w:p w14:paraId="4A7DD4E5">
      <w:pPr>
        <w:shd w:val="clear"/>
        <w:jc w:val="center"/>
        <w:rPr>
          <w:rFonts w:hint="default" w:ascii="宋体" w:hAnsi="宋体" w:eastAsia="宋体" w:cs="宋体"/>
          <w:b w:val="0"/>
          <w:bCs/>
          <w:color w:val="auto"/>
          <w:sz w:val="32"/>
          <w:szCs w:val="32"/>
          <w:highlight w:val="none"/>
          <w:lang w:val="en-US" w:eastAsia="zh-CN"/>
        </w:rPr>
      </w:pPr>
      <w:r>
        <w:rPr>
          <w:rFonts w:hint="eastAsia" w:ascii="宋体" w:hAnsi="宋体" w:cs="宋体"/>
          <w:b/>
          <w:color w:val="auto"/>
          <w:sz w:val="32"/>
          <w:szCs w:val="32"/>
          <w:highlight w:val="none"/>
        </w:rPr>
        <w:t>1</w:t>
      </w:r>
      <w:r>
        <w:rPr>
          <w:rFonts w:hint="eastAsia" w:ascii="宋体" w:hAnsi="宋体" w:cs="宋体"/>
          <w:b/>
          <w:color w:val="auto"/>
          <w:sz w:val="32"/>
          <w:szCs w:val="32"/>
          <w:highlight w:val="none"/>
          <w:lang w:val="en-US" w:eastAsia="zh-CN"/>
        </w:rPr>
        <w:t>5.服务承诺</w:t>
      </w:r>
    </w:p>
    <w:p w14:paraId="79ED78B7">
      <w:pPr>
        <w:shd w:val="clear"/>
        <w:jc w:val="center"/>
        <w:rPr>
          <w:rFonts w:hint="eastAsia" w:ascii="宋体" w:hAnsi="宋体" w:cs="宋体"/>
          <w:b w:val="0"/>
          <w:bCs/>
          <w:color w:val="auto"/>
          <w:sz w:val="32"/>
          <w:szCs w:val="32"/>
          <w:highlight w:val="none"/>
          <w:lang w:eastAsia="zh-CN"/>
        </w:rPr>
      </w:pPr>
    </w:p>
    <w:p w14:paraId="34ABF81E">
      <w:pPr>
        <w:shd w:val="clear"/>
        <w:jc w:val="center"/>
        <w:rPr>
          <w:rFonts w:hint="eastAsia" w:ascii="宋体" w:hAnsi="宋体" w:cs="宋体"/>
          <w:b w:val="0"/>
          <w:bCs/>
          <w:color w:val="auto"/>
          <w:sz w:val="32"/>
          <w:szCs w:val="32"/>
          <w:highlight w:val="none"/>
          <w:lang w:eastAsia="zh-CN"/>
        </w:rPr>
      </w:pPr>
    </w:p>
    <w:p w14:paraId="78BFCA2B">
      <w:pPr>
        <w:shd w:val="clear"/>
        <w:jc w:val="center"/>
        <w:rPr>
          <w:rFonts w:hint="eastAsia" w:ascii="宋体" w:hAnsi="宋体" w:cs="宋体"/>
          <w:b/>
          <w:color w:val="auto"/>
          <w:sz w:val="32"/>
          <w:szCs w:val="32"/>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格式自拟</w:t>
      </w:r>
      <w:r>
        <w:rPr>
          <w:rFonts w:hint="eastAsia" w:ascii="宋体" w:hAnsi="宋体" w:cs="宋体"/>
          <w:b w:val="0"/>
          <w:bCs/>
          <w:color w:val="auto"/>
          <w:sz w:val="24"/>
          <w:szCs w:val="24"/>
          <w:highlight w:val="none"/>
          <w:lang w:eastAsia="zh-CN"/>
        </w:rPr>
        <w:t>）</w:t>
      </w:r>
      <w:r>
        <w:rPr>
          <w:rFonts w:hint="eastAsia" w:ascii="宋体" w:hAnsi="宋体" w:cs="宋体"/>
          <w:b/>
          <w:color w:val="auto"/>
          <w:sz w:val="32"/>
          <w:szCs w:val="32"/>
          <w:highlight w:val="none"/>
        </w:rPr>
        <w:br w:type="page"/>
      </w:r>
    </w:p>
    <w:p w14:paraId="613777C8">
      <w:pPr>
        <w:shd w:val="clear"/>
        <w:jc w:val="both"/>
        <w:rPr>
          <w:rFonts w:hint="default" w:ascii="宋体" w:hAnsi="宋体" w:eastAsia="宋体" w:cs="宋体"/>
          <w:b w:val="0"/>
          <w:bCs/>
          <w:color w:val="auto"/>
          <w:sz w:val="32"/>
          <w:szCs w:val="32"/>
          <w:highlight w:val="none"/>
          <w:lang w:val="en-US" w:eastAsia="zh-CN"/>
        </w:rPr>
      </w:pPr>
      <w:r>
        <w:rPr>
          <w:rFonts w:hint="eastAsia" w:ascii="宋体" w:hAnsi="宋体" w:cs="宋体"/>
          <w:b/>
          <w:color w:val="auto"/>
          <w:sz w:val="32"/>
          <w:szCs w:val="32"/>
          <w:highlight w:val="none"/>
        </w:rPr>
        <w:t>1</w:t>
      </w:r>
      <w:r>
        <w:rPr>
          <w:rFonts w:hint="eastAsia" w:ascii="宋体" w:hAnsi="宋体" w:cs="宋体"/>
          <w:b/>
          <w:color w:val="auto"/>
          <w:sz w:val="32"/>
          <w:szCs w:val="32"/>
          <w:highlight w:val="none"/>
          <w:lang w:val="en-US" w:eastAsia="zh-CN"/>
        </w:rPr>
        <w:t>6.提供其它有利于投标的资料</w:t>
      </w:r>
    </w:p>
    <w:p w14:paraId="511CCABF">
      <w:pPr>
        <w:pStyle w:val="11"/>
        <w:shd w:val="clear" w:color="auto"/>
        <w:spacing w:line="400" w:lineRule="exact"/>
        <w:ind w:firstLine="643" w:firstLineChars="2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中、小微企业声明函格式</w:t>
      </w:r>
    </w:p>
    <w:p w14:paraId="5A5E5B75">
      <w:pPr>
        <w:pStyle w:val="176"/>
        <w:shd w:val="clear" w:color="auto"/>
        <w:spacing w:line="400" w:lineRule="exact"/>
        <w:ind w:right="-97"/>
        <w:jc w:val="center"/>
        <w:rPr>
          <w:rFonts w:hint="eastAsia" w:ascii="宋体" w:hAnsi="宋体" w:cs="宋体"/>
          <w:b/>
          <w:color w:val="auto"/>
          <w:sz w:val="24"/>
          <w:highlight w:val="none"/>
        </w:rPr>
      </w:pPr>
    </w:p>
    <w:p w14:paraId="1030ADFC">
      <w:pPr>
        <w:widowControl/>
        <w:shd w:val="clear" w:color="auto"/>
        <w:spacing w:line="360" w:lineRule="auto"/>
        <w:ind w:firstLine="480" w:firstLineChars="20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中小企业声明函（货物）</w:t>
      </w:r>
    </w:p>
    <w:p w14:paraId="5AD75F27">
      <w:pPr>
        <w:widowControl/>
        <w:shd w:val="clear" w:color="auto"/>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14:paraId="65D54E24">
      <w:pPr>
        <w:widowControl/>
        <w:shd w:val="clear" w:color="auto"/>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工业 </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14:paraId="146ACF59">
      <w:pPr>
        <w:widowControl/>
        <w:shd w:val="clear" w:color="auto"/>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工业 </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 营业收为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14:paraId="29B1D923">
      <w:pPr>
        <w:widowControl/>
        <w:shd w:val="clear" w:color="auto"/>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8416D59">
      <w:pPr>
        <w:widowControl/>
        <w:shd w:val="clear" w:color="auto"/>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25509494">
      <w:pPr>
        <w:widowControl/>
        <w:shd w:val="clear" w:color="auto"/>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14:paraId="4F072997">
      <w:pPr>
        <w:widowControl/>
        <w:shd w:val="clear" w:color="auto"/>
        <w:wordWrap w:val="0"/>
        <w:spacing w:line="360" w:lineRule="auto"/>
        <w:ind w:firstLine="480" w:firstLineChars="200"/>
        <w:jc w:val="right"/>
        <w:rPr>
          <w:rFonts w:ascii="宋体" w:hAnsi="宋体" w:eastAsia="宋体" w:cs="宋体"/>
          <w:color w:val="auto"/>
          <w:kern w:val="0"/>
          <w:sz w:val="24"/>
          <w:szCs w:val="24"/>
          <w:highlight w:val="none"/>
        </w:rPr>
      </w:pPr>
    </w:p>
    <w:p w14:paraId="5654568D">
      <w:pPr>
        <w:widowControl/>
        <w:shd w:val="clear" w:color="auto"/>
        <w:wordWrap w:val="0"/>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供应商（盖章）：        </w:t>
      </w:r>
    </w:p>
    <w:p w14:paraId="674083E7">
      <w:pPr>
        <w:widowControl/>
        <w:shd w:val="clear"/>
        <w:wordWrap w:val="0"/>
        <w:spacing w:line="360" w:lineRule="auto"/>
        <w:ind w:right="480"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 期：         </w:t>
      </w:r>
    </w:p>
    <w:p w14:paraId="7FEED27D">
      <w:pPr>
        <w:pStyle w:val="34"/>
        <w:shd w:val="clear"/>
        <w:rPr>
          <w:rFonts w:hint="eastAsia"/>
        </w:rPr>
      </w:pPr>
    </w:p>
    <w:p w14:paraId="324803CA">
      <w:pPr>
        <w:pStyle w:val="34"/>
        <w:shd w:val="clear"/>
        <w:ind w:left="0" w:leftChars="0" w:firstLine="0" w:firstLineChars="0"/>
        <w:rPr>
          <w:rFonts w:hint="eastAsia" w:eastAsia="宋体"/>
          <w:b/>
          <w:bCs/>
          <w:lang w:eastAsia="zh-CN"/>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本项目为</w:t>
      </w:r>
      <w:r>
        <w:rPr>
          <w:rFonts w:hint="eastAsia" w:ascii="宋体" w:hAnsi="宋体" w:eastAsia="宋体" w:cs="宋体"/>
          <w:b/>
          <w:bCs/>
          <w:color w:val="auto"/>
          <w:sz w:val="24"/>
          <w:szCs w:val="24"/>
          <w:highlight w:val="none"/>
          <w:lang w:val="en-US" w:eastAsia="zh-CN"/>
        </w:rPr>
        <w:t>专门面向中小企业采购项目，若未完整提供以上信息则视为无效投标</w:t>
      </w:r>
      <w:r>
        <w:rPr>
          <w:rFonts w:hint="eastAsia" w:ascii="宋体" w:hAnsi="宋体" w:cs="宋体"/>
          <w:b/>
          <w:bCs/>
          <w:color w:val="auto"/>
          <w:kern w:val="0"/>
          <w:sz w:val="24"/>
          <w:szCs w:val="24"/>
          <w:highlight w:val="none"/>
          <w:lang w:eastAsia="zh-CN"/>
        </w:rPr>
        <w:t>）</w:t>
      </w:r>
    </w:p>
    <w:p w14:paraId="02E83BAD">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360C21BB">
      <w:pPr>
        <w:pStyle w:val="11"/>
        <w:shd w:val="clear" w:color="auto"/>
        <w:spacing w:line="400" w:lineRule="exact"/>
        <w:ind w:firstLine="643" w:firstLineChars="20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（2）其它内容可自行补充。</w:t>
      </w:r>
    </w:p>
    <w:p w14:paraId="3B2FDE4B">
      <w:pPr>
        <w:pStyle w:val="165"/>
        <w:keepNext w:val="0"/>
        <w:keepLines w:val="0"/>
        <w:pageBreakBefore w:val="0"/>
        <w:widowControl w:val="0"/>
        <w:shd w:val="clear" w:color="auto"/>
        <w:tabs>
          <w:tab w:val="right" w:leader="dot" w:pos="907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lang w:eastAsia="zh-CN"/>
        </w:rPr>
      </w:pPr>
    </w:p>
    <w:sectPr>
      <w:footerReference r:id="rId7" w:type="default"/>
      <w:pgSz w:w="11906" w:h="16838"/>
      <w:pgMar w:top="1701" w:right="1418" w:bottom="1701" w:left="143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7652">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D56B11">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ViKTOcB&#10;AADJAwAADgAAAAAAAAABACAAAAAiAQAAZHJzL2Uyb0RvYy54bWxQSwUGAAAAAAYABgBZAQAAewUA&#10;AAAA&#10;">
              <v:fill on="f" focussize="0,0"/>
              <v:stroke on="f" weight="1.25pt"/>
              <v:imagedata o:title=""/>
              <o:lock v:ext="edit" aspectratio="f"/>
              <v:textbox inset="0mm,0mm,0mm,0mm" style="mso-fit-shape-to-text:t;">
                <w:txbxContent>
                  <w:p w14:paraId="7DD56B1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3E23">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94217C">
                          <w:pPr>
                            <w:pStyle w:val="2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TYd7i+cB&#10;AADJAwAADgAAAAAAAAABACAAAAAiAQAAZHJzL2Uyb0RvYy54bWxQSwUGAAAAAAYABgBZAQAAewUA&#10;AAAA&#10;">
              <v:fill on="f" focussize="0,0"/>
              <v:stroke on="f" weight="1.25pt"/>
              <v:imagedata o:title=""/>
              <o:lock v:ext="edit" aspectratio="f"/>
              <v:textbox inset="0mm,0mm,0mm,0mm" style="mso-fit-shape-to-text:t;">
                <w:txbxContent>
                  <w:p w14:paraId="3994217C">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22F0">
    <w:pPr>
      <w:pStyle w:val="2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B9E622">
                          <w:pPr>
                            <w:pStyle w:val="23"/>
                          </w:pPr>
                          <w:r>
                            <w:fldChar w:fldCharType="begin"/>
                          </w:r>
                          <w:r>
                            <w:instrText xml:space="preserve"> PAGE  \* MERGEFORMAT </w:instrText>
                          </w:r>
                          <w:r>
                            <w:fldChar w:fldCharType="separate"/>
                          </w:r>
                          <w:r>
                            <w:t>53</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z03hpOcB&#10;AADJAwAADgAAAAAAAAABACAAAAAiAQAAZHJzL2Uyb0RvYy54bWxQSwUGAAAAAAYABgBZAQAAewUA&#10;AAAA&#10;">
              <v:fill on="f" focussize="0,0"/>
              <v:stroke on="f" weight="1.25pt"/>
              <v:imagedata o:title=""/>
              <o:lock v:ext="edit" aspectratio="f"/>
              <v:textbox inset="0mm,0mm,0mm,0mm" style="mso-fit-shape-to-text:t;">
                <w:txbxContent>
                  <w:p w14:paraId="22B9E622">
                    <w:pPr>
                      <w:pStyle w:val="2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C01F">
    <w:pPr>
      <w:pStyle w:val="25"/>
      <w:pBdr>
        <w:bottom w:val="none" w:color="auto" w:sz="0" w:space="1"/>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839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D8727"/>
    <w:multiLevelType w:val="singleLevel"/>
    <w:tmpl w:val="97BD8727"/>
    <w:lvl w:ilvl="0" w:tentative="0">
      <w:start w:val="1"/>
      <w:numFmt w:val="decimal"/>
      <w:lvlText w:val="%1."/>
      <w:lvlJc w:val="left"/>
      <w:pPr>
        <w:tabs>
          <w:tab w:val="left" w:pos="312"/>
        </w:tabs>
      </w:pPr>
    </w:lvl>
  </w:abstractNum>
  <w:abstractNum w:abstractNumId="1">
    <w:nsid w:val="9F81D2A7"/>
    <w:multiLevelType w:val="singleLevel"/>
    <w:tmpl w:val="9F81D2A7"/>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2208B79"/>
    <w:multiLevelType w:val="singleLevel"/>
    <w:tmpl w:val="C2208B79"/>
    <w:lvl w:ilvl="0" w:tentative="0">
      <w:start w:val="2"/>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A844F27"/>
    <w:multiLevelType w:val="singleLevel"/>
    <w:tmpl w:val="EA844F27"/>
    <w:lvl w:ilvl="0" w:tentative="0">
      <w:start w:val="2"/>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8"/>
    <w:multiLevelType w:val="multilevel"/>
    <w:tmpl w:val="00000008"/>
    <w:lvl w:ilvl="0" w:tentative="0">
      <w:start w:val="1"/>
      <w:numFmt w:val="decimal"/>
      <w:lvlText w:val="%1."/>
      <w:lvlJc w:val="left"/>
      <w:pPr>
        <w:tabs>
          <w:tab w:val="left" w:pos="360"/>
        </w:tabs>
        <w:ind w:left="360" w:hanging="360"/>
      </w:pPr>
      <w:rPr>
        <w:rFonts w:hint="eastAsia"/>
        <w:spacing w:val="0"/>
        <w:position w:val="0"/>
      </w:rPr>
    </w:lvl>
    <w:lvl w:ilvl="1" w:tentative="0">
      <w:start w:val="1"/>
      <w:numFmt w:val="decimal"/>
      <w:lvlText w:val="%1.%2."/>
      <w:lvlJc w:val="left"/>
      <w:pPr>
        <w:tabs>
          <w:tab w:val="left" w:pos="720"/>
        </w:tabs>
        <w:ind w:left="720" w:hanging="360"/>
      </w:pPr>
      <w:rPr>
        <w:rFonts w:hint="eastAsia"/>
        <w:spacing w:val="0"/>
        <w:position w:val="0"/>
      </w:rPr>
    </w:lvl>
    <w:lvl w:ilvl="2" w:tentative="0">
      <w:start w:val="1"/>
      <w:numFmt w:val="decimal"/>
      <w:lvlText w:val="%1.%2.%3."/>
      <w:lvlJc w:val="left"/>
      <w:pPr>
        <w:tabs>
          <w:tab w:val="left" w:pos="1080"/>
        </w:tabs>
        <w:ind w:left="1080" w:hanging="360"/>
      </w:pPr>
      <w:rPr>
        <w:rFonts w:hint="eastAsia"/>
        <w:spacing w:val="0"/>
        <w:position w:val="0"/>
      </w:rPr>
    </w:lvl>
    <w:lvl w:ilvl="3" w:tentative="0">
      <w:start w:val="1"/>
      <w:numFmt w:val="decimal"/>
      <w:pStyle w:val="5"/>
      <w:lvlText w:val="%1.%2.%3.%4."/>
      <w:lvlJc w:val="left"/>
      <w:pPr>
        <w:tabs>
          <w:tab w:val="left" w:pos="1440"/>
        </w:tabs>
        <w:ind w:left="1440" w:hanging="360"/>
      </w:pPr>
      <w:rPr>
        <w:rFonts w:hint="eastAsia"/>
        <w:spacing w:val="0"/>
        <w:position w:val="0"/>
      </w:rPr>
    </w:lvl>
    <w:lvl w:ilvl="4" w:tentative="0">
      <w:start w:val="1"/>
      <w:numFmt w:val="decimal"/>
      <w:pStyle w:val="6"/>
      <w:lvlText w:val="%1.%2.%3.%4.%5."/>
      <w:lvlJc w:val="left"/>
      <w:pPr>
        <w:tabs>
          <w:tab w:val="left" w:pos="1800"/>
        </w:tabs>
        <w:ind w:left="1800" w:hanging="360"/>
      </w:pPr>
      <w:rPr>
        <w:rFonts w:hint="eastAsia"/>
        <w:spacing w:val="0"/>
        <w:position w:val="0"/>
      </w:rPr>
    </w:lvl>
    <w:lvl w:ilvl="5" w:tentative="0">
      <w:start w:val="1"/>
      <w:numFmt w:val="decimal"/>
      <w:pStyle w:val="7"/>
      <w:lvlText w:val="%1.%2.%3.%4.%5.%6."/>
      <w:lvlJc w:val="left"/>
      <w:pPr>
        <w:tabs>
          <w:tab w:val="left" w:pos="2160"/>
        </w:tabs>
        <w:ind w:left="2160" w:hanging="360"/>
      </w:pPr>
      <w:rPr>
        <w:rFonts w:hint="eastAsia"/>
        <w:spacing w:val="0"/>
        <w:position w:val="0"/>
      </w:rPr>
    </w:lvl>
    <w:lvl w:ilvl="6" w:tentative="0">
      <w:start w:val="1"/>
      <w:numFmt w:val="decimal"/>
      <w:pStyle w:val="8"/>
      <w:lvlText w:val="%1.%2.%3.%4.%5.%6.%7."/>
      <w:lvlJc w:val="left"/>
      <w:pPr>
        <w:tabs>
          <w:tab w:val="left" w:pos="2520"/>
        </w:tabs>
        <w:ind w:left="2520" w:hanging="360"/>
      </w:pPr>
      <w:rPr>
        <w:rFonts w:hint="eastAsia"/>
        <w:spacing w:val="0"/>
        <w:position w:val="0"/>
      </w:rPr>
    </w:lvl>
    <w:lvl w:ilvl="7" w:tentative="0">
      <w:start w:val="1"/>
      <w:numFmt w:val="decimal"/>
      <w:pStyle w:val="9"/>
      <w:lvlText w:val="%1.%2.%3.%4.%5.%6.%7.%8."/>
      <w:lvlJc w:val="left"/>
      <w:pPr>
        <w:tabs>
          <w:tab w:val="left" w:pos="2880"/>
        </w:tabs>
        <w:ind w:left="2880" w:hanging="360"/>
      </w:pPr>
      <w:rPr>
        <w:rFonts w:hint="eastAsia"/>
        <w:spacing w:val="0"/>
        <w:position w:val="0"/>
      </w:rPr>
    </w:lvl>
    <w:lvl w:ilvl="8" w:tentative="0">
      <w:start w:val="1"/>
      <w:numFmt w:val="decimal"/>
      <w:pStyle w:val="10"/>
      <w:lvlText w:val="%1.%2.%3.%4.%5.%6.%7.%8.%9."/>
      <w:lvlJc w:val="left"/>
      <w:pPr>
        <w:tabs>
          <w:tab w:val="left" w:pos="3240"/>
        </w:tabs>
        <w:ind w:left="3240" w:hanging="360"/>
      </w:pPr>
      <w:rPr>
        <w:rFonts w:hint="eastAsia"/>
        <w:spacing w:val="0"/>
        <w:position w:val="0"/>
      </w:rPr>
    </w:lvl>
  </w:abstractNum>
  <w:abstractNum w:abstractNumId="11">
    <w:nsid w:val="24E409BB"/>
    <w:multiLevelType w:val="multilevel"/>
    <w:tmpl w:val="24E409BB"/>
    <w:lvl w:ilvl="0" w:tentative="0">
      <w:start w:val="1"/>
      <w:numFmt w:val="decimal"/>
      <w:pStyle w:val="148"/>
      <w:lvlText w:val="表%1："/>
      <w:lvlJc w:val="left"/>
      <w:pPr>
        <w:ind w:left="6720" w:hanging="420"/>
      </w:pPr>
      <w:rPr>
        <w:rFonts w:hint="eastAsia"/>
        <w:b w:val="0"/>
      </w:rPr>
    </w:lvl>
    <w:lvl w:ilvl="1" w:tentative="0">
      <w:start w:val="1"/>
      <w:numFmt w:val="lowerLetter"/>
      <w:lvlText w:val="%2)"/>
      <w:lvlJc w:val="left"/>
      <w:pPr>
        <w:ind w:left="7140" w:hanging="420"/>
      </w:pPr>
    </w:lvl>
    <w:lvl w:ilvl="2" w:tentative="0">
      <w:start w:val="1"/>
      <w:numFmt w:val="lowerRoman"/>
      <w:lvlText w:val="%3."/>
      <w:lvlJc w:val="right"/>
      <w:pPr>
        <w:ind w:left="7560" w:hanging="420"/>
      </w:pPr>
    </w:lvl>
    <w:lvl w:ilvl="3" w:tentative="0">
      <w:start w:val="1"/>
      <w:numFmt w:val="decimal"/>
      <w:lvlText w:val="%4."/>
      <w:lvlJc w:val="left"/>
      <w:pPr>
        <w:ind w:left="7980" w:hanging="420"/>
      </w:pPr>
    </w:lvl>
    <w:lvl w:ilvl="4" w:tentative="0">
      <w:start w:val="1"/>
      <w:numFmt w:val="lowerLetter"/>
      <w:lvlText w:val="%5)"/>
      <w:lvlJc w:val="left"/>
      <w:pPr>
        <w:ind w:left="8400" w:hanging="420"/>
      </w:pPr>
    </w:lvl>
    <w:lvl w:ilvl="5" w:tentative="0">
      <w:start w:val="1"/>
      <w:numFmt w:val="lowerRoman"/>
      <w:lvlText w:val="%6."/>
      <w:lvlJc w:val="right"/>
      <w:pPr>
        <w:ind w:left="8820" w:hanging="420"/>
      </w:pPr>
    </w:lvl>
    <w:lvl w:ilvl="6" w:tentative="0">
      <w:start w:val="1"/>
      <w:numFmt w:val="decimal"/>
      <w:lvlText w:val="%7."/>
      <w:lvlJc w:val="left"/>
      <w:pPr>
        <w:ind w:left="9240" w:hanging="420"/>
      </w:pPr>
    </w:lvl>
    <w:lvl w:ilvl="7" w:tentative="0">
      <w:start w:val="1"/>
      <w:numFmt w:val="lowerLetter"/>
      <w:lvlText w:val="%8)"/>
      <w:lvlJc w:val="left"/>
      <w:pPr>
        <w:ind w:left="9660" w:hanging="420"/>
      </w:pPr>
    </w:lvl>
    <w:lvl w:ilvl="8" w:tentative="0">
      <w:start w:val="1"/>
      <w:numFmt w:val="lowerRoman"/>
      <w:lvlText w:val="%9."/>
      <w:lvlJc w:val="right"/>
      <w:pPr>
        <w:ind w:left="10080" w:hanging="420"/>
      </w:pPr>
    </w:lvl>
  </w:abstractNum>
  <w:abstractNum w:abstractNumId="12">
    <w:nsid w:val="464B27E8"/>
    <w:multiLevelType w:val="singleLevel"/>
    <w:tmpl w:val="464B27E8"/>
    <w:lvl w:ilvl="0" w:tentative="0">
      <w:start w:val="1"/>
      <w:numFmt w:val="decimal"/>
      <w:suff w:val="nothing"/>
      <w:lvlText w:val="（%1）"/>
      <w:lvlJc w:val="left"/>
    </w:lvl>
  </w:abstractNum>
  <w:abstractNum w:abstractNumId="13">
    <w:nsid w:val="50707FAA"/>
    <w:multiLevelType w:val="singleLevel"/>
    <w:tmpl w:val="50707FAA"/>
    <w:lvl w:ilvl="0" w:tentative="0">
      <w:start w:val="1"/>
      <w:numFmt w:val="decimal"/>
      <w:suff w:val="nothing"/>
      <w:lvlText w:val="%1、"/>
      <w:lvlJc w:val="left"/>
    </w:lvl>
  </w:abstractNum>
  <w:abstractNum w:abstractNumId="14">
    <w:nsid w:val="573E5381"/>
    <w:multiLevelType w:val="singleLevel"/>
    <w:tmpl w:val="573E5381"/>
    <w:lvl w:ilvl="0" w:tentative="0">
      <w:start w:val="2"/>
      <w:numFmt w:val="chineseCounting"/>
      <w:suff w:val="space"/>
      <w:lvlText w:val="第%1章"/>
      <w:lvlJc w:val="left"/>
      <w:pPr>
        <w:ind w:left="741"/>
      </w:pPr>
      <w:rPr>
        <w:rFonts w:hint="eastAsia"/>
      </w:rPr>
    </w:lvl>
  </w:abstractNum>
  <w:abstractNum w:abstractNumId="15">
    <w:nsid w:val="676EB156"/>
    <w:multiLevelType w:val="singleLevel"/>
    <w:tmpl w:val="676EB156"/>
    <w:lvl w:ilvl="0" w:tentative="0">
      <w:start w:val="8"/>
      <w:numFmt w:val="chineseCounting"/>
      <w:suff w:val="nothing"/>
      <w:lvlText w:val="第%1章、"/>
      <w:lvlJc w:val="left"/>
      <w:rPr>
        <w:rFonts w:hint="eastAsia"/>
      </w:rPr>
    </w:lvl>
  </w:abstractNum>
  <w:abstractNum w:abstractNumId="16">
    <w:nsid w:val="698F030D"/>
    <w:multiLevelType w:val="singleLevel"/>
    <w:tmpl w:val="698F030D"/>
    <w:lvl w:ilvl="0" w:tentative="0">
      <w:start w:val="1"/>
      <w:numFmt w:val="chineseCounting"/>
      <w:suff w:val="nothing"/>
      <w:lvlText w:val="%1、"/>
      <w:lvlJc w:val="left"/>
      <w:rPr>
        <w:rFonts w:hint="eastAsia"/>
      </w:rPr>
    </w:lvl>
  </w:abstractNum>
  <w:abstractNum w:abstractNumId="17">
    <w:nsid w:val="7A0F6431"/>
    <w:multiLevelType w:val="singleLevel"/>
    <w:tmpl w:val="7A0F6431"/>
    <w:lvl w:ilvl="0" w:tentative="0">
      <w:start w:val="1"/>
      <w:numFmt w:val="decimal"/>
      <w:suff w:val="space"/>
      <w:lvlText w:val="%1."/>
      <w:lvlJc w:val="left"/>
    </w:lvl>
  </w:abstractNum>
  <w:num w:numId="1">
    <w:abstractNumId w:val="10"/>
  </w:num>
  <w:num w:numId="2">
    <w:abstractNumId w:val="11"/>
  </w:num>
  <w:num w:numId="3">
    <w:abstractNumId w:val="14"/>
  </w:num>
  <w:num w:numId="4">
    <w:abstractNumId w:val="0"/>
  </w:num>
  <w:num w:numId="5">
    <w:abstractNumId w:val="1"/>
  </w:num>
  <w:num w:numId="6">
    <w:abstractNumId w:val="12"/>
  </w:num>
  <w:num w:numId="7">
    <w:abstractNumId w:val="8"/>
  </w:num>
  <w:num w:numId="8">
    <w:abstractNumId w:val="3"/>
  </w:num>
  <w:num w:numId="9">
    <w:abstractNumId w:val="17"/>
  </w:num>
  <w:num w:numId="10">
    <w:abstractNumId w:val="4"/>
  </w:num>
  <w:num w:numId="11">
    <w:abstractNumId w:val="9"/>
  </w:num>
  <w:num w:numId="12">
    <w:abstractNumId w:val="6"/>
  </w:num>
  <w:num w:numId="13">
    <w:abstractNumId w:val="5"/>
  </w:num>
  <w:num w:numId="14">
    <w:abstractNumId w:val="2"/>
  </w:num>
  <w:num w:numId="15">
    <w:abstractNumId w:val="7"/>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E5ZTYzOTNlYTkxNmQzODRjY2YxYWZhMmY4MDgifQ=="/>
  </w:docVars>
  <w:rsids>
    <w:rsidRoot w:val="00172A27"/>
    <w:rsid w:val="000105A4"/>
    <w:rsid w:val="000117D0"/>
    <w:rsid w:val="00011CEE"/>
    <w:rsid w:val="000202BB"/>
    <w:rsid w:val="00023D4C"/>
    <w:rsid w:val="00026643"/>
    <w:rsid w:val="0003063F"/>
    <w:rsid w:val="00031A68"/>
    <w:rsid w:val="00045C1F"/>
    <w:rsid w:val="0005244C"/>
    <w:rsid w:val="00057D7A"/>
    <w:rsid w:val="00060AD2"/>
    <w:rsid w:val="00060F73"/>
    <w:rsid w:val="0006186E"/>
    <w:rsid w:val="00071C99"/>
    <w:rsid w:val="0007672B"/>
    <w:rsid w:val="00080705"/>
    <w:rsid w:val="0008477E"/>
    <w:rsid w:val="000857C3"/>
    <w:rsid w:val="00096167"/>
    <w:rsid w:val="000A3538"/>
    <w:rsid w:val="000A4B4D"/>
    <w:rsid w:val="000B27C3"/>
    <w:rsid w:val="000C0289"/>
    <w:rsid w:val="000E7D83"/>
    <w:rsid w:val="00105323"/>
    <w:rsid w:val="00116E77"/>
    <w:rsid w:val="00120018"/>
    <w:rsid w:val="001221ED"/>
    <w:rsid w:val="001262DB"/>
    <w:rsid w:val="00127848"/>
    <w:rsid w:val="001309FD"/>
    <w:rsid w:val="00131652"/>
    <w:rsid w:val="00133E9C"/>
    <w:rsid w:val="001351F4"/>
    <w:rsid w:val="00142F83"/>
    <w:rsid w:val="0015486A"/>
    <w:rsid w:val="00154DB2"/>
    <w:rsid w:val="00155CF3"/>
    <w:rsid w:val="00163375"/>
    <w:rsid w:val="00164895"/>
    <w:rsid w:val="001668C7"/>
    <w:rsid w:val="00167DBC"/>
    <w:rsid w:val="00176BA4"/>
    <w:rsid w:val="00177C37"/>
    <w:rsid w:val="00183431"/>
    <w:rsid w:val="00183459"/>
    <w:rsid w:val="0018532C"/>
    <w:rsid w:val="00195065"/>
    <w:rsid w:val="001A2396"/>
    <w:rsid w:val="001A2675"/>
    <w:rsid w:val="001A316B"/>
    <w:rsid w:val="001A7B98"/>
    <w:rsid w:val="001B17F8"/>
    <w:rsid w:val="001B57E1"/>
    <w:rsid w:val="001B68DA"/>
    <w:rsid w:val="001B6AE4"/>
    <w:rsid w:val="001C2C0D"/>
    <w:rsid w:val="001C6559"/>
    <w:rsid w:val="001C7E1E"/>
    <w:rsid w:val="001E0DBF"/>
    <w:rsid w:val="001E1F07"/>
    <w:rsid w:val="001E51EB"/>
    <w:rsid w:val="001F10DD"/>
    <w:rsid w:val="0020532D"/>
    <w:rsid w:val="00205926"/>
    <w:rsid w:val="00205C7B"/>
    <w:rsid w:val="002102F2"/>
    <w:rsid w:val="00216B6F"/>
    <w:rsid w:val="00230ABF"/>
    <w:rsid w:val="0023574B"/>
    <w:rsid w:val="002428BD"/>
    <w:rsid w:val="0024406C"/>
    <w:rsid w:val="002463E1"/>
    <w:rsid w:val="002465D6"/>
    <w:rsid w:val="0024730F"/>
    <w:rsid w:val="00255EBA"/>
    <w:rsid w:val="00271C7B"/>
    <w:rsid w:val="00280978"/>
    <w:rsid w:val="0029180E"/>
    <w:rsid w:val="00294FE3"/>
    <w:rsid w:val="0029586C"/>
    <w:rsid w:val="002A0736"/>
    <w:rsid w:val="002B2A6C"/>
    <w:rsid w:val="002B723C"/>
    <w:rsid w:val="002C0815"/>
    <w:rsid w:val="002C2AD4"/>
    <w:rsid w:val="002D2451"/>
    <w:rsid w:val="002D7521"/>
    <w:rsid w:val="002E7606"/>
    <w:rsid w:val="002F7D7B"/>
    <w:rsid w:val="003016B7"/>
    <w:rsid w:val="003079BD"/>
    <w:rsid w:val="003124F8"/>
    <w:rsid w:val="00320ADB"/>
    <w:rsid w:val="00332E7C"/>
    <w:rsid w:val="003408B3"/>
    <w:rsid w:val="00343BB3"/>
    <w:rsid w:val="003538EA"/>
    <w:rsid w:val="003539E9"/>
    <w:rsid w:val="003734F1"/>
    <w:rsid w:val="003749E6"/>
    <w:rsid w:val="003840C6"/>
    <w:rsid w:val="00385FB2"/>
    <w:rsid w:val="00391117"/>
    <w:rsid w:val="00392780"/>
    <w:rsid w:val="0039389D"/>
    <w:rsid w:val="003A3BEE"/>
    <w:rsid w:val="003B25DA"/>
    <w:rsid w:val="003B797B"/>
    <w:rsid w:val="003C7EE8"/>
    <w:rsid w:val="003D4992"/>
    <w:rsid w:val="003E0354"/>
    <w:rsid w:val="003E37B2"/>
    <w:rsid w:val="003E6728"/>
    <w:rsid w:val="003F3D59"/>
    <w:rsid w:val="003F49C6"/>
    <w:rsid w:val="003F7262"/>
    <w:rsid w:val="00402F8C"/>
    <w:rsid w:val="00416748"/>
    <w:rsid w:val="00416D96"/>
    <w:rsid w:val="004257E3"/>
    <w:rsid w:val="00431547"/>
    <w:rsid w:val="004335E4"/>
    <w:rsid w:val="00434C76"/>
    <w:rsid w:val="00441A35"/>
    <w:rsid w:val="00445CAE"/>
    <w:rsid w:val="00460BBB"/>
    <w:rsid w:val="00471569"/>
    <w:rsid w:val="00472B69"/>
    <w:rsid w:val="00484DE5"/>
    <w:rsid w:val="00497B1B"/>
    <w:rsid w:val="004A4342"/>
    <w:rsid w:val="004A4B26"/>
    <w:rsid w:val="004A5098"/>
    <w:rsid w:val="004A53E0"/>
    <w:rsid w:val="004A65EC"/>
    <w:rsid w:val="004A736B"/>
    <w:rsid w:val="004A7D4B"/>
    <w:rsid w:val="004B73C6"/>
    <w:rsid w:val="004E05CB"/>
    <w:rsid w:val="004E0C2D"/>
    <w:rsid w:val="004E264B"/>
    <w:rsid w:val="004E26DE"/>
    <w:rsid w:val="004F3F11"/>
    <w:rsid w:val="004F6AC8"/>
    <w:rsid w:val="00507427"/>
    <w:rsid w:val="00507746"/>
    <w:rsid w:val="005135AD"/>
    <w:rsid w:val="00514618"/>
    <w:rsid w:val="00521AA9"/>
    <w:rsid w:val="00530E0C"/>
    <w:rsid w:val="00542862"/>
    <w:rsid w:val="0054560D"/>
    <w:rsid w:val="00546E74"/>
    <w:rsid w:val="00550C6D"/>
    <w:rsid w:val="00550FEC"/>
    <w:rsid w:val="00554026"/>
    <w:rsid w:val="00557D92"/>
    <w:rsid w:val="00561948"/>
    <w:rsid w:val="00565718"/>
    <w:rsid w:val="00571261"/>
    <w:rsid w:val="0057213A"/>
    <w:rsid w:val="005749E5"/>
    <w:rsid w:val="00577356"/>
    <w:rsid w:val="00577BFD"/>
    <w:rsid w:val="00591CB5"/>
    <w:rsid w:val="005953BC"/>
    <w:rsid w:val="00597539"/>
    <w:rsid w:val="005A0870"/>
    <w:rsid w:val="005C4BEF"/>
    <w:rsid w:val="005C6054"/>
    <w:rsid w:val="005D3B32"/>
    <w:rsid w:val="005D5986"/>
    <w:rsid w:val="005E1BFD"/>
    <w:rsid w:val="005E65C5"/>
    <w:rsid w:val="005E6D59"/>
    <w:rsid w:val="005F2936"/>
    <w:rsid w:val="005F3CA1"/>
    <w:rsid w:val="005F551F"/>
    <w:rsid w:val="006031F1"/>
    <w:rsid w:val="00606A96"/>
    <w:rsid w:val="00607E13"/>
    <w:rsid w:val="00614DE8"/>
    <w:rsid w:val="00615F62"/>
    <w:rsid w:val="006167FF"/>
    <w:rsid w:val="00617C2C"/>
    <w:rsid w:val="00620899"/>
    <w:rsid w:val="00625EA4"/>
    <w:rsid w:val="006262FF"/>
    <w:rsid w:val="00626383"/>
    <w:rsid w:val="00632244"/>
    <w:rsid w:val="00632F5C"/>
    <w:rsid w:val="00636C6A"/>
    <w:rsid w:val="00641776"/>
    <w:rsid w:val="00650145"/>
    <w:rsid w:val="006540F4"/>
    <w:rsid w:val="00654894"/>
    <w:rsid w:val="006619F0"/>
    <w:rsid w:val="00665BDE"/>
    <w:rsid w:val="00666564"/>
    <w:rsid w:val="00666E7A"/>
    <w:rsid w:val="006811AA"/>
    <w:rsid w:val="0068543E"/>
    <w:rsid w:val="006861CF"/>
    <w:rsid w:val="006865EA"/>
    <w:rsid w:val="006942D3"/>
    <w:rsid w:val="006A2F44"/>
    <w:rsid w:val="006A3D14"/>
    <w:rsid w:val="006B03D6"/>
    <w:rsid w:val="006B1AC2"/>
    <w:rsid w:val="006C12EF"/>
    <w:rsid w:val="006C31EC"/>
    <w:rsid w:val="006C784B"/>
    <w:rsid w:val="006D4129"/>
    <w:rsid w:val="006E38E4"/>
    <w:rsid w:val="006F2BB3"/>
    <w:rsid w:val="006F3955"/>
    <w:rsid w:val="006F4084"/>
    <w:rsid w:val="00701C2E"/>
    <w:rsid w:val="0070318E"/>
    <w:rsid w:val="00711400"/>
    <w:rsid w:val="00716F05"/>
    <w:rsid w:val="00720972"/>
    <w:rsid w:val="0072137C"/>
    <w:rsid w:val="00723A26"/>
    <w:rsid w:val="0072778D"/>
    <w:rsid w:val="007400B9"/>
    <w:rsid w:val="0075506E"/>
    <w:rsid w:val="007612F8"/>
    <w:rsid w:val="00761B34"/>
    <w:rsid w:val="0076505F"/>
    <w:rsid w:val="00765107"/>
    <w:rsid w:val="007670AA"/>
    <w:rsid w:val="007840AD"/>
    <w:rsid w:val="007A11B1"/>
    <w:rsid w:val="007A1A12"/>
    <w:rsid w:val="007A39FD"/>
    <w:rsid w:val="007A7DD3"/>
    <w:rsid w:val="007C2EFF"/>
    <w:rsid w:val="007D64BE"/>
    <w:rsid w:val="007E6EA7"/>
    <w:rsid w:val="007F1974"/>
    <w:rsid w:val="007F1CB6"/>
    <w:rsid w:val="007F37FB"/>
    <w:rsid w:val="007F4B1B"/>
    <w:rsid w:val="007F5C96"/>
    <w:rsid w:val="007F5EE2"/>
    <w:rsid w:val="0080499B"/>
    <w:rsid w:val="00805AD6"/>
    <w:rsid w:val="00812D55"/>
    <w:rsid w:val="00814579"/>
    <w:rsid w:val="00815003"/>
    <w:rsid w:val="00824562"/>
    <w:rsid w:val="00824B8D"/>
    <w:rsid w:val="008275F4"/>
    <w:rsid w:val="0083132D"/>
    <w:rsid w:val="00837962"/>
    <w:rsid w:val="00840735"/>
    <w:rsid w:val="0084135F"/>
    <w:rsid w:val="00844741"/>
    <w:rsid w:val="008464EE"/>
    <w:rsid w:val="00847812"/>
    <w:rsid w:val="00851FC5"/>
    <w:rsid w:val="00855005"/>
    <w:rsid w:val="008648A5"/>
    <w:rsid w:val="008A06F8"/>
    <w:rsid w:val="008A3708"/>
    <w:rsid w:val="008A53FD"/>
    <w:rsid w:val="008B2D25"/>
    <w:rsid w:val="008B43E1"/>
    <w:rsid w:val="008B4A51"/>
    <w:rsid w:val="008B6AD7"/>
    <w:rsid w:val="008B773A"/>
    <w:rsid w:val="008D44CB"/>
    <w:rsid w:val="008E268D"/>
    <w:rsid w:val="008E5CC0"/>
    <w:rsid w:val="008F06DE"/>
    <w:rsid w:val="00900481"/>
    <w:rsid w:val="00907D2A"/>
    <w:rsid w:val="0092123E"/>
    <w:rsid w:val="00921A05"/>
    <w:rsid w:val="009269EE"/>
    <w:rsid w:val="009361BE"/>
    <w:rsid w:val="009378C1"/>
    <w:rsid w:val="00937C24"/>
    <w:rsid w:val="00937EEE"/>
    <w:rsid w:val="00976D2C"/>
    <w:rsid w:val="009773F3"/>
    <w:rsid w:val="00990032"/>
    <w:rsid w:val="0099108A"/>
    <w:rsid w:val="00992F38"/>
    <w:rsid w:val="00994ED3"/>
    <w:rsid w:val="00995B6F"/>
    <w:rsid w:val="0099664A"/>
    <w:rsid w:val="009A1DF5"/>
    <w:rsid w:val="009B78BD"/>
    <w:rsid w:val="009C1ABE"/>
    <w:rsid w:val="009C557E"/>
    <w:rsid w:val="009C7F90"/>
    <w:rsid w:val="009D1948"/>
    <w:rsid w:val="009D33EF"/>
    <w:rsid w:val="009D79ED"/>
    <w:rsid w:val="009E142F"/>
    <w:rsid w:val="009E23D5"/>
    <w:rsid w:val="009F2AC6"/>
    <w:rsid w:val="009F70A6"/>
    <w:rsid w:val="00A05C7B"/>
    <w:rsid w:val="00A0616C"/>
    <w:rsid w:val="00A0713B"/>
    <w:rsid w:val="00A128FC"/>
    <w:rsid w:val="00A14B83"/>
    <w:rsid w:val="00A177CD"/>
    <w:rsid w:val="00A209E9"/>
    <w:rsid w:val="00A216B7"/>
    <w:rsid w:val="00A25713"/>
    <w:rsid w:val="00A3467D"/>
    <w:rsid w:val="00A36AB6"/>
    <w:rsid w:val="00A373B4"/>
    <w:rsid w:val="00A452C7"/>
    <w:rsid w:val="00A45C6A"/>
    <w:rsid w:val="00A46F02"/>
    <w:rsid w:val="00A50D39"/>
    <w:rsid w:val="00A50E1F"/>
    <w:rsid w:val="00A601DD"/>
    <w:rsid w:val="00A674B6"/>
    <w:rsid w:val="00A7029B"/>
    <w:rsid w:val="00A876D8"/>
    <w:rsid w:val="00A903DF"/>
    <w:rsid w:val="00A915F2"/>
    <w:rsid w:val="00A936C5"/>
    <w:rsid w:val="00AA3DCB"/>
    <w:rsid w:val="00AB57C8"/>
    <w:rsid w:val="00AB771F"/>
    <w:rsid w:val="00AC0D58"/>
    <w:rsid w:val="00AC3ACD"/>
    <w:rsid w:val="00AD53A4"/>
    <w:rsid w:val="00AD5E9C"/>
    <w:rsid w:val="00AD681B"/>
    <w:rsid w:val="00AE0FB6"/>
    <w:rsid w:val="00B01847"/>
    <w:rsid w:val="00B14FCA"/>
    <w:rsid w:val="00B27D34"/>
    <w:rsid w:val="00B4322B"/>
    <w:rsid w:val="00B43C23"/>
    <w:rsid w:val="00B55A83"/>
    <w:rsid w:val="00B6199C"/>
    <w:rsid w:val="00B61D5B"/>
    <w:rsid w:val="00B61E24"/>
    <w:rsid w:val="00B82628"/>
    <w:rsid w:val="00B87A1B"/>
    <w:rsid w:val="00B901CF"/>
    <w:rsid w:val="00B91521"/>
    <w:rsid w:val="00B91FB0"/>
    <w:rsid w:val="00BA5D41"/>
    <w:rsid w:val="00BA5F97"/>
    <w:rsid w:val="00BB6A0A"/>
    <w:rsid w:val="00BC4AD7"/>
    <w:rsid w:val="00BD068D"/>
    <w:rsid w:val="00BD207D"/>
    <w:rsid w:val="00BD20B2"/>
    <w:rsid w:val="00BE463A"/>
    <w:rsid w:val="00BF2BA8"/>
    <w:rsid w:val="00BF552E"/>
    <w:rsid w:val="00C11F58"/>
    <w:rsid w:val="00C12CB0"/>
    <w:rsid w:val="00C1651C"/>
    <w:rsid w:val="00C17FCF"/>
    <w:rsid w:val="00C22AC7"/>
    <w:rsid w:val="00C3078B"/>
    <w:rsid w:val="00C33E5D"/>
    <w:rsid w:val="00C37CA8"/>
    <w:rsid w:val="00C41621"/>
    <w:rsid w:val="00C46787"/>
    <w:rsid w:val="00C53F01"/>
    <w:rsid w:val="00C57E50"/>
    <w:rsid w:val="00C6315E"/>
    <w:rsid w:val="00C631EA"/>
    <w:rsid w:val="00C74CE2"/>
    <w:rsid w:val="00C76D7A"/>
    <w:rsid w:val="00C81444"/>
    <w:rsid w:val="00C84718"/>
    <w:rsid w:val="00C84D85"/>
    <w:rsid w:val="00C85330"/>
    <w:rsid w:val="00C97C24"/>
    <w:rsid w:val="00CB22BE"/>
    <w:rsid w:val="00CB2843"/>
    <w:rsid w:val="00CB2D26"/>
    <w:rsid w:val="00CB7595"/>
    <w:rsid w:val="00CB7738"/>
    <w:rsid w:val="00CC26A4"/>
    <w:rsid w:val="00CC3942"/>
    <w:rsid w:val="00CC5012"/>
    <w:rsid w:val="00CC7787"/>
    <w:rsid w:val="00CD7A47"/>
    <w:rsid w:val="00CE00E7"/>
    <w:rsid w:val="00CE0B2B"/>
    <w:rsid w:val="00CE7256"/>
    <w:rsid w:val="00CE77A2"/>
    <w:rsid w:val="00CF1E52"/>
    <w:rsid w:val="00CF6063"/>
    <w:rsid w:val="00D00A21"/>
    <w:rsid w:val="00D00ADA"/>
    <w:rsid w:val="00D01339"/>
    <w:rsid w:val="00D069EF"/>
    <w:rsid w:val="00D12BE7"/>
    <w:rsid w:val="00D22B07"/>
    <w:rsid w:val="00D23C1B"/>
    <w:rsid w:val="00D24A6C"/>
    <w:rsid w:val="00D25308"/>
    <w:rsid w:val="00D27D87"/>
    <w:rsid w:val="00D43B7A"/>
    <w:rsid w:val="00D535B3"/>
    <w:rsid w:val="00D54FED"/>
    <w:rsid w:val="00D6541A"/>
    <w:rsid w:val="00D73F1F"/>
    <w:rsid w:val="00D7462B"/>
    <w:rsid w:val="00D84BC0"/>
    <w:rsid w:val="00D87729"/>
    <w:rsid w:val="00DA0D96"/>
    <w:rsid w:val="00DA2E2A"/>
    <w:rsid w:val="00DB04CA"/>
    <w:rsid w:val="00DB100C"/>
    <w:rsid w:val="00DB20E1"/>
    <w:rsid w:val="00DC19CD"/>
    <w:rsid w:val="00DC253B"/>
    <w:rsid w:val="00DC336B"/>
    <w:rsid w:val="00DC5F6C"/>
    <w:rsid w:val="00DD346E"/>
    <w:rsid w:val="00DE3C10"/>
    <w:rsid w:val="00DE6B56"/>
    <w:rsid w:val="00DE73A3"/>
    <w:rsid w:val="00DF0DCE"/>
    <w:rsid w:val="00E00A45"/>
    <w:rsid w:val="00E05D00"/>
    <w:rsid w:val="00E11F7D"/>
    <w:rsid w:val="00E22648"/>
    <w:rsid w:val="00E25CDE"/>
    <w:rsid w:val="00E32F64"/>
    <w:rsid w:val="00E37802"/>
    <w:rsid w:val="00E42A60"/>
    <w:rsid w:val="00E50793"/>
    <w:rsid w:val="00E56BE5"/>
    <w:rsid w:val="00E6159F"/>
    <w:rsid w:val="00E65B64"/>
    <w:rsid w:val="00E679B8"/>
    <w:rsid w:val="00E70D3B"/>
    <w:rsid w:val="00E72417"/>
    <w:rsid w:val="00E73C00"/>
    <w:rsid w:val="00E8090B"/>
    <w:rsid w:val="00E8441F"/>
    <w:rsid w:val="00E86334"/>
    <w:rsid w:val="00E87DF5"/>
    <w:rsid w:val="00EA0354"/>
    <w:rsid w:val="00EA1C74"/>
    <w:rsid w:val="00EA4A74"/>
    <w:rsid w:val="00EA54BF"/>
    <w:rsid w:val="00EA6D4A"/>
    <w:rsid w:val="00EB1E78"/>
    <w:rsid w:val="00EB557F"/>
    <w:rsid w:val="00EB5D52"/>
    <w:rsid w:val="00EC4C5C"/>
    <w:rsid w:val="00EC5B87"/>
    <w:rsid w:val="00EE391D"/>
    <w:rsid w:val="00EE5F65"/>
    <w:rsid w:val="00EE6A4B"/>
    <w:rsid w:val="00EF7EB8"/>
    <w:rsid w:val="00F15C7A"/>
    <w:rsid w:val="00F21840"/>
    <w:rsid w:val="00F2649C"/>
    <w:rsid w:val="00F26898"/>
    <w:rsid w:val="00F32B00"/>
    <w:rsid w:val="00F34EAF"/>
    <w:rsid w:val="00F458EA"/>
    <w:rsid w:val="00F51D43"/>
    <w:rsid w:val="00F56CE5"/>
    <w:rsid w:val="00F61A64"/>
    <w:rsid w:val="00F63198"/>
    <w:rsid w:val="00F646F7"/>
    <w:rsid w:val="00F75D1E"/>
    <w:rsid w:val="00FA1B4D"/>
    <w:rsid w:val="00FA42CC"/>
    <w:rsid w:val="00FA5DF1"/>
    <w:rsid w:val="00FB0745"/>
    <w:rsid w:val="00FB0E8E"/>
    <w:rsid w:val="00FB170C"/>
    <w:rsid w:val="00FB1D22"/>
    <w:rsid w:val="00FB2601"/>
    <w:rsid w:val="00FB2F36"/>
    <w:rsid w:val="00FC3553"/>
    <w:rsid w:val="00FC5DC8"/>
    <w:rsid w:val="00FC72BE"/>
    <w:rsid w:val="00FD2E8C"/>
    <w:rsid w:val="00FD3D3E"/>
    <w:rsid w:val="00FE0AA7"/>
    <w:rsid w:val="00FE2A45"/>
    <w:rsid w:val="00FE643B"/>
    <w:rsid w:val="00FF6267"/>
    <w:rsid w:val="01003F10"/>
    <w:rsid w:val="0112363F"/>
    <w:rsid w:val="011771BC"/>
    <w:rsid w:val="01525345"/>
    <w:rsid w:val="015445C8"/>
    <w:rsid w:val="01603ED7"/>
    <w:rsid w:val="01637670"/>
    <w:rsid w:val="019E56F8"/>
    <w:rsid w:val="01A843EF"/>
    <w:rsid w:val="01C42CC1"/>
    <w:rsid w:val="01C43C85"/>
    <w:rsid w:val="01E8350E"/>
    <w:rsid w:val="01F42DD3"/>
    <w:rsid w:val="0205494D"/>
    <w:rsid w:val="02121405"/>
    <w:rsid w:val="02134592"/>
    <w:rsid w:val="02265C31"/>
    <w:rsid w:val="023C441D"/>
    <w:rsid w:val="02434C39"/>
    <w:rsid w:val="02452C20"/>
    <w:rsid w:val="025A76DF"/>
    <w:rsid w:val="02737C6F"/>
    <w:rsid w:val="027D0A9A"/>
    <w:rsid w:val="02B726F0"/>
    <w:rsid w:val="02CC24FA"/>
    <w:rsid w:val="02D12B52"/>
    <w:rsid w:val="02E2708E"/>
    <w:rsid w:val="02E44389"/>
    <w:rsid w:val="02E77999"/>
    <w:rsid w:val="031131DE"/>
    <w:rsid w:val="03277E6C"/>
    <w:rsid w:val="0328245F"/>
    <w:rsid w:val="033D174B"/>
    <w:rsid w:val="03544B9B"/>
    <w:rsid w:val="035B1CDB"/>
    <w:rsid w:val="03736735"/>
    <w:rsid w:val="037D6AFE"/>
    <w:rsid w:val="03945FA7"/>
    <w:rsid w:val="03B0094C"/>
    <w:rsid w:val="03B93B3E"/>
    <w:rsid w:val="03C34732"/>
    <w:rsid w:val="03C81567"/>
    <w:rsid w:val="03CD5EEA"/>
    <w:rsid w:val="04047516"/>
    <w:rsid w:val="04315C27"/>
    <w:rsid w:val="0439103E"/>
    <w:rsid w:val="044B7B6F"/>
    <w:rsid w:val="0473042F"/>
    <w:rsid w:val="04814115"/>
    <w:rsid w:val="04A33126"/>
    <w:rsid w:val="04CA6AD1"/>
    <w:rsid w:val="04D040D4"/>
    <w:rsid w:val="04E21754"/>
    <w:rsid w:val="04F52241"/>
    <w:rsid w:val="050817B4"/>
    <w:rsid w:val="05082C7D"/>
    <w:rsid w:val="05303B1F"/>
    <w:rsid w:val="05345E09"/>
    <w:rsid w:val="05524952"/>
    <w:rsid w:val="0567247F"/>
    <w:rsid w:val="05711351"/>
    <w:rsid w:val="05AB608A"/>
    <w:rsid w:val="05B1352C"/>
    <w:rsid w:val="05B747B5"/>
    <w:rsid w:val="05D16425"/>
    <w:rsid w:val="05E33A7B"/>
    <w:rsid w:val="05E41A4E"/>
    <w:rsid w:val="05F11149"/>
    <w:rsid w:val="05FB0B46"/>
    <w:rsid w:val="05FB14E0"/>
    <w:rsid w:val="06047B27"/>
    <w:rsid w:val="060551F9"/>
    <w:rsid w:val="06200B16"/>
    <w:rsid w:val="062639B4"/>
    <w:rsid w:val="062C002C"/>
    <w:rsid w:val="062E4B51"/>
    <w:rsid w:val="063D062B"/>
    <w:rsid w:val="06597404"/>
    <w:rsid w:val="06617097"/>
    <w:rsid w:val="066235BB"/>
    <w:rsid w:val="06786A61"/>
    <w:rsid w:val="0696289E"/>
    <w:rsid w:val="06A018B2"/>
    <w:rsid w:val="06B86A37"/>
    <w:rsid w:val="06C56FF1"/>
    <w:rsid w:val="06CE4CC5"/>
    <w:rsid w:val="06EC6072"/>
    <w:rsid w:val="06F13FD1"/>
    <w:rsid w:val="06F76F02"/>
    <w:rsid w:val="0702488F"/>
    <w:rsid w:val="07084F46"/>
    <w:rsid w:val="070C4F4E"/>
    <w:rsid w:val="0726602E"/>
    <w:rsid w:val="07415B67"/>
    <w:rsid w:val="074B3407"/>
    <w:rsid w:val="07560AB2"/>
    <w:rsid w:val="07560EF4"/>
    <w:rsid w:val="075F4BDE"/>
    <w:rsid w:val="076A009C"/>
    <w:rsid w:val="07AC659B"/>
    <w:rsid w:val="07AE408B"/>
    <w:rsid w:val="07B15BB6"/>
    <w:rsid w:val="07BA7544"/>
    <w:rsid w:val="07E11AB8"/>
    <w:rsid w:val="080F151D"/>
    <w:rsid w:val="081E14C5"/>
    <w:rsid w:val="081F33F7"/>
    <w:rsid w:val="08325182"/>
    <w:rsid w:val="08361228"/>
    <w:rsid w:val="08494129"/>
    <w:rsid w:val="087253A0"/>
    <w:rsid w:val="08814F67"/>
    <w:rsid w:val="08B5652B"/>
    <w:rsid w:val="08B62915"/>
    <w:rsid w:val="08D975E0"/>
    <w:rsid w:val="09047824"/>
    <w:rsid w:val="0913464B"/>
    <w:rsid w:val="09237239"/>
    <w:rsid w:val="09412AC2"/>
    <w:rsid w:val="094C7D4D"/>
    <w:rsid w:val="097A405F"/>
    <w:rsid w:val="099152ED"/>
    <w:rsid w:val="09945539"/>
    <w:rsid w:val="099D4C41"/>
    <w:rsid w:val="09A44193"/>
    <w:rsid w:val="09B03574"/>
    <w:rsid w:val="09B07354"/>
    <w:rsid w:val="09D017F5"/>
    <w:rsid w:val="09DA654A"/>
    <w:rsid w:val="0A0A640D"/>
    <w:rsid w:val="0A0C1076"/>
    <w:rsid w:val="0A16032B"/>
    <w:rsid w:val="0A4C3F11"/>
    <w:rsid w:val="0A6568BB"/>
    <w:rsid w:val="0A733099"/>
    <w:rsid w:val="0A89755C"/>
    <w:rsid w:val="0A8A3017"/>
    <w:rsid w:val="0A8C5C06"/>
    <w:rsid w:val="0A9D052B"/>
    <w:rsid w:val="0A9D787B"/>
    <w:rsid w:val="0AA22FFA"/>
    <w:rsid w:val="0AAB6CA1"/>
    <w:rsid w:val="0AB27A26"/>
    <w:rsid w:val="0AC468D4"/>
    <w:rsid w:val="0AEA17AB"/>
    <w:rsid w:val="0AEB62E9"/>
    <w:rsid w:val="0B19573C"/>
    <w:rsid w:val="0B252276"/>
    <w:rsid w:val="0B6D6E83"/>
    <w:rsid w:val="0B832A8F"/>
    <w:rsid w:val="0BA35DA2"/>
    <w:rsid w:val="0C1C670F"/>
    <w:rsid w:val="0C2A67BF"/>
    <w:rsid w:val="0C514F51"/>
    <w:rsid w:val="0C541A46"/>
    <w:rsid w:val="0C6547E3"/>
    <w:rsid w:val="0C7A0874"/>
    <w:rsid w:val="0CC21D57"/>
    <w:rsid w:val="0CCF47AA"/>
    <w:rsid w:val="0CD52F1A"/>
    <w:rsid w:val="0CE94539"/>
    <w:rsid w:val="0CEB5AB4"/>
    <w:rsid w:val="0D0E0417"/>
    <w:rsid w:val="0D287DF2"/>
    <w:rsid w:val="0D322DD4"/>
    <w:rsid w:val="0D71332C"/>
    <w:rsid w:val="0D771E67"/>
    <w:rsid w:val="0D847672"/>
    <w:rsid w:val="0D9C4A8F"/>
    <w:rsid w:val="0DA8151C"/>
    <w:rsid w:val="0DAC5E4D"/>
    <w:rsid w:val="0DB85863"/>
    <w:rsid w:val="0DDF1BCC"/>
    <w:rsid w:val="0DE40111"/>
    <w:rsid w:val="0DE93979"/>
    <w:rsid w:val="0E0C377F"/>
    <w:rsid w:val="0E120DD6"/>
    <w:rsid w:val="0E4122D5"/>
    <w:rsid w:val="0E5A24C3"/>
    <w:rsid w:val="0E9720B6"/>
    <w:rsid w:val="0E9B78E5"/>
    <w:rsid w:val="0E9C09EC"/>
    <w:rsid w:val="0EBD2FD6"/>
    <w:rsid w:val="0EC06906"/>
    <w:rsid w:val="0EDF32FB"/>
    <w:rsid w:val="0EED6E20"/>
    <w:rsid w:val="0EF668F5"/>
    <w:rsid w:val="0F2E6361"/>
    <w:rsid w:val="0F3341C8"/>
    <w:rsid w:val="0F4835B1"/>
    <w:rsid w:val="0F557518"/>
    <w:rsid w:val="0F696B20"/>
    <w:rsid w:val="0F706D31"/>
    <w:rsid w:val="0F7332C0"/>
    <w:rsid w:val="0F916F28"/>
    <w:rsid w:val="0FC03603"/>
    <w:rsid w:val="0FCB1589"/>
    <w:rsid w:val="0FCB3795"/>
    <w:rsid w:val="0FD82455"/>
    <w:rsid w:val="0FDB5C63"/>
    <w:rsid w:val="0FE20F9D"/>
    <w:rsid w:val="0FE631C1"/>
    <w:rsid w:val="0FF1311C"/>
    <w:rsid w:val="0FF87F5E"/>
    <w:rsid w:val="0FF964D5"/>
    <w:rsid w:val="10091784"/>
    <w:rsid w:val="101051ED"/>
    <w:rsid w:val="10140146"/>
    <w:rsid w:val="104A55F3"/>
    <w:rsid w:val="109834C4"/>
    <w:rsid w:val="10CE4B78"/>
    <w:rsid w:val="10E03F78"/>
    <w:rsid w:val="11010451"/>
    <w:rsid w:val="11037B7E"/>
    <w:rsid w:val="11054EB1"/>
    <w:rsid w:val="11057C47"/>
    <w:rsid w:val="11174006"/>
    <w:rsid w:val="11205B3D"/>
    <w:rsid w:val="11471770"/>
    <w:rsid w:val="11701C67"/>
    <w:rsid w:val="11707255"/>
    <w:rsid w:val="11AA7425"/>
    <w:rsid w:val="11D557CF"/>
    <w:rsid w:val="11DD3B62"/>
    <w:rsid w:val="11FF51E3"/>
    <w:rsid w:val="12060C97"/>
    <w:rsid w:val="1248790B"/>
    <w:rsid w:val="125F420A"/>
    <w:rsid w:val="127A2A23"/>
    <w:rsid w:val="12B26A30"/>
    <w:rsid w:val="12D11310"/>
    <w:rsid w:val="12E10D04"/>
    <w:rsid w:val="12F4262D"/>
    <w:rsid w:val="12F62DC0"/>
    <w:rsid w:val="131329D9"/>
    <w:rsid w:val="13176C38"/>
    <w:rsid w:val="1319260B"/>
    <w:rsid w:val="132601ED"/>
    <w:rsid w:val="133574DA"/>
    <w:rsid w:val="135E455F"/>
    <w:rsid w:val="136B3488"/>
    <w:rsid w:val="13876F3F"/>
    <w:rsid w:val="13A7230D"/>
    <w:rsid w:val="13A923BE"/>
    <w:rsid w:val="13AA4419"/>
    <w:rsid w:val="13C073F6"/>
    <w:rsid w:val="13D403AF"/>
    <w:rsid w:val="1420340C"/>
    <w:rsid w:val="14213D19"/>
    <w:rsid w:val="14231BF0"/>
    <w:rsid w:val="14302302"/>
    <w:rsid w:val="145E398A"/>
    <w:rsid w:val="148E307B"/>
    <w:rsid w:val="14A25AD7"/>
    <w:rsid w:val="14A67976"/>
    <w:rsid w:val="14B068FF"/>
    <w:rsid w:val="14E32ED1"/>
    <w:rsid w:val="14EB7181"/>
    <w:rsid w:val="14FE32F5"/>
    <w:rsid w:val="151479B0"/>
    <w:rsid w:val="15182883"/>
    <w:rsid w:val="15444599"/>
    <w:rsid w:val="154452F0"/>
    <w:rsid w:val="15AF7257"/>
    <w:rsid w:val="15C55105"/>
    <w:rsid w:val="15D45DAC"/>
    <w:rsid w:val="15F65468"/>
    <w:rsid w:val="15FE77F1"/>
    <w:rsid w:val="16034FED"/>
    <w:rsid w:val="16142414"/>
    <w:rsid w:val="162323C8"/>
    <w:rsid w:val="163F6CBF"/>
    <w:rsid w:val="1643384D"/>
    <w:rsid w:val="16517BE8"/>
    <w:rsid w:val="166B4A8B"/>
    <w:rsid w:val="16816E45"/>
    <w:rsid w:val="168B4D4A"/>
    <w:rsid w:val="169070D5"/>
    <w:rsid w:val="16B20DAC"/>
    <w:rsid w:val="16B9000A"/>
    <w:rsid w:val="16CA418F"/>
    <w:rsid w:val="16CB6F65"/>
    <w:rsid w:val="16CE197A"/>
    <w:rsid w:val="16D477D7"/>
    <w:rsid w:val="16E15B36"/>
    <w:rsid w:val="17074965"/>
    <w:rsid w:val="172945C3"/>
    <w:rsid w:val="172B2A6E"/>
    <w:rsid w:val="17365E81"/>
    <w:rsid w:val="17476FB9"/>
    <w:rsid w:val="174E65AF"/>
    <w:rsid w:val="17633355"/>
    <w:rsid w:val="17840E10"/>
    <w:rsid w:val="1799309B"/>
    <w:rsid w:val="17996144"/>
    <w:rsid w:val="17B56A05"/>
    <w:rsid w:val="17BF3462"/>
    <w:rsid w:val="17D87636"/>
    <w:rsid w:val="17FF64B2"/>
    <w:rsid w:val="18167311"/>
    <w:rsid w:val="18245362"/>
    <w:rsid w:val="182D1071"/>
    <w:rsid w:val="18572671"/>
    <w:rsid w:val="18573B7A"/>
    <w:rsid w:val="189A41EE"/>
    <w:rsid w:val="18AD5481"/>
    <w:rsid w:val="18CB5E53"/>
    <w:rsid w:val="18CC461B"/>
    <w:rsid w:val="18D45C74"/>
    <w:rsid w:val="18F76F72"/>
    <w:rsid w:val="18F907DE"/>
    <w:rsid w:val="18FF0BCB"/>
    <w:rsid w:val="19030EFB"/>
    <w:rsid w:val="19102702"/>
    <w:rsid w:val="191E443C"/>
    <w:rsid w:val="19422891"/>
    <w:rsid w:val="194F0C66"/>
    <w:rsid w:val="195B446C"/>
    <w:rsid w:val="1984159E"/>
    <w:rsid w:val="19A03A86"/>
    <w:rsid w:val="19A162A1"/>
    <w:rsid w:val="19A86672"/>
    <w:rsid w:val="19B33066"/>
    <w:rsid w:val="19CF6239"/>
    <w:rsid w:val="19DD6995"/>
    <w:rsid w:val="1A00470F"/>
    <w:rsid w:val="1A007076"/>
    <w:rsid w:val="1A0A209E"/>
    <w:rsid w:val="1A1B6DB0"/>
    <w:rsid w:val="1A513927"/>
    <w:rsid w:val="1A53735B"/>
    <w:rsid w:val="1A57593B"/>
    <w:rsid w:val="1A613215"/>
    <w:rsid w:val="1A9646B6"/>
    <w:rsid w:val="1A9B68F9"/>
    <w:rsid w:val="1AA521F8"/>
    <w:rsid w:val="1AB50E43"/>
    <w:rsid w:val="1AD96AC7"/>
    <w:rsid w:val="1ADD4C6F"/>
    <w:rsid w:val="1AE2135D"/>
    <w:rsid w:val="1AF16989"/>
    <w:rsid w:val="1AFE3C2E"/>
    <w:rsid w:val="1B164ECF"/>
    <w:rsid w:val="1B223A0F"/>
    <w:rsid w:val="1B475DD5"/>
    <w:rsid w:val="1B4F0CF6"/>
    <w:rsid w:val="1B7C407F"/>
    <w:rsid w:val="1B7E04EA"/>
    <w:rsid w:val="1B913CBE"/>
    <w:rsid w:val="1B936ABD"/>
    <w:rsid w:val="1BC5045E"/>
    <w:rsid w:val="1BCB649F"/>
    <w:rsid w:val="1BD8361B"/>
    <w:rsid w:val="1BF1096B"/>
    <w:rsid w:val="1BF34408"/>
    <w:rsid w:val="1BFE6653"/>
    <w:rsid w:val="1C071EB5"/>
    <w:rsid w:val="1C1B01D3"/>
    <w:rsid w:val="1C1C3850"/>
    <w:rsid w:val="1C205C74"/>
    <w:rsid w:val="1C7D1E5D"/>
    <w:rsid w:val="1C7E43CE"/>
    <w:rsid w:val="1C91032B"/>
    <w:rsid w:val="1CA97156"/>
    <w:rsid w:val="1CD41D48"/>
    <w:rsid w:val="1CED5741"/>
    <w:rsid w:val="1D0A2B6A"/>
    <w:rsid w:val="1D0E7853"/>
    <w:rsid w:val="1D106C76"/>
    <w:rsid w:val="1D4209B0"/>
    <w:rsid w:val="1D5E6208"/>
    <w:rsid w:val="1D6351D8"/>
    <w:rsid w:val="1D6609F8"/>
    <w:rsid w:val="1D90752D"/>
    <w:rsid w:val="1D9A4FBC"/>
    <w:rsid w:val="1DB6038D"/>
    <w:rsid w:val="1DC804DC"/>
    <w:rsid w:val="1DF4614E"/>
    <w:rsid w:val="1E115756"/>
    <w:rsid w:val="1E2D17A3"/>
    <w:rsid w:val="1E2F4E09"/>
    <w:rsid w:val="1E3D795A"/>
    <w:rsid w:val="1E401394"/>
    <w:rsid w:val="1E4A6EAD"/>
    <w:rsid w:val="1E4E54CC"/>
    <w:rsid w:val="1E720519"/>
    <w:rsid w:val="1E780B2E"/>
    <w:rsid w:val="1EC309FE"/>
    <w:rsid w:val="1ECD54AF"/>
    <w:rsid w:val="1EE03DC7"/>
    <w:rsid w:val="1EE142D7"/>
    <w:rsid w:val="1F0F4365"/>
    <w:rsid w:val="1F2B4B6C"/>
    <w:rsid w:val="1F322B29"/>
    <w:rsid w:val="1F441ED2"/>
    <w:rsid w:val="1F505DE2"/>
    <w:rsid w:val="1F521A61"/>
    <w:rsid w:val="1F537B8F"/>
    <w:rsid w:val="1F594E78"/>
    <w:rsid w:val="1F6E156B"/>
    <w:rsid w:val="1F703EFB"/>
    <w:rsid w:val="1F7531FF"/>
    <w:rsid w:val="1F93481C"/>
    <w:rsid w:val="1F9349D8"/>
    <w:rsid w:val="1FAA1CAD"/>
    <w:rsid w:val="1FBF2C60"/>
    <w:rsid w:val="1FDD3DA9"/>
    <w:rsid w:val="1FF05EAA"/>
    <w:rsid w:val="2002391F"/>
    <w:rsid w:val="200B6C9D"/>
    <w:rsid w:val="200E5C16"/>
    <w:rsid w:val="201E74B3"/>
    <w:rsid w:val="203F64A7"/>
    <w:rsid w:val="204226B4"/>
    <w:rsid w:val="204F3B10"/>
    <w:rsid w:val="209B4F76"/>
    <w:rsid w:val="20A020D4"/>
    <w:rsid w:val="20A95BC1"/>
    <w:rsid w:val="20AA62CB"/>
    <w:rsid w:val="20DB1267"/>
    <w:rsid w:val="20E424AA"/>
    <w:rsid w:val="20E53C37"/>
    <w:rsid w:val="2109415C"/>
    <w:rsid w:val="2113675B"/>
    <w:rsid w:val="21155DB0"/>
    <w:rsid w:val="212922DF"/>
    <w:rsid w:val="212E50F5"/>
    <w:rsid w:val="21331A18"/>
    <w:rsid w:val="214E7BC1"/>
    <w:rsid w:val="215677FB"/>
    <w:rsid w:val="219F557E"/>
    <w:rsid w:val="21B467B6"/>
    <w:rsid w:val="21BA1541"/>
    <w:rsid w:val="21C21765"/>
    <w:rsid w:val="21CA6CA5"/>
    <w:rsid w:val="21CF6541"/>
    <w:rsid w:val="21DB6A85"/>
    <w:rsid w:val="21DE514B"/>
    <w:rsid w:val="21E768C6"/>
    <w:rsid w:val="21F17354"/>
    <w:rsid w:val="21FF210F"/>
    <w:rsid w:val="22080B8C"/>
    <w:rsid w:val="2218008C"/>
    <w:rsid w:val="221E6152"/>
    <w:rsid w:val="221E7F9F"/>
    <w:rsid w:val="2228286B"/>
    <w:rsid w:val="222900E3"/>
    <w:rsid w:val="22521F17"/>
    <w:rsid w:val="22624C55"/>
    <w:rsid w:val="22734FCA"/>
    <w:rsid w:val="229E3DD3"/>
    <w:rsid w:val="22BB57D9"/>
    <w:rsid w:val="22C73E32"/>
    <w:rsid w:val="22CD6E13"/>
    <w:rsid w:val="22D3585F"/>
    <w:rsid w:val="22D76489"/>
    <w:rsid w:val="22DA4AE3"/>
    <w:rsid w:val="22E76133"/>
    <w:rsid w:val="22EE07A2"/>
    <w:rsid w:val="235C2178"/>
    <w:rsid w:val="236C6787"/>
    <w:rsid w:val="23873516"/>
    <w:rsid w:val="239A230C"/>
    <w:rsid w:val="23B17D9A"/>
    <w:rsid w:val="23C62F95"/>
    <w:rsid w:val="23CC521A"/>
    <w:rsid w:val="23D03041"/>
    <w:rsid w:val="23EE5275"/>
    <w:rsid w:val="23FD0AA0"/>
    <w:rsid w:val="24044C11"/>
    <w:rsid w:val="24125580"/>
    <w:rsid w:val="243856D8"/>
    <w:rsid w:val="243C0EDF"/>
    <w:rsid w:val="24496B4B"/>
    <w:rsid w:val="24680AC7"/>
    <w:rsid w:val="247D216D"/>
    <w:rsid w:val="248221DE"/>
    <w:rsid w:val="248813C7"/>
    <w:rsid w:val="2496163D"/>
    <w:rsid w:val="24B41A0E"/>
    <w:rsid w:val="24D1212C"/>
    <w:rsid w:val="24D2382C"/>
    <w:rsid w:val="24ED7618"/>
    <w:rsid w:val="24EF5FF8"/>
    <w:rsid w:val="25063BC7"/>
    <w:rsid w:val="25181D02"/>
    <w:rsid w:val="25184E18"/>
    <w:rsid w:val="25271CE5"/>
    <w:rsid w:val="252A68FA"/>
    <w:rsid w:val="253C3C3C"/>
    <w:rsid w:val="253D03DB"/>
    <w:rsid w:val="255F2D28"/>
    <w:rsid w:val="258248DE"/>
    <w:rsid w:val="25AD0E23"/>
    <w:rsid w:val="25AE5FB2"/>
    <w:rsid w:val="25B41ADA"/>
    <w:rsid w:val="25CC2138"/>
    <w:rsid w:val="26040E08"/>
    <w:rsid w:val="261C6B6A"/>
    <w:rsid w:val="26247156"/>
    <w:rsid w:val="26427AE3"/>
    <w:rsid w:val="264979B7"/>
    <w:rsid w:val="265944F4"/>
    <w:rsid w:val="26603794"/>
    <w:rsid w:val="26675927"/>
    <w:rsid w:val="26692947"/>
    <w:rsid w:val="26694930"/>
    <w:rsid w:val="26702F03"/>
    <w:rsid w:val="26B73313"/>
    <w:rsid w:val="26C3133A"/>
    <w:rsid w:val="26CD3822"/>
    <w:rsid w:val="26FC6482"/>
    <w:rsid w:val="27194E78"/>
    <w:rsid w:val="2745456D"/>
    <w:rsid w:val="276C3CCE"/>
    <w:rsid w:val="277125BE"/>
    <w:rsid w:val="2793188B"/>
    <w:rsid w:val="279D7857"/>
    <w:rsid w:val="27AE2410"/>
    <w:rsid w:val="27BC1299"/>
    <w:rsid w:val="283006C2"/>
    <w:rsid w:val="28355CE1"/>
    <w:rsid w:val="283A5FF4"/>
    <w:rsid w:val="28891BAD"/>
    <w:rsid w:val="28966CF7"/>
    <w:rsid w:val="28A102E5"/>
    <w:rsid w:val="28B7357B"/>
    <w:rsid w:val="28BD15F6"/>
    <w:rsid w:val="28C86A0B"/>
    <w:rsid w:val="28F554C6"/>
    <w:rsid w:val="28FE03F7"/>
    <w:rsid w:val="2903193C"/>
    <w:rsid w:val="290B7ECE"/>
    <w:rsid w:val="29181847"/>
    <w:rsid w:val="29190126"/>
    <w:rsid w:val="29254534"/>
    <w:rsid w:val="293231CA"/>
    <w:rsid w:val="293356B8"/>
    <w:rsid w:val="294206B6"/>
    <w:rsid w:val="2953493A"/>
    <w:rsid w:val="29667770"/>
    <w:rsid w:val="296E68E7"/>
    <w:rsid w:val="299C30BE"/>
    <w:rsid w:val="29A052A2"/>
    <w:rsid w:val="29AF3A37"/>
    <w:rsid w:val="29C43E2A"/>
    <w:rsid w:val="29D4595E"/>
    <w:rsid w:val="29E23B42"/>
    <w:rsid w:val="29EC4627"/>
    <w:rsid w:val="2A3C5105"/>
    <w:rsid w:val="2A4974F7"/>
    <w:rsid w:val="2A4F29B8"/>
    <w:rsid w:val="2A512D83"/>
    <w:rsid w:val="2A5F68F0"/>
    <w:rsid w:val="2A622A5D"/>
    <w:rsid w:val="2A623008"/>
    <w:rsid w:val="2A6A593B"/>
    <w:rsid w:val="2A88034A"/>
    <w:rsid w:val="2A8820F8"/>
    <w:rsid w:val="2A94719C"/>
    <w:rsid w:val="2AA13294"/>
    <w:rsid w:val="2AAA449C"/>
    <w:rsid w:val="2AC46725"/>
    <w:rsid w:val="2ACD5497"/>
    <w:rsid w:val="2ADA0EC4"/>
    <w:rsid w:val="2AEC6789"/>
    <w:rsid w:val="2B001FC4"/>
    <w:rsid w:val="2B1A4BF8"/>
    <w:rsid w:val="2B227089"/>
    <w:rsid w:val="2B2656D8"/>
    <w:rsid w:val="2B312BCE"/>
    <w:rsid w:val="2B3841FF"/>
    <w:rsid w:val="2B4E46D7"/>
    <w:rsid w:val="2B5C2ED7"/>
    <w:rsid w:val="2B716E33"/>
    <w:rsid w:val="2B735075"/>
    <w:rsid w:val="2B76115C"/>
    <w:rsid w:val="2B813479"/>
    <w:rsid w:val="2BA35EE9"/>
    <w:rsid w:val="2BA76EA8"/>
    <w:rsid w:val="2BD67F16"/>
    <w:rsid w:val="2C16359A"/>
    <w:rsid w:val="2C1D10B0"/>
    <w:rsid w:val="2C220D41"/>
    <w:rsid w:val="2C58125A"/>
    <w:rsid w:val="2C67359F"/>
    <w:rsid w:val="2C673F8F"/>
    <w:rsid w:val="2C7217DF"/>
    <w:rsid w:val="2C8C5DE4"/>
    <w:rsid w:val="2CCB7649"/>
    <w:rsid w:val="2CD2252B"/>
    <w:rsid w:val="2CDF3611"/>
    <w:rsid w:val="2CE11059"/>
    <w:rsid w:val="2CE13D42"/>
    <w:rsid w:val="2CE55F5D"/>
    <w:rsid w:val="2CF16867"/>
    <w:rsid w:val="2D264C8F"/>
    <w:rsid w:val="2D306C80"/>
    <w:rsid w:val="2D630BFB"/>
    <w:rsid w:val="2D6333F4"/>
    <w:rsid w:val="2D730810"/>
    <w:rsid w:val="2D85284F"/>
    <w:rsid w:val="2D8F130D"/>
    <w:rsid w:val="2D9B2143"/>
    <w:rsid w:val="2DA2371F"/>
    <w:rsid w:val="2DAD00C8"/>
    <w:rsid w:val="2DC773DC"/>
    <w:rsid w:val="2DFE2076"/>
    <w:rsid w:val="2E0A680D"/>
    <w:rsid w:val="2E121EC8"/>
    <w:rsid w:val="2E162111"/>
    <w:rsid w:val="2E1B6385"/>
    <w:rsid w:val="2E2F222B"/>
    <w:rsid w:val="2E35461D"/>
    <w:rsid w:val="2E3E1E50"/>
    <w:rsid w:val="2E4124A7"/>
    <w:rsid w:val="2E6052ED"/>
    <w:rsid w:val="2E676DD1"/>
    <w:rsid w:val="2E7719A2"/>
    <w:rsid w:val="2E8C0F6A"/>
    <w:rsid w:val="2E965232"/>
    <w:rsid w:val="2EA601A2"/>
    <w:rsid w:val="2EB41214"/>
    <w:rsid w:val="2EB76EAD"/>
    <w:rsid w:val="2EC14B61"/>
    <w:rsid w:val="2EC15303"/>
    <w:rsid w:val="2ED230D8"/>
    <w:rsid w:val="2EE73D16"/>
    <w:rsid w:val="2EF074ED"/>
    <w:rsid w:val="2EF8075E"/>
    <w:rsid w:val="2F08054D"/>
    <w:rsid w:val="2F346C1E"/>
    <w:rsid w:val="2F3960B7"/>
    <w:rsid w:val="2F3D3A96"/>
    <w:rsid w:val="2F472E7B"/>
    <w:rsid w:val="2F592234"/>
    <w:rsid w:val="2F77273B"/>
    <w:rsid w:val="2F7B2A8C"/>
    <w:rsid w:val="2FB63D4D"/>
    <w:rsid w:val="2FB66226"/>
    <w:rsid w:val="2FE158A9"/>
    <w:rsid w:val="3009733A"/>
    <w:rsid w:val="300E5B31"/>
    <w:rsid w:val="305E50BF"/>
    <w:rsid w:val="30671BE3"/>
    <w:rsid w:val="306E1D90"/>
    <w:rsid w:val="30737CB4"/>
    <w:rsid w:val="307A4FE6"/>
    <w:rsid w:val="307F1108"/>
    <w:rsid w:val="30922020"/>
    <w:rsid w:val="309F1F4A"/>
    <w:rsid w:val="30A105AA"/>
    <w:rsid w:val="30A23327"/>
    <w:rsid w:val="30A440C6"/>
    <w:rsid w:val="30A6152A"/>
    <w:rsid w:val="30DD47CC"/>
    <w:rsid w:val="30EB177E"/>
    <w:rsid w:val="30F369EF"/>
    <w:rsid w:val="3112096E"/>
    <w:rsid w:val="31191B20"/>
    <w:rsid w:val="31212EC8"/>
    <w:rsid w:val="314461BF"/>
    <w:rsid w:val="314C6D61"/>
    <w:rsid w:val="315C608D"/>
    <w:rsid w:val="31630C81"/>
    <w:rsid w:val="31640F06"/>
    <w:rsid w:val="316D6BDA"/>
    <w:rsid w:val="316F55F9"/>
    <w:rsid w:val="318F043D"/>
    <w:rsid w:val="31A12C5A"/>
    <w:rsid w:val="31A2239D"/>
    <w:rsid w:val="31B278BF"/>
    <w:rsid w:val="31C30FC4"/>
    <w:rsid w:val="31C32293"/>
    <w:rsid w:val="31C3610C"/>
    <w:rsid w:val="31CD2AE7"/>
    <w:rsid w:val="31CE4EF5"/>
    <w:rsid w:val="31D73927"/>
    <w:rsid w:val="31F53D8C"/>
    <w:rsid w:val="31F6203D"/>
    <w:rsid w:val="3204377E"/>
    <w:rsid w:val="321150CE"/>
    <w:rsid w:val="32181A09"/>
    <w:rsid w:val="32184B38"/>
    <w:rsid w:val="322809AF"/>
    <w:rsid w:val="32380204"/>
    <w:rsid w:val="32452BDE"/>
    <w:rsid w:val="324A710B"/>
    <w:rsid w:val="32511114"/>
    <w:rsid w:val="326E72D7"/>
    <w:rsid w:val="326F2008"/>
    <w:rsid w:val="32721CBD"/>
    <w:rsid w:val="327926D6"/>
    <w:rsid w:val="32847649"/>
    <w:rsid w:val="328D507E"/>
    <w:rsid w:val="32B07D39"/>
    <w:rsid w:val="32CD373D"/>
    <w:rsid w:val="3301240C"/>
    <w:rsid w:val="33044C50"/>
    <w:rsid w:val="33134E71"/>
    <w:rsid w:val="332D2E35"/>
    <w:rsid w:val="334B1631"/>
    <w:rsid w:val="33550FE6"/>
    <w:rsid w:val="335F1E64"/>
    <w:rsid w:val="336F5CFF"/>
    <w:rsid w:val="337157F8"/>
    <w:rsid w:val="338D0DEE"/>
    <w:rsid w:val="339E5865"/>
    <w:rsid w:val="33A83ACB"/>
    <w:rsid w:val="33A92BF4"/>
    <w:rsid w:val="33AA2A31"/>
    <w:rsid w:val="33AC18CC"/>
    <w:rsid w:val="33CF7C5B"/>
    <w:rsid w:val="33D7680B"/>
    <w:rsid w:val="33E34F5B"/>
    <w:rsid w:val="34022D3A"/>
    <w:rsid w:val="34034EE6"/>
    <w:rsid w:val="342E4F21"/>
    <w:rsid w:val="343314CE"/>
    <w:rsid w:val="34414E24"/>
    <w:rsid w:val="3441752F"/>
    <w:rsid w:val="34514845"/>
    <w:rsid w:val="345A7F02"/>
    <w:rsid w:val="346E1210"/>
    <w:rsid w:val="348C04D1"/>
    <w:rsid w:val="34C2698C"/>
    <w:rsid w:val="35095093"/>
    <w:rsid w:val="351F09A8"/>
    <w:rsid w:val="35206EFD"/>
    <w:rsid w:val="35243365"/>
    <w:rsid w:val="35366ADD"/>
    <w:rsid w:val="35377825"/>
    <w:rsid w:val="354B4AB6"/>
    <w:rsid w:val="35504D97"/>
    <w:rsid w:val="356E45E1"/>
    <w:rsid w:val="357B0B15"/>
    <w:rsid w:val="35B30F14"/>
    <w:rsid w:val="35B66202"/>
    <w:rsid w:val="35CC29CE"/>
    <w:rsid w:val="35D44AE7"/>
    <w:rsid w:val="35D83656"/>
    <w:rsid w:val="35E14E10"/>
    <w:rsid w:val="36006C2C"/>
    <w:rsid w:val="36054D5D"/>
    <w:rsid w:val="3628521D"/>
    <w:rsid w:val="363958A7"/>
    <w:rsid w:val="364F3BB1"/>
    <w:rsid w:val="365B7609"/>
    <w:rsid w:val="3662210B"/>
    <w:rsid w:val="36663941"/>
    <w:rsid w:val="36906AAE"/>
    <w:rsid w:val="36932962"/>
    <w:rsid w:val="369621D5"/>
    <w:rsid w:val="36977937"/>
    <w:rsid w:val="369A2A06"/>
    <w:rsid w:val="36B61F4E"/>
    <w:rsid w:val="36F673F1"/>
    <w:rsid w:val="372B486E"/>
    <w:rsid w:val="372B5200"/>
    <w:rsid w:val="373961D9"/>
    <w:rsid w:val="375D3816"/>
    <w:rsid w:val="376A4664"/>
    <w:rsid w:val="376C6CB3"/>
    <w:rsid w:val="377B0E95"/>
    <w:rsid w:val="377C6E03"/>
    <w:rsid w:val="3789435E"/>
    <w:rsid w:val="378E0F6A"/>
    <w:rsid w:val="37AF1110"/>
    <w:rsid w:val="37B27B64"/>
    <w:rsid w:val="37B3238E"/>
    <w:rsid w:val="37BF2ED1"/>
    <w:rsid w:val="37DB239E"/>
    <w:rsid w:val="37F43410"/>
    <w:rsid w:val="37FD4AC8"/>
    <w:rsid w:val="383F2CB7"/>
    <w:rsid w:val="387B7F97"/>
    <w:rsid w:val="387C30C2"/>
    <w:rsid w:val="389B778B"/>
    <w:rsid w:val="38A81FE9"/>
    <w:rsid w:val="38C823EF"/>
    <w:rsid w:val="38D65911"/>
    <w:rsid w:val="38E95FA8"/>
    <w:rsid w:val="38F255B7"/>
    <w:rsid w:val="38F4782D"/>
    <w:rsid w:val="39034FE3"/>
    <w:rsid w:val="39115B97"/>
    <w:rsid w:val="39162AD9"/>
    <w:rsid w:val="391C6A06"/>
    <w:rsid w:val="393A238F"/>
    <w:rsid w:val="39407807"/>
    <w:rsid w:val="39650B36"/>
    <w:rsid w:val="399C08D3"/>
    <w:rsid w:val="399C6B0E"/>
    <w:rsid w:val="39D66A75"/>
    <w:rsid w:val="39F5707E"/>
    <w:rsid w:val="39FF45A5"/>
    <w:rsid w:val="3A080D82"/>
    <w:rsid w:val="3A0925D6"/>
    <w:rsid w:val="3A232992"/>
    <w:rsid w:val="3A311348"/>
    <w:rsid w:val="3A321133"/>
    <w:rsid w:val="3A5D716A"/>
    <w:rsid w:val="3A7611EE"/>
    <w:rsid w:val="3A7C2B72"/>
    <w:rsid w:val="3A7C51AB"/>
    <w:rsid w:val="3A9116D2"/>
    <w:rsid w:val="3A974968"/>
    <w:rsid w:val="3AB67A4F"/>
    <w:rsid w:val="3AEA3F78"/>
    <w:rsid w:val="3AF41368"/>
    <w:rsid w:val="3AF455C7"/>
    <w:rsid w:val="3AF755CC"/>
    <w:rsid w:val="3B1A08AC"/>
    <w:rsid w:val="3B252B43"/>
    <w:rsid w:val="3B4C16A3"/>
    <w:rsid w:val="3B675D5A"/>
    <w:rsid w:val="3B8E39D6"/>
    <w:rsid w:val="3B982C95"/>
    <w:rsid w:val="3BA24FE4"/>
    <w:rsid w:val="3BD417E4"/>
    <w:rsid w:val="3BD64F56"/>
    <w:rsid w:val="3BDA3221"/>
    <w:rsid w:val="3BE65673"/>
    <w:rsid w:val="3BE72BB2"/>
    <w:rsid w:val="3BED59DD"/>
    <w:rsid w:val="3BEF3E08"/>
    <w:rsid w:val="3BF264A6"/>
    <w:rsid w:val="3BF40F55"/>
    <w:rsid w:val="3BFD31AD"/>
    <w:rsid w:val="3C311B4A"/>
    <w:rsid w:val="3C683B38"/>
    <w:rsid w:val="3C77131E"/>
    <w:rsid w:val="3C7C3B06"/>
    <w:rsid w:val="3C7D382E"/>
    <w:rsid w:val="3C9537C3"/>
    <w:rsid w:val="3CAE27E3"/>
    <w:rsid w:val="3CBB2E44"/>
    <w:rsid w:val="3CC92F13"/>
    <w:rsid w:val="3CDA784B"/>
    <w:rsid w:val="3CDE13C7"/>
    <w:rsid w:val="3CE67DCF"/>
    <w:rsid w:val="3CF13B49"/>
    <w:rsid w:val="3D032540"/>
    <w:rsid w:val="3D2B094E"/>
    <w:rsid w:val="3D424389"/>
    <w:rsid w:val="3D4812BE"/>
    <w:rsid w:val="3D4C15A2"/>
    <w:rsid w:val="3D501D70"/>
    <w:rsid w:val="3D547FDF"/>
    <w:rsid w:val="3D5A0835"/>
    <w:rsid w:val="3D6F2DAE"/>
    <w:rsid w:val="3D793451"/>
    <w:rsid w:val="3D8205B4"/>
    <w:rsid w:val="3D841506"/>
    <w:rsid w:val="3D943375"/>
    <w:rsid w:val="3DA32C0E"/>
    <w:rsid w:val="3DD91947"/>
    <w:rsid w:val="3DDC4E94"/>
    <w:rsid w:val="3E0C188E"/>
    <w:rsid w:val="3E1078EB"/>
    <w:rsid w:val="3E1321C9"/>
    <w:rsid w:val="3E19606B"/>
    <w:rsid w:val="3E325014"/>
    <w:rsid w:val="3E3E5D44"/>
    <w:rsid w:val="3E4476F2"/>
    <w:rsid w:val="3E526A1B"/>
    <w:rsid w:val="3E750A8D"/>
    <w:rsid w:val="3E79385A"/>
    <w:rsid w:val="3E90402B"/>
    <w:rsid w:val="3E946765"/>
    <w:rsid w:val="3E965FA8"/>
    <w:rsid w:val="3E975084"/>
    <w:rsid w:val="3EB47508"/>
    <w:rsid w:val="3EBA6F71"/>
    <w:rsid w:val="3EE46B00"/>
    <w:rsid w:val="3F1052B9"/>
    <w:rsid w:val="3F105A6B"/>
    <w:rsid w:val="3F381039"/>
    <w:rsid w:val="3F3B54F0"/>
    <w:rsid w:val="3F4811C8"/>
    <w:rsid w:val="3F520ACF"/>
    <w:rsid w:val="3F680170"/>
    <w:rsid w:val="3F866B9B"/>
    <w:rsid w:val="3F8D215D"/>
    <w:rsid w:val="3F971B44"/>
    <w:rsid w:val="3F9F3D14"/>
    <w:rsid w:val="3FA852C2"/>
    <w:rsid w:val="3FF03919"/>
    <w:rsid w:val="40041162"/>
    <w:rsid w:val="400A4D50"/>
    <w:rsid w:val="400F23B0"/>
    <w:rsid w:val="40141B38"/>
    <w:rsid w:val="401D1BDD"/>
    <w:rsid w:val="40451A25"/>
    <w:rsid w:val="404863C7"/>
    <w:rsid w:val="40494FF1"/>
    <w:rsid w:val="406B238B"/>
    <w:rsid w:val="406C4AA0"/>
    <w:rsid w:val="4077612D"/>
    <w:rsid w:val="409D4187"/>
    <w:rsid w:val="40B10137"/>
    <w:rsid w:val="40C02804"/>
    <w:rsid w:val="40CC4B31"/>
    <w:rsid w:val="40CF0CB5"/>
    <w:rsid w:val="40D26927"/>
    <w:rsid w:val="40D75974"/>
    <w:rsid w:val="40D86B76"/>
    <w:rsid w:val="40DE5D76"/>
    <w:rsid w:val="40E340D5"/>
    <w:rsid w:val="41140BBF"/>
    <w:rsid w:val="4123565E"/>
    <w:rsid w:val="41261EF1"/>
    <w:rsid w:val="413F4F10"/>
    <w:rsid w:val="414B25BB"/>
    <w:rsid w:val="414C20D8"/>
    <w:rsid w:val="4151461A"/>
    <w:rsid w:val="415509C7"/>
    <w:rsid w:val="415C117C"/>
    <w:rsid w:val="416F15A7"/>
    <w:rsid w:val="417317CC"/>
    <w:rsid w:val="418A57F5"/>
    <w:rsid w:val="41D211EF"/>
    <w:rsid w:val="41D3418A"/>
    <w:rsid w:val="41EE7DB7"/>
    <w:rsid w:val="42195FE7"/>
    <w:rsid w:val="422A1D20"/>
    <w:rsid w:val="4231577F"/>
    <w:rsid w:val="42366BD0"/>
    <w:rsid w:val="424741EF"/>
    <w:rsid w:val="426052B1"/>
    <w:rsid w:val="42674891"/>
    <w:rsid w:val="426C1EA8"/>
    <w:rsid w:val="42754B86"/>
    <w:rsid w:val="428D0F1E"/>
    <w:rsid w:val="428E673F"/>
    <w:rsid w:val="42A90F8A"/>
    <w:rsid w:val="42B46641"/>
    <w:rsid w:val="42B7212F"/>
    <w:rsid w:val="42BA5A48"/>
    <w:rsid w:val="42BF022A"/>
    <w:rsid w:val="42CD2047"/>
    <w:rsid w:val="42D548B2"/>
    <w:rsid w:val="433444BE"/>
    <w:rsid w:val="434642C4"/>
    <w:rsid w:val="43486471"/>
    <w:rsid w:val="435C016E"/>
    <w:rsid w:val="4373111A"/>
    <w:rsid w:val="438C45B0"/>
    <w:rsid w:val="43995319"/>
    <w:rsid w:val="43A00155"/>
    <w:rsid w:val="43A777DD"/>
    <w:rsid w:val="43AD30D9"/>
    <w:rsid w:val="43BE1464"/>
    <w:rsid w:val="44136A91"/>
    <w:rsid w:val="4415331C"/>
    <w:rsid w:val="445C6678"/>
    <w:rsid w:val="44636FD6"/>
    <w:rsid w:val="44783CA2"/>
    <w:rsid w:val="447B6FEE"/>
    <w:rsid w:val="44955430"/>
    <w:rsid w:val="44A0418F"/>
    <w:rsid w:val="44CB68BE"/>
    <w:rsid w:val="44D74780"/>
    <w:rsid w:val="44DA3C1C"/>
    <w:rsid w:val="44E853AF"/>
    <w:rsid w:val="451A7565"/>
    <w:rsid w:val="4533455A"/>
    <w:rsid w:val="45455874"/>
    <w:rsid w:val="45512C1C"/>
    <w:rsid w:val="458D68F8"/>
    <w:rsid w:val="458E2609"/>
    <w:rsid w:val="45944EEB"/>
    <w:rsid w:val="459C31A9"/>
    <w:rsid w:val="45B36E54"/>
    <w:rsid w:val="45B812BA"/>
    <w:rsid w:val="45BA1987"/>
    <w:rsid w:val="45C03236"/>
    <w:rsid w:val="45C639D0"/>
    <w:rsid w:val="460E6415"/>
    <w:rsid w:val="46225C28"/>
    <w:rsid w:val="46564356"/>
    <w:rsid w:val="468B1C77"/>
    <w:rsid w:val="469817EC"/>
    <w:rsid w:val="46A3524F"/>
    <w:rsid w:val="46B6601E"/>
    <w:rsid w:val="46BA0466"/>
    <w:rsid w:val="46BC7B89"/>
    <w:rsid w:val="46D465D2"/>
    <w:rsid w:val="46DB235C"/>
    <w:rsid w:val="46E67178"/>
    <w:rsid w:val="46F57E8D"/>
    <w:rsid w:val="46FD670E"/>
    <w:rsid w:val="47040C1D"/>
    <w:rsid w:val="47090FBF"/>
    <w:rsid w:val="471C48ED"/>
    <w:rsid w:val="47291176"/>
    <w:rsid w:val="472A44F4"/>
    <w:rsid w:val="472F2FE0"/>
    <w:rsid w:val="4730023D"/>
    <w:rsid w:val="474B7309"/>
    <w:rsid w:val="476C2D38"/>
    <w:rsid w:val="476E1C3B"/>
    <w:rsid w:val="477146B4"/>
    <w:rsid w:val="47762C43"/>
    <w:rsid w:val="477D1C51"/>
    <w:rsid w:val="47840846"/>
    <w:rsid w:val="47870A1C"/>
    <w:rsid w:val="478A5E5E"/>
    <w:rsid w:val="478B6593"/>
    <w:rsid w:val="479A337D"/>
    <w:rsid w:val="47AE37FD"/>
    <w:rsid w:val="47BE1861"/>
    <w:rsid w:val="47CC26D5"/>
    <w:rsid w:val="47D47732"/>
    <w:rsid w:val="47DE4850"/>
    <w:rsid w:val="47E07506"/>
    <w:rsid w:val="47E50526"/>
    <w:rsid w:val="4833202B"/>
    <w:rsid w:val="483C693A"/>
    <w:rsid w:val="485B06F9"/>
    <w:rsid w:val="486D4D6E"/>
    <w:rsid w:val="486E218C"/>
    <w:rsid w:val="486E2831"/>
    <w:rsid w:val="48723740"/>
    <w:rsid w:val="48931F3C"/>
    <w:rsid w:val="48992F8E"/>
    <w:rsid w:val="48B83D87"/>
    <w:rsid w:val="48BD76AE"/>
    <w:rsid w:val="48C47B15"/>
    <w:rsid w:val="48DA406C"/>
    <w:rsid w:val="48DD78D5"/>
    <w:rsid w:val="48E5136B"/>
    <w:rsid w:val="49072A12"/>
    <w:rsid w:val="490741F8"/>
    <w:rsid w:val="49093A36"/>
    <w:rsid w:val="490E339D"/>
    <w:rsid w:val="491C7BB9"/>
    <w:rsid w:val="49326912"/>
    <w:rsid w:val="493506D9"/>
    <w:rsid w:val="494871CB"/>
    <w:rsid w:val="495F4514"/>
    <w:rsid w:val="4985210C"/>
    <w:rsid w:val="49853CE3"/>
    <w:rsid w:val="49A911AF"/>
    <w:rsid w:val="49B0312D"/>
    <w:rsid w:val="49B20924"/>
    <w:rsid w:val="49B87E40"/>
    <w:rsid w:val="49BA3DD4"/>
    <w:rsid w:val="49C7267B"/>
    <w:rsid w:val="49C82DF4"/>
    <w:rsid w:val="49CC5058"/>
    <w:rsid w:val="49DD07D3"/>
    <w:rsid w:val="4A0140F1"/>
    <w:rsid w:val="4A0F7FD3"/>
    <w:rsid w:val="4A37282C"/>
    <w:rsid w:val="4A5F5979"/>
    <w:rsid w:val="4A727C06"/>
    <w:rsid w:val="4A801B8C"/>
    <w:rsid w:val="4A8A2CA9"/>
    <w:rsid w:val="4AA72579"/>
    <w:rsid w:val="4AE221F8"/>
    <w:rsid w:val="4AF16C96"/>
    <w:rsid w:val="4B051367"/>
    <w:rsid w:val="4B0918C0"/>
    <w:rsid w:val="4B200AE9"/>
    <w:rsid w:val="4B6D10E5"/>
    <w:rsid w:val="4B7575B0"/>
    <w:rsid w:val="4B783ACB"/>
    <w:rsid w:val="4B897ED9"/>
    <w:rsid w:val="4B8E1A21"/>
    <w:rsid w:val="4B92472D"/>
    <w:rsid w:val="4B9F6240"/>
    <w:rsid w:val="4BA5321D"/>
    <w:rsid w:val="4BF80E1E"/>
    <w:rsid w:val="4BF86071"/>
    <w:rsid w:val="4C0C00D3"/>
    <w:rsid w:val="4C123582"/>
    <w:rsid w:val="4C1A5754"/>
    <w:rsid w:val="4C40770E"/>
    <w:rsid w:val="4C4919A2"/>
    <w:rsid w:val="4C4926ED"/>
    <w:rsid w:val="4C537B9A"/>
    <w:rsid w:val="4C5432CB"/>
    <w:rsid w:val="4C547C35"/>
    <w:rsid w:val="4C8471C1"/>
    <w:rsid w:val="4CA65297"/>
    <w:rsid w:val="4CBA64C6"/>
    <w:rsid w:val="4CC6780A"/>
    <w:rsid w:val="4CC92BA9"/>
    <w:rsid w:val="4CD27561"/>
    <w:rsid w:val="4CD45EF9"/>
    <w:rsid w:val="4CE216E4"/>
    <w:rsid w:val="4CF93B9E"/>
    <w:rsid w:val="4D035E0B"/>
    <w:rsid w:val="4D12760D"/>
    <w:rsid w:val="4D183845"/>
    <w:rsid w:val="4D1A1F10"/>
    <w:rsid w:val="4D1A70D0"/>
    <w:rsid w:val="4D1B5153"/>
    <w:rsid w:val="4D263103"/>
    <w:rsid w:val="4D2E534F"/>
    <w:rsid w:val="4D3B5BD6"/>
    <w:rsid w:val="4D3D0FAA"/>
    <w:rsid w:val="4D4653AB"/>
    <w:rsid w:val="4D4F7B32"/>
    <w:rsid w:val="4D5F24F5"/>
    <w:rsid w:val="4D786F2F"/>
    <w:rsid w:val="4D7E286E"/>
    <w:rsid w:val="4DAC18F9"/>
    <w:rsid w:val="4DB32359"/>
    <w:rsid w:val="4DB97078"/>
    <w:rsid w:val="4DBF5831"/>
    <w:rsid w:val="4DD83D21"/>
    <w:rsid w:val="4DDF5C24"/>
    <w:rsid w:val="4E18182B"/>
    <w:rsid w:val="4E296854"/>
    <w:rsid w:val="4E5B33AA"/>
    <w:rsid w:val="4E6234D7"/>
    <w:rsid w:val="4E6F07E7"/>
    <w:rsid w:val="4E735472"/>
    <w:rsid w:val="4E783BE2"/>
    <w:rsid w:val="4E871F8B"/>
    <w:rsid w:val="4E92395D"/>
    <w:rsid w:val="4EBB3F9B"/>
    <w:rsid w:val="4EC67AB9"/>
    <w:rsid w:val="4ECA4853"/>
    <w:rsid w:val="4ED01AA8"/>
    <w:rsid w:val="4ED032D6"/>
    <w:rsid w:val="4EDE526A"/>
    <w:rsid w:val="4EF47826"/>
    <w:rsid w:val="4EFD19BA"/>
    <w:rsid w:val="4F0C2B30"/>
    <w:rsid w:val="4F0D258B"/>
    <w:rsid w:val="4F1232FE"/>
    <w:rsid w:val="4F2D021D"/>
    <w:rsid w:val="4F3C2A32"/>
    <w:rsid w:val="4F4435DE"/>
    <w:rsid w:val="4F653222"/>
    <w:rsid w:val="4F8447A9"/>
    <w:rsid w:val="4F851154"/>
    <w:rsid w:val="4FA13664"/>
    <w:rsid w:val="4FAB6FBE"/>
    <w:rsid w:val="4FB915A8"/>
    <w:rsid w:val="4FB94469"/>
    <w:rsid w:val="4FBD28A4"/>
    <w:rsid w:val="4FD1646B"/>
    <w:rsid w:val="4FDB0675"/>
    <w:rsid w:val="4FE0030F"/>
    <w:rsid w:val="4FEB4D54"/>
    <w:rsid w:val="4FFB3E1E"/>
    <w:rsid w:val="50040CDD"/>
    <w:rsid w:val="500E5726"/>
    <w:rsid w:val="50117F8D"/>
    <w:rsid w:val="503752D6"/>
    <w:rsid w:val="504145CE"/>
    <w:rsid w:val="505928DE"/>
    <w:rsid w:val="506744D0"/>
    <w:rsid w:val="507924FA"/>
    <w:rsid w:val="507D6A51"/>
    <w:rsid w:val="50830ADD"/>
    <w:rsid w:val="50915048"/>
    <w:rsid w:val="50AF416D"/>
    <w:rsid w:val="50BF5CCD"/>
    <w:rsid w:val="50CA3874"/>
    <w:rsid w:val="50CB1085"/>
    <w:rsid w:val="50CC1D86"/>
    <w:rsid w:val="50E4050A"/>
    <w:rsid w:val="50F64FA2"/>
    <w:rsid w:val="51020E49"/>
    <w:rsid w:val="511107EA"/>
    <w:rsid w:val="511627F5"/>
    <w:rsid w:val="511968A2"/>
    <w:rsid w:val="511D56E3"/>
    <w:rsid w:val="512E1EE0"/>
    <w:rsid w:val="513B1CA6"/>
    <w:rsid w:val="51564248"/>
    <w:rsid w:val="515E526B"/>
    <w:rsid w:val="51730A5E"/>
    <w:rsid w:val="517D1A82"/>
    <w:rsid w:val="51867F6E"/>
    <w:rsid w:val="51AB24FB"/>
    <w:rsid w:val="51B37F72"/>
    <w:rsid w:val="51BD0B23"/>
    <w:rsid w:val="51C62530"/>
    <w:rsid w:val="51D76EA8"/>
    <w:rsid w:val="51EA0664"/>
    <w:rsid w:val="52270914"/>
    <w:rsid w:val="52312CE9"/>
    <w:rsid w:val="523621C0"/>
    <w:rsid w:val="52392D6D"/>
    <w:rsid w:val="5242384B"/>
    <w:rsid w:val="524E4C50"/>
    <w:rsid w:val="52543869"/>
    <w:rsid w:val="525B4262"/>
    <w:rsid w:val="526E401C"/>
    <w:rsid w:val="528A589E"/>
    <w:rsid w:val="52C40E7D"/>
    <w:rsid w:val="52C700F3"/>
    <w:rsid w:val="52D37D91"/>
    <w:rsid w:val="52D9700B"/>
    <w:rsid w:val="52E30194"/>
    <w:rsid w:val="52F54973"/>
    <w:rsid w:val="52F55206"/>
    <w:rsid w:val="53095457"/>
    <w:rsid w:val="53120E1C"/>
    <w:rsid w:val="531578E6"/>
    <w:rsid w:val="534C3D5B"/>
    <w:rsid w:val="535546F1"/>
    <w:rsid w:val="53592CA2"/>
    <w:rsid w:val="536243D9"/>
    <w:rsid w:val="53701CD0"/>
    <w:rsid w:val="537F0AD0"/>
    <w:rsid w:val="538B18EA"/>
    <w:rsid w:val="538B30F4"/>
    <w:rsid w:val="53924018"/>
    <w:rsid w:val="53AE3C8B"/>
    <w:rsid w:val="53BA3F85"/>
    <w:rsid w:val="53C658BC"/>
    <w:rsid w:val="53E07D82"/>
    <w:rsid w:val="53E10C70"/>
    <w:rsid w:val="541F4FCC"/>
    <w:rsid w:val="54226AF5"/>
    <w:rsid w:val="543603EA"/>
    <w:rsid w:val="543F11CA"/>
    <w:rsid w:val="544113E6"/>
    <w:rsid w:val="544F5A06"/>
    <w:rsid w:val="54596730"/>
    <w:rsid w:val="54667ED2"/>
    <w:rsid w:val="54782957"/>
    <w:rsid w:val="547C0104"/>
    <w:rsid w:val="54C94210"/>
    <w:rsid w:val="54EA7434"/>
    <w:rsid w:val="54F74D23"/>
    <w:rsid w:val="54FF1CA9"/>
    <w:rsid w:val="55355E1E"/>
    <w:rsid w:val="55455C00"/>
    <w:rsid w:val="555C68D6"/>
    <w:rsid w:val="555D498A"/>
    <w:rsid w:val="555F7078"/>
    <w:rsid w:val="556A795F"/>
    <w:rsid w:val="55867FD4"/>
    <w:rsid w:val="5588432B"/>
    <w:rsid w:val="55893C17"/>
    <w:rsid w:val="55950258"/>
    <w:rsid w:val="559B5C41"/>
    <w:rsid w:val="559D1B19"/>
    <w:rsid w:val="55B2710A"/>
    <w:rsid w:val="55B5140E"/>
    <w:rsid w:val="55BF3D68"/>
    <w:rsid w:val="55C37EE0"/>
    <w:rsid w:val="55D65B5E"/>
    <w:rsid w:val="55DA3FC2"/>
    <w:rsid w:val="55E35584"/>
    <w:rsid w:val="55E67218"/>
    <w:rsid w:val="55EB160A"/>
    <w:rsid w:val="560D61AD"/>
    <w:rsid w:val="561E7A4E"/>
    <w:rsid w:val="56370729"/>
    <w:rsid w:val="5641747C"/>
    <w:rsid w:val="56513437"/>
    <w:rsid w:val="566F5C7F"/>
    <w:rsid w:val="567745B9"/>
    <w:rsid w:val="56796852"/>
    <w:rsid w:val="56864461"/>
    <w:rsid w:val="568E50AC"/>
    <w:rsid w:val="569F4768"/>
    <w:rsid w:val="56A13901"/>
    <w:rsid w:val="56B22398"/>
    <w:rsid w:val="56BC36E9"/>
    <w:rsid w:val="56E02AA0"/>
    <w:rsid w:val="56E42932"/>
    <w:rsid w:val="56EB7A9D"/>
    <w:rsid w:val="570B3295"/>
    <w:rsid w:val="570D4EF7"/>
    <w:rsid w:val="572715C0"/>
    <w:rsid w:val="573372D7"/>
    <w:rsid w:val="573509A4"/>
    <w:rsid w:val="57351377"/>
    <w:rsid w:val="575C02E5"/>
    <w:rsid w:val="57763A3A"/>
    <w:rsid w:val="578220BB"/>
    <w:rsid w:val="578F057B"/>
    <w:rsid w:val="57A033F4"/>
    <w:rsid w:val="57AB3334"/>
    <w:rsid w:val="57B974E6"/>
    <w:rsid w:val="57D13F02"/>
    <w:rsid w:val="57D47022"/>
    <w:rsid w:val="57D77EAC"/>
    <w:rsid w:val="57EA4F99"/>
    <w:rsid w:val="581D7A74"/>
    <w:rsid w:val="581E0219"/>
    <w:rsid w:val="58352FD6"/>
    <w:rsid w:val="585B2061"/>
    <w:rsid w:val="585E2E8E"/>
    <w:rsid w:val="58606E49"/>
    <w:rsid w:val="587A4A6D"/>
    <w:rsid w:val="58955A8F"/>
    <w:rsid w:val="58A27D00"/>
    <w:rsid w:val="58AC73F2"/>
    <w:rsid w:val="58C10DF3"/>
    <w:rsid w:val="58C71FBF"/>
    <w:rsid w:val="58CF3376"/>
    <w:rsid w:val="58DD41DB"/>
    <w:rsid w:val="58E61795"/>
    <w:rsid w:val="58E817C5"/>
    <w:rsid w:val="58F856B7"/>
    <w:rsid w:val="59213B4F"/>
    <w:rsid w:val="593F4E03"/>
    <w:rsid w:val="594902BC"/>
    <w:rsid w:val="596D102C"/>
    <w:rsid w:val="59A669D2"/>
    <w:rsid w:val="59B80F95"/>
    <w:rsid w:val="59BA2AD3"/>
    <w:rsid w:val="59CE45A2"/>
    <w:rsid w:val="59D01209"/>
    <w:rsid w:val="59D51B46"/>
    <w:rsid w:val="5A052851"/>
    <w:rsid w:val="5A296BF3"/>
    <w:rsid w:val="5A3C55C9"/>
    <w:rsid w:val="5A436FCF"/>
    <w:rsid w:val="5A6C62B6"/>
    <w:rsid w:val="5A6C6A91"/>
    <w:rsid w:val="5A905B1B"/>
    <w:rsid w:val="5AB206CF"/>
    <w:rsid w:val="5AC146FD"/>
    <w:rsid w:val="5AC97DB2"/>
    <w:rsid w:val="5AD74317"/>
    <w:rsid w:val="5AEF77BC"/>
    <w:rsid w:val="5AF74C04"/>
    <w:rsid w:val="5B1631F4"/>
    <w:rsid w:val="5B2B11D9"/>
    <w:rsid w:val="5B2F0744"/>
    <w:rsid w:val="5B334429"/>
    <w:rsid w:val="5B474E1C"/>
    <w:rsid w:val="5B572F13"/>
    <w:rsid w:val="5B667FE8"/>
    <w:rsid w:val="5B6A4E03"/>
    <w:rsid w:val="5B735EE3"/>
    <w:rsid w:val="5B7C44FF"/>
    <w:rsid w:val="5BB4134E"/>
    <w:rsid w:val="5BCE676F"/>
    <w:rsid w:val="5BDB0C8A"/>
    <w:rsid w:val="5BE87686"/>
    <w:rsid w:val="5BEA1CBA"/>
    <w:rsid w:val="5C003E5C"/>
    <w:rsid w:val="5C0056E3"/>
    <w:rsid w:val="5C1558DF"/>
    <w:rsid w:val="5C1718D7"/>
    <w:rsid w:val="5C19613E"/>
    <w:rsid w:val="5C340CC9"/>
    <w:rsid w:val="5C441DF9"/>
    <w:rsid w:val="5C46374B"/>
    <w:rsid w:val="5C4A6525"/>
    <w:rsid w:val="5C4F43B4"/>
    <w:rsid w:val="5C702249"/>
    <w:rsid w:val="5C7F5DD6"/>
    <w:rsid w:val="5C89382B"/>
    <w:rsid w:val="5C981123"/>
    <w:rsid w:val="5CA06D6F"/>
    <w:rsid w:val="5CA248BE"/>
    <w:rsid w:val="5CA51A3A"/>
    <w:rsid w:val="5CA554BE"/>
    <w:rsid w:val="5CAE6678"/>
    <w:rsid w:val="5CB536CD"/>
    <w:rsid w:val="5CB85FBE"/>
    <w:rsid w:val="5CCB6F31"/>
    <w:rsid w:val="5CD24FB3"/>
    <w:rsid w:val="5CF747F5"/>
    <w:rsid w:val="5CF91C19"/>
    <w:rsid w:val="5CFC7443"/>
    <w:rsid w:val="5D0703BF"/>
    <w:rsid w:val="5D252AFE"/>
    <w:rsid w:val="5D312413"/>
    <w:rsid w:val="5D743023"/>
    <w:rsid w:val="5D845EC8"/>
    <w:rsid w:val="5D92077F"/>
    <w:rsid w:val="5D9E0C01"/>
    <w:rsid w:val="5DAE148A"/>
    <w:rsid w:val="5DB7359B"/>
    <w:rsid w:val="5DD86131"/>
    <w:rsid w:val="5DE05771"/>
    <w:rsid w:val="5DE0757A"/>
    <w:rsid w:val="5DF9063C"/>
    <w:rsid w:val="5E336B86"/>
    <w:rsid w:val="5E355E4D"/>
    <w:rsid w:val="5E3D75B0"/>
    <w:rsid w:val="5E486D35"/>
    <w:rsid w:val="5E4F4172"/>
    <w:rsid w:val="5E602AC5"/>
    <w:rsid w:val="5E71234F"/>
    <w:rsid w:val="5E785F0B"/>
    <w:rsid w:val="5E7D3CAD"/>
    <w:rsid w:val="5E8720EC"/>
    <w:rsid w:val="5E87476B"/>
    <w:rsid w:val="5EAC6394"/>
    <w:rsid w:val="5EAD772C"/>
    <w:rsid w:val="5EAF519E"/>
    <w:rsid w:val="5EBC0A0D"/>
    <w:rsid w:val="5ECC7F63"/>
    <w:rsid w:val="5EEA2C84"/>
    <w:rsid w:val="5EEE3F19"/>
    <w:rsid w:val="5F021DC8"/>
    <w:rsid w:val="5F12017D"/>
    <w:rsid w:val="5F2A0408"/>
    <w:rsid w:val="5F3E6892"/>
    <w:rsid w:val="5F484FDA"/>
    <w:rsid w:val="5F4E3C99"/>
    <w:rsid w:val="5F561DD7"/>
    <w:rsid w:val="5F7001C6"/>
    <w:rsid w:val="5F8742B7"/>
    <w:rsid w:val="5F8845EE"/>
    <w:rsid w:val="5F9E3B36"/>
    <w:rsid w:val="5FAC52DD"/>
    <w:rsid w:val="5FE708A7"/>
    <w:rsid w:val="5FFB4B3F"/>
    <w:rsid w:val="601213D5"/>
    <w:rsid w:val="601C17D1"/>
    <w:rsid w:val="60343BAD"/>
    <w:rsid w:val="60355659"/>
    <w:rsid w:val="603713C5"/>
    <w:rsid w:val="604F1A38"/>
    <w:rsid w:val="60640AE5"/>
    <w:rsid w:val="606A3A73"/>
    <w:rsid w:val="60932FCA"/>
    <w:rsid w:val="611A056A"/>
    <w:rsid w:val="611D7D3D"/>
    <w:rsid w:val="614976F9"/>
    <w:rsid w:val="61572E9F"/>
    <w:rsid w:val="618C117F"/>
    <w:rsid w:val="61AC5215"/>
    <w:rsid w:val="61E1087F"/>
    <w:rsid w:val="61FF5D59"/>
    <w:rsid w:val="62137998"/>
    <w:rsid w:val="62287BA8"/>
    <w:rsid w:val="624D387D"/>
    <w:rsid w:val="62690CFA"/>
    <w:rsid w:val="626A25B8"/>
    <w:rsid w:val="626D26BD"/>
    <w:rsid w:val="62730797"/>
    <w:rsid w:val="628F5A13"/>
    <w:rsid w:val="629852EC"/>
    <w:rsid w:val="62A57FE5"/>
    <w:rsid w:val="62C531E2"/>
    <w:rsid w:val="62C7735F"/>
    <w:rsid w:val="62CE653B"/>
    <w:rsid w:val="62D20789"/>
    <w:rsid w:val="62DA0FEA"/>
    <w:rsid w:val="62FD297C"/>
    <w:rsid w:val="62FD4EEF"/>
    <w:rsid w:val="63096C56"/>
    <w:rsid w:val="63286B80"/>
    <w:rsid w:val="6329194E"/>
    <w:rsid w:val="633177BF"/>
    <w:rsid w:val="634B7575"/>
    <w:rsid w:val="6355104B"/>
    <w:rsid w:val="63592802"/>
    <w:rsid w:val="635A3FA4"/>
    <w:rsid w:val="63705785"/>
    <w:rsid w:val="637475BA"/>
    <w:rsid w:val="637D1579"/>
    <w:rsid w:val="63876185"/>
    <w:rsid w:val="63883978"/>
    <w:rsid w:val="63937D1E"/>
    <w:rsid w:val="63944452"/>
    <w:rsid w:val="639B3C7C"/>
    <w:rsid w:val="63AD0CD9"/>
    <w:rsid w:val="63C7154E"/>
    <w:rsid w:val="63CC7CDC"/>
    <w:rsid w:val="63E1404C"/>
    <w:rsid w:val="63EC19A9"/>
    <w:rsid w:val="642347C9"/>
    <w:rsid w:val="644D6D6F"/>
    <w:rsid w:val="645E744B"/>
    <w:rsid w:val="647345AD"/>
    <w:rsid w:val="647E2D4E"/>
    <w:rsid w:val="64840FD5"/>
    <w:rsid w:val="648629FD"/>
    <w:rsid w:val="64953C6E"/>
    <w:rsid w:val="64954CE6"/>
    <w:rsid w:val="64963E8E"/>
    <w:rsid w:val="64982604"/>
    <w:rsid w:val="64B52694"/>
    <w:rsid w:val="64C0419F"/>
    <w:rsid w:val="64D9541C"/>
    <w:rsid w:val="64F021A5"/>
    <w:rsid w:val="650D6F1E"/>
    <w:rsid w:val="65114C8C"/>
    <w:rsid w:val="653D462A"/>
    <w:rsid w:val="655A4C4D"/>
    <w:rsid w:val="65791AB5"/>
    <w:rsid w:val="658553BE"/>
    <w:rsid w:val="65A6577F"/>
    <w:rsid w:val="65C86EBD"/>
    <w:rsid w:val="65CA612A"/>
    <w:rsid w:val="65D5430D"/>
    <w:rsid w:val="65D62E69"/>
    <w:rsid w:val="65F9322B"/>
    <w:rsid w:val="660F316B"/>
    <w:rsid w:val="661F4DA3"/>
    <w:rsid w:val="66203C2B"/>
    <w:rsid w:val="66401AD0"/>
    <w:rsid w:val="666C51AD"/>
    <w:rsid w:val="667C1E0A"/>
    <w:rsid w:val="667D513F"/>
    <w:rsid w:val="668377F6"/>
    <w:rsid w:val="669F34EF"/>
    <w:rsid w:val="66DB1269"/>
    <w:rsid w:val="66DC3258"/>
    <w:rsid w:val="66F00269"/>
    <w:rsid w:val="66FD73EF"/>
    <w:rsid w:val="67095455"/>
    <w:rsid w:val="671D3860"/>
    <w:rsid w:val="672874B4"/>
    <w:rsid w:val="672A7514"/>
    <w:rsid w:val="672C383E"/>
    <w:rsid w:val="673D17C5"/>
    <w:rsid w:val="67572FDD"/>
    <w:rsid w:val="67575958"/>
    <w:rsid w:val="67660D6D"/>
    <w:rsid w:val="677B6120"/>
    <w:rsid w:val="677C26D4"/>
    <w:rsid w:val="67BD7AA6"/>
    <w:rsid w:val="67DE48C0"/>
    <w:rsid w:val="67E52A38"/>
    <w:rsid w:val="67E62E78"/>
    <w:rsid w:val="67F72DC5"/>
    <w:rsid w:val="68156031"/>
    <w:rsid w:val="68187805"/>
    <w:rsid w:val="681C38A5"/>
    <w:rsid w:val="682901D1"/>
    <w:rsid w:val="68314076"/>
    <w:rsid w:val="683C257E"/>
    <w:rsid w:val="68423016"/>
    <w:rsid w:val="68534D38"/>
    <w:rsid w:val="685C0145"/>
    <w:rsid w:val="688A5D07"/>
    <w:rsid w:val="688D20F3"/>
    <w:rsid w:val="688E2F69"/>
    <w:rsid w:val="689A1A0C"/>
    <w:rsid w:val="68CB45FA"/>
    <w:rsid w:val="68CC5325"/>
    <w:rsid w:val="68D66648"/>
    <w:rsid w:val="68FC7232"/>
    <w:rsid w:val="69011B1E"/>
    <w:rsid w:val="6907305E"/>
    <w:rsid w:val="691536F7"/>
    <w:rsid w:val="69285902"/>
    <w:rsid w:val="69305D3F"/>
    <w:rsid w:val="69395130"/>
    <w:rsid w:val="694A4364"/>
    <w:rsid w:val="6A0D7FD7"/>
    <w:rsid w:val="6A1E3BFD"/>
    <w:rsid w:val="6A1F6111"/>
    <w:rsid w:val="6A233E25"/>
    <w:rsid w:val="6A4E5E5F"/>
    <w:rsid w:val="6A5634F5"/>
    <w:rsid w:val="6A5D2D93"/>
    <w:rsid w:val="6A6C78D9"/>
    <w:rsid w:val="6A8973AB"/>
    <w:rsid w:val="6A8E4769"/>
    <w:rsid w:val="6A906BF4"/>
    <w:rsid w:val="6AA06EE0"/>
    <w:rsid w:val="6AA24C06"/>
    <w:rsid w:val="6ABC7BF2"/>
    <w:rsid w:val="6AEC59BB"/>
    <w:rsid w:val="6AF426CF"/>
    <w:rsid w:val="6B032AFA"/>
    <w:rsid w:val="6B0F19F7"/>
    <w:rsid w:val="6B246AAF"/>
    <w:rsid w:val="6B2D3471"/>
    <w:rsid w:val="6B3D17AC"/>
    <w:rsid w:val="6B515A30"/>
    <w:rsid w:val="6B543089"/>
    <w:rsid w:val="6B61452C"/>
    <w:rsid w:val="6B700E86"/>
    <w:rsid w:val="6B874F2E"/>
    <w:rsid w:val="6BA7108F"/>
    <w:rsid w:val="6BAE665C"/>
    <w:rsid w:val="6BCF6E80"/>
    <w:rsid w:val="6BE013B2"/>
    <w:rsid w:val="6BF558C3"/>
    <w:rsid w:val="6C07328F"/>
    <w:rsid w:val="6C0B4C5B"/>
    <w:rsid w:val="6C207AB8"/>
    <w:rsid w:val="6C256D62"/>
    <w:rsid w:val="6C2759EE"/>
    <w:rsid w:val="6C2F15A9"/>
    <w:rsid w:val="6C3E7807"/>
    <w:rsid w:val="6C41081F"/>
    <w:rsid w:val="6C8A5486"/>
    <w:rsid w:val="6C90073A"/>
    <w:rsid w:val="6C924135"/>
    <w:rsid w:val="6CA32980"/>
    <w:rsid w:val="6CA92B9F"/>
    <w:rsid w:val="6CB01A34"/>
    <w:rsid w:val="6CBB4B1A"/>
    <w:rsid w:val="6CBD72D4"/>
    <w:rsid w:val="6CEB7CE9"/>
    <w:rsid w:val="6CF51179"/>
    <w:rsid w:val="6CFA3688"/>
    <w:rsid w:val="6D1235F0"/>
    <w:rsid w:val="6D1F3D2C"/>
    <w:rsid w:val="6D285F5E"/>
    <w:rsid w:val="6D2F524A"/>
    <w:rsid w:val="6D3719A0"/>
    <w:rsid w:val="6D45564C"/>
    <w:rsid w:val="6D483E52"/>
    <w:rsid w:val="6D4E43C0"/>
    <w:rsid w:val="6D98776A"/>
    <w:rsid w:val="6D9D50C2"/>
    <w:rsid w:val="6D9E6A3E"/>
    <w:rsid w:val="6DA73C10"/>
    <w:rsid w:val="6DBA4F44"/>
    <w:rsid w:val="6DBF0DA1"/>
    <w:rsid w:val="6DCE0633"/>
    <w:rsid w:val="6DFF1E4A"/>
    <w:rsid w:val="6E021CD0"/>
    <w:rsid w:val="6E2D1472"/>
    <w:rsid w:val="6E4F6569"/>
    <w:rsid w:val="6E53781F"/>
    <w:rsid w:val="6E58025B"/>
    <w:rsid w:val="6E673C64"/>
    <w:rsid w:val="6E706AF2"/>
    <w:rsid w:val="6E9F6FDD"/>
    <w:rsid w:val="6EAD702B"/>
    <w:rsid w:val="6EBA698D"/>
    <w:rsid w:val="6ED0091A"/>
    <w:rsid w:val="6EEB3FD1"/>
    <w:rsid w:val="6EF40D1D"/>
    <w:rsid w:val="6F0947D3"/>
    <w:rsid w:val="6F12155D"/>
    <w:rsid w:val="6F123208"/>
    <w:rsid w:val="6F290AEF"/>
    <w:rsid w:val="6F4B35EC"/>
    <w:rsid w:val="6F5303D7"/>
    <w:rsid w:val="6F775130"/>
    <w:rsid w:val="6F842927"/>
    <w:rsid w:val="6F98054F"/>
    <w:rsid w:val="6FC46EC2"/>
    <w:rsid w:val="6FC64818"/>
    <w:rsid w:val="6FC719B5"/>
    <w:rsid w:val="6FD90DDB"/>
    <w:rsid w:val="6FE50A20"/>
    <w:rsid w:val="6FFB6495"/>
    <w:rsid w:val="7007343E"/>
    <w:rsid w:val="700C1F67"/>
    <w:rsid w:val="7010585C"/>
    <w:rsid w:val="702A43B7"/>
    <w:rsid w:val="703019DA"/>
    <w:rsid w:val="703C38CA"/>
    <w:rsid w:val="70425F89"/>
    <w:rsid w:val="706B6E72"/>
    <w:rsid w:val="707A0DD5"/>
    <w:rsid w:val="707A32C8"/>
    <w:rsid w:val="7095611A"/>
    <w:rsid w:val="709A35CE"/>
    <w:rsid w:val="70A803E6"/>
    <w:rsid w:val="70BD374B"/>
    <w:rsid w:val="70CD2476"/>
    <w:rsid w:val="70FA6CE8"/>
    <w:rsid w:val="71057F94"/>
    <w:rsid w:val="71556670"/>
    <w:rsid w:val="71667B53"/>
    <w:rsid w:val="71844509"/>
    <w:rsid w:val="71AE7668"/>
    <w:rsid w:val="71BD4F0F"/>
    <w:rsid w:val="71F022DB"/>
    <w:rsid w:val="71F12C22"/>
    <w:rsid w:val="71FD7F07"/>
    <w:rsid w:val="72000A04"/>
    <w:rsid w:val="720A3876"/>
    <w:rsid w:val="720A6E64"/>
    <w:rsid w:val="721B3156"/>
    <w:rsid w:val="72295831"/>
    <w:rsid w:val="724C732D"/>
    <w:rsid w:val="725C73C6"/>
    <w:rsid w:val="7267005D"/>
    <w:rsid w:val="728152EA"/>
    <w:rsid w:val="7286121A"/>
    <w:rsid w:val="729B5501"/>
    <w:rsid w:val="72A03FD0"/>
    <w:rsid w:val="72A35DD0"/>
    <w:rsid w:val="72AF5535"/>
    <w:rsid w:val="72B40E9E"/>
    <w:rsid w:val="72B765DD"/>
    <w:rsid w:val="72BA2140"/>
    <w:rsid w:val="72DD3127"/>
    <w:rsid w:val="72F1592E"/>
    <w:rsid w:val="731117A1"/>
    <w:rsid w:val="73153DF4"/>
    <w:rsid w:val="731C6EE4"/>
    <w:rsid w:val="733A38F8"/>
    <w:rsid w:val="733E7CC9"/>
    <w:rsid w:val="73455833"/>
    <w:rsid w:val="7347269C"/>
    <w:rsid w:val="73922BF0"/>
    <w:rsid w:val="73A66FC2"/>
    <w:rsid w:val="73A83D60"/>
    <w:rsid w:val="73AA26AC"/>
    <w:rsid w:val="73C63E2C"/>
    <w:rsid w:val="73D414D7"/>
    <w:rsid w:val="73D8623F"/>
    <w:rsid w:val="73EA6E93"/>
    <w:rsid w:val="73F10A71"/>
    <w:rsid w:val="73F33CEF"/>
    <w:rsid w:val="73FD5FFB"/>
    <w:rsid w:val="74116287"/>
    <w:rsid w:val="7423086B"/>
    <w:rsid w:val="74540039"/>
    <w:rsid w:val="747A27D3"/>
    <w:rsid w:val="74914322"/>
    <w:rsid w:val="749E012C"/>
    <w:rsid w:val="74A063F8"/>
    <w:rsid w:val="74D84D3D"/>
    <w:rsid w:val="74F834F4"/>
    <w:rsid w:val="75015E1A"/>
    <w:rsid w:val="751553CA"/>
    <w:rsid w:val="75196E5A"/>
    <w:rsid w:val="75224BA1"/>
    <w:rsid w:val="756230FE"/>
    <w:rsid w:val="756A3114"/>
    <w:rsid w:val="75711307"/>
    <w:rsid w:val="758812E9"/>
    <w:rsid w:val="758F6E2D"/>
    <w:rsid w:val="759C7AD8"/>
    <w:rsid w:val="75BF762C"/>
    <w:rsid w:val="75D926D3"/>
    <w:rsid w:val="75E10D08"/>
    <w:rsid w:val="75E63744"/>
    <w:rsid w:val="75F9153B"/>
    <w:rsid w:val="75FB2081"/>
    <w:rsid w:val="76197675"/>
    <w:rsid w:val="76390A9B"/>
    <w:rsid w:val="76441569"/>
    <w:rsid w:val="76454623"/>
    <w:rsid w:val="764E7CA1"/>
    <w:rsid w:val="768175E3"/>
    <w:rsid w:val="768A5DB5"/>
    <w:rsid w:val="76A51C8E"/>
    <w:rsid w:val="76AF1D88"/>
    <w:rsid w:val="76BB3939"/>
    <w:rsid w:val="76C32125"/>
    <w:rsid w:val="76DE4ECC"/>
    <w:rsid w:val="76E241D9"/>
    <w:rsid w:val="76E62014"/>
    <w:rsid w:val="76E95F9A"/>
    <w:rsid w:val="76EC182D"/>
    <w:rsid w:val="76F679B7"/>
    <w:rsid w:val="7704302A"/>
    <w:rsid w:val="7711659E"/>
    <w:rsid w:val="77341CC5"/>
    <w:rsid w:val="7746242B"/>
    <w:rsid w:val="775C74E4"/>
    <w:rsid w:val="7761761F"/>
    <w:rsid w:val="7777682A"/>
    <w:rsid w:val="777D03C4"/>
    <w:rsid w:val="777D6E0F"/>
    <w:rsid w:val="779A216F"/>
    <w:rsid w:val="77A91AFA"/>
    <w:rsid w:val="77B47B2C"/>
    <w:rsid w:val="77D0440F"/>
    <w:rsid w:val="77D5743C"/>
    <w:rsid w:val="7806404F"/>
    <w:rsid w:val="781072C7"/>
    <w:rsid w:val="781E1B23"/>
    <w:rsid w:val="781E56AB"/>
    <w:rsid w:val="78220386"/>
    <w:rsid w:val="78504730"/>
    <w:rsid w:val="78511348"/>
    <w:rsid w:val="785F0FE5"/>
    <w:rsid w:val="78623CFE"/>
    <w:rsid w:val="786B7671"/>
    <w:rsid w:val="787952CA"/>
    <w:rsid w:val="78A20866"/>
    <w:rsid w:val="78AF08A8"/>
    <w:rsid w:val="78B700AC"/>
    <w:rsid w:val="78BF4158"/>
    <w:rsid w:val="78ED03A9"/>
    <w:rsid w:val="79070F29"/>
    <w:rsid w:val="790A0050"/>
    <w:rsid w:val="7933431B"/>
    <w:rsid w:val="7956298E"/>
    <w:rsid w:val="797A355C"/>
    <w:rsid w:val="79816888"/>
    <w:rsid w:val="798F56F7"/>
    <w:rsid w:val="79A714F3"/>
    <w:rsid w:val="79AA2080"/>
    <w:rsid w:val="79B6548A"/>
    <w:rsid w:val="79B93076"/>
    <w:rsid w:val="79BA3694"/>
    <w:rsid w:val="79D42129"/>
    <w:rsid w:val="7A093B84"/>
    <w:rsid w:val="7A1A18ED"/>
    <w:rsid w:val="7A3F6ECA"/>
    <w:rsid w:val="7A455E8B"/>
    <w:rsid w:val="7A49707A"/>
    <w:rsid w:val="7A6E2CA1"/>
    <w:rsid w:val="7AA53BCD"/>
    <w:rsid w:val="7AC7421E"/>
    <w:rsid w:val="7ACC1F32"/>
    <w:rsid w:val="7B281DBD"/>
    <w:rsid w:val="7B3779E7"/>
    <w:rsid w:val="7B48517F"/>
    <w:rsid w:val="7B52074D"/>
    <w:rsid w:val="7B59248F"/>
    <w:rsid w:val="7B667433"/>
    <w:rsid w:val="7B73137B"/>
    <w:rsid w:val="7B8E257B"/>
    <w:rsid w:val="7BDC7CD0"/>
    <w:rsid w:val="7C026BE2"/>
    <w:rsid w:val="7C116238"/>
    <w:rsid w:val="7C1D6B03"/>
    <w:rsid w:val="7C302AD1"/>
    <w:rsid w:val="7C360F75"/>
    <w:rsid w:val="7C361722"/>
    <w:rsid w:val="7C4D1E27"/>
    <w:rsid w:val="7C6A042E"/>
    <w:rsid w:val="7C705B15"/>
    <w:rsid w:val="7C953256"/>
    <w:rsid w:val="7CA17EFE"/>
    <w:rsid w:val="7CA33BC1"/>
    <w:rsid w:val="7CA64E99"/>
    <w:rsid w:val="7CAD1A5A"/>
    <w:rsid w:val="7CB20F08"/>
    <w:rsid w:val="7CD90F85"/>
    <w:rsid w:val="7CDF1716"/>
    <w:rsid w:val="7CEA457A"/>
    <w:rsid w:val="7CEF69F4"/>
    <w:rsid w:val="7CF22E60"/>
    <w:rsid w:val="7CF976FB"/>
    <w:rsid w:val="7D016AC7"/>
    <w:rsid w:val="7D0D50FD"/>
    <w:rsid w:val="7D1120C7"/>
    <w:rsid w:val="7D191681"/>
    <w:rsid w:val="7D3F22BE"/>
    <w:rsid w:val="7DA515AB"/>
    <w:rsid w:val="7DC02507"/>
    <w:rsid w:val="7DEC32B7"/>
    <w:rsid w:val="7DF82266"/>
    <w:rsid w:val="7DF96D7D"/>
    <w:rsid w:val="7E064983"/>
    <w:rsid w:val="7E0A1091"/>
    <w:rsid w:val="7E170B72"/>
    <w:rsid w:val="7E186747"/>
    <w:rsid w:val="7E1E4F70"/>
    <w:rsid w:val="7E4509E4"/>
    <w:rsid w:val="7E495815"/>
    <w:rsid w:val="7E4D04C7"/>
    <w:rsid w:val="7E9222F5"/>
    <w:rsid w:val="7EAD12A3"/>
    <w:rsid w:val="7EB26262"/>
    <w:rsid w:val="7EBA41CC"/>
    <w:rsid w:val="7EBC02BA"/>
    <w:rsid w:val="7EDA1410"/>
    <w:rsid w:val="7EED2C0C"/>
    <w:rsid w:val="7F077228"/>
    <w:rsid w:val="7F166EF9"/>
    <w:rsid w:val="7F383EE4"/>
    <w:rsid w:val="7F3A47E7"/>
    <w:rsid w:val="7F5906BB"/>
    <w:rsid w:val="7F9238EB"/>
    <w:rsid w:val="7F9F6E68"/>
    <w:rsid w:val="7FC638E1"/>
    <w:rsid w:val="7FD10952"/>
    <w:rsid w:val="7FD11210"/>
    <w:rsid w:val="7FE51E3E"/>
    <w:rsid w:val="7FF52F01"/>
    <w:rsid w:val="7FF60973"/>
    <w:rsid w:val="FDFFC3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color w:val="000000"/>
      <w:kern w:val="2"/>
      <w:sz w:val="21"/>
      <w:lang w:val="en-US" w:eastAsia="zh-CN" w:bidi="ar-SA"/>
    </w:rPr>
  </w:style>
  <w:style w:type="paragraph" w:styleId="2">
    <w:name w:val="heading 1"/>
    <w:basedOn w:val="1"/>
    <w:next w:val="1"/>
    <w:qFormat/>
    <w:uiPriority w:val="0"/>
    <w:pPr>
      <w:spacing w:before="340" w:beforeLines="0" w:after="320" w:afterLines="0"/>
      <w:jc w:val="both"/>
      <w:outlineLvl w:val="0"/>
    </w:pPr>
    <w:rPr>
      <w:rFonts w:eastAsia="宋体"/>
      <w:b/>
      <w:color w:val="000000"/>
      <w:sz w:val="44"/>
    </w:rPr>
  </w:style>
  <w:style w:type="paragraph" w:styleId="3">
    <w:name w:val="heading 2"/>
    <w:basedOn w:val="1"/>
    <w:next w:val="1"/>
    <w:qFormat/>
    <w:uiPriority w:val="0"/>
    <w:pPr>
      <w:spacing w:before="120" w:beforeLines="0" w:after="360" w:afterLines="0" w:line="360" w:lineRule="auto"/>
      <w:jc w:val="center"/>
      <w:outlineLvl w:val="1"/>
    </w:pPr>
    <w:rPr>
      <w:rFonts w:ascii="文鼎小标宋简" w:eastAsia="文鼎小标宋简"/>
      <w:b/>
      <w:color w:val="000000"/>
      <w:sz w:val="44"/>
    </w:rPr>
  </w:style>
  <w:style w:type="paragraph" w:styleId="4">
    <w:name w:val="heading 3"/>
    <w:basedOn w:val="1"/>
    <w:next w:val="1"/>
    <w:qFormat/>
    <w:uiPriority w:val="0"/>
    <w:pPr>
      <w:keepLines/>
      <w:spacing w:before="260" w:beforeLines="0" w:after="260" w:afterLines="0" w:line="408" w:lineRule="auto"/>
      <w:outlineLvl w:val="2"/>
    </w:pPr>
    <w:rPr>
      <w:b/>
      <w:sz w:val="32"/>
    </w:rPr>
  </w:style>
  <w:style w:type="paragraph" w:styleId="5">
    <w:name w:val="heading 4"/>
    <w:basedOn w:val="1"/>
    <w:next w:val="1"/>
    <w:qFormat/>
    <w:uiPriority w:val="0"/>
    <w:pPr>
      <w:keepLines/>
      <w:numPr>
        <w:ilvl w:val="3"/>
        <w:numId w:val="1"/>
      </w:numPr>
      <w:spacing w:before="280" w:beforeLines="0" w:after="290" w:afterLines="0" w:line="372" w:lineRule="auto"/>
      <w:outlineLvl w:val="3"/>
    </w:pPr>
    <w:rPr>
      <w:rFonts w:ascii="Arial" w:hAnsi="Arial" w:eastAsia="黑体"/>
      <w:b/>
      <w:color w:val="000000"/>
      <w:sz w:val="28"/>
    </w:rPr>
  </w:style>
  <w:style w:type="paragraph" w:styleId="6">
    <w:name w:val="heading 5"/>
    <w:basedOn w:val="1"/>
    <w:next w:val="1"/>
    <w:qFormat/>
    <w:uiPriority w:val="0"/>
    <w:pPr>
      <w:keepLines/>
      <w:numPr>
        <w:ilvl w:val="4"/>
        <w:numId w:val="1"/>
      </w:numPr>
      <w:spacing w:before="280" w:beforeLines="0" w:after="290" w:afterLines="0" w:line="372" w:lineRule="auto"/>
      <w:outlineLvl w:val="4"/>
    </w:pPr>
    <w:rPr>
      <w:rFonts w:eastAsia="宋体"/>
      <w:b/>
      <w:color w:val="000000"/>
      <w:sz w:val="28"/>
    </w:rPr>
  </w:style>
  <w:style w:type="paragraph" w:styleId="7">
    <w:name w:val="heading 6"/>
    <w:basedOn w:val="1"/>
    <w:next w:val="1"/>
    <w:qFormat/>
    <w:uiPriority w:val="0"/>
    <w:pPr>
      <w:keepLines/>
      <w:numPr>
        <w:ilvl w:val="5"/>
        <w:numId w:val="1"/>
      </w:numPr>
      <w:spacing w:before="240" w:beforeLines="0" w:after="64" w:afterLines="0" w:line="312" w:lineRule="auto"/>
      <w:outlineLvl w:val="5"/>
    </w:pPr>
    <w:rPr>
      <w:rFonts w:ascii="Arial" w:hAnsi="Arial" w:eastAsia="黑体"/>
      <w:b/>
      <w:color w:val="000000"/>
      <w:sz w:val="24"/>
    </w:rPr>
  </w:style>
  <w:style w:type="paragraph" w:styleId="8">
    <w:name w:val="heading 7"/>
    <w:basedOn w:val="1"/>
    <w:next w:val="1"/>
    <w:qFormat/>
    <w:uiPriority w:val="0"/>
    <w:pPr>
      <w:keepLines/>
      <w:numPr>
        <w:ilvl w:val="6"/>
        <w:numId w:val="1"/>
      </w:numPr>
      <w:spacing w:before="240" w:beforeLines="0" w:after="64" w:afterLines="0" w:line="312" w:lineRule="auto"/>
      <w:outlineLvl w:val="6"/>
    </w:pPr>
    <w:rPr>
      <w:rFonts w:eastAsia="宋体"/>
      <w:b/>
      <w:color w:val="000000"/>
      <w:sz w:val="24"/>
    </w:rPr>
  </w:style>
  <w:style w:type="paragraph" w:styleId="9">
    <w:name w:val="heading 8"/>
    <w:basedOn w:val="1"/>
    <w:next w:val="1"/>
    <w:qFormat/>
    <w:uiPriority w:val="0"/>
    <w:pPr>
      <w:keepLines/>
      <w:numPr>
        <w:ilvl w:val="7"/>
        <w:numId w:val="1"/>
      </w:numPr>
      <w:spacing w:before="240" w:beforeLines="0" w:after="64" w:afterLines="0" w:line="312" w:lineRule="auto"/>
      <w:outlineLvl w:val="7"/>
    </w:pPr>
    <w:rPr>
      <w:rFonts w:ascii="Arial" w:hAnsi="Arial" w:eastAsia="黑体"/>
      <w:color w:val="000000"/>
      <w:sz w:val="24"/>
    </w:rPr>
  </w:style>
  <w:style w:type="paragraph" w:styleId="10">
    <w:name w:val="heading 9"/>
    <w:basedOn w:val="1"/>
    <w:next w:val="1"/>
    <w:qFormat/>
    <w:uiPriority w:val="0"/>
    <w:pPr>
      <w:keepLines/>
      <w:numPr>
        <w:ilvl w:val="8"/>
        <w:numId w:val="1"/>
      </w:numPr>
      <w:spacing w:before="240" w:beforeLines="0" w:after="64" w:afterLines="0" w:line="312" w:lineRule="auto"/>
      <w:outlineLvl w:val="8"/>
    </w:pPr>
    <w:rPr>
      <w:rFonts w:ascii="Arial" w:hAnsi="Arial" w:eastAsia="黑体"/>
      <w:color w:val="000000"/>
      <w:sz w:val="21"/>
    </w:rPr>
  </w:style>
  <w:style w:type="character" w:default="1" w:styleId="37">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99"/>
    <w:pPr>
      <w:widowControl w:val="0"/>
      <w:ind w:firstLine="420"/>
    </w:pPr>
    <w:rPr>
      <w:color w:val="auto"/>
    </w:rPr>
  </w:style>
  <w:style w:type="paragraph" w:styleId="12">
    <w:name w:val="index 5"/>
    <w:basedOn w:val="1"/>
    <w:next w:val="1"/>
    <w:qFormat/>
    <w:uiPriority w:val="0"/>
    <w:pPr>
      <w:ind w:left="1680"/>
    </w:pPr>
  </w:style>
  <w:style w:type="paragraph" w:styleId="13">
    <w:name w:val="annotation text"/>
    <w:basedOn w:val="1"/>
    <w:link w:val="51"/>
    <w:qFormat/>
    <w:uiPriority w:val="0"/>
    <w:pPr>
      <w:jc w:val="left"/>
    </w:pPr>
  </w:style>
  <w:style w:type="paragraph" w:styleId="14">
    <w:name w:val="index 6"/>
    <w:next w:val="1"/>
    <w:unhideWhenUsed/>
    <w:qFormat/>
    <w:uiPriority w:val="99"/>
    <w:pPr>
      <w:spacing w:after="200" w:line="276" w:lineRule="auto"/>
      <w:ind w:firstLine="840"/>
    </w:pPr>
    <w:rPr>
      <w:rFonts w:ascii="微软雅黑" w:hAnsi="微软雅黑" w:eastAsia="微软雅黑" w:cs="Arial"/>
      <w:sz w:val="22"/>
      <w:szCs w:val="22"/>
      <w:lang w:val="en-US" w:eastAsia="en-US" w:bidi="ar-SA"/>
    </w:rPr>
  </w:style>
  <w:style w:type="paragraph" w:styleId="15">
    <w:name w:val="Body Text"/>
    <w:basedOn w:val="1"/>
    <w:qFormat/>
    <w:uiPriority w:val="0"/>
    <w:pPr>
      <w:widowControl/>
      <w:spacing w:line="528" w:lineRule="auto"/>
      <w:ind w:left="840" w:right="-120"/>
      <w:jc w:val="left"/>
    </w:pPr>
    <w:rPr>
      <w:rFonts w:eastAsia="宋体"/>
      <w:color w:val="000000"/>
      <w:sz w:val="20"/>
    </w:rPr>
  </w:style>
  <w:style w:type="paragraph" w:styleId="16">
    <w:name w:val="Body Text Indent"/>
    <w:basedOn w:val="1"/>
    <w:qFormat/>
    <w:uiPriority w:val="0"/>
    <w:pPr>
      <w:widowControl w:val="0"/>
      <w:ind w:firstLine="540"/>
    </w:pPr>
    <w:rPr>
      <w:color w:val="auto"/>
      <w:sz w:val="28"/>
    </w:rPr>
  </w:style>
  <w:style w:type="paragraph" w:styleId="17">
    <w:name w:val="Block Text"/>
    <w:basedOn w:val="1"/>
    <w:qFormat/>
    <w:uiPriority w:val="0"/>
    <w:pPr>
      <w:spacing w:after="120" w:afterLines="0" w:afterAutospacing="0"/>
      <w:ind w:left="1440" w:leftChars="700" w:rightChars="700"/>
    </w:pPr>
  </w:style>
  <w:style w:type="paragraph" w:styleId="18">
    <w:name w:val="toc 3"/>
    <w:basedOn w:val="1"/>
    <w:next w:val="1"/>
    <w:qFormat/>
    <w:uiPriority w:val="0"/>
    <w:pPr>
      <w:tabs>
        <w:tab w:val="right" w:leader="dot" w:pos="9170"/>
      </w:tabs>
      <w:ind w:left="360"/>
      <w:jc w:val="left"/>
    </w:pPr>
    <w:rPr>
      <w:rFonts w:eastAsia="宋体"/>
      <w:color w:val="000000"/>
      <w:sz w:val="20"/>
    </w:rPr>
  </w:style>
  <w:style w:type="paragraph" w:styleId="19">
    <w:name w:val="Plain Text"/>
    <w:basedOn w:val="1"/>
    <w:qFormat/>
    <w:uiPriority w:val="0"/>
    <w:pPr>
      <w:widowControl w:val="0"/>
    </w:pPr>
    <w:rPr>
      <w:rFonts w:ascii="宋体" w:hAnsi="Courier New"/>
      <w:color w:val="auto"/>
    </w:rPr>
  </w:style>
  <w:style w:type="paragraph" w:styleId="20">
    <w:name w:val="Date"/>
    <w:basedOn w:val="1"/>
    <w:next w:val="1"/>
    <w:qFormat/>
    <w:uiPriority w:val="0"/>
    <w:pPr>
      <w:ind w:left="100"/>
      <w:jc w:val="both"/>
    </w:pPr>
    <w:rPr>
      <w:rFonts w:eastAsia="宋体"/>
      <w:color w:val="000000"/>
      <w:sz w:val="24"/>
    </w:rPr>
  </w:style>
  <w:style w:type="paragraph" w:styleId="21">
    <w:name w:val="Body Text Indent 2"/>
    <w:basedOn w:val="1"/>
    <w:qFormat/>
    <w:uiPriority w:val="0"/>
    <w:pPr>
      <w:autoSpaceDE w:val="0"/>
      <w:autoSpaceDN w:val="0"/>
      <w:spacing w:line="360" w:lineRule="auto"/>
      <w:ind w:left="3611" w:leftChars="1200" w:hanging="1091" w:hangingChars="302"/>
      <w:textAlignment w:val="bottom"/>
    </w:pPr>
    <w:rPr>
      <w:rFonts w:ascii="仿宋_GB2312" w:eastAsia="仿宋_GB2312"/>
      <w:b/>
      <w:sz w:val="36"/>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rFonts w:eastAsia="宋体"/>
      <w:color w:val="000000"/>
      <w:sz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pBdr>
        <w:bottom w:val="single" w:color="000000" w:sz="6" w:space="1"/>
      </w:pBdr>
      <w:tabs>
        <w:tab w:val="center" w:pos="4153"/>
        <w:tab w:val="right" w:pos="8306"/>
      </w:tabs>
      <w:snapToGrid w:val="0"/>
      <w:jc w:val="center"/>
    </w:pPr>
    <w:rPr>
      <w:rFonts w:eastAsia="宋体"/>
      <w:color w:val="000000"/>
      <w:sz w:val="18"/>
    </w:rPr>
  </w:style>
  <w:style w:type="paragraph" w:styleId="26">
    <w:name w:val="toc 1"/>
    <w:basedOn w:val="1"/>
    <w:next w:val="1"/>
    <w:qFormat/>
    <w:uiPriority w:val="0"/>
    <w:pPr>
      <w:tabs>
        <w:tab w:val="right" w:leader="dot" w:pos="9170"/>
      </w:tabs>
      <w:spacing w:before="120" w:beforeLines="0" w:after="120" w:afterLines="0"/>
      <w:jc w:val="center"/>
    </w:pPr>
    <w:rPr>
      <w:rFonts w:eastAsia="文鼎小标宋简"/>
      <w:b/>
      <w:caps/>
      <w:color w:val="000000"/>
      <w:sz w:val="20"/>
    </w:rPr>
  </w:style>
  <w:style w:type="paragraph" w:styleId="27">
    <w:name w:val="footnote text"/>
    <w:basedOn w:val="1"/>
    <w:qFormat/>
    <w:uiPriority w:val="0"/>
    <w:pPr>
      <w:snapToGrid w:val="0"/>
      <w:jc w:val="left"/>
    </w:pPr>
    <w:rPr>
      <w:sz w:val="18"/>
      <w:szCs w:val="18"/>
    </w:rPr>
  </w:style>
  <w:style w:type="paragraph" w:styleId="28">
    <w:name w:val="Body Text Indent 3"/>
    <w:basedOn w:val="1"/>
    <w:qFormat/>
    <w:uiPriority w:val="0"/>
    <w:pPr>
      <w:widowControl w:val="0"/>
      <w:topLinePunct/>
      <w:adjustRightInd w:val="0"/>
      <w:spacing w:line="360" w:lineRule="atLeast"/>
      <w:ind w:firstLine="480" w:firstLineChars="200"/>
      <w:textAlignment w:val="baseline"/>
    </w:pPr>
    <w:rPr>
      <w:rFonts w:ascii="仿宋_GB2312" w:eastAsia="仿宋_GB2312"/>
      <w:color w:val="auto"/>
      <w:kern w:val="0"/>
      <w:sz w:val="24"/>
    </w:rPr>
  </w:style>
  <w:style w:type="paragraph" w:styleId="29">
    <w:name w:val="toc 2"/>
    <w:basedOn w:val="1"/>
    <w:next w:val="1"/>
    <w:qFormat/>
    <w:uiPriority w:val="0"/>
    <w:pPr>
      <w:tabs>
        <w:tab w:val="right" w:leader="dot" w:pos="9170"/>
      </w:tabs>
      <w:ind w:left="210" w:firstLine="150"/>
      <w:jc w:val="left"/>
    </w:pPr>
    <w:rPr>
      <w:rFonts w:eastAsia="宋体"/>
      <w:smallCaps/>
      <w:color w:val="000000"/>
      <w:sz w:val="20"/>
    </w:rPr>
  </w:style>
  <w:style w:type="paragraph" w:styleId="30">
    <w:name w:val="Body Text 2"/>
    <w:basedOn w:val="1"/>
    <w:next w:val="1"/>
    <w:qFormat/>
    <w:uiPriority w:val="0"/>
    <w:pPr>
      <w:widowControl/>
      <w:spacing w:after="120" w:afterLines="0" w:line="480" w:lineRule="auto"/>
      <w:jc w:val="both"/>
    </w:pPr>
    <w:rPr>
      <w:rFonts w:eastAsia="宋体"/>
      <w:color w:val="000000"/>
      <w:sz w:val="21"/>
    </w:rPr>
  </w:style>
  <w:style w:type="paragraph" w:styleId="31">
    <w:name w:val="Normal (Web)"/>
    <w:basedOn w:val="1"/>
    <w:qFormat/>
    <w:uiPriority w:val="0"/>
    <w:pPr>
      <w:spacing w:before="100" w:beforeLines="0" w:beforeAutospacing="1" w:after="100" w:afterLines="0" w:afterAutospacing="1"/>
      <w:jc w:val="left"/>
    </w:pPr>
    <w:rPr>
      <w:rFonts w:ascii="宋体" w:hAnsi="宋体"/>
      <w:color w:val="auto"/>
      <w:kern w:val="0"/>
      <w:sz w:val="24"/>
      <w:szCs w:val="24"/>
    </w:rPr>
  </w:style>
  <w:style w:type="paragraph" w:styleId="32">
    <w:name w:val="annotation subject"/>
    <w:basedOn w:val="13"/>
    <w:next w:val="13"/>
    <w:link w:val="52"/>
    <w:qFormat/>
    <w:uiPriority w:val="0"/>
    <w:rPr>
      <w:b/>
      <w:bCs/>
    </w:rPr>
  </w:style>
  <w:style w:type="paragraph" w:styleId="33">
    <w:name w:val="Body Text First Indent"/>
    <w:basedOn w:val="15"/>
    <w:qFormat/>
    <w:uiPriority w:val="0"/>
    <w:pPr>
      <w:ind w:firstLine="420" w:firstLineChars="100"/>
    </w:pPr>
  </w:style>
  <w:style w:type="paragraph" w:styleId="34">
    <w:name w:val="Body Text First Indent 2"/>
    <w:basedOn w:val="16"/>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36">
    <w:name w:val="Table Grid"/>
    <w:basedOn w:val="3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style>
  <w:style w:type="character" w:styleId="39">
    <w:name w:val="page number"/>
    <w:basedOn w:val="37"/>
    <w:qFormat/>
    <w:uiPriority w:val="0"/>
  </w:style>
  <w:style w:type="character" w:styleId="40">
    <w:name w:val="FollowedHyperlink"/>
    <w:qFormat/>
    <w:uiPriority w:val="0"/>
    <w:rPr>
      <w:color w:val="3177FD"/>
      <w:u w:val="none"/>
    </w:rPr>
  </w:style>
  <w:style w:type="character" w:styleId="41">
    <w:name w:val="Emphasis"/>
    <w:basedOn w:val="37"/>
    <w:qFormat/>
    <w:uiPriority w:val="0"/>
    <w:rPr>
      <w:color w:val="F73131"/>
    </w:rPr>
  </w:style>
  <w:style w:type="character" w:styleId="42">
    <w:name w:val="HTML Definition"/>
    <w:basedOn w:val="37"/>
    <w:qFormat/>
    <w:uiPriority w:val="0"/>
    <w:rPr>
      <w:i/>
      <w:iCs/>
    </w:rPr>
  </w:style>
  <w:style w:type="character" w:styleId="43">
    <w:name w:val="Hyperlink"/>
    <w:qFormat/>
    <w:uiPriority w:val="0"/>
    <w:rPr>
      <w:color w:val="3177FD"/>
      <w:u w:val="none"/>
    </w:rPr>
  </w:style>
  <w:style w:type="character" w:styleId="44">
    <w:name w:val="HTML Code"/>
    <w:qFormat/>
    <w:uiPriority w:val="0"/>
    <w:rPr>
      <w:rFonts w:ascii="Consolas" w:hAnsi="Consolas" w:eastAsia="Consolas" w:cs="Consolas"/>
      <w:sz w:val="21"/>
      <w:szCs w:val="21"/>
    </w:rPr>
  </w:style>
  <w:style w:type="character" w:styleId="45">
    <w:name w:val="annotation reference"/>
    <w:qFormat/>
    <w:uiPriority w:val="0"/>
    <w:rPr>
      <w:sz w:val="21"/>
      <w:szCs w:val="21"/>
    </w:rPr>
  </w:style>
  <w:style w:type="character" w:styleId="46">
    <w:name w:val="HTML Cite"/>
    <w:basedOn w:val="37"/>
    <w:qFormat/>
    <w:uiPriority w:val="0"/>
    <w:rPr>
      <w:color w:val="008000"/>
    </w:rPr>
  </w:style>
  <w:style w:type="character" w:styleId="47">
    <w:name w:val="footnote reference"/>
    <w:qFormat/>
    <w:uiPriority w:val="0"/>
    <w:rPr>
      <w:vertAlign w:val="superscript"/>
    </w:rPr>
  </w:style>
  <w:style w:type="character" w:styleId="48">
    <w:name w:val="HTML Keyboard"/>
    <w:qFormat/>
    <w:uiPriority w:val="0"/>
    <w:rPr>
      <w:rFonts w:hint="default" w:ascii="Consolas" w:hAnsi="Consolas" w:eastAsia="Consolas" w:cs="Consolas"/>
      <w:sz w:val="21"/>
      <w:szCs w:val="21"/>
    </w:rPr>
  </w:style>
  <w:style w:type="character" w:styleId="49">
    <w:name w:val="HTML Sample"/>
    <w:qFormat/>
    <w:uiPriority w:val="0"/>
    <w:rPr>
      <w:rFonts w:hint="default" w:ascii="Consolas" w:hAnsi="Consolas" w:eastAsia="Consolas" w:cs="Consolas"/>
      <w:sz w:val="21"/>
      <w:szCs w:val="21"/>
    </w:rPr>
  </w:style>
  <w:style w:type="paragraph" w:customStyle="1" w:styleId="5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1">
    <w:name w:val="批注文字 Char"/>
    <w:link w:val="13"/>
    <w:qFormat/>
    <w:uiPriority w:val="0"/>
    <w:rPr>
      <w:color w:val="000000"/>
      <w:kern w:val="2"/>
      <w:sz w:val="21"/>
    </w:rPr>
  </w:style>
  <w:style w:type="character" w:customStyle="1" w:styleId="52">
    <w:name w:val="批注主题 Char"/>
    <w:link w:val="32"/>
    <w:qFormat/>
    <w:uiPriority w:val="0"/>
    <w:rPr>
      <w:b/>
      <w:bCs/>
      <w:color w:val="000000"/>
      <w:kern w:val="2"/>
      <w:sz w:val="21"/>
    </w:rPr>
  </w:style>
  <w:style w:type="character" w:customStyle="1" w:styleId="53">
    <w:name w:val="ant-select-tree-checkbox2"/>
    <w:basedOn w:val="37"/>
    <w:qFormat/>
    <w:uiPriority w:val="0"/>
  </w:style>
  <w:style w:type="character" w:customStyle="1" w:styleId="54">
    <w:name w:val="ant-select-tree-checkbox"/>
    <w:basedOn w:val="37"/>
    <w:qFormat/>
    <w:uiPriority w:val="0"/>
  </w:style>
  <w:style w:type="character" w:customStyle="1" w:styleId="55">
    <w:name w:val="c-icon"/>
    <w:basedOn w:val="37"/>
    <w:qFormat/>
    <w:uiPriority w:val="0"/>
  </w:style>
  <w:style w:type="character" w:customStyle="1" w:styleId="56">
    <w:name w:val="all-fit-info1"/>
    <w:qFormat/>
    <w:uiPriority w:val="0"/>
    <w:rPr>
      <w:color w:val="939393"/>
    </w:rPr>
  </w:style>
  <w:style w:type="character" w:customStyle="1" w:styleId="57">
    <w:name w:val="temp6"/>
    <w:basedOn w:val="37"/>
    <w:qFormat/>
    <w:uiPriority w:val="0"/>
  </w:style>
  <w:style w:type="character" w:customStyle="1" w:styleId="58">
    <w:name w:val="label2"/>
    <w:basedOn w:val="37"/>
    <w:qFormat/>
    <w:uiPriority w:val="0"/>
  </w:style>
  <w:style w:type="character" w:customStyle="1" w:styleId="59">
    <w:name w:val="first-child2"/>
    <w:basedOn w:val="37"/>
    <w:qFormat/>
    <w:uiPriority w:val="0"/>
  </w:style>
  <w:style w:type="character" w:customStyle="1" w:styleId="60">
    <w:name w:val="temp2"/>
    <w:basedOn w:val="37"/>
    <w:qFormat/>
    <w:uiPriority w:val="0"/>
  </w:style>
  <w:style w:type="character" w:customStyle="1" w:styleId="61">
    <w:name w:val="ant-form-item-children1"/>
    <w:basedOn w:val="37"/>
    <w:qFormat/>
    <w:uiPriority w:val="0"/>
  </w:style>
  <w:style w:type="character" w:customStyle="1" w:styleId="62">
    <w:name w:val="first-child5"/>
    <w:basedOn w:val="37"/>
    <w:qFormat/>
    <w:uiPriority w:val="0"/>
  </w:style>
  <w:style w:type="character" w:customStyle="1" w:styleId="63">
    <w:name w:val="tag-type"/>
    <w:qFormat/>
    <w:uiPriority w:val="0"/>
    <w:rPr>
      <w:color w:val="FFFFFF"/>
      <w:sz w:val="18"/>
      <w:szCs w:val="18"/>
      <w:shd w:val="clear" w:color="auto" w:fill="317FFD"/>
    </w:rPr>
  </w:style>
  <w:style w:type="character" w:customStyle="1" w:styleId="64">
    <w:name w:val="content10"/>
    <w:basedOn w:val="37"/>
    <w:qFormat/>
    <w:uiPriority w:val="0"/>
  </w:style>
  <w:style w:type="character" w:customStyle="1" w:styleId="65">
    <w:name w:val="ant-input51"/>
    <w:basedOn w:val="37"/>
    <w:qFormat/>
    <w:uiPriority w:val="0"/>
  </w:style>
  <w:style w:type="character" w:customStyle="1" w:styleId="66">
    <w:name w:val="ant-radio+*1"/>
    <w:basedOn w:val="37"/>
    <w:qFormat/>
    <w:uiPriority w:val="0"/>
  </w:style>
  <w:style w:type="character" w:customStyle="1" w:styleId="67">
    <w:name w:val="ant-tree-icon_loading"/>
    <w:qFormat/>
    <w:uiPriority w:val="0"/>
    <w:rPr>
      <w:shd w:val="clear" w:color="auto" w:fill="FFFFFF"/>
    </w:rPr>
  </w:style>
  <w:style w:type="character" w:customStyle="1" w:styleId="68">
    <w:name w:val="current"/>
    <w:qFormat/>
    <w:uiPriority w:val="0"/>
    <w:rPr>
      <w:color w:val="00C1DE"/>
    </w:rPr>
  </w:style>
  <w:style w:type="character" w:customStyle="1" w:styleId="69">
    <w:name w:val="apple-converted-space"/>
    <w:basedOn w:val="37"/>
    <w:qFormat/>
    <w:uiPriority w:val="0"/>
  </w:style>
  <w:style w:type="character" w:customStyle="1" w:styleId="70">
    <w:name w:val="ant-transfer-list-search-action"/>
    <w:basedOn w:val="37"/>
    <w:qFormat/>
    <w:uiPriority w:val="0"/>
  </w:style>
  <w:style w:type="character" w:customStyle="1" w:styleId="71">
    <w:name w:val="temp8"/>
    <w:basedOn w:val="37"/>
    <w:qFormat/>
    <w:uiPriority w:val="0"/>
  </w:style>
  <w:style w:type="character" w:customStyle="1" w:styleId="72">
    <w:name w:val="hover29"/>
    <w:basedOn w:val="37"/>
    <w:qFormat/>
    <w:uiPriority w:val="0"/>
  </w:style>
  <w:style w:type="character" w:customStyle="1" w:styleId="73">
    <w:name w:val="ant-input12"/>
    <w:basedOn w:val="37"/>
    <w:qFormat/>
    <w:uiPriority w:val="0"/>
  </w:style>
  <w:style w:type="character" w:customStyle="1" w:styleId="74">
    <w:name w:val="ant-input14"/>
    <w:basedOn w:val="37"/>
    <w:qFormat/>
    <w:uiPriority w:val="0"/>
  </w:style>
  <w:style w:type="character" w:customStyle="1" w:styleId="75">
    <w:name w:val="change-camera-place"/>
    <w:qFormat/>
    <w:uiPriority w:val="0"/>
    <w:rPr>
      <w:color w:val="3177FD"/>
    </w:rPr>
  </w:style>
  <w:style w:type="character" w:customStyle="1" w:styleId="76">
    <w:name w:val="Default Text Char"/>
    <w:link w:val="77"/>
    <w:qFormat/>
    <w:uiPriority w:val="0"/>
    <w:rPr>
      <w:color w:val="000000"/>
      <w:sz w:val="24"/>
      <w:lang w:val="en-US" w:eastAsia="zh-CN" w:bidi="ar-SA"/>
    </w:rPr>
  </w:style>
  <w:style w:type="paragraph" w:customStyle="1" w:styleId="77">
    <w:name w:val="Default Text"/>
    <w:link w:val="76"/>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78">
    <w:name w:val="ant-badge-status-dot2"/>
    <w:qFormat/>
    <w:uiPriority w:val="0"/>
    <w:rPr>
      <w:shd w:val="clear" w:color="auto" w:fill="FFFFFF"/>
    </w:rPr>
  </w:style>
  <w:style w:type="character" w:customStyle="1" w:styleId="79">
    <w:name w:val="ant-tree-checkbox2"/>
    <w:basedOn w:val="37"/>
    <w:qFormat/>
    <w:uiPriority w:val="0"/>
  </w:style>
  <w:style w:type="character" w:customStyle="1" w:styleId="80">
    <w:name w:val="font01"/>
    <w:basedOn w:val="37"/>
    <w:qFormat/>
    <w:uiPriority w:val="0"/>
    <w:rPr>
      <w:rFonts w:hint="eastAsia" w:ascii="宋体" w:hAnsi="宋体" w:eastAsia="宋体" w:cs="宋体"/>
      <w:color w:val="000000"/>
      <w:sz w:val="24"/>
      <w:szCs w:val="24"/>
      <w:u w:val="none"/>
    </w:rPr>
  </w:style>
  <w:style w:type="character" w:customStyle="1" w:styleId="81">
    <w:name w:val="info-content"/>
    <w:qFormat/>
    <w:uiPriority w:val="0"/>
    <w:rPr>
      <w:color w:val="808080"/>
    </w:rPr>
  </w:style>
  <w:style w:type="character" w:customStyle="1" w:styleId="82">
    <w:name w:val="content"/>
    <w:basedOn w:val="37"/>
    <w:qFormat/>
    <w:uiPriority w:val="0"/>
  </w:style>
  <w:style w:type="character" w:customStyle="1" w:styleId="83">
    <w:name w:val="NormalCharacter"/>
    <w:semiHidden/>
    <w:qFormat/>
    <w:uiPriority w:val="0"/>
    <w:rPr>
      <w:color w:val="000000"/>
      <w:kern w:val="2"/>
      <w:sz w:val="21"/>
      <w:lang w:val="en-US" w:eastAsia="zh-CN" w:bidi="ar-SA"/>
    </w:rPr>
  </w:style>
  <w:style w:type="character" w:customStyle="1" w:styleId="84">
    <w:name w:val="temp1"/>
    <w:basedOn w:val="37"/>
    <w:qFormat/>
    <w:uiPriority w:val="0"/>
  </w:style>
  <w:style w:type="character" w:customStyle="1" w:styleId="85">
    <w:name w:val="font71"/>
    <w:basedOn w:val="37"/>
    <w:qFormat/>
    <w:uiPriority w:val="0"/>
    <w:rPr>
      <w:rFonts w:ascii="Calibri" w:hAnsi="Calibri" w:cs="Calibri"/>
      <w:color w:val="000000"/>
      <w:sz w:val="20"/>
      <w:szCs w:val="20"/>
      <w:u w:val="none"/>
    </w:rPr>
  </w:style>
  <w:style w:type="character" w:customStyle="1" w:styleId="86">
    <w:name w:val="last-child3"/>
    <w:basedOn w:val="37"/>
    <w:qFormat/>
    <w:uiPriority w:val="0"/>
  </w:style>
  <w:style w:type="character" w:customStyle="1" w:styleId="87">
    <w:name w:val="all-fit-info"/>
    <w:qFormat/>
    <w:uiPriority w:val="0"/>
    <w:rPr>
      <w:color w:val="939393"/>
    </w:rPr>
  </w:style>
  <w:style w:type="character" w:customStyle="1" w:styleId="88">
    <w:name w:val="tag-type1"/>
    <w:qFormat/>
    <w:uiPriority w:val="0"/>
    <w:rPr>
      <w:color w:val="FFFFFF"/>
      <w:sz w:val="18"/>
      <w:szCs w:val="18"/>
      <w:shd w:val="clear" w:color="auto" w:fill="317FFD"/>
    </w:rPr>
  </w:style>
  <w:style w:type="character" w:customStyle="1" w:styleId="89">
    <w:name w:val="last-child7"/>
    <w:basedOn w:val="37"/>
    <w:qFormat/>
    <w:uiPriority w:val="0"/>
  </w:style>
  <w:style w:type="character" w:customStyle="1" w:styleId="90">
    <w:name w:val="last-child6"/>
    <w:basedOn w:val="37"/>
    <w:qFormat/>
    <w:uiPriority w:val="0"/>
  </w:style>
  <w:style w:type="character" w:customStyle="1" w:styleId="91">
    <w:name w:val="ant-input"/>
    <w:basedOn w:val="37"/>
    <w:qFormat/>
    <w:uiPriority w:val="0"/>
  </w:style>
  <w:style w:type="character" w:customStyle="1" w:styleId="92">
    <w:name w:val="ant-tree-switcher"/>
    <w:basedOn w:val="37"/>
    <w:qFormat/>
    <w:uiPriority w:val="0"/>
  </w:style>
  <w:style w:type="character" w:customStyle="1" w:styleId="93">
    <w:name w:val="current1"/>
    <w:qFormat/>
    <w:uiPriority w:val="0"/>
    <w:rPr>
      <w:color w:val="00C1DE"/>
    </w:rPr>
  </w:style>
  <w:style w:type="character" w:customStyle="1" w:styleId="94">
    <w:name w:val="font51"/>
    <w:qFormat/>
    <w:uiPriority w:val="0"/>
    <w:rPr>
      <w:rFonts w:hint="eastAsia" w:ascii="宋体" w:hAnsi="宋体" w:eastAsia="宋体" w:cs="宋体"/>
      <w:color w:val="000000"/>
      <w:sz w:val="20"/>
      <w:szCs w:val="20"/>
      <w:u w:val="none"/>
    </w:rPr>
  </w:style>
  <w:style w:type="character" w:customStyle="1" w:styleId="95">
    <w:name w:val="first-child"/>
    <w:basedOn w:val="37"/>
    <w:qFormat/>
    <w:uiPriority w:val="0"/>
  </w:style>
  <w:style w:type="character" w:customStyle="1" w:styleId="96">
    <w:name w:val="hover32"/>
    <w:basedOn w:val="37"/>
    <w:qFormat/>
    <w:uiPriority w:val="0"/>
    <w:rPr>
      <w:color w:val="315EFB"/>
    </w:rPr>
  </w:style>
  <w:style w:type="character" w:customStyle="1" w:styleId="97">
    <w:name w:val="ant-badge-status-dot"/>
    <w:qFormat/>
    <w:uiPriority w:val="0"/>
    <w:rPr>
      <w:shd w:val="clear" w:color="auto" w:fill="FFFFFF"/>
    </w:rPr>
  </w:style>
  <w:style w:type="character" w:customStyle="1" w:styleId="98">
    <w:name w:val="last-child2"/>
    <w:basedOn w:val="37"/>
    <w:qFormat/>
    <w:uiPriority w:val="0"/>
  </w:style>
  <w:style w:type="character" w:customStyle="1" w:styleId="99">
    <w:name w:val="last-child"/>
    <w:basedOn w:val="37"/>
    <w:qFormat/>
    <w:uiPriority w:val="0"/>
  </w:style>
  <w:style w:type="character" w:customStyle="1" w:styleId="100">
    <w:name w:val="temp7"/>
    <w:basedOn w:val="37"/>
    <w:qFormat/>
    <w:uiPriority w:val="0"/>
  </w:style>
  <w:style w:type="character" w:customStyle="1" w:styleId="101">
    <w:name w:val="label"/>
    <w:basedOn w:val="37"/>
    <w:qFormat/>
    <w:uiPriority w:val="0"/>
  </w:style>
  <w:style w:type="character" w:customStyle="1" w:styleId="102">
    <w:name w:val="text-file1"/>
    <w:qFormat/>
    <w:uiPriority w:val="0"/>
    <w:rPr>
      <w:rFonts w:hint="default" w:ascii="Arial" w:hAnsi="Arial" w:cs="Arial"/>
      <w:color w:val="000000"/>
      <w:sz w:val="18"/>
      <w:szCs w:val="18"/>
    </w:rPr>
  </w:style>
  <w:style w:type="character" w:customStyle="1" w:styleId="103">
    <w:name w:val="last-child1"/>
    <w:basedOn w:val="37"/>
    <w:qFormat/>
    <w:uiPriority w:val="0"/>
  </w:style>
  <w:style w:type="character" w:customStyle="1" w:styleId="104">
    <w:name w:val="ant-tree-iconele"/>
    <w:basedOn w:val="37"/>
    <w:qFormat/>
    <w:uiPriority w:val="0"/>
  </w:style>
  <w:style w:type="character" w:customStyle="1" w:styleId="105">
    <w:name w:val="ant-input52"/>
    <w:basedOn w:val="37"/>
    <w:qFormat/>
    <w:uiPriority w:val="0"/>
  </w:style>
  <w:style w:type="character" w:customStyle="1" w:styleId="106">
    <w:name w:val="last-child5"/>
    <w:basedOn w:val="37"/>
    <w:qFormat/>
    <w:uiPriority w:val="0"/>
  </w:style>
  <w:style w:type="character" w:customStyle="1" w:styleId="107">
    <w:name w:val="last-child4"/>
    <w:basedOn w:val="37"/>
    <w:qFormat/>
    <w:uiPriority w:val="0"/>
  </w:style>
  <w:style w:type="character" w:customStyle="1" w:styleId="108">
    <w:name w:val="last-of-type"/>
    <w:qFormat/>
    <w:uiPriority w:val="0"/>
    <w:rPr>
      <w:color w:val="FF4A44"/>
      <w:sz w:val="27"/>
      <w:szCs w:val="27"/>
    </w:rPr>
  </w:style>
  <w:style w:type="character" w:customStyle="1" w:styleId="109">
    <w:name w:val="font11"/>
    <w:qFormat/>
    <w:uiPriority w:val="0"/>
    <w:rPr>
      <w:rFonts w:hint="eastAsia" w:ascii="宋体" w:hAnsi="宋体" w:eastAsia="宋体" w:cs="宋体"/>
      <w:color w:val="000000"/>
      <w:sz w:val="20"/>
      <w:szCs w:val="20"/>
      <w:u w:val="none"/>
    </w:rPr>
  </w:style>
  <w:style w:type="character" w:customStyle="1" w:styleId="110">
    <w:name w:val="last-child9"/>
    <w:basedOn w:val="37"/>
    <w:qFormat/>
    <w:uiPriority w:val="0"/>
  </w:style>
  <w:style w:type="character" w:customStyle="1" w:styleId="111">
    <w:name w:val="last-child8"/>
    <w:basedOn w:val="37"/>
    <w:qFormat/>
    <w:uiPriority w:val="0"/>
  </w:style>
  <w:style w:type="character" w:customStyle="1" w:styleId="112">
    <w:name w:val="ant-select-tree-iconele"/>
    <w:basedOn w:val="37"/>
    <w:qFormat/>
    <w:uiPriority w:val="0"/>
  </w:style>
  <w:style w:type="character" w:customStyle="1" w:styleId="113">
    <w:name w:val="info-label"/>
    <w:qFormat/>
    <w:uiPriority w:val="0"/>
    <w:rPr>
      <w:b/>
    </w:rPr>
  </w:style>
  <w:style w:type="character" w:customStyle="1" w:styleId="114">
    <w:name w:val="temp"/>
    <w:basedOn w:val="37"/>
    <w:qFormat/>
    <w:uiPriority w:val="0"/>
  </w:style>
  <w:style w:type="character" w:customStyle="1" w:styleId="115">
    <w:name w:val="hover30"/>
    <w:basedOn w:val="37"/>
    <w:qFormat/>
    <w:uiPriority w:val="0"/>
    <w:rPr>
      <w:color w:val="315EFB"/>
    </w:rPr>
  </w:style>
  <w:style w:type="character" w:customStyle="1" w:styleId="116">
    <w:name w:val="ant-radio+*"/>
    <w:basedOn w:val="37"/>
    <w:qFormat/>
    <w:uiPriority w:val="0"/>
  </w:style>
  <w:style w:type="character" w:customStyle="1" w:styleId="117">
    <w:name w:val="all-fit-info2"/>
    <w:qFormat/>
    <w:uiPriority w:val="0"/>
    <w:rPr>
      <w:color w:val="939393"/>
    </w:rPr>
  </w:style>
  <w:style w:type="character" w:customStyle="1" w:styleId="118">
    <w:name w:val="ant-select-tree-switcher"/>
    <w:basedOn w:val="37"/>
    <w:qFormat/>
    <w:uiPriority w:val="0"/>
  </w:style>
  <w:style w:type="character" w:customStyle="1" w:styleId="119">
    <w:name w:val="标题 1.1.1 Char"/>
    <w:qFormat/>
    <w:uiPriority w:val="0"/>
    <w:rPr>
      <w:rFonts w:ascii="黑体" w:eastAsia="黑体"/>
      <w:bCs/>
      <w:sz w:val="30"/>
    </w:rPr>
  </w:style>
  <w:style w:type="character" w:customStyle="1" w:styleId="120">
    <w:name w:val="hover31"/>
    <w:basedOn w:val="37"/>
    <w:qFormat/>
    <w:uiPriority w:val="0"/>
  </w:style>
  <w:style w:type="character" w:customStyle="1" w:styleId="121">
    <w:name w:val="ant-tree-checkbox"/>
    <w:basedOn w:val="37"/>
    <w:qFormat/>
    <w:uiPriority w:val="0"/>
  </w:style>
  <w:style w:type="paragraph" w:customStyle="1" w:styleId="122">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xl2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olor w:val="auto"/>
      <w:kern w:val="0"/>
      <w:sz w:val="20"/>
    </w:rPr>
  </w:style>
  <w:style w:type="paragraph" w:customStyle="1" w:styleId="124">
    <w:name w:val="标题 3_0_1_0"/>
    <w:basedOn w:val="125"/>
    <w:next w:val="125"/>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125">
    <w:name w:val="正文_0_0_6"/>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26">
    <w:name w:val="Normal"/>
    <w:qFormat/>
    <w:uiPriority w:val="0"/>
    <w:rPr>
      <w:rFonts w:ascii="Times New Roman" w:hAnsi="Times New Roman" w:eastAsia="Times New Roman" w:cs="Times New Roman"/>
      <w:sz w:val="24"/>
      <w:szCs w:val="24"/>
      <w:lang w:val="en-US" w:eastAsia="zh-CN" w:bidi="ar-SA"/>
    </w:rPr>
  </w:style>
  <w:style w:type="paragraph" w:customStyle="1" w:styleId="127">
    <w:name w:val="正文_0_0_1"/>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28">
    <w:name w:val="正文_0_0_4"/>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29">
    <w:name w:val="xl26"/>
    <w:basedOn w:val="1"/>
    <w:qFormat/>
    <w:uiPriority w:val="0"/>
    <w:pPr>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olor w:val="auto"/>
      <w:kern w:val="0"/>
      <w:sz w:val="20"/>
    </w:rPr>
  </w:style>
  <w:style w:type="paragraph" w:customStyle="1" w:styleId="130">
    <w:name w:val="xl28"/>
    <w:basedOn w:val="1"/>
    <w:qFormat/>
    <w:uiPriority w:val="0"/>
    <w:pPr>
      <w:pBdr>
        <w:right w:val="single" w:color="auto" w:sz="4" w:space="0"/>
      </w:pBdr>
      <w:spacing w:before="100" w:beforeLines="0" w:beforeAutospacing="1" w:after="100" w:afterLines="0" w:afterAutospacing="1"/>
      <w:jc w:val="center"/>
    </w:pPr>
    <w:rPr>
      <w:rFonts w:ascii="宋体" w:hAnsi="宋体"/>
      <w:color w:val="auto"/>
      <w:kern w:val="0"/>
      <w:sz w:val="20"/>
    </w:rPr>
  </w:style>
  <w:style w:type="paragraph" w:customStyle="1" w:styleId="131">
    <w:name w:val="xl30"/>
    <w:basedOn w:val="1"/>
    <w:qFormat/>
    <w:uiPriority w:val="0"/>
    <w:pPr>
      <w:pBdr>
        <w:top w:val="single" w:color="auto" w:sz="4" w:space="0"/>
        <w:right w:val="single" w:color="auto" w:sz="4" w:space="0"/>
      </w:pBdr>
      <w:spacing w:before="100" w:beforeLines="0" w:beforeAutospacing="1" w:after="100" w:afterLines="0" w:afterAutospacing="1"/>
      <w:jc w:val="left"/>
    </w:pPr>
    <w:rPr>
      <w:rFonts w:ascii="宋体" w:hAnsi="宋体"/>
      <w:color w:val="auto"/>
      <w:kern w:val="0"/>
      <w:sz w:val="20"/>
    </w:rPr>
  </w:style>
  <w:style w:type="paragraph" w:customStyle="1" w:styleId="13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xl4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olor w:val="auto"/>
      <w:kern w:val="0"/>
      <w:sz w:val="20"/>
    </w:rPr>
  </w:style>
  <w:style w:type="paragraph" w:customStyle="1" w:styleId="135">
    <w:name w:val="xl3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color w:val="auto"/>
      <w:kern w:val="0"/>
      <w:sz w:val="20"/>
    </w:rPr>
  </w:style>
  <w:style w:type="paragraph" w:customStyle="1" w:styleId="136">
    <w:name w:val="xl42"/>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color w:val="auto"/>
      <w:kern w:val="0"/>
      <w:sz w:val="20"/>
    </w:rPr>
  </w:style>
  <w:style w:type="paragraph" w:customStyle="1" w:styleId="137">
    <w:name w:val="xl29"/>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auto"/>
      <w:kern w:val="0"/>
      <w:sz w:val="20"/>
    </w:rPr>
  </w:style>
  <w:style w:type="paragraph" w:customStyle="1" w:styleId="138">
    <w:name w:val="Normal_13"/>
    <w:qFormat/>
    <w:uiPriority w:val="0"/>
    <w:rPr>
      <w:rFonts w:ascii="黑体" w:hAnsi="黑体" w:eastAsia="黑体" w:cs="Times New Roman"/>
      <w:b/>
      <w:sz w:val="32"/>
      <w:szCs w:val="24"/>
      <w:lang w:val="en-US" w:eastAsia="zh-CN" w:bidi="ar-SA"/>
    </w:rPr>
  </w:style>
  <w:style w:type="paragraph" w:styleId="139">
    <w:name w:val="List Paragraph"/>
    <w:basedOn w:val="1"/>
    <w:qFormat/>
    <w:uiPriority w:val="0"/>
    <w:pPr>
      <w:ind w:firstLine="420" w:firstLineChars="200"/>
    </w:pPr>
  </w:style>
  <w:style w:type="paragraph" w:customStyle="1" w:styleId="140">
    <w:name w:val="xl3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auto"/>
      <w:kern w:val="0"/>
      <w:sz w:val="20"/>
    </w:rPr>
  </w:style>
  <w:style w:type="paragraph" w:customStyle="1" w:styleId="141">
    <w:name w:val="xl38"/>
    <w:basedOn w:val="1"/>
    <w:qFormat/>
    <w:uiPriority w:val="0"/>
    <w:pPr>
      <w:pBdr>
        <w:right w:val="single" w:color="auto" w:sz="4" w:space="0"/>
      </w:pBdr>
      <w:spacing w:before="100" w:beforeLines="0" w:beforeAutospacing="1" w:after="100" w:afterLines="0" w:afterAutospacing="1"/>
      <w:jc w:val="left"/>
    </w:pPr>
    <w:rPr>
      <w:color w:val="auto"/>
      <w:kern w:val="0"/>
      <w:sz w:val="20"/>
    </w:rPr>
  </w:style>
  <w:style w:type="paragraph" w:customStyle="1" w:styleId="142">
    <w:name w:val="font7"/>
    <w:basedOn w:val="1"/>
    <w:qFormat/>
    <w:uiPriority w:val="0"/>
    <w:pPr>
      <w:spacing w:before="100" w:beforeLines="0" w:beforeAutospacing="1" w:after="100" w:afterLines="0" w:afterAutospacing="1"/>
      <w:jc w:val="left"/>
    </w:pPr>
    <w:rPr>
      <w:color w:val="auto"/>
      <w:kern w:val="0"/>
      <w:sz w:val="20"/>
    </w:rPr>
  </w:style>
  <w:style w:type="paragraph" w:customStyle="1" w:styleId="143">
    <w:name w:val="标题 2_0_0_1"/>
    <w:basedOn w:val="144"/>
    <w:next w:val="144"/>
    <w:qFormat/>
    <w:uiPriority w:val="0"/>
    <w:pPr>
      <w:keepNext/>
      <w:keepLines/>
      <w:spacing w:before="260" w:after="260" w:line="416" w:lineRule="auto"/>
      <w:ind w:left="0" w:firstLine="0"/>
      <w:jc w:val="center"/>
      <w:outlineLvl w:val="1"/>
    </w:pPr>
    <w:rPr>
      <w:rFonts w:ascii="Calibri Light" w:hAnsi="Calibri Light"/>
      <w:b/>
      <w:bCs/>
      <w:kern w:val="0"/>
      <w:sz w:val="32"/>
      <w:szCs w:val="32"/>
    </w:rPr>
  </w:style>
  <w:style w:type="paragraph" w:customStyle="1" w:styleId="144">
    <w:name w:val="正文_0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45">
    <w:name w:val="xl49"/>
    <w:basedOn w:val="1"/>
    <w:qFormat/>
    <w:uiPriority w:val="0"/>
    <w:pPr>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宋体" w:hAnsi="宋体"/>
      <w:color w:val="auto"/>
      <w:kern w:val="0"/>
      <w:sz w:val="20"/>
    </w:rPr>
  </w:style>
  <w:style w:type="paragraph" w:customStyle="1" w:styleId="146">
    <w:name w:val="Plain Text"/>
    <w:basedOn w:val="1"/>
    <w:next w:val="1"/>
    <w:qFormat/>
    <w:uiPriority w:val="0"/>
    <w:pPr>
      <w:jc w:val="left"/>
      <w:textAlignment w:val="baseline"/>
    </w:pPr>
    <w:rPr>
      <w:rFonts w:ascii="宋体" w:eastAsia="宋体"/>
      <w:color w:val="000000"/>
      <w:sz w:val="24"/>
    </w:rPr>
  </w:style>
  <w:style w:type="paragraph" w:customStyle="1" w:styleId="147">
    <w:name w:val="Normal_4"/>
    <w:qFormat/>
    <w:uiPriority w:val="0"/>
    <w:rPr>
      <w:rFonts w:ascii="黑体" w:hAnsi="黑体" w:eastAsia="黑体" w:cs="Times New Roman"/>
      <w:b/>
      <w:sz w:val="32"/>
      <w:szCs w:val="24"/>
      <w:lang w:val="en-US" w:eastAsia="zh-CN" w:bidi="ar-SA"/>
    </w:rPr>
  </w:style>
  <w:style w:type="paragraph" w:customStyle="1" w:styleId="148">
    <w:name w:val="表名称"/>
    <w:basedOn w:val="11"/>
    <w:qFormat/>
    <w:uiPriority w:val="0"/>
    <w:pPr>
      <w:numPr>
        <w:ilvl w:val="0"/>
        <w:numId w:val="2"/>
      </w:numPr>
      <w:ind w:firstLine="0" w:firstLineChars="0"/>
      <w:jc w:val="center"/>
    </w:pPr>
  </w:style>
  <w:style w:type="paragraph" w:customStyle="1" w:styleId="14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页码1"/>
    <w:basedOn w:val="1"/>
    <w:next w:val="1"/>
    <w:qFormat/>
    <w:uiPriority w:val="0"/>
  </w:style>
  <w:style w:type="paragraph" w:customStyle="1" w:styleId="151">
    <w:name w:val="_Style 149"/>
    <w:basedOn w:val="1"/>
    <w:next w:val="1"/>
    <w:qFormat/>
    <w:uiPriority w:val="0"/>
    <w:pPr>
      <w:pBdr>
        <w:top w:val="single" w:color="auto" w:sz="6" w:space="1"/>
      </w:pBdr>
      <w:jc w:val="center"/>
    </w:pPr>
    <w:rPr>
      <w:rFonts w:ascii="Arial" w:eastAsia="宋体"/>
      <w:vanish/>
      <w:sz w:val="16"/>
    </w:rPr>
  </w:style>
  <w:style w:type="paragraph" w:customStyle="1" w:styleId="152">
    <w:name w:val="超级链接"/>
    <w:basedOn w:val="1"/>
    <w:next w:val="1"/>
    <w:qFormat/>
    <w:uiPriority w:val="0"/>
    <w:pPr>
      <w:jc w:val="both"/>
    </w:pPr>
    <w:rPr>
      <w:rFonts w:eastAsia="宋体"/>
      <w:color w:val="000000"/>
      <w:sz w:val="21"/>
    </w:rPr>
  </w:style>
  <w:style w:type="paragraph" w:customStyle="1" w:styleId="153">
    <w:name w:val="xl41"/>
    <w:basedOn w:val="1"/>
    <w:qFormat/>
    <w:uiPriority w:val="0"/>
    <w:pPr>
      <w:pBdr>
        <w:top w:val="single" w:color="auto" w:sz="4" w:space="0"/>
        <w:right w:val="single" w:color="auto" w:sz="4" w:space="0"/>
      </w:pBdr>
      <w:spacing w:before="100" w:beforeLines="0" w:beforeAutospacing="1" w:after="100" w:afterLines="0" w:afterAutospacing="1"/>
      <w:jc w:val="left"/>
    </w:pPr>
    <w:rPr>
      <w:color w:val="auto"/>
      <w:kern w:val="0"/>
      <w:sz w:val="20"/>
    </w:rPr>
  </w:style>
  <w:style w:type="paragraph" w:customStyle="1" w:styleId="154">
    <w:name w:val="BodyText"/>
    <w:basedOn w:val="1"/>
    <w:next w:val="1"/>
    <w:qFormat/>
    <w:uiPriority w:val="0"/>
    <w:pPr>
      <w:spacing w:after="120"/>
      <w:jc w:val="both"/>
      <w:textAlignment w:val="baseline"/>
    </w:pPr>
    <w:rPr>
      <w:rFonts w:ascii="Calibri" w:hAnsi="Calibri" w:eastAsia="宋体"/>
      <w:kern w:val="2"/>
      <w:sz w:val="21"/>
      <w:szCs w:val="24"/>
      <w:lang w:val="en-US" w:eastAsia="zh-CN" w:bidi="ar-SA"/>
    </w:rPr>
  </w:style>
  <w:style w:type="paragraph" w:customStyle="1" w:styleId="155">
    <w:name w:val="正文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56">
    <w:name w:val="xl44"/>
    <w:basedOn w:val="1"/>
    <w:qFormat/>
    <w:uiPriority w:val="0"/>
    <w:pPr>
      <w:pBdr>
        <w:top w:val="single" w:color="auto" w:sz="4" w:space="0"/>
        <w:right w:val="single" w:color="auto" w:sz="4" w:space="0"/>
      </w:pBdr>
      <w:spacing w:before="100" w:beforeLines="0" w:beforeAutospacing="1" w:after="100" w:afterLines="0" w:afterAutospacing="1"/>
      <w:jc w:val="left"/>
    </w:pPr>
    <w:rPr>
      <w:color w:val="auto"/>
      <w:kern w:val="0"/>
      <w:sz w:val="20"/>
    </w:rPr>
  </w:style>
  <w:style w:type="paragraph" w:customStyle="1" w:styleId="157">
    <w:name w:val="正文_0_0_5"/>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58">
    <w:name w:val="标题 2_0_1_0"/>
    <w:basedOn w:val="127"/>
    <w:next w:val="127"/>
    <w:qFormat/>
    <w:uiPriority w:val="0"/>
    <w:pPr>
      <w:keepNext/>
      <w:keepLines/>
      <w:spacing w:before="260" w:after="260" w:line="416" w:lineRule="auto"/>
      <w:ind w:left="0" w:firstLine="0"/>
      <w:jc w:val="center"/>
      <w:outlineLvl w:val="1"/>
    </w:pPr>
    <w:rPr>
      <w:rFonts w:ascii="Calibri Light" w:hAnsi="Calibri Light"/>
      <w:b/>
      <w:bCs/>
      <w:kern w:val="0"/>
      <w:sz w:val="32"/>
      <w:szCs w:val="32"/>
    </w:rPr>
  </w:style>
  <w:style w:type="paragraph" w:customStyle="1" w:styleId="1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
    <w:name w:val="WPS Plain"/>
    <w:qFormat/>
    <w:uiPriority w:val="0"/>
    <w:rPr>
      <w:rFonts w:ascii="Times New Roman" w:hAnsi="Times New Roman" w:eastAsia="宋体" w:cs="Times New Roman"/>
      <w:lang w:val="en-US" w:eastAsia="zh-CN" w:bidi="ar-SA"/>
    </w:rPr>
  </w:style>
  <w:style w:type="paragraph" w:customStyle="1" w:styleId="161">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162">
    <w:name w:val="表内文字"/>
    <w:basedOn w:val="1"/>
    <w:next w:val="1"/>
    <w:qFormat/>
    <w:uiPriority w:val="0"/>
    <w:pPr>
      <w:jc w:val="center"/>
    </w:pPr>
    <w:rPr>
      <w:rFonts w:ascii="仿宋_GB2312" w:eastAsia="仿宋_GB2312"/>
      <w:b/>
      <w:bCs/>
      <w:sz w:val="28"/>
    </w:rPr>
  </w:style>
  <w:style w:type="paragraph" w:customStyle="1" w:styleId="163">
    <w:name w:val="xl46"/>
    <w:basedOn w:val="1"/>
    <w:qFormat/>
    <w:uiPriority w:val="0"/>
    <w:pPr>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color w:val="auto"/>
      <w:kern w:val="0"/>
      <w:sz w:val="20"/>
    </w:rPr>
  </w:style>
  <w:style w:type="paragraph" w:customStyle="1" w:styleId="16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5">
    <w:name w:val="WPSOffice手动目录 1"/>
    <w:qFormat/>
    <w:uiPriority w:val="0"/>
    <w:rPr>
      <w:rFonts w:ascii="Times New Roman" w:hAnsi="Times New Roman" w:eastAsia="宋体" w:cs="Times New Roman"/>
      <w:lang w:val="en-US" w:eastAsia="zh-CN" w:bidi="ar-SA"/>
    </w:rPr>
  </w:style>
  <w:style w:type="paragraph" w:customStyle="1" w:styleId="166">
    <w:name w:val="xl22"/>
    <w:basedOn w:val="1"/>
    <w:qFormat/>
    <w:uiPriority w:val="0"/>
    <w:pPr>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b/>
      <w:bCs/>
      <w:color w:val="auto"/>
      <w:kern w:val="0"/>
      <w:sz w:val="20"/>
    </w:rPr>
  </w:style>
  <w:style w:type="paragraph" w:customStyle="1" w:styleId="167">
    <w:name w:val="xl23"/>
    <w:basedOn w:val="1"/>
    <w:qFormat/>
    <w:uiPriority w:val="0"/>
    <w:pPr>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b/>
      <w:bCs/>
      <w:color w:val="auto"/>
      <w:kern w:val="0"/>
      <w:sz w:val="20"/>
    </w:rPr>
  </w:style>
  <w:style w:type="paragraph" w:customStyle="1" w:styleId="168">
    <w:name w:val="标题 3_0_1"/>
    <w:basedOn w:val="128"/>
    <w:next w:val="128"/>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169">
    <w:name w:val="Normal_15"/>
    <w:qFormat/>
    <w:uiPriority w:val="0"/>
    <w:rPr>
      <w:rFonts w:ascii="黑体" w:hAnsi="黑体" w:eastAsia="黑体" w:cs="Times New Roman"/>
      <w:b/>
      <w:sz w:val="32"/>
      <w:szCs w:val="24"/>
      <w:lang w:val="en-US" w:eastAsia="zh-CN" w:bidi="ar-SA"/>
    </w:rPr>
  </w:style>
  <w:style w:type="paragraph" w:customStyle="1" w:styleId="170">
    <w:name w:val="列出段落1"/>
    <w:basedOn w:val="1"/>
    <w:qFormat/>
    <w:uiPriority w:val="0"/>
    <w:pPr>
      <w:ind w:firstLine="420" w:firstLineChars="200"/>
    </w:pPr>
    <w:rPr>
      <w:szCs w:val="21"/>
    </w:rPr>
  </w:style>
  <w:style w:type="paragraph" w:customStyle="1" w:styleId="171">
    <w:name w:val="font6"/>
    <w:basedOn w:val="1"/>
    <w:qFormat/>
    <w:uiPriority w:val="0"/>
    <w:pPr>
      <w:spacing w:before="100" w:beforeLines="0" w:beforeAutospacing="1" w:after="100" w:afterLines="0" w:afterAutospacing="1"/>
      <w:jc w:val="left"/>
    </w:pPr>
    <w:rPr>
      <w:rFonts w:hint="eastAsia" w:ascii="宋体" w:hAnsi="宋体"/>
      <w:color w:val="auto"/>
      <w:kern w:val="0"/>
      <w:sz w:val="18"/>
      <w:szCs w:val="18"/>
    </w:rPr>
  </w:style>
  <w:style w:type="paragraph" w:customStyle="1" w:styleId="172">
    <w:name w:val="xl34"/>
    <w:basedOn w:val="1"/>
    <w:qFormat/>
    <w:uiPriority w:val="0"/>
    <w:pPr>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color w:val="auto"/>
      <w:kern w:val="0"/>
      <w:sz w:val="20"/>
    </w:rPr>
  </w:style>
  <w:style w:type="paragraph" w:customStyle="1" w:styleId="173">
    <w:name w:val="Normal_7"/>
    <w:qFormat/>
    <w:uiPriority w:val="0"/>
    <w:rPr>
      <w:rFonts w:ascii="黑体" w:hAnsi="黑体" w:eastAsia="黑体" w:cs="Times New Roman"/>
      <w:b/>
      <w:sz w:val="32"/>
      <w:szCs w:val="24"/>
      <w:lang w:val="en-US" w:eastAsia="zh-CN" w:bidi="ar-SA"/>
    </w:rPr>
  </w:style>
  <w:style w:type="paragraph" w:customStyle="1" w:styleId="174">
    <w:name w:val="页码2"/>
    <w:basedOn w:val="1"/>
    <w:next w:val="1"/>
    <w:qFormat/>
    <w:uiPriority w:val="0"/>
    <w:pPr>
      <w:jc w:val="both"/>
    </w:pPr>
    <w:rPr>
      <w:rFonts w:eastAsia="宋体"/>
      <w:color w:val="000000"/>
      <w:sz w:val="21"/>
    </w:rPr>
  </w:style>
  <w:style w:type="paragraph" w:customStyle="1" w:styleId="175">
    <w:name w:val="正文文本缩进_0"/>
    <w:basedOn w:val="176"/>
    <w:unhideWhenUsed/>
    <w:qFormat/>
    <w:uiPriority w:val="0"/>
    <w:pPr>
      <w:ind w:firstLine="830" w:firstLineChars="352"/>
    </w:pPr>
    <w:rPr>
      <w:rFonts w:ascii="仿宋_GB2312" w:eastAsia="仿宋_GB2312"/>
      <w:kern w:val="0"/>
      <w:sz w:val="32"/>
      <w:szCs w:val="20"/>
    </w:rPr>
  </w:style>
  <w:style w:type="paragraph" w:customStyle="1" w:styleId="17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font5"/>
    <w:basedOn w:val="1"/>
    <w:qFormat/>
    <w:uiPriority w:val="0"/>
    <w:pPr>
      <w:spacing w:before="100" w:beforeLines="0" w:beforeAutospacing="1" w:after="100" w:afterLines="0" w:afterAutospacing="1"/>
      <w:jc w:val="left"/>
    </w:pPr>
    <w:rPr>
      <w:rFonts w:hint="eastAsia" w:ascii="宋体" w:hAnsi="宋体"/>
      <w:color w:val="auto"/>
      <w:kern w:val="0"/>
      <w:sz w:val="20"/>
    </w:rPr>
  </w:style>
  <w:style w:type="paragraph" w:customStyle="1" w:styleId="178">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80">
    <w:name w:val="Table Paragraph"/>
    <w:basedOn w:val="1"/>
    <w:qFormat/>
    <w:uiPriority w:val="1"/>
    <w:pPr>
      <w:jc w:val="left"/>
    </w:pPr>
    <w:rPr>
      <w:kern w:val="0"/>
      <w:sz w:val="22"/>
      <w:lang w:eastAsia="en-US"/>
    </w:rPr>
  </w:style>
  <w:style w:type="paragraph" w:customStyle="1" w:styleId="181">
    <w:name w:val="正文文字缩进 2"/>
    <w:basedOn w:val="1"/>
    <w:next w:val="1"/>
    <w:qFormat/>
    <w:uiPriority w:val="0"/>
    <w:pPr>
      <w:spacing w:after="120" w:afterLines="0" w:line="480" w:lineRule="auto"/>
      <w:ind w:left="420"/>
      <w:jc w:val="both"/>
    </w:pPr>
    <w:rPr>
      <w:rFonts w:eastAsia="宋体"/>
      <w:color w:val="000000"/>
      <w:sz w:val="21"/>
    </w:rPr>
  </w:style>
  <w:style w:type="paragraph" w:customStyle="1" w:styleId="182">
    <w:name w:val="Normal_3"/>
    <w:qFormat/>
    <w:uiPriority w:val="0"/>
    <w:rPr>
      <w:rFonts w:ascii="黑体" w:hAnsi="黑体" w:eastAsia="黑体" w:cs="Times New Roman"/>
      <w:b/>
      <w:sz w:val="32"/>
      <w:szCs w:val="24"/>
      <w:lang w:val="en-US" w:eastAsia="zh-CN" w:bidi="ar-SA"/>
    </w:rPr>
  </w:style>
  <w:style w:type="paragraph" w:customStyle="1" w:styleId="18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customStyle="1" w:styleId="184">
    <w:name w:val="标题 2_0_0_0_0"/>
    <w:basedOn w:val="122"/>
    <w:next w:val="122"/>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185">
    <w:name w:val="Normal_10"/>
    <w:qFormat/>
    <w:uiPriority w:val="0"/>
    <w:rPr>
      <w:rFonts w:ascii="黑体" w:hAnsi="黑体" w:eastAsia="黑体" w:cs="Times New Roman"/>
      <w:b/>
      <w:sz w:val="32"/>
      <w:szCs w:val="24"/>
      <w:lang w:val="en-US" w:eastAsia="zh-CN" w:bidi="ar-SA"/>
    </w:rPr>
  </w:style>
  <w:style w:type="paragraph" w:customStyle="1" w:styleId="186">
    <w:name w:val="已访问的超级链接"/>
    <w:basedOn w:val="1"/>
    <w:next w:val="1"/>
    <w:qFormat/>
    <w:uiPriority w:val="0"/>
    <w:pPr>
      <w:jc w:val="both"/>
    </w:pPr>
    <w:rPr>
      <w:rFonts w:eastAsia="宋体"/>
      <w:color w:val="000000"/>
      <w:sz w:val="21"/>
      <w:u w:val="single" w:color="000000"/>
    </w:rPr>
  </w:style>
  <w:style w:type="paragraph" w:customStyle="1" w:styleId="187">
    <w:name w:val="标题 3_0_0_0"/>
    <w:basedOn w:val="157"/>
    <w:next w:val="157"/>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18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xl32"/>
    <w:basedOn w:val="1"/>
    <w:qFormat/>
    <w:uiPriority w:val="0"/>
    <w:pPr>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color w:val="auto"/>
      <w:kern w:val="0"/>
      <w:sz w:val="20"/>
    </w:rPr>
  </w:style>
  <w:style w:type="paragraph" w:customStyle="1" w:styleId="190">
    <w:name w:val="纯文本_0"/>
    <w:basedOn w:val="178"/>
    <w:qFormat/>
    <w:uiPriority w:val="0"/>
    <w:rPr>
      <w:rFonts w:ascii="宋体" w:hAnsi="Courier New" w:eastAsia="等线"/>
      <w:kern w:val="0"/>
      <w:sz w:val="20"/>
      <w:szCs w:val="21"/>
    </w:rPr>
  </w:style>
  <w:style w:type="paragraph" w:customStyle="1" w:styleId="191">
    <w:name w:val="_Style 189"/>
    <w:basedOn w:val="1"/>
    <w:next w:val="1"/>
    <w:qFormat/>
    <w:uiPriority w:val="0"/>
    <w:pPr>
      <w:pBdr>
        <w:bottom w:val="single" w:color="auto" w:sz="6" w:space="1"/>
      </w:pBdr>
      <w:jc w:val="center"/>
    </w:pPr>
    <w:rPr>
      <w:rFonts w:ascii="Arial" w:eastAsia="宋体"/>
      <w:vanish/>
      <w:sz w:val="16"/>
    </w:rPr>
  </w:style>
  <w:style w:type="paragraph" w:customStyle="1" w:styleId="192">
    <w:name w:val="标题2正文"/>
    <w:basedOn w:val="1"/>
    <w:qFormat/>
    <w:uiPriority w:val="0"/>
    <w:pPr>
      <w:widowControl w:val="0"/>
      <w:spacing w:line="360" w:lineRule="auto"/>
      <w:ind w:firstLine="200" w:firstLineChars="200"/>
      <w:jc w:val="left"/>
    </w:pPr>
    <w:rPr>
      <w:color w:val="auto"/>
      <w:sz w:val="24"/>
      <w:szCs w:val="24"/>
    </w:rPr>
  </w:style>
  <w:style w:type="paragraph" w:customStyle="1" w:styleId="193">
    <w:name w:val="xl39"/>
    <w:basedOn w:val="1"/>
    <w:qFormat/>
    <w:uiPriority w:val="0"/>
    <w:pPr>
      <w:pBdr>
        <w:left w:val="single" w:color="auto" w:sz="4" w:space="0"/>
        <w:bottom w:val="single" w:color="auto" w:sz="4" w:space="0"/>
        <w:right w:val="single" w:color="auto" w:sz="8" w:space="0"/>
      </w:pBdr>
      <w:spacing w:before="100" w:beforeLines="0" w:beforeAutospacing="1" w:after="100" w:afterLines="0" w:afterAutospacing="1"/>
      <w:jc w:val="center"/>
    </w:pPr>
    <w:rPr>
      <w:color w:val="auto"/>
      <w:kern w:val="0"/>
      <w:sz w:val="20"/>
    </w:rPr>
  </w:style>
  <w:style w:type="paragraph" w:customStyle="1" w:styleId="194">
    <w:name w:val="xl48"/>
    <w:basedOn w:val="1"/>
    <w:qFormat/>
    <w:uiPriority w:val="0"/>
    <w:pPr>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pPr>
    <w:rPr>
      <w:rFonts w:ascii="宋体" w:hAnsi="宋体"/>
      <w:color w:val="auto"/>
      <w:kern w:val="0"/>
      <w:sz w:val="20"/>
    </w:rPr>
  </w:style>
  <w:style w:type="paragraph" w:customStyle="1" w:styleId="195">
    <w:name w:val="正文（首行缩进两字）"/>
    <w:basedOn w:val="1"/>
    <w:next w:val="1"/>
    <w:qFormat/>
    <w:uiPriority w:val="0"/>
    <w:pPr>
      <w:ind w:firstLine="420"/>
      <w:jc w:val="both"/>
    </w:pPr>
    <w:rPr>
      <w:rFonts w:ascii="宋体" w:eastAsia="宋体"/>
      <w:color w:val="000000"/>
      <w:sz w:val="21"/>
    </w:rPr>
  </w:style>
  <w:style w:type="paragraph" w:customStyle="1" w:styleId="196">
    <w:name w:val="日期_0"/>
    <w:basedOn w:val="197"/>
    <w:next w:val="149"/>
    <w:qFormat/>
    <w:uiPriority w:val="0"/>
    <w:pPr>
      <w:adjustRightInd w:val="0"/>
      <w:spacing w:line="360" w:lineRule="atLeast"/>
    </w:pPr>
    <w:rPr>
      <w:rFonts w:ascii="宋体"/>
      <w:kern w:val="0"/>
      <w:sz w:val="24"/>
      <w:szCs w:val="20"/>
    </w:rPr>
  </w:style>
  <w:style w:type="paragraph" w:customStyle="1" w:styleId="197">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样式 样式 样式 左侧:  2 字符1 + 首行缩进:  2 字符1 + 首行缩进:  2 字符"/>
    <w:basedOn w:val="1"/>
    <w:qFormat/>
    <w:uiPriority w:val="0"/>
    <w:pPr>
      <w:adjustRightInd w:val="0"/>
      <w:spacing w:before="60" w:beforeLines="0" w:after="120" w:afterLines="0" w:line="440" w:lineRule="atLeast"/>
      <w:ind w:firstLine="480"/>
    </w:pPr>
    <w:rPr>
      <w:color w:val="auto"/>
      <w:sz w:val="24"/>
    </w:rPr>
  </w:style>
  <w:style w:type="paragraph" w:customStyle="1" w:styleId="199">
    <w:name w:val="Body Text 21"/>
    <w:basedOn w:val="1"/>
    <w:next w:val="1"/>
    <w:qFormat/>
    <w:uiPriority w:val="0"/>
    <w:pPr>
      <w:spacing w:line="300" w:lineRule="auto"/>
      <w:jc w:val="center"/>
    </w:pPr>
    <w:rPr>
      <w:rFonts w:ascii="宋体"/>
      <w:sz w:val="24"/>
    </w:rPr>
  </w:style>
  <w:style w:type="paragraph" w:customStyle="1" w:styleId="200">
    <w:name w:val="xl3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color w:val="auto"/>
      <w:kern w:val="0"/>
      <w:sz w:val="20"/>
    </w:rPr>
  </w:style>
  <w:style w:type="paragraph" w:customStyle="1" w:styleId="201">
    <w:name w:val=" Char1 Char Char Char Char Char Char"/>
    <w:basedOn w:val="1"/>
    <w:qFormat/>
    <w:uiPriority w:val="0"/>
    <w:pPr>
      <w:spacing w:line="400" w:lineRule="exact"/>
      <w:jc w:val="center"/>
    </w:pPr>
    <w:rPr>
      <w:color w:val="auto"/>
      <w:szCs w:val="21"/>
    </w:rPr>
  </w:style>
  <w:style w:type="paragraph" w:styleId="202">
    <w:name w:val="No Spacing"/>
    <w:qFormat/>
    <w:uiPriority w:val="1"/>
    <w:rPr>
      <w:rFonts w:ascii="Calibri" w:hAnsi="Calibri" w:eastAsia="宋体" w:cs="Times New Roman"/>
      <w:kern w:val="2"/>
      <w:sz w:val="22"/>
      <w:szCs w:val="22"/>
      <w:lang w:val="en-US" w:eastAsia="en-US" w:bidi="en-US"/>
    </w:rPr>
  </w:style>
  <w:style w:type="paragraph" w:customStyle="1" w:styleId="203">
    <w:name w:val="xl37"/>
    <w:basedOn w:val="1"/>
    <w:qFormat/>
    <w:uiPriority w:val="0"/>
    <w:pPr>
      <w:pBdr>
        <w:right w:val="single" w:color="auto" w:sz="4" w:space="0"/>
      </w:pBdr>
      <w:spacing w:before="100" w:beforeLines="0" w:beforeAutospacing="1" w:after="100" w:afterLines="0" w:afterAutospacing="1"/>
      <w:jc w:val="center"/>
    </w:pPr>
    <w:rPr>
      <w:color w:val="auto"/>
      <w:kern w:val="0"/>
      <w:sz w:val="20"/>
    </w:rPr>
  </w:style>
  <w:style w:type="paragraph" w:customStyle="1" w:styleId="204">
    <w:name w:val="Normal_12"/>
    <w:qFormat/>
    <w:uiPriority w:val="0"/>
    <w:rPr>
      <w:rFonts w:ascii="黑体" w:hAnsi="黑体" w:eastAsia="黑体" w:cs="Times New Roman"/>
      <w:b/>
      <w:sz w:val="32"/>
      <w:szCs w:val="24"/>
      <w:lang w:val="en-US" w:eastAsia="zh-CN" w:bidi="ar-SA"/>
    </w:rPr>
  </w:style>
  <w:style w:type="paragraph" w:customStyle="1" w:styleId="205">
    <w:name w:val="正文_0_0_3"/>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206">
    <w:name w:val="Normal_1"/>
    <w:qFormat/>
    <w:uiPriority w:val="0"/>
    <w:rPr>
      <w:rFonts w:ascii="黑体" w:hAnsi="黑体" w:eastAsia="黑体" w:cs="Times New Roman"/>
      <w:b/>
      <w:sz w:val="32"/>
      <w:szCs w:val="24"/>
      <w:lang w:val="en-US" w:eastAsia="zh-CN" w:bidi="ar-SA"/>
    </w:rPr>
  </w:style>
  <w:style w:type="paragraph" w:customStyle="1" w:styleId="207">
    <w:name w:val="xl36"/>
    <w:basedOn w:val="1"/>
    <w:qFormat/>
    <w:uiPriority w:val="0"/>
    <w:pPr>
      <w:pBdr>
        <w:right w:val="single" w:color="auto" w:sz="4" w:space="0"/>
      </w:pBdr>
      <w:spacing w:before="100" w:beforeLines="0" w:beforeAutospacing="1" w:after="100" w:afterLines="0" w:afterAutospacing="1"/>
      <w:jc w:val="left"/>
    </w:pPr>
    <w:rPr>
      <w:rFonts w:ascii="宋体" w:hAnsi="宋体"/>
      <w:color w:val="auto"/>
      <w:kern w:val="0"/>
      <w:sz w:val="20"/>
    </w:rPr>
  </w:style>
  <w:style w:type="paragraph" w:customStyle="1" w:styleId="20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正文首行缩进 21"/>
    <w:basedOn w:val="210"/>
    <w:qFormat/>
    <w:uiPriority w:val="0"/>
    <w:pPr>
      <w:widowControl w:val="0"/>
      <w:spacing w:line="500" w:lineRule="exact"/>
      <w:ind w:firstLine="420" w:firstLineChars="200"/>
    </w:pPr>
    <w:rPr>
      <w:szCs w:val="22"/>
    </w:rPr>
  </w:style>
  <w:style w:type="paragraph" w:customStyle="1" w:styleId="210">
    <w:name w:val="正文文本缩进1"/>
    <w:basedOn w:val="1"/>
    <w:qFormat/>
    <w:uiPriority w:val="0"/>
    <w:pPr>
      <w:spacing w:line="500" w:lineRule="exact"/>
      <w:ind w:firstLine="880" w:firstLineChars="200"/>
    </w:pPr>
    <w:rPr>
      <w:rFonts w:ascii="Times New Roman" w:hAnsi="Times New Roman" w:eastAsia="宋体" w:cs="Times New Roman"/>
    </w:rPr>
  </w:style>
  <w:style w:type="paragraph" w:customStyle="1" w:styleId="211">
    <w:name w:val="Normal_9"/>
    <w:qFormat/>
    <w:uiPriority w:val="0"/>
    <w:rPr>
      <w:rFonts w:ascii="黑体" w:hAnsi="黑体" w:eastAsia="黑体" w:cs="Times New Roman"/>
      <w:b/>
      <w:sz w:val="32"/>
      <w:szCs w:val="24"/>
      <w:lang w:val="en-US" w:eastAsia="zh-CN" w:bidi="ar-SA"/>
    </w:rPr>
  </w:style>
  <w:style w:type="paragraph" w:customStyle="1" w:styleId="212">
    <w:name w:val="标题 2_0_0_1_0"/>
    <w:basedOn w:val="132"/>
    <w:next w:val="132"/>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213">
    <w:name w:val="正文缩进_0_0"/>
    <w:basedOn w:val="133"/>
    <w:unhideWhenUsed/>
    <w:qFormat/>
    <w:uiPriority w:val="0"/>
    <w:pPr>
      <w:ind w:firstLine="420" w:firstLineChars="200"/>
    </w:pPr>
    <w:rPr>
      <w:rFonts w:ascii="Calibri" w:hAnsi="Calibri"/>
      <w:kern w:val="0"/>
      <w:sz w:val="20"/>
      <w:szCs w:val="20"/>
    </w:rPr>
  </w:style>
  <w:style w:type="paragraph" w:customStyle="1" w:styleId="214">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215">
    <w:name w:val="Normal_8"/>
    <w:qFormat/>
    <w:uiPriority w:val="0"/>
    <w:rPr>
      <w:rFonts w:ascii="黑体" w:hAnsi="黑体" w:eastAsia="黑体" w:cs="Times New Roman"/>
      <w:b/>
      <w:sz w:val="32"/>
      <w:szCs w:val="24"/>
      <w:lang w:val="en-US" w:eastAsia="zh-CN" w:bidi="ar-SA"/>
    </w:rPr>
  </w:style>
  <w:style w:type="paragraph" w:customStyle="1" w:styleId="216">
    <w:name w:val="xl24"/>
    <w:basedOn w:val="1"/>
    <w:qFormat/>
    <w:uiPriority w:val="0"/>
    <w:pPr>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b/>
      <w:bCs/>
      <w:color w:val="auto"/>
      <w:kern w:val="0"/>
      <w:sz w:val="20"/>
    </w:rPr>
  </w:style>
  <w:style w:type="paragraph" w:customStyle="1" w:styleId="217">
    <w:name w:val="xl51"/>
    <w:basedOn w:val="1"/>
    <w:qFormat/>
    <w:uiPriority w:val="0"/>
    <w:pPr>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pPr>
    <w:rPr>
      <w:rFonts w:ascii="宋体" w:hAnsi="宋体"/>
      <w:color w:val="auto"/>
      <w:kern w:val="0"/>
      <w:sz w:val="20"/>
    </w:rPr>
  </w:style>
  <w:style w:type="paragraph" w:customStyle="1" w:styleId="218">
    <w:name w:val="xl47"/>
    <w:basedOn w:val="1"/>
    <w:qFormat/>
    <w:uiPriority w:val="0"/>
    <w:pPr>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宋体" w:hAnsi="宋体"/>
      <w:color w:val="auto"/>
      <w:kern w:val="0"/>
      <w:sz w:val="20"/>
    </w:rPr>
  </w:style>
  <w:style w:type="paragraph" w:customStyle="1" w:styleId="219">
    <w:name w:val="标题 2_0_2"/>
    <w:basedOn w:val="197"/>
    <w:next w:val="197"/>
    <w:qFormat/>
    <w:uiPriority w:val="0"/>
    <w:pPr>
      <w:keepNext/>
      <w:keepLines/>
      <w:widowControl/>
      <w:spacing w:before="260" w:after="260" w:line="416" w:lineRule="auto"/>
      <w:jc w:val="center"/>
      <w:outlineLvl w:val="1"/>
    </w:pPr>
    <w:rPr>
      <w:rFonts w:ascii="Calibri Light" w:hAnsi="Calibri Light"/>
      <w:b/>
      <w:bCs/>
      <w:kern w:val="0"/>
      <w:sz w:val="32"/>
      <w:szCs w:val="32"/>
    </w:rPr>
  </w:style>
  <w:style w:type="paragraph" w:customStyle="1" w:styleId="220">
    <w:name w:val="NormalIndent"/>
    <w:basedOn w:val="1"/>
    <w:qFormat/>
    <w:uiPriority w:val="0"/>
    <w:pPr>
      <w:spacing w:line="240" w:lineRule="auto"/>
      <w:ind w:firstLine="420" w:firstLineChars="200"/>
      <w:jc w:val="both"/>
    </w:pPr>
    <w:rPr>
      <w:rFonts w:ascii="Times New Roman" w:hAnsi="Times New Roman" w:eastAsia="宋体" w:cs="Times New Roman"/>
    </w:rPr>
  </w:style>
  <w:style w:type="paragraph" w:customStyle="1" w:styleId="2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2">
    <w:name w:val="xl43"/>
    <w:basedOn w:val="1"/>
    <w:qFormat/>
    <w:uiPriority w:val="0"/>
    <w:pPr>
      <w:pBdr>
        <w:right w:val="single" w:color="auto" w:sz="4" w:space="0"/>
      </w:pBdr>
      <w:spacing w:before="100" w:beforeLines="0" w:beforeAutospacing="1" w:after="100" w:afterLines="0" w:afterAutospacing="1"/>
      <w:jc w:val="left"/>
    </w:pPr>
    <w:rPr>
      <w:color w:val="auto"/>
      <w:kern w:val="0"/>
      <w:sz w:val="20"/>
    </w:rPr>
  </w:style>
  <w:style w:type="paragraph" w:customStyle="1" w:styleId="223">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224">
    <w:name w:val="Normal_5"/>
    <w:qFormat/>
    <w:uiPriority w:val="0"/>
    <w:rPr>
      <w:rFonts w:ascii="黑体" w:hAnsi="黑体" w:eastAsia="黑体" w:cs="Times New Roman"/>
      <w:b/>
      <w:sz w:val="32"/>
      <w:szCs w:val="24"/>
      <w:lang w:val="en-US" w:eastAsia="zh-CN" w:bidi="ar-SA"/>
    </w:rPr>
  </w:style>
  <w:style w:type="paragraph" w:customStyle="1" w:styleId="225">
    <w:name w:val="Normal_2"/>
    <w:qFormat/>
    <w:uiPriority w:val="0"/>
    <w:rPr>
      <w:rFonts w:ascii="黑体" w:hAnsi="黑体" w:eastAsia="黑体" w:cs="Times New Roman"/>
      <w:b/>
      <w:sz w:val="32"/>
      <w:szCs w:val="24"/>
      <w:lang w:val="en-US" w:eastAsia="zh-CN" w:bidi="ar-SA"/>
    </w:rPr>
  </w:style>
  <w:style w:type="paragraph" w:customStyle="1" w:styleId="226">
    <w:name w:val="Normal_14"/>
    <w:qFormat/>
    <w:uiPriority w:val="0"/>
    <w:rPr>
      <w:rFonts w:ascii="黑体" w:hAnsi="黑体" w:eastAsia="黑体" w:cs="Times New Roman"/>
      <w:b/>
      <w:sz w:val="32"/>
      <w:szCs w:val="24"/>
      <w:lang w:val="en-US" w:eastAsia="zh-CN" w:bidi="ar-SA"/>
    </w:rPr>
  </w:style>
  <w:style w:type="paragraph" w:customStyle="1" w:styleId="227">
    <w:name w:val="Char"/>
    <w:basedOn w:val="1"/>
    <w:qFormat/>
    <w:uiPriority w:val="0"/>
    <w:pPr>
      <w:widowControl w:val="0"/>
    </w:pPr>
    <w:rPr>
      <w:color w:val="auto"/>
    </w:rPr>
  </w:style>
  <w:style w:type="paragraph" w:customStyle="1" w:styleId="228">
    <w:name w:val="标题 2_0_1"/>
    <w:basedOn w:val="155"/>
    <w:next w:val="155"/>
    <w:qFormat/>
    <w:uiPriority w:val="0"/>
    <w:pPr>
      <w:keepNext/>
      <w:keepLines/>
      <w:spacing w:before="260" w:after="260" w:line="416" w:lineRule="auto"/>
      <w:ind w:left="0" w:firstLine="0"/>
      <w:jc w:val="center"/>
      <w:outlineLvl w:val="1"/>
    </w:pPr>
    <w:rPr>
      <w:rFonts w:ascii="Calibri Light" w:hAnsi="Calibri Light"/>
      <w:b/>
      <w:bCs/>
      <w:kern w:val="0"/>
      <w:sz w:val="32"/>
      <w:szCs w:val="32"/>
    </w:rPr>
  </w:style>
  <w:style w:type="paragraph" w:customStyle="1" w:styleId="229">
    <w:name w:val="正文_0_0_2"/>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230">
    <w:name w:val="Normal_16"/>
    <w:qFormat/>
    <w:uiPriority w:val="0"/>
    <w:rPr>
      <w:rFonts w:ascii="Times New Roman" w:hAnsi="Times New Roman" w:eastAsia="Times New Roman" w:cs="Times New Roman"/>
      <w:sz w:val="24"/>
      <w:szCs w:val="24"/>
      <w:lang w:val="en-US" w:eastAsia="zh-CN" w:bidi="ar-SA"/>
    </w:rPr>
  </w:style>
  <w:style w:type="paragraph" w:customStyle="1" w:styleId="231">
    <w:name w:val="xl50"/>
    <w:basedOn w:val="1"/>
    <w:qFormat/>
    <w:uiPriority w:val="0"/>
    <w:pPr>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pPr>
    <w:rPr>
      <w:color w:val="auto"/>
      <w:kern w:val="0"/>
      <w:sz w:val="20"/>
    </w:rPr>
  </w:style>
  <w:style w:type="paragraph" w:customStyle="1" w:styleId="232">
    <w:name w:val="Normal_0_0"/>
    <w:qFormat/>
    <w:uiPriority w:val="0"/>
    <w:rPr>
      <w:rFonts w:ascii="黑体" w:hAnsi="黑体" w:eastAsia="黑体" w:cs="Times New Roman"/>
      <w:b/>
      <w:sz w:val="32"/>
      <w:szCs w:val="24"/>
      <w:lang w:val="en-US" w:eastAsia="zh-CN" w:bidi="ar-SA"/>
    </w:rPr>
  </w:style>
  <w:style w:type="paragraph" w:customStyle="1" w:styleId="233">
    <w:name w:val="正文文本_4"/>
    <w:basedOn w:val="132"/>
    <w:qFormat/>
    <w:uiPriority w:val="0"/>
    <w:pPr>
      <w:spacing w:after="120"/>
    </w:pPr>
    <w:rPr>
      <w:rFonts w:ascii="Times New Roman" w:hAnsi="Times New Roman"/>
      <w:szCs w:val="24"/>
    </w:rPr>
  </w:style>
  <w:style w:type="paragraph" w:customStyle="1" w:styleId="23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11"/>
    <w:qFormat/>
    <w:uiPriority w:val="0"/>
    <w:rPr>
      <w:rFonts w:ascii="黑体" w:hAnsi="黑体" w:eastAsia="黑体" w:cs="Times New Roman"/>
      <w:b/>
      <w:sz w:val="32"/>
      <w:szCs w:val="24"/>
      <w:lang w:val="en-US" w:eastAsia="zh-CN" w:bidi="ar-SA"/>
    </w:rPr>
  </w:style>
  <w:style w:type="paragraph" w:customStyle="1" w:styleId="236">
    <w:name w:val="cos-line-clamp-4"/>
    <w:basedOn w:val="1"/>
    <w:qFormat/>
    <w:uiPriority w:val="0"/>
    <w:pPr>
      <w:jc w:val="left"/>
    </w:pPr>
    <w:rPr>
      <w:kern w:val="0"/>
      <w:lang w:val="en-US" w:eastAsia="zh-CN" w:bidi="ar"/>
    </w:rPr>
  </w:style>
  <w:style w:type="paragraph" w:customStyle="1" w:styleId="237">
    <w:name w:val="表正文"/>
    <w:basedOn w:val="1"/>
    <w:next w:val="1"/>
    <w:qFormat/>
    <w:uiPriority w:val="0"/>
    <w:pPr>
      <w:widowControl/>
      <w:ind w:firstLine="420"/>
      <w:jc w:val="both"/>
    </w:pPr>
    <w:rPr>
      <w:rFonts w:eastAsia="宋体"/>
      <w:color w:val="000000"/>
      <w:sz w:val="21"/>
    </w:rPr>
  </w:style>
  <w:style w:type="paragraph" w:customStyle="1" w:styleId="238">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普通文字"/>
    <w:basedOn w:val="1"/>
    <w:next w:val="1"/>
    <w:qFormat/>
    <w:uiPriority w:val="0"/>
    <w:pPr>
      <w:jc w:val="both"/>
    </w:pPr>
    <w:rPr>
      <w:rFonts w:ascii="宋体" w:eastAsia="宋体"/>
      <w:color w:val="000000"/>
      <w:sz w:val="21"/>
    </w:rPr>
  </w:style>
  <w:style w:type="paragraph" w:customStyle="1" w:styleId="240">
    <w:name w:val="xl40"/>
    <w:basedOn w:val="1"/>
    <w:qFormat/>
    <w:uiPriority w:val="0"/>
    <w:pPr>
      <w:pBdr>
        <w:top w:val="single" w:color="auto" w:sz="4" w:space="0"/>
        <w:right w:val="single" w:color="auto" w:sz="4" w:space="0"/>
      </w:pBdr>
      <w:spacing w:before="100" w:beforeLines="0" w:beforeAutospacing="1" w:after="100" w:afterLines="0" w:afterAutospacing="1"/>
      <w:jc w:val="center"/>
    </w:pPr>
    <w:rPr>
      <w:color w:val="auto"/>
      <w:kern w:val="0"/>
      <w:sz w:val="20"/>
    </w:rPr>
  </w:style>
  <w:style w:type="paragraph" w:customStyle="1" w:styleId="241">
    <w:name w:val="xl27"/>
    <w:basedOn w:val="1"/>
    <w:qFormat/>
    <w:uiPriority w:val="0"/>
    <w:pPr>
      <w:pBdr>
        <w:top w:val="single" w:color="auto" w:sz="4" w:space="0"/>
        <w:right w:val="single" w:color="auto" w:sz="4" w:space="0"/>
      </w:pBdr>
      <w:spacing w:before="100" w:beforeLines="0" w:beforeAutospacing="1" w:after="100" w:afterLines="0" w:afterAutospacing="1"/>
      <w:jc w:val="center"/>
    </w:pPr>
    <w:rPr>
      <w:rFonts w:ascii="宋体" w:hAnsi="宋体"/>
      <w:color w:val="auto"/>
      <w:kern w:val="0"/>
      <w:sz w:val="20"/>
    </w:rPr>
  </w:style>
  <w:style w:type="paragraph" w:customStyle="1" w:styleId="242">
    <w:name w:val="标题 2_0_0_0"/>
    <w:basedOn w:val="188"/>
    <w:next w:val="188"/>
    <w:qFormat/>
    <w:uiPriority w:val="0"/>
    <w:pPr>
      <w:keepNext/>
      <w:keepLines/>
      <w:spacing w:before="120" w:after="120" w:line="360" w:lineRule="auto"/>
      <w:jc w:val="center"/>
      <w:outlineLvl w:val="1"/>
    </w:pPr>
    <w:rPr>
      <w:rFonts w:ascii="宋体" w:hAnsi="宋体"/>
      <w:b/>
      <w:bCs/>
      <w:kern w:val="0"/>
      <w:sz w:val="36"/>
      <w:szCs w:val="18"/>
    </w:rPr>
  </w:style>
  <w:style w:type="table" w:customStyle="1" w:styleId="243">
    <w:name w:val="无格式表格 15"/>
    <w:basedOn w:val="3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44">
    <w:name w:val="Plain Table 1"/>
    <w:basedOn w:val="35"/>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245">
    <w:name w:val="无格式表格 14"/>
    <w:basedOn w:val="3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46">
    <w:name w:val="无格式表格 13"/>
    <w:basedOn w:val="3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247">
    <w:name w:val="首行缩进"/>
    <w:basedOn w:val="1"/>
    <w:qFormat/>
    <w:uiPriority w:val="0"/>
    <w:pPr>
      <w:spacing w:line="360" w:lineRule="auto"/>
      <w:ind w:firstLine="480" w:firstLineChars="200"/>
    </w:pPr>
    <w:rPr>
      <w:rFonts w:ascii="宋体" w:hAnsi="宋体" w:cs="宋体"/>
      <w:kern w:val="0"/>
      <w:sz w:val="24"/>
    </w:rPr>
  </w:style>
  <w:style w:type="paragraph" w:customStyle="1" w:styleId="24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Table Text"/>
    <w:basedOn w:val="1"/>
    <w:semiHidden/>
    <w:qFormat/>
    <w:uiPriority w:val="0"/>
    <w:rPr>
      <w:rFonts w:ascii="宋体" w:hAnsi="宋体" w:eastAsia="宋体" w:cs="宋体"/>
      <w:sz w:val="28"/>
      <w:szCs w:val="28"/>
      <w:lang w:val="en-US" w:eastAsia="en-US" w:bidi="ar-SA"/>
    </w:rPr>
  </w:style>
  <w:style w:type="table" w:customStyle="1" w:styleId="2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zfcg</Company>
  <Pages>87</Pages>
  <Words>18710</Words>
  <Characters>19659</Characters>
  <Lines>282</Lines>
  <Paragraphs>79</Paragraphs>
  <TotalTime>153</TotalTime>
  <ScaleCrop>false</ScaleCrop>
  <LinksUpToDate>false</LinksUpToDate>
  <CharactersWithSpaces>19807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2008-12-14T12:52:00Z</dcterms:created>
  <dc:creator>zfcg001</dc:creator>
  <cp:lastModifiedBy>Return</cp:lastModifiedBy>
  <cp:lastPrinted>2026-04-09T02:50:00Z</cp:lastPrinted>
  <dcterms:modified xsi:type="dcterms:W3CDTF">2026-04-22T09:09:21Z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2E6ECCDA8A0046578ED797A5C6B6F3B2_13</vt:lpwstr>
  </property>
  <property fmtid="{D5CDD505-2E9C-101B-9397-08002B2CF9AE}" pid="4" name="commondata">
    <vt:lpwstr>eyJoZGlkIjoiYjYzN2Y1ODRlZGYzNTlhNGQ3ODk3NzdmMWFlZjZkZWEifQ==</vt:lpwstr>
  </property>
  <property fmtid="{D5CDD505-2E9C-101B-9397-08002B2CF9AE}" pid="5" name="KSOTemplateDocerSaveRecord">
    <vt:lpwstr>eyJoZGlkIjoiYTRhMzIyZDExMjFkMTVhMTM3YWM1YmMyYzFhMzIwODkiLCJ1c2VySWQiOiIyNjI2Njk2NzIifQ==</vt:lpwstr>
  </property>
</Properties>
</file>