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3448">
      <w:pPr>
        <w:tabs>
          <w:tab w:val="left" w:pos="1134"/>
          <w:tab w:val="left" w:pos="5481"/>
          <w:tab w:val="left" w:pos="5859"/>
        </w:tabs>
        <w:jc w:val="center"/>
        <w:rPr>
          <w:rFonts w:hint="default" w:ascii="Times New Roman" w:hAnsi="Times New Roman" w:eastAsia="华文中宋" w:cs="Times New Roman"/>
          <w:b/>
          <w:color w:val="000000" w:themeColor="text1"/>
          <w:sz w:val="52"/>
          <w:lang w:val="en-US" w:eastAsia="zh-CN"/>
          <w14:textFill>
            <w14:solidFill>
              <w14:schemeClr w14:val="tx1"/>
            </w14:solidFill>
          </w14:textFill>
        </w:rPr>
      </w:pPr>
    </w:p>
    <w:p w14:paraId="7F6116A1">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阿勒泰地区政府采购</w:t>
      </w:r>
    </w:p>
    <w:p w14:paraId="12CA7754">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竞争性磋商文件</w:t>
      </w:r>
    </w:p>
    <w:p w14:paraId="1FDEE8DF">
      <w:pPr>
        <w:tabs>
          <w:tab w:val="left" w:pos="1134"/>
          <w:tab w:val="left" w:pos="5160"/>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（服务类）</w:t>
      </w:r>
    </w:p>
    <w:p w14:paraId="45C5B87E">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p>
    <w:p w14:paraId="1FBFE96A">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p>
    <w:p w14:paraId="38A19B9D">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53155BCA">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1EC38A79">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5B5EF196">
      <w:pPr>
        <w:tabs>
          <w:tab w:val="left" w:pos="1134"/>
          <w:tab w:val="left" w:pos="5481"/>
          <w:tab w:val="left" w:pos="5859"/>
        </w:tabs>
        <w:jc w:val="both"/>
        <w:rPr>
          <w:rFonts w:hint="default" w:ascii="Times New Roman" w:hAnsi="Times New Roman" w:eastAsia="黑体" w:cs="Times New Roman"/>
          <w:b/>
          <w:bCs w:val="0"/>
          <w:color w:val="000000" w:themeColor="text1"/>
          <w:sz w:val="32"/>
          <w14:textFill>
            <w14:solidFill>
              <w14:schemeClr w14:val="tx1"/>
            </w14:solidFill>
          </w14:textFill>
        </w:rPr>
      </w:pPr>
    </w:p>
    <w:p w14:paraId="6C15D146">
      <w:pPr>
        <w:pStyle w:val="30"/>
        <w:keepNext w:val="0"/>
        <w:keepLines w:val="0"/>
        <w:widowControl/>
        <w:suppressLineNumbers w:val="0"/>
        <w:spacing w:before="0" w:beforeAutospacing="0" w:after="0" w:afterAutospacing="0"/>
        <w:ind w:left="2953" w:leftChars="609" w:right="0" w:hanging="1674" w:hangingChars="521"/>
        <w:jc w:val="left"/>
        <w:rPr>
          <w:rFonts w:hint="default" w:ascii="Times New Roman" w:hAnsi="Times New Roman" w:eastAsia="仿宋_GB2312" w:cs="Times New Roman"/>
          <w:b w:val="0"/>
          <w:bCs/>
          <w:strike w:val="0"/>
          <w:dstrike w:val="0"/>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t>阿勒泰地区自然资源局-阿勒泰地区国土空间总体规划动态优化调整项目</w:t>
      </w:r>
    </w:p>
    <w:p w14:paraId="61AA05C5">
      <w:pPr>
        <w:pStyle w:val="17"/>
        <w:ind w:left="1260" w:leftChars="600" w:firstLine="0" w:firstLineChars="0"/>
        <w:jc w:val="left"/>
        <w:rPr>
          <w:rFonts w:hint="default" w:ascii="Times New Roman" w:hAnsi="Times New Roman" w:cs="Times New Roman"/>
          <w:b w:val="0"/>
          <w:bCs/>
          <w:color w:val="000000" w:themeColor="text1"/>
          <w:sz w:val="32"/>
          <w:szCs w:val="32"/>
          <w:u w:val="single"/>
          <w:lang w:val="en-US" w:eastAsia="zh-CN"/>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项目编号：</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ADCG-JZ(20</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2</w:t>
      </w:r>
      <w:r>
        <w:rPr>
          <w:rFonts w:hint="eastAsia" w:hAnsi="仿宋_GB2312" w:cs="仿宋_GB2312"/>
          <w:b w:val="0"/>
          <w:bCs/>
          <w:color w:val="000000" w:themeColor="text1"/>
          <w:sz w:val="32"/>
          <w:szCs w:val="32"/>
          <w:highlight w:val="none"/>
          <w:u w:val="single"/>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w:t>
      </w:r>
      <w:r>
        <w:rPr>
          <w:rFonts w:hint="eastAsia" w:hAnsi="仿宋_GB2312" w:cs="仿宋_GB2312"/>
          <w:b w:val="0"/>
          <w:bCs/>
          <w:color w:val="000000" w:themeColor="text1"/>
          <w:sz w:val="32"/>
          <w:szCs w:val="32"/>
          <w:highlight w:val="none"/>
          <w:u w:val="single"/>
          <w:lang w:val="en-US" w:eastAsia="zh-CN"/>
          <w14:textFill>
            <w14:solidFill>
              <w14:schemeClr w14:val="tx1"/>
            </w14:solidFill>
          </w14:textFill>
        </w:rPr>
        <w:t>11</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号</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 xml:space="preserve"> </w:t>
      </w:r>
    </w:p>
    <w:p w14:paraId="0A2C05C3">
      <w:pPr>
        <w:pStyle w:val="17"/>
        <w:ind w:left="1260" w:leftChars="600" w:firstLine="0" w:firstLineChars="0"/>
        <w:jc w:val="left"/>
        <w:rPr>
          <w:rFonts w:hint="default" w:ascii="Times New Roman" w:hAnsi="Times New Roman" w:cs="Times New Roman"/>
          <w:b w:val="0"/>
          <w:bCs/>
          <w:color w:val="000000" w:themeColor="text1"/>
          <w:sz w:val="32"/>
          <w:szCs w:val="32"/>
          <w:u w:val="single"/>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集中采购机构：</w:t>
      </w:r>
      <w:r>
        <w:rPr>
          <w:rFonts w:hint="default" w:ascii="Times New Roman" w:hAnsi="Times New Roman" w:cs="Times New Roman"/>
          <w:b w:val="0"/>
          <w:bCs/>
          <w:color w:val="000000" w:themeColor="text1"/>
          <w:sz w:val="32"/>
          <w:szCs w:val="32"/>
          <w14:textFill>
            <w14:solidFill>
              <w14:schemeClr w14:val="tx1"/>
            </w14:solidFill>
          </w14:textFill>
        </w:rPr>
        <w:t>阿勒泰地区公共资源交易中心</w:t>
      </w:r>
    </w:p>
    <w:p w14:paraId="5F67EFB5">
      <w:pPr>
        <w:pStyle w:val="17"/>
        <w:ind w:left="1260" w:leftChars="600" w:firstLine="0" w:firstLineChars="0"/>
        <w:jc w:val="left"/>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日</w:t>
      </w:r>
      <w:r>
        <w:rPr>
          <w:rFonts w:hint="eastAsia" w:ascii="Times New Roman" w:hAnsi="Times New Roman"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cs="Times New Roman"/>
          <w:b/>
          <w:bCs w:val="0"/>
          <w:color w:val="000000" w:themeColor="text1"/>
          <w:sz w:val="32"/>
          <w:szCs w:val="32"/>
          <w14:textFill>
            <w14:solidFill>
              <w14:schemeClr w14:val="tx1"/>
            </w14:solidFill>
          </w14:textFill>
        </w:rPr>
        <w:t>期：</w:t>
      </w:r>
      <w:r>
        <w:rPr>
          <w:rFonts w:hint="default" w:ascii="Times New Roman" w:hAnsi="Times New Roman" w:cs="Times New Roman"/>
          <w:b w:val="0"/>
          <w:bCs/>
          <w:color w:val="000000" w:themeColor="text1"/>
          <w:sz w:val="32"/>
          <w:szCs w:val="32"/>
          <w:highlight w:val="none"/>
          <w:lang w:eastAsia="zh-CN"/>
          <w14:textFill>
            <w14:solidFill>
              <w14:schemeClr w14:val="tx1"/>
            </w14:solidFill>
          </w14:textFill>
        </w:rPr>
        <w:t>二〇</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二六</w:t>
      </w:r>
      <w:r>
        <w:rPr>
          <w:rFonts w:hint="default" w:ascii="Times New Roman" w:hAnsi="Times New Roman" w:cs="Times New Roman"/>
          <w:b w:val="0"/>
          <w:bCs/>
          <w:color w:val="000000" w:themeColor="text1"/>
          <w:sz w:val="32"/>
          <w:szCs w:val="32"/>
          <w:highlight w:val="none"/>
          <w:lang w:eastAsia="zh-CN"/>
          <w14:textFill>
            <w14:solidFill>
              <w14:schemeClr w14:val="tx1"/>
            </w14:solidFill>
          </w14:textFill>
        </w:rPr>
        <w:t>年</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四</w:t>
      </w:r>
      <w:r>
        <w:rPr>
          <w:rFonts w:hint="eastAsia" w:ascii="Times New Roman" w:hAnsi="Times New Roman" w:cs="Times New Roman"/>
          <w:b w:val="0"/>
          <w:bCs/>
          <w:color w:val="000000" w:themeColor="text1"/>
          <w:sz w:val="32"/>
          <w:szCs w:val="32"/>
          <w:highlight w:val="none"/>
          <w:lang w:eastAsia="zh-CN"/>
          <w14:textFill>
            <w14:solidFill>
              <w14:schemeClr w14:val="tx1"/>
            </w14:solidFill>
          </w14:textFill>
        </w:rPr>
        <w:t>月</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二十三</w:t>
      </w:r>
      <w:r>
        <w:rPr>
          <w:rFonts w:hint="eastAsia" w:ascii="Times New Roman" w:hAnsi="Times New Roman" w:cs="Times New Roman"/>
          <w:b w:val="0"/>
          <w:bCs/>
          <w:color w:val="000000" w:themeColor="text1"/>
          <w:sz w:val="32"/>
          <w:szCs w:val="32"/>
          <w:highlight w:val="none"/>
          <w:lang w:eastAsia="zh-CN"/>
          <w14:textFill>
            <w14:solidFill>
              <w14:schemeClr w14:val="tx1"/>
            </w14:solidFill>
          </w14:textFill>
        </w:rPr>
        <w:t>日</w:t>
      </w:r>
    </w:p>
    <w:p w14:paraId="14AAB9B9">
      <w:pPr>
        <w:pStyle w:val="17"/>
        <w:ind w:left="1260" w:leftChars="600" w:firstLine="0" w:firstLineChars="0"/>
        <w:jc w:val="left"/>
        <w:rPr>
          <w:rFonts w:hint="default" w:ascii="Times New Roman" w:hAnsi="Times New Roman" w:cs="Times New Roman"/>
          <w:b w:val="0"/>
          <w:bCs/>
          <w:color w:val="000000" w:themeColor="text1"/>
          <w:sz w:val="30"/>
          <w14:textFill>
            <w14:solidFill>
              <w14:schemeClr w14:val="tx1"/>
            </w14:solidFill>
          </w14:textFill>
        </w:rPr>
      </w:pPr>
    </w:p>
    <w:p w14:paraId="61192E08">
      <w:pPr>
        <w:tabs>
          <w:tab w:val="left" w:pos="1134"/>
          <w:tab w:val="left" w:pos="5481"/>
          <w:tab w:val="left" w:pos="5859"/>
        </w:tabs>
        <w:jc w:val="left"/>
        <w:rPr>
          <w:rFonts w:hint="default" w:ascii="Times New Roman" w:hAnsi="Times New Roman" w:eastAsia="黑体" w:cs="Times New Roman"/>
          <w:b/>
          <w:color w:val="000000" w:themeColor="text1"/>
          <w:sz w:val="32"/>
          <w14:textFill>
            <w14:solidFill>
              <w14:schemeClr w14:val="tx1"/>
            </w14:solidFill>
          </w14:textFill>
        </w:rPr>
      </w:pPr>
    </w:p>
    <w:p w14:paraId="3697C63E">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536C3CD">
      <w:pPr>
        <w:tabs>
          <w:tab w:val="left" w:pos="1134"/>
          <w:tab w:val="left" w:pos="5481"/>
          <w:tab w:val="left" w:pos="5859"/>
        </w:tabs>
        <w:jc w:val="center"/>
        <w:rPr>
          <w:rFonts w:hint="default" w:ascii="Times New Roman" w:hAnsi="Times New Roman" w:eastAsia="宋体" w:cs="Times New Roman"/>
          <w:b/>
          <w:color w:val="000000" w:themeColor="text1"/>
          <w:sz w:val="32"/>
          <w:lang w:val="en-US" w:eastAsia="zh-CN"/>
          <w14:textFill>
            <w14:solidFill>
              <w14:schemeClr w14:val="tx1"/>
            </w14:solidFill>
          </w14:textFill>
        </w:rPr>
      </w:pPr>
      <w:r>
        <w:rPr>
          <w:rFonts w:hint="default" w:ascii="Times New Roman" w:hAnsi="Times New Roman" w:cs="Times New Roman"/>
          <w:b/>
          <w:color w:val="000000" w:themeColor="text1"/>
          <w:sz w:val="32"/>
          <w:lang w:val="en-US" w:eastAsia="zh-CN"/>
          <w14:textFill>
            <w14:solidFill>
              <w14:schemeClr w14:val="tx1"/>
            </w14:solidFill>
          </w14:textFill>
        </w:rPr>
        <w:t xml:space="preserve"> </w:t>
      </w:r>
    </w:p>
    <w:p w14:paraId="60A9EA42">
      <w:pPr>
        <w:jc w:val="center"/>
        <w:rPr>
          <w:rFonts w:hint="default" w:ascii="Times New Roman" w:hAnsi="Times New Roman" w:eastAsia="楷体_GB2312" w:cs="Times New Roman"/>
          <w:color w:val="000000" w:themeColor="text1"/>
          <w:sz w:val="4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sdt>
      <w:sdtPr>
        <w:rPr>
          <w:rFonts w:hint="default" w:ascii="Times New Roman" w:hAnsi="Times New Roman" w:cs="Times New Roman"/>
          <w:color w:val="000000" w:themeColor="text1"/>
          <w:lang w:val="zh-CN"/>
          <w14:textFill>
            <w14:solidFill>
              <w14:schemeClr w14:val="tx1"/>
            </w14:solidFill>
          </w14:textFill>
        </w:rPr>
        <w:id w:val="1341114169"/>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sdt>
          <w:sdtPr>
            <w:rPr>
              <w:rFonts w:hint="default" w:ascii="Times New Roman" w:hAnsi="Times New Roman" w:cs="Times New Roman"/>
              <w:color w:val="000000" w:themeColor="text1"/>
              <w:lang w:val="zh-CN"/>
              <w14:textFill>
                <w14:solidFill>
                  <w14:schemeClr w14:val="tx1"/>
                </w14:solidFill>
              </w14:textFill>
            </w:rPr>
            <w:id w:val="147477533"/>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p w14:paraId="0AE3EB7B">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目录</w:t>
              </w:r>
            </w:p>
            <w:p w14:paraId="62292FEC">
              <w:pPr>
                <w:pStyle w:val="25"/>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TOC \o "1-3" \h \z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"_Toc7886"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第一章 竞争性磋商公告</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55C7960">
              <w:pPr>
                <w:pStyle w:val="25"/>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"_Toc20058"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第二章 供应商须知</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606AE7E">
              <w:pPr>
                <w:pStyle w:val="25"/>
                <w:tabs>
                  <w:tab w:val="right" w:leader="dot" w:pos="8312"/>
                  <w:tab w:val="clear" w:pos="8222"/>
                </w:tabs>
                <w:ind w:firstLine="56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"_Toc5882"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一、说明</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EECC9DC">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"_Toc21571"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二、磋商文件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B952785">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"_Toc16413"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三、响应文件的编制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B5F020C">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四、响应文件的递交</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0500CF52">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"_Toc5596"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、竞争性磋商程序</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DFCF70F">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"_Toc31594"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 授予合同</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FA85BCC">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、质疑和投诉</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9C5B11D">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、项目验收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F858FDD">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"_Toc5115"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、适用法律</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268889B">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十、磋商文件的解释权</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87CAE50">
              <w:pPr>
                <w:pStyle w:val="28"/>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"_Toc32366"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、其他注意事项</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D65943F">
              <w:pPr>
                <w:pStyle w:val="25"/>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"_Toc2582"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第三章 采购需求</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E5C8AD">
              <w:pPr>
                <w:pStyle w:val="25"/>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"_Toc9993"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第四章 评审方法</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BDB7318">
              <w:pPr>
                <w:pStyle w:val="25"/>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"_Toc8474"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第五章 合同格式及合同条款</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AE75509">
              <w:pPr>
                <w:pStyle w:val="25"/>
                <w:tabs>
                  <w:tab w:val="right" w:leader="dot" w:pos="8312"/>
                  <w:tab w:val="clear" w:pos="8222"/>
                </w:tabs>
                <w:rPr>
                  <w:rFonts w:hint="default" w:ascii="Times New Roman" w:hAnsi="Times New Roman" w:cs="Times New Roman"/>
                  <w:bCs/>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"_Toc19992"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第六章 竞争性磋商响应文件格式</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C0524CE">
              <w:pPr>
                <w:pStyle w:val="28"/>
                <w:tabs>
                  <w:tab w:val="right" w:leader="dot" w:pos="8302"/>
                  <w:tab w:val="clear" w:pos="822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"_Toc492921358"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sz w:val="21"/>
                  <w14:textFill>
                    <w14:solidFill>
                      <w14:schemeClr w14:val="tx1"/>
                    </w14:solidFill>
                  </w14:textFill>
                </w:rPr>
                <w:t>一、投标文件封面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2A1C6062">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"_Toc492921359"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b/>
                  <w:color w:val="000000" w:themeColor="text1"/>
                  <w14:textFill>
                    <w14:solidFill>
                      <w14:schemeClr w14:val="tx1"/>
                    </w14:solidFill>
                  </w14:textFill>
                </w:rPr>
                <w:t>二、</w:t>
              </w:r>
              <w:r>
                <w:rPr>
                  <w:rStyle w:val="45"/>
                  <w:rFonts w:hint="default" w:ascii="Times New Roman" w:hAnsi="Times New Roman" w:cs="Times New Roman"/>
                  <w:color w:val="000000" w:themeColor="text1"/>
                  <w14:textFill>
                    <w14:solidFill>
                      <w14:schemeClr w14:val="tx1"/>
                    </w14:solidFill>
                  </w14:textFill>
                </w:rPr>
                <w:t>）</w:t>
              </w:r>
              <w:r>
                <w:rPr>
                  <w:rStyle w:val="45"/>
                  <w:rFonts w:hint="default" w:ascii="Times New Roman" w:hAnsi="Times New Roman" w:cs="Times New Roman"/>
                  <w:color w:val="000000" w:themeColor="text1"/>
                  <w:kern w:val="0"/>
                  <w14:textFill>
                    <w14:solidFill>
                      <w14:schemeClr w14:val="tx1"/>
                    </w14:solidFill>
                  </w14:textFill>
                </w:rPr>
                <w:t>☆</w:t>
              </w:r>
              <w:r>
                <w:rPr>
                  <w:rStyle w:val="45"/>
                  <w:rFonts w:hint="default" w:ascii="Times New Roman" w:hAnsi="Times New Roman" w:cs="Times New Roman"/>
                  <w:bCs/>
                  <w:color w:val="000000" w:themeColor="text1"/>
                  <w14:textFill>
                    <w14:solidFill>
                      <w14:schemeClr w14:val="tx1"/>
                    </w14:solidFill>
                  </w14:textFill>
                </w:rPr>
                <w:t>资格审查材料</w:t>
              </w:r>
              <w:r>
                <w:rPr>
                  <w:rStyle w:val="45"/>
                  <w:rFonts w:hint="default" w:ascii="Times New Roman" w:hAnsi="Times New Roman" w:cs="Times New Roman"/>
                  <w:bCs/>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016E3B9D">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"_Toc492921360"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（一</w:t>
              </w:r>
              <w:r>
                <w:rPr>
                  <w:rStyle w:val="45"/>
                  <w:rFonts w:hint="eastAsia" w:ascii="Times New Roman" w:hAnsi="Times New Roman" w:cs="Times New Roman"/>
                  <w:color w:val="000000" w:themeColor="text1"/>
                  <w:lang w:val="en-US" w:eastAsia="zh-CN"/>
                  <w14:textFill>
                    <w14:solidFill>
                      <w14:schemeClr w14:val="tx1"/>
                    </w14:solidFill>
                  </w14:textFill>
                </w:rPr>
                <w:t>)</w:t>
              </w:r>
              <w:r>
                <w:rPr>
                  <w:rStyle w:val="45"/>
                  <w:rFonts w:hint="default" w:ascii="Times New Roman" w:hAnsi="Times New Roman" w:cs="Times New Roman"/>
                  <w:color w:val="000000" w:themeColor="text1"/>
                  <w14:textFill>
                    <w14:solidFill>
                      <w14:schemeClr w14:val="tx1"/>
                    </w14:solidFill>
                  </w14:textFill>
                </w:rPr>
                <w:t>营业执照、组织机构代码证、税务登记证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537F2B12">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"_Toc492921361"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（二）法定代表人身份证明及授权委托书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6F8C3B7E">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"_Toc492921362"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（三）投标保证金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11FD12E9">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"_Toc492921364"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w:t>
              </w:r>
              <w:r>
                <w:rPr>
                  <w:rStyle w:val="45"/>
                  <w:rFonts w:hint="eastAsia" w:ascii="Times New Roman" w:hAnsi="Times New Roman" w:cs="Times New Roman"/>
                  <w:color w:val="000000" w:themeColor="text1"/>
                  <w:lang w:eastAsia="zh-CN"/>
                  <w14:textFill>
                    <w14:solidFill>
                      <w14:schemeClr w14:val="tx1"/>
                    </w14:solidFill>
                  </w14:textFill>
                </w:rPr>
                <w:t>四</w:t>
              </w:r>
              <w:r>
                <w:rPr>
                  <w:rStyle w:val="45"/>
                  <w:rFonts w:hint="default" w:ascii="Times New Roman" w:hAnsi="Times New Roman" w:cs="Times New Roman"/>
                  <w:color w:val="000000" w:themeColor="text1"/>
                  <w14:textFill>
                    <w14:solidFill>
                      <w14:schemeClr w14:val="tx1"/>
                    </w14:solidFill>
                  </w14:textFill>
                </w:rPr>
                <w:t>）</w:t>
              </w:r>
              <w:r>
                <w:rPr>
                  <w:rFonts w:hint="eastAsia"/>
                  <w:sz w:val="21"/>
                  <w:szCs w:val="21"/>
                  <w:lang w:val="en-US" w:eastAsia="zh-CN"/>
                </w:rPr>
                <w:t>资质要求证明文件（若本项目要求）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08670745">
              <w:pPr>
                <w:ind w:firstLine="420" w:firstLineChars="200"/>
                <w:rPr>
                  <w:rFonts w:hint="default" w:ascii="Times New Roman" w:hAnsi="Times New Roman" w:cs="Times New Roman"/>
                  <w:color w:val="000000" w:themeColor="text1"/>
                  <w14:textFill>
                    <w14:solidFill>
                      <w14:schemeClr w14:val="tx1"/>
                    </w14:solidFill>
                  </w14:textFill>
                </w:rPr>
              </w:pPr>
              <w:r>
                <w:rPr>
                  <w:rStyle w:val="45"/>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Style w:val="45"/>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w:t>
              </w:r>
              <w:r>
                <w:rPr>
                  <w:rStyle w:val="45"/>
                  <w:rFonts w:hint="default" w:ascii="Times New Roman" w:hAnsi="Times New Roman" w:eastAsia="宋体" w:cs="Times New Roman"/>
                  <w:color w:val="000000" w:themeColor="text1"/>
                  <w:kern w:val="2"/>
                  <w:sz w:val="21"/>
                  <w:szCs w:val="22"/>
                  <w:lang w:val="zh-CN" w:eastAsia="zh-CN" w:bidi="ar-SA"/>
                  <w14:textFill>
                    <w14:solidFill>
                      <w14:schemeClr w14:val="tx1"/>
                    </w14:solidFill>
                  </w14:textFill>
                </w:rPr>
                <w:t>网上信用记录证明</w:t>
              </w:r>
              <w:r>
                <w:rPr>
                  <w:rStyle w:val="45"/>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77BB9811">
              <w:pPr>
                <w:pStyle w:val="28"/>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三、商务文件</w:t>
              </w:r>
              <w:r>
                <w:rPr>
                  <w:rFonts w:hint="default" w:ascii="Times New Roman" w:hAnsi="Times New Roman" w:cs="Times New Roman"/>
                  <w:color w:val="000000" w:themeColor="text1"/>
                  <w:sz w:val="24"/>
                  <w:szCs w:val="24"/>
                  <w14:textFill>
                    <w14:solidFill>
                      <w14:schemeClr w14:val="tx1"/>
                    </w14:solidFill>
                  </w14:textFill>
                </w:rPr>
                <w:tab/>
              </w:r>
            </w:p>
            <w:p w14:paraId="5AC13F9B">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）☆投标函</w:t>
              </w:r>
              <w:r>
                <w:rPr>
                  <w:rFonts w:hint="default" w:ascii="Times New Roman" w:hAnsi="Times New Roman" w:cs="Times New Roman"/>
                  <w:color w:val="000000" w:themeColor="text1"/>
                  <w:sz w:val="24"/>
                  <w:szCs w:val="24"/>
                  <w14:textFill>
                    <w14:solidFill>
                      <w14:schemeClr w14:val="tx1"/>
                    </w14:solidFill>
                  </w14:textFill>
                </w:rPr>
                <w:tab/>
              </w:r>
            </w:p>
            <w:p w14:paraId="6A617BD2">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）☆报价一览表</w:t>
              </w:r>
              <w:r>
                <w:rPr>
                  <w:rFonts w:hint="default" w:ascii="Times New Roman" w:hAnsi="Times New Roman" w:cs="Times New Roman"/>
                  <w:color w:val="000000" w:themeColor="text1"/>
                  <w:sz w:val="24"/>
                  <w:szCs w:val="24"/>
                  <w14:textFill>
                    <w14:solidFill>
                      <w14:schemeClr w14:val="tx1"/>
                    </w14:solidFill>
                  </w14:textFill>
                </w:rPr>
                <w:tab/>
              </w:r>
            </w:p>
            <w:p w14:paraId="47C80660">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）☆报价明细表</w:t>
              </w:r>
              <w:r>
                <w:rPr>
                  <w:rFonts w:hint="default" w:ascii="Times New Roman" w:hAnsi="Times New Roman" w:cs="Times New Roman"/>
                  <w:color w:val="000000" w:themeColor="text1"/>
                  <w:sz w:val="24"/>
                  <w:szCs w:val="24"/>
                  <w14:textFill>
                    <w14:solidFill>
                      <w14:schemeClr w14:val="tx1"/>
                    </w14:solidFill>
                  </w14:textFill>
                </w:rPr>
                <w:tab/>
              </w:r>
            </w:p>
            <w:p w14:paraId="699F9984">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）☆售后服务承诺书</w:t>
              </w:r>
              <w:r>
                <w:rPr>
                  <w:rFonts w:hint="default" w:ascii="Times New Roman" w:hAnsi="Times New Roman" w:cs="Times New Roman"/>
                  <w:color w:val="000000" w:themeColor="text1"/>
                  <w:sz w:val="24"/>
                  <w:szCs w:val="24"/>
                  <w14:textFill>
                    <w14:solidFill>
                      <w14:schemeClr w14:val="tx1"/>
                    </w14:solidFill>
                  </w14:textFill>
                </w:rPr>
                <w:tab/>
              </w:r>
            </w:p>
            <w:p w14:paraId="191A9352">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（十）商务条款偏离说明表</w:t>
              </w:r>
              <w:r>
                <w:rPr>
                  <w:rFonts w:hint="default" w:ascii="Times New Roman" w:hAnsi="Times New Roman" w:cs="Times New Roman"/>
                  <w:color w:val="000000" w:themeColor="text1"/>
                  <w:sz w:val="24"/>
                  <w:szCs w:val="24"/>
                  <w14:textFill>
                    <w14:solidFill>
                      <w14:schemeClr w14:val="tx1"/>
                    </w14:solidFill>
                  </w14:textFill>
                </w:rPr>
                <w:tab/>
              </w:r>
            </w:p>
            <w:p w14:paraId="0668FE91">
              <w:pPr>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）供应商认为有必要提供的声明及文件资料.....................................</w:t>
              </w:r>
            </w:p>
            <w:p w14:paraId="236CA554">
              <w:pPr>
                <w:pStyle w:val="28"/>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四、技术文件</w:t>
              </w:r>
              <w:r>
                <w:rPr>
                  <w:rFonts w:hint="default" w:ascii="Times New Roman" w:hAnsi="Times New Roman" w:cs="Times New Roman"/>
                  <w:color w:val="000000" w:themeColor="text1"/>
                  <w:sz w:val="24"/>
                  <w:szCs w:val="24"/>
                  <w14:textFill>
                    <w14:solidFill>
                      <w14:schemeClr w14:val="tx1"/>
                    </w14:solidFill>
                  </w14:textFill>
                </w:rPr>
                <w:tab/>
              </w:r>
            </w:p>
            <w:p w14:paraId="2A8579B8">
              <w:pPr>
                <w:pStyle w:val="19"/>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二</w:t>
              </w:r>
              <w:r>
                <w:rPr>
                  <w:rFonts w:hint="default" w:ascii="Times New Roman" w:hAnsi="Times New Roman" w:cs="Times New Roman"/>
                  <w:color w:val="000000" w:themeColor="text1"/>
                  <w:sz w:val="24"/>
                  <w:szCs w:val="24"/>
                  <w14:textFill>
                    <w14:solidFill>
                      <w14:schemeClr w14:val="tx1"/>
                    </w14:solidFill>
                  </w14:textFill>
                </w:rPr>
                <w:t>）供应商自行编写的技术文件</w:t>
              </w:r>
              <w:r>
                <w:rPr>
                  <w:rFonts w:hint="default" w:ascii="Times New Roman" w:hAnsi="Times New Roman" w:cs="Times New Roman"/>
                  <w:color w:val="000000" w:themeColor="text1"/>
                  <w:sz w:val="24"/>
                  <w:szCs w:val="24"/>
                  <w14:textFill>
                    <w14:solidFill>
                      <w14:schemeClr w14:val="tx1"/>
                    </w14:solidFill>
                  </w14:textFill>
                </w:rPr>
                <w:tab/>
              </w:r>
            </w:p>
            <w:p w14:paraId="2B26B7F9">
              <w:pPr>
                <w:pStyle w:val="28"/>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五、服务文件</w:t>
              </w:r>
              <w:r>
                <w:rPr>
                  <w:rFonts w:hint="default" w:ascii="Times New Roman" w:hAnsi="Times New Roman" w:cs="Times New Roman"/>
                  <w:color w:val="000000" w:themeColor="text1"/>
                  <w:sz w:val="24"/>
                  <w:szCs w:val="24"/>
                  <w14:textFill>
                    <w14:solidFill>
                      <w14:schemeClr w14:val="tx1"/>
                    </w14:solidFill>
                  </w14:textFill>
                </w:rPr>
                <w:tab/>
              </w:r>
            </w:p>
            <w:p w14:paraId="0F44418E">
              <w:pPr>
                <w:pStyle w:val="19"/>
                <w:tabs>
                  <w:tab w:val="right" w:leader="dot" w:pos="8302"/>
                </w:tabs>
                <w:ind w:left="0" w:leftChars="0"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三</w:t>
              </w:r>
              <w:r>
                <w:rPr>
                  <w:rFonts w:hint="default" w:ascii="Times New Roman" w:hAnsi="Times New Roman" w:cs="Times New Roman"/>
                  <w:color w:val="000000" w:themeColor="text1"/>
                  <w:sz w:val="24"/>
                  <w:szCs w:val="24"/>
                  <w14:textFill>
                    <w14:solidFill>
                      <w14:schemeClr w14:val="tx1"/>
                    </w14:solidFill>
                  </w14:textFill>
                </w:rPr>
                <w:t>）供应商自行编写的服务文件</w:t>
              </w:r>
              <w:r>
                <w:rPr>
                  <w:rFonts w:hint="default" w:ascii="Times New Roman" w:hAnsi="Times New Roman" w:cs="Times New Roman"/>
                  <w:color w:val="000000" w:themeColor="text1"/>
                  <w:sz w:val="24"/>
                  <w:szCs w:val="24"/>
                  <w14:textFill>
                    <w14:solidFill>
                      <w14:schemeClr w14:val="tx1"/>
                    </w14:solidFill>
                  </w14:textFill>
                </w:rPr>
                <w:tab/>
              </w:r>
            </w:p>
            <w:p w14:paraId="564E4404">
              <w:pPr>
                <w:pStyle w:val="19"/>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p>
            <w:p w14:paraId="4B4E1A6D">
              <w:pPr>
                <w:widowControl/>
                <w:jc w:val="left"/>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Cs/>
                  <w:color w:val="000000" w:themeColor="text1"/>
                  <w:lang w:val="zh-CN"/>
                  <w14:textFill>
                    <w14:solidFill>
                      <w14:schemeClr w14:val="tx1"/>
                    </w14:solidFill>
                  </w14:textFill>
                </w:rPr>
                <w:fldChar w:fldCharType="end"/>
              </w:r>
            </w:p>
          </w:sdtContent>
        </w:sdt>
        <w:p w14:paraId="420F82D6">
          <w:pPr>
            <w:widowControl/>
            <w:jc w:val="left"/>
            <w:rPr>
              <w:rFonts w:hint="default" w:ascii="Times New Roman" w:hAnsi="Times New Roman" w:cs="Times New Roman"/>
              <w:b/>
              <w:bCs/>
              <w:color w:val="000000" w:themeColor="text1"/>
              <w:lang w:val="zh-CN"/>
              <w14:textFill>
                <w14:solidFill>
                  <w14:schemeClr w14:val="tx1"/>
                </w14:solidFill>
              </w14:textFill>
            </w:rPr>
          </w:pPr>
        </w:p>
      </w:sdtContent>
    </w:sdt>
    <w:p w14:paraId="3A551094">
      <w:pPr>
        <w:widowControl/>
        <w:jc w:val="left"/>
        <w:rPr>
          <w:rFonts w:hint="default" w:ascii="Times New Roman" w:hAnsi="Times New Roman" w:cs="Times New Roman"/>
          <w:b/>
          <w:bCs/>
          <w:color w:val="000000" w:themeColor="text1"/>
          <w:lang w:val="zh-CN"/>
          <w14:textFill>
            <w14:solidFill>
              <w14:schemeClr w14:val="tx1"/>
            </w14:solidFill>
          </w14:textFill>
        </w:rPr>
      </w:pPr>
    </w:p>
    <w:p w14:paraId="1C47F1AB">
      <w:pPr>
        <w:widowControl/>
        <w:jc w:val="left"/>
        <w:rPr>
          <w:rFonts w:hint="default" w:ascii="Times New Roman" w:hAnsi="Times New Roman" w:cs="Times New Roman"/>
          <w:b/>
          <w:bCs/>
          <w:color w:val="000000" w:themeColor="text1"/>
          <w:lang w:val="zh-CN"/>
          <w14:textFill>
            <w14:solidFill>
              <w14:schemeClr w14:val="tx1"/>
            </w14:solidFill>
          </w14:textFill>
        </w:rPr>
      </w:pPr>
    </w:p>
    <w:p w14:paraId="168A8C23">
      <w:pPr>
        <w:widowControl/>
        <w:jc w:val="left"/>
        <w:rPr>
          <w:rFonts w:hint="default" w:ascii="Times New Roman" w:hAnsi="Times New Roman" w:cs="Times New Roman"/>
          <w:b/>
          <w:bCs/>
          <w:color w:val="000000" w:themeColor="text1"/>
          <w:lang w:val="zh-CN"/>
          <w14:textFill>
            <w14:solidFill>
              <w14:schemeClr w14:val="tx1"/>
            </w14:solidFill>
          </w14:textFill>
        </w:rPr>
      </w:pPr>
    </w:p>
    <w:p w14:paraId="5A4B67CA">
      <w:pPr>
        <w:pStyle w:val="2"/>
        <w:numPr>
          <w:ilvl w:val="0"/>
          <w:numId w:val="1"/>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0" w:name="_Toc7886"/>
      <w:bookmarkStart w:id="1" w:name="_Toc456718475"/>
      <w:bookmarkStart w:id="2" w:name="_Toc456718476"/>
      <w:r>
        <w:rPr>
          <w:rFonts w:hint="eastAsia" w:ascii="仿宋_GB2312" w:hAnsi="仿宋_GB2312" w:eastAsia="仿宋_GB2312" w:cs="仿宋_GB2312"/>
          <w:b/>
          <w:bCs w:val="0"/>
          <w:color w:val="000000" w:themeColor="text1"/>
          <w:sz w:val="36"/>
          <w:szCs w:val="36"/>
          <w14:textFill>
            <w14:solidFill>
              <w14:schemeClr w14:val="tx1"/>
            </w14:solidFill>
          </w14:textFill>
        </w:rPr>
        <w:t>竞争性磋商</w:t>
      </w:r>
      <w:bookmarkEnd w:id="0"/>
      <w:bookmarkEnd w:id="1"/>
      <w:r>
        <w:rPr>
          <w:rFonts w:hint="eastAsia" w:ascii="仿宋_GB2312" w:hAnsi="仿宋_GB2312" w:eastAsia="仿宋_GB2312" w:cs="仿宋_GB2312"/>
          <w:b/>
          <w:bCs w:val="0"/>
          <w:color w:val="000000" w:themeColor="text1"/>
          <w:sz w:val="36"/>
          <w:szCs w:val="36"/>
          <w14:textFill>
            <w14:solidFill>
              <w14:schemeClr w14:val="tx1"/>
            </w14:solidFill>
          </w14:textFill>
        </w:rPr>
        <w:t>公告</w:t>
      </w:r>
    </w:p>
    <w:p w14:paraId="7E621C3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项目概况</w:t>
      </w:r>
    </w:p>
    <w:p w14:paraId="6D6C63B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阿勒泰地区自然资源局-阿勒泰地区国土空间总体规划动态优化调整项目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的潜在投标人应在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新疆政府采购网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获取招标文件，并于</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2026年5月12日</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10点30分（北京时间）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前提交响应文件。</w:t>
      </w:r>
    </w:p>
    <w:p w14:paraId="0A56136B">
      <w:pPr>
        <w:rPr>
          <w:rFonts w:hint="eastAsia" w:ascii="仿宋_GB2312" w:hAnsi="仿宋_GB2312" w:eastAsia="仿宋_GB2312" w:cs="仿宋_GB2312"/>
          <w:color w:val="000000" w:themeColor="text1"/>
          <w:sz w:val="32"/>
          <w:szCs w:val="32"/>
          <w14:textFill>
            <w14:solidFill>
              <w14:schemeClr w14:val="tx1"/>
            </w14:solidFill>
          </w14:textFill>
        </w:rPr>
      </w:pPr>
    </w:p>
    <w:p w14:paraId="4F3B1833">
      <w:pPr>
        <w:pStyle w:val="3"/>
        <w:keepNext w:val="0"/>
        <w:keepLines w:val="0"/>
        <w:pageBreakBefore w:val="0"/>
        <w:numPr>
          <w:ilvl w:val="0"/>
          <w:numId w:val="2"/>
        </w:numPr>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bookmarkStart w:id="3" w:name="_Toc35393798"/>
      <w:bookmarkStart w:id="4" w:name="_Toc28359012"/>
      <w:bookmarkStart w:id="5" w:name="_Toc28359089"/>
      <w:bookmarkStart w:id="6" w:name="_Toc35393629"/>
      <w:r>
        <w:rPr>
          <w:rFonts w:hint="eastAsia" w:ascii="仿宋_GB2312" w:hAnsi="仿宋_GB2312" w:eastAsia="仿宋_GB2312" w:cs="仿宋_GB2312"/>
          <w:b w:val="0"/>
          <w:color w:val="000000" w:themeColor="text1"/>
          <w:sz w:val="32"/>
          <w:szCs w:val="32"/>
          <w14:textFill>
            <w14:solidFill>
              <w14:schemeClr w14:val="tx1"/>
            </w14:solidFill>
          </w14:textFill>
        </w:rPr>
        <w:t>项目基本情况</w:t>
      </w:r>
      <w:bookmarkEnd w:id="3"/>
      <w:bookmarkEnd w:id="4"/>
      <w:bookmarkEnd w:id="5"/>
      <w:bookmarkEnd w:id="6"/>
    </w:p>
    <w:p w14:paraId="353ACDB5">
      <w:pPr>
        <w:pStyle w:val="3"/>
        <w:keepNext w:val="0"/>
        <w:keepLines w:val="0"/>
        <w:pageBreakBefore w:val="0"/>
        <w:numPr>
          <w:ilvl w:val="0"/>
          <w:numId w:val="0"/>
        </w:numPr>
        <w:kinsoku/>
        <w:wordWrap/>
        <w:overflowPunct/>
        <w:topLinePunct w:val="0"/>
        <w:autoSpaceDE/>
        <w:autoSpaceDN/>
        <w:bidi w:val="0"/>
        <w:adjustRightInd/>
        <w:snapToGrid/>
        <w:spacing w:line="560" w:lineRule="atLeas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项目编号：</w:t>
      </w:r>
      <w:r>
        <w:rPr>
          <w:rFonts w:hint="eastAsia" w:ascii="仿宋_GB2312" w:hAnsi="仿宋_GB2312" w:eastAsia="仿宋_GB2312" w:cs="仿宋_GB2312"/>
          <w:color w:val="000000" w:themeColor="text1"/>
          <w:sz w:val="32"/>
          <w:szCs w:val="32"/>
          <w:highlight w:val="none"/>
          <w14:textFill>
            <w14:solidFill>
              <w14:schemeClr w14:val="tx1"/>
            </w14:solidFill>
          </w14:textFill>
        </w:rPr>
        <w:t>ADCG-JZ(20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214ABC7E">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2238" w:leftChars="304" w:right="0" w:hanging="1600" w:hangingChars="500"/>
        <w:jc w:val="left"/>
        <w:textAlignment w:val="auto"/>
        <w:rPr>
          <w:rFonts w:hint="eastAsia" w:ascii="仿宋_GB2312" w:hAnsi="仿宋_GB2312" w:eastAsia="仿宋_GB2312" w:cs="仿宋_GB2312"/>
          <w:b w:val="0"/>
          <w:bCs/>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t>阿勒泰地区自然资源局-阿勒泰地区国土空间总体规划动态优化调整项目</w:t>
      </w:r>
    </w:p>
    <w:p w14:paraId="6153B182">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竞争性谈判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竞争性磋商 □询价</w:t>
      </w:r>
    </w:p>
    <w:p w14:paraId="18A4A6C4">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预算金额：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1000000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p>
    <w:p w14:paraId="4254A483">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2238" w:leftChars="304" w:right="0" w:hanging="1600" w:hangingChars="5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采购需求：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阿勒泰地区国土空间总体规划动态优化调整项目</w:t>
      </w:r>
    </w:p>
    <w:p w14:paraId="517E5DC8">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2235" w:leftChars="912" w:right="0" w:hanging="320" w:hangingChars="100"/>
        <w:jc w:val="left"/>
        <w:textAlignment w:val="auto"/>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t>（详见磋商文件）</w:t>
      </w:r>
    </w:p>
    <w:p w14:paraId="409F3DAE">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一年</w:t>
      </w:r>
    </w:p>
    <w:p w14:paraId="240AC4F8">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接受联合体。</w:t>
      </w:r>
      <w:bookmarkStart w:id="7" w:name="_Toc35393630"/>
      <w:bookmarkStart w:id="8" w:name="_Toc35393799"/>
      <w:bookmarkStart w:id="9" w:name="_Toc28359090"/>
      <w:bookmarkStart w:id="10" w:name="_Toc28359013"/>
    </w:p>
    <w:p w14:paraId="4C374F1E">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二、申请人的资格要求：</w:t>
      </w:r>
      <w:bookmarkEnd w:id="7"/>
      <w:bookmarkEnd w:id="8"/>
      <w:bookmarkEnd w:id="9"/>
      <w:bookmarkEnd w:id="10"/>
    </w:p>
    <w:p w14:paraId="0C2672D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1.满足《中华人民共和国政府采购法》第二十二条规定；</w:t>
      </w:r>
    </w:p>
    <w:p w14:paraId="1015172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highlight w:val="red"/>
          <w:lang w:val="en-US" w:eastAsia="zh-CN"/>
          <w14:textFill>
            <w14:solidFill>
              <w14:schemeClr w14:val="tx1"/>
            </w14:solidFill>
          </w14:textFill>
        </w:rPr>
      </w:pPr>
      <w:bookmarkStart w:id="11" w:name="_Toc28359014"/>
      <w:bookmarkStart w:id="12" w:name="_Toc28359091"/>
      <w:r>
        <w:rPr>
          <w:rFonts w:hint="eastAsia" w:ascii="仿宋_GB2312" w:hAnsi="仿宋_GB2312" w:eastAsia="仿宋_GB2312" w:cs="仿宋_GB2312"/>
          <w:color w:val="000000" w:themeColor="text1"/>
          <w:sz w:val="32"/>
          <w:szCs w:val="32"/>
          <w14:textFill>
            <w14:solidFill>
              <w14:schemeClr w14:val="tx1"/>
            </w14:solidFill>
          </w14:textFill>
        </w:rPr>
        <w:t>2.落实政府采购政策需满足的资格要求：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55BE5DE4">
      <w:pPr>
        <w:keepNext w:val="0"/>
        <w:keepLines w:val="0"/>
        <w:pageBreakBefore w:val="0"/>
        <w:widowControl w:val="0"/>
        <w:kinsoku/>
        <w:wordWrap/>
        <w:overflowPunct/>
        <w:topLinePunct w:val="0"/>
        <w:autoSpaceDE/>
        <w:autoSpaceDN/>
        <w:bidi w:val="0"/>
        <w:adjustRightInd/>
        <w:snapToGrid/>
        <w:spacing w:line="560" w:lineRule="atLeast"/>
        <w:ind w:left="638" w:leftChars="304" w:firstLine="0" w:firstLineChars="0"/>
        <w:jc w:val="left"/>
        <w:textAlignment w:val="auto"/>
        <w:rPr>
          <w:rFonts w:hint="eastAsia" w:ascii="仿宋_GB2312" w:hAnsi="仿宋_GB2312" w:eastAsia="仿宋_GB2312" w:cs="仿宋_GB2312"/>
          <w:b w:val="0"/>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bookmarkStart w:id="13" w:name="_Toc35393800"/>
      <w:bookmarkStart w:id="14" w:name="_Toc3539363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2DB81F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三、获取采购文件</w:t>
      </w:r>
      <w:bookmarkEnd w:id="11"/>
      <w:bookmarkEnd w:id="12"/>
      <w:bookmarkEnd w:id="13"/>
      <w:bookmarkEnd w:id="14"/>
    </w:p>
    <w:p w14:paraId="464FC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p>
    <w:p w14:paraId="50E6B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35393801"/>
      <w:bookmarkStart w:id="16" w:name="_Toc35393632"/>
      <w:bookmarkStart w:id="17" w:name="_Toc28359092"/>
      <w:bookmarkStart w:id="18" w:name="_Toc28359015"/>
      <w:r>
        <w:rPr>
          <w:rFonts w:hint="eastAsia" w:ascii="仿宋_GB2312" w:hAnsi="仿宋_GB2312" w:eastAsia="仿宋_GB2312" w:cs="仿宋_GB2312"/>
          <w:color w:val="000000" w:themeColor="text1"/>
          <w:sz w:val="32"/>
          <w:szCs w:val="32"/>
          <w14:textFill>
            <w14:solidFill>
              <w14:schemeClr w14:val="tx1"/>
            </w14:solidFill>
          </w14:textFill>
        </w:rPr>
        <w:t>地点：供应商登陆政采云平台http://www.zcygov.cn/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95763</w:t>
      </w:r>
      <w:r>
        <w:rPr>
          <w:rFonts w:hint="eastAsia" w:ascii="仿宋_GB2312" w:hAnsi="仿宋_GB2312" w:eastAsia="仿宋_GB2312" w:cs="仿宋_GB2312"/>
          <w:color w:val="000000" w:themeColor="text1"/>
          <w:sz w:val="32"/>
          <w:szCs w:val="32"/>
          <w14:textFill>
            <w14:solidFill>
              <w14:schemeClr w14:val="tx1"/>
            </w14:solidFill>
          </w14:textFill>
        </w:rPr>
        <w:t>）</w:t>
      </w:r>
    </w:p>
    <w:p w14:paraId="3E7C0995">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四、响应文件提交</w:t>
      </w:r>
      <w:bookmarkEnd w:id="15"/>
      <w:bookmarkEnd w:id="16"/>
      <w:bookmarkEnd w:id="17"/>
      <w:bookmarkEnd w:id="18"/>
    </w:p>
    <w:p w14:paraId="62142C1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317DC41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19" w:name="_Toc35393802"/>
      <w:bookmarkStart w:id="20" w:name="_Toc28359016"/>
      <w:bookmarkStart w:id="21" w:name="_Toc35393633"/>
      <w:bookmarkStart w:id="22" w:name="_Toc28359093"/>
      <w:r>
        <w:rPr>
          <w:rFonts w:hint="eastAsia" w:ascii="仿宋_GB2312" w:hAnsi="仿宋_GB2312" w:eastAsia="仿宋_GB2312" w:cs="仿宋_GB2312"/>
          <w:color w:val="000000" w:themeColor="text1"/>
          <w:sz w:val="32"/>
          <w:szCs w:val="32"/>
          <w14:textFill>
            <w14:solidFill>
              <w14:schemeClr w14:val="tx1"/>
            </w14:solidFill>
          </w14:textFill>
        </w:rPr>
        <w:t>供应商在政采云平台https://www.zcygov.cn/不见面开标大厅远程参加开标活动</w:t>
      </w:r>
    </w:p>
    <w:p w14:paraId="73A6DFC7">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五、开启（竞争性磋商方式必须填写）</w:t>
      </w:r>
      <w:bookmarkEnd w:id="19"/>
      <w:bookmarkEnd w:id="20"/>
      <w:bookmarkEnd w:id="21"/>
      <w:bookmarkEnd w:id="22"/>
    </w:p>
    <w:p w14:paraId="43B42CC7">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7A6E82D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23" w:name="_Toc35393803"/>
      <w:bookmarkStart w:id="24" w:name="_Toc28359017"/>
      <w:bookmarkStart w:id="25" w:name="_Toc28359094"/>
      <w:bookmarkStart w:id="26" w:name="_Toc35393634"/>
      <w:r>
        <w:rPr>
          <w:rFonts w:hint="eastAsia" w:ascii="仿宋_GB2312" w:hAnsi="仿宋_GB2312" w:eastAsia="仿宋_GB2312" w:cs="仿宋_GB2312"/>
          <w:color w:val="000000" w:themeColor="text1"/>
          <w:sz w:val="32"/>
          <w:szCs w:val="32"/>
          <w14:textFill>
            <w14:solidFill>
              <w14:schemeClr w14:val="tx1"/>
            </w14:solidFill>
          </w14:textFill>
        </w:rPr>
        <w:t>政采云平台https://www.zcygov.cn/不见面开标大厅</w:t>
      </w:r>
    </w:p>
    <w:p w14:paraId="1091DD8E">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六、公告期限</w:t>
      </w:r>
      <w:bookmarkEnd w:id="23"/>
      <w:bookmarkEnd w:id="24"/>
      <w:bookmarkEnd w:id="25"/>
      <w:bookmarkEnd w:id="26"/>
    </w:p>
    <w:p w14:paraId="6AACC0D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自本公告发布之日起3个工作日。</w:t>
      </w:r>
      <w:bookmarkStart w:id="27" w:name="_Toc35393804"/>
      <w:bookmarkStart w:id="28" w:name="_Toc35393635"/>
    </w:p>
    <w:p w14:paraId="6CAF924C">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七、其他补充事宜</w:t>
      </w:r>
      <w:bookmarkEnd w:id="27"/>
      <w:bookmarkEnd w:id="28"/>
    </w:p>
    <w:p w14:paraId="3859603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9" w:name="_Toc28359018"/>
      <w:bookmarkStart w:id="30" w:name="_Toc28359095"/>
      <w:bookmarkStart w:id="31" w:name="_Toc35393805"/>
      <w:bookmarkStart w:id="32" w:name="_Toc3539363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1、政府采购相关政策执行：按照财政部财库[2020]46号、[2014]68号、[2017]161号、[2019]19号等文件要求，落实优先采购节能环保产品、促进中小企业发展等政策。</w:t>
      </w:r>
    </w:p>
    <w:p w14:paraId="79B1EFCC">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本项目相关信息在“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政府采购网”媒体上发布。 </w:t>
      </w:r>
    </w:p>
    <w:p w14:paraId="0DAE2CF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、请各供应商随时关注本项目的变更、答疑、澄清文件。</w:t>
      </w:r>
    </w:p>
    <w:p w14:paraId="6020AC2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、本项目实行电子招投标，供应商须登录政采云平台申请获取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文件，并通过政采云电子投标客户端制作响应文件，同时自行承担与投标有关的一切费用。</w:t>
      </w:r>
    </w:p>
    <w:p w14:paraId="06FA9865">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CEDA79F">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供应商可前往新疆政府采购网</w:t>
      </w:r>
    </w:p>
    <w:p w14:paraId="490D7E5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2ED55D6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、本项目采用不见面开标，供应商须在投标截止时间前通过CA在政采云平台上传加密的电子响应文件。</w:t>
      </w:r>
    </w:p>
    <w:p w14:paraId="18CBA58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2D94A0A6">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right="0" w:rightChars="0"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八、凡对本次采购提出询问，请按以下方式联系。</w:t>
      </w:r>
      <w:bookmarkEnd w:id="29"/>
      <w:bookmarkEnd w:id="30"/>
      <w:bookmarkEnd w:id="31"/>
      <w:bookmarkEnd w:id="32"/>
    </w:p>
    <w:p w14:paraId="4728C333">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3" w:name="_Toc28359019"/>
      <w:bookmarkStart w:id="34" w:name="_Toc28359096"/>
      <w:bookmarkStart w:id="35" w:name="_Toc35393806"/>
      <w:bookmarkStart w:id="36" w:name="_Toc35393637"/>
      <w:r>
        <w:rPr>
          <w:rFonts w:hint="eastAsia" w:ascii="仿宋_GB2312" w:hAnsi="仿宋_GB2312" w:eastAsia="仿宋_GB2312" w:cs="仿宋_GB2312"/>
          <w:b w:val="0"/>
          <w:color w:val="000000" w:themeColor="text1"/>
          <w:sz w:val="32"/>
          <w:szCs w:val="32"/>
          <w14:textFill>
            <w14:solidFill>
              <w14:schemeClr w14:val="tx1"/>
            </w14:solidFill>
          </w14:textFill>
        </w:rPr>
        <w:t>1.采购人信息</w:t>
      </w:r>
      <w:bookmarkEnd w:id="33"/>
      <w:bookmarkEnd w:id="34"/>
      <w:bookmarkEnd w:id="35"/>
      <w:bookmarkEnd w:id="36"/>
      <w:bookmarkStart w:id="37" w:name="_Toc35393638"/>
      <w:bookmarkStart w:id="38" w:name="_Toc28359020"/>
      <w:bookmarkStart w:id="39" w:name="_Toc28359097"/>
      <w:bookmarkStart w:id="40" w:name="_Toc35393807"/>
    </w:p>
    <w:p w14:paraId="69EFA2D3">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名 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阿勒泰地区自然资源局</w:t>
      </w:r>
    </w:p>
    <w:p w14:paraId="328C9D7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阿勒泰市团结路23号</w:t>
      </w:r>
    </w:p>
    <w:p w14:paraId="7E2FF0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联系方式</w:t>
      </w:r>
      <w:bookmarkEnd w:id="37"/>
      <w:bookmarkEnd w:id="38"/>
      <w:bookmarkEnd w:id="39"/>
      <w:bookmarkEnd w:id="40"/>
      <w:bookmarkStart w:id="41" w:name="_Toc35393639"/>
      <w:bookmarkStart w:id="42" w:name="_Toc28359021"/>
      <w:bookmarkStart w:id="43" w:name="_Toc35393808"/>
      <w:bookmarkStart w:id="44" w:name="_Toc28359098"/>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0906-2155176</w:t>
      </w:r>
    </w:p>
    <w:p w14:paraId="4217366F">
      <w:pPr>
        <w:rPr>
          <w:rFonts w:hint="eastAsia" w:ascii="仿宋_GB2312" w:hAnsi="仿宋_GB2312" w:eastAsia="仿宋_GB2312" w:cs="仿宋_GB2312"/>
          <w:lang w:val="en-US"/>
        </w:rPr>
      </w:pPr>
    </w:p>
    <w:p w14:paraId="4100DD7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lang w:val="en-US" w:eastAsia="zh-CN"/>
        </w:rPr>
        <w:t>2.</w:t>
      </w:r>
      <w:r>
        <w:rPr>
          <w:rFonts w:hint="eastAsia" w:ascii="仿宋_GB2312" w:hAnsi="仿宋_GB2312" w:eastAsia="仿宋_GB2312" w:cs="仿宋_GB2312"/>
          <w:b w:val="0"/>
          <w:color w:val="auto"/>
          <w:sz w:val="32"/>
          <w:szCs w:val="32"/>
          <w:u w:val="none"/>
        </w:rPr>
        <w:t>采购代理机构信息</w:t>
      </w:r>
    </w:p>
    <w:p w14:paraId="5AE2DBB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名 称：阿勒泰地区公共资源交易中心</w:t>
      </w:r>
    </w:p>
    <w:p w14:paraId="5A5AE00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址：阿勒泰市团结南路211号</w:t>
      </w:r>
    </w:p>
    <w:p w14:paraId="448A794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rPr>
        <w:t>联系方式：0906-21</w:t>
      </w:r>
      <w:r>
        <w:rPr>
          <w:rFonts w:hint="eastAsia" w:ascii="仿宋_GB2312" w:hAnsi="仿宋_GB2312" w:eastAsia="仿宋_GB2312" w:cs="仿宋_GB2312"/>
          <w:color w:val="auto"/>
          <w:sz w:val="32"/>
          <w:szCs w:val="32"/>
          <w:u w:val="none"/>
          <w:lang w:val="en-US" w:eastAsia="zh-CN"/>
        </w:rPr>
        <w:t>95300</w:t>
      </w:r>
    </w:p>
    <w:p w14:paraId="6E3FE07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526419A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u w:val="none"/>
          <w14:textFill>
            <w14:solidFill>
              <w14:schemeClr w14:val="tx1"/>
            </w14:solidFill>
          </w14:textFill>
        </w:rPr>
        <w:t>项目联系方式</w:t>
      </w:r>
      <w:bookmarkEnd w:id="41"/>
      <w:bookmarkEnd w:id="42"/>
      <w:bookmarkEnd w:id="43"/>
      <w:bookmarkEnd w:id="44"/>
    </w:p>
    <w:p w14:paraId="627E776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项目联系人：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王老师</w:t>
      </w:r>
    </w:p>
    <w:p w14:paraId="4A87A4C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电话：0906-21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1E907CD2">
      <w:pPr>
        <w:widowControl/>
        <w:jc w:val="left"/>
        <w:rPr>
          <w:rFonts w:hint="eastAsia" w:ascii="仿宋_GB2312" w:hAnsi="仿宋_GB2312" w:eastAsia="仿宋_GB2312" w:cs="仿宋_GB2312"/>
          <w:color w:val="000000" w:themeColor="text1"/>
          <w:sz w:val="36"/>
          <w:szCs w:val="36"/>
          <w14:textFill>
            <w14:solidFill>
              <w14:schemeClr w14:val="tx1"/>
            </w14:solidFill>
          </w14:textFill>
        </w:rPr>
        <w:sectPr>
          <w:footerReference r:id="rId3" w:type="default"/>
          <w:pgSz w:w="11906" w:h="16838"/>
          <w:pgMar w:top="2098" w:right="1531" w:bottom="1984" w:left="1531" w:header="851" w:footer="992" w:gutter="0"/>
          <w:pgNumType w:fmt="decimal"/>
          <w:cols w:space="425" w:num="1"/>
          <w:docGrid w:linePitch="312" w:charSpace="0"/>
        </w:sectPr>
      </w:pPr>
    </w:p>
    <w:p w14:paraId="46636A46">
      <w:pPr>
        <w:pStyle w:val="2"/>
        <w:numPr>
          <w:ilvl w:val="0"/>
          <w:numId w:val="1"/>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45" w:name="_Toc20058"/>
      <w:r>
        <w:rPr>
          <w:rFonts w:hint="eastAsia" w:ascii="仿宋_GB2312" w:hAnsi="仿宋_GB2312" w:eastAsia="仿宋_GB2312" w:cs="仿宋_GB2312"/>
          <w:b/>
          <w:bCs w:val="0"/>
          <w:color w:val="000000" w:themeColor="text1"/>
          <w:sz w:val="36"/>
          <w:szCs w:val="36"/>
          <w14:textFill>
            <w14:solidFill>
              <w14:schemeClr w14:val="tx1"/>
            </w14:solidFill>
          </w14:textFill>
        </w:rPr>
        <w:t>供应商须知</w:t>
      </w:r>
      <w:bookmarkEnd w:id="45"/>
    </w:p>
    <w:p w14:paraId="4F71E55C">
      <w:pPr>
        <w:pStyle w:val="2"/>
        <w:spacing w:before="0" w:after="0" w:line="240" w:lineRule="auto"/>
        <w:jc w:val="both"/>
        <w:outlineLvl w:val="9"/>
        <w:rPr>
          <w:rFonts w:hint="default" w:ascii="Times New Roman" w:hAnsi="Times New Roman" w:eastAsia="宋体" w:cs="Times New Roman"/>
          <w:color w:val="000000" w:themeColor="text1"/>
          <w:sz w:val="28"/>
          <w:szCs w:val="28"/>
          <w14:textFill>
            <w14:solidFill>
              <w14:schemeClr w14:val="tx1"/>
            </w14:solidFill>
          </w14:textFill>
        </w:rPr>
      </w:pPr>
      <w:bookmarkStart w:id="46" w:name="_Toc21720"/>
    </w:p>
    <w:p w14:paraId="55549601">
      <w:pPr>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供应商须知前附表</w:t>
      </w:r>
      <w:bookmarkEnd w:id="46"/>
    </w:p>
    <w:p w14:paraId="68777242">
      <w:pPr>
        <w:jc w:val="center"/>
        <w:rPr>
          <w:rFonts w:hint="default" w:ascii="Times New Roman" w:hAnsi="Times New Roman" w:cs="Times New Roman"/>
          <w:color w:val="000000" w:themeColor="text1"/>
          <w:sz w:val="28"/>
          <w:szCs w:val="28"/>
          <w14:textFill>
            <w14:solidFill>
              <w14:schemeClr w14:val="tx1"/>
            </w14:solidFill>
          </w14:textFill>
        </w:rPr>
      </w:pPr>
    </w:p>
    <w:tbl>
      <w:tblPr>
        <w:tblStyle w:val="3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45EA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4507F7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序号</w:t>
            </w:r>
          </w:p>
        </w:tc>
        <w:tc>
          <w:tcPr>
            <w:tcW w:w="2664" w:type="dxa"/>
            <w:gridSpan w:val="2"/>
            <w:noWrap w:val="0"/>
            <w:vAlign w:val="center"/>
          </w:tcPr>
          <w:p w14:paraId="7118063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内容</w:t>
            </w:r>
          </w:p>
        </w:tc>
        <w:tc>
          <w:tcPr>
            <w:tcW w:w="6203" w:type="dxa"/>
            <w:noWrap w:val="0"/>
            <w:vAlign w:val="center"/>
          </w:tcPr>
          <w:p w14:paraId="39C3886F">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说明与要求</w:t>
            </w:r>
          </w:p>
        </w:tc>
      </w:tr>
      <w:tr w14:paraId="1830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35" w:type="dxa"/>
            <w:noWrap w:val="0"/>
            <w:vAlign w:val="center"/>
          </w:tcPr>
          <w:p w14:paraId="7945664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1</w:t>
            </w:r>
          </w:p>
        </w:tc>
        <w:tc>
          <w:tcPr>
            <w:tcW w:w="2664" w:type="dxa"/>
            <w:gridSpan w:val="2"/>
            <w:noWrap w:val="0"/>
            <w:vAlign w:val="center"/>
          </w:tcPr>
          <w:p w14:paraId="3B5757F2">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项目名称</w:t>
            </w:r>
          </w:p>
        </w:tc>
        <w:tc>
          <w:tcPr>
            <w:tcW w:w="6203" w:type="dxa"/>
            <w:noWrap w:val="0"/>
            <w:vAlign w:val="center"/>
          </w:tcPr>
          <w:p w14:paraId="396C2CD7">
            <w:pPr>
              <w:pStyle w:val="30"/>
              <w:keepNext w:val="0"/>
              <w:keepLines w:val="0"/>
              <w:widowControl/>
              <w:suppressLineNumbers w:val="0"/>
              <w:spacing w:before="0" w:beforeAutospacing="0" w:after="0" w:afterAutospacing="0"/>
              <w:ind w:right="0"/>
              <w:jc w:val="both"/>
              <w:rPr>
                <w:rFonts w:hint="eastAsia"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阿勒泰地区自然资源局-阿勒泰地区国土空间总体规划动态优化调整项目</w:t>
            </w:r>
          </w:p>
        </w:tc>
      </w:tr>
      <w:tr w14:paraId="1A09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35" w:type="dxa"/>
            <w:noWrap w:val="0"/>
            <w:vAlign w:val="center"/>
          </w:tcPr>
          <w:p w14:paraId="461CF58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2</w:t>
            </w:r>
          </w:p>
        </w:tc>
        <w:tc>
          <w:tcPr>
            <w:tcW w:w="2664" w:type="dxa"/>
            <w:gridSpan w:val="2"/>
            <w:noWrap w:val="0"/>
            <w:vAlign w:val="center"/>
          </w:tcPr>
          <w:p w14:paraId="17D3D980">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采购人</w:t>
            </w:r>
          </w:p>
        </w:tc>
        <w:tc>
          <w:tcPr>
            <w:tcW w:w="6203" w:type="dxa"/>
            <w:noWrap w:val="0"/>
            <w:vAlign w:val="center"/>
          </w:tcPr>
          <w:p w14:paraId="25CCAA2F">
            <w:pPr>
              <w:widowControl/>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阿勒泰地区自然资源局</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50EC6A85">
            <w:pPr>
              <w:widowControl/>
              <w:spacing w:line="360" w:lineRule="auto"/>
              <w:rPr>
                <w:rFonts w:hint="default"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w:t>
            </w:r>
            <w:r>
              <w:rPr>
                <w:rFonts w:hint="eastAsia" w:ascii="仿宋_GB2312" w:hAnsi="仿宋_GB2312" w:eastAsia="仿宋_GB2312" w:cs="仿宋_GB2312"/>
                <w:color w:val="000000" w:themeColor="text1"/>
                <w:sz w:val="28"/>
                <w:szCs w:val="28"/>
                <w:highlight w:val="none"/>
                <w14:textFill>
                  <w14:solidFill>
                    <w14:schemeClr w14:val="tx1"/>
                  </w14:solidFill>
                </w14:textFill>
              </w:rPr>
              <w:t>系人：</w:t>
            </w:r>
            <w:bookmarkStart w:id="47" w:name="EBdc46765b8496439baac9487bf5cb2605"/>
            <w:bookmarkEnd w:id="47"/>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沈淼</w:t>
            </w:r>
          </w:p>
          <w:p w14:paraId="761BB572">
            <w:pPr>
              <w:widowControl/>
              <w:spacing w:line="360" w:lineRule="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bookmarkStart w:id="48" w:name="EBb02062c7f213427390e93f40bb6fd07d"/>
            <w:bookmarkEnd w:id="48"/>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13809962996</w:t>
            </w:r>
          </w:p>
        </w:tc>
      </w:tr>
      <w:tr w14:paraId="47D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86E1D2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3</w:t>
            </w:r>
          </w:p>
        </w:tc>
        <w:tc>
          <w:tcPr>
            <w:tcW w:w="2664" w:type="dxa"/>
            <w:gridSpan w:val="2"/>
            <w:noWrap w:val="0"/>
            <w:vAlign w:val="center"/>
          </w:tcPr>
          <w:p w14:paraId="5B28F9D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集中采购</w:t>
            </w:r>
            <w:r>
              <w:rPr>
                <w:rFonts w:hint="eastAsia" w:ascii="仿宋_GB2312" w:hAnsi="仿宋_GB2312" w:eastAsia="仿宋_GB2312" w:cs="仿宋_GB2312"/>
                <w:b/>
                <w:color w:val="000000" w:themeColor="text1"/>
                <w:kern w:val="0"/>
                <w:sz w:val="28"/>
                <w:szCs w:val="28"/>
                <w14:textFill>
                  <w14:solidFill>
                    <w14:schemeClr w14:val="tx1"/>
                  </w14:solidFill>
                </w14:textFill>
              </w:rPr>
              <w:t>机构</w:t>
            </w:r>
          </w:p>
        </w:tc>
        <w:tc>
          <w:tcPr>
            <w:tcW w:w="6203" w:type="dxa"/>
            <w:noWrap w:val="0"/>
            <w:vAlign w:val="center"/>
          </w:tcPr>
          <w:p w14:paraId="2D3A676D">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w:t>
            </w:r>
            <w:r>
              <w:rPr>
                <w:rFonts w:hint="eastAsia" w:ascii="仿宋_GB2312" w:hAnsi="仿宋_GB2312" w:eastAsia="仿宋_GB2312" w:cs="仿宋_GB2312"/>
                <w:color w:val="000000" w:themeColor="text1"/>
                <w:sz w:val="28"/>
                <w:szCs w:val="28"/>
                <w:u w:val="single"/>
                <w14:textFill>
                  <w14:solidFill>
                    <w14:schemeClr w14:val="tx1"/>
                  </w14:solidFill>
                </w14:textFill>
              </w:rPr>
              <w:t>阿勒泰地区公共资源交易中心</w:t>
            </w:r>
          </w:p>
          <w:p w14:paraId="3B8F5E81">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  系人：</w:t>
            </w:r>
            <w:bookmarkStart w:id="49" w:name="EB8a126f2415034440b3de4e030b75a537"/>
            <w:bookmarkEnd w:id="49"/>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王老师</w:t>
            </w:r>
          </w:p>
          <w:p w14:paraId="53EC71C0">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bookmarkStart w:id="50" w:name="EBe3286ac41586486c9a2046d66d6a6c82"/>
            <w:bookmarkEnd w:id="50"/>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0906-21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95300</w:t>
            </w:r>
          </w:p>
        </w:tc>
      </w:tr>
      <w:tr w14:paraId="2BE8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F9D5FF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4</w:t>
            </w:r>
          </w:p>
        </w:tc>
        <w:tc>
          <w:tcPr>
            <w:tcW w:w="2664" w:type="dxa"/>
            <w:gridSpan w:val="2"/>
            <w:noWrap w:val="0"/>
            <w:vAlign w:val="center"/>
          </w:tcPr>
          <w:p w14:paraId="4EBDE0A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采购内容</w:t>
            </w:r>
          </w:p>
        </w:tc>
        <w:tc>
          <w:tcPr>
            <w:tcW w:w="6203" w:type="dxa"/>
            <w:noWrap w:val="0"/>
            <w:vAlign w:val="center"/>
          </w:tcPr>
          <w:p w14:paraId="42A21B3F">
            <w:pPr>
              <w:widowControl/>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详见招标文件第三部分采购需求；</w:t>
            </w:r>
          </w:p>
        </w:tc>
      </w:tr>
      <w:tr w14:paraId="397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57D8788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5</w:t>
            </w:r>
          </w:p>
        </w:tc>
        <w:tc>
          <w:tcPr>
            <w:tcW w:w="2664" w:type="dxa"/>
            <w:gridSpan w:val="2"/>
            <w:noWrap w:val="0"/>
            <w:vAlign w:val="center"/>
          </w:tcPr>
          <w:p w14:paraId="2203996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投标人资格要求</w:t>
            </w:r>
          </w:p>
        </w:tc>
        <w:tc>
          <w:tcPr>
            <w:tcW w:w="6203" w:type="dxa"/>
            <w:noWrap w:val="0"/>
            <w:vAlign w:val="center"/>
          </w:tcPr>
          <w:tbl>
            <w:tblPr>
              <w:tblStyle w:val="35"/>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tblGrid>
            <w:tr w14:paraId="2833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18" w:type="dxa"/>
                  <w:noWrap w:val="0"/>
                  <w:vAlign w:val="center"/>
                </w:tcPr>
                <w:p w14:paraId="3E67EE1A">
                  <w:pPr>
                    <w:adjustRightInd w:val="0"/>
                    <w:snapToGrid w:val="0"/>
                    <w:spacing w:before="156" w:beforeLines="50" w:line="360" w:lineRule="auto"/>
                    <w:rPr>
                      <w:rFonts w:hint="eastAsia" w:ascii="仿宋_GB2312" w:hAnsi="仿宋_GB2312" w:eastAsia="仿宋_GB2312" w:cs="仿宋_GB2312"/>
                      <w:color w:val="000000" w:themeColor="text1"/>
                      <w:kern w:val="0"/>
                      <w:sz w:val="28"/>
                      <w:szCs w:val="28"/>
                      <w:lang w:val="hr-HR" w:eastAsia="zh-CN"/>
                      <w14:textFill>
                        <w14:solidFill>
                          <w14:schemeClr w14:val="tx1"/>
                        </w14:solidFill>
                      </w14:textFill>
                    </w:rPr>
                  </w:pPr>
                  <w:bookmarkStart w:id="51" w:name="EB7907836f74a6455bb75d2ff8b438afad"/>
                  <w:bookmarkEnd w:id="51"/>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1、供应商应具备《政府采购法》第二十二条规定的条件；</w:t>
                  </w:r>
                </w:p>
                <w:p w14:paraId="662A5497">
                  <w:pPr>
                    <w:adjustRightInd w:val="0"/>
                    <w:snapToGrid w:val="0"/>
                    <w:spacing w:before="156" w:beforeLines="50" w:line="360" w:lineRule="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hr-HR"/>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、特殊资格条件</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（若本项目要求）：</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无</w:t>
                  </w:r>
                </w:p>
                <w:p w14:paraId="47B43B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特定资格要求：</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无</w:t>
                  </w:r>
                </w:p>
              </w:tc>
            </w:tr>
          </w:tbl>
          <w:p w14:paraId="4F2A3410">
            <w:pPr>
              <w:widowControl/>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p>
        </w:tc>
      </w:tr>
      <w:tr w14:paraId="6B73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7127228">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6</w:t>
            </w:r>
          </w:p>
        </w:tc>
        <w:tc>
          <w:tcPr>
            <w:tcW w:w="1609" w:type="dxa"/>
            <w:vMerge w:val="restart"/>
            <w:noWrap w:val="0"/>
            <w:vAlign w:val="center"/>
          </w:tcPr>
          <w:p w14:paraId="2AD8D70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投标文件的组成</w:t>
            </w:r>
          </w:p>
          <w:p w14:paraId="70172010">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部分</w:t>
            </w:r>
          </w:p>
        </w:tc>
        <w:tc>
          <w:tcPr>
            <w:tcW w:w="1055" w:type="dxa"/>
            <w:noWrap w:val="0"/>
            <w:vAlign w:val="center"/>
          </w:tcPr>
          <w:p w14:paraId="7DCB55D4">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封面</w:t>
            </w:r>
          </w:p>
        </w:tc>
        <w:tc>
          <w:tcPr>
            <w:tcW w:w="6203" w:type="dxa"/>
            <w:noWrap w:val="0"/>
            <w:vAlign w:val="center"/>
          </w:tcPr>
          <w:p w14:paraId="714CC356">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投标文件封面；</w:t>
            </w:r>
          </w:p>
        </w:tc>
      </w:tr>
      <w:tr w14:paraId="43EA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35" w:type="dxa"/>
            <w:vMerge w:val="continue"/>
            <w:noWrap w:val="0"/>
            <w:vAlign w:val="center"/>
          </w:tcPr>
          <w:p w14:paraId="7D2328A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55204A1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6F869EC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资格审查材料</w:t>
            </w:r>
          </w:p>
        </w:tc>
        <w:tc>
          <w:tcPr>
            <w:tcW w:w="6203" w:type="dxa"/>
            <w:noWrap w:val="0"/>
            <w:vAlign w:val="center"/>
          </w:tcPr>
          <w:p w14:paraId="71376B31">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营业执照、组织机构代码证、税务登记证（</w:t>
            </w:r>
            <w:r>
              <w:rPr>
                <w:rFonts w:hint="eastAsia" w:ascii="仿宋_GB2312" w:hAnsi="仿宋_GB2312" w:eastAsia="仿宋_GB2312" w:cs="仿宋_GB2312"/>
                <w:color w:val="000000"/>
                <w:kern w:val="0"/>
                <w:sz w:val="28"/>
                <w:szCs w:val="28"/>
                <w:lang w:val="en-US" w:eastAsia="zh-CN"/>
              </w:rPr>
              <w:t>三证合一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 </w:t>
            </w:r>
          </w:p>
          <w:p w14:paraId="4DF2A8B7">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最近一个年度的财务状况报告（成立不满一年不需提供）</w:t>
            </w:r>
            <w:r>
              <w:rPr>
                <w:rFonts w:hint="eastAsia" w:ascii="仿宋_GB2312" w:hAnsi="仿宋_GB2312" w:eastAsia="仿宋_GB2312" w:cs="仿宋_GB2312"/>
                <w:color w:val="000000"/>
                <w:kern w:val="0"/>
                <w:sz w:val="28"/>
                <w:szCs w:val="28"/>
                <w:lang w:val="en-US" w:eastAsia="zh-CN"/>
              </w:rPr>
              <w:t>具备履行合同所必须的设备和专业技术能力的书面证明</w:t>
            </w:r>
          </w:p>
          <w:p w14:paraId="7C6A6E40">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000000"/>
                <w:kern w:val="0"/>
                <w:sz w:val="28"/>
                <w:szCs w:val="28"/>
                <w:lang w:val="en-US" w:eastAsia="zh-CN"/>
              </w:rPr>
              <w:t xml:space="preserve">                                              </w:t>
            </w:r>
          </w:p>
          <w:p w14:paraId="24B74A4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参加政府采购活动前3年内在经营活动中没有重大违法记录的书面声明</w:t>
            </w:r>
          </w:p>
          <w:p w14:paraId="4E65288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仿宋_GB2312" w:hAnsi="仿宋_GB2312" w:eastAsia="仿宋_GB2312" w:cs="仿宋_GB2312"/>
                <w:color w:val="000000"/>
                <w:sz w:val="28"/>
                <w:szCs w:val="28"/>
                <w:highlight w:val="none"/>
              </w:rPr>
              <w:t>（提供网页截图）</w:t>
            </w:r>
          </w:p>
          <w:p w14:paraId="638E5AE3">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本项目资质证明（若本项目要求）</w:t>
            </w:r>
            <w:r>
              <w:rPr>
                <w:rFonts w:hint="eastAsia" w:ascii="仿宋_GB2312" w:hAnsi="仿宋_GB2312" w:eastAsia="仿宋_GB2312" w:cs="仿宋_GB2312"/>
                <w:color w:val="000000"/>
                <w:kern w:val="0"/>
                <w:sz w:val="28"/>
                <w:szCs w:val="28"/>
                <w:lang w:val="en-US" w:eastAsia="zh-CN"/>
              </w:rPr>
              <w:t xml:space="preserve"> </w:t>
            </w:r>
          </w:p>
          <w:p w14:paraId="3478CFD4">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具有法定代表人身份证明及授权委托书</w:t>
            </w:r>
          </w:p>
          <w:p w14:paraId="644D5FE2">
            <w:pPr>
              <w:spacing w:line="360" w:lineRule="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en-US" w:eastAsia="zh-CN"/>
              </w:rPr>
              <w:t>投标保证金</w:t>
            </w:r>
            <w:r>
              <w:rPr>
                <w:rFonts w:hint="eastAsia" w:ascii="仿宋_GB2312" w:hAnsi="仿宋_GB2312" w:eastAsia="仿宋_GB2312" w:cs="仿宋_GB2312"/>
                <w:color w:val="000000"/>
                <w:kern w:val="0"/>
                <w:sz w:val="28"/>
                <w:szCs w:val="28"/>
                <w:lang w:val="zh-CN" w:eastAsia="zh-CN"/>
              </w:rPr>
              <w:t>符合供应商须知前附表的规定（以评审小组及监督人员查看</w:t>
            </w:r>
            <w:r>
              <w:rPr>
                <w:rFonts w:hint="eastAsia" w:ascii="仿宋_GB2312" w:hAnsi="仿宋_GB2312" w:eastAsia="仿宋_GB2312" w:cs="仿宋_GB2312"/>
                <w:color w:val="000000"/>
                <w:kern w:val="0"/>
                <w:sz w:val="28"/>
                <w:szCs w:val="28"/>
                <w:lang w:val="en-US" w:eastAsia="zh-CN"/>
              </w:rPr>
              <w:t>投标供应商上传的银行回执单电子件</w:t>
            </w:r>
            <w:r>
              <w:rPr>
                <w:rFonts w:hint="eastAsia" w:ascii="仿宋_GB2312" w:hAnsi="仿宋_GB2312" w:eastAsia="仿宋_GB2312" w:cs="仿宋_GB2312"/>
                <w:color w:val="000000"/>
                <w:kern w:val="0"/>
                <w:sz w:val="28"/>
                <w:szCs w:val="28"/>
                <w:lang w:val="zh-CN" w:eastAsia="zh-CN"/>
              </w:rPr>
              <w:t>明细</w:t>
            </w:r>
            <w:r>
              <w:rPr>
                <w:rFonts w:hint="eastAsia" w:ascii="仿宋_GB2312" w:hAnsi="仿宋_GB2312" w:eastAsia="仿宋_GB2312" w:cs="仿宋_GB2312"/>
                <w:color w:val="000000"/>
                <w:kern w:val="0"/>
                <w:sz w:val="28"/>
                <w:szCs w:val="28"/>
                <w:lang w:val="en-US" w:eastAsia="zh-CN"/>
              </w:rPr>
              <w:t>或电子</w:t>
            </w:r>
            <w:r>
              <w:rPr>
                <w:rFonts w:hint="eastAsia" w:ascii="仿宋_GB2312" w:hAnsi="仿宋_GB2312" w:eastAsia="仿宋_GB2312" w:cs="仿宋_GB2312"/>
                <w:color w:val="000000"/>
                <w:kern w:val="0"/>
                <w:sz w:val="28"/>
                <w:szCs w:val="28"/>
                <w:lang w:val="zh-CN" w:eastAsia="zh-CN"/>
              </w:rPr>
              <w:t>保函办理凭证</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及缴费凭证</w:t>
            </w:r>
            <w:r>
              <w:rPr>
                <w:rFonts w:hint="eastAsia" w:ascii="仿宋_GB2312" w:hAnsi="仿宋_GB2312" w:eastAsia="仿宋_GB2312" w:cs="仿宋_GB2312"/>
                <w:color w:val="000000"/>
                <w:kern w:val="0"/>
                <w:sz w:val="28"/>
                <w:szCs w:val="28"/>
                <w:lang w:val="zh-CN" w:eastAsia="zh-CN"/>
              </w:rPr>
              <w:t>为准）</w:t>
            </w:r>
          </w:p>
          <w:p w14:paraId="55C1BEEF">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kern w:val="0"/>
                <w:sz w:val="28"/>
                <w:szCs w:val="28"/>
                <w:lang w:val="en-US" w:eastAsia="zh-CN"/>
              </w:rPr>
              <w:t>中小企业声明函（若本项目要求）</w:t>
            </w:r>
          </w:p>
        </w:tc>
      </w:tr>
      <w:tr w14:paraId="6BD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00965E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328988F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2846138B">
            <w:pPr>
              <w:spacing w:line="360" w:lineRule="auto"/>
              <w:jc w:val="center"/>
              <w:rPr>
                <w:rFonts w:hint="eastAsia" w:ascii="仿宋_GB2312" w:hAnsi="仿宋_GB2312" w:eastAsia="仿宋_GB2312" w:cs="仿宋_GB2312"/>
                <w:b/>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符合性材料</w:t>
            </w:r>
          </w:p>
        </w:tc>
        <w:tc>
          <w:tcPr>
            <w:tcW w:w="6203" w:type="dxa"/>
            <w:noWrap w:val="0"/>
            <w:vAlign w:val="center"/>
          </w:tcPr>
          <w:p w14:paraId="7FAA0BFB">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报价未超预算</w:t>
            </w:r>
          </w:p>
          <w:p w14:paraId="08062DB8">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未采用选择性报价</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14:paraId="4DA31238">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满足招标文件实质性要求和条件（加☆标注）</w:t>
            </w:r>
          </w:p>
          <w:p w14:paraId="158FA18D">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投标文件内容基本完整，无重大错漏，并按要求签署、盖章</w:t>
            </w:r>
          </w:p>
          <w:p w14:paraId="2D58A6A3">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投标有效期满足招标文件要求</w:t>
            </w:r>
          </w:p>
          <w:p w14:paraId="191A353B">
            <w:pPr>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未含有采购人不能接受的附加条件的</w:t>
            </w:r>
          </w:p>
        </w:tc>
      </w:tr>
      <w:tr w14:paraId="507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11CC2F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1F01CD0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59FD65B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商务文件</w:t>
            </w:r>
          </w:p>
        </w:tc>
        <w:tc>
          <w:tcPr>
            <w:tcW w:w="6203" w:type="dxa"/>
            <w:noWrap w:val="0"/>
            <w:vAlign w:val="center"/>
          </w:tcPr>
          <w:p w14:paraId="6DAC18E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☆投标函；</w:t>
            </w:r>
          </w:p>
          <w:p w14:paraId="3FFEB59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☆开标一览表；</w:t>
            </w:r>
          </w:p>
          <w:p w14:paraId="3DD1FED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☆投标报价明细表；</w:t>
            </w:r>
          </w:p>
          <w:p w14:paraId="1052F0F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☆售后服务承诺书；</w:t>
            </w:r>
          </w:p>
          <w:p w14:paraId="6353199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☆商务条款偏离说明表；</w:t>
            </w:r>
          </w:p>
          <w:p w14:paraId="1EDF71A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供应商认为有必要提供的声明及文件资料；</w:t>
            </w:r>
          </w:p>
          <w:p w14:paraId="249ADCD1">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kern w:val="0"/>
                <w:sz w:val="28"/>
                <w:szCs w:val="28"/>
                <w:lang w:eastAsia="zh-CN"/>
              </w:rPr>
              <w:t xml:space="preserve">其他：  </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4A04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77550DD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0DB0080A">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64DA32C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技术文件</w:t>
            </w:r>
          </w:p>
        </w:tc>
        <w:tc>
          <w:tcPr>
            <w:tcW w:w="6203" w:type="dxa"/>
            <w:noWrap w:val="0"/>
            <w:vAlign w:val="center"/>
          </w:tcPr>
          <w:p w14:paraId="6B17875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投标人自行编写的技术文件：</w:t>
            </w:r>
          </w:p>
          <w:p w14:paraId="0176DA52">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①针对本项目的综合说明（含服务理念、工作目标、整体设想和策划）；</w:t>
            </w:r>
          </w:p>
          <w:p w14:paraId="18CC9437">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②简单方案说明或总体方案设计；</w:t>
            </w:r>
          </w:p>
          <w:p w14:paraId="55C9C3F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③项目组织和管理；</w:t>
            </w:r>
          </w:p>
          <w:p w14:paraId="6C9B949D">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④质量、进度、安全相关保障措施；</w:t>
            </w:r>
          </w:p>
          <w:p w14:paraId="1D27587E">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56D4BF2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⑥完成服务所需的工具、设备等资源配置；</w:t>
            </w:r>
          </w:p>
          <w:p w14:paraId="71D88DF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⑦技术规范偏离表；</w:t>
            </w:r>
          </w:p>
          <w:p w14:paraId="52C07DC8">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131D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330BA5F1">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7AC0A79A">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53472CB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服务文件</w:t>
            </w:r>
          </w:p>
        </w:tc>
        <w:tc>
          <w:tcPr>
            <w:tcW w:w="6203" w:type="dxa"/>
            <w:noWrap w:val="0"/>
            <w:vAlign w:val="center"/>
          </w:tcPr>
          <w:p w14:paraId="6AB9AA3A">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投标人自行编写的服务文件：</w:t>
            </w:r>
          </w:p>
          <w:p w14:paraId="3488CE8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①货物售后服务：</w:t>
            </w:r>
          </w:p>
          <w:p w14:paraId="6CEF21E2">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&lt;1&gt;货物的保修期和售后服务的程序、内容及措施；</w:t>
            </w:r>
          </w:p>
          <w:p w14:paraId="069A5B8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&lt;2&gt;响应时间和技术支持情况；</w:t>
            </w:r>
          </w:p>
          <w:p w14:paraId="0D3A85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&lt;3&gt;培训方案及内容；</w:t>
            </w:r>
          </w:p>
          <w:p w14:paraId="48986C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②售后服务网点明细表（包括联系人、详细地址、电话、传真）及</w:t>
            </w:r>
            <w:r>
              <w:rPr>
                <w:rFonts w:hint="eastAsia" w:ascii="仿宋_GB2312" w:hAnsi="仿宋_GB2312" w:eastAsia="仿宋_GB2312" w:cs="仿宋_GB2312"/>
                <w:color w:val="000000" w:themeColor="text1"/>
                <w:sz w:val="28"/>
                <w:szCs w:val="28"/>
                <w14:textFill>
                  <w14:solidFill>
                    <w14:schemeClr w14:val="tx1"/>
                  </w14:solidFill>
                </w14:textFill>
              </w:rPr>
              <w:t>本地化服务情况一览表；</w:t>
            </w:r>
          </w:p>
          <w:p w14:paraId="232B13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themeColor="text1"/>
                <w:kern w:val="0"/>
                <w:sz w:val="28"/>
                <w:szCs w:val="28"/>
                <w14:textFill>
                  <w14:solidFill>
                    <w14:schemeClr w14:val="tx1"/>
                  </w14:solidFill>
                </w14:textFill>
              </w:rPr>
              <w:t>③服务项目偏离表。</w:t>
            </w:r>
          </w:p>
          <w:p w14:paraId="63E5041C">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1F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8C0937D">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7</w:t>
            </w:r>
          </w:p>
        </w:tc>
        <w:tc>
          <w:tcPr>
            <w:tcW w:w="2664" w:type="dxa"/>
            <w:gridSpan w:val="2"/>
            <w:noWrap w:val="0"/>
            <w:vAlign w:val="center"/>
          </w:tcPr>
          <w:p w14:paraId="61E5D562">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是否允许联合体投标</w:t>
            </w:r>
          </w:p>
        </w:tc>
        <w:tc>
          <w:tcPr>
            <w:tcW w:w="6203" w:type="dxa"/>
            <w:noWrap w:val="0"/>
            <w:vAlign w:val="center"/>
          </w:tcPr>
          <w:p w14:paraId="2BA89A79">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2" w:name="EBc6ac0877da194e1ead2e51743a97925a"/>
            <w:bookmarkEnd w:id="52"/>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□是。    </w:t>
            </w:r>
          </w:p>
          <w:p w14:paraId="19325A90">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应满足要求：</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14:paraId="700DD735">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否。</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B1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9B47A7">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8</w:t>
            </w:r>
          </w:p>
        </w:tc>
        <w:tc>
          <w:tcPr>
            <w:tcW w:w="2664" w:type="dxa"/>
            <w:gridSpan w:val="2"/>
            <w:noWrap w:val="0"/>
            <w:vAlign w:val="center"/>
          </w:tcPr>
          <w:p w14:paraId="10533F66">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踏勘现场</w:t>
            </w:r>
          </w:p>
        </w:tc>
        <w:tc>
          <w:tcPr>
            <w:tcW w:w="6203" w:type="dxa"/>
            <w:noWrap w:val="0"/>
            <w:vAlign w:val="center"/>
          </w:tcPr>
          <w:p w14:paraId="26F41A45">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3" w:name="EBbb43714198e3424880ac7b30e46e04ef"/>
            <w:bookmarkEnd w:id="53"/>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自行踏勘。</w:t>
            </w:r>
          </w:p>
          <w:p w14:paraId="27F3CCFE">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□统一组织。</w:t>
            </w:r>
          </w:p>
          <w:p w14:paraId="1AF5246E">
            <w:pPr>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p w14:paraId="43A980A7">
            <w:pPr>
              <w:autoSpaceDE w:val="0"/>
              <w:autoSpaceDN w:val="0"/>
              <w:adjustRightInd w:val="0"/>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14:paraId="0FB91B0E">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踏勘时间：</w:t>
            </w:r>
            <w:bookmarkStart w:id="54" w:name="EB2c99bcd88c504ac287899c97ccd7f5ce"/>
            <w:bookmarkEnd w:id="54"/>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14:paraId="5C3627EC">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踏勘地点：</w:t>
            </w:r>
            <w:bookmarkStart w:id="55" w:name="EB71dedbf36fe341cc8bc2b5c198b26335"/>
            <w:bookmarkEnd w:id="55"/>
          </w:p>
        </w:tc>
      </w:tr>
      <w:tr w14:paraId="306A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179EC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9</w:t>
            </w:r>
          </w:p>
        </w:tc>
        <w:tc>
          <w:tcPr>
            <w:tcW w:w="2664" w:type="dxa"/>
            <w:gridSpan w:val="2"/>
            <w:noWrap w:val="0"/>
            <w:vAlign w:val="center"/>
          </w:tcPr>
          <w:p w14:paraId="3860AFF9">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磋商</w:t>
            </w:r>
            <w:r>
              <w:rPr>
                <w:rFonts w:hint="eastAsia" w:ascii="仿宋_GB2312" w:hAnsi="仿宋_GB2312" w:eastAsia="仿宋_GB2312" w:cs="仿宋_GB2312"/>
                <w:b/>
                <w:color w:val="000000" w:themeColor="text1"/>
                <w:sz w:val="28"/>
                <w:szCs w:val="28"/>
                <w14:textFill>
                  <w14:solidFill>
                    <w14:schemeClr w14:val="tx1"/>
                  </w14:solidFill>
                </w14:textFill>
              </w:rPr>
              <w:t>有效期</w:t>
            </w:r>
          </w:p>
        </w:tc>
        <w:tc>
          <w:tcPr>
            <w:tcW w:w="6203" w:type="dxa"/>
            <w:noWrap w:val="0"/>
            <w:vAlign w:val="center"/>
          </w:tcPr>
          <w:p w14:paraId="325BC29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自投标截止之日</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起</w:t>
            </w:r>
            <w:bookmarkStart w:id="56" w:name="EB5a3362fe8fc1402b9d5cafc876bbbffd"/>
            <w:bookmarkEnd w:id="56"/>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90</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zh-CN"/>
                <w14:textFill>
                  <w14:solidFill>
                    <w14:schemeClr w14:val="tx1"/>
                  </w14:solidFill>
                </w14:textFill>
              </w:rPr>
              <w:t>历天。</w:t>
            </w:r>
          </w:p>
        </w:tc>
      </w:tr>
      <w:tr w14:paraId="6B76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35" w:type="dxa"/>
            <w:noWrap w:val="0"/>
            <w:vAlign w:val="center"/>
          </w:tcPr>
          <w:p w14:paraId="3220A410">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10</w:t>
            </w:r>
          </w:p>
        </w:tc>
        <w:tc>
          <w:tcPr>
            <w:tcW w:w="2664" w:type="dxa"/>
            <w:gridSpan w:val="2"/>
            <w:noWrap w:val="0"/>
            <w:vAlign w:val="center"/>
          </w:tcPr>
          <w:p w14:paraId="607D3FE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投标截止时间（开标时间）</w:t>
            </w:r>
          </w:p>
        </w:tc>
        <w:tc>
          <w:tcPr>
            <w:tcW w:w="6203" w:type="dxa"/>
            <w:noWrap w:val="0"/>
            <w:vAlign w:val="center"/>
          </w:tcPr>
          <w:p w14:paraId="6608990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截止时间：</w:t>
            </w:r>
            <w:bookmarkStart w:id="57" w:name="EB7d3dd1e1f72448c6869af9e368eca561"/>
            <w:bookmarkEnd w:id="57"/>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分（北京时间</w:t>
            </w:r>
            <w:r>
              <w:rPr>
                <w:rFonts w:hint="eastAsia" w:ascii="仿宋_GB2312" w:hAnsi="仿宋_GB2312" w:eastAsia="仿宋_GB2312" w:cs="仿宋_GB2312"/>
                <w:color w:val="000000" w:themeColor="text1"/>
                <w:sz w:val="28"/>
                <w:szCs w:val="28"/>
                <w:u w:val="single"/>
                <w14:textFill>
                  <w14:solidFill>
                    <w14:schemeClr w14:val="tx1"/>
                  </w14:solidFill>
                </w14:textFill>
              </w:rPr>
              <w:t>）</w:t>
            </w:r>
          </w:p>
        </w:tc>
      </w:tr>
      <w:tr w14:paraId="72A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FD240BB">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11</w:t>
            </w:r>
          </w:p>
        </w:tc>
        <w:tc>
          <w:tcPr>
            <w:tcW w:w="2664" w:type="dxa"/>
            <w:gridSpan w:val="2"/>
            <w:noWrap w:val="0"/>
            <w:vAlign w:val="center"/>
          </w:tcPr>
          <w:p w14:paraId="6C3C467E">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要求</w:t>
            </w:r>
          </w:p>
        </w:tc>
        <w:tc>
          <w:tcPr>
            <w:tcW w:w="6203" w:type="dxa"/>
            <w:noWrap w:val="0"/>
            <w:vAlign w:val="center"/>
          </w:tcPr>
          <w:p w14:paraId="3A51D98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投标文件包括：</w:t>
            </w:r>
          </w:p>
          <w:p w14:paraId="424EEA6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加密的电子投标文件，在投标截止时间前通过</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新疆政采云</w:t>
            </w:r>
            <w:r>
              <w:rPr>
                <w:rFonts w:hint="eastAsia" w:ascii="仿宋_GB2312" w:hAnsi="仿宋_GB2312" w:eastAsia="仿宋_GB2312" w:cs="仿宋_GB2312"/>
                <w:color w:val="000000" w:themeColor="text1"/>
                <w:sz w:val="28"/>
                <w:szCs w:val="28"/>
                <w14:textFill>
                  <w14:solidFill>
                    <w14:schemeClr w14:val="tx1"/>
                  </w14:solidFill>
                </w14:textFill>
              </w:rPr>
              <w:t>平台上传；</w:t>
            </w:r>
          </w:p>
          <w:p w14:paraId="45F9F15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备注：因投标人</w:t>
            </w:r>
            <w:r>
              <w:rPr>
                <w:rFonts w:hint="eastAsia" w:ascii="仿宋_GB2312" w:hAnsi="仿宋_GB2312" w:eastAsia="仿宋_GB2312" w:cs="仿宋_GB2312"/>
                <w:color w:val="000000" w:themeColor="text1"/>
                <w:sz w:val="28"/>
                <w:szCs w:val="28"/>
                <w:lang w:eastAsia="zh-CN"/>
                <w14:textFill>
                  <w14:solidFill>
                    <w14:schemeClr w14:val="tx1"/>
                  </w14:solidFill>
                </w14:textFill>
              </w:rPr>
              <w:t>在解密时间内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因</w:t>
            </w:r>
            <w:r>
              <w:rPr>
                <w:rFonts w:hint="eastAsia" w:ascii="仿宋_GB2312" w:hAnsi="仿宋_GB2312" w:eastAsia="仿宋_GB2312" w:cs="仿宋_GB2312"/>
                <w:color w:val="000000" w:themeColor="text1"/>
                <w:sz w:val="28"/>
                <w:szCs w:val="28"/>
                <w14:textFill>
                  <w14:solidFill>
                    <w14:schemeClr w14:val="tx1"/>
                  </w14:solidFill>
                </w14:textFill>
              </w:rPr>
              <w:t>自身原因导致解密失败的，将导致其投标被拒绝且投标文件被退回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1B96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6CF67E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12</w:t>
            </w:r>
          </w:p>
        </w:tc>
        <w:tc>
          <w:tcPr>
            <w:tcW w:w="2664" w:type="dxa"/>
            <w:gridSpan w:val="2"/>
            <w:noWrap w:val="0"/>
            <w:vAlign w:val="center"/>
          </w:tcPr>
          <w:p w14:paraId="52E8A40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开标时间及地点</w:t>
            </w:r>
          </w:p>
        </w:tc>
        <w:tc>
          <w:tcPr>
            <w:tcW w:w="6203" w:type="dxa"/>
            <w:noWrap w:val="0"/>
            <w:vAlign w:val="center"/>
          </w:tcPr>
          <w:p w14:paraId="045DEBB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开标时间：同投标截止时间</w:t>
            </w:r>
          </w:p>
          <w:p w14:paraId="46A7AA84">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开标地点：</w:t>
            </w:r>
            <w:bookmarkStart w:id="58" w:name="EB34014fc957d649bb8986b84244ff4257"/>
            <w:bookmarkEnd w:id="58"/>
            <w:r>
              <w:rPr>
                <w:rFonts w:hint="eastAsia" w:ascii="仿宋_GB2312" w:hAnsi="仿宋_GB2312" w:eastAsia="仿宋_GB2312" w:cs="仿宋_GB2312"/>
                <w:color w:val="000000" w:themeColor="text1"/>
                <w:sz w:val="28"/>
                <w:szCs w:val="28"/>
                <w14:textFill>
                  <w14:solidFill>
                    <w14:schemeClr w14:val="tx1"/>
                  </w14:solidFill>
                </w14:textFill>
              </w:rPr>
              <w:t>政采云平台https://www.zcygov.cn/不见面开标大厅</w:t>
            </w:r>
          </w:p>
        </w:tc>
      </w:tr>
      <w:tr w14:paraId="4751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F39FCA5">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13</w:t>
            </w:r>
          </w:p>
        </w:tc>
        <w:tc>
          <w:tcPr>
            <w:tcW w:w="2664" w:type="dxa"/>
            <w:gridSpan w:val="2"/>
            <w:noWrap w:val="0"/>
            <w:vAlign w:val="center"/>
          </w:tcPr>
          <w:p w14:paraId="3D2224F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评标委员会的组成</w:t>
            </w:r>
          </w:p>
        </w:tc>
        <w:tc>
          <w:tcPr>
            <w:tcW w:w="6203" w:type="dxa"/>
            <w:noWrap w:val="0"/>
            <w:vAlign w:val="center"/>
          </w:tcPr>
          <w:p w14:paraId="7794C7C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评标委员会构成：</w:t>
            </w:r>
            <w:bookmarkStart w:id="59" w:name="EB72d16e85338144d4a2d954e860d91604"/>
            <w:bookmarkEnd w:id="59"/>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 xml:space="preserve"> 人，其中</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r>
              <w:rPr>
                <w:rFonts w:hint="eastAsia" w:ascii="仿宋_GB2312" w:hAnsi="仿宋_GB2312" w:eastAsia="仿宋_GB2312" w:cs="仿宋_GB2312"/>
                <w:color w:val="000000" w:themeColor="text1"/>
                <w:sz w:val="28"/>
                <w:szCs w:val="28"/>
                <w14:textFill>
                  <w14:solidFill>
                    <w14:schemeClr w14:val="tx1"/>
                  </w14:solidFill>
                </w14:textFill>
              </w:rPr>
              <w:t>人代表</w:t>
            </w:r>
            <w:bookmarkStart w:id="60" w:name="EB2a6ee956a7614937981c4694c7a0091e"/>
            <w:bookmarkEnd w:id="6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28"/>
                <w:szCs w:val="28"/>
                <w14:textFill>
                  <w14:solidFill>
                    <w14:schemeClr w14:val="tx1"/>
                  </w14:solidFill>
                </w14:textFill>
              </w:rPr>
              <w:t xml:space="preserve"> 人</w:t>
            </w:r>
          </w:p>
          <w:p w14:paraId="4DAE42E0">
            <w:pPr>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评委确定方式：</w:t>
            </w:r>
            <w:bookmarkStart w:id="61" w:name="EB6479c32eb2ce45839a2e1507d7cdac93"/>
            <w:bookmarkEnd w:id="61"/>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随机抽取</w:t>
            </w:r>
          </w:p>
        </w:tc>
      </w:tr>
      <w:tr w14:paraId="7903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7A73D7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14</w:t>
            </w:r>
          </w:p>
        </w:tc>
        <w:tc>
          <w:tcPr>
            <w:tcW w:w="2664" w:type="dxa"/>
            <w:gridSpan w:val="2"/>
            <w:vMerge w:val="restart"/>
            <w:noWrap w:val="0"/>
            <w:vAlign w:val="center"/>
          </w:tcPr>
          <w:p w14:paraId="151E1F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投标保证金</w:t>
            </w:r>
          </w:p>
        </w:tc>
        <w:tc>
          <w:tcPr>
            <w:tcW w:w="6203" w:type="dxa"/>
            <w:noWrap w:val="0"/>
            <w:vAlign w:val="center"/>
          </w:tcPr>
          <w:p w14:paraId="005D777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保证金由供应商自主选择以银行转账和纸质保函的非现金方式缴纳，具体方式如下：</w:t>
            </w:r>
          </w:p>
          <w:p w14:paraId="3C3C403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方式一：纸质保函</w:t>
            </w:r>
          </w:p>
          <w:p w14:paraId="10804AB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（1）可以使用银行保函、担保保函、保险保函其中之一形式提交。</w:t>
            </w:r>
          </w:p>
          <w:p w14:paraId="0C58E7A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（2）供应商制作投标（响应）文件时，须将保函办理凭证编制到响应文件的资格证明文件中提交。</w:t>
            </w:r>
          </w:p>
          <w:p w14:paraId="689CF75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方式二：银行转账</w:t>
            </w:r>
          </w:p>
          <w:p w14:paraId="66CFA83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账户名称：阿勒泰地区行政服务中心</w:t>
            </w:r>
          </w:p>
          <w:p w14:paraId="4956C34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账号：301508010400078810000000001</w:t>
            </w:r>
          </w:p>
          <w:p w14:paraId="34AEBD8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开户行名称：中国农业银行股份有限公司阿勒泰市支行</w:t>
            </w:r>
          </w:p>
          <w:p w14:paraId="712F938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行号：103902015081</w:t>
            </w:r>
          </w:p>
        </w:tc>
      </w:tr>
      <w:tr w14:paraId="0D1C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1341C3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09E70F8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noWrap w:val="0"/>
            <w:vAlign w:val="center"/>
          </w:tcPr>
          <w:p w14:paraId="36327EC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10000</w:t>
            </w:r>
            <w:r>
              <w:rPr>
                <w:rFonts w:hint="eastAsia" w:ascii="仿宋_GB2312" w:hAnsi="仿宋_GB2312" w:eastAsia="仿宋_GB2312" w:cs="仿宋_GB2312"/>
                <w:color w:val="000000" w:themeColor="text1"/>
                <w:sz w:val="28"/>
                <w:szCs w:val="28"/>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tc>
      </w:tr>
      <w:tr w14:paraId="1641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2936D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6939AB2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tcBorders>
              <w:bottom w:val="single" w:color="auto" w:sz="4" w:space="0"/>
            </w:tcBorders>
            <w:noWrap w:val="0"/>
            <w:vAlign w:val="center"/>
          </w:tcPr>
          <w:p w14:paraId="117DED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注：供应商制作投标（响应）文件时，须将磋商保证金缴纳凭证编制到响应文件的资格证明文件中提交。</w:t>
            </w:r>
          </w:p>
          <w:p w14:paraId="0920F71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★若供应商未按上述规定缴纳磋商保证金，将导致投标（响应）无效。</w:t>
            </w:r>
          </w:p>
          <w:p w14:paraId="4CF518A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中标供应商的保证金，将在合同签订后的3-5个工作日内予以退还（须在集中采购机构进行合同备案后方可办理退还手续）；未中标供应商的保证金在中标公告发出后3-5个工作日内予以退还。</w:t>
            </w:r>
          </w:p>
        </w:tc>
      </w:tr>
      <w:tr w14:paraId="6ADE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5D96B6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15</w:t>
            </w:r>
          </w:p>
        </w:tc>
        <w:tc>
          <w:tcPr>
            <w:tcW w:w="2664" w:type="dxa"/>
            <w:gridSpan w:val="2"/>
            <w:noWrap w:val="0"/>
            <w:vAlign w:val="center"/>
          </w:tcPr>
          <w:p w14:paraId="70E0B50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节能、环保要求</w:t>
            </w:r>
          </w:p>
        </w:tc>
        <w:tc>
          <w:tcPr>
            <w:tcW w:w="6203" w:type="dxa"/>
            <w:tcBorders>
              <w:top w:val="single" w:color="auto" w:sz="4" w:space="0"/>
            </w:tcBorders>
            <w:noWrap w:val="0"/>
            <w:vAlign w:val="center"/>
          </w:tcPr>
          <w:p w14:paraId="04E0A9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按国家有关节能环保政策执行：</w:t>
            </w:r>
            <w:bookmarkStart w:id="62" w:name="EB014b7c5e8ad2493cb0d11473b927bad7"/>
            <w:bookmarkStart w:id="63" w:name="EB5eb2ef9949894c46a4ae078c6e67fc3e"/>
          </w:p>
          <w:bookmarkEnd w:id="62"/>
          <w:bookmarkEnd w:id="63"/>
        </w:tc>
      </w:tr>
      <w:tr w14:paraId="1DD5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474E62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16</w:t>
            </w:r>
          </w:p>
        </w:tc>
        <w:tc>
          <w:tcPr>
            <w:tcW w:w="2664" w:type="dxa"/>
            <w:gridSpan w:val="2"/>
            <w:noWrap w:val="0"/>
            <w:vAlign w:val="center"/>
          </w:tcPr>
          <w:p w14:paraId="70BFF89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中小微型企业</w:t>
            </w:r>
          </w:p>
          <w:p w14:paraId="449F6CD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tcBorders>
              <w:top w:val="single" w:color="auto" w:sz="4" w:space="0"/>
            </w:tcBorders>
            <w:noWrap w:val="0"/>
            <w:vAlign w:val="center"/>
          </w:tcPr>
          <w:p w14:paraId="2B5B7436">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14:textFill>
                  <w14:solidFill>
                    <w14:schemeClr w14:val="tx1"/>
                  </w14:solidFill>
                </w14:textFill>
              </w:rPr>
              <w:t>)根据工信部等部委发布的《关于印发中小企业划型标准规定的通知》（工信部联企业[2011]300号）规定执行；</w:t>
            </w:r>
          </w:p>
          <w:p w14:paraId="34144C13">
            <w:pPr>
              <w:spacing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价格扣除幅度：小微企业价格给予10%的扣除。</w:t>
            </w:r>
          </w:p>
          <w:p w14:paraId="5427537A">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投标</w:t>
            </w:r>
            <w:r>
              <w:rPr>
                <w:rFonts w:hint="eastAsia" w:ascii="仿宋_GB2312" w:hAnsi="仿宋_GB2312" w:eastAsia="仿宋_GB2312" w:cs="仿宋_GB2312"/>
                <w:color w:val="000000" w:themeColor="text1"/>
                <w:kern w:val="0"/>
                <w:sz w:val="28"/>
                <w:szCs w:val="28"/>
                <w14:textFill>
                  <w14:solidFill>
                    <w14:schemeClr w14:val="tx1"/>
                  </w14:solidFill>
                </w14:textFill>
              </w:rPr>
              <w:t>企业标准请参照《关于印发中小企业划型标准规定的通知》（工信部联企业[2011]300号）文件规定自行</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确定并</w:t>
            </w:r>
            <w:r>
              <w:rPr>
                <w:rFonts w:hint="eastAsia" w:ascii="仿宋_GB2312" w:hAnsi="仿宋_GB2312" w:eastAsia="仿宋_GB2312" w:cs="仿宋_GB2312"/>
                <w:color w:val="000000" w:themeColor="text1"/>
                <w:kern w:val="0"/>
                <w:sz w:val="28"/>
                <w:szCs w:val="28"/>
                <w14:textFill>
                  <w14:solidFill>
                    <w14:schemeClr w14:val="tx1"/>
                  </w14:solidFill>
                </w14:textFill>
              </w:rPr>
              <w:t>填写中、小微企业声明函</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（3）本项目采购标的对应的中小企业划分标准所属行业为</w:t>
            </w:r>
            <w:r>
              <w:rPr>
                <w:rFonts w:hint="eastAsia" w:ascii="仿宋_GB2312" w:hAnsi="仿宋_GB2312" w:eastAsia="仿宋_GB2312" w:cs="仿宋_GB2312"/>
                <w:b/>
                <w:bCs/>
                <w:color w:val="000000" w:themeColor="text1"/>
                <w:kern w:val="0"/>
                <w:sz w:val="28"/>
                <w:szCs w:val="28"/>
                <w:highlight w:val="none"/>
                <w:lang w:val="en-US" w:eastAsia="zh-CN"/>
                <w14:textFill>
                  <w14:solidFill>
                    <w14:schemeClr w14:val="tx1"/>
                  </w14:solidFill>
                </w14:textFill>
              </w:rPr>
              <w:t>“其他未列明行业”</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。行业划分标准按《国民经济行业分类》执行。中小企业划分标准按《中小企业划型标准规定》（工信部联企业[2011]300号）文件规定执行。    </w:t>
            </w:r>
          </w:p>
        </w:tc>
      </w:tr>
      <w:tr w14:paraId="1A88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F49273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17</w:t>
            </w:r>
          </w:p>
        </w:tc>
        <w:tc>
          <w:tcPr>
            <w:tcW w:w="2664" w:type="dxa"/>
            <w:gridSpan w:val="2"/>
            <w:noWrap w:val="0"/>
            <w:vAlign w:val="center"/>
          </w:tcPr>
          <w:p w14:paraId="49F2DE83">
            <w:pPr>
              <w:spacing w:line="360" w:lineRule="auto"/>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残疾人福利单位</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及监狱和戒毒企业</w:t>
            </w: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noWrap w:val="0"/>
            <w:vAlign w:val="center"/>
          </w:tcPr>
          <w:p w14:paraId="5B67E3ED">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1）本项目对残疾人福利性单位、监狱和戒毒企业视同小型、微型企业，给予10%的价格扣除，用扣除后的价格参与评审。</w:t>
            </w:r>
          </w:p>
          <w:p w14:paraId="33FE67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残疾人福利单位需按照采购文件的要求提供《残疾人福利性单位声明函》。残疾人福利单位标准请参照《关于促进残疾人就业政府采购政策的通知》（财库〔2017〕141号）</w:t>
            </w:r>
          </w:p>
          <w:p w14:paraId="3C0DD8A5">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22F1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A63036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18</w:t>
            </w:r>
          </w:p>
        </w:tc>
        <w:tc>
          <w:tcPr>
            <w:tcW w:w="2664" w:type="dxa"/>
            <w:gridSpan w:val="2"/>
            <w:noWrap w:val="0"/>
            <w:vAlign w:val="center"/>
          </w:tcPr>
          <w:p w14:paraId="7FA498E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评审方法</w:t>
            </w:r>
          </w:p>
        </w:tc>
        <w:tc>
          <w:tcPr>
            <w:tcW w:w="6203" w:type="dxa"/>
            <w:noWrap w:val="0"/>
            <w:vAlign w:val="center"/>
          </w:tcPr>
          <w:p w14:paraId="4AD8B13C">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64" w:name="EBfac76cf65e4c418cba0e15c753f1359b"/>
            <w:bookmarkEnd w:id="64"/>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综合评分法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最低评标价法</w:t>
            </w:r>
          </w:p>
        </w:tc>
      </w:tr>
      <w:tr w14:paraId="5E2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33F34CE">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19</w:t>
            </w:r>
          </w:p>
        </w:tc>
        <w:tc>
          <w:tcPr>
            <w:tcW w:w="2664" w:type="dxa"/>
            <w:gridSpan w:val="2"/>
            <w:noWrap w:val="0"/>
            <w:vAlign w:val="center"/>
          </w:tcPr>
          <w:p w14:paraId="3C1116D3">
            <w:pPr>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付款途径</w:t>
            </w:r>
          </w:p>
        </w:tc>
        <w:tc>
          <w:tcPr>
            <w:tcW w:w="6203" w:type="dxa"/>
            <w:noWrap w:val="0"/>
            <w:vAlign w:val="center"/>
          </w:tcPr>
          <w:p w14:paraId="64304306">
            <w:pPr>
              <w:spacing w:line="360" w:lineRule="auto"/>
              <w:rPr>
                <w:rFonts w:hint="eastAsia" w:ascii="仿宋_GB2312" w:hAnsi="仿宋_GB2312" w:eastAsia="仿宋_GB2312" w:cs="仿宋_GB2312"/>
                <w:color w:val="000000" w:themeColor="text1"/>
                <w:kern w:val="0"/>
                <w:sz w:val="28"/>
                <w:szCs w:val="28"/>
                <w:highlight w:val="none"/>
                <w:lang w:val="zh-CN" w:eastAsia="zh-CN"/>
                <w14:textFill>
                  <w14:solidFill>
                    <w14:schemeClr w14:val="tx1"/>
                  </w14:solidFill>
                </w14:textFill>
              </w:rPr>
            </w:pPr>
            <w:bookmarkStart w:id="65" w:name="EBea6107e5580a4549be5b498765332fd3"/>
            <w:bookmarkEnd w:id="65"/>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财政拨款</w:t>
            </w:r>
          </w:p>
        </w:tc>
      </w:tr>
      <w:tr w14:paraId="442D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DD29716">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20</w:t>
            </w:r>
          </w:p>
        </w:tc>
        <w:tc>
          <w:tcPr>
            <w:tcW w:w="2664" w:type="dxa"/>
            <w:gridSpan w:val="2"/>
            <w:noWrap w:val="0"/>
            <w:vAlign w:val="center"/>
          </w:tcPr>
          <w:p w14:paraId="50946E31">
            <w:pPr>
              <w:spacing w:line="360" w:lineRule="auto"/>
              <w:ind w:left="1592" w:hanging="1592"/>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付款方式</w:t>
            </w:r>
          </w:p>
        </w:tc>
        <w:tc>
          <w:tcPr>
            <w:tcW w:w="6203" w:type="dxa"/>
            <w:noWrap w:val="0"/>
            <w:vAlign w:val="center"/>
          </w:tcPr>
          <w:p w14:paraId="5D94A437">
            <w:pPr>
              <w:spacing w:line="360" w:lineRule="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6" w:name="EB2dc74b14846046859499e4929e78dd41"/>
            <w:bookmarkEnd w:id="66"/>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合同签订后7个工作日内支付30%，完成动态调整优化方案，通过甲方审查后7个工作日内支付50%，提交最终成果，通过验收后，7个工作日内支付20%。</w:t>
            </w:r>
          </w:p>
        </w:tc>
      </w:tr>
      <w:tr w14:paraId="48EF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0D58C8">
            <w:pPr>
              <w:spacing w:line="360" w:lineRule="auto"/>
              <w:jc w:val="center"/>
              <w:rPr>
                <w:rFonts w:hint="eastAsia" w:ascii="仿宋_GB2312" w:hAnsi="仿宋_GB2312" w:eastAsia="仿宋_GB2312" w:cs="仿宋_GB2312"/>
                <w:b/>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21</w:t>
            </w:r>
          </w:p>
        </w:tc>
        <w:tc>
          <w:tcPr>
            <w:tcW w:w="2664" w:type="dxa"/>
            <w:gridSpan w:val="2"/>
            <w:noWrap w:val="0"/>
            <w:vAlign w:val="center"/>
          </w:tcPr>
          <w:p w14:paraId="0592915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交付地点</w:t>
            </w:r>
          </w:p>
        </w:tc>
        <w:tc>
          <w:tcPr>
            <w:tcW w:w="6203" w:type="dxa"/>
            <w:noWrap w:val="0"/>
            <w:vAlign w:val="center"/>
          </w:tcPr>
          <w:p w14:paraId="299B1FF3">
            <w:pPr>
              <w:spacing w:line="360" w:lineRule="auto"/>
              <w:rPr>
                <w:rFonts w:hint="eastAsia" w:ascii="仿宋_GB2312" w:hAnsi="仿宋_GB2312" w:eastAsia="仿宋_GB2312" w:cs="仿宋_GB2312"/>
                <w:color w:val="000000" w:themeColor="text1"/>
                <w:kern w:val="0"/>
                <w:sz w:val="28"/>
                <w:szCs w:val="28"/>
                <w:highlight w:val="red"/>
                <w:lang w:val="en-US" w:eastAsia="zh-CN"/>
                <w14:textFill>
                  <w14:solidFill>
                    <w14:schemeClr w14:val="tx1"/>
                  </w14:solidFill>
                </w14:textFill>
              </w:rPr>
            </w:pPr>
            <w:bookmarkStart w:id="67" w:name="EB164305855d7d4c53942a57bb4dac7000"/>
            <w:bookmarkEnd w:id="67"/>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阿勒泰地区</w:t>
            </w:r>
          </w:p>
        </w:tc>
      </w:tr>
      <w:tr w14:paraId="028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5" w:type="dxa"/>
            <w:noWrap w:val="0"/>
            <w:vAlign w:val="center"/>
          </w:tcPr>
          <w:p w14:paraId="3C1E544C">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22</w:t>
            </w:r>
          </w:p>
        </w:tc>
        <w:tc>
          <w:tcPr>
            <w:tcW w:w="2664" w:type="dxa"/>
            <w:gridSpan w:val="2"/>
            <w:noWrap w:val="0"/>
            <w:vAlign w:val="center"/>
          </w:tcPr>
          <w:p w14:paraId="074589D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服务</w:t>
            </w:r>
            <w:r>
              <w:rPr>
                <w:rFonts w:hint="eastAsia" w:ascii="仿宋_GB2312" w:hAnsi="仿宋_GB2312" w:eastAsia="仿宋_GB2312" w:cs="仿宋_GB2312"/>
                <w:b/>
                <w:color w:val="000000" w:themeColor="text1"/>
                <w:kern w:val="0"/>
                <w:sz w:val="28"/>
                <w:szCs w:val="28"/>
                <w14:textFill>
                  <w14:solidFill>
                    <w14:schemeClr w14:val="tx1"/>
                  </w14:solidFill>
                </w14:textFill>
              </w:rPr>
              <w:t>期</w:t>
            </w:r>
          </w:p>
        </w:tc>
        <w:tc>
          <w:tcPr>
            <w:tcW w:w="6203" w:type="dxa"/>
            <w:noWrap w:val="0"/>
            <w:vAlign w:val="center"/>
          </w:tcPr>
          <w:p w14:paraId="2726B417">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8" w:name="EBdca9b04348ec4d4e88722d261482d984"/>
            <w:bookmarkEnd w:id="68"/>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一年</w:t>
            </w:r>
          </w:p>
        </w:tc>
      </w:tr>
      <w:tr w14:paraId="5CC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35" w:type="dxa"/>
            <w:noWrap w:val="0"/>
            <w:vAlign w:val="center"/>
          </w:tcPr>
          <w:p w14:paraId="693C968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23</w:t>
            </w:r>
          </w:p>
        </w:tc>
        <w:tc>
          <w:tcPr>
            <w:tcW w:w="2664" w:type="dxa"/>
            <w:gridSpan w:val="2"/>
            <w:noWrap w:val="0"/>
            <w:vAlign w:val="center"/>
          </w:tcPr>
          <w:p w14:paraId="0F0ADD5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是否需要</w:t>
            </w:r>
          </w:p>
          <w:p w14:paraId="5F23F8C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提交样品</w:t>
            </w:r>
          </w:p>
        </w:tc>
        <w:tc>
          <w:tcPr>
            <w:tcW w:w="6203" w:type="dxa"/>
            <w:noWrap w:val="0"/>
            <w:vAlign w:val="center"/>
          </w:tcPr>
          <w:p w14:paraId="3856233D">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bookmarkStart w:id="69" w:name="EB4545dfd19ee14bf990935163cccc2961"/>
            <w:bookmarkEnd w:id="69"/>
            <w:r>
              <w:rPr>
                <w:rFonts w:hint="eastAsia" w:ascii="仿宋_GB2312" w:hAnsi="仿宋_GB2312" w:eastAsia="仿宋_GB2312" w:cs="仿宋_GB2312"/>
                <w:color w:val="000000" w:themeColor="text1"/>
                <w:kern w:val="0"/>
                <w:sz w:val="28"/>
                <w:szCs w:val="28"/>
                <w:lang w:val="zh-CN"/>
                <w14:textFill>
                  <w14:solidFill>
                    <w14:schemeClr w14:val="tx1"/>
                  </w14:solidFill>
                </w14:textFill>
              </w:rPr>
              <w:t>☑不需要</w:t>
            </w:r>
          </w:p>
          <w:p w14:paraId="465341F6">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□需要，样品要求如下</w:t>
            </w:r>
          </w:p>
          <w:p w14:paraId="7EE9CAB5">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样品要求如下：</w:t>
            </w:r>
          </w:p>
          <w:p w14:paraId="5C89177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c>
      </w:tr>
      <w:tr w14:paraId="6A6A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BB2882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24</w:t>
            </w:r>
          </w:p>
        </w:tc>
        <w:tc>
          <w:tcPr>
            <w:tcW w:w="2664" w:type="dxa"/>
            <w:gridSpan w:val="2"/>
            <w:noWrap w:val="0"/>
            <w:vAlign w:val="center"/>
          </w:tcPr>
          <w:p w14:paraId="18809F1E">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项目预算</w:t>
            </w:r>
          </w:p>
        </w:tc>
        <w:tc>
          <w:tcPr>
            <w:tcW w:w="6203" w:type="dxa"/>
            <w:noWrap w:val="0"/>
            <w:vAlign w:val="center"/>
          </w:tcPr>
          <w:p w14:paraId="46E280F8">
            <w:pPr>
              <w:autoSpaceDE w:val="0"/>
              <w:autoSpaceDN w:val="0"/>
              <w:adjustRightIn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70" w:name="EB37045333926244749e63270637dfc851"/>
            <w:bookmarkEnd w:id="70"/>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1000000</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，投标人投标报价超过项目预算的按无效投标处理。</w:t>
            </w:r>
          </w:p>
        </w:tc>
      </w:tr>
      <w:tr w14:paraId="6A89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575BE8D">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25</w:t>
            </w:r>
          </w:p>
        </w:tc>
        <w:tc>
          <w:tcPr>
            <w:tcW w:w="2664" w:type="dxa"/>
            <w:gridSpan w:val="2"/>
            <w:noWrap w:val="0"/>
            <w:vAlign w:val="center"/>
          </w:tcPr>
          <w:p w14:paraId="7003B698">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其他</w:t>
            </w:r>
          </w:p>
        </w:tc>
        <w:tc>
          <w:tcPr>
            <w:tcW w:w="6203" w:type="dxa"/>
            <w:noWrap w:val="0"/>
            <w:vAlign w:val="center"/>
          </w:tcPr>
          <w:p w14:paraId="1BD20C85">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1、各投标人必须针对每包项目分别制作投标文件并报价，每包的投标文件均必须满足招标文件份数与制作等要求，否则将导致投标被拒绝。 </w:t>
            </w:r>
          </w:p>
          <w:p w14:paraId="753F96C6">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本项目的招标投标活动以及相关当事人须接受财政监督部门依法实施的监督。</w:t>
            </w:r>
          </w:p>
          <w:p w14:paraId="77DE34D6">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3.小微型企业、残疾人福利单位、监狱企业属于小型、微型企业的，不重复享受政策。</w:t>
            </w:r>
          </w:p>
        </w:tc>
      </w:tr>
      <w:tr w14:paraId="0E0B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C2414A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26</w:t>
            </w:r>
          </w:p>
        </w:tc>
        <w:tc>
          <w:tcPr>
            <w:tcW w:w="2664" w:type="dxa"/>
            <w:gridSpan w:val="2"/>
            <w:noWrap w:val="0"/>
            <w:vAlign w:val="center"/>
          </w:tcPr>
          <w:p w14:paraId="36356030">
            <w:pPr>
              <w:autoSpaceDE w:val="0"/>
              <w:autoSpaceDN w:val="0"/>
              <w:adjustRightInd w:val="0"/>
              <w:spacing w:line="36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招标人补充的其他内容</w:t>
            </w:r>
          </w:p>
        </w:tc>
        <w:tc>
          <w:tcPr>
            <w:tcW w:w="6203" w:type="dxa"/>
            <w:noWrap w:val="0"/>
            <w:vAlign w:val="center"/>
          </w:tcPr>
          <w:p w14:paraId="3F812DBC">
            <w:pPr>
              <w:autoSpaceDE w:val="0"/>
              <w:autoSpaceDN w:val="0"/>
              <w:adjustRightInd w:val="0"/>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bookmarkStart w:id="71" w:name="EB74ae452a189a4b2c993499fc5939ae2d"/>
            <w:bookmarkEnd w:id="71"/>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tc>
      </w:tr>
    </w:tbl>
    <w:p w14:paraId="2772A70D">
      <w:pPr>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注：</w:t>
      </w:r>
      <w:r>
        <w:rPr>
          <w:rFonts w:hint="eastAsia" w:ascii="仿宋_GB2312" w:hAnsi="仿宋_GB2312" w:eastAsia="仿宋_GB2312" w:cs="仿宋_GB2312"/>
          <w:color w:val="000000" w:themeColor="text1"/>
          <w:sz w:val="28"/>
          <w:szCs w:val="28"/>
          <w14:textFill>
            <w14:solidFill>
              <w14:schemeClr w14:val="tx1"/>
            </w14:solidFill>
          </w14:textFill>
        </w:rPr>
        <w:t>1、本表内容与响应文件其它内容不一致的，应当以本表内容为准。</w:t>
      </w:r>
    </w:p>
    <w:p w14:paraId="4716A2FA">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r>
        <w:rPr>
          <w:rFonts w:hint="eastAsia" w:ascii="仿宋_GB2312" w:hAnsi="仿宋_GB2312" w:eastAsia="仿宋_GB2312" w:cs="仿宋_GB2312"/>
          <w:color w:val="000000" w:themeColor="text1"/>
          <w:kern w:val="0"/>
          <w:sz w:val="28"/>
          <w:szCs w:val="28"/>
          <w14:textFill>
            <w14:solidFill>
              <w14:schemeClr w14:val="tx1"/>
            </w14:solidFill>
          </w14:textFill>
        </w:rPr>
        <w:t>2、本表中“</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kern w:val="0"/>
          <w:sz w:val="28"/>
          <w:szCs w:val="28"/>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position w:val="-5"/>
          <w:sz w:val="42"/>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position w:val="0"/>
          <w:sz w:val="28"/>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”标示选择使用该项</w:t>
      </w:r>
    </w:p>
    <w:bookmarkEnd w:id="2"/>
    <w:p w14:paraId="177A0B25">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72" w:name="_Toc455227390"/>
      <w:bookmarkEnd w:id="72"/>
      <w:bookmarkStart w:id="73" w:name="_Toc513029202"/>
      <w:bookmarkEnd w:id="73"/>
      <w:bookmarkStart w:id="74" w:name="_Toc20823274"/>
      <w:bookmarkEnd w:id="74"/>
      <w:bookmarkStart w:id="75" w:name="_Toc120614213"/>
      <w:bookmarkEnd w:id="75"/>
      <w:bookmarkStart w:id="76" w:name="_Toc16938518"/>
      <w:bookmarkEnd w:id="76"/>
      <w:bookmarkStart w:id="77" w:name="_Toc5882"/>
      <w:r>
        <w:rPr>
          <w:rFonts w:hint="eastAsia" w:ascii="仿宋_GB2312" w:hAnsi="仿宋_GB2312" w:eastAsia="仿宋_GB2312" w:cs="仿宋_GB2312"/>
          <w:b/>
          <w:color w:val="000000" w:themeColor="text1"/>
          <w:sz w:val="32"/>
          <w:szCs w:val="32"/>
          <w14:textFill>
            <w14:solidFill>
              <w14:schemeClr w14:val="tx1"/>
            </w14:solidFill>
          </w14:textFill>
        </w:rPr>
        <w:t>一、 说明</w:t>
      </w:r>
      <w:bookmarkEnd w:id="77"/>
    </w:p>
    <w:p w14:paraId="3385B521">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1.1适用范围</w:t>
      </w:r>
    </w:p>
    <w:p w14:paraId="2CF087ED">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.1本磋商文件仅适用于本磋商邀请函中所述项目的货物及相关服务的采购。</w:t>
      </w:r>
    </w:p>
    <w:p w14:paraId="7C25ED86">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1.2定义</w:t>
      </w:r>
    </w:p>
    <w:p w14:paraId="15959EEC">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1.2.1“采购人”是指：详见供应商须知前附表.</w:t>
      </w:r>
    </w:p>
    <w:p w14:paraId="2E8055D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1.2.2“集中采购机构”是指：详见供应商须知前附表.</w:t>
      </w:r>
    </w:p>
    <w:p w14:paraId="4E79E59E">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1.2.3“监管部门”是指：详见供应商须知前附表.</w:t>
      </w:r>
    </w:p>
    <w:p w14:paraId="158B5EA1">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“供应商”是指：响应磋商文件要求并且符合磋商文件规定资格条件和参加竞争性磋商的法人、其他组织或者自然人。</w:t>
      </w:r>
    </w:p>
    <w:p w14:paraId="38541A32">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1.2.5“电子响应文件”是指：利用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提供的“投标文件制作工具”编制加密的响应文件。</w:t>
      </w:r>
    </w:p>
    <w:p w14:paraId="4184DE42">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1.2.6“成交供应商”是指: 是指经磋商小组评审，授予合同的供应商。</w:t>
      </w:r>
    </w:p>
    <w:p w14:paraId="1D0A278D">
      <w:pPr>
        <w:pStyle w:val="20"/>
        <w:adjustRightInd w:val="0"/>
        <w:snapToGrid w:val="0"/>
        <w:spacing w:beforeLines="50" w:afterLines="50" w:line="360" w:lineRule="auto"/>
        <w:ind w:left="561" w:leftChars="26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1.2.7采购人和集中采购机构统称为招标采购单位。</w:t>
      </w:r>
    </w:p>
    <w:p w14:paraId="39FD4D1A">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1.3、货物和服务</w:t>
      </w:r>
    </w:p>
    <w:p w14:paraId="6EF4CB9E">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提供的货物必须是其合法生产的符合国家有关标准要求的货物，并能够按照合同规定的品牌、产地、质量、价格和有效期等履约。</w:t>
      </w:r>
    </w:p>
    <w:p w14:paraId="59985FBE">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1.3.2“服务”是指：除货物和工程以外的其他政府采购对象。包括：政府自身需要的服务和政府向社会公众提供的公共服务。</w:t>
      </w:r>
    </w:p>
    <w:p w14:paraId="4E1CDDCD">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1.4、磋商费用</w:t>
      </w:r>
    </w:p>
    <w:p w14:paraId="35157E38">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1.4.1供应商应承担所有与准备和参加竞争性磋商有关的费用。</w:t>
      </w:r>
    </w:p>
    <w:p w14:paraId="19E492B2">
      <w:pPr>
        <w:rPr>
          <w:rFonts w:hint="eastAsia" w:ascii="仿宋_GB2312" w:hAnsi="仿宋_GB2312" w:eastAsia="仿宋_GB2312" w:cs="仿宋_GB2312"/>
          <w:b/>
          <w:color w:val="000000" w:themeColor="text1"/>
          <w:sz w:val="28"/>
          <w:szCs w:val="28"/>
          <w14:textFill>
            <w14:solidFill>
              <w14:schemeClr w14:val="tx1"/>
            </w14:solidFill>
          </w14:textFill>
        </w:rPr>
      </w:pPr>
      <w:bookmarkStart w:id="78" w:name="_Toc293736054"/>
      <w:bookmarkStart w:id="79" w:name="_Toc446599311"/>
      <w:bookmarkStart w:id="80" w:name="_Toc293738992"/>
      <w:bookmarkStart w:id="81" w:name="_Toc293736011"/>
      <w:bookmarkStart w:id="82" w:name="_Toc21571"/>
      <w:r>
        <w:rPr>
          <w:rFonts w:hint="eastAsia" w:ascii="仿宋_GB2312" w:hAnsi="仿宋_GB2312" w:eastAsia="仿宋_GB2312" w:cs="仿宋_GB2312"/>
          <w:b/>
          <w:color w:val="000000" w:themeColor="text1"/>
          <w:sz w:val="28"/>
          <w:szCs w:val="28"/>
          <w14:textFill>
            <w14:solidFill>
              <w14:schemeClr w14:val="tx1"/>
            </w14:solidFill>
          </w14:textFill>
        </w:rPr>
        <w:br w:type="page"/>
      </w:r>
    </w:p>
    <w:p w14:paraId="7C09A24D">
      <w:pPr>
        <w:pStyle w:val="11"/>
        <w:spacing w:line="500" w:lineRule="exact"/>
        <w:ind w:firstLine="568" w:firstLineChars="20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p>
    <w:p w14:paraId="0B87E73E">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二、磋商文件</w:t>
      </w:r>
      <w:bookmarkEnd w:id="78"/>
      <w:bookmarkEnd w:id="79"/>
      <w:bookmarkEnd w:id="80"/>
      <w:bookmarkEnd w:id="81"/>
      <w:bookmarkEnd w:id="82"/>
    </w:p>
    <w:p w14:paraId="469F5F48">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2.1.磋商文件的构成</w:t>
      </w:r>
    </w:p>
    <w:p w14:paraId="04F5CED8">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2.1.1磋商文件由下列文件以及在采购过程中发出的修正和补充文件组成：</w:t>
      </w:r>
    </w:p>
    <w:p w14:paraId="715DA7C3">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(1)磋商邀请函；</w:t>
      </w:r>
    </w:p>
    <w:p w14:paraId="65E7875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(2)供应商须知；</w:t>
      </w:r>
    </w:p>
    <w:p w14:paraId="2491432B">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(3)采购项目技术规格、参数及相关服务要求；</w:t>
      </w:r>
    </w:p>
    <w:p w14:paraId="4BC83416">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(4)评审方法、步骤、标准；</w:t>
      </w:r>
    </w:p>
    <w:p w14:paraId="2673023D">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(5)合同格式及合同条款；</w:t>
      </w:r>
    </w:p>
    <w:p w14:paraId="6FA613B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(6)响应文件格式；</w:t>
      </w:r>
    </w:p>
    <w:p w14:paraId="2A33C625">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(7)在磋商过程中由采购单位发出的澄清和补充文件等。</w:t>
      </w:r>
    </w:p>
    <w:p w14:paraId="11A3F3F2">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559821E5">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2.2. 磋商文件的澄清</w:t>
      </w:r>
    </w:p>
    <w:p w14:paraId="26E7C462">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2.2.1供应商应仔细阅读和检查磋商文件的全部内容。供应商若对磋商文件有任何疑问或要求进行澄清的，均应在响应文件递交截止时间5日前用书面形式按照《政府采购质疑和投诉办法》的规定向集中采购机构提出。提出后，请供应商及时通过交易平台“答疑文件下载”栏目查看答疑文件或澄清文件。必要时，集中采购机构将组织相关专家召开答疑会，如召开，答疑会安排另行通知。澄清文件作为磋商文件的组成部分，对供应商具有同等约束作用。</w:t>
      </w:r>
    </w:p>
    <w:p w14:paraId="63053E58">
      <w:pPr>
        <w:pStyle w:val="11"/>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2.2.2</w:t>
      </w:r>
      <w:r>
        <w:rPr>
          <w:rFonts w:hint="eastAsia" w:ascii="仿宋_GB2312" w:hAnsi="仿宋_GB2312" w:eastAsia="仿宋_GB2312" w:cs="仿宋_GB2312"/>
          <w:color w:val="000000" w:themeColor="text1"/>
          <w:sz w:val="28"/>
          <w:szCs w:val="28"/>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14:paraId="460D6A94">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2.3. 磋商文件的修改</w:t>
      </w:r>
    </w:p>
    <w:p w14:paraId="18EA1929">
      <w:pPr>
        <w:pStyle w:val="11"/>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2.3.1采购单位可以对已发出的磋商文件进行必要的澄清或者修改。</w:t>
      </w:r>
      <w:r>
        <w:rPr>
          <w:rFonts w:hint="eastAsia" w:ascii="仿宋_GB2312" w:hAnsi="仿宋_GB2312" w:eastAsia="仿宋_GB2312" w:cs="仿宋_GB2312"/>
          <w:color w:val="000000" w:themeColor="text1"/>
          <w:sz w:val="28"/>
          <w:szCs w:val="28"/>
          <w14:textFill>
            <w14:solidFill>
              <w14:schemeClr w14:val="tx1"/>
            </w14:solidFill>
          </w14:textFill>
        </w:rPr>
        <w:t>澄清或者修改的内容可能影响响应文件编制的，采购单位将在响应文件递交截止时间五日前</w:t>
      </w:r>
      <w:r>
        <w:rPr>
          <w:rFonts w:hint="eastAsia" w:ascii="仿宋_GB2312" w:hAnsi="仿宋_GB2312" w:eastAsia="仿宋_GB2312" w:cs="仿宋_GB2312"/>
          <w:color w:val="000000" w:themeColor="text1"/>
          <w:spacing w:val="-6"/>
          <w:sz w:val="28"/>
          <w:szCs w:val="28"/>
          <w14:textFill>
            <w14:solidFill>
              <w14:schemeClr w14:val="tx1"/>
            </w14:solidFill>
          </w14:textFill>
        </w:rPr>
        <w:t>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发布更正公告。 </w:t>
      </w:r>
    </w:p>
    <w:p w14:paraId="6FB3EA98">
      <w:pPr>
        <w:pStyle w:val="11"/>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2.3.2澄清或者修改的内容是磋商文件的组成部分，将在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会员专区向所有供应商公布，并对供应商具有约束力。</w:t>
      </w:r>
    </w:p>
    <w:p w14:paraId="3D389D27">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2.3.3为使供应商有充足的时间对磋商文件的修改部分进行研究，采购单位可适当推迟响应文件截止期，并通过在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上发布公告方式通知所有下载磋商文件的供应商。</w:t>
      </w:r>
    </w:p>
    <w:p w14:paraId="3E5E1171">
      <w:pPr>
        <w:pStyle w:val="11"/>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14:paraId="3150CC1E">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83" w:name="_Toc293738993"/>
      <w:bookmarkStart w:id="84" w:name="_Toc446599312"/>
      <w:bookmarkStart w:id="85" w:name="_Toc16413"/>
      <w:bookmarkStart w:id="86" w:name="_Toc293736012"/>
      <w:bookmarkStart w:id="87" w:name="_Toc293736055"/>
      <w:r>
        <w:rPr>
          <w:rFonts w:hint="eastAsia" w:ascii="仿宋_GB2312" w:hAnsi="仿宋_GB2312" w:eastAsia="仿宋_GB2312" w:cs="仿宋_GB2312"/>
          <w:b/>
          <w:color w:val="000000" w:themeColor="text1"/>
          <w:sz w:val="32"/>
          <w:szCs w:val="32"/>
          <w14:textFill>
            <w14:solidFill>
              <w14:schemeClr w14:val="tx1"/>
            </w14:solidFill>
          </w14:textFill>
        </w:rPr>
        <w:t>三、响应文件的编制</w:t>
      </w:r>
      <w:bookmarkEnd w:id="83"/>
      <w:bookmarkEnd w:id="84"/>
      <w:bookmarkEnd w:id="85"/>
      <w:bookmarkEnd w:id="86"/>
      <w:bookmarkEnd w:id="87"/>
    </w:p>
    <w:p w14:paraId="1C22F60E">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3.1．响应文件的语言</w:t>
      </w:r>
    </w:p>
    <w:p w14:paraId="6B53F038">
      <w:pPr>
        <w:pStyle w:val="11"/>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5397C639">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3.2响应文件的构成</w:t>
      </w:r>
    </w:p>
    <w:p w14:paraId="11833AAF">
      <w:pPr>
        <w:pStyle w:val="11"/>
        <w:spacing w:line="500" w:lineRule="exact"/>
        <w:ind w:firstLine="565" w:firstLineChars="202"/>
        <w:jc w:val="left"/>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3.2.1供应商编制的响应文件应包括但不少于下列内容：</w:t>
      </w:r>
    </w:p>
    <w:p w14:paraId="115AD3BA">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pacing w:val="-6"/>
          <w:sz w:val="28"/>
          <w:szCs w:val="28"/>
          <w14:textFill>
            <w14:solidFill>
              <w14:schemeClr w14:val="tx1"/>
            </w14:solidFill>
          </w14:textFill>
        </w:rPr>
        <w:t>商务</w:t>
      </w:r>
      <w:r>
        <w:rPr>
          <w:rFonts w:hint="eastAsia" w:ascii="仿宋_GB2312" w:hAnsi="仿宋_GB2312" w:eastAsia="仿宋_GB2312" w:cs="仿宋_GB2312"/>
          <w:color w:val="000000" w:themeColor="text1"/>
          <w:sz w:val="28"/>
          <w:szCs w:val="28"/>
          <w14:textFill>
            <w14:solidFill>
              <w14:schemeClr w14:val="tx1"/>
            </w14:solidFill>
          </w14:textFill>
        </w:rPr>
        <w:t>文件内容（详见第六章商务文件组成）</w:t>
      </w:r>
    </w:p>
    <w:p w14:paraId="6E5FA2D3">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（2)技术文件内容（详见第六章技术文件组成）</w:t>
      </w:r>
    </w:p>
    <w:p w14:paraId="7D75CDF4">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3.3响应文件编制</w:t>
      </w:r>
    </w:p>
    <w:p w14:paraId="296CE5E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3.3.1</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响应文件制作时，应按照统一的“投标文件制作工具”和磋商文件中明确的响应文件目录和投标</w:t>
      </w:r>
      <w:r>
        <w:rPr>
          <w:rFonts w:hint="eastAsia" w:ascii="仿宋_GB2312" w:hAnsi="仿宋_GB2312" w:eastAsia="仿宋_GB2312" w:cs="仿宋_GB2312"/>
          <w:color w:val="000000" w:themeColor="text1"/>
          <w:sz w:val="28"/>
          <w:szCs w:val="28"/>
          <w14:textFill>
            <w14:solidFill>
              <w14:schemeClr w14:val="tx1"/>
            </w14:solidFill>
          </w14:textFill>
        </w:rPr>
        <w:t>技术规格、参数及相关要求</w:t>
      </w:r>
      <w:r>
        <w:rPr>
          <w:rFonts w:hint="eastAsia" w:ascii="仿宋_GB2312" w:hAnsi="仿宋_GB2312" w:eastAsia="仿宋_GB2312" w:cs="仿宋_GB2312"/>
          <w:color w:val="000000" w:themeColor="text1"/>
          <w:kern w:val="0"/>
          <w:sz w:val="28"/>
          <w:szCs w:val="28"/>
          <w14:textFill>
            <w14:solidFill>
              <w14:schemeClr w14:val="tx1"/>
            </w14:solidFill>
          </w14:textFill>
        </w:rPr>
        <w:t>格式进行编制，保证目录清晰、内容完整。</w:t>
      </w:r>
    </w:p>
    <w:p w14:paraId="773B111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供应商因自身原因导致电子响应文件无法导入电子评标系统的，该响应文件视为无效文件。 </w:t>
      </w:r>
    </w:p>
    <w:p w14:paraId="2A9631D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14:paraId="53459E9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为了保证</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160DDEC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14:textFill>
            <w14:solidFill>
              <w14:schemeClr w14:val="tx1"/>
            </w14:solidFill>
          </w14:textFill>
        </w:rPr>
        <w:t>供应商应完整地</w:t>
      </w:r>
      <w:r>
        <w:rPr>
          <w:rFonts w:hint="eastAsia" w:ascii="仿宋_GB2312" w:hAnsi="仿宋_GB2312" w:eastAsia="仿宋_GB2312" w:cs="仿宋_GB2312"/>
          <w:color w:val="000000" w:themeColor="text1"/>
          <w:spacing w:val="-6"/>
          <w:sz w:val="28"/>
          <w:szCs w:val="28"/>
          <w14:textFill>
            <w14:solidFill>
              <w14:schemeClr w14:val="tx1"/>
            </w14:solidFill>
          </w14:textFill>
        </w:rPr>
        <w:t>填写</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磋商文件中提供的《竞争性磋商函》、《竞争性磋商报价一览表》、《竞争性磋商报价明细表》等磋商文件中规定的所有内容。 </w:t>
      </w:r>
    </w:p>
    <w:p w14:paraId="3360B24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供应商必须保证响应文件所提供的全部资料真实可靠，并接受采购单位对其中任何资料进一步核实的要求。 </w:t>
      </w:r>
    </w:p>
    <w:p w14:paraId="2733B38A">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3.4. 磋商报价要求</w:t>
      </w:r>
    </w:p>
    <w:p w14:paraId="40DA803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3.4.1供应商所提供的货物和服务均以人民币报价。</w:t>
      </w:r>
    </w:p>
    <w:p w14:paraId="16B2AB8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3.4.2商应按照“第三章 采购需求”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07837F8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3.4.3《报价明细表》填写时应响应下列要求：</w:t>
      </w:r>
    </w:p>
    <w:p w14:paraId="111DA16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（1）对于报价免费的项目应标明“免费”；</w:t>
      </w:r>
    </w:p>
    <w:p w14:paraId="5E72A97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（2）所有根据合同或其它原因应由供应商支付的税款和其它应交纳的费用都要包括在供应商提交的磋商总价中；</w:t>
      </w:r>
    </w:p>
    <w:p w14:paraId="0F86521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（3）应包含货物运至最终目的地的运输、保险和伴随货物服务的有关费用。</w:t>
      </w:r>
    </w:p>
    <w:p w14:paraId="4460CAD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3.4.5每一种规格的货物、服务只允许有一个报价，否则将被视为无效投标。</w:t>
      </w:r>
    </w:p>
    <w:p w14:paraId="5D7C07E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3.4.6供应商所报的总价在合同执行过程中是固定不变的，不得以任何理由予以变更。</w:t>
      </w:r>
    </w:p>
    <w:p w14:paraId="1B3449A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3.4.7供应商的最后磋商报价超过项目采购预算的为无效报价。</w:t>
      </w:r>
    </w:p>
    <w:p w14:paraId="0DAB4F3D">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3.5备选方案</w:t>
      </w:r>
    </w:p>
    <w:p w14:paraId="39AB9AD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3.5.1供应商应按照供应商须知前附表要求编制磋商备选方案，否则将被视为无效响应文件。</w:t>
      </w:r>
    </w:p>
    <w:p w14:paraId="6CC32FCB">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3.6联合体投标</w:t>
      </w:r>
    </w:p>
    <w:p w14:paraId="4FA3D77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3.6.1两个以上供应商可以组成一个联合体，以一个供应商的身份共同参与磋商。</w:t>
      </w:r>
    </w:p>
    <w:p w14:paraId="3A5D237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6343FD8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3.6.3联合体各方之间必须签订联合磋商协议，明确约定联合体主体及各方承担的工作和相应的责任，其响应文件中必须提供联合磋商协议。</w:t>
      </w:r>
    </w:p>
    <w:p w14:paraId="5A292F3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3.6.4以联合体形式参加政府采购活动的，联合体各方不得再单独参加或者与其他供应商另外组成联合体参加同一合同项下的政府采购活动。</w:t>
      </w:r>
    </w:p>
    <w:p w14:paraId="38A0327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16C69A3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3.6.6联合体成交的，联合体各方应当共同与采购人签订采购合同。</w:t>
      </w:r>
    </w:p>
    <w:p w14:paraId="4994ECD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3.6.7联合体中有同类资质的供应商按照联合体分工承担相同工作的，应当按照资质等级较低的供应商确定资质等级。</w:t>
      </w:r>
    </w:p>
    <w:p w14:paraId="473D4045">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 供应商资格证明文件</w:t>
      </w:r>
    </w:p>
    <w:p w14:paraId="52DFD8F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3.7.1供应商应提交证明其有资格参加磋商和成交后有能力履行合同的文件，并作为其响应文件的一部分。</w:t>
      </w:r>
    </w:p>
    <w:p w14:paraId="36A04E4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3.7.2资格证明文件必须真实可靠、不得伪造。</w:t>
      </w:r>
    </w:p>
    <w:p w14:paraId="7462AE6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3.7.3供应商相关资格证明文件：</w:t>
      </w:r>
    </w:p>
    <w:p w14:paraId="77D060C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（1）法人或者其他组织的营业执照等证明文件，自然人的身份证明；</w:t>
      </w:r>
    </w:p>
    <w:p w14:paraId="2138770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（2）财务状况报告，依法缴纳税收和社会保障资金的相关材料；</w:t>
      </w:r>
    </w:p>
    <w:p w14:paraId="6A04E29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（3）具备履行合同所必需的设备和专业技术能力的证明材料；</w:t>
      </w:r>
    </w:p>
    <w:p w14:paraId="7E2F8DA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（4）参加政府采购活动前3年内在经营活动中没有重大违法记录的书面声明；</w:t>
      </w:r>
    </w:p>
    <w:p w14:paraId="7BA3573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（5）具备法律、行政法规规定的其他条件的证明材料；</w:t>
      </w:r>
    </w:p>
    <w:p w14:paraId="3617293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（6）采购项目有特殊要求的，供应商还应当提供其符合特殊要求的证明材料或者情况说明；</w:t>
      </w:r>
    </w:p>
    <w:p w14:paraId="0785012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（7）信用信息查询记录；</w:t>
      </w:r>
    </w:p>
    <w:p w14:paraId="7E5BC25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（8）磋商文件要求或供应商认为需提供的其它相关资格证明材料。</w:t>
      </w:r>
    </w:p>
    <w:p w14:paraId="0BDEE5A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3.7.4 证明投标货物、服务的合格性和符合磋商文件规定的文件。</w:t>
      </w:r>
    </w:p>
    <w:p w14:paraId="3882AA2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采取资格预审方式项目的供应商在递交投标文件时，其资格条件与资格预审时发生变化的，提交变化后的资料。</w:t>
      </w:r>
    </w:p>
    <w:p w14:paraId="0F4D0FA6">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3.8. 磋商保证金</w:t>
      </w:r>
    </w:p>
    <w:p w14:paraId="0AE1264C">
      <w:pPr>
        <w:pStyle w:val="11"/>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3.8.1</w:t>
      </w:r>
      <w:r>
        <w:rPr>
          <w:rFonts w:hint="eastAsia" w:ascii="仿宋_GB2312" w:hAnsi="仿宋_GB2312" w:eastAsia="仿宋_GB2312" w:cs="仿宋_GB2312"/>
          <w:color w:val="000000" w:themeColor="text1"/>
          <w:kern w:val="0"/>
          <w:sz w:val="28"/>
          <w:szCs w:val="28"/>
          <w14:textFill>
            <w14:solidFill>
              <w14:schemeClr w14:val="tx1"/>
            </w14:solidFill>
          </w14:textFill>
        </w:rPr>
        <w:t>供应商</w:t>
      </w:r>
      <w:r>
        <w:rPr>
          <w:rFonts w:hint="eastAsia" w:ascii="仿宋_GB2312" w:hAnsi="仿宋_GB2312" w:eastAsia="仿宋_GB2312" w:cs="仿宋_GB2312"/>
          <w:color w:val="000000" w:themeColor="text1"/>
          <w:sz w:val="28"/>
          <w:szCs w:val="28"/>
          <w14:textFill>
            <w14:solidFill>
              <w14:schemeClr w14:val="tx1"/>
            </w14:solidFill>
          </w14:textFill>
        </w:rPr>
        <w:t>应在响应文件截止时间之前，通过信息主体库中备案的企业银行账户，将所规定数额的保证金以转账或电汇方式缴纳至该项目所</w:t>
      </w:r>
      <w:r>
        <w:rPr>
          <w:rFonts w:hint="eastAsia" w:ascii="仿宋_GB2312" w:hAnsi="仿宋_GB2312" w:eastAsia="仿宋_GB2312" w:cs="仿宋_GB2312"/>
          <w:color w:val="000000" w:themeColor="text1"/>
          <w:kern w:val="0"/>
          <w:sz w:val="28"/>
          <w:szCs w:val="28"/>
          <w14:textFill>
            <w14:solidFill>
              <w14:schemeClr w14:val="tx1"/>
            </w14:solidFill>
          </w14:textFill>
        </w:rPr>
        <w:t>对应的保证金收取账号内（不接受现金缴纳）。保证金缴纳时间以该项目所对应的保证金收取账号中显示的到账时间为准。</w:t>
      </w:r>
    </w:p>
    <w:p w14:paraId="614E7FC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3.8.2对于未能按要求提交保证金的将视为未响应磋商文件的要求，其响应文件无效。</w:t>
      </w:r>
    </w:p>
    <w:p w14:paraId="193F178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集中采购机构将在质疑和投诉处理完毕后5个工作日内，按照保证金的来款渠道原路退还至供应商缴纳保证金的企业银行账户内。</w:t>
      </w:r>
    </w:p>
    <w:p w14:paraId="7E31344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3.8.4成交供应商的磋商保证金,在供应商与采购人签订合同，并将合同原件报集中采购机构后5个工作日内，按照保证金的来款渠道原路退还至供应商缴纳保证金的企业银行账户内。</w:t>
      </w:r>
    </w:p>
    <w:p w14:paraId="4CB706D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3.8.5有下列情形之一的，保证金将被没收：</w:t>
      </w:r>
    </w:p>
    <w:p w14:paraId="1DBF38B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（1）供应商在响应文件中提供虚假资料的；</w:t>
      </w:r>
    </w:p>
    <w:p w14:paraId="0B047E7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（2）除因不可抗力或磋商文件认可的情形以外，成交供应商不与采购人签订合同的；</w:t>
      </w:r>
    </w:p>
    <w:p w14:paraId="4DC16BF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（3）供应商与采购人、其他供应商或者集中采购机构恶意串通的；</w:t>
      </w:r>
    </w:p>
    <w:p w14:paraId="4476A70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（4）磋商文件规定的其他情形。</w:t>
      </w:r>
    </w:p>
    <w:p w14:paraId="6018BD5A">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 磋商的有效期</w:t>
      </w:r>
    </w:p>
    <w:p w14:paraId="6032B99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3.9.1磋商有效期详见供应商须知前附表。供应商响应文件中有效期不足的将被视为无效文件。</w:t>
      </w:r>
    </w:p>
    <w:p w14:paraId="69CDE9F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3.9.2 有效期内供应商未经采购结果确认谈判达成一致不得改变其磋商最后报价及承诺的全部义务。</w:t>
      </w:r>
    </w:p>
    <w:p w14:paraId="22D20C35">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88" w:name="_Toc293738994"/>
      <w:bookmarkStart w:id="89" w:name="_Toc293736056"/>
      <w:bookmarkStart w:id="90" w:name="_Toc293736013"/>
      <w:bookmarkStart w:id="91" w:name="_Toc446599313"/>
      <w:r>
        <w:rPr>
          <w:rFonts w:hint="eastAsia" w:ascii="仿宋_GB2312" w:hAnsi="仿宋_GB2312" w:eastAsia="仿宋_GB2312" w:cs="仿宋_GB2312"/>
          <w:b/>
          <w:color w:val="000000" w:themeColor="text1"/>
          <w:sz w:val="32"/>
          <w:szCs w:val="32"/>
          <w14:textFill>
            <w14:solidFill>
              <w14:schemeClr w14:val="tx1"/>
            </w14:solidFill>
          </w14:textFill>
        </w:rPr>
        <w:t>四、响应文件的递交</w:t>
      </w:r>
      <w:bookmarkEnd w:id="88"/>
      <w:bookmarkEnd w:id="89"/>
      <w:bookmarkEnd w:id="90"/>
      <w:bookmarkEnd w:id="91"/>
    </w:p>
    <w:p w14:paraId="07EDFA7B">
      <w:pPr>
        <w:pStyle w:val="11"/>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响应文件的密封和标记</w:t>
      </w:r>
    </w:p>
    <w:p w14:paraId="00FE0AC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14:paraId="244668AE">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4.2响应文件的递交</w:t>
      </w:r>
    </w:p>
    <w:p w14:paraId="01E9A5B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4.2.1供应商应在磋商文件规定的响应文件递交截止时间</w:t>
      </w:r>
      <w:r>
        <w:rPr>
          <w:rFonts w:hint="eastAsia" w:ascii="仿宋_GB2312" w:hAnsi="仿宋_GB2312" w:eastAsia="仿宋_GB2312" w:cs="仿宋_GB2312"/>
          <w:color w:val="000000" w:themeColor="text1"/>
          <w:sz w:val="28"/>
          <w:szCs w:val="28"/>
          <w:highlight w:val="white"/>
          <w14:textFill>
            <w14:solidFill>
              <w14:schemeClr w14:val="tx1"/>
            </w14:solidFill>
          </w14:textFill>
        </w:rPr>
        <w:t>前将电子磋商响应文件上传到指定网站的指定栏目。</w:t>
      </w:r>
      <w:r>
        <w:rPr>
          <w:rFonts w:hint="eastAsia" w:ascii="仿宋_GB2312" w:hAnsi="仿宋_GB2312" w:eastAsia="仿宋_GB2312" w:cs="仿宋_GB2312"/>
          <w:color w:val="000000" w:themeColor="text1"/>
          <w:kern w:val="0"/>
          <w:sz w:val="28"/>
          <w:szCs w:val="28"/>
          <w14:textFill>
            <w14:solidFill>
              <w14:schemeClr w14:val="tx1"/>
            </w14:solidFill>
          </w14:textFill>
        </w:rPr>
        <w:t>未在响应文件递交截止时间前完成上传的电子响应文件视为逾期送达。逾期上传或未按规定方式上传的电子响应文件，采购单位不予受理。</w:t>
      </w:r>
    </w:p>
    <w:p w14:paraId="06FE8095">
      <w:pPr>
        <w:pStyle w:val="20"/>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4.3迟交的响应文件</w:t>
      </w:r>
    </w:p>
    <w:p w14:paraId="7BCBBD4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4.3</w:t>
      </w:r>
      <w:r>
        <w:rPr>
          <w:rFonts w:hint="eastAsia" w:ascii="仿宋_GB2312" w:hAnsi="仿宋_GB2312" w:eastAsia="仿宋_GB2312" w:cs="仿宋_GB2312"/>
          <w:color w:val="000000" w:themeColor="text1"/>
          <w:sz w:val="28"/>
          <w:szCs w:val="28"/>
          <w14:textFill>
            <w14:solidFill>
              <w14:schemeClr w14:val="tx1"/>
            </w14:solidFill>
          </w14:textFill>
        </w:rPr>
        <w:t>.1采购</w:t>
      </w:r>
      <w:r>
        <w:rPr>
          <w:rFonts w:hint="eastAsia" w:ascii="仿宋_GB2312" w:hAnsi="仿宋_GB2312" w:eastAsia="仿宋_GB2312" w:cs="仿宋_GB2312"/>
          <w:color w:val="000000" w:themeColor="text1"/>
          <w:kern w:val="0"/>
          <w:sz w:val="28"/>
          <w:szCs w:val="28"/>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阿勒泰地区公共资源交易中心不负任何责任。建议于开标前1个工作日完成响应文件的制作与上传。</w:t>
      </w:r>
    </w:p>
    <w:p w14:paraId="228C6866">
      <w:pPr>
        <w:pStyle w:val="20"/>
        <w:spacing w:line="600" w:lineRule="exact"/>
        <w:ind w:firstLine="565" w:firstLineChars="201"/>
        <w:contextualSpacing/>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4.4响应文件的修改和撤回</w:t>
      </w:r>
    </w:p>
    <w:p w14:paraId="156311F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23F578F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4.4.2供应商所提交的响应文件在评审结束后，无论中标与否都不退还。</w:t>
      </w:r>
    </w:p>
    <w:p w14:paraId="02CDB76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726FD6CA">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五</w:t>
      </w:r>
      <w:bookmarkStart w:id="92" w:name="_Toc293738995"/>
      <w:bookmarkStart w:id="93" w:name="_Toc293736057"/>
      <w:bookmarkStart w:id="94" w:name="_Toc446599314"/>
      <w:bookmarkStart w:id="95" w:name="_Toc293736014"/>
      <w:bookmarkStart w:id="96" w:name="_Toc5596"/>
      <w:r>
        <w:rPr>
          <w:rFonts w:hint="eastAsia" w:ascii="仿宋_GB2312" w:hAnsi="仿宋_GB2312" w:eastAsia="仿宋_GB2312" w:cs="仿宋_GB2312"/>
          <w:b/>
          <w:color w:val="000000" w:themeColor="text1"/>
          <w:sz w:val="32"/>
          <w:szCs w:val="32"/>
          <w14:textFill>
            <w14:solidFill>
              <w14:schemeClr w14:val="tx1"/>
            </w14:solidFill>
          </w14:textFill>
        </w:rPr>
        <w:t>、</w:t>
      </w:r>
      <w:bookmarkEnd w:id="92"/>
      <w:bookmarkEnd w:id="93"/>
      <w:bookmarkEnd w:id="94"/>
      <w:bookmarkEnd w:id="95"/>
      <w:r>
        <w:rPr>
          <w:rFonts w:hint="eastAsia" w:ascii="仿宋_GB2312" w:hAnsi="仿宋_GB2312" w:eastAsia="仿宋_GB2312" w:cs="仿宋_GB2312"/>
          <w:b/>
          <w:color w:val="000000" w:themeColor="text1"/>
          <w:sz w:val="32"/>
          <w:szCs w:val="32"/>
          <w14:textFill>
            <w14:solidFill>
              <w14:schemeClr w14:val="tx1"/>
            </w14:solidFill>
          </w14:textFill>
        </w:rPr>
        <w:t>竞争性磋商程序</w:t>
      </w:r>
      <w:bookmarkEnd w:id="96"/>
    </w:p>
    <w:p w14:paraId="64164601">
      <w:pPr>
        <w:widowControl/>
        <w:spacing w:line="520" w:lineRule="atLeast"/>
        <w:ind w:firstLine="562" w:firstLineChars="200"/>
        <w:textAlignment w:val="baseline"/>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5</w:t>
      </w:r>
      <w:r>
        <w:rPr>
          <w:rFonts w:hint="eastAsia" w:ascii="仿宋_GB2312" w:hAnsi="仿宋_GB2312" w:eastAsia="仿宋_GB2312" w:cs="仿宋_GB2312"/>
          <w:b/>
          <w:color w:val="000000" w:themeColor="text1"/>
          <w:kern w:val="0"/>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1磋商小组的组成</w:t>
      </w:r>
    </w:p>
    <w:p w14:paraId="0B3320E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"file:///C:\\WordForm\\e944b4b1-01b6-4e42-b170-f783fcf7903a.doc" \l "_评标委员会"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供应商须知前附表</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63C3630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5.2 </w:t>
      </w:r>
      <w:r>
        <w:rPr>
          <w:rFonts w:hint="eastAsia" w:ascii="仿宋_GB2312" w:hAnsi="仿宋_GB2312" w:eastAsia="仿宋_GB2312" w:cs="仿宋_GB2312"/>
          <w:color w:val="000000" w:themeColor="text1"/>
          <w:sz w:val="28"/>
          <w:szCs w:val="28"/>
          <w:highlight w:val="white"/>
          <w14:textFill>
            <w14:solidFill>
              <w14:schemeClr w14:val="tx1"/>
            </w14:solidFill>
          </w14:textFill>
        </w:rPr>
        <w:t>磋商供应商在规定的时间内和指定的磋商地点，对本单位的加密的电子响应文件现场解密，集中采购机构工作人员在监督人员或公证人员监督下解密所有响应文件。若因网络等技术原因不能进行电子磋商响应文件解密，则以电子磋商响应文件光盘进行磋商。</w:t>
      </w:r>
    </w:p>
    <w:p w14:paraId="43BB0E6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5.3磋商方法</w:t>
      </w:r>
    </w:p>
    <w:p w14:paraId="1659AD4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5.3.1磋商小组将按照磋商文件确定的评审方法进行评审。磋商小组对响应文件的评审分为响应文件初审、澄清有关问题、比较与评价响应文件、推荐中标候选人名单。</w:t>
      </w:r>
    </w:p>
    <w:p w14:paraId="2CB0721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5.3.1项目评审方法详见磋商文件“第四章 评审方法、步骤及标准”。</w:t>
      </w:r>
    </w:p>
    <w:p w14:paraId="78CBAE57">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5.4</w:t>
      </w:r>
      <w:r>
        <w:rPr>
          <w:rFonts w:hint="eastAsia" w:ascii="仿宋_GB2312" w:hAnsi="仿宋_GB2312" w:eastAsia="仿宋_GB2312" w:cs="仿宋_GB2312"/>
          <w:color w:val="000000" w:themeColor="text1"/>
          <w:kern w:val="0"/>
          <w:sz w:val="28"/>
          <w:szCs w:val="28"/>
          <w14:textFill>
            <w14:solidFill>
              <w14:schemeClr w14:val="tx1"/>
            </w14:solidFill>
          </w14:textFill>
        </w:rPr>
        <w:t>响应文件的初审</w:t>
      </w:r>
    </w:p>
    <w:p w14:paraId="6B7D36A5">
      <w:pPr>
        <w:pStyle w:val="11"/>
        <w:spacing w:line="500" w:lineRule="exact"/>
        <w:ind w:firstLine="565"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初审分为资格性检查和符合性检查。</w:t>
      </w:r>
      <w:r>
        <w:rPr>
          <w:rFonts w:hint="eastAsia" w:ascii="仿宋_GB2312" w:hAnsi="仿宋_GB2312" w:eastAsia="仿宋_GB2312" w:cs="仿宋_GB2312"/>
          <w:b/>
          <w:bCs/>
          <w:color w:val="000000" w:themeColor="text1"/>
          <w:kern w:val="0"/>
          <w:sz w:val="28"/>
          <w:szCs w:val="28"/>
          <w14:textFill>
            <w14:solidFill>
              <w14:schemeClr w14:val="tx1"/>
            </w14:solidFill>
          </w14:textFill>
        </w:rPr>
        <w:t>评审不合格的供应商的响应文件作无效文件处理。</w:t>
      </w:r>
    </w:p>
    <w:p w14:paraId="4053B8E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5.4.1资格性检查</w:t>
      </w:r>
    </w:p>
    <w:p w14:paraId="4DA6169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14:paraId="09AF240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（2）磋商小组在进行资格检查时，不得改变磋商文件中已载明的资格条件、标准和办法。资格性检查不合格的供应商的响应文件作无效文件处理。</w:t>
      </w:r>
    </w:p>
    <w:p w14:paraId="5BD6BFD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（3）供应商在递交响应文件时，应逐项对照上述资格性检查要求提交相应的资格证明文件供磋商小组核查，否则评委将不予采信。</w:t>
      </w:r>
    </w:p>
    <w:p w14:paraId="52A814A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（4）磋商小组在评审中必要时可按供应商提供的联系方式就有关问题进行查询核实，或要求供应商做出书面澄清，查询及澄清结果将作为审查的依据。</w:t>
      </w:r>
    </w:p>
    <w:p w14:paraId="2F0747D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（5）通过全部资格性检查条件合格的供应商才能通过资格检查，其响应文件方可进入下一个检查阶段。</w:t>
      </w:r>
    </w:p>
    <w:p w14:paraId="421B698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5.4.2符合性检查</w:t>
      </w:r>
    </w:p>
    <w:p w14:paraId="3EAD24E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14:paraId="09759ED0">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5.5</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违法违规行为 </w:t>
      </w:r>
    </w:p>
    <w:p w14:paraId="0169193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5.5.1在评审过程中，磋商小组发现供应商有下列情形之一的，作无效文件处理：</w:t>
      </w:r>
    </w:p>
    <w:p w14:paraId="147D9FB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（1）属于同一集团、协会、商会等组织成员的供应商按照该组织要求协同投标；</w:t>
      </w:r>
    </w:p>
    <w:p w14:paraId="07F04FC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不同供应商的响应文件由同一单位或者个人编制；</w:t>
      </w:r>
    </w:p>
    <w:p w14:paraId="0EE6D8F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（3）不同供应商委托同一单位或者个人办理投标事宜；</w:t>
      </w:r>
    </w:p>
    <w:p w14:paraId="040235F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（4）不同供应商的响应文件载明的项目管理成员为同一人；</w:t>
      </w:r>
    </w:p>
    <w:p w14:paraId="05C211E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（5）不同供应商的响应文件异常一致或者响应报价呈规律性差异；</w:t>
      </w:r>
    </w:p>
    <w:p w14:paraId="776EAFE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（6）不同供应商的响应文件相互混装；</w:t>
      </w:r>
    </w:p>
    <w:p w14:paraId="56B68DC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（7）不同供应商的投标保证金从同一单位或者个人的账户转出；</w:t>
      </w:r>
    </w:p>
    <w:p w14:paraId="163F33A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（8）使用伪造、变造的行政许可证件；</w:t>
      </w:r>
    </w:p>
    <w:p w14:paraId="627706A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（9）提供虚假的财务状况或者业绩；</w:t>
      </w:r>
    </w:p>
    <w:p w14:paraId="6211E33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（10）提供虚假的项目负责人或者主要技术人员简历、劳动关系证明；</w:t>
      </w:r>
    </w:p>
    <w:p w14:paraId="6530A21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（11）提供虚假的信用状况；</w:t>
      </w:r>
    </w:p>
    <w:p w14:paraId="78B7E36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（12）其他弄虚作假的行为。</w:t>
      </w:r>
    </w:p>
    <w:p w14:paraId="506B4B0B">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磋商小组审查响应文件是否完整、有无计算上的错误等。</w:t>
      </w:r>
    </w:p>
    <w:p w14:paraId="15C7F6C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5.6.1 响应文件的修正及澄清</w:t>
      </w:r>
    </w:p>
    <w:p w14:paraId="7EEA85D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（1）磋商小组对确定为实质上响应磋商文件要求的响应文件进行校核，看其是否有计算或表达上的错误，算术错误将按以下方法更正：</w:t>
      </w:r>
    </w:p>
    <w:p w14:paraId="64F4AAE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43C0CA8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D444D2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5.6.3实质上没有响应磋商文件要求的响应文件将被视为无效文件。供应商不得通过修正或撤销不合要求的偏离从而使其成为实质上响应的文件。</w:t>
      </w:r>
    </w:p>
    <w:p w14:paraId="5814EE8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响应报价等实质性内容做任何更改。有关澄清的答复均应由供应商的法定代表人或授权代表以书面形式作出并签字。</w:t>
      </w:r>
    </w:p>
    <w:p w14:paraId="7494039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5.6.5供应商的澄清文件是其响应文件的组成部分。</w:t>
      </w:r>
    </w:p>
    <w:p w14:paraId="7ED2D7F0">
      <w:pPr>
        <w:pStyle w:val="11"/>
        <w:spacing w:line="500" w:lineRule="exact"/>
        <w:ind w:firstLine="568"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5.7磋商</w:t>
      </w:r>
    </w:p>
    <w:p w14:paraId="50BD3D6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5.7.1磋商小组所有成员应当集中与单一供应商分别进行磋商，并给予所有参加磋商的供应商平等的磋商机会。</w:t>
      </w:r>
    </w:p>
    <w:p w14:paraId="6F41C6C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5.7.2在磋商过程中，磋商小组可以根据磋商文件和磋商情况实质性变动采购需求中的技术、服务要求以及合同草案条款，但不得变动磋商文件中的其他内容。实质性变动的内容，须经采购人代表确认。</w:t>
      </w:r>
    </w:p>
    <w:p w14:paraId="53F790B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5.7.3对磋商文件作出的实质性变动是磋商文件的有效组成部分，磋商小组应当及时以书面形式同时通知所有参加磋商的供应商。</w:t>
      </w:r>
    </w:p>
    <w:p w14:paraId="00B2FE5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C708F1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5.7.5磋商文件能够详细列明采购标的的技术、服务要求的，磋商结束后，磋商小组应当要求所有实质性响应的供应商在规定时间内提交最后报价，提交最后报价的供应商不得少于3家。</w:t>
      </w:r>
    </w:p>
    <w:p w14:paraId="4307DA4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1DDCA1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5.7.7已提交响应文件的供应商，在提交最后报价之前，可以根据磋商情况退出磋商。其磋商保证金将予以退还。</w:t>
      </w:r>
    </w:p>
    <w:p w14:paraId="288D885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5.7.8最后报价是供应商响应文件的有效组成部分。</w:t>
      </w:r>
    </w:p>
    <w:p w14:paraId="54BEE23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5.7.9经磋商确定最终采购需求和提交最后报价的供应商后，由磋商小组采用综合评分法对提交最后报价的供应商的响应文件和最后报价进行综合评分。</w:t>
      </w:r>
    </w:p>
    <w:p w14:paraId="1436E15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5.7.10采购结果确认</w:t>
      </w:r>
    </w:p>
    <w:p w14:paraId="214071E2">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2536D122">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5.8.</w:t>
      </w:r>
      <w:r>
        <w:rPr>
          <w:rFonts w:hint="eastAsia" w:ascii="仿宋_GB2312" w:hAnsi="仿宋_GB2312" w:eastAsia="仿宋_GB2312" w:cs="仿宋_GB2312"/>
          <w:color w:val="000000" w:themeColor="text1"/>
          <w:kern w:val="0"/>
          <w:sz w:val="28"/>
          <w:szCs w:val="28"/>
          <w14:textFill>
            <w14:solidFill>
              <w14:schemeClr w14:val="tx1"/>
            </w14:solidFill>
          </w14:textFill>
        </w:rPr>
        <w:t>公示或公告</w:t>
      </w:r>
    </w:p>
    <w:p w14:paraId="0E1CC59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5.8.1成交供应商确定后，集中采购机构将在政府采购监管部门指定的媒体上发布成交公告，同时向成交供应商发出《成交通知书》。《成交通知书》是合同的组成部分,对成交供应商和采购人具有同等法律效力。</w:t>
      </w:r>
    </w:p>
    <w:p w14:paraId="5334894E">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7" w:name="_Toc293736015"/>
      <w:bookmarkStart w:id="98" w:name="_Toc31594"/>
      <w:bookmarkStart w:id="99" w:name="_Toc446599315"/>
      <w:bookmarkStart w:id="100" w:name="_Toc293738996"/>
      <w:bookmarkStart w:id="101" w:name="_Toc293736058"/>
      <w:r>
        <w:rPr>
          <w:rFonts w:hint="eastAsia" w:ascii="仿宋_GB2312" w:hAnsi="仿宋_GB2312" w:eastAsia="仿宋_GB2312" w:cs="仿宋_GB2312"/>
          <w:b/>
          <w:color w:val="000000" w:themeColor="text1"/>
          <w:sz w:val="32"/>
          <w:szCs w:val="32"/>
          <w14:textFill>
            <w14:solidFill>
              <w14:schemeClr w14:val="tx1"/>
            </w14:solidFill>
          </w14:textFill>
        </w:rPr>
        <w:t>六、 授予合同</w:t>
      </w:r>
      <w:bookmarkEnd w:id="97"/>
      <w:bookmarkEnd w:id="98"/>
      <w:bookmarkEnd w:id="99"/>
      <w:bookmarkEnd w:id="100"/>
      <w:bookmarkEnd w:id="101"/>
    </w:p>
    <w:p w14:paraId="4BB17064">
      <w:pPr>
        <w:pStyle w:val="11"/>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6.1</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签订合同</w:t>
      </w:r>
    </w:p>
    <w:p w14:paraId="4BBA158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6.1.1中标人须在中标通知书发出之日起30日内与采购人签订采购合同。</w:t>
      </w:r>
    </w:p>
    <w:p w14:paraId="2B7FA51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6.1.2 中标人须按照响应文件、投标文件及评标过程中的有关澄清、说明或者补正文件的内容与采购人签订合同。中标人不得再与采购人签订背离合同实质性内容的其他协议或声明。</w:t>
      </w:r>
    </w:p>
    <w:p w14:paraId="1F582C5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6.1.3 采购人如需追加与合同标的相同的货物，在不改变合同其他条款的前提下，提交追加合同的申请报经同级财政部门、地区公共资源交易中心审核后，可与中标人签订补充合同，但所有补充合同的采购金额不得超过原合同金额的百分之十。</w:t>
      </w:r>
    </w:p>
    <w:p w14:paraId="391D516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6.1.4 中标人一旦中标及签订合同后，不得转包，亦不得将合同全部及任何权利、义务向第三方转让。</w:t>
      </w:r>
    </w:p>
    <w:p w14:paraId="0832D2B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6.1.5 中标人不履行合同的，采购人可在报经同级人民政府财政部门核准后，与排位在中标人之后的第一位中标候选供应商签订合同，以此类推；或在报经同级人民政府财政部门核准后重新组织采购。</w:t>
      </w:r>
    </w:p>
    <w:p w14:paraId="672CD7A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6.1.6 违反32.1条、32.2条的规定，给对方造成损失的，应承担赔偿责任。</w:t>
      </w:r>
    </w:p>
    <w:p w14:paraId="5787A2F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7A7F4F2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p>
    <w:p w14:paraId="093982DF">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02" w:name="_Toc293736059"/>
      <w:bookmarkStart w:id="103" w:name="_Toc293738997"/>
      <w:bookmarkStart w:id="104" w:name="_Toc446599316"/>
      <w:bookmarkStart w:id="105" w:name="_Toc293736016"/>
      <w:bookmarkStart w:id="106" w:name="_Toc15955"/>
      <w:r>
        <w:rPr>
          <w:rFonts w:hint="eastAsia" w:ascii="仿宋_GB2312" w:hAnsi="仿宋_GB2312" w:eastAsia="仿宋_GB2312" w:cs="仿宋_GB2312"/>
          <w:b/>
          <w:color w:val="000000" w:themeColor="text1"/>
          <w:sz w:val="32"/>
          <w:szCs w:val="32"/>
          <w14:textFill>
            <w14:solidFill>
              <w14:schemeClr w14:val="tx1"/>
            </w14:solidFill>
          </w14:textFill>
        </w:rPr>
        <w:t>七、质疑</w:t>
      </w:r>
      <w:bookmarkEnd w:id="102"/>
      <w:bookmarkEnd w:id="103"/>
      <w:bookmarkEnd w:id="104"/>
      <w:bookmarkEnd w:id="105"/>
      <w:r>
        <w:rPr>
          <w:rFonts w:hint="eastAsia" w:ascii="仿宋_GB2312" w:hAnsi="仿宋_GB2312" w:eastAsia="仿宋_GB2312" w:cs="仿宋_GB2312"/>
          <w:b/>
          <w:color w:val="000000" w:themeColor="text1"/>
          <w:sz w:val="32"/>
          <w:szCs w:val="32"/>
          <w14:textFill>
            <w14:solidFill>
              <w14:schemeClr w14:val="tx1"/>
            </w14:solidFill>
          </w14:textFill>
        </w:rPr>
        <w:t>和投诉</w:t>
      </w:r>
      <w:bookmarkEnd w:id="106"/>
    </w:p>
    <w:p w14:paraId="2715E1AB">
      <w:pPr>
        <w:pStyle w:val="11"/>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07" w:name="_Toc293736017"/>
      <w:bookmarkStart w:id="108" w:name="_Toc293736060"/>
      <w:bookmarkStart w:id="109" w:name="_Toc293738998"/>
      <w:bookmarkStart w:id="110" w:name="_Toc446599317"/>
      <w:bookmarkStart w:id="111" w:name="_Toc294515577"/>
      <w:r>
        <w:rPr>
          <w:rFonts w:hint="eastAsia" w:ascii="仿宋_GB2312" w:hAnsi="仿宋_GB2312" w:eastAsia="仿宋_GB2312" w:cs="仿宋_GB2312"/>
          <w:b/>
          <w:bCs/>
          <w:color w:val="000000" w:themeColor="text1"/>
          <w:kern w:val="0"/>
          <w:sz w:val="28"/>
          <w:szCs w:val="28"/>
          <w14:textFill>
            <w14:solidFill>
              <w14:schemeClr w14:val="tx1"/>
            </w14:solidFill>
          </w14:textFill>
        </w:rPr>
        <w:t>7.1</w:t>
      </w:r>
      <w:r>
        <w:rPr>
          <w:rFonts w:hint="eastAsia" w:ascii="仿宋_GB2312" w:hAnsi="仿宋_GB2312" w:eastAsia="仿宋_GB2312" w:cs="仿宋_GB2312"/>
          <w:color w:val="000000" w:themeColor="text1"/>
          <w:kern w:val="0"/>
          <w:sz w:val="28"/>
          <w:szCs w:val="28"/>
          <w14:textFill>
            <w14:solidFill>
              <w14:schemeClr w14:val="tx1"/>
            </w14:solidFill>
          </w14:textFill>
        </w:rPr>
        <w:t>质疑</w:t>
      </w:r>
    </w:p>
    <w:p w14:paraId="09516E9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7.1.1供应商提出质疑应当符合以下条件：</w:t>
      </w:r>
    </w:p>
    <w:p w14:paraId="30B6F5E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434E9CF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（1）质疑人的名称、地址、电话等；</w:t>
      </w:r>
    </w:p>
    <w:p w14:paraId="3BC1DF9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（2）质疑人法人签章和单位公章；</w:t>
      </w:r>
    </w:p>
    <w:p w14:paraId="5EE2CA0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（3）具体的质疑事项及事实依据；</w:t>
      </w:r>
    </w:p>
    <w:p w14:paraId="25C1858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（4）明确的请求和必要（合法来源）的证明材料；</w:t>
      </w:r>
    </w:p>
    <w:p w14:paraId="08406447">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（5）以联合体形式参与资格预审的，则必须联合体各方共同签署、盖章；</w:t>
      </w:r>
    </w:p>
    <w:p w14:paraId="717B2DAF">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（6）提起质疑的日期。</w:t>
      </w:r>
    </w:p>
    <w:p w14:paraId="3E34037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特注：未按上述程序规定的必备内容进行质疑的，采购人或代理机构将不予以受理。</w:t>
      </w:r>
    </w:p>
    <w:p w14:paraId="103BBB65">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C15D73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313B8D6D">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62AABD85">
      <w:pPr>
        <w:pStyle w:val="11"/>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12" w:name="_Toc456336161"/>
      <w:bookmarkStart w:id="113" w:name="_Toc9365"/>
      <w:bookmarkStart w:id="114" w:name="_Toc483174929"/>
      <w:bookmarkStart w:id="115" w:name="_Toc450546725"/>
      <w:r>
        <w:rPr>
          <w:rFonts w:hint="eastAsia" w:ascii="仿宋_GB2312" w:hAnsi="仿宋_GB2312" w:eastAsia="仿宋_GB2312" w:cs="仿宋_GB2312"/>
          <w:b/>
          <w:bCs/>
          <w:color w:val="000000" w:themeColor="text1"/>
          <w:kern w:val="0"/>
          <w:sz w:val="28"/>
          <w:szCs w:val="28"/>
          <w14:textFill>
            <w14:solidFill>
              <w14:schemeClr w14:val="tx1"/>
            </w14:solidFill>
          </w14:textFill>
        </w:rPr>
        <w:t>7.2</w:t>
      </w:r>
      <w:r>
        <w:rPr>
          <w:rFonts w:hint="eastAsia" w:ascii="仿宋_GB2312" w:hAnsi="仿宋_GB2312" w:eastAsia="仿宋_GB2312" w:cs="仿宋_GB2312"/>
          <w:color w:val="000000" w:themeColor="text1"/>
          <w:kern w:val="0"/>
          <w:sz w:val="28"/>
          <w:szCs w:val="28"/>
          <w14:textFill>
            <w14:solidFill>
              <w14:schemeClr w14:val="tx1"/>
            </w14:solidFill>
          </w14:textFill>
        </w:rPr>
        <w:t>投诉</w:t>
      </w:r>
      <w:bookmarkEnd w:id="112"/>
      <w:bookmarkEnd w:id="113"/>
      <w:bookmarkEnd w:id="114"/>
      <w:bookmarkEnd w:id="115"/>
    </w:p>
    <w:p w14:paraId="44AFA0B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2F4A91D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7.2.2投诉人提起投诉应符合以下条件：</w:t>
      </w:r>
    </w:p>
    <w:p w14:paraId="35DFC7E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(1)投诉人应是参与项目的供应商；</w:t>
      </w:r>
    </w:p>
    <w:p w14:paraId="4E36C2B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(2)投诉前已依法进行质疑；</w:t>
      </w:r>
    </w:p>
    <w:p w14:paraId="16A3BF0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(3)投诉书内容符合中华人民共和国财政部20号令《政府采购供应商投诉处理办法》的规定；</w:t>
      </w:r>
    </w:p>
    <w:p w14:paraId="2E26F69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(4)在投诉有效期内；</w:t>
      </w:r>
    </w:p>
    <w:p w14:paraId="0408565E">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(5)同一投诉事项未经处理的；</w:t>
      </w:r>
    </w:p>
    <w:p w14:paraId="5EFB794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GB"/>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相关法律、法规和省级以上人民政府财政部门规定的其他条件。</w:t>
      </w:r>
    </w:p>
    <w:p w14:paraId="73BECD0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7.2.3供应商投诉时，应当当面提交投诉书，投诉书应当包括下列主要内容：</w:t>
      </w:r>
    </w:p>
    <w:p w14:paraId="7B0BEAE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(1)投诉人的姓名或者名称、住所、联系方式及相关证明；</w:t>
      </w:r>
    </w:p>
    <w:p w14:paraId="329328E0">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(2)被投诉人的名称、住所、联系方式；</w:t>
      </w:r>
    </w:p>
    <w:p w14:paraId="01236DF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(3)具体的投诉事项、事实根据和法律依据；</w:t>
      </w:r>
    </w:p>
    <w:p w14:paraId="601AAD0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(4)质疑和质疑答复情况及相关证明材料；</w:t>
      </w:r>
    </w:p>
    <w:p w14:paraId="3CAB2859">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(5)提起投诉的日期。</w:t>
      </w:r>
    </w:p>
    <w:p w14:paraId="418DACC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37FE10FB">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7FD34B64">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7.2.5投诉人不符合上述规定提起的投诉，政府采购监督部门不予受理。</w:t>
      </w:r>
    </w:p>
    <w:p w14:paraId="412E8FBD">
      <w:pPr>
        <w:pStyle w:val="11"/>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16" w:name="_Toc25355"/>
      <w:r>
        <w:rPr>
          <w:rFonts w:hint="eastAsia" w:ascii="仿宋_GB2312" w:hAnsi="仿宋_GB2312" w:eastAsia="仿宋_GB2312" w:cs="仿宋_GB2312"/>
          <w:b/>
          <w:color w:val="000000" w:themeColor="text1"/>
          <w:sz w:val="32"/>
          <w:szCs w:val="32"/>
          <w14:textFill>
            <w14:solidFill>
              <w14:schemeClr w14:val="tx1"/>
            </w14:solidFill>
          </w14:textFill>
        </w:rPr>
        <w:t>八、项目验收</w:t>
      </w:r>
      <w:bookmarkEnd w:id="107"/>
      <w:bookmarkEnd w:id="108"/>
      <w:bookmarkEnd w:id="109"/>
      <w:bookmarkEnd w:id="110"/>
      <w:bookmarkEnd w:id="111"/>
      <w:bookmarkEnd w:id="116"/>
    </w:p>
    <w:p w14:paraId="6A98508E">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8.1</w:t>
      </w:r>
      <w:r>
        <w:rPr>
          <w:rFonts w:hint="eastAsia" w:ascii="仿宋_GB2312" w:hAnsi="仿宋_GB2312" w:eastAsia="仿宋_GB2312" w:cs="仿宋_GB2312"/>
          <w:color w:val="000000" w:themeColor="text1"/>
          <w:kern w:val="0"/>
          <w:sz w:val="28"/>
          <w:szCs w:val="28"/>
          <w14:textFill>
            <w14:solidFill>
              <w14:schemeClr w14:val="tx1"/>
            </w14:solidFill>
          </w14:textFill>
        </w:rPr>
        <w:t>采购单位按照政府采购合同规定的技术、服务、安全标准对供应商履约情况进行验收，并出具验收书。验收书包括每一项技术、服务、安全标准的履约情况。</w:t>
      </w:r>
    </w:p>
    <w:p w14:paraId="19AE4A6E">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8.2</w:t>
      </w:r>
      <w:r>
        <w:rPr>
          <w:rFonts w:hint="eastAsia" w:ascii="仿宋_GB2312" w:hAnsi="仿宋_GB2312" w:eastAsia="仿宋_GB2312" w:cs="仿宋_GB2312"/>
          <w:color w:val="000000" w:themeColor="text1"/>
          <w:kern w:val="0"/>
          <w:sz w:val="28"/>
          <w:szCs w:val="28"/>
          <w14:textFill>
            <w14:solidFill>
              <w14:schemeClr w14:val="tx1"/>
            </w14:solidFill>
          </w14:textFill>
        </w:rPr>
        <w:t>验收标准:磋商文件、响应文件、政府采购合同规定的标准。</w:t>
      </w:r>
    </w:p>
    <w:p w14:paraId="1D2A76C9">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8.3</w:t>
      </w:r>
      <w:r>
        <w:rPr>
          <w:rFonts w:hint="eastAsia" w:ascii="仿宋_GB2312" w:hAnsi="仿宋_GB2312" w:eastAsia="仿宋_GB2312" w:cs="仿宋_GB2312"/>
          <w:color w:val="000000" w:themeColor="text1"/>
          <w:kern w:val="0"/>
          <w:sz w:val="28"/>
          <w:szCs w:val="28"/>
          <w14:textFill>
            <w14:solidFill>
              <w14:schemeClr w14:val="tx1"/>
            </w14:solidFill>
          </w14:textFill>
        </w:rPr>
        <w:t>政府采购项目验收联系电话详见供应商须知前附表第2项规定。</w:t>
      </w:r>
    </w:p>
    <w:p w14:paraId="775B552D">
      <w:pPr>
        <w:pStyle w:val="11"/>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17" w:name="_Toc293738999"/>
      <w:bookmarkStart w:id="118" w:name="_Toc293736018"/>
      <w:bookmarkStart w:id="119" w:name="_Toc5115"/>
      <w:bookmarkStart w:id="120" w:name="_Toc446599318"/>
      <w:bookmarkStart w:id="121" w:name="_Toc293736061"/>
      <w:r>
        <w:rPr>
          <w:rFonts w:hint="eastAsia" w:ascii="仿宋_GB2312" w:hAnsi="仿宋_GB2312" w:eastAsia="仿宋_GB2312" w:cs="仿宋_GB2312"/>
          <w:b/>
          <w:color w:val="000000" w:themeColor="text1"/>
          <w:sz w:val="32"/>
          <w:szCs w:val="32"/>
          <w14:textFill>
            <w14:solidFill>
              <w14:schemeClr w14:val="tx1"/>
            </w14:solidFill>
          </w14:textFill>
        </w:rPr>
        <w:t>九、适用法律</w:t>
      </w:r>
      <w:bookmarkEnd w:id="117"/>
      <w:bookmarkEnd w:id="118"/>
      <w:bookmarkEnd w:id="119"/>
      <w:bookmarkEnd w:id="120"/>
      <w:bookmarkEnd w:id="121"/>
    </w:p>
    <w:p w14:paraId="1F2EE660">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9.1</w:t>
      </w:r>
      <w:r>
        <w:rPr>
          <w:rFonts w:hint="eastAsia" w:ascii="仿宋_GB2312" w:hAnsi="仿宋_GB2312" w:eastAsia="仿宋_GB2312" w:cs="仿宋_GB2312"/>
          <w:color w:val="000000" w:themeColor="text1"/>
          <w:kern w:val="0"/>
          <w:sz w:val="28"/>
          <w:szCs w:val="28"/>
          <w14:textFill>
            <w14:solidFill>
              <w14:schemeClr w14:val="tx1"/>
            </w14:solidFill>
          </w14:textFill>
        </w:rPr>
        <w:t>招标采购单位和供应商的一切招标投标活动均适用于《政府采购法》、《政府采购实施条例》、《政府采购竞争性磋商采购方式管理办法》等相关规定。</w:t>
      </w:r>
    </w:p>
    <w:p w14:paraId="49A22563">
      <w:pPr>
        <w:pStyle w:val="11"/>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22" w:name="_Toc11671"/>
      <w:bookmarkStart w:id="123" w:name="_Toc278891599"/>
      <w:bookmarkStart w:id="124" w:name="_Toc446599319"/>
      <w:bookmarkStart w:id="125" w:name="_Toc272247702"/>
      <w:bookmarkStart w:id="126" w:name="_Toc437611460"/>
      <w:r>
        <w:rPr>
          <w:rFonts w:hint="eastAsia" w:ascii="仿宋_GB2312" w:hAnsi="仿宋_GB2312" w:eastAsia="仿宋_GB2312" w:cs="仿宋_GB2312"/>
          <w:b/>
          <w:color w:val="000000" w:themeColor="text1"/>
          <w:sz w:val="32"/>
          <w:szCs w:val="32"/>
          <w14:textFill>
            <w14:solidFill>
              <w14:schemeClr w14:val="tx1"/>
            </w14:solidFill>
          </w14:textFill>
        </w:rPr>
        <w:t>十、磋商文件的解释权</w:t>
      </w:r>
      <w:bookmarkEnd w:id="122"/>
      <w:bookmarkEnd w:id="123"/>
      <w:bookmarkEnd w:id="124"/>
      <w:bookmarkEnd w:id="125"/>
      <w:bookmarkEnd w:id="126"/>
    </w:p>
    <w:p w14:paraId="2FEBC3C1">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10.1</w:t>
      </w:r>
      <w:r>
        <w:rPr>
          <w:rFonts w:hint="eastAsia" w:ascii="仿宋_GB2312" w:hAnsi="仿宋_GB2312" w:eastAsia="仿宋_GB2312" w:cs="仿宋_GB2312"/>
          <w:color w:val="000000" w:themeColor="text1"/>
          <w:kern w:val="0"/>
          <w:sz w:val="28"/>
          <w:szCs w:val="28"/>
          <w14:textFill>
            <w14:solidFill>
              <w14:schemeClr w14:val="tx1"/>
            </w14:solidFill>
          </w14:textFill>
        </w:rPr>
        <w:t>本项目磋商文件的最终解释权为采购单位所有。</w:t>
      </w:r>
    </w:p>
    <w:p w14:paraId="7E3FAA73">
      <w:pPr>
        <w:pStyle w:val="11"/>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27" w:name="_Toc437611461"/>
      <w:bookmarkStart w:id="128" w:name="_Toc32366"/>
      <w:bookmarkStart w:id="129" w:name="_Toc446599320"/>
      <w:r>
        <w:rPr>
          <w:rFonts w:hint="eastAsia" w:ascii="仿宋_GB2312" w:hAnsi="仿宋_GB2312" w:eastAsia="仿宋_GB2312" w:cs="仿宋_GB2312"/>
          <w:b/>
          <w:color w:val="000000" w:themeColor="text1"/>
          <w:sz w:val="32"/>
          <w:szCs w:val="32"/>
          <w14:textFill>
            <w14:solidFill>
              <w14:schemeClr w14:val="tx1"/>
            </w14:solidFill>
          </w14:textFill>
        </w:rPr>
        <w:t>十一、其他注意事项</w:t>
      </w:r>
      <w:bookmarkEnd w:id="127"/>
      <w:bookmarkEnd w:id="128"/>
      <w:bookmarkEnd w:id="129"/>
    </w:p>
    <w:p w14:paraId="03A114CA">
      <w:pPr>
        <w:pStyle w:val="11"/>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11.1</w:t>
      </w:r>
      <w:r>
        <w:rPr>
          <w:rFonts w:hint="eastAsia" w:ascii="仿宋_GB2312" w:hAnsi="仿宋_GB2312" w:eastAsia="仿宋_GB2312" w:cs="仿宋_GB2312"/>
          <w:color w:val="000000" w:themeColor="text1"/>
          <w:kern w:val="0"/>
          <w:sz w:val="28"/>
          <w:szCs w:val="28"/>
          <w14:textFill>
            <w14:solidFill>
              <w14:schemeClr w14:val="tx1"/>
            </w14:solidFill>
          </w14:textFill>
        </w:rPr>
        <w:t>单位负责人为同一人或者存在直接控股、管理关系的不同供应商，不得参加同一合同项下的政府采购活动。</w:t>
      </w:r>
    </w:p>
    <w:p w14:paraId="79AA11EA">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11.2供应商为采购项目提供整体设计、规范编制或者项目管理、监理、检测等服务的供应商，不得再参加该采购项目的其他采购活动。</w:t>
      </w:r>
    </w:p>
    <w:p w14:paraId="6A3F7EF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5CB10AAC">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6235FF83">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11.5供应商在参加政府采购活动前3年内因违法经营被禁止在一定期限内参加政府采购活动，期限届满的，可以参加政府采购活动。</w:t>
      </w:r>
    </w:p>
    <w:p w14:paraId="168B306E">
      <w:pPr>
        <w:pStyle w:val="11"/>
        <w:spacing w:line="500" w:lineRule="exact"/>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p>
    <w:p w14:paraId="7F32AD86">
      <w:pPr>
        <w:pStyle w:val="11"/>
        <w:numPr>
          <w:ilvl w:val="0"/>
          <w:numId w:val="0"/>
        </w:numPr>
        <w:spacing w:line="500" w:lineRule="exact"/>
        <w:ind w:leftChars="0"/>
        <w:jc w:val="cente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bookmarkStart w:id="130" w:name="_Toc293736062"/>
      <w:bookmarkStart w:id="131" w:name="_Toc293739000"/>
      <w:bookmarkStart w:id="132" w:name="_Toc293736019"/>
      <w:bookmarkStart w:id="133" w:name="_Toc446599321"/>
      <w:bookmarkStart w:id="134" w:name="_Toc2582"/>
      <w:bookmarkStart w:id="135" w:name="_Toc293736063"/>
      <w:bookmarkStart w:id="136" w:name="_Toc293739001"/>
      <w:bookmarkStart w:id="137" w:name="_Toc293736020"/>
      <w:bookmarkStart w:id="138" w:name="_Toc446599322"/>
    </w:p>
    <w:p w14:paraId="1A157DE7">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第三章</w:t>
      </w:r>
      <w:r>
        <w:rPr>
          <w:rFonts w:hint="eastAsia" w:ascii="仿宋_GB2312" w:hAnsi="仿宋_GB2312" w:eastAsia="仿宋_GB2312" w:cs="仿宋_GB2312"/>
          <w:b/>
          <w:bCs w:val="0"/>
          <w:color w:val="000000" w:themeColor="text1"/>
          <w:kern w:val="0"/>
          <w:sz w:val="36"/>
          <w:szCs w:val="36"/>
          <w:lang w:val="en-US" w:eastAsia="zh-CN"/>
          <w14:textFill>
            <w14:solidFill>
              <w14:schemeClr w14:val="tx1"/>
            </w14:solidFill>
          </w14:textFill>
        </w:rPr>
        <w:t xml:space="preserve"> </w:t>
      </w: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采购</w:t>
      </w:r>
      <w:bookmarkEnd w:id="130"/>
      <w:bookmarkEnd w:id="131"/>
      <w:bookmarkEnd w:id="132"/>
      <w:bookmarkStart w:id="139" w:name="_Toc294515580"/>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需求</w:t>
      </w:r>
      <w:bookmarkEnd w:id="133"/>
      <w:bookmarkEnd w:id="134"/>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及技术要求</w:t>
      </w:r>
    </w:p>
    <w:bookmarkEnd w:id="135"/>
    <w:bookmarkEnd w:id="136"/>
    <w:bookmarkEnd w:id="137"/>
    <w:bookmarkEnd w:id="138"/>
    <w:bookmarkEnd w:id="139"/>
    <w:p w14:paraId="33E16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6"/>
          <w:szCs w:val="36"/>
          <w:lang w:val="en-US" w:eastAsia="zh-CN"/>
        </w:rPr>
      </w:pPr>
    </w:p>
    <w:p w14:paraId="6FFAFBE3">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一、工作要求</w:t>
      </w:r>
    </w:p>
    <w:p w14:paraId="439BF2D5">
      <w:pPr>
        <w:pStyle w:val="29"/>
        <w:snapToGrid w:val="0"/>
        <w:spacing w:after="0" w:line="578"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1、规划实施评估结论</w:t>
      </w:r>
    </w:p>
    <w:p w14:paraId="6AD3D94E">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（1）阶段性成效</w:t>
      </w:r>
    </w:p>
    <w:p w14:paraId="5E23AD0F">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总结国土空间总体规划实施以来在空间格局、资源保护、经济发展、人居环境等方面的积极成效。结合实施成效可以提炼建议推广的优秀经验模式。</w:t>
      </w:r>
    </w:p>
    <w:p w14:paraId="03420AB8">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（2）问题和风险</w:t>
      </w:r>
    </w:p>
    <w:p w14:paraId="4130307E">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结合国家战略、区域发展趋势，国家、省和地方“十五五”规划发展要求，研判未来空间需求与潜在风险挑战。提出有待解决的主要问题和有待提升完善的短板。</w:t>
      </w:r>
    </w:p>
    <w:p w14:paraId="00AEC385">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（3）动态维护建议</w:t>
      </w:r>
    </w:p>
    <w:p w14:paraId="075596E0">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根据面临的问题和风险，从重大战略落实、空间格局优化、空间利用品质提升、传导支撑体系强化等几个方面提出动态维护建议。</w:t>
      </w:r>
    </w:p>
    <w:p w14:paraId="249A7727">
      <w:pPr>
        <w:pStyle w:val="29"/>
        <w:snapToGrid w:val="0"/>
        <w:spacing w:after="0" w:line="578"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2、动态维护方案</w:t>
      </w:r>
    </w:p>
    <w:p w14:paraId="6FB52C96">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（1）空间管控边界维护</w:t>
      </w:r>
    </w:p>
    <w:p w14:paraId="53362008">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空间管控边界包含耕地和永久基本农田、生态保护红线、城镇开发边界三条控制线，以及历史文化保护线、洪涝风险控制线等其他空间管控边界。</w:t>
      </w:r>
    </w:p>
    <w:p w14:paraId="7A045F2B">
      <w:pPr>
        <w:pStyle w:val="80"/>
        <w:spacing w:line="578" w:lineRule="exact"/>
        <w:ind w:firstLine="64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三条控制线</w:t>
      </w:r>
    </w:p>
    <w:p w14:paraId="19FF048E">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精准有效维护耕地和永久基本农田、生态保护红线、城镇开发边界三条控制线，结合城市基底条件和实际发展情况分别确定三条控制线的动态维护方案。其中，耕地和永久基本农田要在有效落实耕地和永久基本农田保护任务基础上，以进一步提高永久基本农田中优质耕地的比例为目标；生态保护红线优化要有利于巩固总体规划确定的生态保护格局，提高生态系统的连通度和完整性；城镇开发边界的正向优化要有利于提高节约集约程度和人居环境改善。</w:t>
      </w:r>
    </w:p>
    <w:p w14:paraId="2768BAA1">
      <w:pPr>
        <w:pStyle w:val="80"/>
        <w:spacing w:line="578" w:lineRule="exact"/>
        <w:ind w:firstLine="64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其他空间管控边界</w:t>
      </w:r>
    </w:p>
    <w:p w14:paraId="21DDDE6C">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结合地方实际各部门需求对历史文化保护线、洪涝风险控制线等其他空间管控边界进一步正向优化，形成具体的调出和调入方案，符合省级自然资源主管部门制定的明确管控要求。</w:t>
      </w:r>
    </w:p>
    <w:p w14:paraId="0C81A8EE">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（2）规划分区维护</w:t>
      </w:r>
    </w:p>
    <w:p w14:paraId="6276D901">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强化国土空间用途管制，结合三条控制线动态维护方案，同步开展规划分区动态维护，保障动态维护方案中空间管控边界布局与规划分区内容相匹配。</w:t>
      </w:r>
    </w:p>
    <w:p w14:paraId="7A9AF728">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（3）重点建设项目清单维护</w:t>
      </w:r>
    </w:p>
    <w:p w14:paraId="16731A10">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落实国家“十五五”发展规划和国家级专项规划确定的重大任务、重大工程空间需求，衔接地方各级“十五五”发展规划和各专项规划空间需求，充分发挥规划的统筹协调作用，因地制宜动态增补、调序或清退项目，制定重点建设项目清单动态维护方案。</w:t>
      </w:r>
    </w:p>
    <w:p w14:paraId="35808444">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（4）地区重要控制线布局优化</w:t>
      </w:r>
    </w:p>
    <w:p w14:paraId="77325D8B">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明确地区重要控制线布局优化内容。</w:t>
      </w:r>
    </w:p>
    <w:p w14:paraId="302145EC">
      <w:pPr>
        <w:pStyle w:val="29"/>
        <w:snapToGrid w:val="0"/>
        <w:spacing w:after="0" w:line="578"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3、动态维护方案可行性分析</w:t>
      </w:r>
    </w:p>
    <w:p w14:paraId="60657978">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合“国土空间总体规划三条控制线正向优化标准(试行)”，以及本省制定的其他规划内容的正向优化标准，对动态维护方案中涉及的空间管控边界、规划分区、中心城区用地用海规划布局等进行分析，研判维护后是否符合正向优化要求。</w:t>
      </w:r>
    </w:p>
    <w:p w14:paraId="0912A9B6">
      <w:pPr>
        <w:pStyle w:val="29"/>
        <w:snapToGrid w:val="0"/>
        <w:spacing w:after="0" w:line="578"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4、实施保障</w:t>
      </w:r>
    </w:p>
    <w:p w14:paraId="075351C7">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障方案有效实施，应当提出对乡镇总体规划、专项规划、重大建设项目的向下指引要求；加强实施监管，将动态维护方案内容的执行情况纳入国土空间监测。依托国土空间规划“一张图”系统和国土空间规划实施监测网络，对动态维护方案编制、汇交、审查、实施等工作进行全生命周期管理。</w:t>
      </w:r>
    </w:p>
    <w:p w14:paraId="1B727D20">
      <w:pPr>
        <w:pStyle w:val="29"/>
        <w:snapToGrid w:val="0"/>
        <w:spacing w:after="0" w:line="578"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5、附表及附图</w:t>
      </w:r>
    </w:p>
    <w:p w14:paraId="699A9599">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动态维护指引表，对所有调整内容的调整前、调整后状态进行逐项、详细比对，精准核查是否符合正向优化标准。编制重点建设项目清单表，对项目空间矢量、项目级别、建设方式等各项属性进行逐一核对、精准标注，同步编制动态维护相关全套图纸。</w:t>
      </w:r>
    </w:p>
    <w:p w14:paraId="26E14A89">
      <w:pPr>
        <w:pStyle w:val="16"/>
        <w:rPr>
          <w:rFonts w:hint="eastAsia" w:ascii="仿宋_GB2312" w:hAnsi="仿宋_GB2312" w:eastAsia="仿宋_GB2312" w:cs="仿宋_GB2312"/>
          <w:sz w:val="28"/>
          <w:szCs w:val="28"/>
        </w:rPr>
      </w:pPr>
    </w:p>
    <w:p w14:paraId="7A61355A">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二、工作阶段</w:t>
      </w:r>
    </w:p>
    <w:p w14:paraId="3DD6AE79">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前期准备阶段：依据规划实施评估上报成果，全域收集各县市、各部门核心诉求，聚焦重点项目增补等关键性、核心性内容推进工作；指派专人驻自然资源厅协助地区工作对接、资料对接，完成项目相关工作要求；在地区自然资源局设立办公点，适时安排专人现场推进。</w:t>
      </w:r>
    </w:p>
    <w:p w14:paraId="2137DDEB">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初步方案编制阶段：开展三线数据库研究工作，各市县批供地资料、变更数据库资料的GIS分析整合叠加，制定地区统筹要点和指标分配方案，明确地区审查事项；生态保护红线遵循部下发各项原则正向优化调整；永久基本农田保护线结合现有管理办法，结合厅里要求，明确地区审查事项。并结合三线正向优化，优化规划分区，梳理汇总重点项目库。</w:t>
      </w:r>
    </w:p>
    <w:p w14:paraId="56FA2299">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征集及专家论证阶段：在此基础上编制初稿，征求公众意见及各个相关部门意见，同时邀请专家结合动态维护相关要求，对动态维护方案的合规性、科学性、可行性进行论证，重点核查维护内容与上级政策的符合性、与县域发展需求的适配性，形成专家论证意见，完成初步成果上报。</w:t>
      </w:r>
    </w:p>
    <w:p w14:paraId="46F744B4">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修改完善阶段：按照厅里审查反馈意见进行修改完善，对三线等数据库、规划分区内容进一步校对修改，并更新重大项目库，与项目各个主管部门注逐一核对。</w:t>
      </w:r>
    </w:p>
    <w:p w14:paraId="67294A2A">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成果提交阶段：按程序将动态维护方案终稿及相关论证资料整理归档，按照审批流程要求进行审批提交。</w:t>
      </w:r>
    </w:p>
    <w:p w14:paraId="04A27FA5">
      <w:pPr>
        <w:spacing w:line="360" w:lineRule="auto"/>
        <w:ind w:firstLine="562" w:firstLineChars="200"/>
        <w:rPr>
          <w:rFonts w:hint="eastAsia" w:ascii="仿宋_GB2312" w:hAnsi="仿宋_GB2312" w:eastAsia="仿宋_GB2312" w:cs="仿宋_GB2312"/>
          <w:b/>
          <w:sz w:val="28"/>
          <w:szCs w:val="28"/>
        </w:rPr>
      </w:pPr>
    </w:p>
    <w:p w14:paraId="12E8131E">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三、成果内容及要求</w:t>
      </w:r>
    </w:p>
    <w:p w14:paraId="393C10A2">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《阿勒泰地区国土空间总体规划实施评估》成果包括动态维护方案报告、附表、附图和数据库。</w:t>
      </w:r>
    </w:p>
    <w:p w14:paraId="0A030F71">
      <w:pPr>
        <w:pStyle w:val="80"/>
        <w:spacing w:line="578"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估报告主要包括评估结论，动态维护方案、动态维护方案可行性及实施保障。附表包括动态维护评估指标指引表、重点建设项目增补表。附图包括三线相关、规划用途分区图相关图纸。数据库应符合相关编制要求。</w:t>
      </w:r>
    </w:p>
    <w:p w14:paraId="4F4C7D26">
      <w:pPr>
        <w:pStyle w:val="80"/>
        <w:rPr>
          <w:rFonts w:hint="eastAsia" w:ascii="仿宋_GB2312" w:hAnsi="仿宋_GB2312" w:eastAsia="仿宋_GB2312" w:cs="仿宋_GB2312"/>
          <w:color w:val="auto"/>
          <w:sz w:val="28"/>
          <w:szCs w:val="28"/>
        </w:rPr>
      </w:pPr>
    </w:p>
    <w:p w14:paraId="51688845">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四、质量要求</w:t>
      </w:r>
    </w:p>
    <w:p w14:paraId="35363FCE">
      <w:pPr>
        <w:pStyle w:val="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符合国家现行相关标准和规范要求，达到合格标准。</w:t>
      </w:r>
    </w:p>
    <w:p w14:paraId="61033183">
      <w:pPr>
        <w:rPr>
          <w:rFonts w:hint="eastAsia" w:ascii="仿宋_GB2312" w:hAnsi="仿宋_GB2312" w:eastAsia="仿宋_GB2312" w:cs="仿宋_GB2312"/>
          <w:bCs/>
          <w:kern w:val="44"/>
          <w:sz w:val="28"/>
          <w:szCs w:val="28"/>
        </w:rPr>
        <w:sectPr>
          <w:footerReference r:id="rId4" w:type="default"/>
          <w:pgSz w:w="11906" w:h="16838"/>
          <w:pgMar w:top="1440" w:right="1797" w:bottom="1440" w:left="1797" w:header="851" w:footer="992" w:gutter="0"/>
          <w:cols w:space="425" w:num="1"/>
          <w:docGrid w:linePitch="312" w:charSpace="0"/>
        </w:sectPr>
      </w:pPr>
    </w:p>
    <w:p w14:paraId="6F610BEB">
      <w:pPr>
        <w:pStyle w:val="11"/>
        <w:numPr>
          <w:ilvl w:val="0"/>
          <w:numId w:val="0"/>
        </w:numPr>
        <w:spacing w:line="500" w:lineRule="exact"/>
        <w:ind w:left="0" w:leftChars="0" w:firstLine="0" w:firstLineChars="0"/>
        <w:jc w:val="left"/>
        <w:outlineLvl w:val="0"/>
        <w:rPr>
          <w:rFonts w:hint="eastAsia" w:ascii="仿宋_GB2312" w:hAnsi="仿宋_GB2312" w:eastAsia="仿宋_GB2312" w:cs="仿宋_GB2312"/>
          <w:bCs/>
          <w:color w:val="000000" w:themeColor="text1"/>
          <w:kern w:val="44"/>
          <w:sz w:val="28"/>
          <w:szCs w:val="28"/>
          <w:lang w:val="en-US" w:eastAsia="zh-CN" w:bidi="ar-SA"/>
          <w14:textFill>
            <w14:solidFill>
              <w14:schemeClr w14:val="tx1"/>
            </w14:solidFill>
          </w14:textFill>
        </w:rPr>
      </w:pPr>
    </w:p>
    <w:p w14:paraId="53F6AC60">
      <w:pPr>
        <w:pStyle w:val="83"/>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注：</w:t>
      </w:r>
    </w:p>
    <w:p w14:paraId="45176266">
      <w:pPr>
        <w:pStyle w:val="83"/>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1、以上加“★”的条款内容为本项目</w:t>
      </w:r>
      <w:r>
        <w:rPr>
          <w:rFonts w:hint="eastAsia" w:ascii="仿宋_GB2312" w:hAnsi="仿宋_GB2312" w:eastAsia="仿宋_GB2312" w:cs="仿宋_GB2312"/>
          <w:b/>
          <w:color w:val="000000"/>
          <w:sz w:val="28"/>
          <w:szCs w:val="28"/>
          <w:lang w:eastAsia="zh-CN"/>
        </w:rPr>
        <w:t>不允许负偏离</w:t>
      </w:r>
      <w:r>
        <w:rPr>
          <w:rFonts w:hint="eastAsia" w:ascii="仿宋_GB2312" w:hAnsi="仿宋_GB2312" w:eastAsia="仿宋_GB2312" w:cs="仿宋_GB2312"/>
          <w:b/>
          <w:color w:val="000000"/>
          <w:sz w:val="28"/>
          <w:szCs w:val="28"/>
        </w:rPr>
        <w:t>的实质性技术或服务要求，如不满足，按无效投标处理。</w:t>
      </w:r>
    </w:p>
    <w:p w14:paraId="165AD5EA">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2、投标人应当在投标文件中列出完成本项目并通过验收所需的所有各项服务等明细表及全部费用。中标人必须确保整体通过用户方及有关主管部门验收，所发生的验收费用由中标人承担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cr/>
      </w:r>
      <w:r>
        <w:rPr>
          <w:rFonts w:hint="eastAsia" w:ascii="仿宋_GB2312" w:hAnsi="仿宋_GB2312" w:eastAsia="仿宋_GB2312" w:cs="仿宋_GB2312"/>
          <w:color w:val="000000"/>
          <w:sz w:val="28"/>
          <w:szCs w:val="28"/>
          <w:lang w:val="en-US" w:eastAsia="zh-CN"/>
        </w:rPr>
        <w:t xml:space="preserve">    3</w:t>
      </w:r>
      <w:r>
        <w:rPr>
          <w:rFonts w:hint="eastAsia" w:ascii="仿宋_GB2312" w:hAnsi="仿宋_GB2312" w:eastAsia="仿宋_GB2312" w:cs="仿宋_GB2312"/>
          <w:color w:val="000000"/>
          <w:sz w:val="28"/>
          <w:szCs w:val="28"/>
        </w:rPr>
        <w:t>、如对本招标文件有任何疑问或要求澄清，请按本招标文件的规定提出，否则视同理解和接受。</w:t>
      </w:r>
    </w:p>
    <w:p w14:paraId="0EDB580C">
      <w:pPr>
        <w:pStyle w:val="11"/>
        <w:numPr>
          <w:ilvl w:val="0"/>
          <w:numId w:val="0"/>
        </w:numPr>
        <w:spacing w:line="500" w:lineRule="exact"/>
        <w:ind w:leftChars="0"/>
        <w:jc w:val="both"/>
        <w:rPr>
          <w:rFonts w:hint="eastAsia" w:ascii="仿宋_GB2312" w:hAnsi="仿宋_GB2312" w:eastAsia="仿宋_GB2312" w:cs="仿宋_GB2312"/>
          <w:bCs/>
          <w:color w:val="000000" w:themeColor="text1"/>
          <w:kern w:val="44"/>
          <w:sz w:val="28"/>
          <w:szCs w:val="28"/>
          <w:lang w:val="en-US" w:eastAsia="zh-CN" w:bidi="ar-SA"/>
          <w14:textFill>
            <w14:solidFill>
              <w14:schemeClr w14:val="tx1"/>
            </w14:solidFill>
          </w14:textFill>
        </w:rPr>
      </w:pPr>
    </w:p>
    <w:p w14:paraId="121985CB">
      <w:pPr>
        <w:pStyle w:val="11"/>
        <w:numPr>
          <w:ilvl w:val="0"/>
          <w:numId w:val="0"/>
        </w:numPr>
        <w:spacing w:line="500" w:lineRule="exact"/>
        <w:ind w:left="0" w:leftChars="0" w:firstLine="0" w:firstLineChars="0"/>
        <w:jc w:val="left"/>
        <w:outlineLvl w:val="0"/>
        <w:rPr>
          <w:rFonts w:hint="eastAsia" w:ascii="仿宋_GB2312" w:hAnsi="仿宋_GB2312" w:eastAsia="仿宋_GB2312" w:cs="仿宋_GB2312"/>
          <w:b/>
          <w:bCs w:val="0"/>
          <w:color w:val="000000" w:themeColor="text1"/>
          <w:kern w:val="44"/>
          <w:sz w:val="28"/>
          <w:szCs w:val="28"/>
          <w:lang w:val="en-US" w:eastAsia="zh-CN" w:bidi="ar-SA"/>
          <w14:textFill>
            <w14:solidFill>
              <w14:schemeClr w14:val="tx1"/>
            </w14:solidFill>
          </w14:textFill>
        </w:rPr>
      </w:pPr>
    </w:p>
    <w:p w14:paraId="7141D9F5">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98042CA">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B9E8743">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49890FCF">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2AB8063">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8956665">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16FBF894">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4F8D19CB">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1AB4FD2F">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7EB8F497">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FCEEF5D">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01A35117">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B94F172">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6B014085">
      <w:pPr>
        <w:pStyle w:val="11"/>
        <w:numPr>
          <w:ilvl w:val="0"/>
          <w:numId w:val="0"/>
        </w:numPr>
        <w:spacing w:line="500" w:lineRule="exact"/>
        <w:ind w:left="0" w:leftChars="0" w:firstLine="0" w:firstLineChars="0"/>
        <w:jc w:val="both"/>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5C3B18E8">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32A6404B">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3AF42409">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67D9D96B">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C9E2BDA">
      <w:pPr>
        <w:pStyle w:val="11"/>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第四章    评分方法</w:t>
      </w:r>
    </w:p>
    <w:p w14:paraId="3A15BD81">
      <w:pPr>
        <w:pStyle w:val="11"/>
        <w:spacing w:line="500" w:lineRule="exact"/>
        <w:ind w:firstLine="565" w:firstLineChars="202"/>
        <w:jc w:val="left"/>
        <w:outlineLvl w:val="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一、综合评分</w:t>
      </w:r>
    </w:p>
    <w:p w14:paraId="043799F1">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51E7E8D8">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084571B6">
      <w:pPr>
        <w:pStyle w:val="11"/>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评审时，磋商小组各成员应当独立对每个有效响应的文件进行评价、打分，然后汇总每个供应商每项评分因素的得分。</w:t>
      </w:r>
    </w:p>
    <w:p w14:paraId="29B731D8">
      <w:pPr>
        <w:pStyle w:val="11"/>
        <w:numPr>
          <w:ilvl w:val="0"/>
          <w:numId w:val="2"/>
        </w:numPr>
        <w:spacing w:line="500" w:lineRule="exact"/>
        <w:ind w:left="0" w:leftChars="0" w:firstLine="560" w:firstLineChars="200"/>
        <w:jc w:val="left"/>
        <w:outlineLvl w:val="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综合评分细则表</w:t>
      </w:r>
    </w:p>
    <w:tbl>
      <w:tblPr>
        <w:tblStyle w:val="35"/>
        <w:tblpPr w:leftFromText="180" w:rightFromText="180" w:vertAnchor="text" w:horzAnchor="page" w:tblpX="1799" w:tblpY="3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1186"/>
        <w:gridCol w:w="1050"/>
        <w:gridCol w:w="4155"/>
        <w:gridCol w:w="345"/>
        <w:gridCol w:w="300"/>
      </w:tblGrid>
      <w:tr w14:paraId="0606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2295" w:type="dxa"/>
            <w:gridSpan w:val="2"/>
            <w:vMerge w:val="restart"/>
          </w:tcPr>
          <w:p w14:paraId="4F9C6F95">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p>
          <w:p w14:paraId="7D00B687">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评分因素</w:t>
            </w:r>
          </w:p>
        </w:tc>
        <w:tc>
          <w:tcPr>
            <w:tcW w:w="1050" w:type="dxa"/>
            <w:vMerge w:val="restart"/>
            <w:vAlign w:val="center"/>
          </w:tcPr>
          <w:p w14:paraId="285DE07F">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评分点</w:t>
            </w:r>
          </w:p>
        </w:tc>
        <w:tc>
          <w:tcPr>
            <w:tcW w:w="4155" w:type="dxa"/>
            <w:vMerge w:val="restart"/>
            <w:vAlign w:val="center"/>
          </w:tcPr>
          <w:p w14:paraId="02B00091">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评分标准</w:t>
            </w:r>
          </w:p>
        </w:tc>
        <w:tc>
          <w:tcPr>
            <w:tcW w:w="645" w:type="dxa"/>
            <w:gridSpan w:val="2"/>
          </w:tcPr>
          <w:p w14:paraId="5EB8BF22">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评审</w:t>
            </w:r>
          </w:p>
          <w:p w14:paraId="185906B5">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意见</w:t>
            </w:r>
          </w:p>
        </w:tc>
      </w:tr>
      <w:tr w14:paraId="56B6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2295" w:type="dxa"/>
            <w:gridSpan w:val="2"/>
            <w:vMerge w:val="continue"/>
          </w:tcPr>
          <w:p w14:paraId="58B5757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050" w:type="dxa"/>
            <w:vMerge w:val="continue"/>
            <w:vAlign w:val="center"/>
          </w:tcPr>
          <w:p w14:paraId="10CBAE0E">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4155" w:type="dxa"/>
            <w:vMerge w:val="continue"/>
            <w:vAlign w:val="center"/>
          </w:tcPr>
          <w:p w14:paraId="74E8018A">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345" w:type="dxa"/>
          </w:tcPr>
          <w:p w14:paraId="1014A010">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w:t>
            </w:r>
          </w:p>
        </w:tc>
        <w:tc>
          <w:tcPr>
            <w:tcW w:w="300" w:type="dxa"/>
          </w:tcPr>
          <w:p w14:paraId="0C5AE50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否</w:t>
            </w:r>
          </w:p>
        </w:tc>
      </w:tr>
      <w:tr w14:paraId="528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1109" w:type="dxa"/>
            <w:vMerge w:val="restart"/>
          </w:tcPr>
          <w:p w14:paraId="49F30AC0">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126AD6AF">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067CA43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3908055F">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640A49EB">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2F53722A">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3C782CD4">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2036A227">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3EA4DFA5">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初步评审（评审不合格的供应商的响应文件作无效文件处理）</w:t>
            </w:r>
          </w:p>
        </w:tc>
        <w:tc>
          <w:tcPr>
            <w:tcW w:w="1186" w:type="dxa"/>
            <w:vMerge w:val="restart"/>
            <w:vAlign w:val="center"/>
          </w:tcPr>
          <w:p w14:paraId="36403FC8">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资格检查</w:t>
            </w:r>
          </w:p>
        </w:tc>
        <w:tc>
          <w:tcPr>
            <w:tcW w:w="1050" w:type="dxa"/>
            <w:shd w:val="clear" w:color="auto" w:fill="auto"/>
            <w:vAlign w:val="center"/>
          </w:tcPr>
          <w:p w14:paraId="570B5603">
            <w:pPr>
              <w:jc w:val="center"/>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营业</w:t>
            </w:r>
          </w:p>
          <w:p w14:paraId="160F5FEF">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执照</w:t>
            </w:r>
          </w:p>
        </w:tc>
        <w:tc>
          <w:tcPr>
            <w:tcW w:w="4155" w:type="dxa"/>
            <w:shd w:val="clear" w:color="auto" w:fill="auto"/>
            <w:vAlign w:val="center"/>
          </w:tcPr>
          <w:p w14:paraId="6267BA08">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具备有效的营业执照</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auto"/>
                <w:sz w:val="28"/>
                <w:szCs w:val="28"/>
                <w:lang w:val="zh-CN" w:eastAsia="zh-CN"/>
              </w:rPr>
              <w:t>组织机构代码证、税务登记证</w:t>
            </w:r>
            <w:r>
              <w:rPr>
                <w:rFonts w:hint="eastAsia" w:ascii="仿宋_GB2312" w:hAnsi="仿宋_GB2312" w:eastAsia="仿宋_GB2312" w:cs="仿宋_GB2312"/>
                <w:color w:val="auto"/>
                <w:sz w:val="28"/>
                <w:szCs w:val="28"/>
                <w:lang w:val="en-US" w:eastAsia="zh-CN"/>
              </w:rPr>
              <w:t xml:space="preserve"> （三证合一）</w:t>
            </w:r>
          </w:p>
        </w:tc>
        <w:tc>
          <w:tcPr>
            <w:tcW w:w="345" w:type="dxa"/>
          </w:tcPr>
          <w:p w14:paraId="2DE5724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103462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A6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4F119FA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00117E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5F63E53">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w:t>
            </w:r>
          </w:p>
          <w:p w14:paraId="03EAEBD0">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要求</w:t>
            </w:r>
          </w:p>
        </w:tc>
        <w:tc>
          <w:tcPr>
            <w:tcW w:w="4155" w:type="dxa"/>
            <w:shd w:val="clear" w:color="auto" w:fill="auto"/>
            <w:vAlign w:val="center"/>
          </w:tcPr>
          <w:p w14:paraId="29744753">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1.最近一个年度</w:t>
            </w:r>
            <w:r>
              <w:rPr>
                <w:rFonts w:hint="eastAsia" w:ascii="仿宋_GB2312" w:hAnsi="仿宋_GB2312" w:eastAsia="仿宋_GB2312" w:cs="仿宋_GB2312"/>
                <w:color w:val="auto"/>
                <w:sz w:val="28"/>
                <w:szCs w:val="28"/>
                <w:lang w:eastAsia="zh-CN"/>
              </w:rPr>
              <w:t>财务状况（成立不满一年不需要提供）</w:t>
            </w:r>
            <w:r>
              <w:rPr>
                <w:rFonts w:hint="eastAsia" w:ascii="仿宋_GB2312" w:hAnsi="仿宋_GB2312" w:eastAsia="仿宋_GB2312" w:cs="仿宋_GB2312"/>
                <w:color w:val="auto"/>
                <w:sz w:val="28"/>
                <w:szCs w:val="28"/>
                <w:lang w:val="en-US" w:eastAsia="zh-CN"/>
              </w:rPr>
              <w:t>2.具备履行合同所必须的设备和专业技术能力的书面证明3.</w:t>
            </w:r>
            <w:r>
              <w:rPr>
                <w:rFonts w:hint="eastAsia" w:ascii="仿宋_GB2312" w:hAnsi="仿宋_GB2312" w:eastAsia="仿宋_GB2312" w:cs="仿宋_GB2312"/>
                <w:color w:val="auto"/>
                <w:sz w:val="28"/>
                <w:szCs w:val="28"/>
                <w:lang w:val="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auto"/>
                <w:sz w:val="28"/>
                <w:szCs w:val="28"/>
                <w:lang w:val="en-US" w:eastAsia="zh-CN"/>
              </w:rPr>
              <w:t>4.参加政府采购活动前3年内在经营活动中没有重大违法记录的书面证明。</w:t>
            </w:r>
          </w:p>
        </w:tc>
        <w:tc>
          <w:tcPr>
            <w:tcW w:w="345" w:type="dxa"/>
          </w:tcPr>
          <w:p w14:paraId="0608CB6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4DDBB884">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F43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0976A18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7699351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F6E116B">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法定代表人身份证明及授权委托书</w:t>
            </w:r>
          </w:p>
        </w:tc>
        <w:tc>
          <w:tcPr>
            <w:tcW w:w="4155" w:type="dxa"/>
            <w:shd w:val="clear" w:color="auto" w:fill="auto"/>
            <w:vAlign w:val="center"/>
          </w:tcPr>
          <w:p w14:paraId="62924159">
            <w:pPr>
              <w:spacing w:line="360" w:lineRule="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具有法定代表人身份证明及授权委托书</w:t>
            </w:r>
          </w:p>
        </w:tc>
        <w:tc>
          <w:tcPr>
            <w:tcW w:w="345" w:type="dxa"/>
          </w:tcPr>
          <w:p w14:paraId="60C64F6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51E114F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B27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63780E5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4BAE2C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6F5749C0">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投标保证金缴纳凭证</w:t>
            </w:r>
          </w:p>
        </w:tc>
        <w:tc>
          <w:tcPr>
            <w:tcW w:w="4155" w:type="dxa"/>
            <w:shd w:val="clear" w:color="auto" w:fill="auto"/>
            <w:vAlign w:val="center"/>
          </w:tcPr>
          <w:p w14:paraId="07315CDB">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符合供应商须知前附表的规定（</w:t>
            </w:r>
            <w:r>
              <w:rPr>
                <w:rFonts w:hint="eastAsia" w:ascii="仿宋_GB2312" w:hAnsi="仿宋_GB2312" w:eastAsia="仿宋_GB2312" w:cs="仿宋_GB2312"/>
                <w:color w:val="auto"/>
                <w:sz w:val="28"/>
                <w:szCs w:val="28"/>
                <w:lang w:val="zh-CN" w:eastAsia="zh-CN"/>
              </w:rPr>
              <w:t>以评审小组及监督人员查看</w:t>
            </w:r>
            <w:r>
              <w:rPr>
                <w:rFonts w:hint="eastAsia" w:ascii="仿宋_GB2312" w:hAnsi="仿宋_GB2312" w:eastAsia="仿宋_GB2312" w:cs="仿宋_GB2312"/>
                <w:color w:val="auto"/>
                <w:sz w:val="28"/>
                <w:szCs w:val="28"/>
                <w:lang w:val="en-US" w:eastAsia="zh-CN"/>
              </w:rPr>
              <w:t>上传</w:t>
            </w:r>
            <w:r>
              <w:rPr>
                <w:rFonts w:hint="eastAsia" w:ascii="仿宋_GB2312" w:hAnsi="仿宋_GB2312" w:eastAsia="仿宋_GB2312" w:cs="仿宋_GB2312"/>
                <w:color w:val="auto"/>
                <w:sz w:val="28"/>
                <w:szCs w:val="28"/>
                <w:lang w:val="zh-CN"/>
              </w:rPr>
              <w:t>平台</w:t>
            </w:r>
            <w:r>
              <w:rPr>
                <w:rFonts w:hint="eastAsia" w:ascii="仿宋_GB2312" w:hAnsi="仿宋_GB2312" w:eastAsia="仿宋_GB2312" w:cs="仿宋_GB2312"/>
                <w:color w:val="auto"/>
                <w:sz w:val="28"/>
                <w:szCs w:val="28"/>
                <w:lang w:val="en-US" w:eastAsia="zh-CN"/>
              </w:rPr>
              <w:t>的保证金</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银行回单</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电子件</w:t>
            </w:r>
            <w:r>
              <w:rPr>
                <w:rFonts w:hint="eastAsia" w:ascii="仿宋_GB2312" w:hAnsi="仿宋_GB2312" w:eastAsia="仿宋_GB2312" w:cs="仿宋_GB2312"/>
                <w:color w:val="auto"/>
                <w:sz w:val="28"/>
                <w:szCs w:val="28"/>
                <w:lang w:val="zh-CN"/>
              </w:rPr>
              <w:t>缴纳或电子保函凭证</w:t>
            </w:r>
            <w:r>
              <w:rPr>
                <w:rFonts w:hint="eastAsia" w:ascii="仿宋_GB2312" w:hAnsi="仿宋_GB2312" w:eastAsia="仿宋_GB2312" w:cs="仿宋_GB2312"/>
                <w:color w:val="auto"/>
                <w:sz w:val="28"/>
                <w:szCs w:val="28"/>
                <w:lang w:val="en-US" w:eastAsia="zh-CN"/>
              </w:rPr>
              <w:t>及缴费凭证</w:t>
            </w:r>
            <w:r>
              <w:rPr>
                <w:rFonts w:hint="eastAsia" w:ascii="仿宋_GB2312" w:hAnsi="仿宋_GB2312" w:eastAsia="仿宋_GB2312" w:cs="仿宋_GB2312"/>
                <w:color w:val="auto"/>
                <w:sz w:val="28"/>
                <w:szCs w:val="28"/>
                <w:lang w:val="zh-CN" w:eastAsia="zh-CN"/>
              </w:rPr>
              <w:t>为准</w:t>
            </w:r>
            <w:r>
              <w:rPr>
                <w:rFonts w:hint="eastAsia" w:ascii="仿宋_GB2312" w:hAnsi="仿宋_GB2312" w:eastAsia="仿宋_GB2312" w:cs="仿宋_GB2312"/>
                <w:color w:val="auto"/>
                <w:sz w:val="28"/>
                <w:szCs w:val="28"/>
                <w:lang w:val="zh-CN"/>
              </w:rPr>
              <w:t>）</w:t>
            </w:r>
          </w:p>
        </w:tc>
        <w:tc>
          <w:tcPr>
            <w:tcW w:w="345" w:type="dxa"/>
          </w:tcPr>
          <w:p w14:paraId="4B4474C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08A0C8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011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17F01C1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69A4DD9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5AF2E59E">
            <w:pPr>
              <w:jc w:val="center"/>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sz w:val="28"/>
                <w:szCs w:val="28"/>
              </w:rPr>
              <w:t>供应商认为有必要提供的声明及文件资料</w:t>
            </w:r>
          </w:p>
        </w:tc>
        <w:tc>
          <w:tcPr>
            <w:tcW w:w="4155" w:type="dxa"/>
            <w:shd w:val="clear" w:color="auto" w:fill="auto"/>
            <w:vAlign w:val="center"/>
          </w:tcPr>
          <w:p w14:paraId="79F867E9">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具有供应商认为有必要提供的声明及文件资料</w:t>
            </w:r>
          </w:p>
        </w:tc>
        <w:tc>
          <w:tcPr>
            <w:tcW w:w="345" w:type="dxa"/>
          </w:tcPr>
          <w:p w14:paraId="51CE36B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E1A6BF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451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6705EA8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5A82B72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02E61658">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网上信用记录</w:t>
            </w:r>
            <w:r>
              <w:rPr>
                <w:rFonts w:hint="eastAsia" w:ascii="仿宋_GB2312" w:hAnsi="仿宋_GB2312" w:eastAsia="仿宋_GB2312" w:cs="仿宋_GB2312"/>
                <w:color w:val="auto"/>
                <w:sz w:val="28"/>
                <w:szCs w:val="28"/>
                <w:lang w:val="en-US" w:eastAsia="zh-CN"/>
              </w:rPr>
              <w:t>查询</w:t>
            </w:r>
          </w:p>
        </w:tc>
        <w:tc>
          <w:tcPr>
            <w:tcW w:w="4155" w:type="dxa"/>
            <w:shd w:val="clear" w:color="auto" w:fill="auto"/>
            <w:vAlign w:val="center"/>
          </w:tcPr>
          <w:p w14:paraId="0F60CB53">
            <w:pPr>
              <w:pStyle w:val="93"/>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sz w:val="28"/>
                <w:szCs w:val="2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c>
          <w:tcPr>
            <w:tcW w:w="345" w:type="dxa"/>
          </w:tcPr>
          <w:p w14:paraId="1E9CFD7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099E1D9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59ABCE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205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6ED4254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3FCDAB9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47145685">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特殊资质证明（若本项目要求）</w:t>
            </w:r>
          </w:p>
        </w:tc>
        <w:tc>
          <w:tcPr>
            <w:tcW w:w="4155" w:type="dxa"/>
            <w:shd w:val="clear" w:color="auto" w:fill="auto"/>
            <w:vAlign w:val="center"/>
          </w:tcPr>
          <w:p w14:paraId="5400E8DE">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具备有效的资质证明</w:t>
            </w:r>
          </w:p>
        </w:tc>
        <w:tc>
          <w:tcPr>
            <w:tcW w:w="345" w:type="dxa"/>
          </w:tcPr>
          <w:p w14:paraId="7CC4D59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27245A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E3E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7AA9BC1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2627CC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B06B919">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中小企业声明函（若本项目需求）</w:t>
            </w:r>
          </w:p>
        </w:tc>
        <w:tc>
          <w:tcPr>
            <w:tcW w:w="4155" w:type="dxa"/>
            <w:shd w:val="clear" w:color="auto" w:fill="auto"/>
            <w:vAlign w:val="center"/>
          </w:tcPr>
          <w:p w14:paraId="3EF78C69">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请根据要求单独上传《中小企业声明函》格式以采购文件要求为准</w:t>
            </w:r>
          </w:p>
        </w:tc>
        <w:tc>
          <w:tcPr>
            <w:tcW w:w="345" w:type="dxa"/>
          </w:tcPr>
          <w:p w14:paraId="2A0E5DE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C5F5CE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7F6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1109" w:type="dxa"/>
            <w:vMerge w:val="continue"/>
            <w:tcBorders>
              <w:bottom w:val="single" w:color="auto" w:sz="4" w:space="0"/>
            </w:tcBorders>
          </w:tcPr>
          <w:p w14:paraId="3366DF4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restart"/>
            <w:tcBorders>
              <w:bottom w:val="single" w:color="auto" w:sz="4" w:space="0"/>
            </w:tcBorders>
            <w:vAlign w:val="center"/>
          </w:tcPr>
          <w:p w14:paraId="0BE7DA56">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符合性</w:t>
            </w:r>
          </w:p>
          <w:p w14:paraId="4FCBB66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检查</w:t>
            </w:r>
          </w:p>
        </w:tc>
        <w:tc>
          <w:tcPr>
            <w:tcW w:w="1050" w:type="dxa"/>
            <w:vAlign w:val="center"/>
          </w:tcPr>
          <w:p w14:paraId="2267C62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供应商名称</w:t>
            </w:r>
          </w:p>
        </w:tc>
        <w:tc>
          <w:tcPr>
            <w:tcW w:w="4155" w:type="dxa"/>
            <w:vAlign w:val="center"/>
          </w:tcPr>
          <w:p w14:paraId="27ECA7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是否与营业执照、税务登记证、资质证书一致</w:t>
            </w:r>
          </w:p>
        </w:tc>
        <w:tc>
          <w:tcPr>
            <w:tcW w:w="345" w:type="dxa"/>
          </w:tcPr>
          <w:p w14:paraId="3C81363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5C6174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123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1109" w:type="dxa"/>
            <w:vMerge w:val="continue"/>
            <w:tcBorders>
              <w:top w:val="single" w:color="auto" w:sz="4" w:space="0"/>
              <w:bottom w:val="single" w:color="auto" w:sz="4" w:space="0"/>
            </w:tcBorders>
          </w:tcPr>
          <w:p w14:paraId="296C363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662B1E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6251F3D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投标文件签署</w:t>
            </w:r>
          </w:p>
        </w:tc>
        <w:tc>
          <w:tcPr>
            <w:tcW w:w="4155" w:type="dxa"/>
            <w:vAlign w:val="center"/>
          </w:tcPr>
          <w:p w14:paraId="4F19281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符合响应文件要求在规定区域加盖单位电子公章</w:t>
            </w:r>
          </w:p>
        </w:tc>
        <w:tc>
          <w:tcPr>
            <w:tcW w:w="345" w:type="dxa"/>
          </w:tcPr>
          <w:p w14:paraId="4DB5528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A7383E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4F5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Borders>
              <w:top w:val="single" w:color="auto" w:sz="4" w:space="0"/>
              <w:bottom w:val="single" w:color="auto" w:sz="4" w:space="0"/>
            </w:tcBorders>
          </w:tcPr>
          <w:p w14:paraId="40D069D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489E7B9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3C09530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投标有效期</w:t>
            </w:r>
          </w:p>
        </w:tc>
        <w:tc>
          <w:tcPr>
            <w:tcW w:w="4155" w:type="dxa"/>
            <w:vAlign w:val="center"/>
          </w:tcPr>
          <w:p w14:paraId="63EDD2D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符合供应商须知前附表的规定</w:t>
            </w:r>
          </w:p>
        </w:tc>
        <w:tc>
          <w:tcPr>
            <w:tcW w:w="345" w:type="dxa"/>
          </w:tcPr>
          <w:p w14:paraId="7E7391B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0E5FA4F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E3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trPr>
        <w:tc>
          <w:tcPr>
            <w:tcW w:w="1109" w:type="dxa"/>
            <w:vMerge w:val="continue"/>
            <w:tcBorders>
              <w:top w:val="single" w:color="auto" w:sz="4" w:space="0"/>
              <w:bottom w:val="single" w:color="auto" w:sz="4" w:space="0"/>
            </w:tcBorders>
          </w:tcPr>
          <w:p w14:paraId="607D01D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510BBC0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bottom w:val="nil"/>
            </w:tcBorders>
            <w:vAlign w:val="center"/>
          </w:tcPr>
          <w:p w14:paraId="291633A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w:t>
            </w:r>
          </w:p>
          <w:p w14:paraId="650129E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w:t>
            </w:r>
          </w:p>
        </w:tc>
        <w:tc>
          <w:tcPr>
            <w:tcW w:w="4155" w:type="dxa"/>
            <w:tcBorders>
              <w:bottom w:val="nil"/>
            </w:tcBorders>
            <w:vAlign w:val="center"/>
          </w:tcPr>
          <w:p w14:paraId="45AEB8D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只有一个有效报价且未超过政府采购预算金额</w:t>
            </w:r>
          </w:p>
        </w:tc>
        <w:tc>
          <w:tcPr>
            <w:tcW w:w="345" w:type="dxa"/>
            <w:tcBorders>
              <w:bottom w:val="nil"/>
            </w:tcBorders>
          </w:tcPr>
          <w:p w14:paraId="5DF90AE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bottom w:val="nil"/>
            </w:tcBorders>
            <w:vAlign w:val="center"/>
          </w:tcPr>
          <w:p w14:paraId="6186A7A8">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ED3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Borders>
              <w:top w:val="single" w:color="auto" w:sz="4" w:space="0"/>
              <w:bottom w:val="single" w:color="auto" w:sz="4" w:space="0"/>
            </w:tcBorders>
          </w:tcPr>
          <w:p w14:paraId="56841EF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661ED87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top w:val="nil"/>
            </w:tcBorders>
            <w:vAlign w:val="center"/>
          </w:tcPr>
          <w:p w14:paraId="08A0C2E9">
            <w:pPr>
              <w:spacing w:line="360"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p>
          <w:p w14:paraId="5397D7F7">
            <w:pPr>
              <w:spacing w:line="360"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需求</w:t>
            </w:r>
          </w:p>
        </w:tc>
        <w:tc>
          <w:tcPr>
            <w:tcW w:w="4155" w:type="dxa"/>
            <w:tcBorders>
              <w:top w:val="nil"/>
            </w:tcBorders>
            <w:vAlign w:val="center"/>
          </w:tcPr>
          <w:p w14:paraId="4CA30D9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投标人所投产品（服务）内容、数量、核心产品技术指标（带★产品技术参数、规格、性能）是否满足招标文件实质性要求。</w:t>
            </w:r>
          </w:p>
        </w:tc>
        <w:tc>
          <w:tcPr>
            <w:tcW w:w="345" w:type="dxa"/>
            <w:tcBorders>
              <w:top w:val="nil"/>
            </w:tcBorders>
          </w:tcPr>
          <w:p w14:paraId="4521D3E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top w:val="nil"/>
            </w:tcBorders>
            <w:vAlign w:val="center"/>
          </w:tcPr>
          <w:p w14:paraId="271F1F8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0D2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Borders>
              <w:top w:val="single" w:color="auto" w:sz="4" w:space="0"/>
              <w:bottom w:val="single" w:color="auto" w:sz="4" w:space="0"/>
            </w:tcBorders>
          </w:tcPr>
          <w:p w14:paraId="3A4F7E0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4564903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bottom w:val="single" w:color="auto" w:sz="4" w:space="0"/>
            </w:tcBorders>
            <w:vAlign w:val="center"/>
          </w:tcPr>
          <w:p w14:paraId="5D26EA3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期</w:t>
            </w:r>
          </w:p>
        </w:tc>
        <w:tc>
          <w:tcPr>
            <w:tcW w:w="4155" w:type="dxa"/>
            <w:tcBorders>
              <w:bottom w:val="single" w:color="auto" w:sz="4" w:space="0"/>
            </w:tcBorders>
            <w:vAlign w:val="center"/>
          </w:tcPr>
          <w:p w14:paraId="185660D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w:t>
            </w:r>
            <w:r>
              <w:rPr>
                <w:rFonts w:hint="eastAsia" w:ascii="仿宋_GB2312" w:hAnsi="仿宋_GB2312" w:eastAsia="仿宋_GB2312" w:cs="仿宋_GB2312"/>
                <w:color w:val="000000" w:themeColor="text1"/>
                <w:sz w:val="28"/>
                <w:szCs w:val="28"/>
                <w:lang w:val="zh-CN"/>
                <w14:textFill>
                  <w14:solidFill>
                    <w14:schemeClr w14:val="tx1"/>
                  </w14:solidFill>
                </w14:textFill>
              </w:rPr>
              <w:t>招标文件要求</w:t>
            </w:r>
          </w:p>
        </w:tc>
        <w:tc>
          <w:tcPr>
            <w:tcW w:w="345" w:type="dxa"/>
            <w:tcBorders>
              <w:bottom w:val="single" w:color="auto" w:sz="4" w:space="0"/>
            </w:tcBorders>
          </w:tcPr>
          <w:p w14:paraId="24373B7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bottom w:val="single" w:color="auto" w:sz="4" w:space="0"/>
            </w:tcBorders>
            <w:vAlign w:val="center"/>
          </w:tcPr>
          <w:p w14:paraId="37D198C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83F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8145" w:type="dxa"/>
            <w:gridSpan w:val="6"/>
            <w:tcBorders>
              <w:top w:val="nil"/>
              <w:left w:val="nil"/>
              <w:bottom w:val="nil"/>
              <w:right w:val="nil"/>
            </w:tcBorders>
          </w:tcPr>
          <w:p w14:paraId="78E7D98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339CA052">
      <w:pPr>
        <w:jc w:val="center"/>
        <w:rPr>
          <w:rFonts w:hint="eastAsia" w:ascii="仿宋_GB2312" w:hAnsi="仿宋_GB2312" w:eastAsia="仿宋_GB2312" w:cs="仿宋_GB2312"/>
          <w:b/>
          <w:bCs/>
          <w:sz w:val="28"/>
          <w:szCs w:val="28"/>
          <w:highlight w:val="none"/>
          <w:lang w:val="en-US" w:eastAsia="zh-CN"/>
        </w:rPr>
      </w:pPr>
      <w:bookmarkStart w:id="140" w:name="EB727693b662f248a4a3607ff2f7c636d8"/>
      <w:bookmarkEnd w:id="140"/>
      <w:bookmarkStart w:id="141" w:name="_Toc293736067"/>
      <w:bookmarkStart w:id="142" w:name="_Toc446599330"/>
      <w:bookmarkStart w:id="143" w:name="_Toc293739005"/>
      <w:bookmarkStart w:id="144" w:name="_Toc293736024"/>
    </w:p>
    <w:p w14:paraId="2E1017A3">
      <w:pPr>
        <w:jc w:val="center"/>
        <w:rPr>
          <w:rFonts w:hint="eastAsia" w:ascii="仿宋_GB2312" w:hAnsi="仿宋_GB2312" w:eastAsia="仿宋_GB2312" w:cs="仿宋_GB2312"/>
          <w:b/>
          <w:bCs/>
          <w:sz w:val="28"/>
          <w:szCs w:val="28"/>
          <w:highlight w:val="none"/>
          <w:lang w:val="en-US" w:eastAsia="zh-CN"/>
        </w:rPr>
      </w:pPr>
    </w:p>
    <w:p w14:paraId="3B8848E3">
      <w:pPr>
        <w:jc w:val="center"/>
        <w:rPr>
          <w:rFonts w:hint="eastAsia" w:ascii="仿宋_GB2312" w:hAnsi="仿宋_GB2312" w:eastAsia="仿宋_GB2312" w:cs="仿宋_GB2312"/>
          <w:b/>
          <w:bCs/>
          <w:sz w:val="28"/>
          <w:szCs w:val="28"/>
          <w:highlight w:val="none"/>
          <w:lang w:val="en-US" w:eastAsia="zh-CN"/>
        </w:rPr>
      </w:pPr>
    </w:p>
    <w:p w14:paraId="74AF3403">
      <w:pPr>
        <w:jc w:val="center"/>
        <w:rPr>
          <w:rFonts w:hint="eastAsia" w:ascii="仿宋_GB2312" w:hAnsi="仿宋_GB2312" w:eastAsia="仿宋_GB2312" w:cs="仿宋_GB2312"/>
          <w:b/>
          <w:bCs/>
          <w:sz w:val="28"/>
          <w:szCs w:val="28"/>
          <w:highlight w:val="none"/>
          <w:lang w:val="en-US" w:eastAsia="zh-CN"/>
        </w:rPr>
      </w:pPr>
    </w:p>
    <w:p w14:paraId="4F977158">
      <w:pPr>
        <w:jc w:val="center"/>
        <w:rPr>
          <w:rFonts w:hint="eastAsia" w:ascii="仿宋_GB2312" w:hAnsi="仿宋_GB2312" w:eastAsia="仿宋_GB2312" w:cs="仿宋_GB2312"/>
          <w:b/>
          <w:bCs/>
          <w:sz w:val="28"/>
          <w:szCs w:val="28"/>
          <w:highlight w:val="none"/>
          <w:lang w:val="en-US" w:eastAsia="zh-CN"/>
        </w:rPr>
      </w:pPr>
    </w:p>
    <w:p w14:paraId="4084F9D0">
      <w:pPr>
        <w:jc w:val="center"/>
        <w:rPr>
          <w:rFonts w:hint="eastAsia" w:ascii="仿宋_GB2312" w:hAnsi="仿宋_GB2312" w:eastAsia="仿宋_GB2312" w:cs="仿宋_GB2312"/>
          <w:b/>
          <w:bCs/>
          <w:sz w:val="28"/>
          <w:szCs w:val="28"/>
          <w:highlight w:val="none"/>
          <w:lang w:val="en-US" w:eastAsia="zh-CN"/>
        </w:rPr>
      </w:pPr>
    </w:p>
    <w:p w14:paraId="76C163C8">
      <w:pPr>
        <w:jc w:val="center"/>
        <w:rPr>
          <w:rFonts w:hint="eastAsia" w:ascii="仿宋_GB2312" w:hAnsi="仿宋_GB2312" w:eastAsia="仿宋_GB2312" w:cs="仿宋_GB2312"/>
          <w:b/>
          <w:bCs/>
          <w:sz w:val="28"/>
          <w:szCs w:val="28"/>
          <w:highlight w:val="none"/>
          <w:lang w:val="en-US" w:eastAsia="zh-CN"/>
        </w:rPr>
      </w:pPr>
    </w:p>
    <w:p w14:paraId="6572C63D">
      <w:pPr>
        <w:jc w:val="center"/>
        <w:rPr>
          <w:rFonts w:hint="eastAsia" w:ascii="仿宋_GB2312" w:hAnsi="仿宋_GB2312" w:eastAsia="仿宋_GB2312" w:cs="仿宋_GB2312"/>
          <w:b/>
          <w:bCs/>
          <w:sz w:val="28"/>
          <w:szCs w:val="28"/>
          <w:highlight w:val="none"/>
          <w:lang w:val="en-US" w:eastAsia="zh-CN"/>
        </w:rPr>
      </w:pPr>
    </w:p>
    <w:p w14:paraId="273D9FCE">
      <w:pPr>
        <w:jc w:val="center"/>
        <w:rPr>
          <w:rFonts w:hint="eastAsia" w:ascii="仿宋_GB2312" w:hAnsi="仿宋_GB2312" w:eastAsia="仿宋_GB2312" w:cs="仿宋_GB2312"/>
          <w:b/>
          <w:bCs/>
          <w:sz w:val="28"/>
          <w:szCs w:val="28"/>
          <w:highlight w:val="none"/>
          <w:lang w:val="en-US" w:eastAsia="zh-CN"/>
        </w:rPr>
      </w:pPr>
    </w:p>
    <w:p w14:paraId="021AE9C7">
      <w:pPr>
        <w:jc w:val="center"/>
        <w:rPr>
          <w:rFonts w:hint="eastAsia" w:ascii="仿宋_GB2312" w:hAnsi="仿宋_GB2312" w:eastAsia="仿宋_GB2312" w:cs="仿宋_GB2312"/>
          <w:b/>
          <w:bCs/>
          <w:sz w:val="28"/>
          <w:szCs w:val="28"/>
          <w:highlight w:val="none"/>
          <w:lang w:val="en-US" w:eastAsia="zh-CN"/>
        </w:rPr>
      </w:pPr>
    </w:p>
    <w:p w14:paraId="78B57FAB">
      <w:pPr>
        <w:jc w:val="center"/>
        <w:rPr>
          <w:rFonts w:hint="eastAsia"/>
          <w:b/>
          <w:bCs/>
          <w:sz w:val="28"/>
          <w:szCs w:val="28"/>
          <w:highlight w:val="none"/>
          <w:lang w:val="en-US" w:eastAsia="zh-CN"/>
        </w:rPr>
      </w:pPr>
    </w:p>
    <w:p w14:paraId="43A698B5">
      <w:pPr>
        <w:jc w:val="center"/>
        <w:rPr>
          <w:rFonts w:hint="eastAsia"/>
          <w:b/>
          <w:bCs/>
          <w:sz w:val="28"/>
          <w:szCs w:val="28"/>
          <w:highlight w:val="none"/>
          <w:lang w:val="en-US" w:eastAsia="zh-CN"/>
        </w:rPr>
      </w:pPr>
    </w:p>
    <w:p w14:paraId="328B215C">
      <w:pPr>
        <w:jc w:val="center"/>
        <w:rPr>
          <w:rFonts w:hint="eastAsia"/>
          <w:b/>
          <w:bCs/>
          <w:sz w:val="28"/>
          <w:szCs w:val="28"/>
          <w:highlight w:val="none"/>
          <w:lang w:val="en-US" w:eastAsia="zh-CN"/>
        </w:rPr>
      </w:pPr>
    </w:p>
    <w:p w14:paraId="2C3F1DBC">
      <w:pPr>
        <w:jc w:val="center"/>
        <w:rPr>
          <w:rFonts w:hint="eastAsia" w:ascii="仿宋_GB2312" w:hAnsi="仿宋_GB2312" w:eastAsia="仿宋_GB2312" w:cs="仿宋_GB2312"/>
          <w:b/>
          <w:bCs/>
          <w:sz w:val="36"/>
          <w:szCs w:val="36"/>
          <w:highlight w:val="none"/>
          <w:lang w:val="en-US" w:eastAsia="zh-CN"/>
        </w:rPr>
      </w:pPr>
    </w:p>
    <w:p w14:paraId="5E8E501C">
      <w:pPr>
        <w:jc w:val="center"/>
        <w:rPr>
          <w:rFonts w:hint="eastAsia" w:ascii="仿宋_GB2312" w:hAnsi="仿宋_GB2312" w:eastAsia="仿宋_GB2312" w:cs="仿宋_GB2312"/>
          <w:b/>
          <w:bCs/>
          <w:sz w:val="36"/>
          <w:szCs w:val="36"/>
          <w:highlight w:val="none"/>
          <w:lang w:val="en-US" w:eastAsia="zh-CN"/>
        </w:rPr>
      </w:pPr>
    </w:p>
    <w:p w14:paraId="2A2D633B">
      <w:pPr>
        <w:jc w:val="center"/>
        <w:rPr>
          <w:rFonts w:hint="eastAsia" w:ascii="仿宋_GB2312" w:hAnsi="仿宋_GB2312" w:eastAsia="仿宋_GB2312" w:cs="仿宋_GB2312"/>
          <w:b/>
          <w:bCs/>
          <w:sz w:val="36"/>
          <w:szCs w:val="36"/>
          <w:highlight w:val="none"/>
          <w:lang w:val="en-US" w:eastAsia="zh-CN"/>
        </w:rPr>
      </w:pPr>
    </w:p>
    <w:p w14:paraId="05315294">
      <w:pPr>
        <w:jc w:val="center"/>
        <w:rPr>
          <w:rFonts w:hint="eastAsia" w:ascii="仿宋_GB2312" w:hAnsi="仿宋_GB2312" w:eastAsia="仿宋_GB2312" w:cs="仿宋_GB2312"/>
          <w:b/>
          <w:bCs/>
          <w:sz w:val="36"/>
          <w:szCs w:val="36"/>
          <w:highlight w:val="none"/>
          <w:lang w:val="en-US" w:eastAsia="zh-CN"/>
        </w:rPr>
      </w:pPr>
    </w:p>
    <w:p w14:paraId="37DB6EDD">
      <w:pPr>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sz w:val="36"/>
          <w:szCs w:val="36"/>
          <w:highlight w:val="none"/>
          <w:lang w:val="en-US" w:eastAsia="zh-CN"/>
        </w:rPr>
        <w:t>评分表</w:t>
      </w:r>
    </w:p>
    <w:tbl>
      <w:tblPr>
        <w:tblStyle w:val="35"/>
        <w:tblpPr w:leftFromText="180" w:rightFromText="180" w:vertAnchor="text" w:horzAnchor="page" w:tblpX="1867" w:tblpY="1069"/>
        <w:tblOverlap w:val="never"/>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937"/>
        <w:gridCol w:w="4913"/>
        <w:gridCol w:w="624"/>
      </w:tblGrid>
      <w:tr w14:paraId="4C33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4" w:type="dxa"/>
            <w:tcBorders>
              <w:top w:val="single" w:color="auto" w:sz="4" w:space="0"/>
              <w:left w:val="single" w:color="auto" w:sz="4" w:space="0"/>
              <w:bottom w:val="single" w:color="auto" w:sz="4" w:space="0"/>
              <w:right w:val="single" w:color="auto" w:sz="4" w:space="0"/>
            </w:tcBorders>
            <w:vAlign w:val="center"/>
          </w:tcPr>
          <w:p w14:paraId="484E9BF5">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7E63A75B">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评分项目</w:t>
            </w:r>
          </w:p>
        </w:tc>
        <w:tc>
          <w:tcPr>
            <w:tcW w:w="937" w:type="dxa"/>
            <w:tcBorders>
              <w:top w:val="single" w:color="auto" w:sz="4" w:space="0"/>
              <w:left w:val="single" w:color="auto" w:sz="4" w:space="0"/>
              <w:bottom w:val="single" w:color="auto" w:sz="4" w:space="0"/>
              <w:right w:val="single" w:color="auto" w:sz="4" w:space="0"/>
            </w:tcBorders>
            <w:vAlign w:val="center"/>
          </w:tcPr>
          <w:p w14:paraId="118B605A">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评分因素</w:t>
            </w:r>
          </w:p>
        </w:tc>
        <w:tc>
          <w:tcPr>
            <w:tcW w:w="4913" w:type="dxa"/>
            <w:tcBorders>
              <w:top w:val="single" w:color="auto" w:sz="4" w:space="0"/>
              <w:left w:val="single" w:color="auto" w:sz="4" w:space="0"/>
              <w:bottom w:val="single" w:color="auto" w:sz="4" w:space="0"/>
              <w:right w:val="single" w:color="auto" w:sz="4" w:space="0"/>
            </w:tcBorders>
            <w:vAlign w:val="center"/>
          </w:tcPr>
          <w:p w14:paraId="66DE253C">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评审内容</w:t>
            </w:r>
          </w:p>
        </w:tc>
        <w:tc>
          <w:tcPr>
            <w:tcW w:w="624" w:type="dxa"/>
            <w:tcBorders>
              <w:top w:val="single" w:color="auto" w:sz="4" w:space="0"/>
              <w:left w:val="single" w:color="auto" w:sz="4" w:space="0"/>
              <w:bottom w:val="single" w:color="auto" w:sz="4" w:space="0"/>
              <w:right w:val="single" w:color="auto" w:sz="4" w:space="0"/>
            </w:tcBorders>
            <w:vAlign w:val="center"/>
          </w:tcPr>
          <w:p w14:paraId="65FBFE27">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分值</w:t>
            </w:r>
          </w:p>
        </w:tc>
      </w:tr>
      <w:tr w14:paraId="5BEC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bottom w:val="single" w:color="auto" w:sz="4" w:space="0"/>
              <w:right w:val="single" w:color="auto" w:sz="4" w:space="0"/>
            </w:tcBorders>
            <w:vAlign w:val="center"/>
          </w:tcPr>
          <w:p w14:paraId="2B8C6F1B">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14:paraId="5124F120">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报价部分</w:t>
            </w:r>
          </w:p>
          <w:p w14:paraId="3BBC1BF8">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（15分）</w:t>
            </w:r>
          </w:p>
        </w:tc>
        <w:tc>
          <w:tcPr>
            <w:tcW w:w="937" w:type="dxa"/>
            <w:tcBorders>
              <w:top w:val="single" w:color="auto" w:sz="4" w:space="0"/>
              <w:left w:val="single" w:color="auto" w:sz="4" w:space="0"/>
              <w:bottom w:val="single" w:color="auto" w:sz="4" w:space="0"/>
              <w:right w:val="single" w:color="auto" w:sz="4" w:space="0"/>
            </w:tcBorders>
            <w:vAlign w:val="center"/>
          </w:tcPr>
          <w:p w14:paraId="0F964C45">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投标报价</w:t>
            </w:r>
          </w:p>
          <w:p w14:paraId="48EA8CA0">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913" w:type="dxa"/>
            <w:tcBorders>
              <w:top w:val="single" w:color="auto" w:sz="4" w:space="0"/>
              <w:left w:val="single" w:color="auto" w:sz="4" w:space="0"/>
              <w:bottom w:val="single" w:color="auto" w:sz="4" w:space="0"/>
              <w:right w:val="single" w:color="auto" w:sz="4" w:space="0"/>
            </w:tcBorders>
            <w:vAlign w:val="center"/>
          </w:tcPr>
          <w:p w14:paraId="642671B2">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采取低价优先计算，即满足招标文件要求且投标价格最低的投标报价为评标基准价，其价格得分为满分。其他投标人的价格得分统一按照下列公式计算:</w:t>
            </w:r>
          </w:p>
          <w:p w14:paraId="638D5CEA">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价格得分=(评标基准价/投标报价)*15%*100，未满足招标文件要求且投标价格最低的投标报价分为零分。</w:t>
            </w:r>
          </w:p>
        </w:tc>
        <w:tc>
          <w:tcPr>
            <w:tcW w:w="624" w:type="dxa"/>
            <w:tcBorders>
              <w:top w:val="single" w:color="auto" w:sz="4" w:space="0"/>
              <w:left w:val="single" w:color="auto" w:sz="4" w:space="0"/>
              <w:bottom w:val="single" w:color="auto" w:sz="4" w:space="0"/>
              <w:right w:val="single" w:color="auto" w:sz="4" w:space="0"/>
            </w:tcBorders>
            <w:vAlign w:val="center"/>
          </w:tcPr>
          <w:p w14:paraId="50171DF5">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15分</w:t>
            </w:r>
          </w:p>
        </w:tc>
      </w:tr>
      <w:tr w14:paraId="02B5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704" w:type="dxa"/>
            <w:vMerge w:val="restart"/>
            <w:tcBorders>
              <w:top w:val="single" w:color="auto" w:sz="4" w:space="0"/>
              <w:left w:val="single" w:color="auto" w:sz="4" w:space="0"/>
              <w:right w:val="single" w:color="auto" w:sz="4" w:space="0"/>
            </w:tcBorders>
            <w:vAlign w:val="center"/>
          </w:tcPr>
          <w:p w14:paraId="1D84AB15">
            <w:pPr>
              <w:pStyle w:val="29"/>
              <w:adjustRightInd w:val="0"/>
              <w:snapToGrid w:val="0"/>
              <w:spacing w:after="0"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992" w:type="dxa"/>
            <w:vMerge w:val="restart"/>
            <w:tcBorders>
              <w:top w:val="single" w:color="auto" w:sz="4" w:space="0"/>
              <w:left w:val="single" w:color="auto" w:sz="4" w:space="0"/>
              <w:right w:val="single" w:color="auto" w:sz="4" w:space="0"/>
            </w:tcBorders>
            <w:vAlign w:val="center"/>
          </w:tcPr>
          <w:p w14:paraId="7ADACA95">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商务部分（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tc>
        <w:tc>
          <w:tcPr>
            <w:tcW w:w="937" w:type="dxa"/>
            <w:tcBorders>
              <w:top w:val="single" w:color="auto" w:sz="4" w:space="0"/>
              <w:left w:val="single" w:color="auto" w:sz="4" w:space="0"/>
              <w:bottom w:val="single" w:color="auto" w:sz="4" w:space="0"/>
              <w:right w:val="single" w:color="auto" w:sz="4" w:space="0"/>
            </w:tcBorders>
            <w:vAlign w:val="center"/>
          </w:tcPr>
          <w:p w14:paraId="40ACE406">
            <w:pPr>
              <w:widowControl/>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28"/>
                <w:szCs w:val="28"/>
                <w:highlight w:val="none"/>
                <w14:textFill>
                  <w14:solidFill>
                    <w14:schemeClr w14:val="tx1"/>
                  </w14:solidFill>
                </w14:textFill>
              </w:rPr>
              <w:t>业绩</w:t>
            </w:r>
          </w:p>
          <w:p w14:paraId="35EB63AA">
            <w:pPr>
              <w:widowControl/>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913" w:type="dxa"/>
            <w:tcBorders>
              <w:top w:val="single" w:color="auto" w:sz="4" w:space="0"/>
              <w:left w:val="single" w:color="auto" w:sz="4" w:space="0"/>
              <w:bottom w:val="single" w:color="auto" w:sz="4" w:space="0"/>
              <w:right w:val="single" w:color="auto" w:sz="4" w:space="0"/>
            </w:tcBorders>
            <w:vAlign w:val="center"/>
          </w:tcPr>
          <w:p w14:paraId="67CBB5F2">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投标人需要提供近三年内(2023年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至今)承担过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类似总体规划</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业绩</w:t>
            </w:r>
            <w:r>
              <w:rPr>
                <w:rFonts w:hint="eastAsia" w:ascii="仿宋_GB2312" w:hAnsi="仿宋_GB2312" w:eastAsia="仿宋_GB2312" w:cs="仿宋_GB2312"/>
                <w:color w:val="000000" w:themeColor="text1"/>
                <w:sz w:val="28"/>
                <w:szCs w:val="28"/>
                <w:highlight w:val="none"/>
                <w14:textFill>
                  <w14:solidFill>
                    <w14:schemeClr w14:val="tx1"/>
                  </w14:solidFill>
                </w14:textFill>
              </w:rPr>
              <w:t>，每提供一项有效业绩得2分，最高得6分。（注:有效业绩须提供已完成项目中标通知书或签订的采购合同，加盖投标单位公章，印章清晰可见，如出现字体模糊不清，印章不清晰，视为无效业绩)。</w:t>
            </w:r>
          </w:p>
          <w:p w14:paraId="32AFD33E">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未提供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或提供不全</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不得分。</w:t>
            </w:r>
          </w:p>
        </w:tc>
        <w:tc>
          <w:tcPr>
            <w:tcW w:w="624" w:type="dxa"/>
            <w:tcBorders>
              <w:top w:val="single" w:color="auto" w:sz="4" w:space="0"/>
              <w:left w:val="single" w:color="auto" w:sz="4" w:space="0"/>
              <w:bottom w:val="single" w:color="auto" w:sz="4" w:space="0"/>
              <w:right w:val="single" w:color="auto" w:sz="4" w:space="0"/>
            </w:tcBorders>
            <w:vAlign w:val="center"/>
          </w:tcPr>
          <w:p w14:paraId="52A227A4">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6分</w:t>
            </w:r>
          </w:p>
        </w:tc>
      </w:tr>
      <w:tr w14:paraId="2279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04" w:type="dxa"/>
            <w:vMerge w:val="continue"/>
            <w:tcBorders>
              <w:left w:val="single" w:color="auto" w:sz="4" w:space="0"/>
              <w:right w:val="single" w:color="auto" w:sz="4" w:space="0"/>
            </w:tcBorders>
            <w:vAlign w:val="center"/>
          </w:tcPr>
          <w:p w14:paraId="2D662773">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92" w:type="dxa"/>
            <w:vMerge w:val="continue"/>
            <w:tcBorders>
              <w:left w:val="single" w:color="auto" w:sz="4" w:space="0"/>
              <w:right w:val="single" w:color="auto" w:sz="4" w:space="0"/>
            </w:tcBorders>
            <w:vAlign w:val="center"/>
          </w:tcPr>
          <w:p w14:paraId="59E49A68">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05E24DA1">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B101C88">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9062513">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7909FB8">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65F289A">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3CA8B487">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E2ED45D">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920E0FE">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B383E1B">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6EF5C22">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239DA98">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FB72443">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25B8381">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人员配置</w:t>
            </w:r>
          </w:p>
        </w:tc>
        <w:tc>
          <w:tcPr>
            <w:tcW w:w="4913" w:type="dxa"/>
            <w:tcBorders>
              <w:top w:val="single" w:color="auto" w:sz="4" w:space="0"/>
              <w:left w:val="single" w:color="auto" w:sz="4" w:space="0"/>
              <w:bottom w:val="single" w:color="auto" w:sz="4" w:space="0"/>
              <w:right w:val="single" w:color="auto" w:sz="4" w:space="0"/>
            </w:tcBorders>
            <w:vAlign w:val="center"/>
          </w:tcPr>
          <w:p w14:paraId="6CA3A5BB">
            <w:pPr>
              <w:widowControl/>
              <w:numPr>
                <w:ilvl w:val="-1"/>
                <w:numId w:val="0"/>
              </w:numPr>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项目负责人1人，具有城乡规划专业或城市规划专业或国土空间规划专业正高级技术职称证书得2分，副高级技术职称证书得1分，中级技术职称证书得0.5分，此项最高2分。</w:t>
            </w:r>
          </w:p>
          <w:p w14:paraId="5BCA3CBE">
            <w:pPr>
              <w:widowControl/>
              <w:numPr>
                <w:ilvl w:val="0"/>
                <w:numId w:val="3"/>
              </w:numPr>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技术负责人1人，具有城乡规划专业或城市规划专业或国土空间规划专业正高级技术职称证书得2分，副高级技术职称证书得1分，中级技术职称证书得0.5分，此项最高2分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F3EC70">
            <w:pPr>
              <w:widowControl/>
              <w:numPr>
                <w:ilvl w:val="0"/>
                <w:numId w:val="0"/>
              </w:numPr>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3、规划设计团队：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4人。</w:t>
            </w:r>
            <w:r>
              <w:rPr>
                <w:rFonts w:hint="eastAsia" w:ascii="仿宋_GB2312" w:hAnsi="仿宋_GB2312" w:eastAsia="仿宋_GB2312" w:cs="仿宋_GB2312"/>
                <w:color w:val="000000" w:themeColor="text1"/>
                <w:sz w:val="28"/>
                <w:szCs w:val="28"/>
                <w:highlight w:val="none"/>
                <w14:textFill>
                  <w14:solidFill>
                    <w14:schemeClr w14:val="tx1"/>
                  </w14:solidFill>
                </w14:textFill>
              </w:rPr>
              <w:t>具有城乡规划专业、城市规划专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业</w:t>
            </w:r>
            <w:r>
              <w:rPr>
                <w:rFonts w:hint="eastAsia" w:ascii="仿宋_GB2312" w:hAnsi="仿宋_GB2312" w:eastAsia="仿宋_GB2312" w:cs="仿宋_GB2312"/>
                <w:color w:val="000000" w:themeColor="text1"/>
                <w:sz w:val="28"/>
                <w:szCs w:val="28"/>
                <w:highlight w:val="none"/>
                <w14:textFill>
                  <w14:solidFill>
                    <w14:schemeClr w14:val="tx1"/>
                  </w14:solidFill>
                </w14:textFill>
              </w:rPr>
              <w:t>、国土空间规划专业副高级（及以上）技术职称证的得1分，中级技术职称证书得0.5分，此项最高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p w14:paraId="6B913104">
            <w:pPr>
              <w:widowControl/>
              <w:adjustRightInd w:val="0"/>
              <w:snapToGrid w:val="0"/>
              <w:spacing w:line="360" w:lineRule="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4、其他团队成员：4人。具有交通规划专业、市政规划专业、土地工程专业、</w:t>
            </w:r>
            <w:r>
              <w:rPr>
                <w:rFonts w:hint="eastAsia" w:ascii="仿宋_GB2312" w:hAnsi="仿宋_GB2312" w:eastAsia="仿宋_GB2312" w:cs="仿宋_GB2312"/>
                <w:color w:val="000000" w:themeColor="text1"/>
                <w:sz w:val="28"/>
                <w:szCs w:val="28"/>
                <w:highlight w:val="none"/>
                <w14:textFill>
                  <w14:solidFill>
                    <w14:schemeClr w14:val="tx1"/>
                  </w14:solidFill>
                </w14:textFill>
              </w:rPr>
              <w:t>风景园林专业技术职称证书</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，每提供一个专业具备副高级（及以上）技术职称得1分，中级技术职称得0.5分(每人只计算一个专业)，每个专业最高得1分，此项最高得4分。</w:t>
            </w:r>
          </w:p>
          <w:p w14:paraId="68C0C402">
            <w:pPr>
              <w:widowControl/>
              <w:adjustRightInd w:val="0"/>
              <w:snapToGrid w:val="0"/>
              <w:spacing w:line="360" w:lineRule="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注：每名团队成员均需提供身份证复印件、技术职称证书复印件、学历证书复印件，只做文字表述无证明材料，未提供或提供不全不得。项目负责人需提供业绩证明包括中标通知书或合同或业主证明等能够证明项目负责人信息复印件及近2个月社保缴纳证明材料复印件并加盖投标单位公章。）</w:t>
            </w:r>
          </w:p>
        </w:tc>
        <w:tc>
          <w:tcPr>
            <w:tcW w:w="624" w:type="dxa"/>
            <w:tcBorders>
              <w:top w:val="single" w:color="auto" w:sz="4" w:space="0"/>
              <w:left w:val="single" w:color="auto" w:sz="4" w:space="0"/>
              <w:bottom w:val="single" w:color="auto" w:sz="4" w:space="0"/>
              <w:right w:val="single" w:color="auto" w:sz="4" w:space="0"/>
            </w:tcBorders>
            <w:vAlign w:val="center"/>
          </w:tcPr>
          <w:p w14:paraId="0E96EA5D">
            <w:pPr>
              <w:widowControl/>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tc>
      </w:tr>
      <w:tr w14:paraId="6A07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Merge w:val="continue"/>
            <w:tcBorders>
              <w:left w:val="single" w:color="auto" w:sz="4" w:space="0"/>
              <w:right w:val="single" w:color="auto" w:sz="4" w:space="0"/>
            </w:tcBorders>
            <w:vAlign w:val="center"/>
          </w:tcPr>
          <w:p w14:paraId="2560BAEA">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92" w:type="dxa"/>
            <w:vMerge w:val="continue"/>
            <w:tcBorders>
              <w:left w:val="single" w:color="auto" w:sz="4" w:space="0"/>
              <w:right w:val="single" w:color="auto" w:sz="4" w:space="0"/>
            </w:tcBorders>
            <w:vAlign w:val="center"/>
          </w:tcPr>
          <w:p w14:paraId="4DF2E4B5">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09A21DDA">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体系认证</w:t>
            </w:r>
          </w:p>
        </w:tc>
        <w:tc>
          <w:tcPr>
            <w:tcW w:w="4913" w:type="dxa"/>
            <w:tcBorders>
              <w:top w:val="single" w:color="auto" w:sz="4" w:space="0"/>
              <w:left w:val="single" w:color="auto" w:sz="4" w:space="0"/>
              <w:bottom w:val="single" w:color="auto" w:sz="4" w:space="0"/>
              <w:right w:val="single" w:color="auto" w:sz="4" w:space="0"/>
            </w:tcBorders>
            <w:vAlign w:val="center"/>
          </w:tcPr>
          <w:p w14:paraId="1DF868BE">
            <w:pPr>
              <w:widowControl/>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具有</w:t>
            </w:r>
            <w:r>
              <w:rPr>
                <w:rFonts w:hint="eastAsia" w:ascii="仿宋_GB2312" w:hAnsi="仿宋_GB2312" w:eastAsia="仿宋_GB2312" w:cs="仿宋_GB2312"/>
                <w:color w:val="000000" w:themeColor="text1"/>
                <w:sz w:val="28"/>
                <w:szCs w:val="28"/>
                <w:highlight w:val="none"/>
                <w14:textFill>
                  <w14:solidFill>
                    <w14:schemeClr w14:val="tx1"/>
                  </w14:solidFill>
                </w14:textFill>
              </w:rPr>
              <w:t>ISO 14001标准认证的环境管理体系证书、ISO 9001标准认证的质量管理体系证书</w:t>
            </w:r>
            <w:r>
              <w:rPr>
                <w:rFonts w:hint="eastAsia" w:ascii="仿宋_GB2312" w:hAnsi="仿宋_GB2312" w:eastAsia="仿宋_GB2312" w:cs="仿宋_GB2312"/>
                <w:b w:val="0"/>
                <w:bCs w:val="0"/>
                <w:color w:val="000000" w:themeColor="text1"/>
                <w:spacing w:val="0"/>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每</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提供1项得2分，本项最高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分，提供证书扫面件，并加盖投标人公章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未提供或提供不全不得分</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tc>
        <w:tc>
          <w:tcPr>
            <w:tcW w:w="624" w:type="dxa"/>
            <w:tcBorders>
              <w:top w:val="single" w:color="auto" w:sz="4" w:space="0"/>
              <w:left w:val="single" w:color="auto" w:sz="4" w:space="0"/>
              <w:bottom w:val="single" w:color="auto" w:sz="4" w:space="0"/>
              <w:right w:val="single" w:color="auto" w:sz="4" w:space="0"/>
            </w:tcBorders>
            <w:vAlign w:val="center"/>
          </w:tcPr>
          <w:p w14:paraId="3C4B1935">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tc>
      </w:tr>
      <w:tr w14:paraId="763D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14:paraId="794436E7">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FAD90FA">
            <w:pPr>
              <w:pStyle w:val="29"/>
              <w:adjustRightInd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技术部分（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61</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tc>
        <w:tc>
          <w:tcPr>
            <w:tcW w:w="937" w:type="dxa"/>
            <w:tcBorders>
              <w:top w:val="single" w:color="auto" w:sz="4" w:space="0"/>
              <w:left w:val="single" w:color="auto" w:sz="4" w:space="0"/>
              <w:bottom w:val="single" w:color="auto" w:sz="4" w:space="0"/>
              <w:right w:val="single" w:color="auto" w:sz="4" w:space="0"/>
            </w:tcBorders>
            <w:vAlign w:val="center"/>
          </w:tcPr>
          <w:p w14:paraId="6EA58D20">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项目理解与认知</w:t>
            </w:r>
          </w:p>
        </w:tc>
        <w:tc>
          <w:tcPr>
            <w:tcW w:w="4913" w:type="dxa"/>
            <w:tcBorders>
              <w:top w:val="single" w:color="auto" w:sz="4" w:space="0"/>
              <w:left w:val="single" w:color="auto" w:sz="4" w:space="0"/>
              <w:bottom w:val="single" w:color="auto" w:sz="4" w:space="0"/>
              <w:right w:val="single" w:color="auto" w:sz="4" w:space="0"/>
            </w:tcBorders>
            <w:vAlign w:val="center"/>
          </w:tcPr>
          <w:p w14:paraId="5971C6B3">
            <w:pPr>
              <w:pStyle w:val="29"/>
              <w:adjustRightInd w:val="0"/>
              <w:snapToGrid w:val="0"/>
              <w:spacing w:after="0" w:line="360" w:lineRule="auto"/>
              <w:jc w:val="lef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根据本项目采购需求要求对投标人项目理解与认知方案进行评分，项目理解与认知方案需包含但不限于以下内容：</w:t>
            </w:r>
            <w:bookmarkStart w:id="145" w:name="OLE_LINK1"/>
            <w:r>
              <w:rPr>
                <w:rFonts w:hint="eastAsia" w:ascii="仿宋_GB2312" w:hAnsi="仿宋_GB2312" w:eastAsia="仿宋_GB2312" w:cs="仿宋_GB2312"/>
                <w:color w:val="000000" w:themeColor="text1"/>
                <w:sz w:val="28"/>
                <w:szCs w:val="28"/>
                <w:highlight w:val="none"/>
                <w14:textFill>
                  <w14:solidFill>
                    <w14:schemeClr w14:val="tx1"/>
                  </w14:solidFill>
                </w14:textFill>
              </w:rPr>
              <w:t>①项目背景认知；</w:t>
            </w:r>
            <w:r>
              <w:rPr>
                <w:rFonts w:hint="eastAsia" w:ascii="仿宋_GB2312" w:hAnsi="仿宋_GB2312" w:eastAsia="仿宋_GB2312" w:cs="仿宋_GB2312"/>
                <w:color w:val="auto"/>
                <w:sz w:val="28"/>
                <w:szCs w:val="28"/>
                <w:lang w:val="zh-CN"/>
              </w:rPr>
              <w:t>②</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相关工作开展的思路和建议等内容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default" w:ascii="仿宋_GB2312" w:hAnsi="仿宋_GB2312" w:eastAsia="仿宋_GB2312" w:cs="仿宋_GB2312"/>
                <w:color w:val="auto"/>
                <w:sz w:val="28"/>
                <w:szCs w:val="28"/>
                <w:lang w:val="zh-CN" w:eastAsia="zh-CN"/>
              </w:rPr>
              <w:t>③</w:t>
            </w:r>
            <w:r>
              <w:rPr>
                <w:rFonts w:hint="eastAsia" w:ascii="仿宋_GB2312" w:hAnsi="仿宋_GB2312" w:eastAsia="仿宋_GB2312" w:cs="仿宋_GB2312"/>
                <w:color w:val="auto"/>
                <w:sz w:val="28"/>
                <w:szCs w:val="28"/>
                <w:lang w:val="en-US" w:eastAsia="zh-CN"/>
              </w:rPr>
              <w:t>相关工作开展的思路和建议等内容。</w:t>
            </w:r>
          </w:p>
          <w:bookmarkEnd w:id="145"/>
          <w:p w14:paraId="1D5C1885">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46" w:name="OLE_LINK4"/>
            <w:bookmarkStart w:id="147" w:name="OLE_LINK5"/>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内容全面完整、切实可行，针对性强能精准认知项目背景，明确相关工作开展思路与建议的得 12 分；</w:t>
            </w:r>
          </w:p>
          <w:p w14:paraId="118BF519">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内容较全面完整，针对性较强能基本掌握项目背景、提出的工作思路与建议贴合项目需求的得 8 分；</w:t>
            </w:r>
          </w:p>
          <w:p w14:paraId="3C88592A">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内容不太全面完整，不太具有针对性对项目背景认知模糊、工作思路与建议无法支撑后续工作开展的得 4 分。</w:t>
            </w:r>
          </w:p>
          <w:bookmarkEnd w:id="146"/>
          <w:bookmarkEnd w:id="147"/>
          <w:p w14:paraId="7DE667E3">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未提供不得分。    </w:t>
            </w:r>
          </w:p>
        </w:tc>
        <w:tc>
          <w:tcPr>
            <w:tcW w:w="624" w:type="dxa"/>
            <w:tcBorders>
              <w:top w:val="single" w:color="auto" w:sz="4" w:space="0"/>
              <w:left w:val="single" w:color="auto" w:sz="4" w:space="0"/>
              <w:bottom w:val="single" w:color="auto" w:sz="4" w:space="0"/>
              <w:right w:val="single" w:color="auto" w:sz="4" w:space="0"/>
            </w:tcBorders>
            <w:vAlign w:val="center"/>
          </w:tcPr>
          <w:p w14:paraId="1BA00CD0">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12分</w:t>
            </w:r>
          </w:p>
        </w:tc>
      </w:tr>
      <w:tr w14:paraId="4854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Merge w:val="continue"/>
            <w:vAlign w:val="center"/>
          </w:tcPr>
          <w:p w14:paraId="03780F4D">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92" w:type="dxa"/>
            <w:vMerge w:val="continue"/>
            <w:vAlign w:val="center"/>
          </w:tcPr>
          <w:p w14:paraId="3CA98B8B">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37" w:type="dxa"/>
            <w:vAlign w:val="center"/>
          </w:tcPr>
          <w:p w14:paraId="1668C1C7">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项目工作方案</w:t>
            </w:r>
          </w:p>
        </w:tc>
        <w:tc>
          <w:tcPr>
            <w:tcW w:w="4913" w:type="dxa"/>
            <w:vAlign w:val="center"/>
          </w:tcPr>
          <w:p w14:paraId="5F2BC675">
            <w:pPr>
              <w:adjustRightInd w:val="0"/>
              <w:snapToGrid w:val="0"/>
              <w:spacing w:line="360" w:lineRule="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针对本项目实际情况结合过往经验分析提供的重点难点分析及应对措施需包含但不限于以下内容：①项目可能存在的问题进行重点难点分析；②提出的解决方案或合理化建议；③整体分析和措施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2225289B">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1、重点、难点及应对措施分析符合实际情况、分析深刻、切实可行的得 15分；</w:t>
            </w:r>
          </w:p>
          <w:p w14:paraId="206644D8">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2、重点、难点及应对措施分析基本符合实际、分析较深刻的得 10分；</w:t>
            </w:r>
          </w:p>
          <w:p w14:paraId="551F76E1">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3、重点、难点及应对措施分析和实际问题联系不紧密、分析不深刻的得 5 分。</w:t>
            </w:r>
          </w:p>
          <w:p w14:paraId="4F8C8B7A">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未提供不得分。</w:t>
            </w:r>
          </w:p>
        </w:tc>
        <w:tc>
          <w:tcPr>
            <w:tcW w:w="624" w:type="dxa"/>
            <w:vAlign w:val="center"/>
          </w:tcPr>
          <w:p w14:paraId="7B9C7B91">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tc>
      </w:tr>
      <w:tr w14:paraId="7197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Merge w:val="continue"/>
            <w:vAlign w:val="center"/>
          </w:tcPr>
          <w:p w14:paraId="2E9C8026">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92" w:type="dxa"/>
            <w:vMerge w:val="continue"/>
            <w:vAlign w:val="center"/>
          </w:tcPr>
          <w:p w14:paraId="0E959590">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37" w:type="dxa"/>
            <w:vAlign w:val="center"/>
          </w:tcPr>
          <w:p w14:paraId="6FBD4552">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技术实施方案</w:t>
            </w:r>
          </w:p>
        </w:tc>
        <w:tc>
          <w:tcPr>
            <w:tcW w:w="4913" w:type="dxa"/>
            <w:vAlign w:val="center"/>
          </w:tcPr>
          <w:p w14:paraId="4DA40E29">
            <w:pPr>
              <w:widowControl/>
              <w:adjustRightInd w:val="0"/>
              <w:snapToGrid w:val="0"/>
              <w:spacing w:line="360" w:lineRule="auto"/>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bookmarkStart w:id="148" w:name="OLE_LINK2"/>
            <w:r>
              <w:rPr>
                <w:rFonts w:hint="eastAsia" w:ascii="仿宋_GB2312" w:hAnsi="仿宋_GB2312" w:eastAsia="仿宋_GB2312" w:cs="仿宋_GB2312"/>
                <w:color w:val="000000" w:themeColor="text1"/>
                <w:sz w:val="28"/>
                <w:szCs w:val="28"/>
                <w:highlight w:val="none"/>
                <w14:textFill>
                  <w14:solidFill>
                    <w14:schemeClr w14:val="tx1"/>
                  </w14:solidFill>
                </w14:textFill>
              </w:rPr>
              <w:t>根据本项目采购需求要求，对投标人技术服务方案进行打分；技术服务方案须包含但不限于以下内容：①本次动态维护的思路和目标；②本次动态维护的总体框架设计；③评估工作计划进度安排；④进度质量保证措施。</w:t>
            </w:r>
          </w:p>
          <w:p w14:paraId="12A7CB18">
            <w:pPr>
              <w:pStyle w:val="80"/>
              <w:numPr>
                <w:ilvl w:val="0"/>
                <w:numId w:val="0"/>
              </w:numPr>
              <w:adjustRightInd w:val="0"/>
              <w:snapToGrid w:val="0"/>
              <w:ind w:left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内容全面完整，针对性强能详细提出动态维护思路目标，总体框架设计精确度高，工作进度安排与进度质量保证措施可行性强的得 12 分；</w:t>
            </w:r>
          </w:p>
          <w:p w14:paraId="700A343E">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内容较全面完整，针对性较强能基本提出动态维护思路目标，提出的总体框架设计较准确，进度安排与进度质量保证措施基本具有可行性的得 8 分；</w:t>
            </w:r>
          </w:p>
          <w:p w14:paraId="40CEF948">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内容不太全面完整，不太具有针对性对动态维护思路目标认知模糊、总体框架不够完整，进度安排与进度质量保证措施难以实施的得 4 分。</w:t>
            </w:r>
          </w:p>
          <w:bookmarkEnd w:id="148"/>
          <w:p w14:paraId="5BA80A6E">
            <w:pPr>
              <w:widowControl/>
              <w:adjustRightInd w:val="0"/>
              <w:snapToGrid w:val="0"/>
              <w:spacing w:line="360" w:lineRule="auto"/>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未提供不得分。</w:t>
            </w:r>
          </w:p>
        </w:tc>
        <w:tc>
          <w:tcPr>
            <w:tcW w:w="624" w:type="dxa"/>
            <w:vAlign w:val="center"/>
          </w:tcPr>
          <w:p w14:paraId="4EC28A9F">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12分</w:t>
            </w:r>
          </w:p>
        </w:tc>
      </w:tr>
      <w:tr w14:paraId="2830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4" w:type="dxa"/>
            <w:vMerge w:val="continue"/>
            <w:vAlign w:val="center"/>
          </w:tcPr>
          <w:p w14:paraId="626D8AB5">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92" w:type="dxa"/>
            <w:vMerge w:val="continue"/>
            <w:vAlign w:val="center"/>
          </w:tcPr>
          <w:p w14:paraId="1CAD0ECB">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37" w:type="dxa"/>
            <w:vAlign w:val="center"/>
          </w:tcPr>
          <w:p w14:paraId="5591EEBB">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质量管理方案</w:t>
            </w:r>
          </w:p>
        </w:tc>
        <w:tc>
          <w:tcPr>
            <w:tcW w:w="4913" w:type="dxa"/>
            <w:vAlign w:val="center"/>
          </w:tcPr>
          <w:p w14:paraId="2DA3362C">
            <w:pPr>
              <w:widowControl/>
              <w:numPr>
                <w:numId w:val="0"/>
              </w:numPr>
              <w:adjustRightInd w:val="0"/>
              <w:snapToGrid w:val="0"/>
              <w:spacing w:line="360" w:lineRule="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针对项目实施情况制定合理完善的质量管理方案，包括但不限于：</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项目质量保障措施；</w:t>
            </w:r>
            <w:r>
              <w:rPr>
                <w:rFonts w:hint="eastAsia" w:ascii="仿宋_GB2312" w:hAnsi="仿宋_GB2312" w:eastAsia="仿宋_GB2312" w:cs="仿宋_GB2312"/>
                <w:color w:val="000000" w:themeColor="text1"/>
                <w:sz w:val="28"/>
                <w:szCs w:val="28"/>
                <w:highlight w:val="none"/>
                <w14:textFill>
                  <w14:solidFill>
                    <w14:schemeClr w14:val="tx1"/>
                  </w14:solidFill>
                </w14:textFill>
              </w:rPr>
              <w:t>②</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项目进度保障措施；</w:t>
            </w:r>
            <w:r>
              <w:rPr>
                <w:rFonts w:hint="eastAsia" w:ascii="仿宋_GB2312" w:hAnsi="仿宋_GB2312" w:eastAsia="仿宋_GB2312" w:cs="仿宋_GB2312"/>
                <w:color w:val="000000" w:themeColor="text1"/>
                <w:sz w:val="28"/>
                <w:szCs w:val="28"/>
                <w:highlight w:val="none"/>
                <w14:textFill>
                  <w14:solidFill>
                    <w14:schemeClr w14:val="tx1"/>
                  </w14:solidFill>
                </w14:textFill>
              </w:rPr>
              <w:t>③</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项目安全保障措施</w:t>
            </w:r>
          </w:p>
          <w:p w14:paraId="0BCDF3EA">
            <w:pPr>
              <w:widowControl/>
              <w:numPr>
                <w:numId w:val="0"/>
              </w:numPr>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质量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管理</w:t>
            </w:r>
            <w:r>
              <w:rPr>
                <w:rFonts w:hint="eastAsia" w:ascii="仿宋_GB2312" w:hAnsi="仿宋_GB2312" w:eastAsia="仿宋_GB2312" w:cs="仿宋_GB2312"/>
                <w:color w:val="000000" w:themeColor="text1"/>
                <w:sz w:val="28"/>
                <w:szCs w:val="28"/>
                <w:highlight w:val="none"/>
                <w14:textFill>
                  <w14:solidFill>
                    <w14:schemeClr w14:val="tx1"/>
                  </w14:solidFill>
                </w14:textFill>
              </w:rPr>
              <w:t>方案目标明确、思路清晰、内容详实，符合相关规范要求，操作性高且具有针对性的得12分；</w:t>
            </w:r>
          </w:p>
          <w:p w14:paraId="6CE8E989">
            <w:pPr>
              <w:widowControl/>
              <w:numPr>
                <w:numId w:val="0"/>
              </w:numPr>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质量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管理</w:t>
            </w:r>
            <w:r>
              <w:rPr>
                <w:rFonts w:hint="eastAsia" w:ascii="仿宋_GB2312" w:hAnsi="仿宋_GB2312" w:eastAsia="仿宋_GB2312" w:cs="仿宋_GB2312"/>
                <w:color w:val="000000" w:themeColor="text1"/>
                <w:sz w:val="28"/>
                <w:szCs w:val="28"/>
                <w:highlight w:val="none"/>
                <w14:textFill>
                  <w14:solidFill>
                    <w14:schemeClr w14:val="tx1"/>
                  </w14:solidFill>
                </w14:textFill>
              </w:rPr>
              <w:t>方案目标明确、思路清晰、内容详实，符合相关规范要求，内容基本完整且满足采购要求的得8分；</w:t>
            </w:r>
          </w:p>
          <w:p w14:paraId="25C27EB7">
            <w:pPr>
              <w:widowControl/>
              <w:numPr>
                <w:numId w:val="0"/>
              </w:numPr>
              <w:adjustRightInd w:val="0"/>
              <w:snapToGri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质量管理方案能基本满足采购要求，但内容不完整、缺乏实际操作性的得4分；</w:t>
            </w:r>
          </w:p>
          <w:p w14:paraId="46C22B81">
            <w:pPr>
              <w:adjustRightInd w:val="0"/>
              <w:snapToGrid w:val="0"/>
              <w:spacing w:line="360" w:lineRule="auto"/>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4、未提供不得分。</w:t>
            </w:r>
          </w:p>
        </w:tc>
        <w:tc>
          <w:tcPr>
            <w:tcW w:w="624" w:type="dxa"/>
            <w:vAlign w:val="center"/>
          </w:tcPr>
          <w:p w14:paraId="32996117">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12分</w:t>
            </w:r>
          </w:p>
        </w:tc>
      </w:tr>
      <w:tr w14:paraId="5F1D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704" w:type="dxa"/>
            <w:vMerge w:val="continue"/>
            <w:vAlign w:val="center"/>
          </w:tcPr>
          <w:p w14:paraId="594A44BF">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92" w:type="dxa"/>
            <w:vMerge w:val="continue"/>
            <w:vAlign w:val="center"/>
          </w:tcPr>
          <w:p w14:paraId="2ECFC79A">
            <w:pPr>
              <w:widowControl/>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937" w:type="dxa"/>
            <w:vAlign w:val="center"/>
          </w:tcPr>
          <w:p w14:paraId="635036AB">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项目成果管理措施与方法</w:t>
            </w:r>
          </w:p>
          <w:p w14:paraId="1723E39D">
            <w:pPr>
              <w:adjustRightInd w:val="0"/>
              <w:snapToGrid w:val="0"/>
              <w:spacing w:line="36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913" w:type="dxa"/>
            <w:vAlign w:val="center"/>
          </w:tcPr>
          <w:p w14:paraId="27AC4D97">
            <w:pPr>
              <w:adjustRightInd w:val="0"/>
              <w:snapToGrid w:val="0"/>
              <w:spacing w:line="360" w:lineRule="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针对项目实际情况制定出完善的措施方法，包括但不限于：①项目成果管理；②成果相应保证措施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bookmarkStart w:id="172" w:name="_GoBack"/>
            <w:bookmarkEnd w:id="172"/>
            <w:r>
              <w:rPr>
                <w:rFonts w:hint="eastAsia" w:ascii="仿宋_GB2312" w:hAnsi="仿宋_GB2312" w:eastAsia="仿宋_GB2312" w:cs="仿宋_GB2312"/>
                <w:color w:val="000000" w:themeColor="text1"/>
                <w:sz w:val="28"/>
                <w:szCs w:val="28"/>
                <w:highlight w:val="none"/>
                <w14:textFill>
                  <w14:solidFill>
                    <w14:schemeClr w14:val="tx1"/>
                  </w14:solidFill>
                </w14:textFill>
              </w:rPr>
              <w:t>③</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项目成果后续配合服务方案。</w:t>
            </w:r>
          </w:p>
          <w:p w14:paraId="5A3D053C">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内容全面完整、贴合实际情况、重点突出、切实可行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项目成果管理明确全流程、突出落地可追溯，成果保证措施完善、具体可操作、保障成果达标</w:t>
            </w:r>
            <w:r>
              <w:rPr>
                <w:rFonts w:hint="eastAsia" w:ascii="仿宋_GB2312" w:hAnsi="仿宋_GB2312" w:eastAsia="仿宋_GB2312" w:cs="仿宋_GB2312"/>
                <w:color w:val="000000" w:themeColor="text1"/>
                <w:sz w:val="28"/>
                <w:szCs w:val="28"/>
                <w:highlight w:val="none"/>
                <w14:textFill>
                  <w14:solidFill>
                    <w14:schemeClr w14:val="tx1"/>
                  </w14:solidFill>
                </w14:textFill>
              </w:rPr>
              <w:t>的得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p w14:paraId="155882EB">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内容较全面完整、基本契合需求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，项目成果管理明确核心流程、基本符合需求但细节不足，成果保证措施有基础保障、可操作性一般</w:t>
            </w:r>
            <w:r>
              <w:rPr>
                <w:rFonts w:hint="eastAsia" w:ascii="仿宋_GB2312" w:hAnsi="仿宋_GB2312" w:eastAsia="仿宋_GB2312" w:cs="仿宋_GB2312"/>
                <w:color w:val="000000" w:themeColor="text1"/>
                <w:sz w:val="28"/>
                <w:szCs w:val="28"/>
                <w:highlight w:val="none"/>
                <w14:textFill>
                  <w14:solidFill>
                    <w14:schemeClr w14:val="tx1"/>
                  </w14:solidFill>
                </w14:textFill>
              </w:rPr>
              <w:t>的得6分；</w:t>
            </w:r>
          </w:p>
          <w:p w14:paraId="35775A64">
            <w:pPr>
              <w:pStyle w:val="29"/>
              <w:adjustRightInd w:val="0"/>
              <w:snapToGrid w:val="0"/>
              <w:spacing w:after="0"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内容不太全面完整、脱离实际、重点不清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，项目成果管理未明确核心流程、无法指导实操，成果保证措施笼统、无针对性、难以保障成果</w:t>
            </w:r>
            <w:r>
              <w:rPr>
                <w:rFonts w:hint="eastAsia" w:ascii="仿宋_GB2312" w:hAnsi="仿宋_GB2312" w:eastAsia="仿宋_GB2312" w:cs="仿宋_GB2312"/>
                <w:color w:val="000000" w:themeColor="text1"/>
                <w:sz w:val="28"/>
                <w:szCs w:val="28"/>
                <w:highlight w:val="none"/>
                <w14:textFill>
                  <w14:solidFill>
                    <w14:schemeClr w14:val="tx1"/>
                  </w14:solidFill>
                </w14:textFill>
              </w:rPr>
              <w:t>的得3分。</w:t>
            </w:r>
          </w:p>
          <w:p w14:paraId="4106A0FC">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未提供不得分。</w:t>
            </w:r>
          </w:p>
        </w:tc>
        <w:tc>
          <w:tcPr>
            <w:tcW w:w="624" w:type="dxa"/>
            <w:vAlign w:val="center"/>
          </w:tcPr>
          <w:p w14:paraId="6E0F585C">
            <w:pPr>
              <w:adjustRightInd w:val="0"/>
              <w:snapToGrid w:val="0"/>
              <w:spacing w:line="360" w:lineRule="auto"/>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p>
          <w:p w14:paraId="24ECCE8E">
            <w:pPr>
              <w:widowControl/>
              <w:adjustRightInd w:val="0"/>
              <w:snapToGrid w:val="0"/>
              <w:spacing w:line="360" w:lineRule="auto"/>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p>
        </w:tc>
      </w:tr>
    </w:tbl>
    <w:p w14:paraId="7286F45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w:t>
      </w:r>
    </w:p>
    <w:p w14:paraId="58BF52C6">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A5CE9DD">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6EB17BC2">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、在任何评标环节中，需评标委员会就某项评审结论做出表决的，由评标委员会全体成员按照少数服从多数的原则，以记名投票方式表决。</w:t>
      </w:r>
    </w:p>
    <w:p w14:paraId="63F2E07F">
      <w:pPr>
        <w:widowControl/>
        <w:adjustRightInd w:val="0"/>
        <w:snapToGrid w:val="0"/>
        <w:spacing w:line="360" w:lineRule="auto"/>
        <w:rPr>
          <w:rFonts w:hint="eastAsia" w:ascii="仿宋_GB2312" w:hAnsi="仿宋_GB2312" w:eastAsia="仿宋_GB2312" w:cs="仿宋_GB2312"/>
          <w:bCs/>
          <w:color w:val="000000" w:themeColor="text1"/>
          <w:sz w:val="28"/>
          <w:szCs w:val="28"/>
          <w:highlight w:val="white"/>
          <w14:textFill>
            <w14:solidFill>
              <w14:schemeClr w14:val="tx1"/>
            </w14:solidFill>
          </w14:textFill>
        </w:rPr>
      </w:pPr>
    </w:p>
    <w:p w14:paraId="1F376049">
      <w:pPr>
        <w:spacing w:line="360" w:lineRule="auto"/>
        <w:ind w:firstLine="560" w:firstLineChars="2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三.推荐成交供应商</w:t>
      </w:r>
    </w:p>
    <w:p w14:paraId="3554923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7847068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2.评分计算方法解释</w:t>
      </w:r>
    </w:p>
    <w:p w14:paraId="33AE98C3">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（1）供应商的评审得分是指所有磋商小组成员对其评分的算术平均值。</w:t>
      </w:r>
    </w:p>
    <w:p w14:paraId="732CB95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（2）计算过程中，算术平均值保留2位小数（百分比亦取2位小数），第三位小数四舍五入。</w:t>
      </w:r>
    </w:p>
    <w:p w14:paraId="181B8120">
      <w:pPr>
        <w:spacing w:line="360" w:lineRule="auto"/>
        <w:ind w:firstLine="560" w:firstLineChars="2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四.确定成交供应商</w:t>
      </w:r>
    </w:p>
    <w:p w14:paraId="6B0EE22C">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1.集中采购机构应当在评审结束后2个工作日内将评审报告送采购人确认。</w:t>
      </w:r>
    </w:p>
    <w:p w14:paraId="00C51485">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428F996">
      <w:pPr>
        <w:spacing w:line="360" w:lineRule="auto"/>
        <w:ind w:firstLine="560" w:firstLineChars="200"/>
        <w:rPr>
          <w:rFonts w:hint="default" w:ascii="宋体" w:hAnsi="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348A9DAF">
      <w:pPr>
        <w:rPr>
          <w:rFonts w:hint="default" w:ascii="Times New Roman" w:hAnsi="Times New Roman" w:cs="Times New Roman"/>
          <w:color w:val="000000" w:themeColor="text1"/>
          <w:sz w:val="24"/>
          <w:highlight w:val="white"/>
          <w14:textFill>
            <w14:solidFill>
              <w14:schemeClr w14:val="tx1"/>
            </w14:solidFill>
          </w14:textFill>
        </w:rPr>
      </w:pPr>
    </w:p>
    <w:bookmarkEnd w:id="141"/>
    <w:bookmarkEnd w:id="142"/>
    <w:bookmarkEnd w:id="143"/>
    <w:bookmarkEnd w:id="144"/>
    <w:p w14:paraId="39BB66BB">
      <w:pPr>
        <w:pStyle w:val="2"/>
        <w:numPr>
          <w:ilvl w:val="0"/>
          <w:numId w:val="0"/>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 xml:space="preserve">第五章 </w:t>
      </w:r>
      <w:r>
        <w:rPr>
          <w:rFonts w:hint="eastAsia" w:ascii="仿宋_GB2312" w:hAnsi="仿宋_GB2312" w:eastAsia="仿宋_GB2312" w:cs="仿宋_GB2312"/>
          <w:b/>
          <w:bCs w:val="0"/>
          <w:color w:val="000000" w:themeColor="text1"/>
          <w:sz w:val="36"/>
          <w:szCs w:val="36"/>
          <w14:textFill>
            <w14:solidFill>
              <w14:schemeClr w14:val="tx1"/>
            </w14:solidFill>
          </w14:textFill>
        </w:rPr>
        <w:t>政府采购合同</w:t>
      </w:r>
    </w:p>
    <w:p w14:paraId="157B5A64">
      <w:pPr>
        <w:pStyle w:val="30"/>
        <w:spacing w:before="76" w:line="23" w:lineRule="atLeast"/>
        <w:ind w:right="120" w:rightChars="0" w:firstLine="1968" w:firstLineChars="7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政府采购拟签订的合同文本（范本）</w:t>
      </w:r>
    </w:p>
    <w:p w14:paraId="790A2085">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政府采购合同编号：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7738AB83">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48CEC336">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0949F784">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33C316E2">
      <w:pPr>
        <w:pStyle w:val="30"/>
        <w:spacing w:before="76" w:line="23" w:lineRule="atLeast"/>
        <w:ind w:right="120" w:firstLine="472" w:firstLineChars="2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经阿勒泰地区公共资源交易中心政府采购，买卖双方通过友好协商，就采购的有关事项达成如下协议，以资共同遵守。</w:t>
      </w:r>
    </w:p>
    <w:p w14:paraId="22245A5F">
      <w:pPr>
        <w:pStyle w:val="30"/>
        <w:numPr>
          <w:ilvl w:val="0"/>
          <w:numId w:val="4"/>
        </w:numPr>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货物、工程或服务类内容（以下栏内容为参考，根据项目实际情况延伸扩展增加）</w:t>
      </w:r>
    </w:p>
    <w:tbl>
      <w:tblPr>
        <w:tblStyle w:val="35"/>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43040562">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747F9A3D">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序号</w:t>
            </w:r>
          </w:p>
        </w:tc>
        <w:tc>
          <w:tcPr>
            <w:tcW w:w="2042" w:type="dxa"/>
            <w:tcBorders>
              <w:top w:val="single" w:color="000000" w:sz="12" w:space="0"/>
              <w:bottom w:val="single" w:color="000000" w:sz="12" w:space="0"/>
              <w:right w:val="single" w:color="000000" w:sz="12" w:space="0"/>
            </w:tcBorders>
            <w:vAlign w:val="center"/>
          </w:tcPr>
          <w:p w14:paraId="43ED3C08">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项目名称</w:t>
            </w:r>
          </w:p>
        </w:tc>
        <w:tc>
          <w:tcPr>
            <w:tcW w:w="1812" w:type="dxa"/>
            <w:tcBorders>
              <w:top w:val="single" w:color="000000" w:sz="12" w:space="0"/>
              <w:bottom w:val="single" w:color="000000" w:sz="12" w:space="0"/>
              <w:right w:val="single" w:color="000000" w:sz="12" w:space="0"/>
            </w:tcBorders>
            <w:vAlign w:val="center"/>
          </w:tcPr>
          <w:p w14:paraId="45037A6E">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w:t>
            </w:r>
          </w:p>
        </w:tc>
        <w:tc>
          <w:tcPr>
            <w:tcW w:w="1538" w:type="dxa"/>
            <w:tcBorders>
              <w:top w:val="single" w:color="000000" w:sz="12" w:space="0"/>
              <w:bottom w:val="single" w:color="000000" w:sz="12" w:space="0"/>
              <w:right w:val="single" w:color="000000" w:sz="12" w:space="0"/>
            </w:tcBorders>
            <w:vAlign w:val="center"/>
          </w:tcPr>
          <w:p w14:paraId="70828E44">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单价（元）</w:t>
            </w:r>
          </w:p>
        </w:tc>
        <w:tc>
          <w:tcPr>
            <w:tcW w:w="1466" w:type="dxa"/>
            <w:tcBorders>
              <w:top w:val="single" w:color="000000" w:sz="12" w:space="0"/>
              <w:bottom w:val="single" w:color="000000" w:sz="12" w:space="0"/>
              <w:right w:val="single" w:color="000000" w:sz="12" w:space="0"/>
            </w:tcBorders>
            <w:vAlign w:val="center"/>
          </w:tcPr>
          <w:p w14:paraId="0CE71746">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数量</w:t>
            </w:r>
          </w:p>
        </w:tc>
        <w:tc>
          <w:tcPr>
            <w:tcW w:w="1444" w:type="dxa"/>
            <w:tcBorders>
              <w:top w:val="single" w:color="000000" w:sz="12" w:space="0"/>
              <w:bottom w:val="single" w:color="000000" w:sz="12" w:space="0"/>
              <w:right w:val="single" w:color="000000" w:sz="12" w:space="0"/>
            </w:tcBorders>
            <w:vAlign w:val="center"/>
          </w:tcPr>
          <w:p w14:paraId="03008497">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合计</w:t>
            </w:r>
          </w:p>
        </w:tc>
      </w:tr>
      <w:tr w14:paraId="5D30D109">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119AFA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7E7046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667A785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46597FB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096444D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55CFB85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EFE0440">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35DDE38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334E85A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0CD0781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677B99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13F2B7E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4A8C1E3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506B3D2">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639DC47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3FF1990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6C6FC70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5DF7167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53518D1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09D434C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9367FE1">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133F31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0AC83F9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77A4E59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3D7F967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666DAA8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270B292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B2A41B3">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77CCAE05">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合同总金额</w:t>
            </w:r>
          </w:p>
        </w:tc>
        <w:tc>
          <w:tcPr>
            <w:tcW w:w="8302" w:type="dxa"/>
            <w:gridSpan w:val="5"/>
            <w:vMerge w:val="restart"/>
            <w:tcBorders>
              <w:bottom w:val="single" w:color="000000" w:sz="12" w:space="0"/>
              <w:right w:val="single" w:color="000000" w:sz="12" w:space="0"/>
            </w:tcBorders>
            <w:vAlign w:val="center"/>
          </w:tcPr>
          <w:p w14:paraId="1BDAA1B1">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大写（人民币）                 元、角、分、佰、仟、万、亿</w:t>
            </w:r>
          </w:p>
        </w:tc>
      </w:tr>
      <w:tr w14:paraId="7D3DB960">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70BC5C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641A6B43">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r w14:paraId="6B60103D">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20D7DB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restart"/>
            <w:tcBorders>
              <w:bottom w:val="single" w:color="000000" w:sz="12" w:space="0"/>
              <w:right w:val="single" w:color="000000" w:sz="12" w:space="0"/>
            </w:tcBorders>
            <w:vAlign w:val="center"/>
          </w:tcPr>
          <w:p w14:paraId="47EE1FDE">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小写（人民币）                           元</w:t>
            </w:r>
          </w:p>
        </w:tc>
      </w:tr>
      <w:tr w14:paraId="020426FF">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C78764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687BB5C5">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bl>
    <w:p w14:paraId="3C09EE91">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p>
    <w:p w14:paraId="0CEC1140">
      <w:pPr>
        <w:pStyle w:val="30"/>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二、付款</w:t>
      </w:r>
    </w:p>
    <w:p w14:paraId="487B1D6E">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1、付款单位：</w:t>
      </w:r>
    </w:p>
    <w:p w14:paraId="795593D9">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2、付款方式：</w:t>
      </w:r>
    </w:p>
    <w:p w14:paraId="66F13E3B">
      <w:pPr>
        <w:pStyle w:val="30"/>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三、交货</w:t>
      </w:r>
    </w:p>
    <w:p w14:paraId="44A60D4F">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1、交货时间：</w:t>
      </w:r>
    </w:p>
    <w:p w14:paraId="209D21B9">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2、交货地点：</w:t>
      </w:r>
    </w:p>
    <w:p w14:paraId="0C1F12DA">
      <w:pPr>
        <w:pStyle w:val="30"/>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四、货物、工程或服务类标准</w:t>
      </w:r>
    </w:p>
    <w:p w14:paraId="59A5D47E">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1、卖方提供的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必须符合国家标准、行业标准、地方标准，没有国家标准、行业标准、地方标准的，可以按照企业标准执行，也可按双方商定标准执行。</w:t>
      </w:r>
    </w:p>
    <w:p w14:paraId="4280895F">
      <w:pPr>
        <w:pStyle w:val="30"/>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2、卖方在质保期必须按照投标承诺执行。</w:t>
      </w:r>
    </w:p>
    <w:p w14:paraId="28FF1700">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3、卖方所交付的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（附属或格式、备件）应按照</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所附使用说明书及清单执行</w:t>
      </w:r>
    </w:p>
    <w:p w14:paraId="3F62C55C">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五、验收及提出异议期限</w:t>
      </w:r>
    </w:p>
    <w:p w14:paraId="57014550">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完毕后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个工作日内，买方进行验收。</w:t>
      </w:r>
    </w:p>
    <w:p w14:paraId="59E4137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2、买方在验收中，如果发现有与合同约定不符的，应在</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个工作日内向卖方</w:t>
      </w:r>
    </w:p>
    <w:p w14:paraId="4273F44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提出书面异议，并同时将该书面异议送阿勒泰地区公共资源交易中心。</w:t>
      </w:r>
    </w:p>
    <w:p w14:paraId="177D83B5">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3、卖方在接到买方书面异议后，应在</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个工作日内负责处理，否则，即视为默认买方提出的异议和处理意见。卖方处理完后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个工作日内，应将情况以书面形式告知阿勒泰地区</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公共资源交易</w:t>
      </w:r>
      <w:r>
        <w:rPr>
          <w:rFonts w:hint="eastAsia" w:ascii="仿宋_GB2312" w:hAnsi="仿宋_GB2312" w:eastAsia="仿宋_GB2312" w:cs="仿宋_GB2312"/>
          <w:color w:val="000000" w:themeColor="text1"/>
          <w:spacing w:val="-2"/>
          <w:sz w:val="24"/>
          <w:szCs w:val="24"/>
          <w14:textFill>
            <w14:solidFill>
              <w14:schemeClr w14:val="tx1"/>
            </w14:solidFill>
          </w14:textFill>
        </w:rPr>
        <w:t>中心。</w:t>
      </w:r>
    </w:p>
    <w:p w14:paraId="43E8F775">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六、货物、工程或服务类交付与售后服务</w:t>
      </w:r>
    </w:p>
    <w:p w14:paraId="268C0CF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1、卖方在交付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天应负责</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项目最终完成所有工作程序，如有需要，卖方必须对买方</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人进行培训，培训费用由卖方承担。</w:t>
      </w:r>
    </w:p>
    <w:p w14:paraId="2956155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2、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的质保期内，应在按投标承诺</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小时内上门服务。</w:t>
      </w:r>
    </w:p>
    <w:p w14:paraId="57231E80">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七、不可抗力因素</w:t>
      </w:r>
    </w:p>
    <w:p w14:paraId="01452F8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任何一方由于不可抗力原因不能履行合同时，应在不可抗力事件结束后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天内向对方通报，以减轻可能给对方造成的损失，在取得有关机构的不可抗力证明或双方谅解确认后，允许延期履行或修订合同，并根据情况可部分或全部免于承担违约责任。</w:t>
      </w:r>
    </w:p>
    <w:p w14:paraId="018E1FAE">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八、违约责任</w:t>
      </w:r>
    </w:p>
    <w:p w14:paraId="57A3C08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的，应当承担违约责任。卖方延期交付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不超过</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天的，应向买方偿付延期交付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金额的违约金，并承担买方因此所受的损失费用。</w:t>
      </w:r>
    </w:p>
    <w:p w14:paraId="4904B136">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超过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天的，买方有权解除合同，买方不解除合同的，卖方向买方支付延期交付金额</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的违约金，并承担买方因此所受的损失费用。</w:t>
      </w:r>
    </w:p>
    <w:p w14:paraId="4D39E11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2、卖方所提供的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不符合合同约定的（假一罚十），买方有权拒收，而卖方应按本合同第五条第3点及时处理，并承担买方因此所受的损失费用。</w:t>
      </w:r>
    </w:p>
    <w:p w14:paraId="63A120E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3、卖方应按本合同第六条第2点承诺履行售后服务，否则，卖方应向买方支付该项</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w:t>
      </w:r>
    </w:p>
    <w:p w14:paraId="2837DCDC">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4、卖方验收合格后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天内按合同付款，每延期一天按合同总额的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缴纳滞纳金，最多不超过合同总额的 。</w:t>
      </w:r>
    </w:p>
    <w:p w14:paraId="21F2D86E">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5、买方未按合同约定验收并签发验收单的，由买方支付延期验收货款</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w:t>
      </w:r>
    </w:p>
    <w:p w14:paraId="6ACEAB08">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6、在质保期内，由于卖方的原因造成直接经济损失由卖方负责赔偿。由于买方操作人员失误所造成的直接经济损失由买方负责。</w:t>
      </w:r>
    </w:p>
    <w:p w14:paraId="3F35B84A">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九、合同纠纷解决方式</w:t>
      </w:r>
    </w:p>
    <w:p w14:paraId="717B5DC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合同执行过程中发生争执，由双方协商解决。协商不成时，按下列第</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种方式解决：</w:t>
      </w:r>
    </w:p>
    <w:p w14:paraId="6943A68C">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1、提交阿勒泰仲裁委员会仲裁。</w:t>
      </w:r>
    </w:p>
    <w:p w14:paraId="3E1B878D">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2、依法向买方当地人民法院起诉。</w:t>
      </w:r>
    </w:p>
    <w:p w14:paraId="5C79B5FB">
      <w:pPr>
        <w:pStyle w:val="30"/>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十、其他</w:t>
      </w:r>
    </w:p>
    <w:p w14:paraId="309A01A1">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1、合同未尽事宜，须经双方协商做出补充规定，补充规定与合同具有同等效力。</w:t>
      </w:r>
    </w:p>
    <w:p w14:paraId="7CDFF7F1">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2、下列文件属合同的依据：投标文件、承诺。</w:t>
      </w:r>
    </w:p>
    <w:p w14:paraId="2DBB30E6">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3、下列文件属合同的格式：补充规定、补充合同。</w:t>
      </w:r>
    </w:p>
    <w:p w14:paraId="3F69AAF7">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4、本合同经双方签字盖章生效。</w:t>
      </w:r>
    </w:p>
    <w:p w14:paraId="3229C62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5、未经买方书面同意，卖方不得擅自向第三方转让其应履行的合同项下的义务。</w:t>
      </w:r>
    </w:p>
    <w:p w14:paraId="6F01F747">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6、本合同共计</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页A4纸张，缺页之合同为无效合同。</w:t>
      </w:r>
    </w:p>
    <w:p w14:paraId="6A141386">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7、本合同一式</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份，阿勒泰地区政府采购办</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份，买方、卖方各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份，阿勒泰地区公共资源交易中心一份。</w:t>
      </w:r>
    </w:p>
    <w:p w14:paraId="55831CB8">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买方（签章）：</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 卖方（签章）：</w:t>
      </w:r>
    </w:p>
    <w:p w14:paraId="549DCDCE">
      <w:pPr>
        <w:pStyle w:val="30"/>
        <w:tabs>
          <w:tab w:val="left" w:pos="8400"/>
        </w:tabs>
        <w:spacing w:line="600" w:lineRule="exact"/>
        <w:ind w:right="112" w:rightChars="0"/>
        <w:rPr>
          <w:rFonts w:hint="eastAsia" w:ascii="仿宋_GB2312" w:hAnsi="仿宋_GB2312" w:eastAsia="仿宋_GB2312" w:cs="仿宋_GB2312"/>
          <w:color w:val="000000" w:themeColor="text1"/>
          <w:spacing w:val="-2"/>
          <w:sz w:val="24"/>
          <w:szCs w:val="24"/>
          <w:lang w:val="en-US"/>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法定代表人：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法定代表人</w:t>
      </w:r>
      <w:r>
        <w:rPr>
          <w:rFonts w:hint="eastAsia" w:ascii="仿宋_GB2312" w:hAnsi="仿宋_GB2312" w:eastAsia="仿宋_GB2312" w:cs="仿宋_GB2312"/>
          <w:color w:val="000000" w:themeColor="text1"/>
          <w:spacing w:val="-2"/>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p>
    <w:p w14:paraId="31C69664">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委托代理人：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委托代理人：</w:t>
      </w:r>
    </w:p>
    <w:p w14:paraId="246E821B">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电话：</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 电话：</w:t>
      </w:r>
    </w:p>
    <w:p w14:paraId="2BEFB5AA">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单位地址：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单位地址：</w:t>
      </w:r>
    </w:p>
    <w:p w14:paraId="488418B2">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签订日期：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开户银行：</w:t>
      </w:r>
    </w:p>
    <w:p w14:paraId="65BA5B65">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签订地点：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户名：</w:t>
      </w:r>
    </w:p>
    <w:p w14:paraId="74EAFD7E">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账号：</w:t>
      </w:r>
    </w:p>
    <w:p w14:paraId="375AF7C0">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邮编：</w:t>
      </w:r>
    </w:p>
    <w:p w14:paraId="470965E6">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签订日期:</w:t>
      </w:r>
    </w:p>
    <w:p w14:paraId="653A9AF1">
      <w:pPr>
        <w:pStyle w:val="30"/>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签订地点：</w:t>
      </w:r>
    </w:p>
    <w:p w14:paraId="1E013331">
      <w:pPr>
        <w:pStyle w:val="30"/>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（注：本章提供的拟签订的合同文本为一般格式范本，仅供参考。合同双方可根据项目实际情况进行补充修订或依法另行签订补充合同）</w:t>
      </w:r>
    </w:p>
    <w:p w14:paraId="6CD59249">
      <w:pPr>
        <w:jc w:val="left"/>
        <w:rPr>
          <w:rFonts w:hint="eastAsia" w:ascii="仿宋_GB2312" w:hAnsi="仿宋_GB2312" w:eastAsia="仿宋_GB2312" w:cs="仿宋_GB2312"/>
          <w:bCs/>
          <w:color w:val="000000" w:themeColor="text1"/>
          <w:sz w:val="24"/>
          <w:szCs w:val="24"/>
          <w:shd w:val="clear" w:color="auto" w:fill="92D050"/>
          <w14:textFill>
            <w14:solidFill>
              <w14:schemeClr w14:val="tx1"/>
            </w14:solidFill>
          </w14:textFill>
        </w:rPr>
      </w:pPr>
    </w:p>
    <w:p w14:paraId="173C3686">
      <w:pPr>
        <w:widowControl/>
        <w:jc w:val="left"/>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14:paraId="507204E3">
      <w:pPr>
        <w:widowControl/>
        <w:jc w:val="left"/>
        <w:rPr>
          <w:rFonts w:hint="eastAsia" w:ascii="仿宋_GB2312" w:hAnsi="仿宋_GB2312" w:eastAsia="仿宋_GB2312" w:cs="仿宋_GB2312"/>
          <w:bCs/>
          <w:color w:val="000000" w:themeColor="text1"/>
          <w:sz w:val="24"/>
          <w:szCs w:val="24"/>
          <w14:textFill>
            <w14:solidFill>
              <w14:schemeClr w14:val="tx1"/>
            </w14:solidFill>
          </w14:textFill>
        </w:rPr>
      </w:pPr>
    </w:p>
    <w:p w14:paraId="42B3A457">
      <w:pPr>
        <w:widowControl/>
        <w:jc w:val="lef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14:paraId="4F7FF9BF">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4D813900">
      <w:pPr>
        <w:pStyle w:val="2"/>
        <w:numPr>
          <w:ilvl w:val="0"/>
          <w:numId w:val="0"/>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149" w:name="_Toc19992"/>
      <w:bookmarkStart w:id="150" w:name="_Toc257633148"/>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 xml:space="preserve">第六章 </w:t>
      </w:r>
      <w:r>
        <w:rPr>
          <w:rFonts w:hint="eastAsia" w:ascii="仿宋_GB2312" w:hAnsi="仿宋_GB2312" w:eastAsia="仿宋_GB2312" w:cs="仿宋_GB2312"/>
          <w:b/>
          <w:bCs w:val="0"/>
          <w:color w:val="000000" w:themeColor="text1"/>
          <w:sz w:val="36"/>
          <w:szCs w:val="36"/>
          <w14:textFill>
            <w14:solidFill>
              <w14:schemeClr w14:val="tx1"/>
            </w14:solidFill>
          </w14:textFill>
        </w:rPr>
        <w:t>竞争性磋商响应文件格式</w:t>
      </w:r>
      <w:bookmarkEnd w:id="149"/>
    </w:p>
    <w:p w14:paraId="45BCD1ED">
      <w:pPr>
        <w:rPr>
          <w:rFonts w:hint="eastAsia" w:ascii="仿宋_GB2312" w:hAnsi="仿宋_GB2312" w:eastAsia="仿宋_GB2312" w:cs="仿宋_GB2312"/>
          <w:b/>
          <w:bCs w:val="0"/>
          <w:color w:val="000000" w:themeColor="text1"/>
          <w:sz w:val="28"/>
          <w:szCs w:val="28"/>
          <w14:textFill>
            <w14:solidFill>
              <w14:schemeClr w14:val="tx1"/>
            </w14:solidFill>
          </w14:textFill>
        </w:rPr>
      </w:pPr>
    </w:p>
    <w:p w14:paraId="06B683F8">
      <w:pPr>
        <w:spacing w:line="360" w:lineRule="auto"/>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一、封面</w:t>
      </w:r>
    </w:p>
    <w:p w14:paraId="5ED5E4E0">
      <w:pPr>
        <w:spacing w:line="360" w:lineRule="auto"/>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（一）响应文件封面</w:t>
      </w:r>
    </w:p>
    <w:p w14:paraId="774E6773">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2F188C0F">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B0A75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p>
    <w:p w14:paraId="2278D71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175149E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p>
    <w:p w14:paraId="455F0D3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C934A5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（包号）</w:t>
      </w:r>
    </w:p>
    <w:p w14:paraId="4F9D96D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626A85E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9B24E64">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响应文件</w:t>
      </w:r>
    </w:p>
    <w:p w14:paraId="6395B57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9189CB7">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465FDA43">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14:paraId="64BED1F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14:paraId="200F3EEA">
      <w:pPr>
        <w:spacing w:line="360" w:lineRule="auto"/>
        <w:ind w:left="0" w:leftChars="0" w:firstLine="1400" w:firstLineChars="50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供应商（供应商电子公章）</w:t>
      </w:r>
    </w:p>
    <w:p w14:paraId="760F1D05">
      <w:pPr>
        <w:spacing w:line="360" w:lineRule="auto"/>
        <w:ind w:left="0" w:leftChars="0" w:firstLine="1400" w:firstLineChars="5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法定代表人（电子签章）</w:t>
      </w:r>
    </w:p>
    <w:p w14:paraId="0BF0BBB0">
      <w:pPr>
        <w:spacing w:line="360" w:lineRule="auto"/>
        <w:ind w:left="0" w:leftChars="0" w:firstLine="1400" w:firstLineChars="5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1E8F5250">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5B57B25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E4D516B">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6CAA437">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B15B01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26E4438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0EAA11C">
      <w:pPr>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评分索引表</w:t>
      </w:r>
    </w:p>
    <w:tbl>
      <w:tblPr>
        <w:tblStyle w:val="36"/>
        <w:tblpPr w:leftFromText="180" w:rightFromText="180" w:vertAnchor="text" w:horzAnchor="page" w:tblpX="1988" w:tblpY="771"/>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2"/>
        <w:gridCol w:w="4192"/>
      </w:tblGrid>
      <w:tr w14:paraId="3526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vAlign w:val="center"/>
          </w:tcPr>
          <w:p w14:paraId="1E742C23">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539581E1">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评分项目</w:t>
            </w:r>
          </w:p>
        </w:tc>
        <w:tc>
          <w:tcPr>
            <w:tcW w:w="4192" w:type="dxa"/>
          </w:tcPr>
          <w:p w14:paraId="446791E0">
            <w:pPr>
              <w:pStyle w:val="15"/>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p>
          <w:p w14:paraId="5C74C3E9">
            <w:pPr>
              <w:pStyle w:val="15"/>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在投标文件中的页码位置（注明在**节点下第**页，如“技术参数响应及偏离表I”第**页</w:t>
            </w:r>
          </w:p>
          <w:p w14:paraId="35AE7ADA">
            <w:pPr>
              <w:rPr>
                <w:rFonts w:hint="eastAsia" w:ascii="仿宋_GB2312" w:hAnsi="仿宋_GB2312" w:eastAsia="仿宋_GB2312" w:cs="仿宋_GB2312"/>
                <w:color w:val="000000" w:themeColor="text1"/>
                <w:sz w:val="28"/>
                <w:szCs w:val="28"/>
                <w14:textFill>
                  <w14:solidFill>
                    <w14:schemeClr w14:val="tx1"/>
                  </w14:solidFill>
                </w14:textFill>
              </w:rPr>
            </w:pPr>
          </w:p>
          <w:p w14:paraId="730F36DC">
            <w:pPr>
              <w:pStyle w:val="15"/>
              <w:rPr>
                <w:rFonts w:hint="eastAsia" w:ascii="仿宋_GB2312" w:hAnsi="仿宋_GB2312" w:eastAsia="仿宋_GB2312" w:cs="仿宋_GB2312"/>
                <w:color w:val="000000" w:themeColor="text1"/>
                <w:sz w:val="28"/>
                <w:szCs w:val="28"/>
                <w14:textFill>
                  <w14:solidFill>
                    <w14:schemeClr w14:val="tx1"/>
                  </w14:solidFill>
                </w14:textFill>
              </w:rPr>
            </w:pPr>
          </w:p>
        </w:tc>
      </w:tr>
      <w:tr w14:paraId="0119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37A17EC">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EE8F90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E74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162B5D0">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FF89D29">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5D3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2CAE8E58">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DD0B067">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920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438683B5">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E09AF4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E0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6E87997">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61F794A0">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1C61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51FA5C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82D4688">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417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6C34E5F">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E34EE5E">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7C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6A8BCCF">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393C3094">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ED0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2A49637E">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44A5EE6">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4F8D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CE022A6">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EC97EB4">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4D6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A591B6E">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09FFD3B2">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4D5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71D385A">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3D620BC">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7422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5407ACD">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9B14E50">
            <w:pPr>
              <w:pStyle w:val="15"/>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bl>
    <w:p w14:paraId="34C1DE4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bookmarkEnd w:id="150"/>
    <w:p w14:paraId="5FB317E0">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51" w:name="_Toc480368421"/>
      <w:bookmarkStart w:id="152" w:name="_Toc492921359"/>
      <w:bookmarkStart w:id="153" w:name="_Toc519111290"/>
      <w:r>
        <w:rPr>
          <w:rFonts w:hint="eastAsia" w:ascii="黑体" w:hAnsi="黑体" w:eastAsia="黑体" w:cs="黑体"/>
          <w:b/>
          <w:color w:val="000000"/>
          <w:kern w:val="2"/>
          <w:sz w:val="28"/>
          <w:szCs w:val="28"/>
          <w:lang w:val="en-US" w:eastAsia="zh-CN" w:bidi="ar-SA"/>
        </w:rPr>
        <w:t>☆</w:t>
      </w:r>
      <w:r>
        <w:rPr>
          <w:rFonts w:hint="eastAsia" w:ascii="仿宋_GB2312" w:hAnsi="仿宋_GB2312" w:eastAsia="仿宋_GB2312" w:cs="仿宋_GB2312"/>
          <w:b/>
          <w:color w:val="000000" w:themeColor="text1"/>
          <w:sz w:val="32"/>
          <w:szCs w:val="32"/>
          <w14:textFill>
            <w14:solidFill>
              <w14:schemeClr w14:val="tx1"/>
            </w14:solidFill>
          </w14:textFill>
        </w:rPr>
        <w:t>二、资格审查材料</w:t>
      </w:r>
    </w:p>
    <w:p w14:paraId="3789B1B9">
      <w:pPr>
        <w:pStyle w:val="93"/>
        <w:numPr>
          <w:ilvl w:val="0"/>
          <w:numId w:val="5"/>
        </w:numPr>
        <w:outlineLvl w:val="1"/>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营业执照、组织机构代码证、税务登记证</w:t>
      </w:r>
    </w:p>
    <w:p w14:paraId="47FBA6E9">
      <w:pPr>
        <w:pStyle w:val="93"/>
        <w:numPr>
          <w:ilvl w:val="0"/>
          <w:numId w:val="0"/>
        </w:numPr>
        <w:outlineLvl w:val="1"/>
        <w:rPr>
          <w:rFonts w:hint="eastAsia" w:ascii="仿宋_GB2312" w:hAnsi="仿宋_GB2312" w:eastAsia="仿宋_GB2312" w:cs="仿宋_GB2312"/>
          <w:color w:val="000000" w:themeColor="text1"/>
          <w:kern w:val="2"/>
          <w:sz w:val="32"/>
          <w:szCs w:val="32"/>
          <w14:textFill>
            <w14:solidFill>
              <w14:schemeClr w14:val="tx1"/>
            </w14:solidFill>
          </w14:textFill>
        </w:rPr>
      </w:pPr>
    </w:p>
    <w:p w14:paraId="1D9FD767">
      <w:pPr>
        <w:spacing w:line="360" w:lineRule="auto"/>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最近一个年度</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财务状况</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报告</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（成立不满一年不需要提供）</w:t>
      </w:r>
    </w:p>
    <w:p w14:paraId="1C7B7C4E">
      <w:pPr>
        <w:spacing w:line="360" w:lineRule="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具备履行合同所必须的设备和专业技术能力的书面证明</w:t>
      </w:r>
    </w:p>
    <w:p w14:paraId="6B024622">
      <w:pPr>
        <w:spacing w:line="360" w:lineRule="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 xml:space="preserve">                                              </w:t>
      </w:r>
    </w:p>
    <w:p w14:paraId="12C98AAF">
      <w:pPr>
        <w:spacing w:line="360" w:lineRule="auto"/>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参加政府采购活动前3年内在经营活动中没有重大违法记录的书面声明；</w:t>
      </w:r>
    </w:p>
    <w:p w14:paraId="15E6EB22">
      <w:pPr>
        <w:pStyle w:val="16"/>
        <w:tabs>
          <w:tab w:val="left" w:pos="8786"/>
        </w:tabs>
        <w:spacing w:after="0" w:line="360" w:lineRule="auto"/>
        <w:outlineLvl w:val="9"/>
        <w:rPr>
          <w:rFonts w:hint="default" w:ascii="Times New Roman" w:hAnsi="Times New Roman" w:cs="Times New Roman"/>
          <w:b/>
          <w:color w:val="000000" w:themeColor="text1"/>
          <w:sz w:val="28"/>
          <w:szCs w:val="28"/>
          <w14:textFill>
            <w14:solidFill>
              <w14:schemeClr w14:val="tx1"/>
            </w14:solidFill>
          </w14:textFill>
        </w:rPr>
      </w:pPr>
    </w:p>
    <w:p w14:paraId="76A929CA">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06DDFA9">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825ECCC">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BEFC20C">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477E30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8552D21">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CFA0524">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0EE674C4">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0B8809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E1D901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D011C51">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63BE7EA7">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736EF71D">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894C452">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5ECB4E7">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683DC60B">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33E38BA">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2348810">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5F56B46">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CEF1CD1">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5D55732">
      <w:pPr>
        <w:pStyle w:val="16"/>
        <w:tabs>
          <w:tab w:val="left" w:pos="8786"/>
        </w:tabs>
        <w:spacing w:after="0" w:line="360" w:lineRule="auto"/>
        <w:outlineLvl w:val="9"/>
        <w:rPr>
          <w:rFonts w:hint="eastAsia" w:ascii="仿宋_GB2312" w:hAnsi="仿宋_GB2312" w:eastAsia="仿宋_GB2312" w:cs="仿宋_GB2312"/>
          <w:b/>
          <w:color w:val="000000" w:themeColor="text1"/>
          <w:sz w:val="32"/>
          <w:szCs w:val="32"/>
          <w14:textFill>
            <w14:solidFill>
              <w14:schemeClr w14:val="tx1"/>
            </w14:solidFill>
          </w14:textFill>
        </w:rPr>
      </w:pPr>
    </w:p>
    <w:p w14:paraId="58E29094">
      <w:pPr>
        <w:pStyle w:val="16"/>
        <w:tabs>
          <w:tab w:val="left" w:pos="8786"/>
        </w:tabs>
        <w:spacing w:after="0" w:line="360" w:lineRule="auto"/>
        <w:outlineLvl w:val="1"/>
        <w:rPr>
          <w:rFonts w:hint="eastAsia" w:ascii="仿宋_GB2312" w:hAnsi="仿宋_GB2312" w:eastAsia="仿宋_GB2312" w:cs="仿宋_GB2312"/>
          <w:b/>
          <w:color w:val="000000" w:themeColor="text1"/>
          <w:sz w:val="32"/>
          <w:szCs w:val="32"/>
          <w14:textFill>
            <w14:solidFill>
              <w14:schemeClr w14:val="tx1"/>
            </w14:solidFill>
          </w14:textFill>
        </w:rPr>
      </w:pPr>
      <w:bookmarkStart w:id="154" w:name="_Toc480368423"/>
      <w:bookmarkStart w:id="155" w:name="_Toc492921361"/>
      <w:r>
        <w:rPr>
          <w:rFonts w:hint="eastAsia" w:ascii="仿宋_GB2312" w:hAnsi="仿宋_GB2312" w:eastAsia="仿宋_GB2312" w:cs="仿宋_GB2312"/>
          <w:b/>
          <w:color w:val="000000" w:themeColor="text1"/>
          <w:sz w:val="32"/>
          <w:szCs w:val="32"/>
          <w14:textFill>
            <w14:solidFill>
              <w14:schemeClr w14:val="tx1"/>
            </w14:solidFill>
          </w14:textFill>
        </w:rPr>
        <w:t>（二）法定代表人身份证明及授权委托书</w:t>
      </w:r>
      <w:bookmarkEnd w:id="154"/>
      <w:bookmarkEnd w:id="155"/>
    </w:p>
    <w:p w14:paraId="00763454">
      <w:pPr>
        <w:pStyle w:val="84"/>
        <w:adjustRightInd w:val="0"/>
        <w:snapToGrid w:val="0"/>
        <w:spacing w:line="500" w:lineRule="exact"/>
        <w:jc w:val="center"/>
        <w:outlineLvl w:val="2"/>
        <w:rPr>
          <w:rFonts w:hint="eastAsia" w:ascii="仿宋_GB2312" w:hAnsi="仿宋_GB2312" w:eastAsia="仿宋_GB2312" w:cs="仿宋_GB2312"/>
          <w:color w:val="000000" w:themeColor="text1"/>
          <w:sz w:val="28"/>
          <w:szCs w:val="28"/>
          <w14:textFill>
            <w14:solidFill>
              <w14:schemeClr w14:val="tx1"/>
            </w14:solidFill>
          </w14:textFill>
        </w:rPr>
      </w:pPr>
      <w:bookmarkStart w:id="156" w:name="_Toc487101447"/>
      <w:bookmarkEnd w:id="156"/>
      <w:bookmarkStart w:id="157" w:name="_Toc487101376"/>
      <w:bookmarkEnd w:id="157"/>
      <w:bookmarkStart w:id="158" w:name="_Toc487101305"/>
      <w:bookmarkEnd w:id="158"/>
      <w:r>
        <w:rPr>
          <w:rFonts w:hint="eastAsia" w:ascii="仿宋_GB2312" w:hAnsi="仿宋_GB2312" w:eastAsia="仿宋_GB2312" w:cs="仿宋_GB2312"/>
          <w:color w:val="000000" w:themeColor="text1"/>
          <w:sz w:val="28"/>
          <w:szCs w:val="28"/>
          <w14:textFill>
            <w14:solidFill>
              <w14:schemeClr w14:val="tx1"/>
            </w14:solidFill>
          </w14:textFill>
        </w:rPr>
        <w:t>法定代表人资格证明文件</w:t>
      </w:r>
    </w:p>
    <w:p w14:paraId="21A914CA">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5309C217">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兹有同志为公司法定代表人，代表我公司办理一切社会公务事宜，具有法律效力。 </w:t>
      </w:r>
    </w:p>
    <w:p w14:paraId="25044313">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附法定代表人基本情况： </w:t>
      </w:r>
    </w:p>
    <w:p w14:paraId="2E6E71F0">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姓名：性别：年龄：职务：</w:t>
      </w:r>
    </w:p>
    <w:p w14:paraId="7F5E407F">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身份证号码：</w:t>
      </w:r>
    </w:p>
    <w:p w14:paraId="430313CB">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通讯地址：</w:t>
      </w:r>
    </w:p>
    <w:p w14:paraId="37EE16C1">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电话号码：邮政编码：</w:t>
      </w:r>
    </w:p>
    <w:p w14:paraId="58F6AA4A">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bl>
      <w:tblPr>
        <w:tblStyle w:val="35"/>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EF5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F5D508A">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7DEA8BC">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C1325DF">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法定代表人《居民身份证》扫描件</w:t>
            </w:r>
          </w:p>
        </w:tc>
      </w:tr>
    </w:tbl>
    <w:p w14:paraId="1B96AD88">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E517904">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供应商名称（签章）：</w:t>
      </w:r>
    </w:p>
    <w:p w14:paraId="6A047CCB">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4AFBEE8">
      <w:pPr>
        <w:pStyle w:val="84"/>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法定代表人（签章） ：</w:t>
      </w:r>
    </w:p>
    <w:p w14:paraId="4583C4E7">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140D7DA4">
      <w:pPr>
        <w:pStyle w:val="84"/>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4D92D596">
      <w:pPr>
        <w:pStyle w:val="94"/>
        <w:outlineLvl w:val="9"/>
        <w:rPr>
          <w:rFonts w:hint="default" w:ascii="Times New Roman" w:hAnsi="Times New Roman" w:cs="Times New Roman"/>
          <w:color w:val="000000" w:themeColor="text1"/>
          <w:sz w:val="28"/>
          <w:szCs w:val="28"/>
          <w14:textFill>
            <w14:solidFill>
              <w14:schemeClr w14:val="tx1"/>
            </w14:solidFill>
          </w14:textFill>
        </w:rPr>
      </w:pPr>
    </w:p>
    <w:p w14:paraId="50D34ACB">
      <w:pPr>
        <w:pStyle w:val="94"/>
        <w:outlineLvl w:val="9"/>
        <w:rPr>
          <w:rFonts w:hint="default" w:ascii="Times New Roman" w:hAnsi="Times New Roman" w:cs="Times New Roman"/>
          <w:color w:val="000000" w:themeColor="text1"/>
          <w:sz w:val="28"/>
          <w:szCs w:val="28"/>
          <w14:textFill>
            <w14:solidFill>
              <w14:schemeClr w14:val="tx1"/>
            </w14:solidFill>
          </w14:textFill>
        </w:rPr>
      </w:pPr>
    </w:p>
    <w:p w14:paraId="7B485B33">
      <w:pPr>
        <w:pStyle w:val="84"/>
        <w:rPr>
          <w:rFonts w:hint="default"/>
          <w:color w:val="000000" w:themeColor="text1"/>
          <w14:textFill>
            <w14:solidFill>
              <w14:schemeClr w14:val="tx1"/>
            </w14:solidFill>
          </w14:textFill>
        </w:rPr>
      </w:pPr>
    </w:p>
    <w:p w14:paraId="5E23D13E">
      <w:pPr>
        <w:pStyle w:val="84"/>
        <w:rPr>
          <w:rFonts w:hint="default" w:ascii="Times New Roman" w:hAnsi="Times New Roman" w:cs="Times New Roman"/>
          <w:color w:val="000000" w:themeColor="text1"/>
          <w14:textFill>
            <w14:solidFill>
              <w14:schemeClr w14:val="tx1"/>
            </w14:solidFill>
          </w14:textFill>
        </w:rPr>
      </w:pPr>
    </w:p>
    <w:p w14:paraId="77BCC63A">
      <w:pPr>
        <w:pStyle w:val="84"/>
        <w:spacing w:line="500" w:lineRule="exact"/>
        <w:jc w:val="center"/>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法定代表人授权书</w:t>
      </w:r>
    </w:p>
    <w:p w14:paraId="1AB2E77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6F65E2E8">
      <w:pPr>
        <w:pStyle w:val="84"/>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兹授权同志为我公司参加贵单位组织的编号为</w:t>
      </w:r>
      <w:r>
        <w:rPr>
          <w:rFonts w:hint="eastAsia" w:ascii="仿宋_GB2312" w:hAnsi="仿宋_GB2312" w:eastAsia="仿宋_GB2312" w:cs="仿宋_GB2312"/>
          <w:color w:val="000000" w:themeColor="text1"/>
          <w:sz w:val="28"/>
          <w:szCs w:val="28"/>
          <w:u w:val="single"/>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的</w:t>
      </w:r>
      <w:r>
        <w:rPr>
          <w:rFonts w:hint="eastAsia" w:ascii="仿宋_GB2312" w:hAnsi="仿宋_GB2312" w:eastAsia="仿宋_GB2312" w:cs="仿宋_GB2312"/>
          <w:color w:val="000000" w:themeColor="text1"/>
          <w:sz w:val="28"/>
          <w:szCs w:val="28"/>
          <w:u w:val="single"/>
          <w14:textFill>
            <w14:solidFill>
              <w14:schemeClr w14:val="tx1"/>
            </w14:solidFill>
          </w14:textFill>
        </w:rPr>
        <w:t>（项 目 名 称）</w:t>
      </w:r>
      <w:r>
        <w:rPr>
          <w:rFonts w:hint="eastAsia" w:ascii="仿宋_GB2312" w:hAnsi="仿宋_GB2312" w:eastAsia="仿宋_GB2312" w:cs="仿宋_GB2312"/>
          <w:color w:val="000000" w:themeColor="text1"/>
          <w:sz w:val="28"/>
          <w:szCs w:val="28"/>
          <w14:textFill>
            <w14:solidFill>
              <w14:schemeClr w14:val="tx1"/>
            </w14:solidFill>
          </w14:textFill>
        </w:rPr>
        <w:t xml:space="preserve">采购活动的投标代表人，全权代表我公司处理在该项目采购活动中的一切事宜。代理期限从年月日起至年月日止。 </w:t>
      </w:r>
    </w:p>
    <w:p w14:paraId="67E6109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701D6E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供应商（签章）：</w:t>
      </w:r>
    </w:p>
    <w:p w14:paraId="544ED38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法定代表人（签章）：</w:t>
      </w:r>
    </w:p>
    <w:p w14:paraId="6BBF33F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签发日期：年月日</w:t>
      </w:r>
    </w:p>
    <w:p w14:paraId="7485774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DA65E2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w:t>
      </w:r>
    </w:p>
    <w:p w14:paraId="04F503E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代理人工作单位：</w:t>
      </w:r>
    </w:p>
    <w:p w14:paraId="4B4F664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职务：    性别：</w:t>
      </w:r>
    </w:p>
    <w:p w14:paraId="40BCE9CA">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身份证号码：</w:t>
      </w:r>
    </w:p>
    <w:p w14:paraId="3D5BCBD9">
      <w:pPr>
        <w:pStyle w:val="84"/>
        <w:adjustRightInd w:val="0"/>
        <w:snapToGrid w:val="0"/>
        <w:spacing w:line="500" w:lineRule="exact"/>
        <w:ind w:left="-88" w:leftChars="-42" w:firstLine="700" w:firstLineChars="250"/>
        <w:rPr>
          <w:rFonts w:hint="eastAsia" w:ascii="仿宋_GB2312" w:hAnsi="仿宋_GB2312" w:eastAsia="仿宋_GB2312" w:cs="仿宋_GB2312"/>
          <w:color w:val="000000" w:themeColor="text1"/>
          <w:sz w:val="28"/>
          <w:szCs w:val="28"/>
          <w:u w:val="single"/>
          <w14:textFill>
            <w14:solidFill>
              <w14:schemeClr w14:val="tx1"/>
            </w14:solidFill>
          </w14:textFill>
        </w:rPr>
      </w:pPr>
    </w:p>
    <w:tbl>
      <w:tblPr>
        <w:tblStyle w:val="35"/>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F39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450E136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粘贴被授权人身份证（扫描件）</w:t>
            </w:r>
          </w:p>
        </w:tc>
      </w:tr>
    </w:tbl>
    <w:p w14:paraId="512E243D">
      <w:pPr>
        <w:pStyle w:val="16"/>
        <w:tabs>
          <w:tab w:val="left" w:pos="8786"/>
        </w:tabs>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66684620">
      <w:pPr>
        <w:pStyle w:val="16"/>
        <w:tabs>
          <w:tab w:val="left" w:pos="8786"/>
        </w:tabs>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7FF71930">
      <w:pPr>
        <w:pStyle w:val="16"/>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778763E0">
      <w:pPr>
        <w:pStyle w:val="16"/>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707D63EF">
      <w:pPr>
        <w:pStyle w:val="16"/>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52B6DD2E">
      <w:pPr>
        <w:pStyle w:val="16"/>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bookmarkEnd w:id="151"/>
    <w:bookmarkEnd w:id="152"/>
    <w:p w14:paraId="71B52415">
      <w:pPr>
        <w:pStyle w:val="16"/>
        <w:tabs>
          <w:tab w:val="left" w:pos="8786"/>
        </w:tabs>
        <w:spacing w:after="0" w:line="360" w:lineRule="auto"/>
        <w:outlineLvl w:val="1"/>
        <w:rPr>
          <w:rFonts w:hint="eastAsia" w:ascii="仿宋_GB2312" w:hAnsi="仿宋_GB2312" w:eastAsia="仿宋_GB2312" w:cs="仿宋_GB2312"/>
          <w:b/>
          <w:color w:val="000000" w:themeColor="text1"/>
          <w:sz w:val="32"/>
          <w:szCs w:val="32"/>
          <w:lang w:eastAsia="zh-CN"/>
          <w14:textFill>
            <w14:solidFill>
              <w14:schemeClr w14:val="tx1"/>
            </w14:solidFill>
          </w14:textFill>
        </w:rPr>
      </w:pPr>
      <w:bookmarkStart w:id="159" w:name="_Toc492921362"/>
      <w:bookmarkStart w:id="160" w:name="_Toc480368426"/>
      <w:r>
        <w:rPr>
          <w:rFonts w:hint="eastAsia" w:ascii="仿宋_GB2312" w:hAnsi="仿宋_GB2312" w:eastAsia="仿宋_GB2312" w:cs="仿宋_GB2312"/>
          <w:b/>
          <w:color w:val="000000" w:themeColor="text1"/>
          <w:sz w:val="32"/>
          <w:szCs w:val="32"/>
          <w14:textFill>
            <w14:solidFill>
              <w14:schemeClr w14:val="tx1"/>
            </w14:solidFill>
          </w14:textFill>
        </w:rPr>
        <w:t>（三）投标保证金</w:t>
      </w:r>
      <w:bookmarkEnd w:id="159"/>
      <w:bookmarkEnd w:id="160"/>
      <w:r>
        <w:rPr>
          <w:rFonts w:hint="eastAsia" w:ascii="仿宋_GB2312" w:hAnsi="仿宋_GB2312" w:eastAsia="仿宋_GB2312" w:cs="仿宋_GB2312"/>
          <w:b/>
          <w:color w:val="000000" w:themeColor="text1"/>
          <w:sz w:val="32"/>
          <w:szCs w:val="32"/>
          <w:lang w:eastAsia="zh-CN"/>
          <w14:textFill>
            <w14:solidFill>
              <w14:schemeClr w14:val="tx1"/>
            </w14:solidFill>
          </w14:textFill>
        </w:rPr>
        <w:t>（如有需要）</w:t>
      </w:r>
    </w:p>
    <w:p w14:paraId="4C690171">
      <w:pPr>
        <w:pStyle w:val="16"/>
        <w:tabs>
          <w:tab w:val="left" w:pos="8786"/>
        </w:tabs>
        <w:spacing w:after="0"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说明：此处上传投标保证金缴纳凭证；</w:t>
      </w:r>
    </w:p>
    <w:p w14:paraId="4474DE20">
      <w:pPr>
        <w:pStyle w:val="95"/>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p>
    <w:p w14:paraId="2E71048D">
      <w:pPr>
        <w:pStyle w:val="95"/>
        <w:spacing w:line="360" w:lineRule="auto"/>
        <w:rPr>
          <w:rFonts w:hint="default" w:ascii="Times New Roman" w:hAnsi="Times New Roman" w:cs="Times New Roman"/>
          <w:color w:val="000000" w:themeColor="text1"/>
          <w14:textFill>
            <w14:solidFill>
              <w14:schemeClr w14:val="tx1"/>
            </w14:solidFill>
          </w14:textFill>
        </w:rPr>
      </w:pPr>
    </w:p>
    <w:p w14:paraId="2FFEDB6F">
      <w:pPr>
        <w:pStyle w:val="95"/>
        <w:spacing w:line="360" w:lineRule="auto"/>
        <w:rPr>
          <w:rFonts w:hint="default" w:ascii="Times New Roman" w:hAnsi="Times New Roman" w:cs="Times New Roman"/>
          <w:color w:val="000000" w:themeColor="text1"/>
          <w14:textFill>
            <w14:solidFill>
              <w14:schemeClr w14:val="tx1"/>
            </w14:solidFill>
          </w14:textFill>
        </w:rPr>
      </w:pPr>
    </w:p>
    <w:p w14:paraId="363F8354">
      <w:pPr>
        <w:pStyle w:val="95"/>
        <w:spacing w:line="360" w:lineRule="auto"/>
        <w:rPr>
          <w:rFonts w:hint="default" w:ascii="Times New Roman" w:hAnsi="Times New Roman" w:cs="Times New Roman"/>
          <w:color w:val="000000" w:themeColor="text1"/>
          <w14:textFill>
            <w14:solidFill>
              <w14:schemeClr w14:val="tx1"/>
            </w14:solidFill>
          </w14:textFill>
        </w:rPr>
      </w:pPr>
    </w:p>
    <w:p w14:paraId="27C48878">
      <w:pPr>
        <w:pStyle w:val="95"/>
        <w:spacing w:line="360" w:lineRule="auto"/>
        <w:rPr>
          <w:rFonts w:hint="default" w:ascii="Times New Roman" w:hAnsi="Times New Roman" w:cs="Times New Roman"/>
          <w:color w:val="000000" w:themeColor="text1"/>
          <w14:textFill>
            <w14:solidFill>
              <w14:schemeClr w14:val="tx1"/>
            </w14:solidFill>
          </w14:textFill>
        </w:rPr>
      </w:pPr>
    </w:p>
    <w:p w14:paraId="234C83E0">
      <w:pPr>
        <w:pStyle w:val="95"/>
        <w:spacing w:line="360" w:lineRule="auto"/>
        <w:rPr>
          <w:rFonts w:hint="default" w:ascii="Times New Roman" w:hAnsi="Times New Roman" w:cs="Times New Roman"/>
          <w:color w:val="000000" w:themeColor="text1"/>
          <w14:textFill>
            <w14:solidFill>
              <w14:schemeClr w14:val="tx1"/>
            </w14:solidFill>
          </w14:textFill>
        </w:rPr>
      </w:pPr>
    </w:p>
    <w:p w14:paraId="6753350B">
      <w:pPr>
        <w:pStyle w:val="95"/>
        <w:spacing w:line="360" w:lineRule="auto"/>
        <w:rPr>
          <w:rFonts w:hint="default" w:ascii="Times New Roman" w:hAnsi="Times New Roman" w:cs="Times New Roman"/>
          <w:color w:val="000000" w:themeColor="text1"/>
          <w14:textFill>
            <w14:solidFill>
              <w14:schemeClr w14:val="tx1"/>
            </w14:solidFill>
          </w14:textFill>
        </w:rPr>
      </w:pPr>
    </w:p>
    <w:p w14:paraId="76EC1A7A">
      <w:pPr>
        <w:pStyle w:val="95"/>
        <w:spacing w:line="360" w:lineRule="auto"/>
        <w:rPr>
          <w:rFonts w:hint="default" w:ascii="Times New Roman" w:hAnsi="Times New Roman" w:cs="Times New Roman"/>
          <w:color w:val="000000" w:themeColor="text1"/>
          <w14:textFill>
            <w14:solidFill>
              <w14:schemeClr w14:val="tx1"/>
            </w14:solidFill>
          </w14:textFill>
        </w:rPr>
      </w:pPr>
    </w:p>
    <w:p w14:paraId="1FBC4F11">
      <w:pPr>
        <w:pStyle w:val="95"/>
        <w:spacing w:line="360" w:lineRule="auto"/>
        <w:rPr>
          <w:rFonts w:hint="default" w:ascii="Times New Roman" w:hAnsi="Times New Roman" w:cs="Times New Roman"/>
          <w:color w:val="000000" w:themeColor="text1"/>
          <w14:textFill>
            <w14:solidFill>
              <w14:schemeClr w14:val="tx1"/>
            </w14:solidFill>
          </w14:textFill>
        </w:rPr>
      </w:pPr>
    </w:p>
    <w:p w14:paraId="6D480796">
      <w:pPr>
        <w:pStyle w:val="95"/>
        <w:spacing w:line="360" w:lineRule="auto"/>
        <w:rPr>
          <w:rFonts w:hint="default" w:ascii="Times New Roman" w:hAnsi="Times New Roman" w:cs="Times New Roman"/>
          <w:color w:val="000000" w:themeColor="text1"/>
          <w14:textFill>
            <w14:solidFill>
              <w14:schemeClr w14:val="tx1"/>
            </w14:solidFill>
          </w14:textFill>
        </w:rPr>
      </w:pPr>
    </w:p>
    <w:p w14:paraId="71C20336">
      <w:pPr>
        <w:pStyle w:val="95"/>
        <w:spacing w:line="360" w:lineRule="auto"/>
        <w:rPr>
          <w:rFonts w:hint="default" w:ascii="Times New Roman" w:hAnsi="Times New Roman" w:cs="Times New Roman"/>
          <w:color w:val="000000" w:themeColor="text1"/>
          <w14:textFill>
            <w14:solidFill>
              <w14:schemeClr w14:val="tx1"/>
            </w14:solidFill>
          </w14:textFill>
        </w:rPr>
      </w:pPr>
    </w:p>
    <w:p w14:paraId="7023604A">
      <w:pPr>
        <w:pStyle w:val="95"/>
        <w:spacing w:line="360" w:lineRule="auto"/>
        <w:rPr>
          <w:rFonts w:hint="default" w:ascii="Times New Roman" w:hAnsi="Times New Roman" w:cs="Times New Roman"/>
          <w:color w:val="000000" w:themeColor="text1"/>
          <w14:textFill>
            <w14:solidFill>
              <w14:schemeClr w14:val="tx1"/>
            </w14:solidFill>
          </w14:textFill>
        </w:rPr>
      </w:pPr>
    </w:p>
    <w:p w14:paraId="3E895A85">
      <w:pPr>
        <w:pStyle w:val="95"/>
        <w:spacing w:line="360" w:lineRule="auto"/>
        <w:rPr>
          <w:rFonts w:hint="default" w:ascii="Times New Roman" w:hAnsi="Times New Roman" w:cs="Times New Roman"/>
          <w:color w:val="000000" w:themeColor="text1"/>
          <w14:textFill>
            <w14:solidFill>
              <w14:schemeClr w14:val="tx1"/>
            </w14:solidFill>
          </w14:textFill>
        </w:rPr>
      </w:pPr>
    </w:p>
    <w:p w14:paraId="7800B42E">
      <w:pPr>
        <w:pStyle w:val="95"/>
        <w:spacing w:line="360" w:lineRule="auto"/>
        <w:rPr>
          <w:rFonts w:hint="default" w:ascii="Times New Roman" w:hAnsi="Times New Roman" w:cs="Times New Roman"/>
          <w:color w:val="000000" w:themeColor="text1"/>
          <w14:textFill>
            <w14:solidFill>
              <w14:schemeClr w14:val="tx1"/>
            </w14:solidFill>
          </w14:textFill>
        </w:rPr>
      </w:pPr>
    </w:p>
    <w:p w14:paraId="732688E1">
      <w:pPr>
        <w:pStyle w:val="95"/>
        <w:spacing w:line="360" w:lineRule="auto"/>
        <w:rPr>
          <w:rFonts w:hint="default" w:ascii="Times New Roman" w:hAnsi="Times New Roman" w:cs="Times New Roman"/>
          <w:color w:val="000000" w:themeColor="text1"/>
          <w14:textFill>
            <w14:solidFill>
              <w14:schemeClr w14:val="tx1"/>
            </w14:solidFill>
          </w14:textFill>
        </w:rPr>
      </w:pPr>
    </w:p>
    <w:p w14:paraId="23913DFB">
      <w:pPr>
        <w:pStyle w:val="95"/>
        <w:spacing w:line="360" w:lineRule="auto"/>
        <w:rPr>
          <w:rFonts w:hint="default" w:ascii="Times New Roman" w:hAnsi="Times New Roman" w:cs="Times New Roman"/>
          <w:color w:val="000000" w:themeColor="text1"/>
          <w14:textFill>
            <w14:solidFill>
              <w14:schemeClr w14:val="tx1"/>
            </w14:solidFill>
          </w14:textFill>
        </w:rPr>
      </w:pPr>
    </w:p>
    <w:p w14:paraId="3CBBF530">
      <w:pPr>
        <w:pStyle w:val="95"/>
        <w:spacing w:line="360" w:lineRule="auto"/>
        <w:rPr>
          <w:rFonts w:hint="default" w:ascii="Times New Roman" w:hAnsi="Times New Roman" w:cs="Times New Roman"/>
          <w:color w:val="000000" w:themeColor="text1"/>
          <w14:textFill>
            <w14:solidFill>
              <w14:schemeClr w14:val="tx1"/>
            </w14:solidFill>
          </w14:textFill>
        </w:rPr>
      </w:pPr>
    </w:p>
    <w:p w14:paraId="143E7872">
      <w:pPr>
        <w:pStyle w:val="95"/>
        <w:spacing w:line="360" w:lineRule="auto"/>
        <w:rPr>
          <w:rFonts w:hint="default" w:ascii="Times New Roman" w:hAnsi="Times New Roman" w:cs="Times New Roman"/>
          <w:color w:val="000000" w:themeColor="text1"/>
          <w14:textFill>
            <w14:solidFill>
              <w14:schemeClr w14:val="tx1"/>
            </w14:solidFill>
          </w14:textFill>
        </w:rPr>
      </w:pPr>
    </w:p>
    <w:p w14:paraId="2B103A32">
      <w:pPr>
        <w:pStyle w:val="95"/>
        <w:spacing w:line="360" w:lineRule="auto"/>
        <w:rPr>
          <w:rFonts w:hint="default" w:ascii="Times New Roman" w:hAnsi="Times New Roman" w:cs="Times New Roman"/>
          <w:color w:val="000000" w:themeColor="text1"/>
          <w14:textFill>
            <w14:solidFill>
              <w14:schemeClr w14:val="tx1"/>
            </w14:solidFill>
          </w14:textFill>
        </w:rPr>
      </w:pPr>
    </w:p>
    <w:p w14:paraId="1CF24BD4">
      <w:pPr>
        <w:pStyle w:val="95"/>
        <w:spacing w:line="360" w:lineRule="auto"/>
        <w:rPr>
          <w:rFonts w:hint="default" w:ascii="Times New Roman" w:hAnsi="Times New Roman" w:cs="Times New Roman"/>
          <w:color w:val="000000" w:themeColor="text1"/>
          <w14:textFill>
            <w14:solidFill>
              <w14:schemeClr w14:val="tx1"/>
            </w14:solidFill>
          </w14:textFill>
        </w:rPr>
      </w:pPr>
    </w:p>
    <w:p w14:paraId="24876B59">
      <w:pPr>
        <w:pStyle w:val="95"/>
        <w:spacing w:line="360" w:lineRule="auto"/>
        <w:rPr>
          <w:rFonts w:hint="default" w:ascii="Times New Roman" w:hAnsi="Times New Roman" w:cs="Times New Roman"/>
          <w:color w:val="000000" w:themeColor="text1"/>
          <w14:textFill>
            <w14:solidFill>
              <w14:schemeClr w14:val="tx1"/>
            </w14:solidFill>
          </w14:textFill>
        </w:rPr>
      </w:pPr>
    </w:p>
    <w:p w14:paraId="3E016269">
      <w:pPr>
        <w:pStyle w:val="95"/>
        <w:spacing w:line="360" w:lineRule="auto"/>
        <w:rPr>
          <w:rFonts w:hint="default" w:ascii="Times New Roman" w:hAnsi="Times New Roman" w:cs="Times New Roman"/>
          <w:color w:val="000000" w:themeColor="text1"/>
          <w14:textFill>
            <w14:solidFill>
              <w14:schemeClr w14:val="tx1"/>
            </w14:solidFill>
          </w14:textFill>
        </w:rPr>
      </w:pPr>
    </w:p>
    <w:p w14:paraId="1BFBE100">
      <w:pPr>
        <w:pStyle w:val="95"/>
        <w:spacing w:line="360" w:lineRule="auto"/>
        <w:rPr>
          <w:rFonts w:hint="default" w:ascii="Times New Roman" w:hAnsi="Times New Roman" w:cs="Times New Roman"/>
          <w:color w:val="000000" w:themeColor="text1"/>
          <w14:textFill>
            <w14:solidFill>
              <w14:schemeClr w14:val="tx1"/>
            </w14:solidFill>
          </w14:textFill>
        </w:rPr>
      </w:pPr>
    </w:p>
    <w:p w14:paraId="0C17EBFD">
      <w:pPr>
        <w:pStyle w:val="95"/>
        <w:spacing w:line="360" w:lineRule="auto"/>
        <w:rPr>
          <w:rFonts w:hint="default" w:ascii="Times New Roman" w:hAnsi="Times New Roman" w:cs="Times New Roman"/>
          <w:color w:val="000000" w:themeColor="text1"/>
          <w14:textFill>
            <w14:solidFill>
              <w14:schemeClr w14:val="tx1"/>
            </w14:solidFill>
          </w14:textFill>
        </w:rPr>
      </w:pPr>
    </w:p>
    <w:p w14:paraId="398B6EE3">
      <w:pPr>
        <w:pStyle w:val="95"/>
        <w:spacing w:line="360" w:lineRule="auto"/>
        <w:rPr>
          <w:rFonts w:hint="default" w:ascii="Times New Roman" w:hAnsi="Times New Roman" w:cs="Times New Roman"/>
          <w:color w:val="000000" w:themeColor="text1"/>
          <w14:textFill>
            <w14:solidFill>
              <w14:schemeClr w14:val="tx1"/>
            </w14:solidFill>
          </w14:textFill>
        </w:rPr>
      </w:pPr>
    </w:p>
    <w:p w14:paraId="1FCF58CD">
      <w:pPr>
        <w:pStyle w:val="95"/>
        <w:spacing w:line="360" w:lineRule="auto"/>
        <w:rPr>
          <w:rFonts w:hint="default" w:ascii="Times New Roman" w:hAnsi="Times New Roman" w:cs="Times New Roman"/>
          <w:color w:val="000000" w:themeColor="text1"/>
          <w14:textFill>
            <w14:solidFill>
              <w14:schemeClr w14:val="tx1"/>
            </w14:solidFill>
          </w14:textFill>
        </w:rPr>
      </w:pPr>
    </w:p>
    <w:p w14:paraId="0C0E7309">
      <w:pPr>
        <w:pStyle w:val="95"/>
        <w:spacing w:line="360" w:lineRule="auto"/>
        <w:rPr>
          <w:rFonts w:hint="default" w:ascii="Times New Roman" w:hAnsi="Times New Roman" w:cs="Times New Roman"/>
          <w:color w:val="000000" w:themeColor="text1"/>
          <w14:textFill>
            <w14:solidFill>
              <w14:schemeClr w14:val="tx1"/>
            </w14:solidFill>
          </w14:textFill>
        </w:rPr>
      </w:pPr>
    </w:p>
    <w:p w14:paraId="1C31EC8F">
      <w:pPr>
        <w:pStyle w:val="95"/>
        <w:spacing w:line="360" w:lineRule="auto"/>
        <w:rPr>
          <w:rFonts w:hint="default" w:ascii="Times New Roman" w:hAnsi="Times New Roman" w:cs="Times New Roman"/>
          <w:color w:val="000000" w:themeColor="text1"/>
          <w14:textFill>
            <w14:solidFill>
              <w14:schemeClr w14:val="tx1"/>
            </w14:solidFill>
          </w14:textFill>
        </w:rPr>
      </w:pPr>
    </w:p>
    <w:p w14:paraId="506AB3E5">
      <w:pPr>
        <w:pStyle w:val="95"/>
        <w:spacing w:line="360" w:lineRule="auto"/>
        <w:rPr>
          <w:rFonts w:hint="default" w:ascii="Times New Roman" w:hAnsi="Times New Roman" w:cs="Times New Roman"/>
          <w:color w:val="000000" w:themeColor="text1"/>
          <w14:textFill>
            <w14:solidFill>
              <w14:schemeClr w14:val="tx1"/>
            </w14:solidFill>
          </w14:textFill>
        </w:rPr>
      </w:pPr>
    </w:p>
    <w:p w14:paraId="1217D3A1">
      <w:pPr>
        <w:pStyle w:val="95"/>
        <w:spacing w:line="360" w:lineRule="auto"/>
        <w:rPr>
          <w:rFonts w:hint="default" w:ascii="Times New Roman" w:hAnsi="Times New Roman" w:cs="Times New Roman"/>
          <w:color w:val="000000" w:themeColor="text1"/>
          <w14:textFill>
            <w14:solidFill>
              <w14:schemeClr w14:val="tx1"/>
            </w14:solidFill>
          </w14:textFill>
        </w:rPr>
      </w:pPr>
    </w:p>
    <w:p w14:paraId="63B9BF15">
      <w:pPr>
        <w:pStyle w:val="95"/>
        <w:spacing w:line="360" w:lineRule="auto"/>
        <w:rPr>
          <w:rFonts w:hint="default" w:ascii="Times New Roman" w:hAnsi="Times New Roman" w:cs="Times New Roman"/>
          <w:color w:val="000000" w:themeColor="text1"/>
          <w14:textFill>
            <w14:solidFill>
              <w14:schemeClr w14:val="tx1"/>
            </w14:solidFill>
          </w14:textFill>
        </w:rPr>
      </w:pPr>
    </w:p>
    <w:p w14:paraId="7E70EF3D">
      <w:pPr>
        <w:pStyle w:val="95"/>
        <w:spacing w:line="360" w:lineRule="auto"/>
        <w:rPr>
          <w:rFonts w:hint="default" w:ascii="Times New Roman" w:hAnsi="Times New Roman" w:cs="Times New Roman"/>
          <w:color w:val="000000" w:themeColor="text1"/>
          <w14:textFill>
            <w14:solidFill>
              <w14:schemeClr w14:val="tx1"/>
            </w14:solidFill>
          </w14:textFill>
        </w:rPr>
      </w:pPr>
    </w:p>
    <w:p w14:paraId="646F0BD0">
      <w:pPr>
        <w:pStyle w:val="95"/>
        <w:spacing w:line="360" w:lineRule="auto"/>
        <w:rPr>
          <w:rFonts w:hint="default" w:ascii="Times New Roman" w:hAnsi="Times New Roman" w:cs="Times New Roman"/>
          <w:color w:val="000000" w:themeColor="text1"/>
          <w14:textFill>
            <w14:solidFill>
              <w14:schemeClr w14:val="tx1"/>
            </w14:solidFill>
          </w14:textFill>
        </w:rPr>
      </w:pPr>
    </w:p>
    <w:p w14:paraId="7B6917A5">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1" w:name="_Toc519111288"/>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（四）</w:t>
      </w:r>
      <w:bookmarkEnd w:id="161"/>
      <w:r>
        <w:rPr>
          <w:rFonts w:hint="eastAsia" w:ascii="仿宋_GB2312" w:hAnsi="仿宋_GB2312" w:eastAsia="仿宋_GB2312" w:cs="仿宋_GB2312"/>
          <w:color w:val="000000" w:themeColor="text1"/>
          <w14:textFill>
            <w14:solidFill>
              <w14:schemeClr w14:val="tx1"/>
            </w14:solidFill>
          </w14:textFill>
        </w:rPr>
        <w:t>资质要求证明文件（若本项目要求）</w:t>
      </w:r>
    </w:p>
    <w:p w14:paraId="77E53C96">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4EDC30">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528FA2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B28405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500CE4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0E25D7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AEB9AD3">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32DB37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F16EA4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739F37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8355A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45D867">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DFE0706">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CC024C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560ED4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E3CAD7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51DE0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89642C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2313C81">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32DDB0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EE2B17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7E31F2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1789F17">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465113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A52B92B">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6EFBA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38346E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77025A4">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5A3F40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DA5FB2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0A97AA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7173668">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CAB0E1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B4E972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DE88388">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D0ADB7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694DA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EC8D4D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93000B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1A4FC11">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70D711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D7149E0">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64AA5F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17A46D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25F7CA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A6F4D6B">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891BBC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A7AF7F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202C9D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FC388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CB835F0">
      <w:pPr>
        <w:pStyle w:val="99"/>
        <w:numPr>
          <w:ilvl w:val="0"/>
          <w:numId w:val="0"/>
        </w:numPr>
        <w:ind w:leftChars="0"/>
        <w:outlineLvl w:val="1"/>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t>（</w:t>
      </w: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五</w:t>
      </w:r>
      <w:r>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t>）网上信用记录证明</w:t>
      </w:r>
    </w:p>
    <w:p w14:paraId="1ADB0A8A">
      <w:pPr>
        <w:pStyle w:val="99"/>
        <w:numPr>
          <w:ilvl w:val="0"/>
          <w:numId w:val="0"/>
        </w:numPr>
        <w:ind w:leftChars="0"/>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p>
    <w:p w14:paraId="68339B27">
      <w:pPr>
        <w:pStyle w:val="95"/>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说明</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网上信用记录证明打印件加盖公章</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含</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信用中国</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网站</w:t>
      </w:r>
      <w:r>
        <w:rPr>
          <w:rFonts w:hint="eastAsia" w:ascii="仿宋_GB2312" w:hAnsi="仿宋_GB2312" w:eastAsia="仿宋_GB2312" w:cs="仿宋_GB2312"/>
          <w:color w:val="000000" w:themeColor="text1"/>
          <w:sz w:val="28"/>
          <w:szCs w:val="28"/>
          <w14:textFill>
            <w14:solidFill>
              <w14:schemeClr w14:val="tx1"/>
            </w14:solidFill>
          </w14:textFill>
        </w:rPr>
        <w:t>（www.creditchina.gov.cn）</w:t>
      </w:r>
      <w:r>
        <w:rPr>
          <w:rFonts w:hint="eastAsia" w:ascii="仿宋_GB2312" w:hAnsi="仿宋_GB2312" w:eastAsia="仿宋_GB2312" w:cs="仿宋_GB2312"/>
          <w:color w:val="000000" w:themeColor="text1"/>
          <w:sz w:val="28"/>
          <w:szCs w:val="28"/>
          <w:lang w:val="zh-CN"/>
          <w14:textFill>
            <w14:solidFill>
              <w14:schemeClr w14:val="tx1"/>
            </w14:solidFill>
          </w14:textFill>
        </w:rPr>
        <w:t>中企业信用信息查询结果</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中国政府采购网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www.ccgp.gov.cn）</w:t>
      </w:r>
      <w:r>
        <w:rPr>
          <w:rFonts w:hint="eastAsia" w:ascii="仿宋_GB2312" w:hAnsi="仿宋_GB2312" w:eastAsia="仿宋_GB2312" w:cs="仿宋_GB2312"/>
          <w:color w:val="000000" w:themeColor="text1"/>
          <w:sz w:val="28"/>
          <w:szCs w:val="28"/>
          <w:lang w:val="zh-CN"/>
          <w14:textFill>
            <w14:solidFill>
              <w14:schemeClr w14:val="tx1"/>
            </w14:solidFill>
          </w14:textFill>
        </w:rPr>
        <w:t>中</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政府采购严重违法失信行为信息记录</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_GB2312" w:hAnsi="仿宋_GB2312" w:eastAsia="仿宋_GB2312" w:cs="仿宋_GB2312"/>
          <w:color w:val="000000" w:themeColor="text1"/>
          <w:sz w:val="28"/>
          <w:szCs w:val="28"/>
          <w:lang w:val="zh-CN"/>
          <w14:textFill>
            <w14:solidFill>
              <w14:schemeClr w14:val="tx1"/>
            </w14:solidFill>
          </w14:textFill>
        </w:rPr>
        <w:fldChar w:fldCharType="end"/>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14:paraId="04685AFD">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5F7F2E2">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437D7C4">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FFF7FF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335961E">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FE4C3C9">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6C9B1B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49BA19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C5D32B3">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B76D9DE">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02E063C">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7ACC88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C47D09D">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B63C421">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1907349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190816E8">
      <w:pPr>
        <w:pStyle w:val="99"/>
        <w:outlineLvl w:val="9"/>
        <w:rPr>
          <w:rFonts w:hint="default" w:ascii="Times New Roman" w:hAnsi="Times New Roman" w:eastAsia="黑体" w:cs="Times New Roman"/>
          <w:b/>
          <w:color w:val="000000" w:themeColor="text1"/>
          <w:kern w:val="0"/>
          <w:sz w:val="32"/>
          <w14:textFill>
            <w14:solidFill>
              <w14:schemeClr w14:val="tx1"/>
            </w14:solidFill>
          </w14:textFill>
        </w:rPr>
      </w:pPr>
    </w:p>
    <w:p w14:paraId="79883118">
      <w:pP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（六）</w:t>
      </w:r>
      <w:r>
        <w:rPr>
          <w:rFonts w:hint="eastAsia" w:ascii="仿宋_GB2312" w:hAnsi="仿宋_GB2312" w:eastAsia="仿宋_GB2312" w:cs="仿宋_GB2312"/>
          <w:b/>
          <w:color w:val="000000" w:themeColor="text1"/>
          <w:kern w:val="0"/>
          <w:sz w:val="32"/>
          <w:lang w:val="en-US" w:eastAsia="zh-CN"/>
          <w14:textFill>
            <w14:solidFill>
              <w14:schemeClr w14:val="tx1"/>
            </w14:solidFill>
          </w14:textFill>
        </w:rPr>
        <w:t>中小企业声明函（若本项目要求）</w:t>
      </w:r>
    </w:p>
    <w:p w14:paraId="1B47602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中小企业声明函（工程、服务）</w:t>
      </w:r>
    </w:p>
    <w:p w14:paraId="2145603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E887764">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 （标的名称） ，属于（采购文件中明确的所属行业）；承建（承接）企业为（企业名称），从业人员人，营业收入为万元，资产总额为万元，属于（中型企业、小型企业、微型企业）；</w:t>
      </w:r>
    </w:p>
    <w:p w14:paraId="4BC761E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 （标的名称） ，属于（采购文件中明确的所属行业）；承建（承接）企业为（企业名称），从业人员人，营业收入为万元，资产总额为万元，属于（中型企业、小型企业、微型企业）；</w:t>
      </w:r>
    </w:p>
    <w:p w14:paraId="2647071F">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03D7B1D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14:paraId="0D3D795B">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14:paraId="7B4B0568">
      <w:pPr>
        <w:keepNext w:val="0"/>
        <w:keepLines w:val="0"/>
        <w:pageBreakBefore w:val="0"/>
        <w:widowControl/>
        <w:kinsoku/>
        <w:wordWrap/>
        <w:overflowPunct/>
        <w:topLinePunct w:val="0"/>
        <w:autoSpaceDE/>
        <w:autoSpaceDN/>
        <w:bidi w:val="0"/>
        <w:adjustRightInd/>
        <w:snapToGrid/>
        <w:spacing w:beforeLines="0" w:afterLines="0" w:line="560" w:lineRule="exact"/>
        <w:ind w:firstLine="4200" w:firstLineChars="1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企业名称（盖章）：</w:t>
      </w:r>
    </w:p>
    <w:p w14:paraId="4C1A4C8B">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p>
    <w:p w14:paraId="3AE794D2">
      <w:pPr>
        <w:pStyle w:val="11"/>
        <w:rPr>
          <w:rFonts w:hint="eastAsia" w:ascii="仿宋_GB2312" w:hAnsi="仿宋_GB2312" w:eastAsia="仿宋_GB2312" w:cs="仿宋_GB2312"/>
          <w:sz w:val="28"/>
          <w:szCs w:val="28"/>
        </w:rPr>
      </w:pPr>
    </w:p>
    <w:p w14:paraId="66461BF4">
      <w:pPr>
        <w:pStyle w:val="11"/>
        <w:rPr>
          <w:rFonts w:hint="eastAsia" w:ascii="仿宋_GB2312" w:hAnsi="仿宋_GB2312" w:eastAsia="仿宋_GB2312" w:cs="仿宋_GB2312"/>
          <w:sz w:val="28"/>
          <w:szCs w:val="28"/>
        </w:rPr>
      </w:pPr>
    </w:p>
    <w:p w14:paraId="664F9F1B">
      <w:pPr>
        <w:pStyle w:val="11"/>
        <w:rPr>
          <w:rFonts w:hint="eastAsia" w:ascii="仿宋_GB2312" w:hAnsi="仿宋_GB2312" w:eastAsia="仿宋_GB2312" w:cs="仿宋_GB2312"/>
          <w:sz w:val="28"/>
          <w:szCs w:val="28"/>
        </w:rPr>
      </w:pPr>
    </w:p>
    <w:p w14:paraId="3DB5D181">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237F38EA">
      <w:pPr>
        <w:pStyle w:val="85"/>
        <w:numPr>
          <w:ilvl w:val="0"/>
          <w:numId w:val="0"/>
        </w:numPr>
        <w:outlineLvl w:val="2"/>
        <w:rPr>
          <w:rFonts w:hint="eastAsia" w:ascii="仿宋_GB2312" w:hAnsi="仿宋_GB2312" w:eastAsia="仿宋_GB2312" w:cs="仿宋_GB2312"/>
          <w:sz w:val="28"/>
          <w:szCs w:val="28"/>
        </w:rPr>
      </w:pPr>
    </w:p>
    <w:p w14:paraId="4B105D68">
      <w:pPr>
        <w:numPr>
          <w:ilvl w:val="0"/>
          <w:numId w:val="6"/>
        </w:numPr>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针对不专门面向中小微企业采购的项目，投标企业请参照《关于印发中小企业划型标准规定的通知》（工信部联企业[2011]300号）文件规定自行确定并填写中、小微企业声明函，</w:t>
      </w:r>
      <w:r>
        <w:rPr>
          <w:rFonts w:hint="eastAsia" w:ascii="仿宋_GB2312" w:hAnsi="仿宋_GB2312" w:eastAsia="仿宋_GB2312" w:cs="仿宋_GB2312"/>
          <w:b w:val="0"/>
          <w:bCs w:val="0"/>
          <w:kern w:val="2"/>
          <w:sz w:val="28"/>
          <w:szCs w:val="28"/>
          <w:lang w:val="en-US" w:eastAsia="zh-CN" w:bidi="ar-SA"/>
        </w:rPr>
        <w:t>上传关联至项目商务文件中。</w:t>
      </w:r>
    </w:p>
    <w:p w14:paraId="32CDB75C">
      <w:pPr>
        <w:numPr>
          <w:ilvl w:val="0"/>
          <w:numId w:val="6"/>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符合条件的残疾人福利性单位提供《残疾人福利性单位声明函》，无须提供《中小企业声明函》。</w:t>
      </w:r>
    </w:p>
    <w:p w14:paraId="0D837ABA">
      <w:pPr>
        <w:numPr>
          <w:ilvl w:val="0"/>
          <w:numId w:val="6"/>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监狱企业参加政府采购活动时，提供由省级以上监狱管理局、戒毒管理局（含新疆生产建</w:t>
      </w:r>
      <w:r>
        <w:rPr>
          <w:rFonts w:hint="eastAsia" w:ascii="仿宋_GB2312" w:hAnsi="仿宋_GB2312" w:eastAsia="仿宋_GB2312" w:cs="仿宋_GB2312"/>
          <w:sz w:val="28"/>
          <w:szCs w:val="28"/>
          <w:lang w:val="en-US" w:eastAsia="zh-CN"/>
        </w:rPr>
        <w:t>设兵团）出具的属于监狱企业的证明文件，可不再提供《中小企业声明函》。</w:t>
      </w:r>
    </w:p>
    <w:p w14:paraId="42E3AFC0">
      <w:pPr>
        <w:pStyle w:val="9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 xml:space="preserve">  </w:t>
      </w:r>
    </w:p>
    <w:p w14:paraId="587D14ED">
      <w:pPr>
        <w:pStyle w:val="95"/>
        <w:spacing w:line="360" w:lineRule="auto"/>
        <w:rPr>
          <w:rFonts w:hint="eastAsia" w:ascii="仿宋_GB2312" w:hAnsi="仿宋_GB2312" w:eastAsia="仿宋_GB2312" w:cs="仿宋_GB2312"/>
          <w:b/>
          <w:kern w:val="0"/>
          <w:sz w:val="28"/>
          <w:szCs w:val="28"/>
          <w:lang w:eastAsia="zh-CN" w:bidi="ar-SA"/>
        </w:rPr>
      </w:pPr>
    </w:p>
    <w:p w14:paraId="3C405949">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0AC075B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7FDBB15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BF743F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83C25BC">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66BEC9BB">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1A445E6B">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00D7B28">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D787E21">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35E0BE26">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00DDC660">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B8F3BAB">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7DAB6B75">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77CC3C0D">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1B4ACB4C">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C2FD522">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三、商务文件</w:t>
      </w:r>
      <w:bookmarkEnd w:id="153"/>
    </w:p>
    <w:p w14:paraId="5557C72D">
      <w:pPr>
        <w:pStyle w:val="99"/>
        <w:outlineLvl w:val="1"/>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pPr>
      <w:bookmarkStart w:id="162" w:name="_Toc519111291"/>
      <w:r>
        <w:rPr>
          <w:rFonts w:hint="eastAsia" w:ascii="仿宋_GB2312" w:hAnsi="仿宋_GB2312" w:eastAsia="仿宋_GB2312" w:cs="仿宋_GB2312"/>
          <w:b/>
          <w:color w:val="000000"/>
          <w:kern w:val="2"/>
          <w:sz w:val="28"/>
          <w:szCs w:val="28"/>
          <w:lang w:val="en-US" w:eastAsia="zh-CN" w:bidi="ar-SA"/>
        </w:rPr>
        <w:t>☆</w:t>
      </w:r>
      <w: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t>（七）投标函</w:t>
      </w:r>
      <w:bookmarkEnd w:id="162"/>
    </w:p>
    <w:p w14:paraId="0619BBEB">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14:paraId="596A4847">
      <w:pPr>
        <w:pStyle w:val="21"/>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(投标人名称)授权</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(投标人授权代理人姓名)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(职务、职称)为我方代表，参加贵方组织的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(项目名称、项目编号、包号)招标的有关活动，并对此项目进行投标。为此：</w:t>
      </w:r>
    </w:p>
    <w:p w14:paraId="66364E25">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1、我方同意在本项目响应文件中规定的投标有效期内遵守本投标文件中的承诺且在此期限期满之前均具有约束力。</w:t>
      </w:r>
    </w:p>
    <w:p w14:paraId="708A87F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2、我方承诺已经具备《中华人民共和国政府采购法》中规定的参加政府采购活动的供应商应当具备的条件：</w:t>
      </w:r>
    </w:p>
    <w:p w14:paraId="526FBE7C">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1）具有独立承担民事责任的能力；</w:t>
      </w:r>
    </w:p>
    <w:p w14:paraId="6897EB16">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2）具有良好的商业信誉和健全的财务会计制度；</w:t>
      </w:r>
    </w:p>
    <w:p w14:paraId="04CB079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3）具有履行合同所必需的设备和专业技术能力；</w:t>
      </w:r>
    </w:p>
    <w:p w14:paraId="0EB77AF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4）有依法缴纳税收和社会保障资金的良好记录；</w:t>
      </w:r>
    </w:p>
    <w:p w14:paraId="64A9D83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5）参加此项采购活动前三年内，在经营活动中没有重大违法记录；</w:t>
      </w:r>
    </w:p>
    <w:p w14:paraId="5FA6130B">
      <w:pPr>
        <w:pStyle w:val="95"/>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6）法律、行政法规规定的其他条件。</w:t>
      </w:r>
    </w:p>
    <w:p w14:paraId="1E44085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3、提供供应商须知规定的全部投标文件，</w:t>
      </w:r>
      <w:r>
        <w:rPr>
          <w:rFonts w:hint="eastAsia" w:ascii="仿宋_GB2312" w:hAnsi="仿宋_GB2312" w:eastAsia="仿宋_GB2312" w:cs="仿宋_GB2312"/>
          <w:color w:val="000000" w:themeColor="text1"/>
          <w:sz w:val="28"/>
          <w:szCs w:val="28"/>
          <w:lang w:eastAsia="zh-CN"/>
          <w14:textFill>
            <w14:solidFill>
              <w14:schemeClr w14:val="tx1"/>
            </w14:solidFill>
          </w14:textFill>
        </w:rPr>
        <w:t>为</w:t>
      </w:r>
      <w:r>
        <w:rPr>
          <w:rFonts w:hint="eastAsia" w:ascii="仿宋_GB2312" w:hAnsi="仿宋_GB2312" w:eastAsia="仿宋_GB2312" w:cs="仿宋_GB2312"/>
          <w:color w:val="000000" w:themeColor="text1"/>
          <w:sz w:val="28"/>
          <w:szCs w:val="28"/>
          <w14:textFill>
            <w14:solidFill>
              <w14:schemeClr w14:val="tx1"/>
            </w14:solidFill>
          </w14:textFill>
        </w:rPr>
        <w:t>在阿勒泰地区公共资源交易平台上传加密电子投标文件一份。</w:t>
      </w:r>
    </w:p>
    <w:p w14:paraId="4ED5007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4、按响应文件要求提供和交付的货物及相关服务的响应报价详见开标一览表。</w:t>
      </w:r>
    </w:p>
    <w:p w14:paraId="09492FAB">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5、保证忠实地执行双方所签订的合同，并承担合同规定的责任和义务。</w:t>
      </w:r>
    </w:p>
    <w:p w14:paraId="20CF064E">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6、我方承诺完全满足和响应响应文件中的各项技术和服务要求，若有偏差，已在投标文件偏离表中予以明确特别说明。</w:t>
      </w:r>
    </w:p>
    <w:p w14:paraId="0DA21F0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7、我方承诺：完全理解响应报价若超过项目预算时，投标将被拒绝。</w:t>
      </w:r>
    </w:p>
    <w:p w14:paraId="79A3C9B9">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8、我方承诺：与在本项目中设计编制技术规格的机构及其附属机构无任何直接隶属关系和利益关联。</w:t>
      </w:r>
    </w:p>
    <w:p w14:paraId="3E8A5EF9">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9、如果在开标后规定的投标有效期内撤回投标，我方的投标保证金可被贵方没收。</w:t>
      </w:r>
    </w:p>
    <w:p w14:paraId="6ADB9275">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10、我方完全理解贵方不一定接受最低价的投标或收到的任何投标。</w:t>
      </w:r>
    </w:p>
    <w:p w14:paraId="17CA181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我方承诺：投标文件所提供的一切资料及阿勒泰地区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38ADC54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12、我方已详细审核全部投标文件，包括投标文件修改书（如有的话）、参考资料及有关附件，确认无误。</w:t>
      </w:r>
    </w:p>
    <w:p w14:paraId="1A7336A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13、我方承诺：采购人若需追加采购本项目响应文件所列货物及相关服务的，在不改变合同其他实质性条款的前提下，按相同或更优惠的折扣率保证供货。</w:t>
      </w:r>
    </w:p>
    <w:p w14:paraId="02B4321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14、我方承诺：如所报货物属国家强制认证产品的，均已通过认证且在有效期内，否则，由此产生的一切法律责任由我方承担。</w:t>
      </w:r>
    </w:p>
    <w:p w14:paraId="118C7A5A">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15、我方承诺：接受响应文件中的全部条款且无任何异议，保证遵守响应文件的规定。</w:t>
      </w:r>
    </w:p>
    <w:p w14:paraId="21DBDC3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13400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1）提供虚假材料谋取中标、成交的；</w:t>
      </w:r>
    </w:p>
    <w:p w14:paraId="0B51443C">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2）采取不正当手段诋毁、排挤其他供应商的；</w:t>
      </w:r>
    </w:p>
    <w:p w14:paraId="20F82681">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3）与采购人、其他供应商或者集中采购机构工作人员恶意串通的；</w:t>
      </w:r>
    </w:p>
    <w:p w14:paraId="613B33F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4）向采购人、集中采购机构工作人员行贿或者提供其他不正当利益的；</w:t>
      </w:r>
    </w:p>
    <w:p w14:paraId="0D752DD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5）在采购过程中与采购人进行协商谈判的；</w:t>
      </w:r>
    </w:p>
    <w:p w14:paraId="6EA3DABF">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6）拒绝有关部门监督检查或提供虚假情况的。</w:t>
      </w:r>
    </w:p>
    <w:p w14:paraId="1F5B5BC7">
      <w:pPr>
        <w:pStyle w:val="9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17、</w:t>
      </w:r>
    </w:p>
    <w:p w14:paraId="2AAD7C9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与本投标有关的一切往来通讯请寄：</w:t>
      </w:r>
    </w:p>
    <w:p w14:paraId="40957CB1">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地址：____________________________________________________</w:t>
      </w:r>
    </w:p>
    <w:p w14:paraId="541E5EF0">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邮编：____________　</w:t>
      </w:r>
    </w:p>
    <w:p w14:paraId="3052BAF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电话：____________　</w:t>
      </w:r>
    </w:p>
    <w:p w14:paraId="16F7665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传真：____________</w:t>
      </w:r>
    </w:p>
    <w:p w14:paraId="6FDD9DA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供应商法定代表人或授权代理人联系电话，e-mail：</w:t>
      </w:r>
    </w:p>
    <w:p w14:paraId="031C69C9">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2F2439D1">
      <w:pPr>
        <w:pStyle w:val="104"/>
        <w:widowControl/>
        <w:spacing w:line="360" w:lineRule="auto"/>
        <w:ind w:left="101" w:leftChars="48" w:firstLine="422" w:firstLineChars="15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供应商法定代表人电子签章：</w:t>
      </w:r>
    </w:p>
    <w:p w14:paraId="586D18AC">
      <w:pPr>
        <w:pStyle w:val="104"/>
        <w:widowControl/>
        <w:spacing w:line="360" w:lineRule="auto"/>
        <w:ind w:left="0" w:leftChars="0"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供应商公章：</w:t>
      </w:r>
    </w:p>
    <w:p w14:paraId="52DA3184">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 xml:space="preserve"> 日　期：</w:t>
      </w:r>
    </w:p>
    <w:p w14:paraId="0D7637EC">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286D4F53">
      <w:pPr>
        <w:pStyle w:val="104"/>
        <w:widowControl/>
        <w:spacing w:line="360" w:lineRule="auto"/>
        <w:ind w:left="0" w:leftChars="0"/>
        <w:rPr>
          <w:rFonts w:hint="eastAsia" w:ascii="仿宋_GB2312" w:hAnsi="仿宋_GB2312" w:eastAsia="仿宋_GB2312" w:cs="仿宋_GB2312"/>
          <w:b/>
          <w:color w:val="000000" w:themeColor="text1"/>
          <w:sz w:val="28"/>
          <w:szCs w:val="28"/>
          <w14:textFill>
            <w14:solidFill>
              <w14:schemeClr w14:val="tx1"/>
            </w14:solidFill>
          </w14:textFill>
        </w:rPr>
      </w:pPr>
    </w:p>
    <w:p w14:paraId="6D09DA3D">
      <w:pPr>
        <w:pStyle w:val="104"/>
        <w:widowControl/>
        <w:spacing w:line="360" w:lineRule="auto"/>
        <w:ind w:left="279" w:leftChars="133" w:firstLine="0" w:firstLineChars="0"/>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说明：除可填报项目外，对本投标函的任何修改将被视为非实质性响应投标，从而导致该投标被拒绝</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368587BC">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☆（八）报价一览表</w:t>
      </w:r>
    </w:p>
    <w:p w14:paraId="273F3467">
      <w:pPr>
        <w:pStyle w:val="108"/>
        <w:spacing w:after="0" w:line="360" w:lineRule="auto"/>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14:paraId="7C28AB2F">
      <w:pPr>
        <w:pStyle w:val="17"/>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16706F87">
      <w:pPr>
        <w:pStyle w:val="17"/>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51D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93" w:type="dxa"/>
            <w:noWrap w:val="0"/>
            <w:vAlign w:val="top"/>
          </w:tcPr>
          <w:p w14:paraId="3D15FA0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标题</w:t>
            </w:r>
          </w:p>
        </w:tc>
        <w:tc>
          <w:tcPr>
            <w:tcW w:w="6435" w:type="dxa"/>
            <w:noWrap w:val="0"/>
            <w:vAlign w:val="top"/>
          </w:tcPr>
          <w:p w14:paraId="6B94062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内容</w:t>
            </w:r>
          </w:p>
        </w:tc>
      </w:tr>
      <w:tr w14:paraId="1D1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93" w:type="dxa"/>
            <w:noWrap w:val="0"/>
            <w:vAlign w:val="top"/>
          </w:tcPr>
          <w:p w14:paraId="7CEF270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投标总价</w:t>
            </w:r>
          </w:p>
        </w:tc>
        <w:tc>
          <w:tcPr>
            <w:tcW w:w="6435" w:type="dxa"/>
            <w:noWrap w:val="0"/>
            <w:vAlign w:val="top"/>
          </w:tcPr>
          <w:p w14:paraId="6478883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元</w:t>
            </w:r>
          </w:p>
        </w:tc>
      </w:tr>
      <w:tr w14:paraId="6795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3BE7FA5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项目经理</w:t>
            </w:r>
          </w:p>
        </w:tc>
        <w:tc>
          <w:tcPr>
            <w:tcW w:w="6435" w:type="dxa"/>
            <w:noWrap w:val="0"/>
            <w:vAlign w:val="top"/>
          </w:tcPr>
          <w:p w14:paraId="24425E1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6CC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8165CE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完成</w:t>
            </w:r>
            <w:r>
              <w:rPr>
                <w:rFonts w:hint="eastAsia" w:ascii="仿宋_GB2312" w:hAnsi="仿宋_GB2312" w:eastAsia="仿宋_GB2312" w:cs="仿宋_GB2312"/>
                <w:color w:val="000000" w:themeColor="text1"/>
                <w:sz w:val="28"/>
                <w:szCs w:val="28"/>
                <w14:textFill>
                  <w14:solidFill>
                    <w14:schemeClr w14:val="tx1"/>
                  </w14:solidFill>
                </w14:textFill>
              </w:rPr>
              <w:t>期限</w:t>
            </w:r>
          </w:p>
        </w:tc>
        <w:tc>
          <w:tcPr>
            <w:tcW w:w="6435" w:type="dxa"/>
            <w:noWrap w:val="0"/>
            <w:vAlign w:val="top"/>
          </w:tcPr>
          <w:p w14:paraId="14E164F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14:paraId="3AD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0A21F4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sz w:val="28"/>
                <w:szCs w:val="28"/>
              </w:rPr>
              <w:t>备注：</w:t>
            </w:r>
            <w:r>
              <w:rPr>
                <w:rFonts w:hint="eastAsia" w:ascii="仿宋_GB2312" w:hAnsi="仿宋_GB2312" w:eastAsia="仿宋_GB2312" w:cs="仿宋_GB2312"/>
                <w:bCs/>
                <w:sz w:val="28"/>
                <w:szCs w:val="28"/>
                <w:lang w:val="en-US" w:eastAsia="zh-CN"/>
              </w:rPr>
              <w:t xml:space="preserve">投标有效期    </w:t>
            </w:r>
            <w:r>
              <w:rPr>
                <w:rFonts w:hint="eastAsia" w:ascii="仿宋_GB2312" w:hAnsi="仿宋_GB2312" w:eastAsia="仿宋_GB2312" w:cs="仿宋_GB2312"/>
                <w:color w:val="000000"/>
                <w:sz w:val="28"/>
                <w:szCs w:val="28"/>
                <w:highlight w:val="none"/>
                <w:lang w:val="zh-CN"/>
              </w:rPr>
              <w:t>日</w:t>
            </w:r>
            <w:r>
              <w:rPr>
                <w:rFonts w:hint="eastAsia" w:ascii="仿宋_GB2312" w:hAnsi="仿宋_GB2312" w:eastAsia="仿宋_GB2312" w:cs="仿宋_GB2312"/>
                <w:color w:val="000000"/>
                <w:sz w:val="28"/>
                <w:szCs w:val="28"/>
                <w:lang w:val="zh-CN"/>
              </w:rPr>
              <w:t>历天</w:t>
            </w:r>
          </w:p>
        </w:tc>
        <w:tc>
          <w:tcPr>
            <w:tcW w:w="6435" w:type="dxa"/>
            <w:noWrap w:val="0"/>
            <w:vAlign w:val="top"/>
          </w:tcPr>
          <w:p w14:paraId="2A528900">
            <w:pPr>
              <w:tabs>
                <w:tab w:val="left" w:pos="3638"/>
              </w:tabs>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r>
    </w:tbl>
    <w:p w14:paraId="1B41C5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53072FD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说明：1、投标人严格按照规定的格式填写。投标总价为优惠后报价，并作为评审及定标的依据。</w:t>
      </w:r>
    </w:p>
    <w:p w14:paraId="2105CD6F">
      <w:pPr>
        <w:numPr>
          <w:ilvl w:val="0"/>
          <w:numId w:val="0"/>
        </w:numPr>
        <w:spacing w:line="360" w:lineRule="auto"/>
        <w:ind w:leftChars="0"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任何有选择或有条件的投标总价或表中某一包填写多个报价，均将导致投标被拒绝。</w:t>
      </w:r>
    </w:p>
    <w:p w14:paraId="74F7F77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7BA11C8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4CBEBC80">
      <w:pPr>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投标人电子公章：</w:t>
      </w:r>
    </w:p>
    <w:p w14:paraId="00EA7138">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14:paraId="6E77CAC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   期：</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14:paraId="118914A0">
      <w:pPr>
        <w:pStyle w:val="99"/>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bookmarkStart w:id="163" w:name="_Toc519111294"/>
      <w:bookmarkStart w:id="164" w:name="_Toc519111292"/>
      <w:bookmarkStart w:id="165" w:name="_Toc519111284"/>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☆（九）报价明细表</w:t>
      </w:r>
      <w:bookmarkEnd w:id="163"/>
    </w:p>
    <w:p w14:paraId="1A77EADB">
      <w:pPr>
        <w:pStyle w:val="110"/>
        <w:numPr>
          <w:ilvl w:val="0"/>
          <w:numId w:val="0"/>
        </w:numPr>
        <w:ind w:left="0" w:leftChars="0" w:firstLine="0" w:firstLineChars="0"/>
        <w:outlineLvl w:val="9"/>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项目编号：                                         价格单位：元</w:t>
      </w:r>
    </w:p>
    <w:tbl>
      <w:tblPr>
        <w:tblStyle w:val="3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72"/>
        <w:gridCol w:w="1"/>
        <w:gridCol w:w="850"/>
        <w:gridCol w:w="639"/>
        <w:gridCol w:w="638"/>
        <w:gridCol w:w="679"/>
        <w:gridCol w:w="1489"/>
        <w:gridCol w:w="1448"/>
        <w:gridCol w:w="2"/>
        <w:gridCol w:w="1439"/>
        <w:gridCol w:w="2"/>
      </w:tblGrid>
      <w:tr w14:paraId="290D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center"/>
          </w:tcPr>
          <w:p w14:paraId="54332B43">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序号</w:t>
            </w:r>
          </w:p>
        </w:tc>
        <w:tc>
          <w:tcPr>
            <w:tcW w:w="872" w:type="dxa"/>
            <w:noWrap w:val="0"/>
            <w:vAlign w:val="center"/>
          </w:tcPr>
          <w:p w14:paraId="06669DD8">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报价项目</w:t>
            </w:r>
          </w:p>
        </w:tc>
        <w:tc>
          <w:tcPr>
            <w:tcW w:w="851" w:type="dxa"/>
            <w:gridSpan w:val="2"/>
            <w:noWrap w:val="0"/>
            <w:vAlign w:val="center"/>
          </w:tcPr>
          <w:p w14:paraId="52F4C8F2">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w:t>
            </w:r>
          </w:p>
        </w:tc>
        <w:tc>
          <w:tcPr>
            <w:tcW w:w="639" w:type="dxa"/>
            <w:noWrap w:val="0"/>
            <w:vAlign w:val="center"/>
          </w:tcPr>
          <w:p w14:paraId="51AC7126">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数量</w:t>
            </w:r>
          </w:p>
        </w:tc>
        <w:tc>
          <w:tcPr>
            <w:tcW w:w="638" w:type="dxa"/>
            <w:noWrap w:val="0"/>
            <w:vAlign w:val="center"/>
          </w:tcPr>
          <w:p w14:paraId="7BB0A923">
            <w:pPr>
              <w:spacing w:line="360" w:lineRule="auto"/>
              <w:ind w:firstLine="120" w:firstLineChars="5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单价</w:t>
            </w:r>
          </w:p>
        </w:tc>
        <w:tc>
          <w:tcPr>
            <w:tcW w:w="679" w:type="dxa"/>
            <w:noWrap w:val="0"/>
            <w:vAlign w:val="center"/>
          </w:tcPr>
          <w:p w14:paraId="5799637D">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总价</w:t>
            </w:r>
          </w:p>
        </w:tc>
        <w:tc>
          <w:tcPr>
            <w:tcW w:w="1489" w:type="dxa"/>
            <w:noWrap w:val="0"/>
            <w:vAlign w:val="center"/>
          </w:tcPr>
          <w:p w14:paraId="233A77D7">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取费标准</w:t>
            </w:r>
          </w:p>
          <w:p w14:paraId="785F6E51">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w:t>
            </w:r>
          </w:p>
        </w:tc>
        <w:tc>
          <w:tcPr>
            <w:tcW w:w="1448" w:type="dxa"/>
            <w:noWrap w:val="0"/>
            <w:vAlign w:val="center"/>
          </w:tcPr>
          <w:p w14:paraId="60582E6F">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是否小型微型企业产品</w:t>
            </w:r>
          </w:p>
        </w:tc>
        <w:tc>
          <w:tcPr>
            <w:tcW w:w="1441" w:type="dxa"/>
            <w:gridSpan w:val="2"/>
            <w:noWrap w:val="0"/>
            <w:vAlign w:val="center"/>
          </w:tcPr>
          <w:p w14:paraId="00BADFB3">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备注</w:t>
            </w:r>
          </w:p>
        </w:tc>
      </w:tr>
      <w:tr w14:paraId="354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5C682869">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1F478F1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91B17F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51ED21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09CBEEF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5D68E13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6DD2C2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3EF4BB09">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5DA6E72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240C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0D6A9E3D">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EA270B0">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DC420D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8F80EC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408279D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6FC84DF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6B2BB55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109DA55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1C633F1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4088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7D5AD7E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8EF139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38FDA25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18844F0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9C6FBD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1489339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9F359E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65284AA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7C8EFFA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70B7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7CEBD6D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003C8F2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2AB4230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5369BA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E6BF48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A98D78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1FE857F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0E799AA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D51AE2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24CC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49D5E80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734FCD00">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7573EA2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6FDC574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D77B65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64FBF5F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3F70897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475BA58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4878DDB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3DA0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6271B27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3D584D7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564C436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6032674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1194890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3F85293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73BF12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21F8BF1D">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5543B60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5561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438AC9F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6F9F36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75E71A9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3B9C548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360642A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745CFC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38AD2A2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274F56B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9783CF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6C2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26353CC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75FA3A8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D54E0E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2CAB3D8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DD2E9D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7C758E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6EA5A08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1EEB35C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D7A0F4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41C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06862BB1">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总计</w:t>
            </w:r>
          </w:p>
        </w:tc>
        <w:tc>
          <w:tcPr>
            <w:tcW w:w="5745" w:type="dxa"/>
            <w:gridSpan w:val="7"/>
            <w:noWrap w:val="0"/>
            <w:vAlign w:val="top"/>
          </w:tcPr>
          <w:p w14:paraId="50E2EE1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6972FD1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1ED3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4254DA96">
            <w:pPr>
              <w:spacing w:line="360" w:lineRule="auto"/>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投标总价</w:t>
            </w:r>
          </w:p>
        </w:tc>
        <w:tc>
          <w:tcPr>
            <w:tcW w:w="5745" w:type="dxa"/>
            <w:gridSpan w:val="7"/>
            <w:noWrap w:val="0"/>
            <w:vAlign w:val="center"/>
          </w:tcPr>
          <w:p w14:paraId="5D6C5A9F">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p w14:paraId="46139197">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p w14:paraId="473010D5">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p>
          <w:p w14:paraId="3E3C14E3">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0EF02D10">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（小写）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p>
          <w:p w14:paraId="46CCE043">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p>
        </w:tc>
        <w:tc>
          <w:tcPr>
            <w:tcW w:w="1441" w:type="dxa"/>
            <w:gridSpan w:val="2"/>
            <w:noWrap w:val="0"/>
            <w:vAlign w:val="center"/>
          </w:tcPr>
          <w:p w14:paraId="33A41E57">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14:paraId="6B41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22E499A7">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备注</w:t>
            </w:r>
          </w:p>
        </w:tc>
        <w:tc>
          <w:tcPr>
            <w:tcW w:w="5745" w:type="dxa"/>
            <w:gridSpan w:val="7"/>
            <w:noWrap w:val="0"/>
            <w:vAlign w:val="top"/>
          </w:tcPr>
          <w:p w14:paraId="0D96069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3E89F5E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bl>
    <w:p w14:paraId="40F9D6FD">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说明：1、</w:t>
      </w:r>
      <w:r>
        <w:rPr>
          <w:rFonts w:hint="eastAsia" w:ascii="仿宋_GB2312" w:hAnsi="仿宋_GB2312" w:eastAsia="仿宋_GB2312" w:cs="仿宋_GB2312"/>
          <w:bCs/>
          <w:color w:val="000000" w:themeColor="text1"/>
          <w:sz w:val="24"/>
          <w:szCs w:val="24"/>
          <w14:textFill>
            <w14:solidFill>
              <w14:schemeClr w14:val="tx1"/>
            </w14:solidFill>
          </w14:textFill>
        </w:rPr>
        <w:t>投标人必须填写</w:t>
      </w:r>
      <w:r>
        <w:rPr>
          <w:rFonts w:hint="eastAsia" w:ascii="仿宋_GB2312" w:hAnsi="仿宋_GB2312" w:eastAsia="仿宋_GB2312" w:cs="仿宋_GB2312"/>
          <w:color w:val="000000" w:themeColor="text1"/>
          <w:sz w:val="24"/>
          <w:szCs w:val="24"/>
          <w14:textFill>
            <w14:solidFill>
              <w14:schemeClr w14:val="tx1"/>
            </w14:solidFill>
          </w14:textFill>
        </w:rPr>
        <w:t>报价明细表</w:t>
      </w:r>
      <w:r>
        <w:rPr>
          <w:rFonts w:hint="eastAsia" w:ascii="仿宋_GB2312" w:hAnsi="仿宋_GB2312" w:eastAsia="仿宋_GB2312" w:cs="仿宋_GB2312"/>
          <w:bCs/>
          <w:color w:val="000000" w:themeColor="text1"/>
          <w:sz w:val="24"/>
          <w:szCs w:val="24"/>
          <w14:textFill>
            <w14:solidFill>
              <w14:schemeClr w14:val="tx1"/>
            </w14:solidFill>
          </w14:textFill>
        </w:rPr>
        <w:t>，否则将导致投标被拒绝。</w:t>
      </w:r>
    </w:p>
    <w:p w14:paraId="2C076DD2">
      <w:pPr>
        <w:spacing w:line="360" w:lineRule="auto"/>
        <w:ind w:left="7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2、报价明细表中的“投标总价”应等于“开标一览表”中的“投标总价”。</w:t>
      </w:r>
    </w:p>
    <w:p w14:paraId="7EE1CD3C">
      <w:pPr>
        <w:spacing w:line="360" w:lineRule="auto"/>
        <w:ind w:left="7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3、报价项目填报不下的，可自行照扩展。</w:t>
      </w:r>
    </w:p>
    <w:p w14:paraId="136BA93F">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51EDC11B">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1EFE9623">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5A9E9BF7">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年   月   日               </w:t>
      </w:r>
    </w:p>
    <w:p w14:paraId="25D23329">
      <w:pPr>
        <w:pStyle w:val="113"/>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2EB758F5">
      <w:pPr>
        <w:pStyle w:val="113"/>
        <w:outlineLvl w:val="9"/>
        <w:rPr>
          <w:rFonts w:hint="default" w:ascii="Times New Roman" w:hAnsi="Times New Roman" w:cs="Times New Roman"/>
          <w:color w:val="000000" w:themeColor="text1"/>
          <w14:textFill>
            <w14:solidFill>
              <w14:schemeClr w14:val="tx1"/>
            </w14:solidFill>
          </w14:textFill>
        </w:rPr>
      </w:pPr>
    </w:p>
    <w:p w14:paraId="10293502">
      <w:pPr>
        <w:pStyle w:val="113"/>
        <w:outlineLvl w:val="9"/>
        <w:rPr>
          <w:rFonts w:hint="default" w:ascii="Times New Roman" w:hAnsi="Times New Roman" w:cs="Times New Roman"/>
          <w:color w:val="000000" w:themeColor="text1"/>
          <w14:textFill>
            <w14:solidFill>
              <w14:schemeClr w14:val="tx1"/>
            </w14:solidFill>
          </w14:textFill>
        </w:rPr>
      </w:pPr>
    </w:p>
    <w:p w14:paraId="14EFC952">
      <w:pPr>
        <w:pStyle w:val="113"/>
        <w:outlineLvl w:val="9"/>
        <w:rPr>
          <w:rFonts w:hint="default" w:ascii="Times New Roman" w:hAnsi="Times New Roman" w:cs="Times New Roman"/>
          <w:color w:val="000000" w:themeColor="text1"/>
          <w14:textFill>
            <w14:solidFill>
              <w14:schemeClr w14:val="tx1"/>
            </w14:solidFill>
          </w14:textFill>
        </w:rPr>
      </w:pPr>
    </w:p>
    <w:p w14:paraId="6119AF8E">
      <w:pPr>
        <w:pStyle w:val="113"/>
        <w:outlineLvl w:val="9"/>
        <w:rPr>
          <w:rFonts w:hint="default" w:ascii="Times New Roman" w:hAnsi="Times New Roman" w:cs="Times New Roman"/>
          <w:color w:val="000000" w:themeColor="text1"/>
          <w14:textFill>
            <w14:solidFill>
              <w14:schemeClr w14:val="tx1"/>
            </w14:solidFill>
          </w14:textFill>
        </w:rPr>
      </w:pPr>
    </w:p>
    <w:p w14:paraId="0D4F4E95">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6" w:name="_Toc519111295"/>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☆（十）售后服务承诺书</w:t>
      </w:r>
      <w:bookmarkEnd w:id="166"/>
    </w:p>
    <w:p w14:paraId="2FBDB0D0">
      <w:pPr>
        <w:pStyle w:val="113"/>
        <w:outlineLvl w:val="9"/>
        <w:rPr>
          <w:rFonts w:hint="default" w:ascii="Times New Roman" w:hAnsi="Times New Roman" w:cs="Times New Roman"/>
          <w:color w:val="000000" w:themeColor="text1"/>
          <w14:textFill>
            <w14:solidFill>
              <w14:schemeClr w14:val="tx1"/>
            </w14:solidFill>
          </w14:textFill>
        </w:rPr>
      </w:pPr>
    </w:p>
    <w:p w14:paraId="3247378D">
      <w:pPr>
        <w:pStyle w:val="113"/>
        <w:outlineLvl w:val="9"/>
        <w:rPr>
          <w:rFonts w:hint="default" w:ascii="Times New Roman" w:hAnsi="Times New Roman" w:cs="Times New Roman"/>
          <w:color w:val="000000" w:themeColor="text1"/>
          <w14:textFill>
            <w14:solidFill>
              <w14:schemeClr w14:val="tx1"/>
            </w14:solidFill>
          </w14:textFill>
        </w:rPr>
      </w:pPr>
    </w:p>
    <w:p w14:paraId="163D0484">
      <w:pPr>
        <w:pStyle w:val="113"/>
        <w:outlineLvl w:val="9"/>
        <w:rPr>
          <w:rFonts w:hint="default" w:ascii="Times New Roman" w:hAnsi="Times New Roman" w:cs="Times New Roman"/>
          <w:color w:val="000000" w:themeColor="text1"/>
          <w14:textFill>
            <w14:solidFill>
              <w14:schemeClr w14:val="tx1"/>
            </w14:solidFill>
          </w14:textFill>
        </w:rPr>
      </w:pPr>
    </w:p>
    <w:p w14:paraId="174B4929">
      <w:pPr>
        <w:pStyle w:val="113"/>
        <w:outlineLvl w:val="9"/>
        <w:rPr>
          <w:rFonts w:hint="default" w:ascii="Times New Roman" w:hAnsi="Times New Roman" w:cs="Times New Roman"/>
          <w:color w:val="000000" w:themeColor="text1"/>
          <w14:textFill>
            <w14:solidFill>
              <w14:schemeClr w14:val="tx1"/>
            </w14:solidFill>
          </w14:textFill>
        </w:rPr>
      </w:pPr>
    </w:p>
    <w:p w14:paraId="24882859">
      <w:pPr>
        <w:pStyle w:val="113"/>
        <w:outlineLvl w:val="9"/>
        <w:rPr>
          <w:rFonts w:hint="default" w:ascii="Times New Roman" w:hAnsi="Times New Roman" w:cs="Times New Roman"/>
          <w:color w:val="000000" w:themeColor="text1"/>
          <w14:textFill>
            <w14:solidFill>
              <w14:schemeClr w14:val="tx1"/>
            </w14:solidFill>
          </w14:textFill>
        </w:rPr>
      </w:pPr>
    </w:p>
    <w:p w14:paraId="0A31E5BD">
      <w:pPr>
        <w:pStyle w:val="113"/>
        <w:outlineLvl w:val="9"/>
        <w:rPr>
          <w:rFonts w:hint="default" w:ascii="Times New Roman" w:hAnsi="Times New Roman" w:cs="Times New Roman"/>
          <w:color w:val="000000" w:themeColor="text1"/>
          <w14:textFill>
            <w14:solidFill>
              <w14:schemeClr w14:val="tx1"/>
            </w14:solidFill>
          </w14:textFill>
        </w:rPr>
      </w:pPr>
    </w:p>
    <w:p w14:paraId="79CC5134">
      <w:pPr>
        <w:pStyle w:val="113"/>
        <w:outlineLvl w:val="9"/>
        <w:rPr>
          <w:rFonts w:hint="default" w:ascii="Times New Roman" w:hAnsi="Times New Roman" w:cs="Times New Roman"/>
          <w:color w:val="000000" w:themeColor="text1"/>
          <w14:textFill>
            <w14:solidFill>
              <w14:schemeClr w14:val="tx1"/>
            </w14:solidFill>
          </w14:textFill>
        </w:rPr>
      </w:pPr>
    </w:p>
    <w:p w14:paraId="5B23059F">
      <w:pPr>
        <w:pStyle w:val="113"/>
        <w:outlineLvl w:val="9"/>
        <w:rPr>
          <w:rFonts w:hint="default" w:ascii="Times New Roman" w:hAnsi="Times New Roman" w:cs="Times New Roman"/>
          <w:color w:val="000000" w:themeColor="text1"/>
          <w14:textFill>
            <w14:solidFill>
              <w14:schemeClr w14:val="tx1"/>
            </w14:solidFill>
          </w14:textFill>
        </w:rPr>
      </w:pPr>
    </w:p>
    <w:p w14:paraId="67EDFD5F">
      <w:pPr>
        <w:pStyle w:val="113"/>
        <w:outlineLvl w:val="9"/>
        <w:rPr>
          <w:rFonts w:hint="default" w:ascii="Times New Roman" w:hAnsi="Times New Roman" w:cs="Times New Roman"/>
          <w:color w:val="000000" w:themeColor="text1"/>
          <w14:textFill>
            <w14:solidFill>
              <w14:schemeClr w14:val="tx1"/>
            </w14:solidFill>
          </w14:textFill>
        </w:rPr>
      </w:pPr>
    </w:p>
    <w:p w14:paraId="56DF8A9A">
      <w:pPr>
        <w:pStyle w:val="113"/>
        <w:outlineLvl w:val="9"/>
        <w:rPr>
          <w:rFonts w:hint="default" w:ascii="Times New Roman" w:hAnsi="Times New Roman" w:cs="Times New Roman"/>
          <w:color w:val="000000" w:themeColor="text1"/>
          <w14:textFill>
            <w14:solidFill>
              <w14:schemeClr w14:val="tx1"/>
            </w14:solidFill>
          </w14:textFill>
        </w:rPr>
      </w:pPr>
    </w:p>
    <w:p w14:paraId="1DBC1D84">
      <w:pPr>
        <w:pStyle w:val="113"/>
        <w:outlineLvl w:val="9"/>
        <w:rPr>
          <w:rFonts w:hint="default" w:ascii="Times New Roman" w:hAnsi="Times New Roman" w:cs="Times New Roman"/>
          <w:color w:val="000000" w:themeColor="text1"/>
          <w14:textFill>
            <w14:solidFill>
              <w14:schemeClr w14:val="tx1"/>
            </w14:solidFill>
          </w14:textFill>
        </w:rPr>
      </w:pPr>
    </w:p>
    <w:p w14:paraId="2BD30054">
      <w:pPr>
        <w:pStyle w:val="113"/>
        <w:outlineLvl w:val="9"/>
        <w:rPr>
          <w:rFonts w:hint="default" w:ascii="Times New Roman" w:hAnsi="Times New Roman" w:cs="Times New Roman"/>
          <w:color w:val="000000" w:themeColor="text1"/>
          <w14:textFill>
            <w14:solidFill>
              <w14:schemeClr w14:val="tx1"/>
            </w14:solidFill>
          </w14:textFill>
        </w:rPr>
      </w:pPr>
    </w:p>
    <w:p w14:paraId="4E5C02A5">
      <w:pPr>
        <w:pStyle w:val="113"/>
        <w:outlineLvl w:val="9"/>
        <w:rPr>
          <w:rFonts w:hint="default" w:ascii="Times New Roman" w:hAnsi="Times New Roman" w:cs="Times New Roman"/>
          <w:color w:val="000000" w:themeColor="text1"/>
          <w14:textFill>
            <w14:solidFill>
              <w14:schemeClr w14:val="tx1"/>
            </w14:solidFill>
          </w14:textFill>
        </w:rPr>
      </w:pPr>
    </w:p>
    <w:p w14:paraId="3099150B">
      <w:pPr>
        <w:pStyle w:val="113"/>
        <w:outlineLvl w:val="9"/>
        <w:rPr>
          <w:rFonts w:hint="default" w:ascii="Times New Roman" w:hAnsi="Times New Roman" w:cs="Times New Roman"/>
          <w:color w:val="000000" w:themeColor="text1"/>
          <w14:textFill>
            <w14:solidFill>
              <w14:schemeClr w14:val="tx1"/>
            </w14:solidFill>
          </w14:textFill>
        </w:rPr>
      </w:pPr>
    </w:p>
    <w:p w14:paraId="31DF88C4">
      <w:pPr>
        <w:pStyle w:val="113"/>
        <w:outlineLvl w:val="9"/>
        <w:rPr>
          <w:rFonts w:hint="default" w:ascii="Times New Roman" w:hAnsi="Times New Roman" w:cs="Times New Roman"/>
          <w:color w:val="000000" w:themeColor="text1"/>
          <w14:textFill>
            <w14:solidFill>
              <w14:schemeClr w14:val="tx1"/>
            </w14:solidFill>
          </w14:textFill>
        </w:rPr>
      </w:pPr>
    </w:p>
    <w:p w14:paraId="338808DA">
      <w:pPr>
        <w:pStyle w:val="113"/>
        <w:outlineLvl w:val="9"/>
        <w:rPr>
          <w:rFonts w:hint="default" w:ascii="Times New Roman" w:hAnsi="Times New Roman" w:cs="Times New Roman"/>
          <w:color w:val="000000" w:themeColor="text1"/>
          <w14:textFill>
            <w14:solidFill>
              <w14:schemeClr w14:val="tx1"/>
            </w14:solidFill>
          </w14:textFill>
        </w:rPr>
      </w:pPr>
    </w:p>
    <w:p w14:paraId="516B7725">
      <w:pPr>
        <w:pStyle w:val="113"/>
        <w:outlineLvl w:val="9"/>
        <w:rPr>
          <w:rFonts w:hint="default" w:ascii="Times New Roman" w:hAnsi="Times New Roman" w:cs="Times New Roman"/>
          <w:color w:val="000000" w:themeColor="text1"/>
          <w14:textFill>
            <w14:solidFill>
              <w14:schemeClr w14:val="tx1"/>
            </w14:solidFill>
          </w14:textFill>
        </w:rPr>
      </w:pPr>
    </w:p>
    <w:p w14:paraId="38D30374">
      <w:pPr>
        <w:pStyle w:val="113"/>
        <w:outlineLvl w:val="9"/>
        <w:rPr>
          <w:rFonts w:hint="default" w:ascii="Times New Roman" w:hAnsi="Times New Roman" w:cs="Times New Roman"/>
          <w:color w:val="000000" w:themeColor="text1"/>
          <w14:textFill>
            <w14:solidFill>
              <w14:schemeClr w14:val="tx1"/>
            </w14:solidFill>
          </w14:textFill>
        </w:rPr>
      </w:pPr>
    </w:p>
    <w:p w14:paraId="625E587B">
      <w:pPr>
        <w:pStyle w:val="113"/>
        <w:outlineLvl w:val="9"/>
        <w:rPr>
          <w:rFonts w:hint="default" w:ascii="Times New Roman" w:hAnsi="Times New Roman" w:cs="Times New Roman"/>
          <w:color w:val="000000" w:themeColor="text1"/>
          <w14:textFill>
            <w14:solidFill>
              <w14:schemeClr w14:val="tx1"/>
            </w14:solidFill>
          </w14:textFill>
        </w:rPr>
      </w:pPr>
    </w:p>
    <w:p w14:paraId="1246F325">
      <w:pPr>
        <w:pStyle w:val="113"/>
        <w:outlineLvl w:val="9"/>
        <w:rPr>
          <w:rFonts w:hint="default" w:ascii="Times New Roman" w:hAnsi="Times New Roman" w:cs="Times New Roman"/>
          <w:color w:val="000000" w:themeColor="text1"/>
          <w14:textFill>
            <w14:solidFill>
              <w14:schemeClr w14:val="tx1"/>
            </w14:solidFill>
          </w14:textFill>
        </w:rPr>
      </w:pPr>
    </w:p>
    <w:p w14:paraId="2C30DD1F">
      <w:pPr>
        <w:pStyle w:val="113"/>
        <w:outlineLvl w:val="9"/>
        <w:rPr>
          <w:rFonts w:hint="default" w:ascii="Times New Roman" w:hAnsi="Times New Roman" w:cs="Times New Roman"/>
          <w:color w:val="000000" w:themeColor="text1"/>
          <w14:textFill>
            <w14:solidFill>
              <w14:schemeClr w14:val="tx1"/>
            </w14:solidFill>
          </w14:textFill>
        </w:rPr>
      </w:pPr>
    </w:p>
    <w:p w14:paraId="70F922EF">
      <w:pPr>
        <w:pStyle w:val="113"/>
        <w:outlineLvl w:val="9"/>
        <w:rPr>
          <w:rFonts w:hint="default" w:ascii="Times New Roman" w:hAnsi="Times New Roman" w:cs="Times New Roman"/>
          <w:color w:val="000000" w:themeColor="text1"/>
          <w14:textFill>
            <w14:solidFill>
              <w14:schemeClr w14:val="tx1"/>
            </w14:solidFill>
          </w14:textFill>
        </w:rPr>
      </w:pPr>
    </w:p>
    <w:p w14:paraId="08E8276C">
      <w:pPr>
        <w:pStyle w:val="113"/>
        <w:outlineLvl w:val="9"/>
        <w:rPr>
          <w:rFonts w:hint="default" w:ascii="Times New Roman" w:hAnsi="Times New Roman" w:cs="Times New Roman"/>
          <w:color w:val="000000" w:themeColor="text1"/>
          <w14:textFill>
            <w14:solidFill>
              <w14:schemeClr w14:val="tx1"/>
            </w14:solidFill>
          </w14:textFill>
        </w:rPr>
      </w:pPr>
    </w:p>
    <w:p w14:paraId="19454ED3">
      <w:pPr>
        <w:pStyle w:val="113"/>
        <w:outlineLvl w:val="9"/>
        <w:rPr>
          <w:rFonts w:hint="default" w:ascii="Times New Roman" w:hAnsi="Times New Roman" w:cs="Times New Roman"/>
          <w:color w:val="000000" w:themeColor="text1"/>
          <w14:textFill>
            <w14:solidFill>
              <w14:schemeClr w14:val="tx1"/>
            </w14:solidFill>
          </w14:textFill>
        </w:rPr>
      </w:pPr>
    </w:p>
    <w:p w14:paraId="04BE1DBF">
      <w:pPr>
        <w:pStyle w:val="113"/>
        <w:outlineLvl w:val="9"/>
        <w:rPr>
          <w:rFonts w:hint="default" w:ascii="Times New Roman" w:hAnsi="Times New Roman" w:cs="Times New Roman"/>
          <w:color w:val="000000" w:themeColor="text1"/>
          <w14:textFill>
            <w14:solidFill>
              <w14:schemeClr w14:val="tx1"/>
            </w14:solidFill>
          </w14:textFill>
        </w:rPr>
      </w:pPr>
    </w:p>
    <w:p w14:paraId="51E0B2AE">
      <w:pPr>
        <w:pStyle w:val="113"/>
        <w:outlineLvl w:val="9"/>
        <w:rPr>
          <w:rFonts w:hint="default" w:ascii="Times New Roman" w:hAnsi="Times New Roman" w:cs="Times New Roman"/>
          <w:color w:val="000000" w:themeColor="text1"/>
          <w14:textFill>
            <w14:solidFill>
              <w14:schemeClr w14:val="tx1"/>
            </w14:solidFill>
          </w14:textFill>
        </w:rPr>
      </w:pPr>
    </w:p>
    <w:p w14:paraId="0294D047">
      <w:pPr>
        <w:pStyle w:val="113"/>
        <w:outlineLvl w:val="9"/>
        <w:rPr>
          <w:rFonts w:hint="default" w:ascii="Times New Roman" w:hAnsi="Times New Roman" w:cs="Times New Roman"/>
          <w:color w:val="000000" w:themeColor="text1"/>
          <w14:textFill>
            <w14:solidFill>
              <w14:schemeClr w14:val="tx1"/>
            </w14:solidFill>
          </w14:textFill>
        </w:rPr>
      </w:pPr>
    </w:p>
    <w:p w14:paraId="0AF9854B">
      <w:pPr>
        <w:pStyle w:val="113"/>
        <w:outlineLvl w:val="9"/>
        <w:rPr>
          <w:rFonts w:hint="default" w:ascii="Times New Roman" w:hAnsi="Times New Roman" w:cs="Times New Roman"/>
          <w:color w:val="000000" w:themeColor="text1"/>
          <w14:textFill>
            <w14:solidFill>
              <w14:schemeClr w14:val="tx1"/>
            </w14:solidFill>
          </w14:textFill>
        </w:rPr>
      </w:pPr>
    </w:p>
    <w:p w14:paraId="6B00808C">
      <w:pPr>
        <w:pStyle w:val="113"/>
        <w:outlineLvl w:val="9"/>
        <w:rPr>
          <w:rFonts w:hint="default" w:ascii="Times New Roman" w:hAnsi="Times New Roman" w:cs="Times New Roman"/>
          <w:color w:val="000000" w:themeColor="text1"/>
          <w14:textFill>
            <w14:solidFill>
              <w14:schemeClr w14:val="tx1"/>
            </w14:solidFill>
          </w14:textFill>
        </w:rPr>
      </w:pPr>
    </w:p>
    <w:p w14:paraId="10F75268">
      <w:pPr>
        <w:pStyle w:val="113"/>
        <w:outlineLvl w:val="9"/>
        <w:rPr>
          <w:rFonts w:hint="default" w:ascii="Times New Roman" w:hAnsi="Times New Roman" w:cs="Times New Roman"/>
          <w:color w:val="000000" w:themeColor="text1"/>
          <w14:textFill>
            <w14:solidFill>
              <w14:schemeClr w14:val="tx1"/>
            </w14:solidFill>
          </w14:textFill>
        </w:rPr>
      </w:pPr>
    </w:p>
    <w:p w14:paraId="6DE5D3DD">
      <w:pPr>
        <w:pStyle w:val="113"/>
        <w:outlineLvl w:val="9"/>
        <w:rPr>
          <w:rFonts w:hint="default" w:ascii="Times New Roman" w:hAnsi="Times New Roman" w:cs="Times New Roman"/>
          <w:color w:val="000000" w:themeColor="text1"/>
          <w14:textFill>
            <w14:solidFill>
              <w14:schemeClr w14:val="tx1"/>
            </w14:solidFill>
          </w14:textFill>
        </w:rPr>
      </w:pPr>
    </w:p>
    <w:p w14:paraId="4E2566AE">
      <w:pPr>
        <w:pStyle w:val="113"/>
        <w:outlineLvl w:val="9"/>
        <w:rPr>
          <w:rFonts w:hint="default" w:ascii="Times New Roman" w:hAnsi="Times New Roman" w:cs="Times New Roman"/>
          <w:color w:val="000000" w:themeColor="text1"/>
          <w14:textFill>
            <w14:solidFill>
              <w14:schemeClr w14:val="tx1"/>
            </w14:solidFill>
          </w14:textFill>
        </w:rPr>
      </w:pPr>
    </w:p>
    <w:p w14:paraId="521F9BF4">
      <w:pPr>
        <w:pStyle w:val="113"/>
        <w:outlineLvl w:val="9"/>
        <w:rPr>
          <w:rFonts w:hint="default" w:ascii="Times New Roman" w:hAnsi="Times New Roman" w:cs="Times New Roman"/>
          <w:color w:val="000000" w:themeColor="text1"/>
          <w14:textFill>
            <w14:solidFill>
              <w14:schemeClr w14:val="tx1"/>
            </w14:solidFill>
          </w14:textFill>
        </w:rPr>
      </w:pPr>
    </w:p>
    <w:p w14:paraId="5D5C7D75">
      <w:pPr>
        <w:pStyle w:val="113"/>
        <w:outlineLvl w:val="9"/>
        <w:rPr>
          <w:rFonts w:hint="default" w:ascii="Times New Roman" w:hAnsi="Times New Roman" w:cs="Times New Roman"/>
          <w:color w:val="000000" w:themeColor="text1"/>
          <w14:textFill>
            <w14:solidFill>
              <w14:schemeClr w14:val="tx1"/>
            </w14:solidFill>
          </w14:textFill>
        </w:rPr>
      </w:pPr>
    </w:p>
    <w:p w14:paraId="3D18ED08">
      <w:pPr>
        <w:rPr>
          <w:rFonts w:hint="default" w:ascii="Times New Roman" w:hAnsi="Times New Roman" w:eastAsia="宋体" w:cs="Times New Roman"/>
          <w:b/>
          <w:color w:val="000000" w:themeColor="text1"/>
          <w:kern w:val="2"/>
          <w:sz w:val="24"/>
          <w:szCs w:val="22"/>
          <w:lang w:val="en-US" w:eastAsia="zh-CN" w:bidi="ar-SA"/>
          <w14:textFill>
            <w14:solidFill>
              <w14:schemeClr w14:val="tx1"/>
            </w14:solidFill>
          </w14:textFill>
        </w:rPr>
      </w:pPr>
      <w:bookmarkStart w:id="167" w:name="_Toc519111296"/>
      <w:r>
        <w:rPr>
          <w:rFonts w:hint="default" w:ascii="Times New Roman" w:hAnsi="Times New Roman" w:eastAsia="宋体" w:cs="Times New Roman"/>
          <w:b/>
          <w:color w:val="000000" w:themeColor="text1"/>
          <w:kern w:val="2"/>
          <w:sz w:val="24"/>
          <w:szCs w:val="22"/>
          <w:lang w:val="en-US" w:eastAsia="zh-CN" w:bidi="ar-SA"/>
          <w14:textFill>
            <w14:solidFill>
              <w14:schemeClr w14:val="tx1"/>
            </w14:solidFill>
          </w14:textFill>
        </w:rPr>
        <w:br w:type="page"/>
      </w:r>
    </w:p>
    <w:p w14:paraId="7E8F7519">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☆（十一）商务条款偏离说明表</w:t>
      </w:r>
      <w:bookmarkEnd w:id="167"/>
    </w:p>
    <w:p w14:paraId="7A7F604B">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24721D5C">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商务响应、偏离说明表</w:t>
      </w:r>
    </w:p>
    <w:p w14:paraId="5E5DFB66">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采购项目编号：</w:t>
      </w:r>
    </w:p>
    <w:p w14:paraId="382628E6">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采购项目名称：</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0B7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1B88F0D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6F6EBE3">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1FC9AD18">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响应文件商务</w:t>
            </w:r>
          </w:p>
          <w:p w14:paraId="77C12280">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76E1F3E0">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偏离说明</w:t>
            </w:r>
          </w:p>
        </w:tc>
      </w:tr>
      <w:tr w14:paraId="6FC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568DBF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2BB8C5C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2D44FF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44200F1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EB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F47F18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7F2A340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38FF46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6887F73">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2293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C714AD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12B4B7C4">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0FE0819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C1F71F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15CB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27FD564">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14:paraId="5E3265CD">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483B1A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E67115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56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797D13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14:paraId="2C877BD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BAEA1D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16618A3">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0F09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7C192E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14:paraId="55C596B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F7DCE3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1024D7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BCE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A20E21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14:paraId="12AB79A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A59D0A7">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718267C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2DC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0D76A8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14:paraId="572C566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670899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877AE4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1A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6C567BE">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14:paraId="6312F99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A02644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56CAF12B">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447E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70F108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5B310BCE">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749D9A7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7C8B635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bl>
    <w:p w14:paraId="6C6A0B4F">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投标人法定代表人（签章）：</w:t>
      </w:r>
    </w:p>
    <w:p w14:paraId="0014219F">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投标人名称（签章）：</w:t>
      </w:r>
    </w:p>
    <w:p w14:paraId="46AC7BA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14:paraId="17F26609">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1C1F9EE5">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53C97FAD">
      <w:pPr>
        <w:pStyle w:val="113"/>
        <w:outlineLvl w:val="9"/>
        <w:rPr>
          <w:rFonts w:hint="default" w:ascii="Times New Roman" w:hAnsi="Times New Roman" w:cs="Times New Roman"/>
          <w:color w:val="000000" w:themeColor="text1"/>
          <w14:textFill>
            <w14:solidFill>
              <w14:schemeClr w14:val="tx1"/>
            </w14:solidFill>
          </w14:textFill>
        </w:rPr>
      </w:pPr>
    </w:p>
    <w:p w14:paraId="7E60028E">
      <w:pPr>
        <w:pStyle w:val="113"/>
        <w:outlineLvl w:val="9"/>
        <w:rPr>
          <w:rFonts w:hint="default" w:ascii="Times New Roman" w:hAnsi="Times New Roman" w:cs="Times New Roman"/>
          <w:color w:val="000000" w:themeColor="text1"/>
          <w14:textFill>
            <w14:solidFill>
              <w14:schemeClr w14:val="tx1"/>
            </w14:solidFill>
          </w14:textFill>
        </w:rPr>
      </w:pPr>
    </w:p>
    <w:p w14:paraId="4BECB8C3">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8" w:name="_Toc519111297"/>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（十二）供应商认为有必要提供的声明及文件资料</w:t>
      </w:r>
      <w:bookmarkEnd w:id="168"/>
    </w:p>
    <w:p w14:paraId="320DC18B">
      <w:pPr>
        <w:pStyle w:val="90"/>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w:t>
      </w:r>
    </w:p>
    <w:bookmarkEnd w:id="164"/>
    <w:bookmarkEnd w:id="165"/>
    <w:p w14:paraId="1CD50E10">
      <w:pPr>
        <w:pStyle w:val="92"/>
        <w:outlineLvl w:val="9"/>
        <w:rPr>
          <w:rFonts w:hint="eastAsia" w:ascii="仿宋_GB2312" w:hAnsi="仿宋_GB2312" w:eastAsia="仿宋_GB2312" w:cs="仿宋_GB2312"/>
          <w:color w:val="000000" w:themeColor="text1"/>
          <w:sz w:val="28"/>
          <w:szCs w:val="28"/>
          <w14:textFill>
            <w14:solidFill>
              <w14:schemeClr w14:val="tx1"/>
            </w14:solidFill>
          </w14:textFill>
        </w:rPr>
      </w:pPr>
      <w:bookmarkStart w:id="169" w:name="_Toc519111298"/>
    </w:p>
    <w:p w14:paraId="5F55D3CA">
      <w:pPr>
        <w:pStyle w:val="92"/>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供应商如有提供，请自行编辑</w:t>
      </w:r>
    </w:p>
    <w:p w14:paraId="0BFB5C2D">
      <w:pPr>
        <w:pStyle w:val="92"/>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5F7182E2">
      <w:pPr>
        <w:pStyle w:val="92"/>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0D7E361D">
      <w:pPr>
        <w:pStyle w:val="92"/>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10CA4CB6">
      <w:pPr>
        <w:pStyle w:val="92"/>
        <w:outlineLvl w:val="9"/>
        <w:rPr>
          <w:rFonts w:hint="default" w:ascii="Times New Roman" w:hAnsi="Times New Roman" w:cs="Times New Roman"/>
          <w:color w:val="000000" w:themeColor="text1"/>
          <w14:textFill>
            <w14:solidFill>
              <w14:schemeClr w14:val="tx1"/>
            </w14:solidFill>
          </w14:textFill>
        </w:rPr>
      </w:pPr>
    </w:p>
    <w:p w14:paraId="3201D6A7">
      <w:pPr>
        <w:pStyle w:val="92"/>
        <w:outlineLvl w:val="9"/>
        <w:rPr>
          <w:rFonts w:hint="default" w:ascii="Times New Roman" w:hAnsi="Times New Roman" w:cs="Times New Roman"/>
          <w:color w:val="000000" w:themeColor="text1"/>
          <w14:textFill>
            <w14:solidFill>
              <w14:schemeClr w14:val="tx1"/>
            </w14:solidFill>
          </w14:textFill>
        </w:rPr>
      </w:pPr>
    </w:p>
    <w:p w14:paraId="63C8F4E1">
      <w:pPr>
        <w:pStyle w:val="92"/>
        <w:outlineLvl w:val="9"/>
        <w:rPr>
          <w:rFonts w:hint="default" w:ascii="Times New Roman" w:hAnsi="Times New Roman" w:cs="Times New Roman"/>
          <w:color w:val="000000" w:themeColor="text1"/>
          <w14:textFill>
            <w14:solidFill>
              <w14:schemeClr w14:val="tx1"/>
            </w14:solidFill>
          </w14:textFill>
        </w:rPr>
      </w:pPr>
    </w:p>
    <w:p w14:paraId="5BADE6B0">
      <w:pPr>
        <w:pStyle w:val="92"/>
        <w:outlineLvl w:val="9"/>
        <w:rPr>
          <w:rFonts w:hint="default" w:ascii="Times New Roman" w:hAnsi="Times New Roman" w:cs="Times New Roman"/>
          <w:color w:val="000000" w:themeColor="text1"/>
          <w14:textFill>
            <w14:solidFill>
              <w14:schemeClr w14:val="tx1"/>
            </w14:solidFill>
          </w14:textFill>
        </w:rPr>
      </w:pPr>
    </w:p>
    <w:p w14:paraId="36C2EF09">
      <w:pPr>
        <w:pStyle w:val="92"/>
        <w:outlineLvl w:val="9"/>
        <w:rPr>
          <w:rFonts w:hint="default" w:ascii="Times New Roman" w:hAnsi="Times New Roman" w:cs="Times New Roman"/>
          <w:color w:val="000000" w:themeColor="text1"/>
          <w14:textFill>
            <w14:solidFill>
              <w14:schemeClr w14:val="tx1"/>
            </w14:solidFill>
          </w14:textFill>
        </w:rPr>
      </w:pPr>
    </w:p>
    <w:p w14:paraId="5657E5DE">
      <w:pPr>
        <w:pStyle w:val="92"/>
        <w:outlineLvl w:val="9"/>
        <w:rPr>
          <w:rFonts w:hint="default" w:ascii="Times New Roman" w:hAnsi="Times New Roman" w:cs="Times New Roman"/>
          <w:color w:val="000000" w:themeColor="text1"/>
          <w14:textFill>
            <w14:solidFill>
              <w14:schemeClr w14:val="tx1"/>
            </w14:solidFill>
          </w14:textFill>
        </w:rPr>
      </w:pPr>
    </w:p>
    <w:p w14:paraId="09AFC5DC">
      <w:pPr>
        <w:pStyle w:val="92"/>
        <w:outlineLvl w:val="9"/>
        <w:rPr>
          <w:rFonts w:hint="default" w:ascii="Times New Roman" w:hAnsi="Times New Roman" w:cs="Times New Roman"/>
          <w:color w:val="000000" w:themeColor="text1"/>
          <w14:textFill>
            <w14:solidFill>
              <w14:schemeClr w14:val="tx1"/>
            </w14:solidFill>
          </w14:textFill>
        </w:rPr>
      </w:pPr>
    </w:p>
    <w:p w14:paraId="749F118F">
      <w:pPr>
        <w:pStyle w:val="92"/>
        <w:outlineLvl w:val="9"/>
        <w:rPr>
          <w:rFonts w:hint="default" w:ascii="Times New Roman" w:hAnsi="Times New Roman" w:cs="Times New Roman"/>
          <w:color w:val="000000" w:themeColor="text1"/>
          <w14:textFill>
            <w14:solidFill>
              <w14:schemeClr w14:val="tx1"/>
            </w14:solidFill>
          </w14:textFill>
        </w:rPr>
      </w:pPr>
    </w:p>
    <w:p w14:paraId="3F9C756C">
      <w:pPr>
        <w:pStyle w:val="92"/>
        <w:outlineLvl w:val="9"/>
        <w:rPr>
          <w:rFonts w:hint="default" w:ascii="Times New Roman" w:hAnsi="Times New Roman" w:cs="Times New Roman"/>
          <w:color w:val="000000" w:themeColor="text1"/>
          <w14:textFill>
            <w14:solidFill>
              <w14:schemeClr w14:val="tx1"/>
            </w14:solidFill>
          </w14:textFill>
        </w:rPr>
      </w:pPr>
    </w:p>
    <w:p w14:paraId="3DB1B15B">
      <w:pPr>
        <w:pStyle w:val="92"/>
        <w:outlineLvl w:val="9"/>
        <w:rPr>
          <w:rFonts w:hint="default" w:ascii="Times New Roman" w:hAnsi="Times New Roman" w:cs="Times New Roman"/>
          <w:color w:val="000000" w:themeColor="text1"/>
          <w14:textFill>
            <w14:solidFill>
              <w14:schemeClr w14:val="tx1"/>
            </w14:solidFill>
          </w14:textFill>
        </w:rPr>
      </w:pPr>
    </w:p>
    <w:p w14:paraId="71CA5F69">
      <w:pPr>
        <w:pStyle w:val="92"/>
        <w:outlineLvl w:val="9"/>
        <w:rPr>
          <w:rFonts w:hint="default" w:ascii="Times New Roman" w:hAnsi="Times New Roman" w:cs="Times New Roman"/>
          <w:color w:val="000000" w:themeColor="text1"/>
          <w14:textFill>
            <w14:solidFill>
              <w14:schemeClr w14:val="tx1"/>
            </w14:solidFill>
          </w14:textFill>
        </w:rPr>
      </w:pPr>
    </w:p>
    <w:p w14:paraId="3D85D4F3">
      <w:pPr>
        <w:pStyle w:val="92"/>
        <w:outlineLvl w:val="9"/>
        <w:rPr>
          <w:rFonts w:hint="default" w:ascii="Times New Roman" w:hAnsi="Times New Roman" w:cs="Times New Roman"/>
          <w:color w:val="000000" w:themeColor="text1"/>
          <w14:textFill>
            <w14:solidFill>
              <w14:schemeClr w14:val="tx1"/>
            </w14:solidFill>
          </w14:textFill>
        </w:rPr>
      </w:pPr>
    </w:p>
    <w:p w14:paraId="19A02414">
      <w:pPr>
        <w:pStyle w:val="92"/>
        <w:outlineLvl w:val="9"/>
        <w:rPr>
          <w:rFonts w:hint="default" w:ascii="Times New Roman" w:hAnsi="Times New Roman" w:cs="Times New Roman"/>
          <w:color w:val="000000" w:themeColor="text1"/>
          <w14:textFill>
            <w14:solidFill>
              <w14:schemeClr w14:val="tx1"/>
            </w14:solidFill>
          </w14:textFill>
        </w:rPr>
      </w:pPr>
    </w:p>
    <w:p w14:paraId="628066FE">
      <w:pPr>
        <w:pStyle w:val="92"/>
        <w:outlineLvl w:val="9"/>
        <w:rPr>
          <w:rFonts w:hint="default" w:ascii="Times New Roman" w:hAnsi="Times New Roman" w:cs="Times New Roman"/>
          <w:color w:val="000000" w:themeColor="text1"/>
          <w14:textFill>
            <w14:solidFill>
              <w14:schemeClr w14:val="tx1"/>
            </w14:solidFill>
          </w14:textFill>
        </w:rPr>
      </w:pPr>
    </w:p>
    <w:p w14:paraId="2B4264E8">
      <w:pPr>
        <w:pStyle w:val="92"/>
        <w:outlineLvl w:val="9"/>
        <w:rPr>
          <w:rFonts w:hint="default" w:ascii="Times New Roman" w:hAnsi="Times New Roman" w:cs="Times New Roman"/>
          <w:color w:val="000000" w:themeColor="text1"/>
          <w14:textFill>
            <w14:solidFill>
              <w14:schemeClr w14:val="tx1"/>
            </w14:solidFill>
          </w14:textFill>
        </w:rPr>
      </w:pPr>
    </w:p>
    <w:p w14:paraId="684E484F">
      <w:pPr>
        <w:pStyle w:val="92"/>
        <w:outlineLvl w:val="9"/>
        <w:rPr>
          <w:rFonts w:hint="default" w:ascii="Times New Roman" w:hAnsi="Times New Roman" w:cs="Times New Roman"/>
          <w:color w:val="000000" w:themeColor="text1"/>
          <w14:textFill>
            <w14:solidFill>
              <w14:schemeClr w14:val="tx1"/>
            </w14:solidFill>
          </w14:textFill>
        </w:rPr>
      </w:pPr>
    </w:p>
    <w:p w14:paraId="44C5B79A">
      <w:pPr>
        <w:pStyle w:val="92"/>
        <w:outlineLvl w:val="9"/>
        <w:rPr>
          <w:rFonts w:hint="default" w:ascii="Times New Roman" w:hAnsi="Times New Roman" w:cs="Times New Roman"/>
          <w:color w:val="000000" w:themeColor="text1"/>
          <w14:textFill>
            <w14:solidFill>
              <w14:schemeClr w14:val="tx1"/>
            </w14:solidFill>
          </w14:textFill>
        </w:rPr>
      </w:pPr>
    </w:p>
    <w:p w14:paraId="020E2A4A">
      <w:pPr>
        <w:pStyle w:val="92"/>
        <w:outlineLvl w:val="9"/>
        <w:rPr>
          <w:rFonts w:hint="default" w:ascii="Times New Roman" w:hAnsi="Times New Roman" w:cs="Times New Roman"/>
          <w:color w:val="000000" w:themeColor="text1"/>
          <w14:textFill>
            <w14:solidFill>
              <w14:schemeClr w14:val="tx1"/>
            </w14:solidFill>
          </w14:textFill>
        </w:rPr>
      </w:pPr>
    </w:p>
    <w:p w14:paraId="48739FDE">
      <w:pPr>
        <w:pStyle w:val="92"/>
        <w:outlineLvl w:val="9"/>
        <w:rPr>
          <w:rFonts w:hint="default" w:ascii="Times New Roman" w:hAnsi="Times New Roman" w:cs="Times New Roman"/>
          <w:color w:val="000000" w:themeColor="text1"/>
          <w14:textFill>
            <w14:solidFill>
              <w14:schemeClr w14:val="tx1"/>
            </w14:solidFill>
          </w14:textFill>
        </w:rPr>
      </w:pPr>
    </w:p>
    <w:p w14:paraId="15536A11">
      <w:pPr>
        <w:pStyle w:val="92"/>
        <w:outlineLvl w:val="9"/>
        <w:rPr>
          <w:rFonts w:hint="default" w:ascii="Times New Roman" w:hAnsi="Times New Roman" w:cs="Times New Roman"/>
          <w:color w:val="000000" w:themeColor="text1"/>
          <w14:textFill>
            <w14:solidFill>
              <w14:schemeClr w14:val="tx1"/>
            </w14:solidFill>
          </w14:textFill>
        </w:rPr>
      </w:pPr>
    </w:p>
    <w:p w14:paraId="4320CAA3">
      <w:pPr>
        <w:pStyle w:val="92"/>
        <w:outlineLvl w:val="9"/>
        <w:rPr>
          <w:rFonts w:hint="default" w:ascii="Times New Roman" w:hAnsi="Times New Roman" w:cs="Times New Roman"/>
          <w:color w:val="000000" w:themeColor="text1"/>
          <w14:textFill>
            <w14:solidFill>
              <w14:schemeClr w14:val="tx1"/>
            </w14:solidFill>
          </w14:textFill>
        </w:rPr>
      </w:pPr>
    </w:p>
    <w:p w14:paraId="69E06AE0">
      <w:pPr>
        <w:pStyle w:val="92"/>
        <w:outlineLvl w:val="9"/>
        <w:rPr>
          <w:rFonts w:hint="default" w:ascii="Times New Roman" w:hAnsi="Times New Roman" w:cs="Times New Roman"/>
          <w:color w:val="000000" w:themeColor="text1"/>
          <w14:textFill>
            <w14:solidFill>
              <w14:schemeClr w14:val="tx1"/>
            </w14:solidFill>
          </w14:textFill>
        </w:rPr>
      </w:pPr>
    </w:p>
    <w:p w14:paraId="36B68085">
      <w:pPr>
        <w:pStyle w:val="92"/>
        <w:outlineLvl w:val="9"/>
        <w:rPr>
          <w:rFonts w:hint="default" w:ascii="Times New Roman" w:hAnsi="Times New Roman" w:cs="Times New Roman"/>
          <w:color w:val="000000" w:themeColor="text1"/>
          <w14:textFill>
            <w14:solidFill>
              <w14:schemeClr w14:val="tx1"/>
            </w14:solidFill>
          </w14:textFill>
        </w:rPr>
      </w:pPr>
    </w:p>
    <w:p w14:paraId="6FCC5037">
      <w:pPr>
        <w:pStyle w:val="92"/>
        <w:outlineLvl w:val="9"/>
        <w:rPr>
          <w:rFonts w:hint="default" w:ascii="Times New Roman" w:hAnsi="Times New Roman" w:cs="Times New Roman"/>
          <w:color w:val="000000" w:themeColor="text1"/>
          <w14:textFill>
            <w14:solidFill>
              <w14:schemeClr w14:val="tx1"/>
            </w14:solidFill>
          </w14:textFill>
        </w:rPr>
      </w:pPr>
    </w:p>
    <w:p w14:paraId="41BA8903">
      <w:pPr>
        <w:pStyle w:val="92"/>
        <w:outlineLvl w:val="9"/>
        <w:rPr>
          <w:rFonts w:hint="default" w:ascii="Times New Roman" w:hAnsi="Times New Roman" w:cs="Times New Roman"/>
          <w:color w:val="000000" w:themeColor="text1"/>
          <w14:textFill>
            <w14:solidFill>
              <w14:schemeClr w14:val="tx1"/>
            </w14:solidFill>
          </w14:textFill>
        </w:rPr>
      </w:pPr>
    </w:p>
    <w:p w14:paraId="0CCF9405">
      <w:pPr>
        <w:pStyle w:val="92"/>
        <w:outlineLvl w:val="9"/>
        <w:rPr>
          <w:rFonts w:hint="default" w:ascii="Times New Roman" w:hAnsi="Times New Roman" w:cs="Times New Roman"/>
          <w:color w:val="000000" w:themeColor="text1"/>
          <w14:textFill>
            <w14:solidFill>
              <w14:schemeClr w14:val="tx1"/>
            </w14:solidFill>
          </w14:textFill>
        </w:rPr>
      </w:pPr>
    </w:p>
    <w:p w14:paraId="753CF753">
      <w:pPr>
        <w:pStyle w:val="92"/>
        <w:outlineLvl w:val="9"/>
        <w:rPr>
          <w:rFonts w:hint="default" w:ascii="Times New Roman" w:hAnsi="Times New Roman" w:cs="Times New Roman"/>
          <w:color w:val="000000" w:themeColor="text1"/>
          <w14:textFill>
            <w14:solidFill>
              <w14:schemeClr w14:val="tx1"/>
            </w14:solidFill>
          </w14:textFill>
        </w:rPr>
      </w:pPr>
    </w:p>
    <w:p w14:paraId="225A6B7D">
      <w:pPr>
        <w:pStyle w:val="92"/>
        <w:outlineLvl w:val="9"/>
        <w:rPr>
          <w:rFonts w:hint="default" w:ascii="Times New Roman" w:hAnsi="Times New Roman" w:cs="Times New Roman"/>
          <w:color w:val="000000" w:themeColor="text1"/>
          <w14:textFill>
            <w14:solidFill>
              <w14:schemeClr w14:val="tx1"/>
            </w14:solidFill>
          </w14:textFill>
        </w:rPr>
      </w:pPr>
    </w:p>
    <w:p w14:paraId="66BB6D40">
      <w:pPr>
        <w:pStyle w:val="92"/>
        <w:outlineLvl w:val="9"/>
        <w:rPr>
          <w:rFonts w:hint="default" w:ascii="Times New Roman" w:hAnsi="Times New Roman" w:cs="Times New Roman"/>
          <w:color w:val="000000" w:themeColor="text1"/>
          <w14:textFill>
            <w14:solidFill>
              <w14:schemeClr w14:val="tx1"/>
            </w14:solidFill>
          </w14:textFill>
        </w:rPr>
      </w:pPr>
    </w:p>
    <w:p w14:paraId="7EFDCA20">
      <w:pPr>
        <w:pStyle w:val="92"/>
        <w:outlineLvl w:val="9"/>
        <w:rPr>
          <w:rFonts w:hint="default" w:ascii="Times New Roman" w:hAnsi="Times New Roman" w:cs="Times New Roman"/>
          <w:color w:val="000000" w:themeColor="text1"/>
          <w14:textFill>
            <w14:solidFill>
              <w14:schemeClr w14:val="tx1"/>
            </w14:solidFill>
          </w14:textFill>
        </w:rPr>
      </w:pPr>
    </w:p>
    <w:p w14:paraId="6DEA5C8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545354E9">
      <w:pPr>
        <w:pStyle w:val="16"/>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四、技术文件</w:t>
      </w:r>
      <w:bookmarkEnd w:id="169"/>
    </w:p>
    <w:p w14:paraId="2A02ED3D">
      <w:pPr>
        <w:pStyle w:val="115"/>
        <w:outlineLvl w:val="1"/>
        <w:rPr>
          <w:rFonts w:hint="eastAsia" w:ascii="仿宋_GB2312" w:hAnsi="仿宋_GB2312" w:eastAsia="仿宋_GB2312" w:cs="仿宋_GB2312"/>
          <w:color w:val="000000" w:themeColor="text1"/>
          <w:kern w:val="2"/>
          <w:sz w:val="28"/>
          <w:szCs w:val="28"/>
          <w14:textFill>
            <w14:solidFill>
              <w14:schemeClr w14:val="tx1"/>
            </w14:solidFill>
          </w14:textFill>
        </w:rPr>
      </w:pPr>
      <w:bookmarkStart w:id="170" w:name="_Toc519111300"/>
      <w:r>
        <w:rPr>
          <w:rFonts w:hint="eastAsia" w:ascii="仿宋_GB2312" w:hAnsi="仿宋_GB2312" w:eastAsia="仿宋_GB2312" w:cs="仿宋_GB2312"/>
          <w:color w:val="000000" w:themeColor="text1"/>
          <w:kern w:val="2"/>
          <w:sz w:val="28"/>
          <w:szCs w:val="28"/>
          <w14:textFill>
            <w14:solidFill>
              <w14:schemeClr w14:val="tx1"/>
            </w14:solidFill>
          </w14:textFill>
        </w:rPr>
        <w:t>（十</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8"/>
          <w:szCs w:val="28"/>
          <w14:textFill>
            <w14:solidFill>
              <w14:schemeClr w14:val="tx1"/>
            </w14:solidFill>
          </w14:textFill>
        </w:rPr>
        <w:t>）投标人自行编写的技术文件</w:t>
      </w:r>
    </w:p>
    <w:p w14:paraId="15C52EF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①针对本项目的综合说明（含服务理念、工作目标、整体设想和策划）；</w:t>
      </w:r>
    </w:p>
    <w:p w14:paraId="7CE01B22">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C762820">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②简单方案说明或总体方案设计；</w:t>
      </w:r>
    </w:p>
    <w:p w14:paraId="44082D3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219FD4F7">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③项目组织和管理；</w:t>
      </w:r>
    </w:p>
    <w:p w14:paraId="5D2FA6C9">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46FDD14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④质量、进度、安全相关保障措施；</w:t>
      </w:r>
    </w:p>
    <w:p w14:paraId="3C7AF1F8">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1C20F6CA">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7A36A95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B6D8C81">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⑥完成服务所需的工具、设备等资源配置；</w:t>
      </w:r>
    </w:p>
    <w:p w14:paraId="06A39824">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⑦技术规范偏离表；</w:t>
      </w:r>
    </w:p>
    <w:p w14:paraId="6A2042BC">
      <w:pPr>
        <w:pStyle w:val="17"/>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项目编号：</w:t>
      </w:r>
    </w:p>
    <w:tbl>
      <w:tblPr>
        <w:tblStyle w:val="3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64AE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7EDA85AC">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序号</w:t>
            </w:r>
          </w:p>
        </w:tc>
        <w:tc>
          <w:tcPr>
            <w:tcW w:w="2101" w:type="dxa"/>
            <w:tcBorders>
              <w:top w:val="single" w:color="auto" w:sz="12" w:space="0"/>
            </w:tcBorders>
            <w:vAlign w:val="center"/>
          </w:tcPr>
          <w:p w14:paraId="3F39E279">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服务名称及编号</w:t>
            </w:r>
          </w:p>
        </w:tc>
        <w:tc>
          <w:tcPr>
            <w:tcW w:w="1021" w:type="dxa"/>
            <w:tcBorders>
              <w:top w:val="single" w:color="auto" w:sz="12" w:space="0"/>
            </w:tcBorders>
            <w:vAlign w:val="center"/>
          </w:tcPr>
          <w:p w14:paraId="6A1B2ED3">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数量</w:t>
            </w:r>
          </w:p>
        </w:tc>
        <w:tc>
          <w:tcPr>
            <w:tcW w:w="1707" w:type="dxa"/>
            <w:tcBorders>
              <w:top w:val="single" w:color="auto" w:sz="12" w:space="0"/>
            </w:tcBorders>
            <w:vAlign w:val="center"/>
          </w:tcPr>
          <w:p w14:paraId="0C862D3D">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磋商文件技术规范、要求</w:t>
            </w:r>
          </w:p>
        </w:tc>
        <w:tc>
          <w:tcPr>
            <w:tcW w:w="1337" w:type="dxa"/>
            <w:tcBorders>
              <w:top w:val="single" w:color="auto" w:sz="12" w:space="0"/>
            </w:tcBorders>
            <w:vAlign w:val="center"/>
          </w:tcPr>
          <w:p w14:paraId="2A780006">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响应文件对应规范</w:t>
            </w:r>
          </w:p>
        </w:tc>
        <w:tc>
          <w:tcPr>
            <w:tcW w:w="1337" w:type="dxa"/>
            <w:tcBorders>
              <w:top w:val="single" w:color="auto" w:sz="12" w:space="0"/>
            </w:tcBorders>
            <w:vAlign w:val="center"/>
          </w:tcPr>
          <w:p w14:paraId="064AC7C7">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偏差</w:t>
            </w:r>
          </w:p>
        </w:tc>
        <w:tc>
          <w:tcPr>
            <w:tcW w:w="977" w:type="dxa"/>
            <w:tcBorders>
              <w:top w:val="single" w:color="auto" w:sz="12" w:space="0"/>
              <w:right w:val="single" w:color="auto" w:sz="12" w:space="0"/>
            </w:tcBorders>
            <w:vAlign w:val="center"/>
          </w:tcPr>
          <w:p w14:paraId="7E221ED5">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备注</w:t>
            </w:r>
          </w:p>
        </w:tc>
      </w:tr>
      <w:tr w14:paraId="3E06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65DFAE0">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415A558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0C7C6988">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3BDFFDD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695DC09E">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59B3382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429035CD">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7CD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089C592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2732785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5221B98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557C56CE">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7B33EE4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12D77306">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44E2630C">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DF2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176A769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tcBorders>
              <w:bottom w:val="single" w:color="auto" w:sz="12" w:space="0"/>
            </w:tcBorders>
            <w:vAlign w:val="center"/>
          </w:tcPr>
          <w:p w14:paraId="37D7A68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tcBorders>
              <w:bottom w:val="single" w:color="auto" w:sz="12" w:space="0"/>
            </w:tcBorders>
            <w:vAlign w:val="center"/>
          </w:tcPr>
          <w:p w14:paraId="362F6BA2">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tcBorders>
              <w:bottom w:val="single" w:color="auto" w:sz="12" w:space="0"/>
            </w:tcBorders>
            <w:vAlign w:val="center"/>
          </w:tcPr>
          <w:p w14:paraId="7930347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55A7B940">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54664525">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bottom w:val="single" w:color="auto" w:sz="12" w:space="0"/>
              <w:right w:val="single" w:color="auto" w:sz="12" w:space="0"/>
            </w:tcBorders>
            <w:vAlign w:val="center"/>
          </w:tcPr>
          <w:p w14:paraId="44A9399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bl>
    <w:p w14:paraId="6B1A7F90">
      <w:pPr>
        <w:pStyle w:val="118"/>
        <w:spacing w:before="0" w:after="0" w:line="360" w:lineRule="auto"/>
        <w:ind w:right="96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说明：投标人提交的服务技术规范须与磋商文件要求逐条对应填写，否则将导致投标被拒绝</w:t>
      </w:r>
    </w:p>
    <w:p w14:paraId="39288570">
      <w:pPr>
        <w:pStyle w:val="12"/>
        <w:spacing w:before="0" w:after="0" w:line="360" w:lineRule="auto"/>
        <w:ind w:right="960"/>
        <w:rPr>
          <w:rFonts w:hint="eastAsia" w:ascii="仿宋_GB2312" w:hAnsi="仿宋_GB2312" w:eastAsia="仿宋_GB2312" w:cs="仿宋_GB2312"/>
          <w:color w:val="000000" w:themeColor="text1"/>
          <w:sz w:val="24"/>
          <w:szCs w:val="24"/>
          <w14:textFill>
            <w14:solidFill>
              <w14:schemeClr w14:val="tx1"/>
            </w14:solidFill>
          </w14:textFill>
        </w:rPr>
      </w:pPr>
    </w:p>
    <w:p w14:paraId="26CB3671">
      <w:pPr>
        <w:pStyle w:val="12"/>
        <w:spacing w:before="0" w:after="0" w:line="360" w:lineRule="auto"/>
        <w:ind w:right="17"/>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  月  日</w:t>
      </w:r>
    </w:p>
    <w:p w14:paraId="6AAC9C6D">
      <w:pPr>
        <w:rPr>
          <w:rFonts w:hint="eastAsia" w:ascii="仿宋_GB2312" w:hAnsi="仿宋_GB2312" w:eastAsia="仿宋_GB2312" w:cs="仿宋_GB2312"/>
          <w:color w:val="000000" w:themeColor="text1"/>
          <w:sz w:val="24"/>
          <w:szCs w:val="24"/>
          <w14:textFill>
            <w14:solidFill>
              <w14:schemeClr w14:val="tx1"/>
            </w14:solidFill>
          </w14:textFill>
        </w:rPr>
      </w:pPr>
    </w:p>
    <w:p w14:paraId="71735FDD">
      <w:pPr>
        <w:rPr>
          <w:rFonts w:hint="eastAsia" w:ascii="仿宋_GB2312" w:hAnsi="仿宋_GB2312" w:eastAsia="仿宋_GB2312" w:cs="仿宋_GB2312"/>
          <w:color w:val="000000" w:themeColor="text1"/>
          <w:sz w:val="24"/>
          <w:szCs w:val="24"/>
          <w14:textFill>
            <w14:solidFill>
              <w14:schemeClr w14:val="tx1"/>
            </w14:solidFill>
          </w14:textFill>
        </w:rPr>
      </w:pPr>
    </w:p>
    <w:p w14:paraId="782954C3">
      <w:pPr>
        <w:pStyle w:val="16"/>
        <w:numPr>
          <w:ilvl w:val="0"/>
          <w:numId w:val="7"/>
        </w:numPr>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服务文件</w:t>
      </w:r>
      <w:bookmarkEnd w:id="170"/>
      <w:bookmarkStart w:id="171" w:name="_Toc492921374"/>
    </w:p>
    <w:p w14:paraId="341FE28D">
      <w:pPr>
        <w:pStyle w:val="16"/>
        <w:numPr>
          <w:ilvl w:val="0"/>
          <w:numId w:val="0"/>
        </w:numPr>
        <w:tabs>
          <w:tab w:val="left" w:pos="8786"/>
        </w:tabs>
        <w:spacing w:after="0" w:line="360" w:lineRule="auto"/>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color w:val="000000" w:themeColor="text1"/>
          <w:sz w:val="28"/>
          <w:szCs w:val="28"/>
          <w14:textFill>
            <w14:solidFill>
              <w14:schemeClr w14:val="tx1"/>
            </w14:solidFill>
          </w14:textFill>
        </w:rPr>
        <w:t>）投标人自行编写的服务文件</w:t>
      </w:r>
      <w:bookmarkEnd w:id="171"/>
    </w:p>
    <w:p w14:paraId="7BBB89F2">
      <w:pPr>
        <w:spacing w:line="360" w:lineRule="auto"/>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①后续服务:</w:t>
      </w:r>
    </w:p>
    <w:p w14:paraId="78BA08E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&lt;1&gt;后续服务的程序、内容、措施以及合理化建议；</w:t>
      </w:r>
    </w:p>
    <w:p w14:paraId="074FB4E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&lt;2&gt;响应时间和技术支持情况；</w:t>
      </w:r>
    </w:p>
    <w:p w14:paraId="19D897B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&lt;3&gt;培训方案及内容；</w:t>
      </w:r>
    </w:p>
    <w:p w14:paraId="4318887B">
      <w:pPr>
        <w:spacing w:line="360" w:lineRule="auto"/>
        <w:outlineLvl w:val="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r>
        <w:rPr>
          <w:rFonts w:hint="eastAsia" w:ascii="仿宋_GB2312" w:hAnsi="仿宋_GB2312" w:eastAsia="仿宋_GB2312" w:cs="仿宋_GB2312"/>
          <w:color w:val="000000" w:themeColor="text1"/>
          <w:sz w:val="28"/>
          <w:szCs w:val="28"/>
          <w14:textFill>
            <w14:solidFill>
              <w14:schemeClr w14:val="tx1"/>
            </w14:solidFill>
          </w14:textFill>
        </w:rPr>
        <w:t>②后续服务网点明细表（包括联系人、详细地址、电话、传真）及本地化服务情况一览表；</w:t>
      </w:r>
    </w:p>
    <w:p w14:paraId="1681321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2CE8CA30">
      <w:pPr>
        <w:spacing w:line="360" w:lineRule="auto"/>
        <w:outlineLvl w:val="3"/>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24F0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14:paraId="67CEE63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w:t>
            </w:r>
          </w:p>
        </w:tc>
        <w:tc>
          <w:tcPr>
            <w:tcW w:w="7691" w:type="dxa"/>
            <w:gridSpan w:val="3"/>
          </w:tcPr>
          <w:p w14:paraId="7C448A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0EDF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20307FE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本地化服务形式</w:t>
            </w:r>
          </w:p>
        </w:tc>
        <w:tc>
          <w:tcPr>
            <w:tcW w:w="7691" w:type="dxa"/>
            <w:gridSpan w:val="3"/>
            <w:vAlign w:val="center"/>
          </w:tcPr>
          <w:p w14:paraId="03D8CA1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在本地具有分支机构</w:t>
            </w:r>
          </w:p>
          <w:p w14:paraId="09DA988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在本地具有固定的合作伙伴</w:t>
            </w:r>
          </w:p>
          <w:p w14:paraId="1D30242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在本地注册成立</w:t>
            </w:r>
          </w:p>
        </w:tc>
      </w:tr>
      <w:tr w14:paraId="6ADE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2ADF7E93">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以下本地注册的公司无需填写</w:t>
            </w:r>
          </w:p>
        </w:tc>
      </w:tr>
      <w:tr w14:paraId="2D41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11D576F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本地化服务地点及联系方式</w:t>
            </w:r>
          </w:p>
        </w:tc>
        <w:tc>
          <w:tcPr>
            <w:tcW w:w="2940" w:type="dxa"/>
            <w:vAlign w:val="center"/>
          </w:tcPr>
          <w:p w14:paraId="33444B7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180" w:type="dxa"/>
            <w:vAlign w:val="center"/>
          </w:tcPr>
          <w:p w14:paraId="2F1D665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负责人及联系方式（附身份证号码）</w:t>
            </w:r>
          </w:p>
        </w:tc>
        <w:tc>
          <w:tcPr>
            <w:tcW w:w="2571" w:type="dxa"/>
          </w:tcPr>
          <w:p w14:paraId="0473ACB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32DC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6316CF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服务人员名单及联系方式（附身份证号码）：</w:t>
            </w:r>
          </w:p>
          <w:p w14:paraId="19AA6FD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2A44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7E6485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其他有关证明文件说明（如营业执照等）：</w:t>
            </w:r>
          </w:p>
          <w:p w14:paraId="0E526FE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4224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E35075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备注：1、具有合作伙伴的应填写合作伙伴的相关资料，并提供双方的合作协议以及合作伙伴的营业执照等证明文件。</w:t>
            </w:r>
          </w:p>
          <w:p w14:paraId="24F47333">
            <w:pPr>
              <w:spacing w:line="360" w:lineRule="auto"/>
              <w:ind w:left="2" w:leftChars="1"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2、如供应商不能提供本地化服务，可不填报。</w:t>
            </w:r>
          </w:p>
        </w:tc>
      </w:tr>
    </w:tbl>
    <w:p w14:paraId="25603987">
      <w:pPr>
        <w:tabs>
          <w:tab w:val="left" w:pos="6420"/>
        </w:tabs>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p>
    <w:p w14:paraId="30429F83">
      <w:pPr>
        <w:tabs>
          <w:tab w:val="left" w:pos="6420"/>
        </w:tabs>
        <w:spacing w:line="360" w:lineRule="auto"/>
        <w:outlineLvl w:val="2"/>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③</w:t>
      </w:r>
      <w:r>
        <w:rPr>
          <w:rFonts w:hint="eastAsia" w:ascii="仿宋_GB2312" w:hAnsi="仿宋_GB2312" w:eastAsia="仿宋_GB2312" w:cs="仿宋_GB2312"/>
          <w:b/>
          <w:color w:val="000000" w:themeColor="text1"/>
          <w:sz w:val="28"/>
          <w:szCs w:val="28"/>
          <w14:textFill>
            <w14:solidFill>
              <w14:schemeClr w14:val="tx1"/>
            </w14:solidFill>
          </w14:textFill>
        </w:rPr>
        <w:t>服务项目偏离表</w:t>
      </w:r>
    </w:p>
    <w:p w14:paraId="01F05412">
      <w:pPr>
        <w:pStyle w:val="17"/>
        <w:spacing w:line="360" w:lineRule="auto"/>
        <w:ind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项目编号、包号：</w:t>
      </w:r>
    </w:p>
    <w:tbl>
      <w:tblPr>
        <w:tblStyle w:val="3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23D2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25934690">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序号</w:t>
            </w:r>
          </w:p>
        </w:tc>
        <w:tc>
          <w:tcPr>
            <w:tcW w:w="1528" w:type="dxa"/>
            <w:tcBorders>
              <w:top w:val="single" w:color="auto" w:sz="12" w:space="0"/>
            </w:tcBorders>
            <w:vAlign w:val="center"/>
          </w:tcPr>
          <w:p w14:paraId="4349FCFE">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招标文件</w:t>
            </w:r>
          </w:p>
          <w:p w14:paraId="5DA30B08">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条款号</w:t>
            </w:r>
          </w:p>
        </w:tc>
        <w:tc>
          <w:tcPr>
            <w:tcW w:w="2674" w:type="dxa"/>
            <w:tcBorders>
              <w:top w:val="single" w:color="auto" w:sz="12" w:space="0"/>
            </w:tcBorders>
            <w:vAlign w:val="center"/>
          </w:tcPr>
          <w:p w14:paraId="701F1585">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磋商文件的服务条款</w:t>
            </w:r>
          </w:p>
        </w:tc>
        <w:tc>
          <w:tcPr>
            <w:tcW w:w="2483" w:type="dxa"/>
            <w:tcBorders>
              <w:top w:val="single" w:color="auto" w:sz="12" w:space="0"/>
            </w:tcBorders>
            <w:vAlign w:val="center"/>
          </w:tcPr>
          <w:p w14:paraId="145617B1">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响应文件的服务条款</w:t>
            </w:r>
          </w:p>
        </w:tc>
        <w:tc>
          <w:tcPr>
            <w:tcW w:w="1146" w:type="dxa"/>
            <w:tcBorders>
              <w:top w:val="single" w:color="auto" w:sz="12" w:space="0"/>
              <w:right w:val="single" w:color="auto" w:sz="12" w:space="0"/>
            </w:tcBorders>
            <w:vAlign w:val="center"/>
          </w:tcPr>
          <w:p w14:paraId="148441CD">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备注</w:t>
            </w:r>
          </w:p>
        </w:tc>
      </w:tr>
      <w:tr w14:paraId="50CE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7F1436B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C823A2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6C6142CA">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359CF92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2C1A700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206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610F6CB">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0C93450">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4B195608">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139E2511">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023BFE4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C97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D3D931E">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7E2B827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2A2963B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0250E605">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0E7CD8AB">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F3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575DAAF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tcBorders>
              <w:bottom w:val="single" w:color="auto" w:sz="12" w:space="0"/>
            </w:tcBorders>
            <w:vAlign w:val="center"/>
          </w:tcPr>
          <w:p w14:paraId="4E49535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tcBorders>
              <w:bottom w:val="single" w:color="auto" w:sz="12" w:space="0"/>
            </w:tcBorders>
            <w:vAlign w:val="center"/>
          </w:tcPr>
          <w:p w14:paraId="138C76FD">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tcBorders>
              <w:bottom w:val="single" w:color="auto" w:sz="12" w:space="0"/>
            </w:tcBorders>
            <w:vAlign w:val="center"/>
          </w:tcPr>
          <w:p w14:paraId="4CBE35D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bottom w:val="single" w:color="auto" w:sz="12" w:space="0"/>
              <w:right w:val="single" w:color="auto" w:sz="12" w:space="0"/>
            </w:tcBorders>
            <w:vAlign w:val="center"/>
          </w:tcPr>
          <w:p w14:paraId="3D2785E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29BC3C98">
      <w:pPr>
        <w:pStyle w:val="118"/>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p>
    <w:p w14:paraId="32239E67">
      <w:pPr>
        <w:pStyle w:val="118"/>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说明：投标人提交的服务条款须与磋商文件要求对应填写，否则将导致投标被拒绝</w:t>
      </w:r>
    </w:p>
    <w:p w14:paraId="54A7366B">
      <w:pPr>
        <w:spacing w:line="360" w:lineRule="auto"/>
        <w:ind w:left="2"/>
        <w:rPr>
          <w:rFonts w:hint="eastAsia" w:ascii="仿宋_GB2312" w:hAnsi="仿宋_GB2312" w:eastAsia="仿宋_GB2312" w:cs="仿宋_GB2312"/>
          <w:color w:val="000000" w:themeColor="text1"/>
          <w:sz w:val="28"/>
          <w:szCs w:val="28"/>
          <w14:textFill>
            <w14:solidFill>
              <w14:schemeClr w14:val="tx1"/>
            </w14:solidFill>
          </w14:textFill>
        </w:rPr>
      </w:pPr>
    </w:p>
    <w:p w14:paraId="09462943">
      <w:pPr>
        <w:pStyle w:val="12"/>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467B09C0">
      <w:pPr>
        <w:pStyle w:val="12"/>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14:paraId="585F5848">
      <w:pPr>
        <w:rPr>
          <w:rFonts w:hint="eastAsia" w:ascii="仿宋_GB2312" w:hAnsi="仿宋_GB2312" w:eastAsia="仿宋_GB2312" w:cs="仿宋_GB2312"/>
          <w:color w:val="000000" w:themeColor="text1"/>
          <w:sz w:val="28"/>
          <w:szCs w:val="28"/>
          <w14:textFill>
            <w14:solidFill>
              <w14:schemeClr w14:val="tx1"/>
            </w14:solidFill>
          </w14:textFill>
        </w:rPr>
      </w:pPr>
    </w:p>
    <w:p w14:paraId="02AC5B64">
      <w:pPr>
        <w:rPr>
          <w:rFonts w:hint="default" w:ascii="Times New Roman" w:hAnsi="Times New Roman" w:cs="Times New Roman"/>
          <w:color w:val="000000" w:themeColor="text1"/>
          <w14:textFill>
            <w14:solidFill>
              <w14:schemeClr w14:val="tx1"/>
            </w14:solidFill>
          </w14:textFill>
        </w:rPr>
      </w:pPr>
    </w:p>
    <w:p w14:paraId="47B4B373">
      <w:pPr>
        <w:spacing w:line="360" w:lineRule="auto"/>
        <w:rPr>
          <w:rFonts w:hint="default" w:ascii="Times New Roman" w:hAnsi="Times New Roman" w:cs="Times New Roman"/>
          <w:color w:val="000000" w:themeColor="text1"/>
          <w:sz w:val="24"/>
          <w14:textFill>
            <w14:solidFill>
              <w14:schemeClr w14:val="tx1"/>
            </w14:solidFill>
          </w14:textFill>
        </w:rPr>
      </w:pPr>
    </w:p>
    <w:p w14:paraId="6162DB08">
      <w:pPr>
        <w:spacing w:line="500" w:lineRule="exact"/>
        <w:rPr>
          <w:rFonts w:hint="default" w:ascii="Times New Roman" w:hAnsi="Times New Roman" w:cs="Times New Roman" w:eastAsiaTheme="minorEastAsia"/>
          <w:color w:val="000000" w:themeColor="text1"/>
          <w:sz w:val="28"/>
          <w:szCs w:val="28"/>
          <w14:textFill>
            <w14:solidFill>
              <w14:schemeClr w14:val="tx1"/>
            </w14:solidFill>
          </w14:textFill>
        </w:rPr>
      </w:pPr>
    </w:p>
    <w:p w14:paraId="1CD2F3DA">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16AB94FB">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4CA2FB16">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04EA96AA">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ECCAEE0">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3B33E01E">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5F536B18">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7C05AE20">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124664BF">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514E8262">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7738059B">
      <w:pPr>
        <w:jc w:val="both"/>
        <w:rPr>
          <w:rFonts w:hint="eastAsia" w:ascii="宋体" w:hAnsi="宋体" w:cs="仿宋"/>
          <w:b/>
          <w:bCs/>
          <w:sz w:val="32"/>
          <w:szCs w:val="32"/>
          <w:lang w:val="en-US" w:eastAsia="zh-CN"/>
        </w:rPr>
      </w:pPr>
    </w:p>
    <w:p w14:paraId="7AD80A31">
      <w:pPr>
        <w:ind w:firstLine="964" w:firstLineChars="3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阿勒泰地区公共资源交易中心政府采购</w:t>
      </w:r>
      <w:r>
        <w:rPr>
          <w:rFonts w:hint="eastAsia" w:ascii="仿宋_GB2312" w:hAnsi="仿宋_GB2312" w:eastAsia="仿宋_GB2312" w:cs="仿宋_GB2312"/>
          <w:b/>
          <w:bCs/>
          <w:sz w:val="32"/>
          <w:szCs w:val="32"/>
        </w:rPr>
        <w:t>质疑函范本</w:t>
      </w:r>
    </w:p>
    <w:p w14:paraId="7660A568">
      <w:pPr>
        <w:adjustRightInd w:val="0"/>
        <w:snapToGrid w:val="0"/>
        <w:spacing w:before="312" w:beforeLines="100"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一、质疑供应商基本信息</w:t>
      </w:r>
    </w:p>
    <w:p w14:paraId="07554B11">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质疑供应商：</w:t>
      </w:r>
      <w:r>
        <w:rPr>
          <w:rFonts w:hint="eastAsia" w:ascii="仿宋_GB2312" w:hAnsi="仿宋_GB2312" w:eastAsia="仿宋_GB2312" w:cs="仿宋_GB2312"/>
          <w:sz w:val="28"/>
          <w:szCs w:val="28"/>
          <w:u w:val="dotted"/>
        </w:rPr>
        <w:t xml:space="preserve">                                                              </w:t>
      </w:r>
    </w:p>
    <w:p w14:paraId="7CD7DD19">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60010FA3">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78EE68F6">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u w:val="dotted"/>
        </w:rPr>
        <w:t xml:space="preserve">                                                                 </w:t>
      </w:r>
    </w:p>
    <w:p w14:paraId="4C95E9F5">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1B36DB8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6EEC3164">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二、质疑项目基本情况</w:t>
      </w:r>
    </w:p>
    <w:p w14:paraId="2549EF87">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z w:val="28"/>
          <w:szCs w:val="28"/>
          <w:u w:val="dotted"/>
        </w:rPr>
        <w:t xml:space="preserve">                                                          </w:t>
      </w:r>
    </w:p>
    <w:p w14:paraId="0E1C1279">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dotted"/>
        </w:rPr>
        <w:t xml:space="preserve">                           </w:t>
      </w:r>
    </w:p>
    <w:p w14:paraId="3137EF53">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dotted"/>
        </w:rPr>
        <w:t xml:space="preserve">                                                              </w:t>
      </w:r>
    </w:p>
    <w:p w14:paraId="24CBB0B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z w:val="28"/>
          <w:szCs w:val="28"/>
          <w:u w:val="dotted"/>
        </w:rPr>
        <w:t xml:space="preserve">                                                        </w:t>
      </w:r>
    </w:p>
    <w:p w14:paraId="73DFA665">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三、质疑事项具体内容</w:t>
      </w:r>
    </w:p>
    <w:p w14:paraId="4CBA7D74">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质疑事项1：</w:t>
      </w:r>
      <w:r>
        <w:rPr>
          <w:rFonts w:hint="eastAsia" w:ascii="仿宋_GB2312" w:hAnsi="仿宋_GB2312" w:eastAsia="仿宋_GB2312" w:cs="仿宋_GB2312"/>
          <w:sz w:val="28"/>
          <w:szCs w:val="28"/>
          <w:u w:val="dotted"/>
        </w:rPr>
        <w:t xml:space="preserve">                                                              </w:t>
      </w:r>
    </w:p>
    <w:p w14:paraId="1A608818">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事实依据：</w:t>
      </w:r>
      <w:r>
        <w:rPr>
          <w:rFonts w:hint="eastAsia" w:ascii="仿宋_GB2312" w:hAnsi="仿宋_GB2312" w:eastAsia="仿宋_GB2312" w:cs="仿宋_GB2312"/>
          <w:sz w:val="28"/>
          <w:szCs w:val="28"/>
          <w:u w:val="dotted"/>
        </w:rPr>
        <w:t xml:space="preserve">                                                                </w:t>
      </w:r>
    </w:p>
    <w:p w14:paraId="77B7855F">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dotted"/>
        </w:rPr>
        <w:t xml:space="preserve">                                                                           </w:t>
      </w:r>
    </w:p>
    <w:p w14:paraId="1E726E49">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法律依据：</w:t>
      </w:r>
      <w:r>
        <w:rPr>
          <w:rFonts w:hint="eastAsia" w:ascii="仿宋_GB2312" w:hAnsi="仿宋_GB2312" w:eastAsia="仿宋_GB2312" w:cs="仿宋_GB2312"/>
          <w:sz w:val="28"/>
          <w:szCs w:val="28"/>
          <w:u w:val="dotted"/>
        </w:rPr>
        <w:t xml:space="preserve">                                                                 </w:t>
      </w:r>
    </w:p>
    <w:p w14:paraId="04BAB52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u w:val="dotted"/>
        </w:rPr>
        <w:t xml:space="preserve">                                                                           </w:t>
      </w:r>
    </w:p>
    <w:p w14:paraId="3E3A4A6F">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质疑事项2</w:t>
      </w:r>
    </w:p>
    <w:p w14:paraId="0CACAC5C">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12FDCA36">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四、与质疑事项相关的质疑请求</w:t>
      </w:r>
    </w:p>
    <w:p w14:paraId="16B996B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请求：</w:t>
      </w:r>
      <w:r>
        <w:rPr>
          <w:rFonts w:hint="eastAsia" w:ascii="仿宋_GB2312" w:hAnsi="仿宋_GB2312" w:eastAsia="仿宋_GB2312" w:cs="仿宋_GB2312"/>
          <w:sz w:val="28"/>
          <w:szCs w:val="28"/>
          <w:u w:val="dotted"/>
        </w:rPr>
        <w:t xml:space="preserve">                                                                     </w:t>
      </w:r>
    </w:p>
    <w:p w14:paraId="65F939A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签字(签章)：                   公章：                      </w:t>
      </w:r>
    </w:p>
    <w:p w14:paraId="342FEB1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p>
    <w:p w14:paraId="40C72F94">
      <w:pPr>
        <w:spacing w:line="400" w:lineRule="exact"/>
        <w:rPr>
          <w:rFonts w:hint="eastAsia" w:ascii="仿宋_GB2312" w:hAnsi="仿宋_GB2312" w:eastAsia="仿宋_GB2312" w:cs="仿宋_GB2312"/>
          <w:b/>
          <w:sz w:val="28"/>
          <w:szCs w:val="28"/>
        </w:rPr>
      </w:pPr>
    </w:p>
    <w:p w14:paraId="0AA339A1">
      <w:pPr>
        <w:spacing w:line="400" w:lineRule="exact"/>
        <w:rPr>
          <w:rFonts w:hint="eastAsia" w:ascii="仿宋_GB2312" w:hAnsi="仿宋_GB2312" w:eastAsia="仿宋_GB2312" w:cs="仿宋_GB2312"/>
          <w:b/>
          <w:sz w:val="28"/>
          <w:szCs w:val="28"/>
        </w:rPr>
      </w:pPr>
    </w:p>
    <w:p w14:paraId="3CA0E66E">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质疑函制作说明：</w:t>
      </w:r>
    </w:p>
    <w:p w14:paraId="68A7C01D">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1.供应商提出质疑时，应提交质疑函和必要的证明材料。</w:t>
      </w:r>
    </w:p>
    <w:p w14:paraId="10F586EB">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2.质疑供应商若委托代理人进行质疑的，质疑函应按要求列明“授权代表”的有关内容，并在附件中提交由质疑</w:t>
      </w:r>
      <w:r>
        <w:rPr>
          <w:rFonts w:hint="eastAsia" w:ascii="仿宋_GB2312" w:hAnsi="仿宋_GB2312" w:eastAsia="仿宋_GB2312" w:cs="仿宋_GB2312"/>
          <w:kern w:val="0"/>
          <w:sz w:val="28"/>
          <w:szCs w:val="28"/>
        </w:rPr>
        <w:t>供应商签署的授权委托书。授权委托书应载明代理人的姓名或者名称、代理事项、具体权限、期限和相关事项。</w:t>
      </w:r>
    </w:p>
    <w:p w14:paraId="3922270C">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3.质疑供应商若对项目的某一分包进行质疑，质疑函中应列明具体分包号。</w:t>
      </w:r>
    </w:p>
    <w:p w14:paraId="4837B000">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4.质疑函的质疑事项应具体、明确，并有必要的事实依据和法律依据。</w:t>
      </w:r>
    </w:p>
    <w:p w14:paraId="26E0F6BD">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5.质疑函的质疑请求应与质疑事项相关。</w:t>
      </w:r>
    </w:p>
    <w:p w14:paraId="48ADB8D0">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6.质疑供应商为自然人的，质疑函应由本人签字；质疑供应商为法人或者其他组织的，质疑函应由法定代表人、主要负责人，或者其授权代表签字或者盖章，并加盖公章。</w:t>
      </w:r>
    </w:p>
    <w:p w14:paraId="10FDC7B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7.请潜在投标单位在填写政府采购质疑函时务必参照政府采购质疑和投诉办法（财政部第94号令）相关要求</w:t>
      </w:r>
    </w:p>
    <w:p w14:paraId="47494D68">
      <w:pPr>
        <w:rPr>
          <w:rFonts w:hint="eastAsia" w:ascii="仿宋_GB2312" w:hAnsi="仿宋_GB2312" w:eastAsia="仿宋_GB2312" w:cs="仿宋_GB2312"/>
          <w:color w:val="auto"/>
          <w:sz w:val="28"/>
          <w:szCs w:val="28"/>
          <w:highlight w:val="white"/>
        </w:rPr>
      </w:pPr>
    </w:p>
    <w:p w14:paraId="1F1F4C98">
      <w:pPr>
        <w:pStyle w:val="51"/>
        <w:rPr>
          <w:rFonts w:hint="eastAsia" w:ascii="仿宋_GB2312" w:hAnsi="仿宋_GB2312" w:eastAsia="仿宋_GB2312" w:cs="仿宋_GB2312"/>
          <w:color w:val="000000" w:themeColor="text1"/>
          <w:sz w:val="28"/>
          <w:szCs w:val="28"/>
          <w14:textFill>
            <w14:solidFill>
              <w14:schemeClr w14:val="tx1"/>
            </w14:solidFill>
          </w14:textFill>
        </w:rPr>
      </w:pPr>
    </w:p>
    <w:sectPr>
      <w:headerReference r:id="rId5" w:type="default"/>
      <w:foot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汉仪细圆B5">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7D50">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2552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CBEE9">
                          <w:pPr>
                            <w:pStyle w:val="2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1pt;width:18pt;mso-position-horizontal:center;mso-position-horizontal-relative:margin;z-index:251659264;mso-width-relative:page;mso-height-relative:page;" filled="f" stroked="f" coordsize="21600,21600" o:gfxdata="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6Dqf0gAAAAMBAAAPAAAAAAAAAAEAIAAAACIAAABkcnMvZG93bnJldi54bWxQ&#10;SwECFAAUAAAACACHTuJA+rBiNzYCAABhBAAADgAAAAAAAAABACAAAAAhAQAAZHJzL2Uyb0RvYy54&#10;bWxQSwUGAAAAAAYABgBZAQAAyQUAAAAA&#10;">
              <v:fill on="f" focussize="0,0"/>
              <v:stroke on="f" weight="0.5pt"/>
              <v:imagedata o:title=""/>
              <o:lock v:ext="edit" aspectratio="f"/>
              <v:textbox inset="0mm,0mm,0mm,0mm">
                <w:txbxContent>
                  <w:p w14:paraId="6F7CBEE9">
                    <w:pPr>
                      <w:pStyle w:val="2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C83B">
    <w:pPr>
      <w:spacing w:line="176" w:lineRule="auto"/>
      <w:ind w:left="4824"/>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74660">
                          <w:pPr>
                            <w:pStyle w:val="23"/>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774660">
                    <w:pPr>
                      <w:pStyle w:val="23"/>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5CB2">
    <w:pPr>
      <w:spacing w:line="176" w:lineRule="auto"/>
      <w:ind w:left="48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57633">
                          <w:pPr>
                            <w:pStyle w:val="23"/>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29</w:t>
                          </w:r>
                          <w:r>
                            <w:rPr>
                              <w:rFonts w:ascii="宋体" w:hAnsi="宋体" w:eastAsia="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357633">
                    <w:pPr>
                      <w:pStyle w:val="23"/>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29</w:t>
                    </w:r>
                    <w:r>
                      <w:rPr>
                        <w:rFonts w:ascii="宋体" w:hAnsi="宋体" w:eastAsia="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4A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E94E"/>
    <w:multiLevelType w:val="singleLevel"/>
    <w:tmpl w:val="A156E94E"/>
    <w:lvl w:ilvl="0" w:tentative="0">
      <w:start w:val="1"/>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ascii="仿宋_GB2312" w:hAnsi="仿宋_GB2312" w:eastAsia="仿宋_GB2312" w:cs="仿宋_GB2312"/>
        <w:b/>
        <w:bCs/>
        <w:sz w:val="36"/>
        <w:szCs w:val="36"/>
      </w:rPr>
    </w:lvl>
  </w:abstractNum>
  <w:abstractNum w:abstractNumId="2">
    <w:nsid w:val="D3FB6C5E"/>
    <w:multiLevelType w:val="singleLevel"/>
    <w:tmpl w:val="D3FB6C5E"/>
    <w:lvl w:ilvl="0" w:tentative="0">
      <w:start w:val="1"/>
      <w:numFmt w:val="chineseCounting"/>
      <w:suff w:val="nothing"/>
      <w:lvlText w:val="（%1）"/>
      <w:lvlJc w:val="left"/>
      <w:rPr>
        <w:rFonts w:hint="eastAsia"/>
      </w:rPr>
    </w:lvl>
  </w:abstractNum>
  <w:abstractNum w:abstractNumId="3">
    <w:nsid w:val="040A506A"/>
    <w:multiLevelType w:val="singleLevel"/>
    <w:tmpl w:val="040A506A"/>
    <w:lvl w:ilvl="0" w:tentative="0">
      <w:start w:val="5"/>
      <w:numFmt w:val="chineseCounting"/>
      <w:suff w:val="nothing"/>
      <w:lvlText w:val="%1、"/>
      <w:lvlJc w:val="left"/>
      <w:rPr>
        <w:rFonts w:hint="eastAsia"/>
      </w:rPr>
    </w:lvl>
  </w:abstractNum>
  <w:abstractNum w:abstractNumId="4">
    <w:nsid w:val="248EB967"/>
    <w:multiLevelType w:val="singleLevel"/>
    <w:tmpl w:val="248EB967"/>
    <w:lvl w:ilvl="0" w:tentative="0">
      <w:start w:val="2"/>
      <w:numFmt w:val="decimal"/>
      <w:suff w:val="nothing"/>
      <w:lvlText w:val="%1、"/>
      <w:lvlJc w:val="left"/>
    </w:lvl>
  </w:abstractNum>
  <w:abstractNum w:abstractNumId="5">
    <w:nsid w:val="497336F1"/>
    <w:multiLevelType w:val="singleLevel"/>
    <w:tmpl w:val="497336F1"/>
    <w:lvl w:ilvl="0" w:tentative="0">
      <w:start w:val="1"/>
      <w:numFmt w:val="chineseCounting"/>
      <w:suff w:val="nothing"/>
      <w:lvlText w:val="%1、"/>
      <w:lvlJc w:val="left"/>
      <w:rPr>
        <w:rFonts w:hint="eastAsia"/>
      </w:rPr>
    </w:lvl>
  </w:abstractNum>
  <w:abstractNum w:abstractNumId="6">
    <w:nsid w:val="595412E6"/>
    <w:multiLevelType w:val="singleLevel"/>
    <w:tmpl w:val="595412E6"/>
    <w:lvl w:ilvl="0" w:tentative="0">
      <w:start w:val="1"/>
      <w:numFmt w:val="chineseCounting"/>
      <w:suff w:val="nothing"/>
      <w:lvlText w:val="%1、"/>
      <w:lvlJc w:val="left"/>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GRlOTRlZDA4NDI0ZjBiYTAwYTc4NTI2MWZkYTQifQ=="/>
  </w:docVars>
  <w:rsids>
    <w:rsidRoot w:val="00172A27"/>
    <w:rsid w:val="0000015D"/>
    <w:rsid w:val="00002BF7"/>
    <w:rsid w:val="000036A4"/>
    <w:rsid w:val="00004DE9"/>
    <w:rsid w:val="00010132"/>
    <w:rsid w:val="000109F5"/>
    <w:rsid w:val="00011B28"/>
    <w:rsid w:val="00012450"/>
    <w:rsid w:val="000140B4"/>
    <w:rsid w:val="00014BFE"/>
    <w:rsid w:val="00016204"/>
    <w:rsid w:val="00016689"/>
    <w:rsid w:val="00016D6C"/>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2AF4"/>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735"/>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818"/>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5D"/>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0D73"/>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64B"/>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4812"/>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251D"/>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1FEE"/>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0F5"/>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30F"/>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5B8E"/>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2F91"/>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A7469"/>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70C"/>
    <w:rsid w:val="00FE0A06"/>
    <w:rsid w:val="00FE0C72"/>
    <w:rsid w:val="00FE1D7E"/>
    <w:rsid w:val="00FE244A"/>
    <w:rsid w:val="00FE2C03"/>
    <w:rsid w:val="00FE60D4"/>
    <w:rsid w:val="00FE707D"/>
    <w:rsid w:val="00FE764E"/>
    <w:rsid w:val="00FF2005"/>
    <w:rsid w:val="00FF2392"/>
    <w:rsid w:val="00FF3045"/>
    <w:rsid w:val="00FF37EA"/>
    <w:rsid w:val="0100390C"/>
    <w:rsid w:val="01043EB4"/>
    <w:rsid w:val="010B405F"/>
    <w:rsid w:val="01101675"/>
    <w:rsid w:val="01102460"/>
    <w:rsid w:val="011B0745"/>
    <w:rsid w:val="01323CE1"/>
    <w:rsid w:val="01337413"/>
    <w:rsid w:val="01352293"/>
    <w:rsid w:val="01422176"/>
    <w:rsid w:val="01431342"/>
    <w:rsid w:val="014A6A51"/>
    <w:rsid w:val="01514167"/>
    <w:rsid w:val="01610122"/>
    <w:rsid w:val="01635C49"/>
    <w:rsid w:val="016F45ED"/>
    <w:rsid w:val="017A2B60"/>
    <w:rsid w:val="01B14C06"/>
    <w:rsid w:val="01D34B7C"/>
    <w:rsid w:val="01E517EF"/>
    <w:rsid w:val="01ED29E5"/>
    <w:rsid w:val="01F53A79"/>
    <w:rsid w:val="020841A1"/>
    <w:rsid w:val="020E026E"/>
    <w:rsid w:val="02182ED7"/>
    <w:rsid w:val="02203B3A"/>
    <w:rsid w:val="022411EF"/>
    <w:rsid w:val="024970A8"/>
    <w:rsid w:val="024A51DC"/>
    <w:rsid w:val="024C41CE"/>
    <w:rsid w:val="025B2DC4"/>
    <w:rsid w:val="025C3842"/>
    <w:rsid w:val="02624152"/>
    <w:rsid w:val="027520D7"/>
    <w:rsid w:val="02840254"/>
    <w:rsid w:val="02847096"/>
    <w:rsid w:val="02A470E7"/>
    <w:rsid w:val="02B84A4A"/>
    <w:rsid w:val="02BB1C2C"/>
    <w:rsid w:val="02DF21EF"/>
    <w:rsid w:val="02F325E7"/>
    <w:rsid w:val="02F92D08"/>
    <w:rsid w:val="03064AB8"/>
    <w:rsid w:val="03066D9A"/>
    <w:rsid w:val="030805BF"/>
    <w:rsid w:val="030D6032"/>
    <w:rsid w:val="03146B0C"/>
    <w:rsid w:val="031A67DB"/>
    <w:rsid w:val="031C07A5"/>
    <w:rsid w:val="032C298F"/>
    <w:rsid w:val="03353615"/>
    <w:rsid w:val="03571D17"/>
    <w:rsid w:val="03773C2D"/>
    <w:rsid w:val="037C11E5"/>
    <w:rsid w:val="037C7496"/>
    <w:rsid w:val="037F7757"/>
    <w:rsid w:val="038720C2"/>
    <w:rsid w:val="0388408C"/>
    <w:rsid w:val="03885E3A"/>
    <w:rsid w:val="038B7194"/>
    <w:rsid w:val="03936CB9"/>
    <w:rsid w:val="03A408A7"/>
    <w:rsid w:val="03A72639"/>
    <w:rsid w:val="03AA4003"/>
    <w:rsid w:val="03B10EED"/>
    <w:rsid w:val="03CC06C2"/>
    <w:rsid w:val="03CC2F58"/>
    <w:rsid w:val="03CF3A69"/>
    <w:rsid w:val="03F31506"/>
    <w:rsid w:val="03F93A73"/>
    <w:rsid w:val="04003C23"/>
    <w:rsid w:val="04115E30"/>
    <w:rsid w:val="041E2A05"/>
    <w:rsid w:val="042046F5"/>
    <w:rsid w:val="04293179"/>
    <w:rsid w:val="042C4A18"/>
    <w:rsid w:val="045D1075"/>
    <w:rsid w:val="04651754"/>
    <w:rsid w:val="04714B20"/>
    <w:rsid w:val="04743DAC"/>
    <w:rsid w:val="0475016D"/>
    <w:rsid w:val="04762137"/>
    <w:rsid w:val="048565FD"/>
    <w:rsid w:val="04B54A0D"/>
    <w:rsid w:val="04D5688A"/>
    <w:rsid w:val="04D85B0E"/>
    <w:rsid w:val="04EA6DAD"/>
    <w:rsid w:val="04EB47E7"/>
    <w:rsid w:val="04F632B0"/>
    <w:rsid w:val="052700CA"/>
    <w:rsid w:val="05402264"/>
    <w:rsid w:val="05442AF6"/>
    <w:rsid w:val="054F4E62"/>
    <w:rsid w:val="05557F9E"/>
    <w:rsid w:val="055A2E2A"/>
    <w:rsid w:val="05661CF4"/>
    <w:rsid w:val="056E08C6"/>
    <w:rsid w:val="056F215A"/>
    <w:rsid w:val="0583000C"/>
    <w:rsid w:val="05832D5D"/>
    <w:rsid w:val="05850283"/>
    <w:rsid w:val="05AC6419"/>
    <w:rsid w:val="05DB66F5"/>
    <w:rsid w:val="05DE61E6"/>
    <w:rsid w:val="05EF21A1"/>
    <w:rsid w:val="060043AE"/>
    <w:rsid w:val="0601172C"/>
    <w:rsid w:val="061C3457"/>
    <w:rsid w:val="06263700"/>
    <w:rsid w:val="063E72FF"/>
    <w:rsid w:val="06497B03"/>
    <w:rsid w:val="064E112E"/>
    <w:rsid w:val="06581AF4"/>
    <w:rsid w:val="065E22DE"/>
    <w:rsid w:val="067816BC"/>
    <w:rsid w:val="0680104B"/>
    <w:rsid w:val="068A3C77"/>
    <w:rsid w:val="068C2555"/>
    <w:rsid w:val="06940F6E"/>
    <w:rsid w:val="0698114A"/>
    <w:rsid w:val="06A765D7"/>
    <w:rsid w:val="06AD639E"/>
    <w:rsid w:val="06BD229F"/>
    <w:rsid w:val="06D612EB"/>
    <w:rsid w:val="06DE46EF"/>
    <w:rsid w:val="06E60D29"/>
    <w:rsid w:val="070103DE"/>
    <w:rsid w:val="0708246E"/>
    <w:rsid w:val="07133C1F"/>
    <w:rsid w:val="0728596A"/>
    <w:rsid w:val="07293490"/>
    <w:rsid w:val="07416A2C"/>
    <w:rsid w:val="075475E5"/>
    <w:rsid w:val="0760588F"/>
    <w:rsid w:val="076B2508"/>
    <w:rsid w:val="07723329"/>
    <w:rsid w:val="077961C6"/>
    <w:rsid w:val="077F1302"/>
    <w:rsid w:val="07901183"/>
    <w:rsid w:val="07926C6F"/>
    <w:rsid w:val="079E3E7E"/>
    <w:rsid w:val="07B74F40"/>
    <w:rsid w:val="07C867BA"/>
    <w:rsid w:val="07CD206E"/>
    <w:rsid w:val="07CD6512"/>
    <w:rsid w:val="07D96C64"/>
    <w:rsid w:val="07E147B8"/>
    <w:rsid w:val="07F07DAF"/>
    <w:rsid w:val="07F4174D"/>
    <w:rsid w:val="08066F25"/>
    <w:rsid w:val="0808754A"/>
    <w:rsid w:val="082500FC"/>
    <w:rsid w:val="0825634E"/>
    <w:rsid w:val="08275C22"/>
    <w:rsid w:val="082779D0"/>
    <w:rsid w:val="08316AA1"/>
    <w:rsid w:val="083503EB"/>
    <w:rsid w:val="083E2F6B"/>
    <w:rsid w:val="08444E10"/>
    <w:rsid w:val="084738DF"/>
    <w:rsid w:val="084802A7"/>
    <w:rsid w:val="08543D2A"/>
    <w:rsid w:val="0856729F"/>
    <w:rsid w:val="08624EAC"/>
    <w:rsid w:val="0867648F"/>
    <w:rsid w:val="08712537"/>
    <w:rsid w:val="087B5F6E"/>
    <w:rsid w:val="087D1CE6"/>
    <w:rsid w:val="08935065"/>
    <w:rsid w:val="08B33959"/>
    <w:rsid w:val="08B35707"/>
    <w:rsid w:val="08E50B53"/>
    <w:rsid w:val="08E72291"/>
    <w:rsid w:val="08EB3E7D"/>
    <w:rsid w:val="08FA7CD2"/>
    <w:rsid w:val="09022DBA"/>
    <w:rsid w:val="09077801"/>
    <w:rsid w:val="090C21CD"/>
    <w:rsid w:val="09127EC7"/>
    <w:rsid w:val="091E21C2"/>
    <w:rsid w:val="09235F02"/>
    <w:rsid w:val="09306E1D"/>
    <w:rsid w:val="09414AC1"/>
    <w:rsid w:val="095C563D"/>
    <w:rsid w:val="095E5C33"/>
    <w:rsid w:val="0966767D"/>
    <w:rsid w:val="096D1D5A"/>
    <w:rsid w:val="098552F6"/>
    <w:rsid w:val="098705F9"/>
    <w:rsid w:val="098E12AF"/>
    <w:rsid w:val="09924937"/>
    <w:rsid w:val="099F56AF"/>
    <w:rsid w:val="09D83091"/>
    <w:rsid w:val="09DF42DA"/>
    <w:rsid w:val="09E52755"/>
    <w:rsid w:val="09E65669"/>
    <w:rsid w:val="09F340E8"/>
    <w:rsid w:val="0A021E25"/>
    <w:rsid w:val="0A033C45"/>
    <w:rsid w:val="0A1421D6"/>
    <w:rsid w:val="0A1C108A"/>
    <w:rsid w:val="0A1E7B19"/>
    <w:rsid w:val="0A232A84"/>
    <w:rsid w:val="0A4156DE"/>
    <w:rsid w:val="0A4D13FC"/>
    <w:rsid w:val="0A6A44EC"/>
    <w:rsid w:val="0A732D15"/>
    <w:rsid w:val="0A80731A"/>
    <w:rsid w:val="0A830372"/>
    <w:rsid w:val="0A8455AD"/>
    <w:rsid w:val="0A911A78"/>
    <w:rsid w:val="0A913826"/>
    <w:rsid w:val="0AA53E58"/>
    <w:rsid w:val="0AA736C5"/>
    <w:rsid w:val="0AB87DA1"/>
    <w:rsid w:val="0AC459AA"/>
    <w:rsid w:val="0AD656DD"/>
    <w:rsid w:val="0ADF4C24"/>
    <w:rsid w:val="0B093FC6"/>
    <w:rsid w:val="0B0A4B64"/>
    <w:rsid w:val="0B1870DA"/>
    <w:rsid w:val="0B1D5B4B"/>
    <w:rsid w:val="0B464403"/>
    <w:rsid w:val="0B506487"/>
    <w:rsid w:val="0B52745A"/>
    <w:rsid w:val="0B5D7BAD"/>
    <w:rsid w:val="0B6947A3"/>
    <w:rsid w:val="0B713897"/>
    <w:rsid w:val="0B7E024F"/>
    <w:rsid w:val="0BA76FC2"/>
    <w:rsid w:val="0BB53BAE"/>
    <w:rsid w:val="0BBE30FF"/>
    <w:rsid w:val="0BC55E7E"/>
    <w:rsid w:val="0BDC0297"/>
    <w:rsid w:val="0BE035B5"/>
    <w:rsid w:val="0BE93A90"/>
    <w:rsid w:val="0C071699"/>
    <w:rsid w:val="0C082797"/>
    <w:rsid w:val="0C1D70C9"/>
    <w:rsid w:val="0C2661F0"/>
    <w:rsid w:val="0C46745E"/>
    <w:rsid w:val="0C52558F"/>
    <w:rsid w:val="0C5B0590"/>
    <w:rsid w:val="0C5E3261"/>
    <w:rsid w:val="0C66282A"/>
    <w:rsid w:val="0C782EF0"/>
    <w:rsid w:val="0C7B653C"/>
    <w:rsid w:val="0C8D626F"/>
    <w:rsid w:val="0CB47F78"/>
    <w:rsid w:val="0CB63A18"/>
    <w:rsid w:val="0CD67C16"/>
    <w:rsid w:val="0CD93F47"/>
    <w:rsid w:val="0CE43D18"/>
    <w:rsid w:val="0CE75980"/>
    <w:rsid w:val="0CFD416F"/>
    <w:rsid w:val="0D036B69"/>
    <w:rsid w:val="0D0F4ED6"/>
    <w:rsid w:val="0D1122FB"/>
    <w:rsid w:val="0D1C451A"/>
    <w:rsid w:val="0D2941EA"/>
    <w:rsid w:val="0D3861DB"/>
    <w:rsid w:val="0D4234FE"/>
    <w:rsid w:val="0D4A5E8C"/>
    <w:rsid w:val="0D4A5F0F"/>
    <w:rsid w:val="0D531267"/>
    <w:rsid w:val="0D586637"/>
    <w:rsid w:val="0D777ADC"/>
    <w:rsid w:val="0D817CDD"/>
    <w:rsid w:val="0D8B0A01"/>
    <w:rsid w:val="0D8D616E"/>
    <w:rsid w:val="0D90643A"/>
    <w:rsid w:val="0D98358E"/>
    <w:rsid w:val="0DBA7538"/>
    <w:rsid w:val="0DC21F49"/>
    <w:rsid w:val="0DCF1345"/>
    <w:rsid w:val="0DDD6D83"/>
    <w:rsid w:val="0DDE4FD5"/>
    <w:rsid w:val="0DE93979"/>
    <w:rsid w:val="0E010CC3"/>
    <w:rsid w:val="0E210FCD"/>
    <w:rsid w:val="0E2F75DE"/>
    <w:rsid w:val="0E377D9A"/>
    <w:rsid w:val="0E456E02"/>
    <w:rsid w:val="0E576B35"/>
    <w:rsid w:val="0E5A776A"/>
    <w:rsid w:val="0E7F1DC3"/>
    <w:rsid w:val="0E811E04"/>
    <w:rsid w:val="0E8D69FB"/>
    <w:rsid w:val="0EAF1C55"/>
    <w:rsid w:val="0EB83A78"/>
    <w:rsid w:val="0EC16F6A"/>
    <w:rsid w:val="0ED95657"/>
    <w:rsid w:val="0EDB09B3"/>
    <w:rsid w:val="0EE63E27"/>
    <w:rsid w:val="0EE7610B"/>
    <w:rsid w:val="0EF03449"/>
    <w:rsid w:val="0F182768"/>
    <w:rsid w:val="0F204FB3"/>
    <w:rsid w:val="0F3550C8"/>
    <w:rsid w:val="0F3E6BDD"/>
    <w:rsid w:val="0F607C6B"/>
    <w:rsid w:val="0F6237F7"/>
    <w:rsid w:val="0F985657"/>
    <w:rsid w:val="0FA7589A"/>
    <w:rsid w:val="0FBA381F"/>
    <w:rsid w:val="0FC621C4"/>
    <w:rsid w:val="0FD42CD5"/>
    <w:rsid w:val="0FE57030"/>
    <w:rsid w:val="0FFA1E6E"/>
    <w:rsid w:val="0FFC1B10"/>
    <w:rsid w:val="100D0EE2"/>
    <w:rsid w:val="10150A56"/>
    <w:rsid w:val="10196798"/>
    <w:rsid w:val="10303AE2"/>
    <w:rsid w:val="104135F9"/>
    <w:rsid w:val="104A4BA3"/>
    <w:rsid w:val="107240FA"/>
    <w:rsid w:val="10735A42"/>
    <w:rsid w:val="10750A53"/>
    <w:rsid w:val="10926D62"/>
    <w:rsid w:val="10A13E61"/>
    <w:rsid w:val="10AA5642"/>
    <w:rsid w:val="10AD2A04"/>
    <w:rsid w:val="10B262A5"/>
    <w:rsid w:val="10B464C1"/>
    <w:rsid w:val="10C36189"/>
    <w:rsid w:val="10CD3604"/>
    <w:rsid w:val="10D17073"/>
    <w:rsid w:val="10D36F3C"/>
    <w:rsid w:val="10EF386F"/>
    <w:rsid w:val="11203F12"/>
    <w:rsid w:val="112A6783"/>
    <w:rsid w:val="112F78F5"/>
    <w:rsid w:val="11335637"/>
    <w:rsid w:val="11384E24"/>
    <w:rsid w:val="114E06C3"/>
    <w:rsid w:val="116F0F94"/>
    <w:rsid w:val="117D68B3"/>
    <w:rsid w:val="1182036D"/>
    <w:rsid w:val="11847C41"/>
    <w:rsid w:val="11881D56"/>
    <w:rsid w:val="118B5473"/>
    <w:rsid w:val="118C4D48"/>
    <w:rsid w:val="11987B90"/>
    <w:rsid w:val="11B7573D"/>
    <w:rsid w:val="11BD65E0"/>
    <w:rsid w:val="11C75D80"/>
    <w:rsid w:val="11CC783A"/>
    <w:rsid w:val="11E0247E"/>
    <w:rsid w:val="11F03528"/>
    <w:rsid w:val="11FC3C6E"/>
    <w:rsid w:val="121D6EB6"/>
    <w:rsid w:val="122512A7"/>
    <w:rsid w:val="122B630F"/>
    <w:rsid w:val="125C471A"/>
    <w:rsid w:val="125E25F4"/>
    <w:rsid w:val="12614426"/>
    <w:rsid w:val="127D2F5A"/>
    <w:rsid w:val="12884684"/>
    <w:rsid w:val="1292638E"/>
    <w:rsid w:val="129B6263"/>
    <w:rsid w:val="129E384B"/>
    <w:rsid w:val="12AA1929"/>
    <w:rsid w:val="12B502CE"/>
    <w:rsid w:val="12C20AD4"/>
    <w:rsid w:val="12C86F91"/>
    <w:rsid w:val="12DD1CFF"/>
    <w:rsid w:val="12E0359D"/>
    <w:rsid w:val="12ED7A68"/>
    <w:rsid w:val="13013A76"/>
    <w:rsid w:val="13031831"/>
    <w:rsid w:val="1321590A"/>
    <w:rsid w:val="13274D28"/>
    <w:rsid w:val="13336E3E"/>
    <w:rsid w:val="13347445"/>
    <w:rsid w:val="13497394"/>
    <w:rsid w:val="134C0C32"/>
    <w:rsid w:val="134D0507"/>
    <w:rsid w:val="13791560"/>
    <w:rsid w:val="137B1518"/>
    <w:rsid w:val="1383504F"/>
    <w:rsid w:val="1393060F"/>
    <w:rsid w:val="139525D9"/>
    <w:rsid w:val="13BA3963"/>
    <w:rsid w:val="13D756DA"/>
    <w:rsid w:val="14092701"/>
    <w:rsid w:val="141259D8"/>
    <w:rsid w:val="141F7B53"/>
    <w:rsid w:val="1424395D"/>
    <w:rsid w:val="145A112D"/>
    <w:rsid w:val="146D70B2"/>
    <w:rsid w:val="1473140B"/>
    <w:rsid w:val="149B517D"/>
    <w:rsid w:val="149C34F4"/>
    <w:rsid w:val="14AD3953"/>
    <w:rsid w:val="14B94A0A"/>
    <w:rsid w:val="14BC76F2"/>
    <w:rsid w:val="14C91E0F"/>
    <w:rsid w:val="14E530ED"/>
    <w:rsid w:val="14EF5D19"/>
    <w:rsid w:val="15267261"/>
    <w:rsid w:val="1545675E"/>
    <w:rsid w:val="1546783B"/>
    <w:rsid w:val="154F67B8"/>
    <w:rsid w:val="15581B10"/>
    <w:rsid w:val="15596A7E"/>
    <w:rsid w:val="15597F0E"/>
    <w:rsid w:val="156277D1"/>
    <w:rsid w:val="156D1E10"/>
    <w:rsid w:val="15720093"/>
    <w:rsid w:val="15724254"/>
    <w:rsid w:val="157E709D"/>
    <w:rsid w:val="1599118A"/>
    <w:rsid w:val="15A06CAE"/>
    <w:rsid w:val="15A144A6"/>
    <w:rsid w:val="15A703A2"/>
    <w:rsid w:val="15C947BC"/>
    <w:rsid w:val="15D917D4"/>
    <w:rsid w:val="15FD5AA9"/>
    <w:rsid w:val="16070E41"/>
    <w:rsid w:val="16143C3C"/>
    <w:rsid w:val="161F618A"/>
    <w:rsid w:val="164755A2"/>
    <w:rsid w:val="16580F06"/>
    <w:rsid w:val="165931F9"/>
    <w:rsid w:val="165C6DCA"/>
    <w:rsid w:val="167D6DB2"/>
    <w:rsid w:val="167E55A7"/>
    <w:rsid w:val="16A24754"/>
    <w:rsid w:val="16A6065A"/>
    <w:rsid w:val="16A62408"/>
    <w:rsid w:val="16B72867"/>
    <w:rsid w:val="16C24C24"/>
    <w:rsid w:val="16D73273"/>
    <w:rsid w:val="16EB2510"/>
    <w:rsid w:val="16EC2DCC"/>
    <w:rsid w:val="16F413C5"/>
    <w:rsid w:val="16FE0496"/>
    <w:rsid w:val="1715758D"/>
    <w:rsid w:val="172779EC"/>
    <w:rsid w:val="172A128B"/>
    <w:rsid w:val="172E7CE3"/>
    <w:rsid w:val="17343EB7"/>
    <w:rsid w:val="17380D3E"/>
    <w:rsid w:val="1738496D"/>
    <w:rsid w:val="175E3B47"/>
    <w:rsid w:val="17675191"/>
    <w:rsid w:val="1774709D"/>
    <w:rsid w:val="17797B1C"/>
    <w:rsid w:val="177E44BC"/>
    <w:rsid w:val="177F76C0"/>
    <w:rsid w:val="1784089E"/>
    <w:rsid w:val="17867883"/>
    <w:rsid w:val="179B7A92"/>
    <w:rsid w:val="17A70B2D"/>
    <w:rsid w:val="17A96653"/>
    <w:rsid w:val="17B31280"/>
    <w:rsid w:val="17BA0860"/>
    <w:rsid w:val="17C0399D"/>
    <w:rsid w:val="17C33BC1"/>
    <w:rsid w:val="17C33BFB"/>
    <w:rsid w:val="17CF403E"/>
    <w:rsid w:val="17D230E4"/>
    <w:rsid w:val="17E56F60"/>
    <w:rsid w:val="17E7717C"/>
    <w:rsid w:val="17F65611"/>
    <w:rsid w:val="17FD074D"/>
    <w:rsid w:val="18006DF1"/>
    <w:rsid w:val="1828118F"/>
    <w:rsid w:val="182A7068"/>
    <w:rsid w:val="183C2049"/>
    <w:rsid w:val="183D6D9C"/>
    <w:rsid w:val="18532C52"/>
    <w:rsid w:val="185540E5"/>
    <w:rsid w:val="18820C52"/>
    <w:rsid w:val="189F0AFE"/>
    <w:rsid w:val="18A137CE"/>
    <w:rsid w:val="18A14B05"/>
    <w:rsid w:val="18A86D1C"/>
    <w:rsid w:val="18A961DF"/>
    <w:rsid w:val="18AD2173"/>
    <w:rsid w:val="18AE7C99"/>
    <w:rsid w:val="18B057C0"/>
    <w:rsid w:val="18D6502A"/>
    <w:rsid w:val="18E319D0"/>
    <w:rsid w:val="1913051A"/>
    <w:rsid w:val="19235F91"/>
    <w:rsid w:val="19274CDA"/>
    <w:rsid w:val="19285748"/>
    <w:rsid w:val="19341F4D"/>
    <w:rsid w:val="19417501"/>
    <w:rsid w:val="195E7D49"/>
    <w:rsid w:val="196566AE"/>
    <w:rsid w:val="196E3837"/>
    <w:rsid w:val="19742C91"/>
    <w:rsid w:val="19805192"/>
    <w:rsid w:val="198F2450"/>
    <w:rsid w:val="199F200C"/>
    <w:rsid w:val="19BE215E"/>
    <w:rsid w:val="19C94268"/>
    <w:rsid w:val="19E05E71"/>
    <w:rsid w:val="19E51499"/>
    <w:rsid w:val="19F714D0"/>
    <w:rsid w:val="1A006655"/>
    <w:rsid w:val="1A0475B4"/>
    <w:rsid w:val="1A1B1771"/>
    <w:rsid w:val="1A1D6E85"/>
    <w:rsid w:val="1A330456"/>
    <w:rsid w:val="1A332204"/>
    <w:rsid w:val="1A7A6085"/>
    <w:rsid w:val="1A7E714F"/>
    <w:rsid w:val="1A91181B"/>
    <w:rsid w:val="1A951111"/>
    <w:rsid w:val="1AB37DBF"/>
    <w:rsid w:val="1AD556E9"/>
    <w:rsid w:val="1ADD09CA"/>
    <w:rsid w:val="1ADE294C"/>
    <w:rsid w:val="1ADF2787"/>
    <w:rsid w:val="1AED4B2A"/>
    <w:rsid w:val="1AFA5418"/>
    <w:rsid w:val="1B0A7F80"/>
    <w:rsid w:val="1B1E1106"/>
    <w:rsid w:val="1B254A10"/>
    <w:rsid w:val="1B2B711A"/>
    <w:rsid w:val="1B300E3A"/>
    <w:rsid w:val="1B352404"/>
    <w:rsid w:val="1B391A9C"/>
    <w:rsid w:val="1B3F1135"/>
    <w:rsid w:val="1B656D35"/>
    <w:rsid w:val="1B697EA8"/>
    <w:rsid w:val="1BC53330"/>
    <w:rsid w:val="1BCC153A"/>
    <w:rsid w:val="1BD9502D"/>
    <w:rsid w:val="1BE60A1D"/>
    <w:rsid w:val="1BE9259D"/>
    <w:rsid w:val="1BE95EF7"/>
    <w:rsid w:val="1BEA548C"/>
    <w:rsid w:val="1BF73E3F"/>
    <w:rsid w:val="1C0F0A4F"/>
    <w:rsid w:val="1C113C73"/>
    <w:rsid w:val="1C1845A3"/>
    <w:rsid w:val="1C1D316C"/>
    <w:rsid w:val="1C1E64FC"/>
    <w:rsid w:val="1C4F71E9"/>
    <w:rsid w:val="1C510F22"/>
    <w:rsid w:val="1C591897"/>
    <w:rsid w:val="1C6648DD"/>
    <w:rsid w:val="1C7F5BD5"/>
    <w:rsid w:val="1C8808D7"/>
    <w:rsid w:val="1C890801"/>
    <w:rsid w:val="1C9525DA"/>
    <w:rsid w:val="1CA830FE"/>
    <w:rsid w:val="1CAC7D53"/>
    <w:rsid w:val="1CC050EC"/>
    <w:rsid w:val="1CC13F37"/>
    <w:rsid w:val="1CCA6A65"/>
    <w:rsid w:val="1CCF5E36"/>
    <w:rsid w:val="1CE4012E"/>
    <w:rsid w:val="1CEB6DC6"/>
    <w:rsid w:val="1CFA40C7"/>
    <w:rsid w:val="1D0B3E36"/>
    <w:rsid w:val="1D0D3CA0"/>
    <w:rsid w:val="1D1502E7"/>
    <w:rsid w:val="1D303373"/>
    <w:rsid w:val="1D3544E5"/>
    <w:rsid w:val="1D3749F4"/>
    <w:rsid w:val="1D3C38E1"/>
    <w:rsid w:val="1D412E8A"/>
    <w:rsid w:val="1D4A5240"/>
    <w:rsid w:val="1D4B5AB7"/>
    <w:rsid w:val="1D5569B2"/>
    <w:rsid w:val="1D6E668F"/>
    <w:rsid w:val="1D7019C1"/>
    <w:rsid w:val="1D8059B9"/>
    <w:rsid w:val="1D8164D4"/>
    <w:rsid w:val="1D8309E9"/>
    <w:rsid w:val="1D850670"/>
    <w:rsid w:val="1D885178"/>
    <w:rsid w:val="1DAE48A5"/>
    <w:rsid w:val="1DB43D64"/>
    <w:rsid w:val="1DCA2E80"/>
    <w:rsid w:val="1DD0420E"/>
    <w:rsid w:val="1DD04CB4"/>
    <w:rsid w:val="1DD67A76"/>
    <w:rsid w:val="1DFD14A7"/>
    <w:rsid w:val="1E170C8E"/>
    <w:rsid w:val="1E1E141D"/>
    <w:rsid w:val="1E205195"/>
    <w:rsid w:val="1E236A34"/>
    <w:rsid w:val="1E293D73"/>
    <w:rsid w:val="1E2C1A3D"/>
    <w:rsid w:val="1E543243"/>
    <w:rsid w:val="1E58232D"/>
    <w:rsid w:val="1E5A4A5F"/>
    <w:rsid w:val="1E6B7F66"/>
    <w:rsid w:val="1E766B63"/>
    <w:rsid w:val="1EC606EB"/>
    <w:rsid w:val="1EE44415"/>
    <w:rsid w:val="1EFA35D0"/>
    <w:rsid w:val="1F100D66"/>
    <w:rsid w:val="1F120F82"/>
    <w:rsid w:val="1F2B2044"/>
    <w:rsid w:val="1F7742B3"/>
    <w:rsid w:val="1FAC77BE"/>
    <w:rsid w:val="1FAE4B27"/>
    <w:rsid w:val="1FB931AC"/>
    <w:rsid w:val="1FD004F5"/>
    <w:rsid w:val="1FE83A91"/>
    <w:rsid w:val="1FE91CA7"/>
    <w:rsid w:val="203931EC"/>
    <w:rsid w:val="2040567B"/>
    <w:rsid w:val="20482782"/>
    <w:rsid w:val="20484530"/>
    <w:rsid w:val="204E3C97"/>
    <w:rsid w:val="20623843"/>
    <w:rsid w:val="206A024D"/>
    <w:rsid w:val="207B4905"/>
    <w:rsid w:val="20951910"/>
    <w:rsid w:val="209B7713"/>
    <w:rsid w:val="20BE2A44"/>
    <w:rsid w:val="20DA787E"/>
    <w:rsid w:val="20DE6C42"/>
    <w:rsid w:val="20EA0662"/>
    <w:rsid w:val="20EF0E4F"/>
    <w:rsid w:val="20F12AC3"/>
    <w:rsid w:val="21115269"/>
    <w:rsid w:val="21203F1C"/>
    <w:rsid w:val="212C749A"/>
    <w:rsid w:val="21463165"/>
    <w:rsid w:val="215D04AF"/>
    <w:rsid w:val="21690C01"/>
    <w:rsid w:val="21692022"/>
    <w:rsid w:val="216D06F2"/>
    <w:rsid w:val="21723F5A"/>
    <w:rsid w:val="21880A73"/>
    <w:rsid w:val="218E7574"/>
    <w:rsid w:val="21994209"/>
    <w:rsid w:val="219D08AB"/>
    <w:rsid w:val="21A41C3A"/>
    <w:rsid w:val="21F77FBB"/>
    <w:rsid w:val="21FA7BC8"/>
    <w:rsid w:val="22107F8B"/>
    <w:rsid w:val="22145011"/>
    <w:rsid w:val="222D7E81"/>
    <w:rsid w:val="22461B63"/>
    <w:rsid w:val="224845E1"/>
    <w:rsid w:val="224C47AB"/>
    <w:rsid w:val="224F4AB9"/>
    <w:rsid w:val="22513B6F"/>
    <w:rsid w:val="225C5ABC"/>
    <w:rsid w:val="225E003A"/>
    <w:rsid w:val="227A33FE"/>
    <w:rsid w:val="227F78B3"/>
    <w:rsid w:val="228D6B72"/>
    <w:rsid w:val="228F5F0E"/>
    <w:rsid w:val="229B303C"/>
    <w:rsid w:val="229E3B5E"/>
    <w:rsid w:val="22A7378F"/>
    <w:rsid w:val="22B457F8"/>
    <w:rsid w:val="22C676EB"/>
    <w:rsid w:val="22DE1020"/>
    <w:rsid w:val="22E12559"/>
    <w:rsid w:val="22F56664"/>
    <w:rsid w:val="22F80EBC"/>
    <w:rsid w:val="23052BAC"/>
    <w:rsid w:val="231921B3"/>
    <w:rsid w:val="231F1167"/>
    <w:rsid w:val="232F19D7"/>
    <w:rsid w:val="23563407"/>
    <w:rsid w:val="235C2BD4"/>
    <w:rsid w:val="2366189C"/>
    <w:rsid w:val="236A46A1"/>
    <w:rsid w:val="23713D9D"/>
    <w:rsid w:val="237806E6"/>
    <w:rsid w:val="237C7D5E"/>
    <w:rsid w:val="238166D6"/>
    <w:rsid w:val="23894C25"/>
    <w:rsid w:val="23906100"/>
    <w:rsid w:val="23931F66"/>
    <w:rsid w:val="23983A20"/>
    <w:rsid w:val="239D5B35"/>
    <w:rsid w:val="23A45829"/>
    <w:rsid w:val="23A710EC"/>
    <w:rsid w:val="23BD5DDC"/>
    <w:rsid w:val="23FE3462"/>
    <w:rsid w:val="23FF4341"/>
    <w:rsid w:val="24255394"/>
    <w:rsid w:val="242D5F16"/>
    <w:rsid w:val="243C438D"/>
    <w:rsid w:val="245142FB"/>
    <w:rsid w:val="246C2EE2"/>
    <w:rsid w:val="246D3214"/>
    <w:rsid w:val="246D4431"/>
    <w:rsid w:val="247D50F0"/>
    <w:rsid w:val="24883A94"/>
    <w:rsid w:val="24A03793"/>
    <w:rsid w:val="24A80F65"/>
    <w:rsid w:val="24BE43FA"/>
    <w:rsid w:val="24C71FC7"/>
    <w:rsid w:val="24CD76F9"/>
    <w:rsid w:val="24CE594B"/>
    <w:rsid w:val="24D12CFA"/>
    <w:rsid w:val="24D171E9"/>
    <w:rsid w:val="24EE1B49"/>
    <w:rsid w:val="24F9366A"/>
    <w:rsid w:val="25140E84"/>
    <w:rsid w:val="251E1D03"/>
    <w:rsid w:val="25303D7B"/>
    <w:rsid w:val="25382DC5"/>
    <w:rsid w:val="25501845"/>
    <w:rsid w:val="25631DA5"/>
    <w:rsid w:val="25661A5B"/>
    <w:rsid w:val="25692AD6"/>
    <w:rsid w:val="256E4A38"/>
    <w:rsid w:val="25730133"/>
    <w:rsid w:val="2581038F"/>
    <w:rsid w:val="259E2DAE"/>
    <w:rsid w:val="25A20B86"/>
    <w:rsid w:val="25AB3597"/>
    <w:rsid w:val="25B11518"/>
    <w:rsid w:val="25B86563"/>
    <w:rsid w:val="25D7082F"/>
    <w:rsid w:val="25DB7FC6"/>
    <w:rsid w:val="25E602E6"/>
    <w:rsid w:val="25EC3BAF"/>
    <w:rsid w:val="25F971E1"/>
    <w:rsid w:val="260C4691"/>
    <w:rsid w:val="260F0C54"/>
    <w:rsid w:val="261F21D6"/>
    <w:rsid w:val="265A6D6B"/>
    <w:rsid w:val="265C6F87"/>
    <w:rsid w:val="26647BE9"/>
    <w:rsid w:val="26663D40"/>
    <w:rsid w:val="267918E7"/>
    <w:rsid w:val="268F2590"/>
    <w:rsid w:val="26A34BB6"/>
    <w:rsid w:val="26B20955"/>
    <w:rsid w:val="26C12FA3"/>
    <w:rsid w:val="26D27249"/>
    <w:rsid w:val="26DE174A"/>
    <w:rsid w:val="26EC030B"/>
    <w:rsid w:val="26EE087F"/>
    <w:rsid w:val="26F62BC8"/>
    <w:rsid w:val="26FD2518"/>
    <w:rsid w:val="27042DFE"/>
    <w:rsid w:val="2711005A"/>
    <w:rsid w:val="27231852"/>
    <w:rsid w:val="273D46C2"/>
    <w:rsid w:val="27457A1B"/>
    <w:rsid w:val="274A347F"/>
    <w:rsid w:val="2758774E"/>
    <w:rsid w:val="275B723E"/>
    <w:rsid w:val="275D4D64"/>
    <w:rsid w:val="277D0F28"/>
    <w:rsid w:val="2780046C"/>
    <w:rsid w:val="27B65DA8"/>
    <w:rsid w:val="27CC1EEA"/>
    <w:rsid w:val="27D72414"/>
    <w:rsid w:val="27E92C02"/>
    <w:rsid w:val="27EC60E8"/>
    <w:rsid w:val="27FF5E1C"/>
    <w:rsid w:val="280653FC"/>
    <w:rsid w:val="281079D4"/>
    <w:rsid w:val="2815563F"/>
    <w:rsid w:val="281A55F0"/>
    <w:rsid w:val="28223279"/>
    <w:rsid w:val="283006CB"/>
    <w:rsid w:val="283757FF"/>
    <w:rsid w:val="28414686"/>
    <w:rsid w:val="28425D08"/>
    <w:rsid w:val="28610884"/>
    <w:rsid w:val="287560DE"/>
    <w:rsid w:val="287A52FE"/>
    <w:rsid w:val="28951090"/>
    <w:rsid w:val="289A5B44"/>
    <w:rsid w:val="289F51E5"/>
    <w:rsid w:val="28A30E9D"/>
    <w:rsid w:val="28B31B17"/>
    <w:rsid w:val="28BF1876"/>
    <w:rsid w:val="28C83D3D"/>
    <w:rsid w:val="28D26BD1"/>
    <w:rsid w:val="28DE1ED5"/>
    <w:rsid w:val="28DE56F6"/>
    <w:rsid w:val="29211DC2"/>
    <w:rsid w:val="29264159"/>
    <w:rsid w:val="292875F4"/>
    <w:rsid w:val="2929292B"/>
    <w:rsid w:val="292C5D35"/>
    <w:rsid w:val="2938027B"/>
    <w:rsid w:val="293E0BC6"/>
    <w:rsid w:val="29442B98"/>
    <w:rsid w:val="295201CD"/>
    <w:rsid w:val="2977419A"/>
    <w:rsid w:val="297840D8"/>
    <w:rsid w:val="29882B0A"/>
    <w:rsid w:val="299E5C8F"/>
    <w:rsid w:val="299F5956"/>
    <w:rsid w:val="29BC3EE7"/>
    <w:rsid w:val="29C54E43"/>
    <w:rsid w:val="29C746AA"/>
    <w:rsid w:val="29CC6CA4"/>
    <w:rsid w:val="29DB6414"/>
    <w:rsid w:val="29DD03DE"/>
    <w:rsid w:val="29EA5AF7"/>
    <w:rsid w:val="29F10FDB"/>
    <w:rsid w:val="29F21BC7"/>
    <w:rsid w:val="2A0C3480"/>
    <w:rsid w:val="2A0C4820"/>
    <w:rsid w:val="2A0E67EA"/>
    <w:rsid w:val="2A1F27A5"/>
    <w:rsid w:val="2A2A4F16"/>
    <w:rsid w:val="2A2B114A"/>
    <w:rsid w:val="2A2B2EF8"/>
    <w:rsid w:val="2A4C0E75"/>
    <w:rsid w:val="2A581813"/>
    <w:rsid w:val="2A663F30"/>
    <w:rsid w:val="2A676E5E"/>
    <w:rsid w:val="2A7477C4"/>
    <w:rsid w:val="2A7F0810"/>
    <w:rsid w:val="2A8F0755"/>
    <w:rsid w:val="2A9E7B6E"/>
    <w:rsid w:val="2AA64C74"/>
    <w:rsid w:val="2AB0164F"/>
    <w:rsid w:val="2AC1166B"/>
    <w:rsid w:val="2AD417E1"/>
    <w:rsid w:val="2AEF2177"/>
    <w:rsid w:val="2AF23A16"/>
    <w:rsid w:val="2AFE098F"/>
    <w:rsid w:val="2AFE23BA"/>
    <w:rsid w:val="2B054B6B"/>
    <w:rsid w:val="2B0A0D5F"/>
    <w:rsid w:val="2B186987"/>
    <w:rsid w:val="2B1D5E2B"/>
    <w:rsid w:val="2B1F7CF9"/>
    <w:rsid w:val="2B3C1135"/>
    <w:rsid w:val="2B3F2232"/>
    <w:rsid w:val="2B647BEB"/>
    <w:rsid w:val="2B650C62"/>
    <w:rsid w:val="2B6E5792"/>
    <w:rsid w:val="2B7253DA"/>
    <w:rsid w:val="2B896186"/>
    <w:rsid w:val="2BA70440"/>
    <w:rsid w:val="2BB4516F"/>
    <w:rsid w:val="2BB533C1"/>
    <w:rsid w:val="2BC1772E"/>
    <w:rsid w:val="2BC55644"/>
    <w:rsid w:val="2BCF4DA0"/>
    <w:rsid w:val="2BD575BF"/>
    <w:rsid w:val="2BDA2E28"/>
    <w:rsid w:val="2BEF44BB"/>
    <w:rsid w:val="2C183950"/>
    <w:rsid w:val="2C533573"/>
    <w:rsid w:val="2C7B4A02"/>
    <w:rsid w:val="2C8252CD"/>
    <w:rsid w:val="2C82701B"/>
    <w:rsid w:val="2C8A1830"/>
    <w:rsid w:val="2C9C632F"/>
    <w:rsid w:val="2CA31F00"/>
    <w:rsid w:val="2CBE11D1"/>
    <w:rsid w:val="2CCB451E"/>
    <w:rsid w:val="2CED6B8B"/>
    <w:rsid w:val="2CF47464"/>
    <w:rsid w:val="2D13262D"/>
    <w:rsid w:val="2D1B3DF3"/>
    <w:rsid w:val="2D2D6F87"/>
    <w:rsid w:val="2D2F75E7"/>
    <w:rsid w:val="2D482013"/>
    <w:rsid w:val="2D5E1836"/>
    <w:rsid w:val="2D695DAD"/>
    <w:rsid w:val="2D7501E6"/>
    <w:rsid w:val="2D776454"/>
    <w:rsid w:val="2D885DEC"/>
    <w:rsid w:val="2DA07759"/>
    <w:rsid w:val="2DAD633C"/>
    <w:rsid w:val="2DB35827"/>
    <w:rsid w:val="2DB5723C"/>
    <w:rsid w:val="2DD1025A"/>
    <w:rsid w:val="2DD85145"/>
    <w:rsid w:val="2DF67CC1"/>
    <w:rsid w:val="2DFB1782"/>
    <w:rsid w:val="2DFE3B6E"/>
    <w:rsid w:val="2E0221C2"/>
    <w:rsid w:val="2E032607"/>
    <w:rsid w:val="2E1819E5"/>
    <w:rsid w:val="2E1F2D74"/>
    <w:rsid w:val="2E262354"/>
    <w:rsid w:val="2E332EEF"/>
    <w:rsid w:val="2E3335ED"/>
    <w:rsid w:val="2E3D31FA"/>
    <w:rsid w:val="2E461D92"/>
    <w:rsid w:val="2E4722CA"/>
    <w:rsid w:val="2E53370D"/>
    <w:rsid w:val="2E5B7B24"/>
    <w:rsid w:val="2E6379B0"/>
    <w:rsid w:val="2E67471B"/>
    <w:rsid w:val="2E713261"/>
    <w:rsid w:val="2E7F3812"/>
    <w:rsid w:val="2E941D00"/>
    <w:rsid w:val="2EBC40BB"/>
    <w:rsid w:val="2EC11A79"/>
    <w:rsid w:val="2EC36BFE"/>
    <w:rsid w:val="2EE6563F"/>
    <w:rsid w:val="2EE91DEC"/>
    <w:rsid w:val="2F0B779C"/>
    <w:rsid w:val="2F3C1703"/>
    <w:rsid w:val="2F41747F"/>
    <w:rsid w:val="2F551796"/>
    <w:rsid w:val="2F61116A"/>
    <w:rsid w:val="2F762E67"/>
    <w:rsid w:val="2F7C70F7"/>
    <w:rsid w:val="2F8067A0"/>
    <w:rsid w:val="2F8F217B"/>
    <w:rsid w:val="2F996B56"/>
    <w:rsid w:val="2FA14728"/>
    <w:rsid w:val="2FAD0853"/>
    <w:rsid w:val="2FC00586"/>
    <w:rsid w:val="2FDB37C9"/>
    <w:rsid w:val="2FF6165F"/>
    <w:rsid w:val="300C223B"/>
    <w:rsid w:val="301663F8"/>
    <w:rsid w:val="302C5C1C"/>
    <w:rsid w:val="30530F4B"/>
    <w:rsid w:val="305D7B83"/>
    <w:rsid w:val="30656A38"/>
    <w:rsid w:val="308F0D89"/>
    <w:rsid w:val="308F319F"/>
    <w:rsid w:val="30913CD1"/>
    <w:rsid w:val="3091782D"/>
    <w:rsid w:val="30A547F8"/>
    <w:rsid w:val="30AC7B38"/>
    <w:rsid w:val="30BA4FD6"/>
    <w:rsid w:val="30C44045"/>
    <w:rsid w:val="30CC5C22"/>
    <w:rsid w:val="30D047F9"/>
    <w:rsid w:val="30D836AE"/>
    <w:rsid w:val="30DB033C"/>
    <w:rsid w:val="30E95DA6"/>
    <w:rsid w:val="30F36E3B"/>
    <w:rsid w:val="30FF47BD"/>
    <w:rsid w:val="310C49B2"/>
    <w:rsid w:val="31152BCA"/>
    <w:rsid w:val="31155873"/>
    <w:rsid w:val="313C2D0A"/>
    <w:rsid w:val="314C327A"/>
    <w:rsid w:val="315415C0"/>
    <w:rsid w:val="317346CE"/>
    <w:rsid w:val="317E1552"/>
    <w:rsid w:val="31822DF7"/>
    <w:rsid w:val="31866FAB"/>
    <w:rsid w:val="31895403"/>
    <w:rsid w:val="31B47C77"/>
    <w:rsid w:val="31BD3F4E"/>
    <w:rsid w:val="31CB6D6E"/>
    <w:rsid w:val="31DC7C41"/>
    <w:rsid w:val="31EA5447"/>
    <w:rsid w:val="31F44517"/>
    <w:rsid w:val="31F538D7"/>
    <w:rsid w:val="32380A54"/>
    <w:rsid w:val="32455C08"/>
    <w:rsid w:val="324C1A24"/>
    <w:rsid w:val="325B4596"/>
    <w:rsid w:val="326F3B9E"/>
    <w:rsid w:val="328C0BF4"/>
    <w:rsid w:val="329027F6"/>
    <w:rsid w:val="32E4633A"/>
    <w:rsid w:val="32E56491"/>
    <w:rsid w:val="32FB322A"/>
    <w:rsid w:val="33053CF6"/>
    <w:rsid w:val="33072028"/>
    <w:rsid w:val="330735F0"/>
    <w:rsid w:val="330F7364"/>
    <w:rsid w:val="332D48CA"/>
    <w:rsid w:val="3342394E"/>
    <w:rsid w:val="33484B1B"/>
    <w:rsid w:val="334B0167"/>
    <w:rsid w:val="33505362"/>
    <w:rsid w:val="3358660D"/>
    <w:rsid w:val="336034CC"/>
    <w:rsid w:val="3384667D"/>
    <w:rsid w:val="33930205"/>
    <w:rsid w:val="339643C6"/>
    <w:rsid w:val="33967763"/>
    <w:rsid w:val="33BC45DC"/>
    <w:rsid w:val="33C7178B"/>
    <w:rsid w:val="33CD3272"/>
    <w:rsid w:val="33D44600"/>
    <w:rsid w:val="33D53ED4"/>
    <w:rsid w:val="33F85062"/>
    <w:rsid w:val="340C5B48"/>
    <w:rsid w:val="34133097"/>
    <w:rsid w:val="341964B7"/>
    <w:rsid w:val="341D3908"/>
    <w:rsid w:val="341D5FA7"/>
    <w:rsid w:val="3442156A"/>
    <w:rsid w:val="344277BC"/>
    <w:rsid w:val="34433534"/>
    <w:rsid w:val="345179FF"/>
    <w:rsid w:val="345D64B5"/>
    <w:rsid w:val="34767465"/>
    <w:rsid w:val="347D25A2"/>
    <w:rsid w:val="347D49EC"/>
    <w:rsid w:val="347E456C"/>
    <w:rsid w:val="3485231F"/>
    <w:rsid w:val="34B85440"/>
    <w:rsid w:val="34C46423"/>
    <w:rsid w:val="34D50630"/>
    <w:rsid w:val="34E1639F"/>
    <w:rsid w:val="34E72111"/>
    <w:rsid w:val="34EB5A9A"/>
    <w:rsid w:val="34F767F8"/>
    <w:rsid w:val="34F82570"/>
    <w:rsid w:val="35042CC3"/>
    <w:rsid w:val="35082F60"/>
    <w:rsid w:val="350C3926"/>
    <w:rsid w:val="3522630E"/>
    <w:rsid w:val="35315E89"/>
    <w:rsid w:val="353B199A"/>
    <w:rsid w:val="35563ECB"/>
    <w:rsid w:val="35580143"/>
    <w:rsid w:val="35587707"/>
    <w:rsid w:val="355A0B35"/>
    <w:rsid w:val="355A6D87"/>
    <w:rsid w:val="355C48AD"/>
    <w:rsid w:val="355D7DD4"/>
    <w:rsid w:val="357240D1"/>
    <w:rsid w:val="357532E4"/>
    <w:rsid w:val="357C62C0"/>
    <w:rsid w:val="35A3072E"/>
    <w:rsid w:val="35BA7826"/>
    <w:rsid w:val="35BB5A78"/>
    <w:rsid w:val="35BC70FA"/>
    <w:rsid w:val="35DE1221"/>
    <w:rsid w:val="35E87A5C"/>
    <w:rsid w:val="35EF74CF"/>
    <w:rsid w:val="35F202E5"/>
    <w:rsid w:val="36127662"/>
    <w:rsid w:val="361E2DC1"/>
    <w:rsid w:val="362178A5"/>
    <w:rsid w:val="36300059"/>
    <w:rsid w:val="36345EE6"/>
    <w:rsid w:val="36486BE0"/>
    <w:rsid w:val="364A0BAA"/>
    <w:rsid w:val="36794FEB"/>
    <w:rsid w:val="36892997"/>
    <w:rsid w:val="3689393A"/>
    <w:rsid w:val="36A403A6"/>
    <w:rsid w:val="36A85B03"/>
    <w:rsid w:val="36AA33F6"/>
    <w:rsid w:val="36AD2EE7"/>
    <w:rsid w:val="36B62938"/>
    <w:rsid w:val="36B83D65"/>
    <w:rsid w:val="36BC355C"/>
    <w:rsid w:val="36E52680"/>
    <w:rsid w:val="36F54FB9"/>
    <w:rsid w:val="3700570C"/>
    <w:rsid w:val="370445C3"/>
    <w:rsid w:val="37070849"/>
    <w:rsid w:val="371371EE"/>
    <w:rsid w:val="373830F8"/>
    <w:rsid w:val="37643EED"/>
    <w:rsid w:val="376736AE"/>
    <w:rsid w:val="377A56E7"/>
    <w:rsid w:val="377C4D93"/>
    <w:rsid w:val="379438FA"/>
    <w:rsid w:val="37C355F3"/>
    <w:rsid w:val="37C702A9"/>
    <w:rsid w:val="37C72BFB"/>
    <w:rsid w:val="37D3697D"/>
    <w:rsid w:val="37DD733F"/>
    <w:rsid w:val="37DE3C9F"/>
    <w:rsid w:val="37DF20DE"/>
    <w:rsid w:val="37F4701F"/>
    <w:rsid w:val="37F52D97"/>
    <w:rsid w:val="37F92167"/>
    <w:rsid w:val="37FE39FA"/>
    <w:rsid w:val="3810372D"/>
    <w:rsid w:val="381F4FAE"/>
    <w:rsid w:val="38473333"/>
    <w:rsid w:val="386C58FB"/>
    <w:rsid w:val="386D15ED"/>
    <w:rsid w:val="387164D9"/>
    <w:rsid w:val="3873250B"/>
    <w:rsid w:val="388760E5"/>
    <w:rsid w:val="38901E50"/>
    <w:rsid w:val="389F7463"/>
    <w:rsid w:val="38A21551"/>
    <w:rsid w:val="38AA1DD4"/>
    <w:rsid w:val="38B23589"/>
    <w:rsid w:val="38C20B2E"/>
    <w:rsid w:val="38C70763"/>
    <w:rsid w:val="38C74734"/>
    <w:rsid w:val="38C764E2"/>
    <w:rsid w:val="38D31FAE"/>
    <w:rsid w:val="39194863"/>
    <w:rsid w:val="391D1C3B"/>
    <w:rsid w:val="3922196A"/>
    <w:rsid w:val="39253208"/>
    <w:rsid w:val="392A4CA9"/>
    <w:rsid w:val="392F1E02"/>
    <w:rsid w:val="393D4243"/>
    <w:rsid w:val="394C5EEA"/>
    <w:rsid w:val="39556DEB"/>
    <w:rsid w:val="39592BFD"/>
    <w:rsid w:val="398B5761"/>
    <w:rsid w:val="39B11A24"/>
    <w:rsid w:val="39C65D3C"/>
    <w:rsid w:val="39CB20C8"/>
    <w:rsid w:val="39DC7D6B"/>
    <w:rsid w:val="39F07CBA"/>
    <w:rsid w:val="39FF7EFD"/>
    <w:rsid w:val="3A327511"/>
    <w:rsid w:val="3A39605F"/>
    <w:rsid w:val="3A43603C"/>
    <w:rsid w:val="3A59463F"/>
    <w:rsid w:val="3A69529C"/>
    <w:rsid w:val="3A712BA9"/>
    <w:rsid w:val="3A8F302F"/>
    <w:rsid w:val="3AB6680E"/>
    <w:rsid w:val="3ABC194A"/>
    <w:rsid w:val="3ADF3124"/>
    <w:rsid w:val="3AF25027"/>
    <w:rsid w:val="3B0803B3"/>
    <w:rsid w:val="3B0F4170"/>
    <w:rsid w:val="3B123707"/>
    <w:rsid w:val="3B1E4879"/>
    <w:rsid w:val="3B247C1B"/>
    <w:rsid w:val="3B2A52E0"/>
    <w:rsid w:val="3B2F036E"/>
    <w:rsid w:val="3B385475"/>
    <w:rsid w:val="3B3D158A"/>
    <w:rsid w:val="3B424545"/>
    <w:rsid w:val="3B575972"/>
    <w:rsid w:val="3B593958"/>
    <w:rsid w:val="3B5F0C53"/>
    <w:rsid w:val="3B6650C4"/>
    <w:rsid w:val="3B7F4E52"/>
    <w:rsid w:val="3BC136BC"/>
    <w:rsid w:val="3BC767F9"/>
    <w:rsid w:val="3BC84BF2"/>
    <w:rsid w:val="3BD3357D"/>
    <w:rsid w:val="3BE41159"/>
    <w:rsid w:val="3BF66484"/>
    <w:rsid w:val="3C1530C8"/>
    <w:rsid w:val="3C2459F9"/>
    <w:rsid w:val="3C2D6FA3"/>
    <w:rsid w:val="3C395948"/>
    <w:rsid w:val="3C402417"/>
    <w:rsid w:val="3C402634"/>
    <w:rsid w:val="3C430575"/>
    <w:rsid w:val="3C4D41CF"/>
    <w:rsid w:val="3C4E2A76"/>
    <w:rsid w:val="3C760E58"/>
    <w:rsid w:val="3C8C1C17"/>
    <w:rsid w:val="3CA049DD"/>
    <w:rsid w:val="3CB90837"/>
    <w:rsid w:val="3CE138EA"/>
    <w:rsid w:val="3CEA6C43"/>
    <w:rsid w:val="3CF14C03"/>
    <w:rsid w:val="3D0F48FB"/>
    <w:rsid w:val="3D1708FC"/>
    <w:rsid w:val="3D1B5EC5"/>
    <w:rsid w:val="3D3A04EA"/>
    <w:rsid w:val="3D513775"/>
    <w:rsid w:val="3D5F6534"/>
    <w:rsid w:val="3D6D1623"/>
    <w:rsid w:val="3D9222C1"/>
    <w:rsid w:val="3D932E36"/>
    <w:rsid w:val="3DA037A5"/>
    <w:rsid w:val="3DB37034"/>
    <w:rsid w:val="3DB86D41"/>
    <w:rsid w:val="3DB87D9B"/>
    <w:rsid w:val="3DD671C7"/>
    <w:rsid w:val="3DD93E2D"/>
    <w:rsid w:val="3DFA4C63"/>
    <w:rsid w:val="3DFE0BF8"/>
    <w:rsid w:val="3E2145BE"/>
    <w:rsid w:val="3E247F32"/>
    <w:rsid w:val="3E27138C"/>
    <w:rsid w:val="3E321B51"/>
    <w:rsid w:val="3E43780F"/>
    <w:rsid w:val="3E545486"/>
    <w:rsid w:val="3E587BDC"/>
    <w:rsid w:val="3E6227FC"/>
    <w:rsid w:val="3E682515"/>
    <w:rsid w:val="3E6B3412"/>
    <w:rsid w:val="3EB05890"/>
    <w:rsid w:val="3EB141B0"/>
    <w:rsid w:val="3EBB628B"/>
    <w:rsid w:val="3EBE5D70"/>
    <w:rsid w:val="3EED760E"/>
    <w:rsid w:val="3EFF2568"/>
    <w:rsid w:val="3F0833B0"/>
    <w:rsid w:val="3F147729"/>
    <w:rsid w:val="3F23468E"/>
    <w:rsid w:val="3F303FC2"/>
    <w:rsid w:val="3F316DAB"/>
    <w:rsid w:val="3F487C50"/>
    <w:rsid w:val="3F5B7984"/>
    <w:rsid w:val="3F620D12"/>
    <w:rsid w:val="3F6C393F"/>
    <w:rsid w:val="3F6F51DD"/>
    <w:rsid w:val="3F7F2B3A"/>
    <w:rsid w:val="3F93711E"/>
    <w:rsid w:val="3F946016"/>
    <w:rsid w:val="3F9D61EE"/>
    <w:rsid w:val="3FB83028"/>
    <w:rsid w:val="3FBF43B6"/>
    <w:rsid w:val="3FC75019"/>
    <w:rsid w:val="4000052B"/>
    <w:rsid w:val="40455B97"/>
    <w:rsid w:val="406A1453"/>
    <w:rsid w:val="408244D3"/>
    <w:rsid w:val="408E54D0"/>
    <w:rsid w:val="409515C3"/>
    <w:rsid w:val="409548F6"/>
    <w:rsid w:val="409E78DB"/>
    <w:rsid w:val="40A03F0D"/>
    <w:rsid w:val="40A2448B"/>
    <w:rsid w:val="40C304AF"/>
    <w:rsid w:val="40CB5489"/>
    <w:rsid w:val="40D21EC7"/>
    <w:rsid w:val="41036525"/>
    <w:rsid w:val="411029F0"/>
    <w:rsid w:val="411063A8"/>
    <w:rsid w:val="41377F7D"/>
    <w:rsid w:val="414A68A7"/>
    <w:rsid w:val="41635215"/>
    <w:rsid w:val="416E1DBB"/>
    <w:rsid w:val="41744D2D"/>
    <w:rsid w:val="417D62D7"/>
    <w:rsid w:val="417E7959"/>
    <w:rsid w:val="41822EC9"/>
    <w:rsid w:val="418F600A"/>
    <w:rsid w:val="41AB2935"/>
    <w:rsid w:val="41CA2B9F"/>
    <w:rsid w:val="41D8350E"/>
    <w:rsid w:val="41DA45D5"/>
    <w:rsid w:val="41DE664A"/>
    <w:rsid w:val="41F12821"/>
    <w:rsid w:val="420460B1"/>
    <w:rsid w:val="420F6666"/>
    <w:rsid w:val="42295B17"/>
    <w:rsid w:val="42500A1C"/>
    <w:rsid w:val="42600FC7"/>
    <w:rsid w:val="42657192"/>
    <w:rsid w:val="42880136"/>
    <w:rsid w:val="428E1E1E"/>
    <w:rsid w:val="42AD6748"/>
    <w:rsid w:val="42C612FB"/>
    <w:rsid w:val="42DA32B5"/>
    <w:rsid w:val="42EF4CEF"/>
    <w:rsid w:val="42F73E67"/>
    <w:rsid w:val="42FB6BF8"/>
    <w:rsid w:val="42FF08B0"/>
    <w:rsid w:val="43025530"/>
    <w:rsid w:val="430F4175"/>
    <w:rsid w:val="431864E9"/>
    <w:rsid w:val="431F6F1A"/>
    <w:rsid w:val="4320516C"/>
    <w:rsid w:val="43222900"/>
    <w:rsid w:val="4326474D"/>
    <w:rsid w:val="432B3B11"/>
    <w:rsid w:val="432E3B52"/>
    <w:rsid w:val="43386F03"/>
    <w:rsid w:val="433B7F85"/>
    <w:rsid w:val="4340580E"/>
    <w:rsid w:val="43614A2D"/>
    <w:rsid w:val="436750FB"/>
    <w:rsid w:val="43686B13"/>
    <w:rsid w:val="436D7875"/>
    <w:rsid w:val="438159E5"/>
    <w:rsid w:val="439E6DDD"/>
    <w:rsid w:val="43A85162"/>
    <w:rsid w:val="43AD4526"/>
    <w:rsid w:val="43B474D9"/>
    <w:rsid w:val="43D30430"/>
    <w:rsid w:val="43D62666"/>
    <w:rsid w:val="43EC7B17"/>
    <w:rsid w:val="43F81C45"/>
    <w:rsid w:val="44056C97"/>
    <w:rsid w:val="441F3F40"/>
    <w:rsid w:val="444B446B"/>
    <w:rsid w:val="444D40D2"/>
    <w:rsid w:val="445F03A1"/>
    <w:rsid w:val="4499566F"/>
    <w:rsid w:val="44C61D43"/>
    <w:rsid w:val="44D501D8"/>
    <w:rsid w:val="44E36EBE"/>
    <w:rsid w:val="44ED5522"/>
    <w:rsid w:val="44F63F31"/>
    <w:rsid w:val="44FE772F"/>
    <w:rsid w:val="45036AF3"/>
    <w:rsid w:val="45230F44"/>
    <w:rsid w:val="453E2BF0"/>
    <w:rsid w:val="453E7B2C"/>
    <w:rsid w:val="45594965"/>
    <w:rsid w:val="455B28D8"/>
    <w:rsid w:val="455E0086"/>
    <w:rsid w:val="457B0D80"/>
    <w:rsid w:val="458C4D3B"/>
    <w:rsid w:val="45AD2F03"/>
    <w:rsid w:val="45AE6225"/>
    <w:rsid w:val="45B20519"/>
    <w:rsid w:val="45B24076"/>
    <w:rsid w:val="45B85B30"/>
    <w:rsid w:val="45C41F63"/>
    <w:rsid w:val="45CE5353"/>
    <w:rsid w:val="45D377F7"/>
    <w:rsid w:val="45D51E82"/>
    <w:rsid w:val="45F74D05"/>
    <w:rsid w:val="45F80025"/>
    <w:rsid w:val="45FE5FC8"/>
    <w:rsid w:val="45FF375F"/>
    <w:rsid w:val="46190BB0"/>
    <w:rsid w:val="46197F67"/>
    <w:rsid w:val="46401681"/>
    <w:rsid w:val="465E7D59"/>
    <w:rsid w:val="46674E60"/>
    <w:rsid w:val="466E0464"/>
    <w:rsid w:val="466F1F67"/>
    <w:rsid w:val="467F70E2"/>
    <w:rsid w:val="46815442"/>
    <w:rsid w:val="468C2B19"/>
    <w:rsid w:val="468D2996"/>
    <w:rsid w:val="46924FED"/>
    <w:rsid w:val="469A3487"/>
    <w:rsid w:val="46A71700"/>
    <w:rsid w:val="46B528C0"/>
    <w:rsid w:val="46B7007C"/>
    <w:rsid w:val="46CD560B"/>
    <w:rsid w:val="46DA7D28"/>
    <w:rsid w:val="46DC64AA"/>
    <w:rsid w:val="46DF70EC"/>
    <w:rsid w:val="46F55702"/>
    <w:rsid w:val="470B62F6"/>
    <w:rsid w:val="4735242B"/>
    <w:rsid w:val="47570E87"/>
    <w:rsid w:val="477E4B57"/>
    <w:rsid w:val="478101A3"/>
    <w:rsid w:val="478B7E95"/>
    <w:rsid w:val="479243B4"/>
    <w:rsid w:val="4799373F"/>
    <w:rsid w:val="4799729B"/>
    <w:rsid w:val="479A3013"/>
    <w:rsid w:val="479E3B5A"/>
    <w:rsid w:val="479F7896"/>
    <w:rsid w:val="47A0687C"/>
    <w:rsid w:val="47AB3A7D"/>
    <w:rsid w:val="47AC5198"/>
    <w:rsid w:val="47C50090"/>
    <w:rsid w:val="47CD163B"/>
    <w:rsid w:val="47ED5839"/>
    <w:rsid w:val="47EF2700"/>
    <w:rsid w:val="47F1517F"/>
    <w:rsid w:val="47F22A9B"/>
    <w:rsid w:val="48000409"/>
    <w:rsid w:val="48147E37"/>
    <w:rsid w:val="483A22C1"/>
    <w:rsid w:val="485A01FF"/>
    <w:rsid w:val="48623B31"/>
    <w:rsid w:val="486A0C38"/>
    <w:rsid w:val="487C3A8D"/>
    <w:rsid w:val="487E6AC6"/>
    <w:rsid w:val="48895562"/>
    <w:rsid w:val="488A566E"/>
    <w:rsid w:val="488C5052"/>
    <w:rsid w:val="488E3DE7"/>
    <w:rsid w:val="489D100D"/>
    <w:rsid w:val="48BA1BBF"/>
    <w:rsid w:val="48BE0390"/>
    <w:rsid w:val="48BF5427"/>
    <w:rsid w:val="48CB5B7A"/>
    <w:rsid w:val="48CC1583"/>
    <w:rsid w:val="48CE7D15"/>
    <w:rsid w:val="48D04F3E"/>
    <w:rsid w:val="48F0738F"/>
    <w:rsid w:val="48FD1ECC"/>
    <w:rsid w:val="490B41C9"/>
    <w:rsid w:val="491E285E"/>
    <w:rsid w:val="492E435B"/>
    <w:rsid w:val="493A2A3B"/>
    <w:rsid w:val="4950607F"/>
    <w:rsid w:val="495E1FB7"/>
    <w:rsid w:val="498E4CFA"/>
    <w:rsid w:val="49A14B2D"/>
    <w:rsid w:val="49A55F90"/>
    <w:rsid w:val="49A85EBB"/>
    <w:rsid w:val="49B176D1"/>
    <w:rsid w:val="49B742F3"/>
    <w:rsid w:val="49E334F6"/>
    <w:rsid w:val="49EB5DA8"/>
    <w:rsid w:val="49FA5FEB"/>
    <w:rsid w:val="4A012E2B"/>
    <w:rsid w:val="4A1C199A"/>
    <w:rsid w:val="4A315D75"/>
    <w:rsid w:val="4A3239D7"/>
    <w:rsid w:val="4A3B210E"/>
    <w:rsid w:val="4A3E05CE"/>
    <w:rsid w:val="4A5308FE"/>
    <w:rsid w:val="4A57181A"/>
    <w:rsid w:val="4A6C6EE9"/>
    <w:rsid w:val="4A7B5DF2"/>
    <w:rsid w:val="4A915202"/>
    <w:rsid w:val="4A9621B8"/>
    <w:rsid w:val="4AA743C5"/>
    <w:rsid w:val="4AAA68CA"/>
    <w:rsid w:val="4AAE12AF"/>
    <w:rsid w:val="4AAF73E9"/>
    <w:rsid w:val="4AB35768"/>
    <w:rsid w:val="4AB60164"/>
    <w:rsid w:val="4AC235F0"/>
    <w:rsid w:val="4ACB674A"/>
    <w:rsid w:val="4AF07B1A"/>
    <w:rsid w:val="4AF34F14"/>
    <w:rsid w:val="4AF8077D"/>
    <w:rsid w:val="4B014367"/>
    <w:rsid w:val="4B050A17"/>
    <w:rsid w:val="4B0B4954"/>
    <w:rsid w:val="4B2C6678"/>
    <w:rsid w:val="4B407C58"/>
    <w:rsid w:val="4B4C5B86"/>
    <w:rsid w:val="4B5C6F5D"/>
    <w:rsid w:val="4B6C4D31"/>
    <w:rsid w:val="4B701091"/>
    <w:rsid w:val="4B8E2DC1"/>
    <w:rsid w:val="4BB3139E"/>
    <w:rsid w:val="4BB44AA8"/>
    <w:rsid w:val="4BB47523"/>
    <w:rsid w:val="4BBC6B25"/>
    <w:rsid w:val="4BD16709"/>
    <w:rsid w:val="4BF2341E"/>
    <w:rsid w:val="4BF4239E"/>
    <w:rsid w:val="4BF86862"/>
    <w:rsid w:val="4C0575F5"/>
    <w:rsid w:val="4C2F31D0"/>
    <w:rsid w:val="4C312198"/>
    <w:rsid w:val="4C392213"/>
    <w:rsid w:val="4C4C6FD2"/>
    <w:rsid w:val="4C746D4E"/>
    <w:rsid w:val="4C795F65"/>
    <w:rsid w:val="4C7D278E"/>
    <w:rsid w:val="4C8272C8"/>
    <w:rsid w:val="4C8D5EEE"/>
    <w:rsid w:val="4C915AE9"/>
    <w:rsid w:val="4C942727"/>
    <w:rsid w:val="4CA46E0E"/>
    <w:rsid w:val="4CAE1A3B"/>
    <w:rsid w:val="4CB43505"/>
    <w:rsid w:val="4CB84667"/>
    <w:rsid w:val="4CBB4158"/>
    <w:rsid w:val="4CD25842"/>
    <w:rsid w:val="4CD564D9"/>
    <w:rsid w:val="4CDF47B5"/>
    <w:rsid w:val="4CF80F08"/>
    <w:rsid w:val="4D0F5D4C"/>
    <w:rsid w:val="4D166448"/>
    <w:rsid w:val="4D1675E0"/>
    <w:rsid w:val="4D245859"/>
    <w:rsid w:val="4D2E751A"/>
    <w:rsid w:val="4D3717E0"/>
    <w:rsid w:val="4D475AB3"/>
    <w:rsid w:val="4D4A4BE6"/>
    <w:rsid w:val="4D4B1038"/>
    <w:rsid w:val="4D654B37"/>
    <w:rsid w:val="4D6B3488"/>
    <w:rsid w:val="4D7A4668"/>
    <w:rsid w:val="4D8B1D7C"/>
    <w:rsid w:val="4D930C30"/>
    <w:rsid w:val="4DA03ACE"/>
    <w:rsid w:val="4DAB0A8D"/>
    <w:rsid w:val="4DC967FE"/>
    <w:rsid w:val="4DCD4142"/>
    <w:rsid w:val="4DDC6134"/>
    <w:rsid w:val="4DEC6CD7"/>
    <w:rsid w:val="4E2875CB"/>
    <w:rsid w:val="4E2E4192"/>
    <w:rsid w:val="4E2E44B5"/>
    <w:rsid w:val="4E4837C9"/>
    <w:rsid w:val="4E4D0AC1"/>
    <w:rsid w:val="4E766588"/>
    <w:rsid w:val="4E817A72"/>
    <w:rsid w:val="4E9C3B0A"/>
    <w:rsid w:val="4EB32F1C"/>
    <w:rsid w:val="4EDF611A"/>
    <w:rsid w:val="4EEE25C2"/>
    <w:rsid w:val="4EF3765E"/>
    <w:rsid w:val="4EFD0A57"/>
    <w:rsid w:val="4F027D72"/>
    <w:rsid w:val="4F1638C7"/>
    <w:rsid w:val="4F1E452A"/>
    <w:rsid w:val="4F24138D"/>
    <w:rsid w:val="4F244236"/>
    <w:rsid w:val="4F2C7509"/>
    <w:rsid w:val="4F2F145C"/>
    <w:rsid w:val="4F382E91"/>
    <w:rsid w:val="4F501413"/>
    <w:rsid w:val="4F6463E1"/>
    <w:rsid w:val="4F824AB9"/>
    <w:rsid w:val="4F886541"/>
    <w:rsid w:val="4F8E5B53"/>
    <w:rsid w:val="4FA06E5A"/>
    <w:rsid w:val="4FAE1D52"/>
    <w:rsid w:val="4FB855E9"/>
    <w:rsid w:val="4FBA4253"/>
    <w:rsid w:val="4FDD44A2"/>
    <w:rsid w:val="4FFA4F97"/>
    <w:rsid w:val="5017429F"/>
    <w:rsid w:val="50191308"/>
    <w:rsid w:val="50230B40"/>
    <w:rsid w:val="50591EE7"/>
    <w:rsid w:val="505E72D4"/>
    <w:rsid w:val="506010B7"/>
    <w:rsid w:val="506444A8"/>
    <w:rsid w:val="506C27EE"/>
    <w:rsid w:val="5077151B"/>
    <w:rsid w:val="5079410E"/>
    <w:rsid w:val="507D77C1"/>
    <w:rsid w:val="507E7976"/>
    <w:rsid w:val="50854860"/>
    <w:rsid w:val="50AF18DD"/>
    <w:rsid w:val="50B1243F"/>
    <w:rsid w:val="50C1542E"/>
    <w:rsid w:val="50D753CF"/>
    <w:rsid w:val="5105661D"/>
    <w:rsid w:val="510734C7"/>
    <w:rsid w:val="51082263"/>
    <w:rsid w:val="51181E16"/>
    <w:rsid w:val="51206ED5"/>
    <w:rsid w:val="51256043"/>
    <w:rsid w:val="513A1AEF"/>
    <w:rsid w:val="513B6DD2"/>
    <w:rsid w:val="51463811"/>
    <w:rsid w:val="514F7B13"/>
    <w:rsid w:val="51693811"/>
    <w:rsid w:val="518549ED"/>
    <w:rsid w:val="5198572E"/>
    <w:rsid w:val="519A433C"/>
    <w:rsid w:val="51BB791E"/>
    <w:rsid w:val="51BF3DA2"/>
    <w:rsid w:val="51CC64BF"/>
    <w:rsid w:val="51CD69B3"/>
    <w:rsid w:val="51DD6BC9"/>
    <w:rsid w:val="51E93115"/>
    <w:rsid w:val="522C104C"/>
    <w:rsid w:val="52437E58"/>
    <w:rsid w:val="52483D98"/>
    <w:rsid w:val="525A7F6F"/>
    <w:rsid w:val="52636E23"/>
    <w:rsid w:val="527903F5"/>
    <w:rsid w:val="527F3531"/>
    <w:rsid w:val="528E719D"/>
    <w:rsid w:val="52A445CA"/>
    <w:rsid w:val="52A87A96"/>
    <w:rsid w:val="52B4767F"/>
    <w:rsid w:val="52CD6993"/>
    <w:rsid w:val="52D2376B"/>
    <w:rsid w:val="52D47D21"/>
    <w:rsid w:val="52D54D0E"/>
    <w:rsid w:val="52E635B0"/>
    <w:rsid w:val="531562A6"/>
    <w:rsid w:val="53185A0E"/>
    <w:rsid w:val="531C4BE8"/>
    <w:rsid w:val="53220A8C"/>
    <w:rsid w:val="5325057D"/>
    <w:rsid w:val="53373E0C"/>
    <w:rsid w:val="5337598C"/>
    <w:rsid w:val="533D4D64"/>
    <w:rsid w:val="53424C8B"/>
    <w:rsid w:val="534529CD"/>
    <w:rsid w:val="534D3630"/>
    <w:rsid w:val="53574187"/>
    <w:rsid w:val="535B35DE"/>
    <w:rsid w:val="5361103D"/>
    <w:rsid w:val="53623918"/>
    <w:rsid w:val="536F7A4A"/>
    <w:rsid w:val="53C25DCC"/>
    <w:rsid w:val="53EE0592"/>
    <w:rsid w:val="54177EC5"/>
    <w:rsid w:val="541C169C"/>
    <w:rsid w:val="544A2FED"/>
    <w:rsid w:val="54510997"/>
    <w:rsid w:val="54534C76"/>
    <w:rsid w:val="54604E59"/>
    <w:rsid w:val="54631414"/>
    <w:rsid w:val="546615D7"/>
    <w:rsid w:val="54724F7C"/>
    <w:rsid w:val="54880DC3"/>
    <w:rsid w:val="548B08B3"/>
    <w:rsid w:val="54901A26"/>
    <w:rsid w:val="5495703C"/>
    <w:rsid w:val="54A75AF9"/>
    <w:rsid w:val="54AD3CB4"/>
    <w:rsid w:val="54AF3253"/>
    <w:rsid w:val="54B3168C"/>
    <w:rsid w:val="54BF30CB"/>
    <w:rsid w:val="54CD5BAD"/>
    <w:rsid w:val="54D14DAC"/>
    <w:rsid w:val="54DA5AB5"/>
    <w:rsid w:val="55191A1B"/>
    <w:rsid w:val="55200E06"/>
    <w:rsid w:val="55253EFB"/>
    <w:rsid w:val="55286214"/>
    <w:rsid w:val="552A7962"/>
    <w:rsid w:val="55307659"/>
    <w:rsid w:val="5536081F"/>
    <w:rsid w:val="555A74AE"/>
    <w:rsid w:val="556E7FB9"/>
    <w:rsid w:val="556F399D"/>
    <w:rsid w:val="55755020"/>
    <w:rsid w:val="5583536A"/>
    <w:rsid w:val="55911EF9"/>
    <w:rsid w:val="559317CE"/>
    <w:rsid w:val="55AC5179"/>
    <w:rsid w:val="55C951EF"/>
    <w:rsid w:val="55CA0F67"/>
    <w:rsid w:val="55CE693D"/>
    <w:rsid w:val="55E0339D"/>
    <w:rsid w:val="55E04670"/>
    <w:rsid w:val="55F45FA5"/>
    <w:rsid w:val="56260894"/>
    <w:rsid w:val="56310FE7"/>
    <w:rsid w:val="564A687C"/>
    <w:rsid w:val="565371AF"/>
    <w:rsid w:val="56690780"/>
    <w:rsid w:val="566C4F24"/>
    <w:rsid w:val="56730DD9"/>
    <w:rsid w:val="569D042A"/>
    <w:rsid w:val="56A25572"/>
    <w:rsid w:val="56B10CB0"/>
    <w:rsid w:val="56BC6B02"/>
    <w:rsid w:val="56BD2275"/>
    <w:rsid w:val="56BE0DC3"/>
    <w:rsid w:val="56C1236A"/>
    <w:rsid w:val="56FB2042"/>
    <w:rsid w:val="570222DE"/>
    <w:rsid w:val="57147AED"/>
    <w:rsid w:val="57224330"/>
    <w:rsid w:val="572B436A"/>
    <w:rsid w:val="573D7A7E"/>
    <w:rsid w:val="57581EDC"/>
    <w:rsid w:val="57770C7B"/>
    <w:rsid w:val="577E025B"/>
    <w:rsid w:val="57F66847"/>
    <w:rsid w:val="581035A9"/>
    <w:rsid w:val="58136BF6"/>
    <w:rsid w:val="58151D57"/>
    <w:rsid w:val="582E1C82"/>
    <w:rsid w:val="582F1556"/>
    <w:rsid w:val="58424AB5"/>
    <w:rsid w:val="5866141B"/>
    <w:rsid w:val="58754BFE"/>
    <w:rsid w:val="5878114F"/>
    <w:rsid w:val="587A0EC6"/>
    <w:rsid w:val="58801DB1"/>
    <w:rsid w:val="588613DF"/>
    <w:rsid w:val="58900246"/>
    <w:rsid w:val="58975A79"/>
    <w:rsid w:val="5898077D"/>
    <w:rsid w:val="58A253FD"/>
    <w:rsid w:val="58A65CBC"/>
    <w:rsid w:val="58AE2DC2"/>
    <w:rsid w:val="58B24A28"/>
    <w:rsid w:val="58BA3515"/>
    <w:rsid w:val="58D05A14"/>
    <w:rsid w:val="58D726E2"/>
    <w:rsid w:val="58D84F25"/>
    <w:rsid w:val="58D97E3F"/>
    <w:rsid w:val="58E64874"/>
    <w:rsid w:val="58EB4B1D"/>
    <w:rsid w:val="58F06F08"/>
    <w:rsid w:val="59063003"/>
    <w:rsid w:val="5909638E"/>
    <w:rsid w:val="590B1FC3"/>
    <w:rsid w:val="59232E69"/>
    <w:rsid w:val="59282B75"/>
    <w:rsid w:val="592F50B9"/>
    <w:rsid w:val="59305585"/>
    <w:rsid w:val="59350D8B"/>
    <w:rsid w:val="59396B30"/>
    <w:rsid w:val="594A2AEB"/>
    <w:rsid w:val="595455B5"/>
    <w:rsid w:val="59561CA9"/>
    <w:rsid w:val="595C637A"/>
    <w:rsid w:val="596040BD"/>
    <w:rsid w:val="59617E35"/>
    <w:rsid w:val="59725B9E"/>
    <w:rsid w:val="599C33D7"/>
    <w:rsid w:val="59A15EC9"/>
    <w:rsid w:val="59A71CEC"/>
    <w:rsid w:val="59AB01F8"/>
    <w:rsid w:val="59AC70AB"/>
    <w:rsid w:val="59C56616"/>
    <w:rsid w:val="59E168AB"/>
    <w:rsid w:val="59E56370"/>
    <w:rsid w:val="59F22154"/>
    <w:rsid w:val="5A0A5DD6"/>
    <w:rsid w:val="5A1924BD"/>
    <w:rsid w:val="5A247E2F"/>
    <w:rsid w:val="5A2D06A5"/>
    <w:rsid w:val="5A7616BE"/>
    <w:rsid w:val="5A89319F"/>
    <w:rsid w:val="5A975C1F"/>
    <w:rsid w:val="5AB43B91"/>
    <w:rsid w:val="5ACE6552"/>
    <w:rsid w:val="5AE12FDB"/>
    <w:rsid w:val="5AF1768D"/>
    <w:rsid w:val="5AF56A87"/>
    <w:rsid w:val="5AFF7905"/>
    <w:rsid w:val="5B0E4FB1"/>
    <w:rsid w:val="5B1B2426"/>
    <w:rsid w:val="5B1E2376"/>
    <w:rsid w:val="5B256A07"/>
    <w:rsid w:val="5B2630E4"/>
    <w:rsid w:val="5B264E92"/>
    <w:rsid w:val="5B307ABF"/>
    <w:rsid w:val="5B33151F"/>
    <w:rsid w:val="5B353327"/>
    <w:rsid w:val="5B5E564E"/>
    <w:rsid w:val="5B751975"/>
    <w:rsid w:val="5B915043"/>
    <w:rsid w:val="5B920F9F"/>
    <w:rsid w:val="5B975D90"/>
    <w:rsid w:val="5BA066AF"/>
    <w:rsid w:val="5BB4249E"/>
    <w:rsid w:val="5BC97F00"/>
    <w:rsid w:val="5BF23B05"/>
    <w:rsid w:val="5BFB4EAD"/>
    <w:rsid w:val="5C1D44E7"/>
    <w:rsid w:val="5C3B671B"/>
    <w:rsid w:val="5C4D65DD"/>
    <w:rsid w:val="5C531572"/>
    <w:rsid w:val="5C566C78"/>
    <w:rsid w:val="5C58107B"/>
    <w:rsid w:val="5C58551F"/>
    <w:rsid w:val="5C675762"/>
    <w:rsid w:val="5C6914DA"/>
    <w:rsid w:val="5C6A2085"/>
    <w:rsid w:val="5C6D7A52"/>
    <w:rsid w:val="5C7305F7"/>
    <w:rsid w:val="5C736283"/>
    <w:rsid w:val="5C7B71B6"/>
    <w:rsid w:val="5C811E2F"/>
    <w:rsid w:val="5C875E04"/>
    <w:rsid w:val="5C9522CF"/>
    <w:rsid w:val="5CA22C3E"/>
    <w:rsid w:val="5CB76394"/>
    <w:rsid w:val="5CE172C2"/>
    <w:rsid w:val="5CEE7C31"/>
    <w:rsid w:val="5D052FE7"/>
    <w:rsid w:val="5D0A3D42"/>
    <w:rsid w:val="5D1640AF"/>
    <w:rsid w:val="5D3513BC"/>
    <w:rsid w:val="5D3F5F0C"/>
    <w:rsid w:val="5D5C55ED"/>
    <w:rsid w:val="5D663E09"/>
    <w:rsid w:val="5D7F6ADB"/>
    <w:rsid w:val="5D862ABF"/>
    <w:rsid w:val="5D8F1C77"/>
    <w:rsid w:val="5DAF44AC"/>
    <w:rsid w:val="5DB04EE7"/>
    <w:rsid w:val="5DC04C39"/>
    <w:rsid w:val="5DC6470A"/>
    <w:rsid w:val="5DD07337"/>
    <w:rsid w:val="5DD406F8"/>
    <w:rsid w:val="5DE15411"/>
    <w:rsid w:val="5DF14806"/>
    <w:rsid w:val="5DF9688E"/>
    <w:rsid w:val="5E001E7D"/>
    <w:rsid w:val="5E087102"/>
    <w:rsid w:val="5E0F7E5F"/>
    <w:rsid w:val="5E2344D9"/>
    <w:rsid w:val="5E263077"/>
    <w:rsid w:val="5E437B09"/>
    <w:rsid w:val="5E524C74"/>
    <w:rsid w:val="5E68756F"/>
    <w:rsid w:val="5E693A13"/>
    <w:rsid w:val="5E6F40D7"/>
    <w:rsid w:val="5E770DD2"/>
    <w:rsid w:val="5E827D40"/>
    <w:rsid w:val="5E9E4667"/>
    <w:rsid w:val="5EAF287D"/>
    <w:rsid w:val="5EB304E7"/>
    <w:rsid w:val="5EC450EE"/>
    <w:rsid w:val="5ECA1FD8"/>
    <w:rsid w:val="5F116624"/>
    <w:rsid w:val="5F165EC3"/>
    <w:rsid w:val="5F1A6C71"/>
    <w:rsid w:val="5F245B8C"/>
    <w:rsid w:val="5F291E6A"/>
    <w:rsid w:val="5F2A7A3E"/>
    <w:rsid w:val="5F2E2567"/>
    <w:rsid w:val="5F37766E"/>
    <w:rsid w:val="5F426012"/>
    <w:rsid w:val="5F4B4EC7"/>
    <w:rsid w:val="5F547FCC"/>
    <w:rsid w:val="5F6146EB"/>
    <w:rsid w:val="5F666149"/>
    <w:rsid w:val="5F667F53"/>
    <w:rsid w:val="5F6B7644"/>
    <w:rsid w:val="5F7A755A"/>
    <w:rsid w:val="5F834E53"/>
    <w:rsid w:val="5FB32A6C"/>
    <w:rsid w:val="5FB46F10"/>
    <w:rsid w:val="5FB521ED"/>
    <w:rsid w:val="5FBD626D"/>
    <w:rsid w:val="5FCA04E2"/>
    <w:rsid w:val="5FCD1D80"/>
    <w:rsid w:val="5FDB26EF"/>
    <w:rsid w:val="5FE7666D"/>
    <w:rsid w:val="5FF85492"/>
    <w:rsid w:val="6005151A"/>
    <w:rsid w:val="601C7C8D"/>
    <w:rsid w:val="60245DB9"/>
    <w:rsid w:val="602A7D19"/>
    <w:rsid w:val="603B6ED0"/>
    <w:rsid w:val="6062270A"/>
    <w:rsid w:val="606F6C7A"/>
    <w:rsid w:val="60781824"/>
    <w:rsid w:val="60903C04"/>
    <w:rsid w:val="60940AF0"/>
    <w:rsid w:val="60964868"/>
    <w:rsid w:val="60BF5DF0"/>
    <w:rsid w:val="60C018E5"/>
    <w:rsid w:val="60C03693"/>
    <w:rsid w:val="60C2565D"/>
    <w:rsid w:val="60E94998"/>
    <w:rsid w:val="60EB034F"/>
    <w:rsid w:val="60FB49D2"/>
    <w:rsid w:val="610B7637"/>
    <w:rsid w:val="612861EE"/>
    <w:rsid w:val="6146003C"/>
    <w:rsid w:val="617C3A5E"/>
    <w:rsid w:val="618835DC"/>
    <w:rsid w:val="61B529F2"/>
    <w:rsid w:val="61BA6334"/>
    <w:rsid w:val="61BF770C"/>
    <w:rsid w:val="61D10697"/>
    <w:rsid w:val="61D61FED"/>
    <w:rsid w:val="61DC7777"/>
    <w:rsid w:val="62027357"/>
    <w:rsid w:val="623720B9"/>
    <w:rsid w:val="623E5FD0"/>
    <w:rsid w:val="625940FB"/>
    <w:rsid w:val="62595B4D"/>
    <w:rsid w:val="625B03A0"/>
    <w:rsid w:val="625E3163"/>
    <w:rsid w:val="626562A0"/>
    <w:rsid w:val="6269729D"/>
    <w:rsid w:val="6271733B"/>
    <w:rsid w:val="62B64D4D"/>
    <w:rsid w:val="62D653F0"/>
    <w:rsid w:val="62D7260B"/>
    <w:rsid w:val="62F44E30"/>
    <w:rsid w:val="6303716D"/>
    <w:rsid w:val="63161C90"/>
    <w:rsid w:val="631B2E02"/>
    <w:rsid w:val="631F6D97"/>
    <w:rsid w:val="63203536"/>
    <w:rsid w:val="632162B1"/>
    <w:rsid w:val="6329551F"/>
    <w:rsid w:val="63365E8E"/>
    <w:rsid w:val="634E4F86"/>
    <w:rsid w:val="635746C4"/>
    <w:rsid w:val="635A009E"/>
    <w:rsid w:val="63647CB3"/>
    <w:rsid w:val="63731AE4"/>
    <w:rsid w:val="638829FD"/>
    <w:rsid w:val="638B46E2"/>
    <w:rsid w:val="63961DD6"/>
    <w:rsid w:val="63A4104A"/>
    <w:rsid w:val="63A74D71"/>
    <w:rsid w:val="63A77C97"/>
    <w:rsid w:val="63AB23D8"/>
    <w:rsid w:val="63B514A9"/>
    <w:rsid w:val="63BA11D3"/>
    <w:rsid w:val="63BF7C32"/>
    <w:rsid w:val="63C63DA5"/>
    <w:rsid w:val="63DB4C82"/>
    <w:rsid w:val="640736EC"/>
    <w:rsid w:val="64104931"/>
    <w:rsid w:val="641461CF"/>
    <w:rsid w:val="64151F48"/>
    <w:rsid w:val="64361DCD"/>
    <w:rsid w:val="644B7717"/>
    <w:rsid w:val="646C3A6D"/>
    <w:rsid w:val="646F4831"/>
    <w:rsid w:val="64853C52"/>
    <w:rsid w:val="648F5856"/>
    <w:rsid w:val="64A3242D"/>
    <w:rsid w:val="64AF5EF8"/>
    <w:rsid w:val="64B96D77"/>
    <w:rsid w:val="64BA5CBC"/>
    <w:rsid w:val="64BD6867"/>
    <w:rsid w:val="64CE04C8"/>
    <w:rsid w:val="64D616D7"/>
    <w:rsid w:val="64E20C5E"/>
    <w:rsid w:val="64EA6F30"/>
    <w:rsid w:val="650224CC"/>
    <w:rsid w:val="65063F1E"/>
    <w:rsid w:val="651A042C"/>
    <w:rsid w:val="652A37D1"/>
    <w:rsid w:val="652C7549"/>
    <w:rsid w:val="65302769"/>
    <w:rsid w:val="65544F71"/>
    <w:rsid w:val="655F5FD8"/>
    <w:rsid w:val="65766A16"/>
    <w:rsid w:val="65901886"/>
    <w:rsid w:val="65907AD8"/>
    <w:rsid w:val="659A6BA8"/>
    <w:rsid w:val="65A17F37"/>
    <w:rsid w:val="65A610A9"/>
    <w:rsid w:val="65AF0F25"/>
    <w:rsid w:val="65BF03BD"/>
    <w:rsid w:val="65DF2FA7"/>
    <w:rsid w:val="65E6594A"/>
    <w:rsid w:val="66000D6B"/>
    <w:rsid w:val="662E5141"/>
    <w:rsid w:val="663A71E2"/>
    <w:rsid w:val="664A1839"/>
    <w:rsid w:val="6659436D"/>
    <w:rsid w:val="6659497C"/>
    <w:rsid w:val="668E4FBA"/>
    <w:rsid w:val="669A0CDB"/>
    <w:rsid w:val="669C5E64"/>
    <w:rsid w:val="66AC7A28"/>
    <w:rsid w:val="66B650CB"/>
    <w:rsid w:val="66BA1CB1"/>
    <w:rsid w:val="66BA2932"/>
    <w:rsid w:val="66CC3A10"/>
    <w:rsid w:val="66F145A6"/>
    <w:rsid w:val="66F44096"/>
    <w:rsid w:val="67186F4B"/>
    <w:rsid w:val="67191D4F"/>
    <w:rsid w:val="674072DB"/>
    <w:rsid w:val="67593013"/>
    <w:rsid w:val="67674868"/>
    <w:rsid w:val="6773320D"/>
    <w:rsid w:val="677A1223"/>
    <w:rsid w:val="677F5452"/>
    <w:rsid w:val="678809D3"/>
    <w:rsid w:val="678B3221"/>
    <w:rsid w:val="67907F2E"/>
    <w:rsid w:val="67A66A46"/>
    <w:rsid w:val="67D76347"/>
    <w:rsid w:val="67D77C40"/>
    <w:rsid w:val="67F514FF"/>
    <w:rsid w:val="68012F0F"/>
    <w:rsid w:val="68142C42"/>
    <w:rsid w:val="6828049B"/>
    <w:rsid w:val="684352D5"/>
    <w:rsid w:val="6864524C"/>
    <w:rsid w:val="686B2F4B"/>
    <w:rsid w:val="686E1C26"/>
    <w:rsid w:val="687D7DEE"/>
    <w:rsid w:val="688441A8"/>
    <w:rsid w:val="688A2F04"/>
    <w:rsid w:val="688F42C9"/>
    <w:rsid w:val="68951A5F"/>
    <w:rsid w:val="68AA0EB0"/>
    <w:rsid w:val="68C006D4"/>
    <w:rsid w:val="68DE6DAC"/>
    <w:rsid w:val="68E329CB"/>
    <w:rsid w:val="68E779E3"/>
    <w:rsid w:val="68ED1298"/>
    <w:rsid w:val="68F04F40"/>
    <w:rsid w:val="69016BD9"/>
    <w:rsid w:val="692622A5"/>
    <w:rsid w:val="693115D2"/>
    <w:rsid w:val="6934718B"/>
    <w:rsid w:val="69562743"/>
    <w:rsid w:val="695A3DED"/>
    <w:rsid w:val="696E1978"/>
    <w:rsid w:val="69801C11"/>
    <w:rsid w:val="699102C2"/>
    <w:rsid w:val="699C2075"/>
    <w:rsid w:val="699D0F79"/>
    <w:rsid w:val="69AE49D0"/>
    <w:rsid w:val="69B775C2"/>
    <w:rsid w:val="69C36486"/>
    <w:rsid w:val="69DA12FC"/>
    <w:rsid w:val="69DC05AC"/>
    <w:rsid w:val="6A1F142A"/>
    <w:rsid w:val="6A267170"/>
    <w:rsid w:val="6A2D7FEB"/>
    <w:rsid w:val="6A372C18"/>
    <w:rsid w:val="6A404747"/>
    <w:rsid w:val="6A571E8B"/>
    <w:rsid w:val="6A5C18FD"/>
    <w:rsid w:val="6A6A3BF6"/>
    <w:rsid w:val="6A6B167A"/>
    <w:rsid w:val="6A6D03E7"/>
    <w:rsid w:val="6A6D1C85"/>
    <w:rsid w:val="6A6F200A"/>
    <w:rsid w:val="6A723C50"/>
    <w:rsid w:val="6A7F636D"/>
    <w:rsid w:val="6A800F11"/>
    <w:rsid w:val="6A8964BF"/>
    <w:rsid w:val="6AA87672"/>
    <w:rsid w:val="6AC02C0D"/>
    <w:rsid w:val="6AC975E8"/>
    <w:rsid w:val="6AD00976"/>
    <w:rsid w:val="6ADF6E0B"/>
    <w:rsid w:val="6AF875AE"/>
    <w:rsid w:val="6B0058C9"/>
    <w:rsid w:val="6B0A20DA"/>
    <w:rsid w:val="6B2B3DFF"/>
    <w:rsid w:val="6B302577"/>
    <w:rsid w:val="6B3042FF"/>
    <w:rsid w:val="6B32518D"/>
    <w:rsid w:val="6B362ECF"/>
    <w:rsid w:val="6B3E3B32"/>
    <w:rsid w:val="6B521C3F"/>
    <w:rsid w:val="6B594E10"/>
    <w:rsid w:val="6B8D2098"/>
    <w:rsid w:val="6B8E4AB9"/>
    <w:rsid w:val="6BA0659B"/>
    <w:rsid w:val="6BA23D09"/>
    <w:rsid w:val="6BA75B7B"/>
    <w:rsid w:val="6BBC456E"/>
    <w:rsid w:val="6BD02D93"/>
    <w:rsid w:val="6BEC358E"/>
    <w:rsid w:val="6C040F0E"/>
    <w:rsid w:val="6C133210"/>
    <w:rsid w:val="6C16685D"/>
    <w:rsid w:val="6C184383"/>
    <w:rsid w:val="6C20148A"/>
    <w:rsid w:val="6C581978"/>
    <w:rsid w:val="6C5C6966"/>
    <w:rsid w:val="6C6900F5"/>
    <w:rsid w:val="6CBF0EFA"/>
    <w:rsid w:val="6CD56718"/>
    <w:rsid w:val="6CE777DA"/>
    <w:rsid w:val="6CE86DC3"/>
    <w:rsid w:val="6CE97812"/>
    <w:rsid w:val="6CF00806"/>
    <w:rsid w:val="6CF93FC5"/>
    <w:rsid w:val="6CF9436E"/>
    <w:rsid w:val="6D033285"/>
    <w:rsid w:val="6D237483"/>
    <w:rsid w:val="6D4948AB"/>
    <w:rsid w:val="6D4D2B68"/>
    <w:rsid w:val="6D4D4500"/>
    <w:rsid w:val="6D7B44F7"/>
    <w:rsid w:val="6D910891"/>
    <w:rsid w:val="6DB97DE8"/>
    <w:rsid w:val="6DC9627D"/>
    <w:rsid w:val="6DD76EEC"/>
    <w:rsid w:val="6DD9545D"/>
    <w:rsid w:val="6DDD3AD6"/>
    <w:rsid w:val="6DE07122"/>
    <w:rsid w:val="6DE4548A"/>
    <w:rsid w:val="6DFD7CD4"/>
    <w:rsid w:val="6E057474"/>
    <w:rsid w:val="6E202BDE"/>
    <w:rsid w:val="6E212A9E"/>
    <w:rsid w:val="6E224777"/>
    <w:rsid w:val="6E34121C"/>
    <w:rsid w:val="6E396337"/>
    <w:rsid w:val="6E3A3797"/>
    <w:rsid w:val="6E423939"/>
    <w:rsid w:val="6E461D36"/>
    <w:rsid w:val="6E4F136D"/>
    <w:rsid w:val="6E6C6C08"/>
    <w:rsid w:val="6E71139E"/>
    <w:rsid w:val="6E7206C2"/>
    <w:rsid w:val="6E9543B1"/>
    <w:rsid w:val="6E9E269F"/>
    <w:rsid w:val="6EA57F5D"/>
    <w:rsid w:val="6EAB5982"/>
    <w:rsid w:val="6ECE55DC"/>
    <w:rsid w:val="6ED21161"/>
    <w:rsid w:val="6ED547AD"/>
    <w:rsid w:val="6EF338FE"/>
    <w:rsid w:val="6F026EC1"/>
    <w:rsid w:val="6F0F5516"/>
    <w:rsid w:val="6F3829E8"/>
    <w:rsid w:val="6F5E47A3"/>
    <w:rsid w:val="6F7915DC"/>
    <w:rsid w:val="6F8F0E00"/>
    <w:rsid w:val="6F940E9F"/>
    <w:rsid w:val="6F984159"/>
    <w:rsid w:val="6FB70357"/>
    <w:rsid w:val="6FB97C2B"/>
    <w:rsid w:val="6FF60E7F"/>
    <w:rsid w:val="6FFB6495"/>
    <w:rsid w:val="6FFC0D53"/>
    <w:rsid w:val="700C06A3"/>
    <w:rsid w:val="7016651B"/>
    <w:rsid w:val="70227EC6"/>
    <w:rsid w:val="702C2AF3"/>
    <w:rsid w:val="703F2826"/>
    <w:rsid w:val="70430726"/>
    <w:rsid w:val="704A2F02"/>
    <w:rsid w:val="704E1FF8"/>
    <w:rsid w:val="704F70E4"/>
    <w:rsid w:val="7058027F"/>
    <w:rsid w:val="707235AE"/>
    <w:rsid w:val="708C13A0"/>
    <w:rsid w:val="708F3534"/>
    <w:rsid w:val="70A24B63"/>
    <w:rsid w:val="70A7069B"/>
    <w:rsid w:val="70C0289D"/>
    <w:rsid w:val="70C1148D"/>
    <w:rsid w:val="70C455B2"/>
    <w:rsid w:val="70CE3BAA"/>
    <w:rsid w:val="70D43718"/>
    <w:rsid w:val="70F80C27"/>
    <w:rsid w:val="710D6480"/>
    <w:rsid w:val="71186BD3"/>
    <w:rsid w:val="711D0999"/>
    <w:rsid w:val="71415C24"/>
    <w:rsid w:val="714527F1"/>
    <w:rsid w:val="714C3766"/>
    <w:rsid w:val="71600CA6"/>
    <w:rsid w:val="71685DAD"/>
    <w:rsid w:val="716D2377"/>
    <w:rsid w:val="71724535"/>
    <w:rsid w:val="71793B16"/>
    <w:rsid w:val="717E1A5A"/>
    <w:rsid w:val="71816E6E"/>
    <w:rsid w:val="71877958"/>
    <w:rsid w:val="71A843FB"/>
    <w:rsid w:val="71AC5951"/>
    <w:rsid w:val="71AD7C63"/>
    <w:rsid w:val="71D21478"/>
    <w:rsid w:val="71D60F68"/>
    <w:rsid w:val="71DC2294"/>
    <w:rsid w:val="71DC40A5"/>
    <w:rsid w:val="71E01DE7"/>
    <w:rsid w:val="71F413EE"/>
    <w:rsid w:val="720A7302"/>
    <w:rsid w:val="72113D4E"/>
    <w:rsid w:val="722A12B4"/>
    <w:rsid w:val="72367C59"/>
    <w:rsid w:val="724F2AC9"/>
    <w:rsid w:val="72591B25"/>
    <w:rsid w:val="72606251"/>
    <w:rsid w:val="729A2D05"/>
    <w:rsid w:val="72A050D2"/>
    <w:rsid w:val="72AC3A77"/>
    <w:rsid w:val="72AE58D4"/>
    <w:rsid w:val="72B863EA"/>
    <w:rsid w:val="72C47013"/>
    <w:rsid w:val="72C979D2"/>
    <w:rsid w:val="72D059B7"/>
    <w:rsid w:val="72D75763"/>
    <w:rsid w:val="72ED4986"/>
    <w:rsid w:val="72F43335"/>
    <w:rsid w:val="72FF004B"/>
    <w:rsid w:val="730053D6"/>
    <w:rsid w:val="73045661"/>
    <w:rsid w:val="731F249B"/>
    <w:rsid w:val="73261A7B"/>
    <w:rsid w:val="732C3097"/>
    <w:rsid w:val="73315E21"/>
    <w:rsid w:val="733817AF"/>
    <w:rsid w:val="7338355D"/>
    <w:rsid w:val="73410663"/>
    <w:rsid w:val="7346211D"/>
    <w:rsid w:val="734819F2"/>
    <w:rsid w:val="734E10A5"/>
    <w:rsid w:val="73537BDE"/>
    <w:rsid w:val="73555EBD"/>
    <w:rsid w:val="735C324C"/>
    <w:rsid w:val="736D258D"/>
    <w:rsid w:val="73740A39"/>
    <w:rsid w:val="738636E5"/>
    <w:rsid w:val="738642C8"/>
    <w:rsid w:val="738C7132"/>
    <w:rsid w:val="73A6357F"/>
    <w:rsid w:val="73B31055"/>
    <w:rsid w:val="73BE5224"/>
    <w:rsid w:val="73C163D2"/>
    <w:rsid w:val="73FB4CB6"/>
    <w:rsid w:val="74031DBD"/>
    <w:rsid w:val="740743E3"/>
    <w:rsid w:val="74137F8A"/>
    <w:rsid w:val="741B239F"/>
    <w:rsid w:val="7420471D"/>
    <w:rsid w:val="74277859"/>
    <w:rsid w:val="742B1FE0"/>
    <w:rsid w:val="743339EE"/>
    <w:rsid w:val="745A5E80"/>
    <w:rsid w:val="74991664"/>
    <w:rsid w:val="74A4363A"/>
    <w:rsid w:val="74BB61F3"/>
    <w:rsid w:val="74BE41EE"/>
    <w:rsid w:val="74D177C5"/>
    <w:rsid w:val="74DB0643"/>
    <w:rsid w:val="74DF1EE2"/>
    <w:rsid w:val="74FF07D6"/>
    <w:rsid w:val="75046961"/>
    <w:rsid w:val="75160F10"/>
    <w:rsid w:val="751F168D"/>
    <w:rsid w:val="752B0A53"/>
    <w:rsid w:val="75315F5B"/>
    <w:rsid w:val="753161AE"/>
    <w:rsid w:val="75572F1D"/>
    <w:rsid w:val="755C1784"/>
    <w:rsid w:val="7564626A"/>
    <w:rsid w:val="758807CB"/>
    <w:rsid w:val="75963684"/>
    <w:rsid w:val="759C7DD3"/>
    <w:rsid w:val="75A2199D"/>
    <w:rsid w:val="75A60C51"/>
    <w:rsid w:val="75B07D22"/>
    <w:rsid w:val="75B90985"/>
    <w:rsid w:val="75C94940"/>
    <w:rsid w:val="75D21A46"/>
    <w:rsid w:val="75D73501"/>
    <w:rsid w:val="75DE5D06"/>
    <w:rsid w:val="75E76DDB"/>
    <w:rsid w:val="75FA2D4B"/>
    <w:rsid w:val="76032986"/>
    <w:rsid w:val="761262E7"/>
    <w:rsid w:val="76251C42"/>
    <w:rsid w:val="762A6640"/>
    <w:rsid w:val="763C5D0A"/>
    <w:rsid w:val="76426BCC"/>
    <w:rsid w:val="764F753B"/>
    <w:rsid w:val="76674885"/>
    <w:rsid w:val="766A7875"/>
    <w:rsid w:val="768D24F5"/>
    <w:rsid w:val="76A10A5E"/>
    <w:rsid w:val="76C6396B"/>
    <w:rsid w:val="76CA4E14"/>
    <w:rsid w:val="76D80CE3"/>
    <w:rsid w:val="76DF08BF"/>
    <w:rsid w:val="76E9529A"/>
    <w:rsid w:val="76FF24E4"/>
    <w:rsid w:val="770025E3"/>
    <w:rsid w:val="77132317"/>
    <w:rsid w:val="77167E27"/>
    <w:rsid w:val="77187335"/>
    <w:rsid w:val="771F0CBB"/>
    <w:rsid w:val="77202EE9"/>
    <w:rsid w:val="7722255A"/>
    <w:rsid w:val="772C33D8"/>
    <w:rsid w:val="772E7150"/>
    <w:rsid w:val="77366005"/>
    <w:rsid w:val="773D0465"/>
    <w:rsid w:val="774854EA"/>
    <w:rsid w:val="774C5AEE"/>
    <w:rsid w:val="77580DC0"/>
    <w:rsid w:val="776D0943"/>
    <w:rsid w:val="7772791D"/>
    <w:rsid w:val="77741030"/>
    <w:rsid w:val="777868EF"/>
    <w:rsid w:val="77843DE3"/>
    <w:rsid w:val="77894387"/>
    <w:rsid w:val="77933457"/>
    <w:rsid w:val="77A15B74"/>
    <w:rsid w:val="77A411C1"/>
    <w:rsid w:val="77AD276B"/>
    <w:rsid w:val="77B04E2F"/>
    <w:rsid w:val="77BF424C"/>
    <w:rsid w:val="77DA4BE2"/>
    <w:rsid w:val="77F677E9"/>
    <w:rsid w:val="77FB0FEB"/>
    <w:rsid w:val="78056103"/>
    <w:rsid w:val="78120820"/>
    <w:rsid w:val="781C169F"/>
    <w:rsid w:val="781E0018"/>
    <w:rsid w:val="78264052"/>
    <w:rsid w:val="78384E08"/>
    <w:rsid w:val="784C2545"/>
    <w:rsid w:val="78632E2A"/>
    <w:rsid w:val="78686692"/>
    <w:rsid w:val="786B2585"/>
    <w:rsid w:val="78765939"/>
    <w:rsid w:val="787B63C5"/>
    <w:rsid w:val="787E75BC"/>
    <w:rsid w:val="78881D7F"/>
    <w:rsid w:val="789D27E0"/>
    <w:rsid w:val="78A540D5"/>
    <w:rsid w:val="78C46087"/>
    <w:rsid w:val="78C733B9"/>
    <w:rsid w:val="78C876C5"/>
    <w:rsid w:val="78F21005"/>
    <w:rsid w:val="79085128"/>
    <w:rsid w:val="790E7239"/>
    <w:rsid w:val="79166AA4"/>
    <w:rsid w:val="7927654D"/>
    <w:rsid w:val="792E3438"/>
    <w:rsid w:val="793D7B1F"/>
    <w:rsid w:val="794E79D3"/>
    <w:rsid w:val="79561E54"/>
    <w:rsid w:val="79671759"/>
    <w:rsid w:val="797075DA"/>
    <w:rsid w:val="79711576"/>
    <w:rsid w:val="797222CB"/>
    <w:rsid w:val="798F414F"/>
    <w:rsid w:val="799A6D1F"/>
    <w:rsid w:val="79A90D10"/>
    <w:rsid w:val="79A96F62"/>
    <w:rsid w:val="79BA1CA8"/>
    <w:rsid w:val="79BC485B"/>
    <w:rsid w:val="79C618C2"/>
    <w:rsid w:val="79E06695"/>
    <w:rsid w:val="79F411CE"/>
    <w:rsid w:val="79F41980"/>
    <w:rsid w:val="7A102B3D"/>
    <w:rsid w:val="7A152F3E"/>
    <w:rsid w:val="7A1B3C8B"/>
    <w:rsid w:val="7A401791"/>
    <w:rsid w:val="7A41719B"/>
    <w:rsid w:val="7A545120"/>
    <w:rsid w:val="7A6510DB"/>
    <w:rsid w:val="7A660CFF"/>
    <w:rsid w:val="7A682979"/>
    <w:rsid w:val="7A707A80"/>
    <w:rsid w:val="7A7632E8"/>
    <w:rsid w:val="7A820219"/>
    <w:rsid w:val="7AA847FA"/>
    <w:rsid w:val="7AB61937"/>
    <w:rsid w:val="7ACD1873"/>
    <w:rsid w:val="7AD63D87"/>
    <w:rsid w:val="7ADA3941"/>
    <w:rsid w:val="7ADB314B"/>
    <w:rsid w:val="7AED4CB8"/>
    <w:rsid w:val="7AFB37ED"/>
    <w:rsid w:val="7AFF4F28"/>
    <w:rsid w:val="7B071954"/>
    <w:rsid w:val="7B07674D"/>
    <w:rsid w:val="7B0A1C83"/>
    <w:rsid w:val="7B1D19B6"/>
    <w:rsid w:val="7B1E510C"/>
    <w:rsid w:val="7B22521E"/>
    <w:rsid w:val="7B2C39A7"/>
    <w:rsid w:val="7B2F16E9"/>
    <w:rsid w:val="7B332F87"/>
    <w:rsid w:val="7B384E3D"/>
    <w:rsid w:val="7B3F7C92"/>
    <w:rsid w:val="7B536393"/>
    <w:rsid w:val="7B5D6256"/>
    <w:rsid w:val="7B607AF4"/>
    <w:rsid w:val="7B670E83"/>
    <w:rsid w:val="7B680B62"/>
    <w:rsid w:val="7B6C1BE2"/>
    <w:rsid w:val="7B7A5941"/>
    <w:rsid w:val="7B7D30DF"/>
    <w:rsid w:val="7B9D48A5"/>
    <w:rsid w:val="7BA2010D"/>
    <w:rsid w:val="7BB41C3D"/>
    <w:rsid w:val="7BCE3BEB"/>
    <w:rsid w:val="7BCE6D01"/>
    <w:rsid w:val="7BDC50A2"/>
    <w:rsid w:val="7BEE58C1"/>
    <w:rsid w:val="7BF07527"/>
    <w:rsid w:val="7BF42D23"/>
    <w:rsid w:val="7BFF6637"/>
    <w:rsid w:val="7C097867"/>
    <w:rsid w:val="7C1265E4"/>
    <w:rsid w:val="7C211032"/>
    <w:rsid w:val="7C325C40"/>
    <w:rsid w:val="7C463BAC"/>
    <w:rsid w:val="7C4B2553"/>
    <w:rsid w:val="7C5807CC"/>
    <w:rsid w:val="7C5C4760"/>
    <w:rsid w:val="7C5F1CF3"/>
    <w:rsid w:val="7C604DFB"/>
    <w:rsid w:val="7C75184C"/>
    <w:rsid w:val="7C7F3FAA"/>
    <w:rsid w:val="7C8D501E"/>
    <w:rsid w:val="7C9061B7"/>
    <w:rsid w:val="7C9308C0"/>
    <w:rsid w:val="7C9C2DAE"/>
    <w:rsid w:val="7C9E08D4"/>
    <w:rsid w:val="7CBB0508"/>
    <w:rsid w:val="7CC52305"/>
    <w:rsid w:val="7CCF4F32"/>
    <w:rsid w:val="7CF33177"/>
    <w:rsid w:val="7CFE5817"/>
    <w:rsid w:val="7D0B0461"/>
    <w:rsid w:val="7D0B10C1"/>
    <w:rsid w:val="7D282903"/>
    <w:rsid w:val="7D284642"/>
    <w:rsid w:val="7D401A7F"/>
    <w:rsid w:val="7D711B45"/>
    <w:rsid w:val="7DC95C76"/>
    <w:rsid w:val="7DCB394B"/>
    <w:rsid w:val="7DD6584C"/>
    <w:rsid w:val="7DE762AB"/>
    <w:rsid w:val="7DED2251"/>
    <w:rsid w:val="7DF7709C"/>
    <w:rsid w:val="7DFD13EB"/>
    <w:rsid w:val="7E015867"/>
    <w:rsid w:val="7E066731"/>
    <w:rsid w:val="7E105802"/>
    <w:rsid w:val="7E1150D6"/>
    <w:rsid w:val="7E1D3A7B"/>
    <w:rsid w:val="7E2A4A08"/>
    <w:rsid w:val="7E5A237A"/>
    <w:rsid w:val="7E611BB9"/>
    <w:rsid w:val="7E631DD5"/>
    <w:rsid w:val="7E7318ED"/>
    <w:rsid w:val="7E753116"/>
    <w:rsid w:val="7E755665"/>
    <w:rsid w:val="7E756086"/>
    <w:rsid w:val="7E7C7B82"/>
    <w:rsid w:val="7EA30424"/>
    <w:rsid w:val="7EB02B41"/>
    <w:rsid w:val="7EB90BD7"/>
    <w:rsid w:val="7EBD3E05"/>
    <w:rsid w:val="7EC51355"/>
    <w:rsid w:val="7ECB399D"/>
    <w:rsid w:val="7ECF1219"/>
    <w:rsid w:val="7F0F1615"/>
    <w:rsid w:val="7F1975EE"/>
    <w:rsid w:val="7F4D0390"/>
    <w:rsid w:val="7F4F44C1"/>
    <w:rsid w:val="7F67107D"/>
    <w:rsid w:val="7F6F6558"/>
    <w:rsid w:val="7F8738A2"/>
    <w:rsid w:val="7F8E48CA"/>
    <w:rsid w:val="7F985AAF"/>
    <w:rsid w:val="7F9B3631"/>
    <w:rsid w:val="7FA135F0"/>
    <w:rsid w:val="7FAC5164"/>
    <w:rsid w:val="7FD25B6F"/>
    <w:rsid w:val="7FD50AB1"/>
    <w:rsid w:val="7FDD7966"/>
    <w:rsid w:val="7FE921FF"/>
    <w:rsid w:val="7FF015C4"/>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semiHidden="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55"/>
    <w:autoRedefine/>
    <w:qFormat/>
    <w:uiPriority w:val="9"/>
    <w:pPr>
      <w:spacing w:before="340" w:after="330" w:line="578" w:lineRule="auto"/>
      <w:outlineLvl w:val="0"/>
    </w:pPr>
    <w:rPr>
      <w:bCs/>
      <w:kern w:val="44"/>
      <w:sz w:val="44"/>
      <w:szCs w:val="44"/>
    </w:rPr>
  </w:style>
  <w:style w:type="paragraph" w:styleId="3">
    <w:name w:val="heading 2"/>
    <w:basedOn w:val="1"/>
    <w:next w:val="1"/>
    <w:link w:val="58"/>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1"/>
    <w:link w:val="56"/>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5">
    <w:name w:val="heading 4"/>
    <w:basedOn w:val="1"/>
    <w:next w:val="1"/>
    <w:link w:val="5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7">
    <w:name w:val="heading 6"/>
    <w:basedOn w:val="6"/>
    <w:next w:val="1"/>
    <w:link w:val="6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61"/>
    <w:autoRedefine/>
    <w:qFormat/>
    <w:uiPriority w:val="0"/>
    <w:pPr>
      <w:tabs>
        <w:tab w:val="left" w:pos="1800"/>
        <w:tab w:val="clear" w:pos="1440"/>
      </w:tabs>
      <w:ind w:left="1276" w:hanging="1276"/>
      <w:outlineLvl w:val="6"/>
    </w:pPr>
  </w:style>
  <w:style w:type="paragraph" w:styleId="9">
    <w:name w:val="heading 8"/>
    <w:basedOn w:val="8"/>
    <w:next w:val="1"/>
    <w:link w:val="62"/>
    <w:autoRedefine/>
    <w:qFormat/>
    <w:uiPriority w:val="0"/>
    <w:pPr>
      <w:ind w:left="1418" w:hanging="1418"/>
      <w:outlineLvl w:val="7"/>
    </w:pPr>
  </w:style>
  <w:style w:type="paragraph" w:styleId="10">
    <w:name w:val="heading 9"/>
    <w:basedOn w:val="9"/>
    <w:next w:val="1"/>
    <w:link w:val="63"/>
    <w:autoRedefine/>
    <w:qFormat/>
    <w:uiPriority w:val="0"/>
    <w:pPr>
      <w:tabs>
        <w:tab w:val="left" w:pos="2160"/>
        <w:tab w:val="clear" w:pos="1800"/>
      </w:tabs>
      <w:ind w:left="1559" w:hanging="1559"/>
      <w:outlineLvl w:val="8"/>
    </w:p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70"/>
    <w:autoRedefine/>
    <w:unhideWhenUsed/>
    <w:qFormat/>
    <w:uiPriority w:val="0"/>
    <w:pPr>
      <w:ind w:firstLine="420" w:firstLineChars="200"/>
    </w:pPr>
  </w:style>
  <w:style w:type="paragraph" w:styleId="12">
    <w:name w:val="caption"/>
    <w:basedOn w:val="1"/>
    <w:next w:val="1"/>
    <w:autoRedefine/>
    <w:qFormat/>
    <w:uiPriority w:val="0"/>
    <w:pPr>
      <w:spacing w:before="152" w:after="160"/>
    </w:pPr>
    <w:rPr>
      <w:rFonts w:ascii="Arial" w:hAnsi="Arial" w:eastAsia="黑体" w:cs="Arial"/>
      <w:sz w:val="20"/>
      <w:szCs w:val="20"/>
    </w:rPr>
  </w:style>
  <w:style w:type="paragraph" w:styleId="13">
    <w:name w:val="Document Map"/>
    <w:basedOn w:val="1"/>
    <w:link w:val="75"/>
    <w:autoRedefine/>
    <w:qFormat/>
    <w:uiPriority w:val="0"/>
    <w:rPr>
      <w:rFonts w:ascii="宋体"/>
      <w:sz w:val="18"/>
      <w:szCs w:val="18"/>
    </w:rPr>
  </w:style>
  <w:style w:type="paragraph" w:styleId="14">
    <w:name w:val="annotation text"/>
    <w:basedOn w:val="1"/>
    <w:link w:val="73"/>
    <w:autoRedefine/>
    <w:qFormat/>
    <w:uiPriority w:val="0"/>
    <w:pPr>
      <w:jc w:val="left"/>
    </w:pPr>
  </w:style>
  <w:style w:type="paragraph" w:styleId="15">
    <w:name w:val="index 6"/>
    <w:basedOn w:val="1"/>
    <w:next w:val="1"/>
    <w:autoRedefine/>
    <w:qFormat/>
    <w:uiPriority w:val="99"/>
    <w:pPr>
      <w:ind w:left="2100"/>
    </w:pPr>
  </w:style>
  <w:style w:type="paragraph" w:styleId="16">
    <w:name w:val="Body Text"/>
    <w:basedOn w:val="1"/>
    <w:autoRedefine/>
    <w:semiHidden/>
    <w:unhideWhenUsed/>
    <w:qFormat/>
    <w:uiPriority w:val="0"/>
    <w:pPr>
      <w:spacing w:after="120"/>
    </w:pPr>
  </w:style>
  <w:style w:type="paragraph" w:styleId="17">
    <w:name w:val="Body Text Indent"/>
    <w:basedOn w:val="1"/>
    <w:autoRedefine/>
    <w:qFormat/>
    <w:uiPriority w:val="0"/>
    <w:pPr>
      <w:ind w:firstLine="830" w:firstLineChars="352"/>
    </w:pPr>
    <w:rPr>
      <w:rFonts w:ascii="仿宋_GB2312" w:eastAsia="仿宋_GB2312"/>
      <w:sz w:val="32"/>
      <w:szCs w:val="20"/>
    </w:rPr>
  </w:style>
  <w:style w:type="paragraph" w:styleId="18">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autoRedefine/>
    <w:unhideWhenUsed/>
    <w:qFormat/>
    <w:uiPriority w:val="39"/>
    <w:pPr>
      <w:ind w:left="840" w:leftChars="400"/>
    </w:pPr>
  </w:style>
  <w:style w:type="paragraph" w:styleId="20">
    <w:name w:val="Plain Text"/>
    <w:basedOn w:val="1"/>
    <w:link w:val="67"/>
    <w:autoRedefine/>
    <w:qFormat/>
    <w:uiPriority w:val="0"/>
    <w:rPr>
      <w:rFonts w:ascii="宋体" w:hAnsi="Courier New"/>
      <w:szCs w:val="21"/>
    </w:rPr>
  </w:style>
  <w:style w:type="paragraph" w:styleId="21">
    <w:name w:val="Date"/>
    <w:basedOn w:val="1"/>
    <w:next w:val="1"/>
    <w:autoRedefine/>
    <w:qFormat/>
    <w:uiPriority w:val="0"/>
    <w:pPr>
      <w:ind w:left="100" w:leftChars="2500"/>
    </w:pPr>
    <w:rPr>
      <w:rFonts w:ascii="宋体" w:hAnsi="Courier New" w:cs="Courier New"/>
      <w:szCs w:val="21"/>
    </w:rPr>
  </w:style>
  <w:style w:type="paragraph" w:styleId="22">
    <w:name w:val="Balloon Text"/>
    <w:basedOn w:val="1"/>
    <w:autoRedefine/>
    <w:semiHidden/>
    <w:qFormat/>
    <w:uiPriority w:val="0"/>
    <w:rPr>
      <w:sz w:val="18"/>
      <w:szCs w:val="1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link w:val="66"/>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22"/>
      </w:tabs>
      <w:spacing w:line="440" w:lineRule="exact"/>
      <w:ind w:right="231" w:rightChars="110"/>
    </w:pPr>
    <w:rPr>
      <w:sz w:val="28"/>
    </w:rPr>
  </w:style>
  <w:style w:type="paragraph" w:styleId="26">
    <w:name w:val="footnote text"/>
    <w:basedOn w:val="1"/>
    <w:autoRedefine/>
    <w:qFormat/>
    <w:uiPriority w:val="0"/>
    <w:pPr>
      <w:snapToGrid w:val="0"/>
      <w:jc w:val="left"/>
    </w:pPr>
    <w:rPr>
      <w:sz w:val="18"/>
    </w:rPr>
  </w:style>
  <w:style w:type="paragraph" w:styleId="27">
    <w:name w:val="Body Text Indent 3"/>
    <w:basedOn w:val="1"/>
    <w:link w:val="82"/>
    <w:autoRedefine/>
    <w:semiHidden/>
    <w:unhideWhenUsed/>
    <w:qFormat/>
    <w:uiPriority w:val="0"/>
    <w:pPr>
      <w:spacing w:after="120"/>
      <w:ind w:left="420" w:leftChars="200"/>
    </w:pPr>
    <w:rPr>
      <w:sz w:val="16"/>
      <w:szCs w:val="16"/>
    </w:rPr>
  </w:style>
  <w:style w:type="paragraph" w:styleId="28">
    <w:name w:val="toc 2"/>
    <w:basedOn w:val="1"/>
    <w:next w:val="1"/>
    <w:autoRedefine/>
    <w:qFormat/>
    <w:uiPriority w:val="39"/>
    <w:pPr>
      <w:tabs>
        <w:tab w:val="right" w:leader="dot" w:pos="8222"/>
      </w:tabs>
      <w:ind w:left="420" w:leftChars="200"/>
      <w:jc w:val="left"/>
    </w:pPr>
    <w:rPr>
      <w:sz w:val="28"/>
    </w:rPr>
  </w:style>
  <w:style w:type="paragraph" w:styleId="29">
    <w:name w:val="Body Text 2"/>
    <w:basedOn w:val="1"/>
    <w:next w:val="1"/>
    <w:unhideWhenUsed/>
    <w:qFormat/>
    <w:uiPriority w:val="0"/>
    <w:pPr>
      <w:spacing w:after="120"/>
      <w:jc w:val="center"/>
    </w:pPr>
    <w:rPr>
      <w:rFonts w:ascii="Calibri" w:hAnsi="Calibri" w:eastAsia="宋体" w:cs="Times New Roman"/>
    </w:rPr>
  </w:style>
  <w:style w:type="paragraph" w:styleId="3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1">
    <w:name w:val="Title"/>
    <w:basedOn w:val="3"/>
    <w:next w:val="1"/>
    <w:link w:val="54"/>
    <w:autoRedefine/>
    <w:qFormat/>
    <w:uiPriority w:val="0"/>
    <w:pPr>
      <w:jc w:val="both"/>
    </w:pPr>
    <w:rPr>
      <w:rFonts w:ascii="宋体"/>
      <w:sz w:val="44"/>
    </w:rPr>
  </w:style>
  <w:style w:type="paragraph" w:styleId="32">
    <w:name w:val="annotation subject"/>
    <w:basedOn w:val="14"/>
    <w:next w:val="14"/>
    <w:link w:val="72"/>
    <w:autoRedefine/>
    <w:qFormat/>
    <w:uiPriority w:val="99"/>
    <w:rPr>
      <w:rFonts w:ascii="Times New Roman" w:hAnsi="Times New Roman"/>
      <w:b/>
      <w:sz w:val="28"/>
      <w:szCs w:val="20"/>
    </w:rPr>
  </w:style>
  <w:style w:type="paragraph" w:styleId="33">
    <w:name w:val="Body Text First Indent"/>
    <w:basedOn w:val="16"/>
    <w:autoRedefine/>
    <w:unhideWhenUsed/>
    <w:qFormat/>
    <w:uiPriority w:val="99"/>
    <w:pPr>
      <w:ind w:firstLine="420" w:firstLineChars="100"/>
    </w:pPr>
  </w:style>
  <w:style w:type="paragraph" w:styleId="34">
    <w:name w:val="Body Text First Indent 2"/>
    <w:basedOn w:val="17"/>
    <w:autoRedefine/>
    <w:qFormat/>
    <w:uiPriority w:val="0"/>
    <w:pPr>
      <w:ind w:firstLine="420"/>
    </w:pPr>
    <w:rPr>
      <w:rFonts w:ascii="Calibri" w:hAnsi="Calibri" w:eastAsia="宋体" w:cs="Times New Roman"/>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rPr>
  </w:style>
  <w:style w:type="character" w:styleId="39">
    <w:name w:val="page number"/>
    <w:basedOn w:val="37"/>
    <w:autoRedefine/>
    <w:qFormat/>
    <w:uiPriority w:val="0"/>
  </w:style>
  <w:style w:type="character" w:styleId="40">
    <w:name w:val="FollowedHyperlink"/>
    <w:basedOn w:val="37"/>
    <w:autoRedefine/>
    <w:semiHidden/>
    <w:unhideWhenUsed/>
    <w:qFormat/>
    <w:uiPriority w:val="0"/>
    <w:rPr>
      <w:color w:val="333333"/>
      <w:u w:val="none"/>
    </w:rPr>
  </w:style>
  <w:style w:type="character" w:styleId="41">
    <w:name w:val="HTML Definition"/>
    <w:basedOn w:val="37"/>
    <w:autoRedefine/>
    <w:semiHidden/>
    <w:unhideWhenUsed/>
    <w:qFormat/>
    <w:uiPriority w:val="0"/>
  </w:style>
  <w:style w:type="character" w:styleId="42">
    <w:name w:val="HTML Typewriter"/>
    <w:basedOn w:val="37"/>
    <w:autoRedefine/>
    <w:semiHidden/>
    <w:unhideWhenUsed/>
    <w:qFormat/>
    <w:uiPriority w:val="0"/>
    <w:rPr>
      <w:rFonts w:hint="default" w:ascii="monospace" w:hAnsi="monospace" w:eastAsia="monospace" w:cs="monospace"/>
      <w:sz w:val="20"/>
    </w:rPr>
  </w:style>
  <w:style w:type="character" w:styleId="43">
    <w:name w:val="HTML Acronym"/>
    <w:basedOn w:val="37"/>
    <w:autoRedefine/>
    <w:semiHidden/>
    <w:unhideWhenUsed/>
    <w:qFormat/>
    <w:uiPriority w:val="0"/>
  </w:style>
  <w:style w:type="character" w:styleId="44">
    <w:name w:val="HTML Variable"/>
    <w:basedOn w:val="37"/>
    <w:autoRedefine/>
    <w:semiHidden/>
    <w:unhideWhenUsed/>
    <w:qFormat/>
    <w:uiPriority w:val="0"/>
  </w:style>
  <w:style w:type="character" w:styleId="45">
    <w:name w:val="Hyperlink"/>
    <w:basedOn w:val="37"/>
    <w:autoRedefine/>
    <w:qFormat/>
    <w:uiPriority w:val="99"/>
    <w:rPr>
      <w:color w:val="333333"/>
      <w:u w:val="none"/>
    </w:rPr>
  </w:style>
  <w:style w:type="character" w:styleId="46">
    <w:name w:val="HTML Code"/>
    <w:basedOn w:val="37"/>
    <w:autoRedefine/>
    <w:semiHidden/>
    <w:unhideWhenUsed/>
    <w:qFormat/>
    <w:uiPriority w:val="0"/>
    <w:rPr>
      <w:rFonts w:hint="default" w:ascii="monospace" w:hAnsi="monospace" w:eastAsia="monospace" w:cs="monospace"/>
      <w:sz w:val="20"/>
    </w:rPr>
  </w:style>
  <w:style w:type="character" w:styleId="47">
    <w:name w:val="annotation reference"/>
    <w:basedOn w:val="37"/>
    <w:autoRedefine/>
    <w:unhideWhenUsed/>
    <w:qFormat/>
    <w:uiPriority w:val="0"/>
    <w:rPr>
      <w:sz w:val="21"/>
      <w:szCs w:val="21"/>
    </w:rPr>
  </w:style>
  <w:style w:type="character" w:styleId="48">
    <w:name w:val="HTML Cite"/>
    <w:basedOn w:val="37"/>
    <w:autoRedefine/>
    <w:semiHidden/>
    <w:unhideWhenUsed/>
    <w:qFormat/>
    <w:uiPriority w:val="0"/>
  </w:style>
  <w:style w:type="character" w:styleId="49">
    <w:name w:val="HTML Keyboard"/>
    <w:basedOn w:val="37"/>
    <w:autoRedefine/>
    <w:semiHidden/>
    <w:unhideWhenUsed/>
    <w:qFormat/>
    <w:uiPriority w:val="0"/>
    <w:rPr>
      <w:rFonts w:hint="default" w:ascii="monospace" w:hAnsi="monospace" w:eastAsia="monospace" w:cs="monospace"/>
      <w:sz w:val="20"/>
    </w:rPr>
  </w:style>
  <w:style w:type="character" w:styleId="50">
    <w:name w:val="HTML Sample"/>
    <w:basedOn w:val="37"/>
    <w:autoRedefine/>
    <w:semiHidden/>
    <w:unhideWhenUsed/>
    <w:qFormat/>
    <w:uiPriority w:val="0"/>
    <w:rPr>
      <w:rFonts w:ascii="monospace" w:hAnsi="monospace" w:eastAsia="monospace" w:cs="monospace"/>
    </w:rPr>
  </w:style>
  <w:style w:type="paragraph" w:customStyle="1" w:styleId="51">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53">
    <w:name w:val="case31"/>
    <w:autoRedefine/>
    <w:qFormat/>
    <w:uiPriority w:val="0"/>
    <w:rPr>
      <w:rFonts w:hint="default"/>
      <w:spacing w:val="390"/>
      <w:sz w:val="21"/>
      <w:szCs w:val="21"/>
    </w:rPr>
  </w:style>
  <w:style w:type="character" w:customStyle="1" w:styleId="54">
    <w:name w:val="标题 Char"/>
    <w:link w:val="31"/>
    <w:autoRedefine/>
    <w:qFormat/>
    <w:uiPriority w:val="0"/>
    <w:rPr>
      <w:rFonts w:ascii="宋体" w:hAnsiTheme="majorEastAsia" w:eastAsiaTheme="majorEastAsia"/>
      <w:b/>
      <w:kern w:val="2"/>
      <w:sz w:val="44"/>
      <w:szCs w:val="28"/>
    </w:rPr>
  </w:style>
  <w:style w:type="character" w:customStyle="1" w:styleId="55">
    <w:name w:val="标题 1 Char"/>
    <w:link w:val="2"/>
    <w:autoRedefine/>
    <w:qFormat/>
    <w:uiPriority w:val="9"/>
    <w:rPr>
      <w:rFonts w:ascii="Calibri" w:hAnsi="Calibri"/>
      <w:b/>
      <w:bCs/>
      <w:kern w:val="44"/>
      <w:sz w:val="44"/>
      <w:szCs w:val="44"/>
    </w:rPr>
  </w:style>
  <w:style w:type="character" w:customStyle="1" w:styleId="56">
    <w:name w:val="标题 3 Char"/>
    <w:link w:val="4"/>
    <w:autoRedefine/>
    <w:qFormat/>
    <w:uiPriority w:val="0"/>
    <w:rPr>
      <w:rFonts w:ascii="仿宋_GB2312" w:hAnsi="宋体" w:eastAsiaTheme="minorEastAsia"/>
      <w:b/>
      <w:kern w:val="2"/>
      <w:sz w:val="32"/>
      <w:szCs w:val="32"/>
    </w:rPr>
  </w:style>
  <w:style w:type="character" w:customStyle="1" w:styleId="57">
    <w:name w:val="标题 5 Char"/>
    <w:link w:val="6"/>
    <w:autoRedefine/>
    <w:qFormat/>
    <w:uiPriority w:val="0"/>
    <w:rPr>
      <w:rFonts w:ascii="Calibri" w:hAnsi="Calibri"/>
      <w:b/>
      <w:bCs/>
      <w:kern w:val="2"/>
      <w:sz w:val="28"/>
      <w:szCs w:val="28"/>
    </w:rPr>
  </w:style>
  <w:style w:type="character" w:customStyle="1" w:styleId="58">
    <w:name w:val="标题 2 Char"/>
    <w:link w:val="3"/>
    <w:autoRedefine/>
    <w:qFormat/>
    <w:uiPriority w:val="0"/>
    <w:rPr>
      <w:rFonts w:asciiTheme="majorEastAsia" w:hAnsiTheme="majorEastAsia" w:eastAsiaTheme="majorEastAsia"/>
      <w:b/>
      <w:kern w:val="2"/>
      <w:sz w:val="32"/>
      <w:szCs w:val="28"/>
    </w:rPr>
  </w:style>
  <w:style w:type="character" w:customStyle="1" w:styleId="59">
    <w:name w:val="标题 4 Char"/>
    <w:link w:val="5"/>
    <w:autoRedefine/>
    <w:qFormat/>
    <w:uiPriority w:val="0"/>
    <w:rPr>
      <w:rFonts w:ascii="Arial" w:hAnsi="Arial" w:eastAsia="黑体"/>
      <w:b/>
      <w:bCs/>
      <w:kern w:val="2"/>
      <w:sz w:val="28"/>
      <w:szCs w:val="28"/>
    </w:rPr>
  </w:style>
  <w:style w:type="character" w:customStyle="1" w:styleId="60">
    <w:name w:val="标题 6 Char"/>
    <w:link w:val="7"/>
    <w:autoRedefine/>
    <w:qFormat/>
    <w:uiPriority w:val="0"/>
    <w:rPr>
      <w:b/>
      <w:bCs/>
      <w:kern w:val="2"/>
      <w:sz w:val="30"/>
      <w:szCs w:val="18"/>
    </w:rPr>
  </w:style>
  <w:style w:type="character" w:customStyle="1" w:styleId="61">
    <w:name w:val="标题 7 Char"/>
    <w:link w:val="8"/>
    <w:autoRedefine/>
    <w:qFormat/>
    <w:uiPriority w:val="0"/>
    <w:rPr>
      <w:b/>
      <w:bCs/>
      <w:kern w:val="2"/>
      <w:sz w:val="30"/>
      <w:szCs w:val="18"/>
    </w:rPr>
  </w:style>
  <w:style w:type="character" w:customStyle="1" w:styleId="62">
    <w:name w:val="标题 8 Char"/>
    <w:link w:val="9"/>
    <w:autoRedefine/>
    <w:qFormat/>
    <w:uiPriority w:val="0"/>
    <w:rPr>
      <w:b/>
      <w:bCs/>
      <w:kern w:val="2"/>
      <w:sz w:val="30"/>
      <w:szCs w:val="18"/>
    </w:rPr>
  </w:style>
  <w:style w:type="character" w:customStyle="1" w:styleId="63">
    <w:name w:val="标题 9 Char"/>
    <w:link w:val="10"/>
    <w:autoRedefine/>
    <w:qFormat/>
    <w:uiPriority w:val="0"/>
    <w:rPr>
      <w:b/>
      <w:bCs/>
      <w:kern w:val="2"/>
      <w:sz w:val="30"/>
      <w:szCs w:val="18"/>
    </w:rPr>
  </w:style>
  <w:style w:type="paragraph" w:customStyle="1" w:styleId="64">
    <w:name w:val="列出段落1"/>
    <w:basedOn w:val="1"/>
    <w:autoRedefine/>
    <w:qFormat/>
    <w:uiPriority w:val="34"/>
    <w:pPr>
      <w:ind w:firstLine="420" w:firstLineChars="200"/>
    </w:pPr>
  </w:style>
  <w:style w:type="paragraph" w:customStyle="1" w:styleId="65">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66">
    <w:name w:val="页眉 Char"/>
    <w:link w:val="24"/>
    <w:autoRedefine/>
    <w:qFormat/>
    <w:uiPriority w:val="99"/>
    <w:rPr>
      <w:rFonts w:ascii="Calibri" w:hAnsi="Calibri" w:eastAsia="宋体" w:cs="Times New Roman"/>
      <w:kern w:val="2"/>
      <w:sz w:val="18"/>
      <w:szCs w:val="18"/>
    </w:rPr>
  </w:style>
  <w:style w:type="character" w:customStyle="1" w:styleId="67">
    <w:name w:val="纯文本 Char"/>
    <w:link w:val="20"/>
    <w:autoRedefine/>
    <w:qFormat/>
    <w:locked/>
    <w:uiPriority w:val="0"/>
    <w:rPr>
      <w:rFonts w:ascii="宋体" w:hAnsi="Courier New" w:eastAsia="宋体" w:cs="Courier New"/>
      <w:kern w:val="2"/>
      <w:sz w:val="21"/>
      <w:szCs w:val="21"/>
    </w:rPr>
  </w:style>
  <w:style w:type="paragraph" w:customStyle="1" w:styleId="68">
    <w:name w:val="需求样式"/>
    <w:basedOn w:val="2"/>
    <w:link w:val="69"/>
    <w:autoRedefine/>
    <w:qFormat/>
    <w:uiPriority w:val="0"/>
    <w:pPr>
      <w:spacing w:before="120" w:after="120" w:line="360" w:lineRule="auto"/>
      <w:ind w:left="425" w:hanging="425"/>
    </w:pPr>
    <w:rPr>
      <w:rFonts w:ascii="Times New Roman" w:hAnsi="Times New Roman"/>
      <w:sz w:val="32"/>
      <w:szCs w:val="28"/>
    </w:rPr>
  </w:style>
  <w:style w:type="character" w:customStyle="1" w:styleId="69">
    <w:name w:val="需求样式 Char"/>
    <w:link w:val="68"/>
    <w:autoRedefine/>
    <w:qFormat/>
    <w:uiPriority w:val="0"/>
    <w:rPr>
      <w:b/>
      <w:bCs/>
      <w:kern w:val="44"/>
      <w:sz w:val="32"/>
      <w:szCs w:val="28"/>
    </w:rPr>
  </w:style>
  <w:style w:type="character" w:customStyle="1" w:styleId="70">
    <w:name w:val="正文缩进 Char"/>
    <w:link w:val="11"/>
    <w:autoRedefine/>
    <w:qFormat/>
    <w:uiPriority w:val="0"/>
    <w:rPr>
      <w:rFonts w:ascii="Calibri" w:hAnsi="Calibri" w:eastAsia="宋体"/>
      <w:kern w:val="2"/>
      <w:sz w:val="21"/>
      <w:szCs w:val="22"/>
      <w:lang w:val="en-US" w:eastAsia="zh-CN" w:bidi="ar-SA"/>
    </w:rPr>
  </w:style>
  <w:style w:type="character" w:customStyle="1" w:styleId="71">
    <w:name w:val="普通文字 Char Char2"/>
    <w:autoRedefine/>
    <w:qFormat/>
    <w:uiPriority w:val="0"/>
    <w:rPr>
      <w:rFonts w:ascii="宋体" w:hAnsi="Courier New" w:cs="Courier New"/>
      <w:kern w:val="2"/>
      <w:sz w:val="21"/>
      <w:szCs w:val="21"/>
    </w:rPr>
  </w:style>
  <w:style w:type="character" w:customStyle="1" w:styleId="72">
    <w:name w:val="批注主题 Char"/>
    <w:link w:val="32"/>
    <w:autoRedefine/>
    <w:qFormat/>
    <w:uiPriority w:val="99"/>
    <w:rPr>
      <w:b/>
      <w:kern w:val="2"/>
      <w:sz w:val="28"/>
    </w:rPr>
  </w:style>
  <w:style w:type="character" w:customStyle="1" w:styleId="73">
    <w:name w:val="批注文字 Char"/>
    <w:basedOn w:val="37"/>
    <w:link w:val="14"/>
    <w:autoRedefine/>
    <w:qFormat/>
    <w:uiPriority w:val="0"/>
    <w:rPr>
      <w:rFonts w:ascii="Calibri" w:hAnsi="Calibri"/>
      <w:kern w:val="2"/>
      <w:sz w:val="21"/>
      <w:szCs w:val="22"/>
    </w:rPr>
  </w:style>
  <w:style w:type="character" w:customStyle="1" w:styleId="74">
    <w:name w:val="批注主题 Char1"/>
    <w:basedOn w:val="73"/>
    <w:autoRedefine/>
    <w:qFormat/>
    <w:uiPriority w:val="0"/>
    <w:rPr>
      <w:rFonts w:ascii="Calibri" w:hAnsi="Calibri"/>
      <w:b/>
      <w:bCs/>
      <w:kern w:val="2"/>
      <w:sz w:val="21"/>
      <w:szCs w:val="22"/>
    </w:rPr>
  </w:style>
  <w:style w:type="character" w:customStyle="1" w:styleId="75">
    <w:name w:val="文档结构图 Char"/>
    <w:basedOn w:val="37"/>
    <w:link w:val="13"/>
    <w:autoRedefine/>
    <w:qFormat/>
    <w:uiPriority w:val="0"/>
    <w:rPr>
      <w:rFonts w:ascii="宋体" w:hAnsi="Calibri"/>
      <w:kern w:val="2"/>
      <w:sz w:val="18"/>
      <w:szCs w:val="18"/>
    </w:rPr>
  </w:style>
  <w:style w:type="paragraph" w:customStyle="1" w:styleId="7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7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8">
    <w:name w:val="2册标题2 Char"/>
    <w:link w:val="79"/>
    <w:autoRedefine/>
    <w:qFormat/>
    <w:uiPriority w:val="0"/>
    <w:rPr>
      <w:rFonts w:ascii="Arial" w:hAnsi="Arial" w:eastAsia="黑体"/>
      <w:kern w:val="2"/>
      <w:sz w:val="30"/>
    </w:rPr>
  </w:style>
  <w:style w:type="paragraph" w:customStyle="1" w:styleId="79">
    <w:name w:val="2册标题2"/>
    <w:basedOn w:val="1"/>
    <w:next w:val="1"/>
    <w:link w:val="78"/>
    <w:autoRedefine/>
    <w:qFormat/>
    <w:uiPriority w:val="0"/>
    <w:pPr>
      <w:spacing w:beforeLines="50" w:afterLines="50" w:line="300" w:lineRule="auto"/>
      <w:outlineLvl w:val="1"/>
    </w:pPr>
    <w:rPr>
      <w:rFonts w:ascii="Arial" w:hAnsi="Arial" w:eastAsia="黑体"/>
      <w:sz w:val="30"/>
      <w:szCs w:val="20"/>
    </w:rPr>
  </w:style>
  <w:style w:type="paragraph" w:styleId="80">
    <w:name w:val="List Paragraph"/>
    <w:basedOn w:val="1"/>
    <w:autoRedefine/>
    <w:unhideWhenUsed/>
    <w:qFormat/>
    <w:uiPriority w:val="99"/>
    <w:pPr>
      <w:ind w:firstLine="420" w:firstLineChars="200"/>
    </w:pPr>
  </w:style>
  <w:style w:type="paragraph" w:customStyle="1" w:styleId="81">
    <w:name w:val="TOC 标题2"/>
    <w:basedOn w:val="2"/>
    <w:next w:val="1"/>
    <w:autoRedefine/>
    <w:unhideWhenUsed/>
    <w:qFormat/>
    <w:uiPriority w:val="39"/>
    <w:pPr>
      <w:widowControl/>
      <w:spacing w:before="240" w:after="0" w:line="259" w:lineRule="auto"/>
      <w:jc w:val="left"/>
      <w:outlineLvl w:val="9"/>
    </w:pPr>
    <w:rPr>
      <w:rFonts w:asciiTheme="majorHAnsi" w:hAnsiTheme="majorHAnsi" w:cstheme="majorBidi"/>
      <w:bCs w:val="0"/>
      <w:color w:val="376092" w:themeColor="accent1" w:themeShade="BF"/>
      <w:kern w:val="0"/>
      <w:sz w:val="32"/>
      <w:szCs w:val="32"/>
    </w:rPr>
  </w:style>
  <w:style w:type="character" w:customStyle="1" w:styleId="82">
    <w:name w:val="正文文本缩进 3 Char"/>
    <w:basedOn w:val="37"/>
    <w:link w:val="27"/>
    <w:autoRedefine/>
    <w:semiHidden/>
    <w:qFormat/>
    <w:uiPriority w:val="0"/>
    <w:rPr>
      <w:rFonts w:ascii="Calibri" w:hAnsi="Calibri"/>
      <w:kern w:val="2"/>
      <w:sz w:val="16"/>
      <w:szCs w:val="16"/>
    </w:rPr>
  </w:style>
  <w:style w:type="paragraph" w:customStyle="1" w:styleId="8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5">
    <w:name w:val="Normal_7"/>
    <w:autoRedefine/>
    <w:qFormat/>
    <w:uiPriority w:val="0"/>
    <w:rPr>
      <w:rFonts w:ascii="黑体" w:hAnsi="黑体" w:eastAsia="黑体" w:cs="Times New Roman"/>
      <w:b/>
      <w:sz w:val="32"/>
      <w:szCs w:val="24"/>
      <w:lang w:val="en-US" w:eastAsia="zh-CN" w:bidi="ar-SA"/>
    </w:rPr>
  </w:style>
  <w:style w:type="paragraph" w:customStyle="1" w:styleId="8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文本缩进_0_0"/>
    <w:basedOn w:val="86"/>
    <w:autoRedefine/>
    <w:qFormat/>
    <w:uiPriority w:val="0"/>
    <w:pPr>
      <w:spacing w:line="500" w:lineRule="exact"/>
      <w:ind w:left="1588" w:leftChars="832" w:firstLine="433" w:firstLineChars="196"/>
    </w:pPr>
    <w:rPr>
      <w:kern w:val="0"/>
      <w:sz w:val="24"/>
    </w:rPr>
  </w:style>
  <w:style w:type="paragraph" w:customStyle="1" w:styleId="88">
    <w:name w:val="正文文本_0_0"/>
    <w:basedOn w:val="86"/>
    <w:autoRedefine/>
    <w:qFormat/>
    <w:uiPriority w:val="0"/>
    <w:pPr>
      <w:spacing w:after="120"/>
    </w:pPr>
    <w:rPr>
      <w:kern w:val="0"/>
      <w:sz w:val="20"/>
    </w:rPr>
  </w:style>
  <w:style w:type="paragraph" w:customStyle="1" w:styleId="89">
    <w:name w:val="Normal_15"/>
    <w:autoRedefine/>
    <w:qFormat/>
    <w:uiPriority w:val="0"/>
    <w:rPr>
      <w:rFonts w:ascii="黑体" w:hAnsi="黑体" w:eastAsia="黑体" w:cs="Times New Roman"/>
      <w:b/>
      <w:sz w:val="32"/>
      <w:szCs w:val="24"/>
      <w:lang w:val="en-US" w:eastAsia="zh-CN" w:bidi="ar-SA"/>
    </w:rPr>
  </w:style>
  <w:style w:type="paragraph" w:customStyle="1" w:styleId="90">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3"/>
    <w:basedOn w:val="90"/>
    <w:autoRedefine/>
    <w:qFormat/>
    <w:uiPriority w:val="0"/>
    <w:pPr>
      <w:spacing w:line="500" w:lineRule="exact"/>
      <w:ind w:left="1588" w:leftChars="832" w:firstLine="433" w:firstLineChars="196"/>
    </w:pPr>
    <w:rPr>
      <w:kern w:val="0"/>
      <w:sz w:val="24"/>
    </w:rPr>
  </w:style>
  <w:style w:type="paragraph" w:customStyle="1" w:styleId="92">
    <w:name w:val="Normal_16"/>
    <w:autoRedefine/>
    <w:qFormat/>
    <w:uiPriority w:val="0"/>
    <w:rPr>
      <w:rFonts w:ascii="黑体" w:hAnsi="黑体" w:eastAsia="黑体" w:cs="Times New Roman"/>
      <w:b/>
      <w:sz w:val="32"/>
      <w:szCs w:val="24"/>
      <w:lang w:val="en-US" w:eastAsia="zh-CN" w:bidi="ar-SA"/>
    </w:rPr>
  </w:style>
  <w:style w:type="paragraph" w:customStyle="1" w:styleId="93">
    <w:name w:val="Normal_3"/>
    <w:autoRedefine/>
    <w:qFormat/>
    <w:uiPriority w:val="0"/>
    <w:rPr>
      <w:rFonts w:ascii="黑体" w:hAnsi="黑体" w:eastAsia="黑体" w:cs="Times New Roman"/>
      <w:b/>
      <w:sz w:val="32"/>
      <w:szCs w:val="24"/>
      <w:lang w:val="en-US" w:eastAsia="zh-CN" w:bidi="ar-SA"/>
    </w:rPr>
  </w:style>
  <w:style w:type="paragraph" w:customStyle="1" w:styleId="94">
    <w:name w:val="标题 3_0"/>
    <w:basedOn w:val="84"/>
    <w:next w:val="84"/>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6"/>
    <w:autoRedefine/>
    <w:qFormat/>
    <w:uiPriority w:val="0"/>
    <w:rPr>
      <w:rFonts w:ascii="黑体" w:hAnsi="黑体" w:eastAsia="黑体" w:cs="Times New Roman"/>
      <w:b/>
      <w:sz w:val="32"/>
      <w:szCs w:val="24"/>
      <w:lang w:val="en-US" w:eastAsia="zh-CN" w:bidi="ar-SA"/>
    </w:rPr>
  </w:style>
  <w:style w:type="paragraph" w:customStyle="1" w:styleId="97">
    <w:name w:val="标题 3_0_0_0"/>
    <w:basedOn w:val="98"/>
    <w:next w:val="98"/>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8">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99">
    <w:name w:val="Normal_8"/>
    <w:autoRedefine/>
    <w:qFormat/>
    <w:uiPriority w:val="0"/>
    <w:rPr>
      <w:rFonts w:ascii="黑体" w:hAnsi="黑体" w:eastAsia="黑体" w:cs="Times New Roman"/>
      <w:b/>
      <w:sz w:val="32"/>
      <w:szCs w:val="24"/>
      <w:lang w:val="en-US" w:eastAsia="zh-CN" w:bidi="ar-SA"/>
    </w:rPr>
  </w:style>
  <w:style w:type="paragraph" w:customStyle="1" w:styleId="100">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标题 3_0_1"/>
    <w:basedOn w:val="102"/>
    <w:next w:val="102"/>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2">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3">
    <w:name w:val="Normal_10"/>
    <w:autoRedefine/>
    <w:qFormat/>
    <w:uiPriority w:val="0"/>
    <w:rPr>
      <w:rFonts w:ascii="黑体" w:hAnsi="黑体" w:eastAsia="黑体" w:cs="Times New Roman"/>
      <w:b/>
      <w:sz w:val="32"/>
      <w:szCs w:val="24"/>
      <w:lang w:val="en-US" w:eastAsia="zh-CN" w:bidi="ar-SA"/>
    </w:rPr>
  </w:style>
  <w:style w:type="paragraph" w:customStyle="1" w:styleId="104">
    <w:name w:val="日期_0"/>
    <w:basedOn w:val="95"/>
    <w:next w:val="95"/>
    <w:autoRedefine/>
    <w:qFormat/>
    <w:uiPriority w:val="0"/>
    <w:pPr>
      <w:ind w:left="100" w:leftChars="2500"/>
    </w:pPr>
    <w:rPr>
      <w:kern w:val="0"/>
      <w:sz w:val="20"/>
    </w:rPr>
  </w:style>
  <w:style w:type="paragraph" w:customStyle="1" w:styleId="105">
    <w:name w:val="正文文本_1_0"/>
    <w:basedOn w:val="95"/>
    <w:autoRedefine/>
    <w:qFormat/>
    <w:uiPriority w:val="0"/>
    <w:pPr>
      <w:spacing w:after="120"/>
    </w:pPr>
    <w:rPr>
      <w:kern w:val="0"/>
      <w:sz w:val="20"/>
    </w:rPr>
  </w:style>
  <w:style w:type="paragraph" w:customStyle="1" w:styleId="106">
    <w:name w:val="Normal_4"/>
    <w:autoRedefine/>
    <w:qFormat/>
    <w:uiPriority w:val="0"/>
    <w:rPr>
      <w:rFonts w:ascii="黑体" w:hAnsi="黑体" w:eastAsia="黑体" w:cs="Times New Roman"/>
      <w:b/>
      <w:sz w:val="32"/>
      <w:szCs w:val="24"/>
      <w:lang w:val="en-US" w:eastAsia="zh-CN" w:bidi="ar-SA"/>
    </w:rPr>
  </w:style>
  <w:style w:type="paragraph" w:customStyle="1" w:styleId="107">
    <w:name w:val="Normal_11"/>
    <w:autoRedefine/>
    <w:qFormat/>
    <w:uiPriority w:val="0"/>
    <w:rPr>
      <w:rFonts w:ascii="黑体" w:hAnsi="黑体" w:eastAsia="黑体" w:cs="Times New Roman"/>
      <w:b/>
      <w:sz w:val="32"/>
      <w:szCs w:val="24"/>
      <w:lang w:val="en-US" w:eastAsia="zh-CN" w:bidi="ar-SA"/>
    </w:rPr>
  </w:style>
  <w:style w:type="paragraph" w:customStyle="1" w:styleId="108">
    <w:name w:val="正文文本_2"/>
    <w:basedOn w:val="109"/>
    <w:autoRedefine/>
    <w:qFormat/>
    <w:uiPriority w:val="0"/>
    <w:pPr>
      <w:spacing w:after="120"/>
    </w:pPr>
    <w:rPr>
      <w:kern w:val="0"/>
      <w:sz w:val="20"/>
    </w:rPr>
  </w:style>
  <w:style w:type="paragraph" w:customStyle="1" w:styleId="109">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Normal_12"/>
    <w:autoRedefine/>
    <w:qFormat/>
    <w:uiPriority w:val="0"/>
    <w:rPr>
      <w:rFonts w:ascii="黑体" w:hAnsi="黑体" w:eastAsia="黑体" w:cs="Times New Roman"/>
      <w:b/>
      <w:sz w:val="32"/>
      <w:szCs w:val="24"/>
      <w:lang w:val="en-US" w:eastAsia="zh-CN" w:bidi="ar-SA"/>
    </w:rPr>
  </w:style>
  <w:style w:type="paragraph" w:customStyle="1" w:styleId="111">
    <w:name w:val="正文文本缩进_2"/>
    <w:basedOn w:val="112"/>
    <w:autoRedefine/>
    <w:qFormat/>
    <w:uiPriority w:val="0"/>
    <w:pPr>
      <w:spacing w:line="500" w:lineRule="exact"/>
      <w:ind w:left="1588" w:leftChars="832" w:firstLine="433" w:firstLineChars="196"/>
    </w:pPr>
    <w:rPr>
      <w:kern w:val="0"/>
      <w:sz w:val="24"/>
    </w:rPr>
  </w:style>
  <w:style w:type="paragraph" w:customStyle="1" w:styleId="112">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5"/>
    <w:autoRedefine/>
    <w:qFormat/>
    <w:uiPriority w:val="0"/>
    <w:rPr>
      <w:rFonts w:ascii="黑体" w:hAnsi="黑体" w:eastAsia="黑体" w:cs="Times New Roman"/>
      <w:b/>
      <w:sz w:val="32"/>
      <w:szCs w:val="24"/>
      <w:lang w:val="en-US" w:eastAsia="zh-CN" w:bidi="ar-SA"/>
    </w:rPr>
  </w:style>
  <w:style w:type="paragraph" w:customStyle="1" w:styleId="114">
    <w:name w:val="Normal_13"/>
    <w:autoRedefine/>
    <w:qFormat/>
    <w:uiPriority w:val="0"/>
    <w:rPr>
      <w:rFonts w:ascii="黑体" w:hAnsi="黑体" w:eastAsia="黑体" w:cs="Times New Roman"/>
      <w:b/>
      <w:sz w:val="32"/>
      <w:szCs w:val="24"/>
      <w:lang w:val="en-US" w:eastAsia="zh-CN" w:bidi="ar-SA"/>
    </w:rPr>
  </w:style>
  <w:style w:type="paragraph" w:customStyle="1" w:styleId="115">
    <w:name w:val="Normal_17"/>
    <w:autoRedefine/>
    <w:qFormat/>
    <w:uiPriority w:val="0"/>
    <w:rPr>
      <w:rFonts w:ascii="黑体" w:hAnsi="黑体" w:eastAsia="黑体" w:cs="Times New Roman"/>
      <w:b/>
      <w:sz w:val="32"/>
      <w:szCs w:val="24"/>
      <w:lang w:val="en-US" w:eastAsia="zh-CN" w:bidi="ar-SA"/>
    </w:rPr>
  </w:style>
  <w:style w:type="paragraph" w:customStyle="1" w:styleId="116">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文本缩进_4"/>
    <w:basedOn w:val="116"/>
    <w:autoRedefine/>
    <w:qFormat/>
    <w:uiPriority w:val="0"/>
    <w:pPr>
      <w:spacing w:line="500" w:lineRule="exact"/>
      <w:ind w:left="1588" w:leftChars="832" w:firstLine="433" w:firstLineChars="196"/>
    </w:pPr>
    <w:rPr>
      <w:kern w:val="0"/>
      <w:sz w:val="24"/>
    </w:rPr>
  </w:style>
  <w:style w:type="paragraph" w:customStyle="1" w:styleId="118">
    <w:name w:val="题注_0"/>
    <w:basedOn w:val="116"/>
    <w:next w:val="116"/>
    <w:autoRedefine/>
    <w:qFormat/>
    <w:uiPriority w:val="0"/>
    <w:pPr>
      <w:spacing w:before="152" w:after="160"/>
    </w:pPr>
    <w:rPr>
      <w:rFonts w:ascii="Arial" w:hAnsi="Arial" w:eastAsia="黑体" w:cs="Arial"/>
      <w:sz w:val="20"/>
      <w:szCs w:val="20"/>
    </w:rPr>
  </w:style>
  <w:style w:type="paragraph" w:customStyle="1" w:styleId="119">
    <w:name w:val="Normal_18"/>
    <w:autoRedefine/>
    <w:qFormat/>
    <w:uiPriority w:val="0"/>
    <w:rPr>
      <w:rFonts w:ascii="黑体" w:hAnsi="黑体" w:eastAsia="黑体" w:cs="Times New Roman"/>
      <w:b/>
      <w:sz w:val="32"/>
      <w:szCs w:val="24"/>
      <w:lang w:val="en-US" w:eastAsia="zh-CN" w:bidi="ar-SA"/>
    </w:rPr>
  </w:style>
  <w:style w:type="paragraph" w:customStyle="1" w:styleId="120">
    <w:name w:val="Normal_19"/>
    <w:autoRedefine/>
    <w:qFormat/>
    <w:uiPriority w:val="0"/>
    <w:rPr>
      <w:rFonts w:ascii="黑体" w:hAnsi="黑体" w:eastAsia="黑体" w:cs="Times New Roman"/>
      <w:b/>
      <w:sz w:val="32"/>
      <w:szCs w:val="24"/>
      <w:lang w:val="en-US" w:eastAsia="zh-CN" w:bidi="ar-SA"/>
    </w:rPr>
  </w:style>
  <w:style w:type="paragraph" w:customStyle="1" w:styleId="121">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缩进_5"/>
    <w:basedOn w:val="121"/>
    <w:autoRedefine/>
    <w:qFormat/>
    <w:uiPriority w:val="0"/>
    <w:pPr>
      <w:spacing w:line="500" w:lineRule="exact"/>
      <w:ind w:left="1588" w:leftChars="832" w:firstLine="433" w:firstLineChars="196"/>
    </w:pPr>
    <w:rPr>
      <w:kern w:val="0"/>
      <w:sz w:val="24"/>
    </w:rPr>
  </w:style>
  <w:style w:type="paragraph" w:customStyle="1" w:styleId="123">
    <w:name w:val="题注_0_0"/>
    <w:basedOn w:val="121"/>
    <w:next w:val="121"/>
    <w:autoRedefine/>
    <w:qFormat/>
    <w:uiPriority w:val="0"/>
    <w:pPr>
      <w:spacing w:before="152" w:after="160"/>
    </w:pPr>
    <w:rPr>
      <w:rFonts w:ascii="Arial" w:hAnsi="Arial" w:eastAsia="黑体" w:cs="Arial"/>
      <w:sz w:val="20"/>
      <w:szCs w:val="20"/>
    </w:rPr>
  </w:style>
  <w:style w:type="paragraph" w:customStyle="1" w:styleId="124">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125">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6">
    <w:name w:val="Table Paragraph"/>
    <w:basedOn w:val="1"/>
    <w:autoRedefine/>
    <w:qFormat/>
    <w:uiPriority w:val="1"/>
    <w:rPr>
      <w:rFonts w:ascii="仿宋" w:hAnsi="仿宋" w:eastAsia="仿宋" w:cs="仿宋"/>
      <w:lang w:val="zh-CN" w:eastAsia="zh-CN" w:bidi="zh-CN"/>
    </w:rPr>
  </w:style>
  <w:style w:type="paragraph" w:customStyle="1" w:styleId="127">
    <w:name w:val="采购二级"/>
    <w:basedOn w:val="1"/>
    <w:autoRedefine/>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128">
    <w:name w:val="普通正文"/>
    <w:basedOn w:val="1"/>
    <w:autoRedefine/>
    <w:qFormat/>
    <w:uiPriority w:val="0"/>
    <w:pPr>
      <w:spacing w:before="120" w:after="120" w:line="360" w:lineRule="auto"/>
      <w:ind w:firstLine="480"/>
    </w:pPr>
    <w:rPr>
      <w:sz w:val="24"/>
      <w:szCs w:val="24"/>
    </w:rPr>
  </w:style>
  <w:style w:type="table" w:customStyle="1" w:styleId="129">
    <w:name w:val="Table Normal"/>
    <w:autoRedefine/>
    <w:semiHidden/>
    <w:unhideWhenUsed/>
    <w:qFormat/>
    <w:uiPriority w:val="0"/>
    <w:tblPr>
      <w:tblCellMar>
        <w:top w:w="0" w:type="dxa"/>
        <w:left w:w="0" w:type="dxa"/>
        <w:bottom w:w="0" w:type="dxa"/>
        <w:right w:w="0" w:type="dxa"/>
      </w:tblCellMar>
    </w:tblPr>
  </w:style>
  <w:style w:type="character" w:customStyle="1" w:styleId="130">
    <w:name w:val="font31"/>
    <w:basedOn w:val="37"/>
    <w:autoRedefine/>
    <w:qFormat/>
    <w:uiPriority w:val="0"/>
    <w:rPr>
      <w:rFonts w:hint="eastAsia" w:ascii="宋体" w:hAnsi="宋体" w:eastAsia="宋体" w:cs="宋体"/>
      <w:color w:val="000000"/>
      <w:sz w:val="24"/>
      <w:szCs w:val="24"/>
      <w:u w:val="none"/>
    </w:rPr>
  </w:style>
  <w:style w:type="character" w:customStyle="1" w:styleId="131">
    <w:name w:val="font21"/>
    <w:basedOn w:val="37"/>
    <w:autoRedefine/>
    <w:qFormat/>
    <w:uiPriority w:val="0"/>
    <w:rPr>
      <w:rFonts w:hint="eastAsia" w:ascii="仿宋" w:hAnsi="仿宋" w:eastAsia="仿宋" w:cs="仿宋"/>
      <w:color w:val="000000"/>
      <w:sz w:val="22"/>
      <w:szCs w:val="22"/>
      <w:u w:val="none"/>
    </w:rPr>
  </w:style>
  <w:style w:type="character" w:customStyle="1" w:styleId="132">
    <w:name w:val="font51"/>
    <w:basedOn w:val="37"/>
    <w:qFormat/>
    <w:uiPriority w:val="0"/>
    <w:rPr>
      <w:rFonts w:ascii="汉仪细圆B5" w:hAnsi="汉仪细圆B5" w:eastAsia="汉仪细圆B5" w:cs="汉仪细圆B5"/>
      <w:color w:val="000000"/>
      <w:sz w:val="20"/>
      <w:szCs w:val="20"/>
      <w:u w:val="none"/>
    </w:rPr>
  </w:style>
  <w:style w:type="character" w:customStyle="1" w:styleId="133">
    <w:name w:val="font11"/>
    <w:basedOn w:val="37"/>
    <w:qFormat/>
    <w:uiPriority w:val="0"/>
    <w:rPr>
      <w:rFonts w:hint="eastAsia" w:ascii="宋体" w:hAnsi="宋体" w:eastAsia="宋体" w:cs="宋体"/>
      <w:color w:val="000000"/>
      <w:sz w:val="20"/>
      <w:szCs w:val="20"/>
      <w:u w:val="none"/>
    </w:rPr>
  </w:style>
  <w:style w:type="paragraph" w:customStyle="1" w:styleId="134">
    <w:name w:val="Table Text"/>
    <w:basedOn w:val="1"/>
    <w:unhideWhenUsed/>
    <w:qFormat/>
    <w:uiPriority w:val="0"/>
    <w:rPr>
      <w:rFonts w:hint="eastAsia" w:ascii="仿宋" w:hAnsi="仿宋" w:eastAsia="仿宋" w:cs="仿宋"/>
      <w:sz w:val="23"/>
      <w:szCs w:val="23"/>
    </w:rPr>
  </w:style>
  <w:style w:type="paragraph" w:customStyle="1" w:styleId="135">
    <w:name w:val="表格1111"/>
    <w:basedOn w:val="1"/>
    <w:qFormat/>
    <w:uiPriority w:val="0"/>
    <w:pPr>
      <w:spacing w:line="240" w:lineRule="auto"/>
      <w:ind w:firstLine="0" w:firstLineChars="0"/>
    </w:pPr>
    <w:rPr>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2785</Words>
  <Characters>3372</Characters>
  <Lines>178</Lines>
  <Paragraphs>50</Paragraphs>
  <TotalTime>38</TotalTime>
  <ScaleCrop>false</ScaleCrop>
  <LinksUpToDate>false</LinksUpToDate>
  <CharactersWithSpaces>3734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欣</cp:lastModifiedBy>
  <cp:lastPrinted>2025-08-11T04:52:00Z</cp:lastPrinted>
  <dcterms:modified xsi:type="dcterms:W3CDTF">2026-04-24T09:32:44Z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D2870DC2D23C42E9829F61D5671F469C_13</vt:lpwstr>
  </property>
  <property fmtid="{D5CDD505-2E9C-101B-9397-08002B2CF9AE}" pid="4" name="KSOTemplateDocerSaveRecord">
    <vt:lpwstr>eyJoZGlkIjoiMTU2ZjBiNGMxMjk4NGU1MzQ5NmRiYzZlZjg3MjEzMDIiLCJ1c2VySWQiOiIyOTkwOTQxNjMifQ==</vt:lpwstr>
  </property>
</Properties>
</file>