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3"/>
        <w:tblW w:w="84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40"/>
      </w:tblGrid>
      <w:tr w14:paraId="1165E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9" w:hRule="atLeast"/>
          <w:jc w:val="center"/>
        </w:trPr>
        <w:tc>
          <w:tcPr>
            <w:tcW w:w="8440" w:type="dxa"/>
          </w:tcPr>
          <w:p w14:paraId="21F072D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48"/>
                <w:szCs w:val="48"/>
                <w:highlight w:val="none"/>
                <w:vertAlign w:val="baseline"/>
              </w:rPr>
            </w:pPr>
            <w:bookmarkStart w:id="0" w:name="_Hlt74728647"/>
            <w:bookmarkEnd w:id="0"/>
            <w:bookmarkStart w:id="1" w:name="_Hlt74649545"/>
            <w:bookmarkEnd w:id="1"/>
            <w:bookmarkStart w:id="2" w:name="_Hlt74729822"/>
            <w:bookmarkEnd w:id="2"/>
            <w:bookmarkStart w:id="3" w:name="_Hlt74707423"/>
            <w:bookmarkEnd w:id="3"/>
            <w:bookmarkStart w:id="4" w:name="第二部分"/>
            <w:bookmarkStart w:id="5" w:name="_Toc91899870"/>
            <w:bookmarkStart w:id="6" w:name="_Toc91899871"/>
          </w:p>
        </w:tc>
      </w:tr>
      <w:tr w14:paraId="6C4E3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9" w:hRule="atLeast"/>
          <w:jc w:val="center"/>
        </w:trPr>
        <w:tc>
          <w:tcPr>
            <w:tcW w:w="8440" w:type="dxa"/>
          </w:tcPr>
          <w:p w14:paraId="113ADF2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48"/>
                <w:szCs w:val="48"/>
                <w:highlight w:val="none"/>
                <w:vertAlign w:val="baseline"/>
              </w:rPr>
            </w:pPr>
            <w:r>
              <w:rPr>
                <w:rFonts w:hint="eastAsia" w:ascii="宋体" w:hAnsi="宋体" w:cs="宋体"/>
                <w:color w:val="auto"/>
                <w:sz w:val="48"/>
                <w:szCs w:val="48"/>
                <w:highlight w:val="none"/>
                <w:lang w:eastAsia="zh-CN"/>
              </w:rPr>
              <w:t>南湖小镇三期安置农居点市政基础配套建设工程(一期）桩基检测及基坑监测</w:t>
            </w:r>
          </w:p>
        </w:tc>
      </w:tr>
      <w:tr w14:paraId="73175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9" w:hRule="atLeast"/>
          <w:jc w:val="center"/>
        </w:trPr>
        <w:tc>
          <w:tcPr>
            <w:tcW w:w="8440" w:type="dxa"/>
          </w:tcPr>
          <w:p w14:paraId="31518FC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招标文件</w:t>
            </w:r>
          </w:p>
          <w:p w14:paraId="27ED08B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b/>
                <w:color w:val="auto"/>
                <w:sz w:val="44"/>
                <w:szCs w:val="44"/>
                <w:highlight w:val="none"/>
              </w:rPr>
              <w:t>（电子招投标）</w:t>
            </w:r>
          </w:p>
        </w:tc>
      </w:tr>
      <w:tr w14:paraId="4A40E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9" w:hRule="atLeast"/>
          <w:jc w:val="center"/>
        </w:trPr>
        <w:tc>
          <w:tcPr>
            <w:tcW w:w="8440" w:type="dxa"/>
          </w:tcPr>
          <w:p w14:paraId="4AAE71E5">
            <w:pPr>
              <w:pStyle w:val="3"/>
              <w:jc w:val="center"/>
              <w:rPr>
                <w:rFonts w:hint="default" w:ascii="宋体" w:hAnsi="宋体" w:eastAsia="宋体" w:cs="宋体"/>
                <w:color w:val="auto"/>
                <w:highlight w:val="none"/>
                <w:lang w:val="en-US" w:eastAsia="zh-CN"/>
              </w:rPr>
            </w:pPr>
            <w:r>
              <w:rPr>
                <w:rFonts w:hint="eastAsia" w:ascii="宋体" w:hAnsi="宋体" w:eastAsia="宋体" w:cs="宋体"/>
                <w:color w:val="auto"/>
                <w:sz w:val="30"/>
                <w:szCs w:val="30"/>
                <w:highlight w:val="none"/>
              </w:rPr>
              <w:t>编号</w:t>
            </w:r>
            <w:r>
              <w:rPr>
                <w:rFonts w:hint="eastAsia" w:ascii="宋体" w:hAnsi="宋体" w:eastAsia="宋体" w:cs="宋体"/>
                <w:color w:val="auto"/>
                <w:sz w:val="30"/>
                <w:szCs w:val="30"/>
                <w:highlight w:val="none"/>
                <w:lang w:eastAsia="zh-CN"/>
              </w:rPr>
              <w:t>：330110265110110000021-ZJJYYH-2026-GK00005</w:t>
            </w:r>
          </w:p>
        </w:tc>
      </w:tr>
      <w:tr w14:paraId="7BAC2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9" w:hRule="atLeast"/>
          <w:jc w:val="center"/>
        </w:trPr>
        <w:tc>
          <w:tcPr>
            <w:tcW w:w="8440" w:type="dxa"/>
          </w:tcPr>
          <w:p w14:paraId="6670A446">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48"/>
                <w:szCs w:val="48"/>
                <w:highlight w:val="none"/>
                <w:vertAlign w:val="baseline"/>
              </w:rPr>
            </w:pPr>
          </w:p>
        </w:tc>
      </w:tr>
      <w:tr w14:paraId="6CC7B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9" w:hRule="atLeast"/>
          <w:jc w:val="center"/>
        </w:trPr>
        <w:tc>
          <w:tcPr>
            <w:tcW w:w="8440" w:type="dxa"/>
          </w:tcPr>
          <w:p w14:paraId="43DFBD9F">
            <w:pPr>
              <w:snapToGrid w:val="0"/>
              <w:spacing w:line="360" w:lineRule="auto"/>
              <w:jc w:val="center"/>
              <w:rPr>
                <w:rFonts w:hint="eastAsia" w:ascii="宋体" w:hAnsi="宋体" w:eastAsia="宋体" w:cs="宋体"/>
                <w:color w:val="auto"/>
                <w:sz w:val="48"/>
                <w:szCs w:val="48"/>
                <w:highlight w:val="none"/>
                <w:vertAlign w:val="baseline"/>
              </w:rPr>
            </w:pPr>
            <w:r>
              <w:rPr>
                <w:rFonts w:hint="eastAsia" w:ascii="宋体" w:hAnsi="宋体" w:cs="宋体"/>
                <w:color w:val="auto"/>
                <w:sz w:val="32"/>
                <w:szCs w:val="32"/>
                <w:highlight w:val="none"/>
                <w:lang w:eastAsia="zh-CN"/>
              </w:rPr>
              <w:t>杭州市余杭区人民政府中泰街道办事处</w:t>
            </w:r>
          </w:p>
        </w:tc>
      </w:tr>
      <w:tr w14:paraId="71809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6" w:hRule="atLeast"/>
          <w:jc w:val="center"/>
        </w:trPr>
        <w:tc>
          <w:tcPr>
            <w:tcW w:w="8440" w:type="dxa"/>
          </w:tcPr>
          <w:p w14:paraId="51D8A929">
            <w:pPr>
              <w:snapToGrid w:val="0"/>
              <w:spacing w:line="360" w:lineRule="auto"/>
              <w:jc w:val="center"/>
              <w:rPr>
                <w:rFonts w:hint="eastAsia" w:ascii="宋体" w:hAnsi="宋体" w:eastAsia="宋体" w:cs="宋体"/>
                <w:bCs/>
                <w:color w:val="auto"/>
                <w:sz w:val="32"/>
                <w:szCs w:val="32"/>
                <w:highlight w:val="none"/>
              </w:rPr>
            </w:pPr>
            <w:r>
              <w:rPr>
                <w:rFonts w:hint="eastAsia" w:ascii="宋体" w:hAnsi="宋体" w:cs="宋体"/>
                <w:bCs/>
                <w:color w:val="auto"/>
                <w:sz w:val="32"/>
                <w:szCs w:val="32"/>
                <w:highlight w:val="none"/>
                <w:lang w:eastAsia="zh-CN"/>
              </w:rPr>
              <w:t>浙江建友工程咨询有限公司</w:t>
            </w:r>
          </w:p>
          <w:p w14:paraId="4121ABB2">
            <w:pPr>
              <w:snapToGrid w:val="0"/>
              <w:spacing w:line="360" w:lineRule="auto"/>
              <w:jc w:val="center"/>
              <w:rPr>
                <w:rFonts w:hint="eastAsia" w:ascii="宋体" w:hAnsi="宋体" w:eastAsia="宋体" w:cs="宋体"/>
                <w:color w:val="auto"/>
                <w:sz w:val="48"/>
                <w:szCs w:val="48"/>
                <w:highlight w:val="none"/>
                <w:vertAlign w:val="baseline"/>
              </w:rPr>
            </w:pPr>
            <w:r>
              <w:rPr>
                <w:rFonts w:hint="eastAsia" w:ascii="宋体" w:hAnsi="宋体" w:eastAsia="宋体" w:cs="宋体"/>
                <w:bCs/>
                <w:color w:val="auto"/>
                <w:sz w:val="32"/>
                <w:szCs w:val="32"/>
                <w:highlight w:val="none"/>
                <w:lang w:val="en-US" w:eastAsia="zh-CN"/>
              </w:rPr>
              <w:t xml:space="preserve">  202</w:t>
            </w:r>
            <w:r>
              <w:rPr>
                <w:rFonts w:hint="eastAsia" w:ascii="宋体" w:hAnsi="宋体" w:cs="宋体"/>
                <w:bCs/>
                <w:color w:val="auto"/>
                <w:sz w:val="32"/>
                <w:szCs w:val="32"/>
                <w:highlight w:val="none"/>
                <w:lang w:val="en-US" w:eastAsia="zh-CN"/>
              </w:rPr>
              <w:t>6</w:t>
            </w:r>
            <w:r>
              <w:rPr>
                <w:rFonts w:hint="eastAsia" w:ascii="宋体" w:hAnsi="宋体" w:eastAsia="宋体" w:cs="宋体"/>
                <w:bCs/>
                <w:color w:val="auto"/>
                <w:sz w:val="32"/>
                <w:szCs w:val="32"/>
                <w:highlight w:val="none"/>
              </w:rPr>
              <w:t>年</w:t>
            </w:r>
            <w:r>
              <w:rPr>
                <w:rFonts w:hint="eastAsia" w:ascii="宋体" w:hAnsi="宋体" w:cs="宋体"/>
                <w:bCs/>
                <w:color w:val="auto"/>
                <w:sz w:val="32"/>
                <w:szCs w:val="32"/>
                <w:highlight w:val="none"/>
                <w:lang w:val="en-US" w:eastAsia="zh-CN"/>
              </w:rPr>
              <w:t>4</w:t>
            </w:r>
            <w:r>
              <w:rPr>
                <w:rFonts w:hint="eastAsia" w:ascii="宋体" w:hAnsi="宋体" w:eastAsia="宋体" w:cs="宋体"/>
                <w:bCs/>
                <w:color w:val="auto"/>
                <w:sz w:val="32"/>
                <w:szCs w:val="32"/>
                <w:highlight w:val="none"/>
              </w:rPr>
              <w:t>月</w:t>
            </w:r>
          </w:p>
        </w:tc>
      </w:tr>
    </w:tbl>
    <w:p w14:paraId="5EA63E5C">
      <w:pPr>
        <w:rPr>
          <w:rFonts w:hint="eastAsia" w:ascii="宋体" w:hAnsi="宋体" w:eastAsia="宋体" w:cs="宋体"/>
          <w:color w:val="auto"/>
          <w:highlight w:val="none"/>
        </w:rPr>
      </w:pP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br w:type="page"/>
      </w:r>
    </w:p>
    <w:p w14:paraId="00E0A590">
      <w:pPr>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73D6C983">
      <w:pPr>
        <w:spacing w:line="360" w:lineRule="auto"/>
        <w:rPr>
          <w:rFonts w:hint="eastAsia" w:ascii="宋体" w:hAnsi="宋体" w:eastAsia="宋体" w:cs="宋体"/>
          <w:color w:val="auto"/>
          <w:sz w:val="32"/>
          <w:szCs w:val="32"/>
          <w:highlight w:val="none"/>
        </w:rPr>
      </w:pPr>
    </w:p>
    <w:p w14:paraId="04CF12E5">
      <w:pPr>
        <w:spacing w:line="360" w:lineRule="auto"/>
        <w:rPr>
          <w:rFonts w:hint="eastAsia" w:ascii="宋体" w:hAnsi="宋体" w:eastAsia="宋体" w:cs="宋体"/>
          <w:color w:val="auto"/>
          <w:sz w:val="32"/>
          <w:szCs w:val="32"/>
          <w:highlight w:val="none"/>
        </w:rPr>
      </w:pPr>
    </w:p>
    <w:p w14:paraId="199C949A">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第一部分      招标公告</w:t>
      </w:r>
    </w:p>
    <w:p w14:paraId="43E19C7F">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第二部分      投标人须知</w:t>
      </w:r>
    </w:p>
    <w:p w14:paraId="63659DF8">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第三部分      采购需求</w:t>
      </w:r>
    </w:p>
    <w:p w14:paraId="063CC0DB">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第四部分      评标办法</w:t>
      </w:r>
    </w:p>
    <w:p w14:paraId="0F3F24E2">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第五部分      拟签订的合同文本</w:t>
      </w:r>
    </w:p>
    <w:p w14:paraId="124A2B8C">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第六部分      应提交的有关格式范例</w:t>
      </w:r>
    </w:p>
    <w:p w14:paraId="107EB3A1">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161FF7F">
      <w:pPr>
        <w:adjustRightInd/>
        <w:spacing w:line="360" w:lineRule="auto"/>
        <w:jc w:val="center"/>
        <w:outlineLvl w:val="0"/>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第一部分 招标公告</w:t>
      </w:r>
    </w:p>
    <w:p w14:paraId="2FB4C810">
      <w:pPr>
        <w:pBdr>
          <w:top w:val="single" w:color="auto" w:sz="4" w:space="1"/>
          <w:left w:val="single" w:color="auto" w:sz="4" w:space="4"/>
          <w:bottom w:val="single" w:color="auto" w:sz="4" w:space="2"/>
          <w:right w:val="single" w:color="auto" w:sz="4" w:space="4"/>
        </w:pBd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7CE45A65">
      <w:pPr>
        <w:pBdr>
          <w:top w:val="single" w:color="auto" w:sz="4" w:space="1"/>
          <w:left w:val="single" w:color="auto" w:sz="4" w:space="4"/>
          <w:bottom w:val="single" w:color="auto" w:sz="4" w:space="2"/>
          <w:right w:val="single" w:color="auto" w:sz="4" w:space="4"/>
        </w:pBdr>
        <w:spacing w:line="360" w:lineRule="auto"/>
        <w:ind w:firstLine="480" w:firstLineChars="200"/>
        <w:rPr>
          <w:rFonts w:hint="eastAsia" w:ascii="宋体" w:hAnsi="宋体" w:eastAsia="宋体" w:cs="宋体"/>
          <w:color w:val="auto"/>
          <w:sz w:val="24"/>
          <w:highlight w:val="none"/>
          <w:u w:val="single"/>
        </w:rPr>
      </w:pPr>
      <w:r>
        <w:rPr>
          <w:rFonts w:hint="eastAsia" w:ascii="宋体" w:hAnsi="宋体" w:cs="宋体"/>
          <w:color w:val="auto"/>
          <w:sz w:val="24"/>
          <w:highlight w:val="none"/>
          <w:u w:val="single"/>
          <w:lang w:eastAsia="zh-CN"/>
        </w:rPr>
        <w:t>南湖小镇三期安置农居点市政基础配套建设工程(一期）桩基检测及基坑监测</w:t>
      </w:r>
      <w:r>
        <w:rPr>
          <w:rFonts w:hint="eastAsia" w:ascii="宋体" w:hAnsi="宋体" w:eastAsia="宋体" w:cs="宋体"/>
          <w:color w:val="auto"/>
          <w:sz w:val="24"/>
          <w:highlight w:val="none"/>
        </w:rPr>
        <w:t>招标项目的潜在投标人应在政采云平台（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"https://www.zcygov.cn/）获取（下载）招标文件，并于202%20年%20月%20日%20点%20分00秒" </w:instrText>
      </w:r>
      <w:r>
        <w:rPr>
          <w:rFonts w:hint="eastAsia" w:ascii="宋体" w:hAnsi="宋体" w:eastAsia="宋体" w:cs="宋体"/>
          <w:color w:val="auto"/>
          <w:highlight w:val="none"/>
        </w:rPr>
        <w:fldChar w:fldCharType="separate"/>
      </w:r>
      <w:r>
        <w:rPr>
          <w:rStyle w:val="76"/>
          <w:rFonts w:hint="eastAsia" w:ascii="宋体" w:hAnsi="宋体" w:eastAsia="宋体" w:cs="宋体"/>
          <w:snapToGrid/>
          <w:color w:val="auto"/>
          <w:kern w:val="2"/>
          <w:sz w:val="24"/>
          <w:szCs w:val="24"/>
          <w:highlight w:val="none"/>
        </w:rPr>
        <w:t>https://www.zcygov.cn/）获取（下载）招标文件，并于</w:t>
      </w:r>
      <w:r>
        <w:rPr>
          <w:rStyle w:val="76"/>
          <w:rFonts w:hint="eastAsia" w:ascii="宋体" w:hAnsi="宋体" w:eastAsia="宋体" w:cs="宋体"/>
          <w:snapToGrid/>
          <w:color w:val="auto"/>
          <w:kern w:val="2"/>
          <w:sz w:val="24"/>
          <w:szCs w:val="24"/>
          <w:highlight w:val="none"/>
          <w:lang w:val="en-US" w:eastAsia="zh-CN"/>
        </w:rPr>
        <w:t>202</w:t>
      </w:r>
      <w:r>
        <w:rPr>
          <w:rStyle w:val="76"/>
          <w:rFonts w:hint="eastAsia" w:ascii="宋体" w:hAnsi="宋体" w:cs="宋体"/>
          <w:snapToGrid/>
          <w:color w:val="auto"/>
          <w:kern w:val="2"/>
          <w:sz w:val="24"/>
          <w:szCs w:val="24"/>
          <w:highlight w:val="none"/>
          <w:lang w:val="en-US" w:eastAsia="zh-CN"/>
        </w:rPr>
        <w:t>6</w:t>
      </w:r>
      <w:r>
        <w:rPr>
          <w:rStyle w:val="76"/>
          <w:rFonts w:hint="eastAsia" w:ascii="宋体" w:hAnsi="宋体" w:eastAsia="宋体" w:cs="宋体"/>
          <w:snapToGrid/>
          <w:color w:val="auto"/>
          <w:kern w:val="2"/>
          <w:sz w:val="24"/>
          <w:szCs w:val="24"/>
          <w:highlight w:val="none"/>
        </w:rPr>
        <w:t>年</w:t>
      </w:r>
      <w:r>
        <w:rPr>
          <w:rStyle w:val="76"/>
          <w:rFonts w:hint="eastAsia" w:ascii="宋体" w:hAnsi="宋体" w:cs="宋体"/>
          <w:snapToGrid/>
          <w:color w:val="auto"/>
          <w:kern w:val="2"/>
          <w:sz w:val="24"/>
          <w:szCs w:val="24"/>
          <w:highlight w:val="none"/>
          <w:lang w:val="en-US" w:eastAsia="zh-CN"/>
        </w:rPr>
        <w:t>4</w:t>
      </w:r>
      <w:r>
        <w:rPr>
          <w:rStyle w:val="76"/>
          <w:rFonts w:hint="eastAsia" w:ascii="宋体" w:hAnsi="宋体" w:eastAsia="宋体" w:cs="宋体"/>
          <w:snapToGrid/>
          <w:color w:val="auto"/>
          <w:kern w:val="2"/>
          <w:sz w:val="24"/>
          <w:szCs w:val="24"/>
          <w:highlight w:val="none"/>
        </w:rPr>
        <w:t>月</w:t>
      </w:r>
      <w:r>
        <w:rPr>
          <w:rStyle w:val="76"/>
          <w:rFonts w:hint="eastAsia" w:ascii="宋体" w:hAnsi="宋体" w:cs="宋体"/>
          <w:snapToGrid/>
          <w:color w:val="auto"/>
          <w:kern w:val="2"/>
          <w:sz w:val="24"/>
          <w:szCs w:val="24"/>
          <w:highlight w:val="none"/>
          <w:lang w:val="en-US" w:eastAsia="zh-CN"/>
        </w:rPr>
        <w:t>24</w:t>
      </w:r>
      <w:r>
        <w:rPr>
          <w:rStyle w:val="76"/>
          <w:rFonts w:hint="eastAsia" w:ascii="宋体" w:hAnsi="宋体" w:eastAsia="宋体" w:cs="宋体"/>
          <w:snapToGrid/>
          <w:color w:val="auto"/>
          <w:kern w:val="2"/>
          <w:sz w:val="24"/>
          <w:szCs w:val="24"/>
          <w:highlight w:val="none"/>
        </w:rPr>
        <w:t>日</w:t>
      </w:r>
      <w:r>
        <w:rPr>
          <w:rStyle w:val="76"/>
          <w:rFonts w:hint="eastAsia" w:ascii="宋体" w:hAnsi="宋体" w:cs="宋体"/>
          <w:snapToGrid/>
          <w:color w:val="auto"/>
          <w:kern w:val="2"/>
          <w:sz w:val="24"/>
          <w:szCs w:val="24"/>
          <w:highlight w:val="none"/>
          <w:lang w:val="en-US" w:eastAsia="zh-CN"/>
        </w:rPr>
        <w:t>14</w:t>
      </w:r>
      <w:r>
        <w:rPr>
          <w:rStyle w:val="76"/>
          <w:rFonts w:hint="eastAsia" w:ascii="宋体" w:hAnsi="宋体" w:eastAsia="宋体" w:cs="宋体"/>
          <w:snapToGrid/>
          <w:color w:val="auto"/>
          <w:kern w:val="2"/>
          <w:sz w:val="24"/>
          <w:szCs w:val="24"/>
          <w:highlight w:val="none"/>
        </w:rPr>
        <w:t>点</w:t>
      </w:r>
      <w:r>
        <w:rPr>
          <w:rStyle w:val="76"/>
          <w:rFonts w:hint="eastAsia" w:ascii="宋体" w:hAnsi="宋体" w:cs="宋体"/>
          <w:snapToGrid/>
          <w:color w:val="auto"/>
          <w:kern w:val="2"/>
          <w:sz w:val="24"/>
          <w:szCs w:val="24"/>
          <w:highlight w:val="none"/>
          <w:lang w:val="en-US" w:eastAsia="zh-CN"/>
        </w:rPr>
        <w:t>0</w:t>
      </w:r>
      <w:r>
        <w:rPr>
          <w:rStyle w:val="76"/>
          <w:rFonts w:hint="eastAsia" w:ascii="宋体" w:hAnsi="宋体" w:eastAsia="宋体" w:cs="宋体"/>
          <w:snapToGrid/>
          <w:color w:val="auto"/>
          <w:kern w:val="2"/>
          <w:sz w:val="24"/>
          <w:szCs w:val="24"/>
          <w:highlight w:val="none"/>
          <w:lang w:val="en-US" w:eastAsia="zh-CN"/>
        </w:rPr>
        <w:t>0</w:t>
      </w:r>
      <w:r>
        <w:rPr>
          <w:rStyle w:val="76"/>
          <w:rFonts w:hint="eastAsia" w:ascii="宋体" w:hAnsi="宋体" w:eastAsia="宋体" w:cs="宋体"/>
          <w:snapToGrid/>
          <w:color w:val="auto"/>
          <w:kern w:val="2"/>
          <w:sz w:val="24"/>
          <w:szCs w:val="24"/>
          <w:highlight w:val="none"/>
        </w:rPr>
        <w:t>分</w:t>
      </w:r>
      <w:r>
        <w:rPr>
          <w:rStyle w:val="76"/>
          <w:rFonts w:hint="eastAsia" w:ascii="宋体" w:hAnsi="宋体" w:eastAsia="宋体" w:cs="宋体"/>
          <w:bCs/>
          <w:snapToGrid/>
          <w:color w:val="auto"/>
          <w:kern w:val="2"/>
          <w:sz w:val="24"/>
          <w:szCs w:val="24"/>
          <w:highlight w:val="none"/>
        </w:rPr>
        <w:t>00秒</w:t>
      </w:r>
      <w:r>
        <w:rPr>
          <w:rStyle w:val="76"/>
          <w:rFonts w:hint="eastAsia" w:ascii="宋体" w:hAnsi="宋体" w:eastAsia="宋体" w:cs="宋体"/>
          <w:bCs/>
          <w:snapToGrid/>
          <w:color w:val="auto"/>
          <w:kern w:val="2"/>
          <w:sz w:val="24"/>
          <w:szCs w:val="24"/>
          <w:highlight w:val="none"/>
        </w:rPr>
        <w:fldChar w:fldCharType="end"/>
      </w:r>
      <w:r>
        <w:rPr>
          <w:rFonts w:hint="eastAsia" w:ascii="宋体" w:hAnsi="宋体" w:eastAsia="宋体" w:cs="宋体"/>
          <w:bCs/>
          <w:color w:val="auto"/>
          <w:sz w:val="24"/>
          <w:highlight w:val="none"/>
        </w:rPr>
        <w:t>（北京时间）前</w:t>
      </w:r>
      <w:r>
        <w:rPr>
          <w:rFonts w:hint="eastAsia" w:ascii="宋体" w:hAnsi="宋体" w:eastAsia="宋体" w:cs="宋体"/>
          <w:color w:val="auto"/>
          <w:sz w:val="24"/>
          <w:highlight w:val="none"/>
        </w:rPr>
        <w:t>递交（上传）投标文件。</w:t>
      </w:r>
    </w:p>
    <w:p w14:paraId="46E48731">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一、项目基本情况                                            </w:t>
      </w:r>
    </w:p>
    <w:p w14:paraId="5588E3A7">
      <w:pPr>
        <w:spacing w:line="360" w:lineRule="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 xml:space="preserve">    </w:t>
      </w:r>
      <w:r>
        <w:rPr>
          <w:rFonts w:hint="eastAsia" w:ascii="宋体" w:hAnsi="宋体" w:eastAsia="宋体" w:cs="宋体"/>
          <w:b/>
          <w:color w:val="auto"/>
          <w:sz w:val="24"/>
          <w:highlight w:val="none"/>
        </w:rPr>
        <w:t>项目编号：</w:t>
      </w:r>
      <w:r>
        <w:rPr>
          <w:rFonts w:hint="eastAsia" w:ascii="宋体" w:hAnsi="宋体" w:cs="宋体"/>
          <w:b w:val="0"/>
          <w:bCs/>
          <w:color w:val="auto"/>
          <w:sz w:val="24"/>
          <w:highlight w:val="none"/>
          <w:lang w:eastAsia="zh-CN"/>
        </w:rPr>
        <w:t>330110265110110000021-ZJJYYH-2026-GK00005</w:t>
      </w:r>
    </w:p>
    <w:p w14:paraId="39F25A3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b/>
          <w:color w:val="auto"/>
          <w:sz w:val="24"/>
          <w:highlight w:val="none"/>
        </w:rPr>
        <w:t xml:space="preserve"> 项目名称：</w:t>
      </w:r>
      <w:r>
        <w:rPr>
          <w:rFonts w:hint="eastAsia" w:ascii="宋体" w:hAnsi="宋体" w:cs="宋体"/>
          <w:b w:val="0"/>
          <w:bCs/>
          <w:color w:val="auto"/>
          <w:sz w:val="24"/>
          <w:highlight w:val="none"/>
          <w:lang w:eastAsia="zh-CN"/>
        </w:rPr>
        <w:t>南湖小镇三期安置农居点市政基础配套建设工程(一期）桩基检测及基坑监测</w:t>
      </w:r>
    </w:p>
    <w:p w14:paraId="3581F085">
      <w:pPr>
        <w:spacing w:line="360" w:lineRule="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 xml:space="preserve">   </w:t>
      </w:r>
      <w:r>
        <w:rPr>
          <w:rFonts w:hint="eastAsia" w:ascii="宋体" w:hAnsi="宋体" w:eastAsia="宋体" w:cs="宋体"/>
          <w:b/>
          <w:color w:val="auto"/>
          <w:sz w:val="24"/>
          <w:highlight w:val="none"/>
        </w:rPr>
        <w:t xml:space="preserve"> 预算金额（元）：</w:t>
      </w:r>
      <w:r>
        <w:rPr>
          <w:rFonts w:hint="eastAsia" w:ascii="宋体" w:hAnsi="宋体" w:cs="宋体"/>
          <w:b w:val="0"/>
          <w:bCs/>
          <w:color w:val="auto"/>
          <w:sz w:val="24"/>
          <w:highlight w:val="none"/>
          <w:lang w:val="en-US" w:eastAsia="zh-CN"/>
        </w:rPr>
        <w:t>937385</w:t>
      </w:r>
    </w:p>
    <w:p w14:paraId="2D420323">
      <w:pPr>
        <w:spacing w:line="360" w:lineRule="auto"/>
        <w:ind w:firstLine="480"/>
        <w:rPr>
          <w:rFonts w:hint="default" w:ascii="宋体" w:hAnsi="宋体" w:eastAsia="宋体" w:cs="宋体"/>
          <w:color w:val="auto"/>
          <w:sz w:val="24"/>
          <w:highlight w:val="none"/>
          <w:lang w:val="en-US"/>
        </w:rPr>
      </w:pPr>
      <w:r>
        <w:rPr>
          <w:rFonts w:hint="eastAsia" w:ascii="宋体" w:hAnsi="宋体" w:eastAsia="宋体" w:cs="宋体"/>
          <w:b/>
          <w:color w:val="auto"/>
          <w:sz w:val="24"/>
          <w:highlight w:val="none"/>
        </w:rPr>
        <w:t>最高限价（元）：</w:t>
      </w:r>
      <w:r>
        <w:rPr>
          <w:rFonts w:hint="eastAsia" w:ascii="宋体" w:hAnsi="宋体" w:cs="宋体"/>
          <w:b w:val="0"/>
          <w:bCs/>
          <w:color w:val="auto"/>
          <w:sz w:val="24"/>
          <w:highlight w:val="none"/>
          <w:lang w:val="en-US" w:eastAsia="zh-CN"/>
        </w:rPr>
        <w:t>937385</w:t>
      </w:r>
    </w:p>
    <w:p w14:paraId="4F67FA07">
      <w:pPr>
        <w:pStyle w:val="5"/>
        <w:spacing w:line="360" w:lineRule="auto"/>
        <w:ind w:firstLine="480"/>
        <w:rPr>
          <w:rFonts w:hint="eastAsia" w:ascii="宋体" w:hAnsi="宋体" w:eastAsia="宋体" w:cs="宋体"/>
          <w:bCs/>
          <w:snapToGrid/>
          <w:color w:val="auto"/>
          <w:kern w:val="2"/>
          <w:sz w:val="24"/>
          <w:szCs w:val="24"/>
          <w:highlight w:val="none"/>
        </w:rPr>
      </w:pPr>
      <w:r>
        <w:rPr>
          <w:rFonts w:hint="eastAsia" w:ascii="宋体" w:hAnsi="宋体" w:eastAsia="宋体" w:cs="宋体"/>
          <w:b/>
          <w:color w:val="auto"/>
          <w:sz w:val="24"/>
          <w:highlight w:val="none"/>
        </w:rPr>
        <w:t>采购需求：</w:t>
      </w:r>
      <w:r>
        <w:rPr>
          <w:rFonts w:hint="eastAsia" w:hAnsi="宋体" w:cs="宋体"/>
          <w:b w:val="0"/>
          <w:bCs/>
          <w:color w:val="auto"/>
          <w:sz w:val="24"/>
          <w:highlight w:val="none"/>
          <w:lang w:eastAsia="zh-CN"/>
        </w:rPr>
        <w:t>南湖小镇三期安置农居点市政基础配套建设工程(一期）桩基检测及基坑监测</w:t>
      </w:r>
      <w:r>
        <w:rPr>
          <w:rFonts w:hint="eastAsia" w:ascii="宋体" w:hAnsi="宋体" w:eastAsia="宋体" w:cs="宋体"/>
          <w:bCs/>
          <w:snapToGrid/>
          <w:color w:val="auto"/>
          <w:kern w:val="2"/>
          <w:sz w:val="24"/>
          <w:szCs w:val="24"/>
          <w:highlight w:val="none"/>
        </w:rPr>
        <w:t>主要内容：</w:t>
      </w:r>
      <w:r>
        <w:rPr>
          <w:rFonts w:hint="eastAsia" w:hAnsi="宋体" w:cs="宋体"/>
          <w:b w:val="0"/>
          <w:bCs/>
          <w:color w:val="auto"/>
          <w:sz w:val="24"/>
          <w:highlight w:val="none"/>
          <w:lang w:eastAsia="zh-CN"/>
        </w:rPr>
        <w:t>南湖小镇三期安置农居点市政基础配套建设工程(一期）</w:t>
      </w:r>
      <w:r>
        <w:rPr>
          <w:rFonts w:hint="eastAsia" w:ascii="宋体" w:hAnsi="宋体" w:eastAsia="宋体" w:cs="宋体"/>
          <w:bCs/>
          <w:snapToGrid/>
          <w:color w:val="auto"/>
          <w:kern w:val="2"/>
          <w:sz w:val="24"/>
          <w:szCs w:val="24"/>
          <w:highlight w:val="none"/>
          <w:lang w:eastAsia="zh-CN"/>
        </w:rPr>
        <w:t>桩基检测、基坑监测服务</w:t>
      </w:r>
      <w:r>
        <w:rPr>
          <w:rFonts w:hint="eastAsia" w:ascii="宋体" w:hAnsi="宋体" w:eastAsia="宋体" w:cs="宋体"/>
          <w:bCs/>
          <w:snapToGrid/>
          <w:color w:val="auto"/>
          <w:kern w:val="2"/>
          <w:sz w:val="24"/>
          <w:szCs w:val="24"/>
          <w:highlight w:val="none"/>
        </w:rPr>
        <w:t>。</w:t>
      </w:r>
      <w:r>
        <w:rPr>
          <w:rFonts w:hint="eastAsia" w:ascii="宋体" w:hAnsi="宋体" w:eastAsia="宋体" w:cs="宋体"/>
          <w:snapToGrid/>
          <w:color w:val="auto"/>
          <w:kern w:val="2"/>
          <w:sz w:val="24"/>
          <w:szCs w:val="24"/>
          <w:highlight w:val="none"/>
        </w:rPr>
        <w:t>具体以招标文件第三部分采购需求为准，供应商可点击本公告下方“浏览采购文件”查看采购需求。</w:t>
      </w:r>
    </w:p>
    <w:p w14:paraId="04490045">
      <w:pPr>
        <w:pStyle w:val="128"/>
        <w:ind w:firstLine="482"/>
        <w:outlineLvl w:val="2"/>
        <w:rPr>
          <w:rFonts w:hint="eastAsia" w:ascii="宋体" w:hAnsi="宋体" w:eastAsia="宋体" w:cs="宋体"/>
          <w:color w:val="auto"/>
          <w:highlight w:val="none"/>
          <w:lang w:eastAsia="zh-CN"/>
        </w:rPr>
      </w:pPr>
      <w:r>
        <w:rPr>
          <w:rFonts w:hint="eastAsia" w:ascii="宋体" w:hAnsi="宋体" w:eastAsia="宋体" w:cs="宋体"/>
          <w:b/>
          <w:color w:val="auto"/>
          <w:highlight w:val="none"/>
        </w:rPr>
        <w:t>合同履约期限：</w:t>
      </w:r>
      <w:r>
        <w:rPr>
          <w:rFonts w:hint="eastAsia" w:ascii="宋体" w:hAnsi="宋体" w:eastAsia="宋体" w:cs="宋体"/>
          <w:b w:val="0"/>
          <w:bCs/>
          <w:color w:val="auto"/>
          <w:highlight w:val="none"/>
          <w:lang w:eastAsia="zh-CN"/>
        </w:rPr>
        <w:t>详见招标文件</w:t>
      </w:r>
    </w:p>
    <w:p w14:paraId="2B222572">
      <w:pPr>
        <w:pStyle w:val="5"/>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本项目接受联合体投标：</w:t>
      </w:r>
      <w:r>
        <w:rPr>
          <w:rFonts w:hint="eastAsia" w:ascii="Wingdings" w:hAnsi="Wingdings" w:eastAsia="宋体" w:cs="宋体"/>
          <w:snapToGrid/>
          <w:color w:val="auto"/>
          <w:kern w:val="2"/>
          <w:sz w:val="24"/>
          <w:szCs w:val="24"/>
          <w:highlight w:val="none"/>
          <w:lang w:val="en-US" w:eastAsia="zh-CN" w:bidi="ar-SA"/>
        </w:rPr>
        <w:t>þ</w:t>
      </w:r>
      <w:r>
        <w:rPr>
          <w:rFonts w:hint="eastAsia" w:ascii="宋体" w:hAnsi="宋体" w:eastAsia="宋体" w:cs="宋体"/>
          <w:snapToGrid/>
          <w:color w:val="auto"/>
          <w:kern w:val="2"/>
          <w:sz w:val="24"/>
          <w:szCs w:val="24"/>
          <w:highlight w:val="none"/>
        </w:rPr>
        <w:t xml:space="preserve"> </w:t>
      </w:r>
      <w:r>
        <w:rPr>
          <w:rFonts w:hint="eastAsia" w:ascii="宋体" w:hAnsi="宋体" w:eastAsia="宋体" w:cs="宋体"/>
          <w:b w:val="0"/>
          <w:snapToGrid/>
          <w:color w:val="auto"/>
          <w:kern w:val="2"/>
          <w:sz w:val="24"/>
          <w:szCs w:val="24"/>
          <w:highlight w:val="none"/>
          <w:lang w:val="en-US" w:eastAsia="zh-CN"/>
        </w:rPr>
        <w:t>是；</w:t>
      </w:r>
      <w:r>
        <w:rPr>
          <w:rFonts w:hint="eastAsia" w:ascii="宋体" w:hAnsi="宋体" w:eastAsia="宋体" w:cs="宋体"/>
          <w:snapToGrid/>
          <w:color w:val="auto"/>
          <w:kern w:val="2"/>
          <w:sz w:val="24"/>
          <w:szCs w:val="24"/>
          <w:highlight w:val="none"/>
        </w:rPr>
        <w:t xml:space="preserve">☐ </w:t>
      </w:r>
      <w:r>
        <w:rPr>
          <w:rFonts w:hint="eastAsia" w:ascii="宋体" w:hAnsi="宋体" w:eastAsia="宋体" w:cs="宋体"/>
          <w:b w:val="0"/>
          <w:snapToGrid/>
          <w:color w:val="auto"/>
          <w:kern w:val="2"/>
          <w:sz w:val="24"/>
          <w:szCs w:val="24"/>
          <w:highlight w:val="none"/>
          <w:lang w:val="en-US" w:eastAsia="zh-CN"/>
        </w:rPr>
        <w:t>否</w:t>
      </w:r>
    </w:p>
    <w:p w14:paraId="22400656">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二、申请人的资格要求：</w:t>
      </w:r>
    </w:p>
    <w:p w14:paraId="7ECA933C">
      <w:pPr>
        <w:spacing w:line="360" w:lineRule="auto"/>
        <w:ind w:firstLine="480"/>
        <w:rPr>
          <w:rFonts w:hint="eastAsia" w:ascii="宋体" w:hAnsi="宋体" w:eastAsia="宋体" w:cs="宋体"/>
          <w:snapToGrid w:val="0"/>
          <w:color w:val="auto"/>
          <w:kern w:val="28"/>
          <w:sz w:val="24"/>
          <w:szCs w:val="20"/>
          <w:highlight w:val="none"/>
        </w:rPr>
      </w:pPr>
      <w:r>
        <w:rPr>
          <w:rFonts w:hint="eastAsia" w:ascii="宋体" w:hAnsi="宋体" w:eastAsia="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64E43C90">
      <w:pPr>
        <w:spacing w:line="360" w:lineRule="auto"/>
        <w:rPr>
          <w:rFonts w:hint="eastAsia" w:ascii="宋体" w:hAnsi="宋体" w:eastAsia="宋体" w:cs="宋体"/>
          <w:snapToGrid w:val="0"/>
          <w:color w:val="auto"/>
          <w:kern w:val="28"/>
          <w:sz w:val="24"/>
          <w:szCs w:val="20"/>
          <w:highlight w:val="none"/>
        </w:rPr>
      </w:pPr>
      <w:r>
        <w:rPr>
          <w:rFonts w:hint="eastAsia" w:ascii="宋体" w:hAnsi="宋体" w:eastAsia="宋体" w:cs="宋体"/>
          <w:snapToGrid w:val="0"/>
          <w:color w:val="auto"/>
          <w:kern w:val="28"/>
          <w:sz w:val="24"/>
          <w:szCs w:val="20"/>
          <w:highlight w:val="none"/>
        </w:rPr>
        <w:t xml:space="preserve">    2.</w:t>
      </w:r>
      <w:r>
        <w:rPr>
          <w:rFonts w:hint="eastAsia" w:ascii="宋体" w:hAnsi="宋体" w:eastAsia="宋体" w:cs="宋体"/>
          <w:color w:val="auto"/>
          <w:highlight w:val="none"/>
        </w:rPr>
        <w:t xml:space="preserve"> </w:t>
      </w:r>
      <w:r>
        <w:rPr>
          <w:rFonts w:hint="eastAsia" w:ascii="宋体" w:hAnsi="宋体" w:eastAsia="宋体" w:cs="宋体"/>
          <w:snapToGrid w:val="0"/>
          <w:color w:val="auto"/>
          <w:kern w:val="28"/>
          <w:sz w:val="24"/>
          <w:szCs w:val="20"/>
          <w:highlight w:val="none"/>
        </w:rPr>
        <w:t>以联合体形式投标的，提供联合协议(本项目不接受联合体投标或者投标人不以联合体形式投标的，则不需要提供) ；</w:t>
      </w:r>
    </w:p>
    <w:p w14:paraId="45EB93C2">
      <w:pPr>
        <w:spacing w:line="360" w:lineRule="auto"/>
        <w:ind w:firstLine="480" w:firstLineChars="200"/>
        <w:rPr>
          <w:rFonts w:hint="eastAsia" w:ascii="宋体" w:hAnsi="宋体" w:eastAsia="宋体" w:cs="宋体"/>
          <w:snapToGrid w:val="0"/>
          <w:color w:val="auto"/>
          <w:kern w:val="28"/>
          <w:sz w:val="24"/>
          <w:szCs w:val="20"/>
          <w:highlight w:val="none"/>
        </w:rPr>
      </w:pPr>
      <w:r>
        <w:rPr>
          <w:rFonts w:hint="eastAsia" w:ascii="宋体" w:hAnsi="宋体" w:eastAsia="宋体" w:cs="宋体"/>
          <w:snapToGrid w:val="0"/>
          <w:color w:val="auto"/>
          <w:kern w:val="28"/>
          <w:sz w:val="24"/>
          <w:szCs w:val="20"/>
          <w:highlight w:val="none"/>
        </w:rPr>
        <w:t>3.落实政府采购政策需满足的资格要求：</w:t>
      </w:r>
    </w:p>
    <w:p w14:paraId="3677847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无</w:t>
      </w:r>
      <w:r>
        <w:rPr>
          <w:rFonts w:hint="eastAsia" w:ascii="宋体" w:hAnsi="宋体" w:eastAsia="宋体" w:cs="宋体"/>
          <w:snapToGrid w:val="0"/>
          <w:color w:val="auto"/>
          <w:kern w:val="28"/>
          <w:sz w:val="24"/>
          <w:szCs w:val="20"/>
          <w:highlight w:val="none"/>
        </w:rPr>
        <w:t>（注：不得限制大中型企业与小微企业组成联合体参与投标）；</w:t>
      </w:r>
    </w:p>
    <w:p w14:paraId="5C471177">
      <w:pPr>
        <w:spacing w:line="360" w:lineRule="auto"/>
        <w:ind w:firstLine="480" w:firstLineChars="200"/>
        <w:rPr>
          <w:rFonts w:hint="eastAsia" w:ascii="宋体" w:hAnsi="宋体" w:eastAsia="宋体" w:cs="宋体"/>
          <w:color w:val="auto"/>
          <w:sz w:val="24"/>
          <w:highlight w:val="none"/>
        </w:rPr>
      </w:pPr>
      <w:r>
        <w:rPr>
          <w:rFonts w:hint="eastAsia" w:ascii="Wingdings" w:hAnsi="Wingdings" w:eastAsia="宋体" w:cs="宋体"/>
          <w:color w:val="auto"/>
          <w:kern w:val="0"/>
          <w:sz w:val="24"/>
          <w:szCs w:val="24"/>
          <w:highlight w:val="none"/>
          <w:lang w:val="en-US" w:eastAsia="zh-CN" w:bidi="ar-SA"/>
        </w:rPr>
        <w:t>þ</w:t>
      </w:r>
      <w:r>
        <w:rPr>
          <w:rFonts w:hint="eastAsia" w:ascii="宋体" w:hAnsi="宋体" w:eastAsia="宋体" w:cs="宋体"/>
          <w:color w:val="auto"/>
          <w:kern w:val="0"/>
          <w:sz w:val="24"/>
          <w:highlight w:val="none"/>
        </w:rPr>
        <w:t>专</w:t>
      </w:r>
      <w:r>
        <w:rPr>
          <w:rFonts w:hint="eastAsia" w:ascii="宋体" w:hAnsi="宋体" w:eastAsia="宋体" w:cs="宋体"/>
          <w:color w:val="auto"/>
          <w:sz w:val="24"/>
          <w:highlight w:val="none"/>
        </w:rPr>
        <w:t>门面向中小企业</w:t>
      </w:r>
    </w:p>
    <w:p w14:paraId="6F5CD819">
      <w:pPr>
        <w:spacing w:line="360" w:lineRule="auto"/>
        <w:ind w:firstLine="897" w:firstLineChars="374"/>
        <w:rPr>
          <w:rFonts w:hint="eastAsia" w:ascii="宋体" w:hAnsi="宋体" w:eastAsia="宋体" w:cs="宋体"/>
          <w:color w:val="auto"/>
          <w:sz w:val="24"/>
          <w:highlight w:val="none"/>
        </w:rPr>
      </w:pPr>
      <w:r>
        <w:rPr>
          <w:rFonts w:hint="eastAsia" w:ascii="Wingdings" w:hAnsi="Wingdings" w:eastAsia="宋体" w:cs="宋体"/>
          <w:color w:val="auto"/>
          <w:kern w:val="0"/>
          <w:sz w:val="24"/>
          <w:szCs w:val="24"/>
          <w:highlight w:val="none"/>
          <w:lang w:val="en-US" w:eastAsia="zh-CN" w:bidi="ar-SA"/>
        </w:rPr>
        <w:t>þ</w:t>
      </w:r>
      <w:r>
        <w:rPr>
          <w:rFonts w:hint="eastAsia" w:ascii="宋体" w:hAnsi="宋体" w:eastAsia="宋体" w:cs="宋体"/>
          <w:color w:val="auto"/>
          <w:sz w:val="24"/>
          <w:highlight w:val="none"/>
        </w:rPr>
        <w:t>服务全部由符合政策要求的</w:t>
      </w:r>
      <w:r>
        <w:rPr>
          <w:rFonts w:hint="eastAsia" w:ascii="宋体" w:hAnsi="宋体" w:eastAsia="宋体" w:cs="宋体"/>
          <w:color w:val="auto"/>
          <w:sz w:val="24"/>
          <w:szCs w:val="24"/>
          <w:highlight w:val="none"/>
        </w:rPr>
        <w:t>中小微</w:t>
      </w:r>
      <w:r>
        <w:rPr>
          <w:rFonts w:hint="eastAsia" w:ascii="宋体" w:hAnsi="宋体" w:eastAsia="宋体" w:cs="宋体"/>
          <w:color w:val="auto"/>
          <w:sz w:val="24"/>
          <w:highlight w:val="none"/>
        </w:rPr>
        <w:t>企业承接，提供中小企业声明函；</w:t>
      </w:r>
    </w:p>
    <w:p w14:paraId="1D38F54A">
      <w:pPr>
        <w:spacing w:line="360" w:lineRule="auto"/>
        <w:ind w:firstLine="897" w:firstLineChars="374"/>
        <w:rPr>
          <w:rFonts w:hint="eastAsia" w:ascii="宋体" w:hAnsi="宋体" w:eastAsia="宋体" w:cs="宋体"/>
          <w:color w:val="auto"/>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服务全部由符合政策要求的</w:t>
      </w:r>
      <w:r>
        <w:rPr>
          <w:rFonts w:hint="eastAsia" w:ascii="宋体" w:hAnsi="宋体" w:eastAsia="宋体" w:cs="宋体"/>
          <w:color w:val="auto"/>
          <w:sz w:val="24"/>
          <w:szCs w:val="24"/>
          <w:highlight w:val="none"/>
        </w:rPr>
        <w:t>小微</w:t>
      </w:r>
      <w:r>
        <w:rPr>
          <w:rFonts w:hint="eastAsia" w:ascii="宋体" w:hAnsi="宋体" w:eastAsia="宋体" w:cs="宋体"/>
          <w:color w:val="auto"/>
          <w:sz w:val="24"/>
          <w:highlight w:val="none"/>
        </w:rPr>
        <w:t>企业承接，提供中小企业声明函；</w:t>
      </w:r>
    </w:p>
    <w:p w14:paraId="01BA4A7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bookmarkStart w:id="7" w:name="_Hlk101132524"/>
      <w:r>
        <w:rPr>
          <w:rFonts w:hint="eastAsia" w:ascii="宋体" w:hAnsi="宋体" w:eastAsia="宋体" w:cs="宋体"/>
          <w:color w:val="auto"/>
          <w:kern w:val="2"/>
          <w:sz w:val="24"/>
          <w:szCs w:val="24"/>
          <w:highlight w:val="none"/>
        </w:rPr>
        <w:t>供应商应</w:t>
      </w:r>
      <w:r>
        <w:rPr>
          <w:rFonts w:hint="eastAsia" w:ascii="宋体" w:hAnsi="宋体" w:eastAsia="宋体" w:cs="宋体"/>
          <w:color w:val="auto"/>
          <w:sz w:val="24"/>
          <w:szCs w:val="24"/>
          <w:highlight w:val="none"/>
        </w:rPr>
        <w:t>以联合体形式参加，并按要求提供联合协议和中小企业声明函，联合协议中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中小企业合同金额应当达到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其中小微企业合同金额应当达到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eastAsia="宋体" w:cs="宋体"/>
          <w:color w:val="auto"/>
          <w:spacing w:val="8"/>
          <w:kern w:val="0"/>
          <w:sz w:val="24"/>
          <w:szCs w:val="24"/>
          <w:highlight w:val="none"/>
        </w:rPr>
        <w:t>如果供应商提供</w:t>
      </w:r>
      <w:r>
        <w:rPr>
          <w:rFonts w:hint="eastAsia" w:ascii="宋体" w:hAnsi="宋体" w:eastAsia="宋体" w:cs="宋体"/>
          <w:color w:val="auto"/>
          <w:spacing w:val="8"/>
          <w:kern w:val="0"/>
          <w:sz w:val="24"/>
          <w:szCs w:val="24"/>
          <w:highlight w:val="none"/>
          <w:lang w:val="en-US" w:eastAsia="zh-CN"/>
        </w:rPr>
        <w:t>的</w:t>
      </w:r>
      <w:r>
        <w:rPr>
          <w:rFonts w:hint="eastAsia" w:ascii="宋体" w:hAnsi="宋体" w:eastAsia="宋体" w:cs="宋体"/>
          <w:color w:val="auto"/>
          <w:spacing w:val="8"/>
          <w:kern w:val="0"/>
          <w:sz w:val="24"/>
          <w:szCs w:val="24"/>
          <w:highlight w:val="none"/>
        </w:rPr>
        <w:t>所有标的均由中小企业制造、承建或承接，并相应达到了前述比例要求，无需再与其他中小企业组成联合体参加政府采购活动，</w:t>
      </w:r>
      <w:r>
        <w:rPr>
          <w:rFonts w:hint="eastAsia" w:ascii="宋体" w:hAnsi="宋体" w:eastAsia="宋体" w:cs="宋体"/>
          <w:color w:val="auto"/>
          <w:spacing w:val="0"/>
          <w:kern w:val="2"/>
          <w:sz w:val="24"/>
          <w:szCs w:val="24"/>
          <w:highlight w:val="none"/>
        </w:rPr>
        <w:t>按要求提供</w:t>
      </w:r>
      <w:r>
        <w:rPr>
          <w:rFonts w:hint="eastAsia" w:ascii="宋体" w:hAnsi="宋体" w:eastAsia="宋体" w:cs="宋体"/>
          <w:color w:val="auto"/>
          <w:sz w:val="24"/>
          <w:szCs w:val="24"/>
          <w:highlight w:val="none"/>
        </w:rPr>
        <w:t>中小企业声明函；</w:t>
      </w:r>
    </w:p>
    <w:bookmarkEnd w:id="7"/>
    <w:p w14:paraId="505626D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2"/>
          <w:sz w:val="24"/>
          <w:szCs w:val="24"/>
          <w:highlight w:val="none"/>
        </w:rPr>
        <w:t>供应商应</w:t>
      </w:r>
      <w:r>
        <w:rPr>
          <w:rFonts w:hint="eastAsia" w:ascii="宋体" w:hAnsi="宋体" w:eastAsia="宋体" w:cs="宋体"/>
          <w:color w:val="auto"/>
          <w:kern w:val="2"/>
          <w:sz w:val="24"/>
          <w:szCs w:val="24"/>
          <w:highlight w:val="none"/>
          <w:lang w:val="en-US" w:eastAsia="zh-CN"/>
        </w:rPr>
        <w:t>以</w:t>
      </w:r>
      <w:r>
        <w:rPr>
          <w:rFonts w:hint="eastAsia" w:ascii="宋体" w:hAnsi="宋体" w:eastAsia="宋体" w:cs="宋体"/>
          <w:color w:val="auto"/>
          <w:sz w:val="24"/>
          <w:szCs w:val="24"/>
          <w:highlight w:val="none"/>
        </w:rPr>
        <w:t>合同分包形式参加，并按要求提供分包意向协议和中小企业声明函，分包意向协议中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中小企业合同金额应当达到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其中小微企业合同金额应当达到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eastAsia="宋体" w:cs="宋体"/>
          <w:color w:val="auto"/>
          <w:spacing w:val="8"/>
          <w:kern w:val="0"/>
          <w:sz w:val="24"/>
          <w:szCs w:val="24"/>
          <w:highlight w:val="none"/>
        </w:rPr>
        <w:t>如果供应商提供</w:t>
      </w:r>
      <w:r>
        <w:rPr>
          <w:rFonts w:hint="eastAsia" w:ascii="宋体" w:hAnsi="宋体" w:eastAsia="宋体" w:cs="宋体"/>
          <w:color w:val="auto"/>
          <w:spacing w:val="8"/>
          <w:kern w:val="0"/>
          <w:sz w:val="24"/>
          <w:szCs w:val="24"/>
          <w:highlight w:val="none"/>
          <w:lang w:val="en-US" w:eastAsia="zh-CN"/>
        </w:rPr>
        <w:t>的</w:t>
      </w:r>
      <w:r>
        <w:rPr>
          <w:rFonts w:hint="eastAsia" w:ascii="宋体" w:hAnsi="宋体" w:eastAsia="宋体" w:cs="宋体"/>
          <w:color w:val="auto"/>
          <w:spacing w:val="8"/>
          <w:kern w:val="0"/>
          <w:sz w:val="24"/>
          <w:szCs w:val="24"/>
          <w:highlight w:val="none"/>
        </w:rPr>
        <w:t>所有标的均由中小企业制造、承建或承接，并相应达到了前述比例要求，无需再向中小企业分包，</w:t>
      </w:r>
      <w:r>
        <w:rPr>
          <w:rFonts w:hint="eastAsia" w:ascii="宋体" w:hAnsi="宋体" w:eastAsia="宋体" w:cs="宋体"/>
          <w:color w:val="auto"/>
          <w:spacing w:val="0"/>
          <w:kern w:val="2"/>
          <w:sz w:val="24"/>
          <w:szCs w:val="24"/>
          <w:highlight w:val="none"/>
        </w:rPr>
        <w:t>按要求提供</w:t>
      </w:r>
      <w:r>
        <w:rPr>
          <w:rFonts w:hint="eastAsia" w:ascii="宋体" w:hAnsi="宋体" w:eastAsia="宋体" w:cs="宋体"/>
          <w:color w:val="auto"/>
          <w:sz w:val="24"/>
          <w:szCs w:val="24"/>
          <w:highlight w:val="none"/>
        </w:rPr>
        <w:t>中小企业声明函；</w:t>
      </w:r>
    </w:p>
    <w:p w14:paraId="4A9336EE">
      <w:pPr>
        <w:numPr>
          <w:ilvl w:val="0"/>
          <w:numId w:val="0"/>
        </w:num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highlight w:val="none"/>
        </w:rPr>
        <w:t>本项目的特定资格要求：</w:t>
      </w:r>
      <w:r>
        <w:rPr>
          <w:rFonts w:hint="eastAsia" w:ascii="宋体" w:hAnsi="宋体" w:cs="宋体"/>
          <w:color w:val="auto"/>
          <w:sz w:val="24"/>
          <w:highlight w:val="none"/>
          <w:lang w:val="en-US" w:eastAsia="zh-CN"/>
        </w:rPr>
        <w:t>响应人</w:t>
      </w:r>
      <w:r>
        <w:rPr>
          <w:rFonts w:hint="eastAsia" w:ascii="宋体" w:hAnsi="宋体" w:eastAsia="宋体" w:cs="宋体"/>
          <w:color w:val="auto"/>
          <w:sz w:val="24"/>
          <w:highlight w:val="none"/>
        </w:rPr>
        <w:t>同时具备①+②+③：①同时具备工程勘察岩土工程甲级、工程测量甲级资质或同时具备工程勘察专业类岩土工程（物探、测试、检测、监测）乙级、工程测量乙级资质；②具备建设行政主管部门核发的地基基础检测资质；③具有行政主管部门颁发的计量认证证书或资质认定证书（计量认证证书或资质认定证书附表内容需包含桩基检测、基坑监测资格或类似试验检测，具体与本项目服务内容相应）的独立法人企业</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项目负责人要求：具有注册土木工程师（岩土）</w:t>
      </w:r>
      <w:r>
        <w:rPr>
          <w:rFonts w:hint="eastAsia" w:ascii="宋体" w:hAnsi="宋体" w:eastAsia="宋体" w:cs="宋体"/>
          <w:color w:val="auto"/>
          <w:sz w:val="24"/>
          <w:szCs w:val="24"/>
          <w:highlight w:val="none"/>
          <w:lang w:val="en-US" w:eastAsia="zh-CN"/>
        </w:rPr>
        <w:t>。</w:t>
      </w:r>
    </w:p>
    <w:p w14:paraId="18EFBCC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55BB548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三、获取招标文件 </w:t>
      </w:r>
    </w:p>
    <w:p w14:paraId="3EDD1D05">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时间：</w:t>
      </w:r>
      <w:r>
        <w:rPr>
          <w:rFonts w:hint="eastAsia" w:ascii="宋体" w:hAnsi="宋体" w:eastAsia="宋体" w:cs="宋体"/>
          <w:color w:val="auto"/>
          <w:sz w:val="24"/>
          <w:highlight w:val="none"/>
        </w:rPr>
        <w:t>/至</w:t>
      </w:r>
      <w:r>
        <w:rPr>
          <w:rStyle w:val="76"/>
          <w:rFonts w:hint="eastAsia" w:ascii="宋体" w:hAnsi="宋体" w:eastAsia="宋体" w:cs="宋体"/>
          <w:snapToGrid/>
          <w:color w:val="auto"/>
          <w:kern w:val="2"/>
          <w:sz w:val="24"/>
          <w:szCs w:val="24"/>
          <w:highlight w:val="none"/>
          <w:u w:val="single"/>
          <w:lang w:val="en-US" w:eastAsia="zh-CN"/>
        </w:rPr>
        <w:t>202</w:t>
      </w:r>
      <w:r>
        <w:rPr>
          <w:rStyle w:val="76"/>
          <w:rFonts w:hint="eastAsia" w:ascii="宋体" w:hAnsi="宋体" w:cs="宋体"/>
          <w:snapToGrid/>
          <w:color w:val="auto"/>
          <w:kern w:val="2"/>
          <w:sz w:val="24"/>
          <w:szCs w:val="24"/>
          <w:highlight w:val="none"/>
          <w:u w:val="single"/>
          <w:lang w:val="en-US" w:eastAsia="zh-CN"/>
        </w:rPr>
        <w:t>6</w:t>
      </w:r>
      <w:r>
        <w:rPr>
          <w:rStyle w:val="76"/>
          <w:rFonts w:hint="eastAsia" w:ascii="宋体" w:hAnsi="宋体" w:eastAsia="宋体" w:cs="宋体"/>
          <w:snapToGrid/>
          <w:color w:val="auto"/>
          <w:kern w:val="2"/>
          <w:sz w:val="24"/>
          <w:szCs w:val="24"/>
          <w:highlight w:val="none"/>
          <w:u w:val="single"/>
          <w:lang w:val="en-US" w:eastAsia="zh-CN"/>
        </w:rPr>
        <w:t>年</w:t>
      </w:r>
      <w:r>
        <w:rPr>
          <w:rStyle w:val="76"/>
          <w:rFonts w:hint="eastAsia" w:ascii="宋体" w:hAnsi="宋体" w:cs="宋体"/>
          <w:snapToGrid/>
          <w:color w:val="auto"/>
          <w:kern w:val="2"/>
          <w:sz w:val="24"/>
          <w:szCs w:val="24"/>
          <w:highlight w:val="none"/>
          <w:u w:val="single"/>
          <w:lang w:val="en-US" w:eastAsia="zh-CN"/>
        </w:rPr>
        <w:t>4</w:t>
      </w:r>
      <w:r>
        <w:rPr>
          <w:rStyle w:val="76"/>
          <w:rFonts w:hint="eastAsia" w:ascii="宋体" w:hAnsi="宋体" w:eastAsia="宋体" w:cs="宋体"/>
          <w:snapToGrid/>
          <w:color w:val="auto"/>
          <w:kern w:val="2"/>
          <w:sz w:val="24"/>
          <w:szCs w:val="24"/>
          <w:highlight w:val="none"/>
          <w:u w:val="single"/>
          <w:lang w:val="en-US" w:eastAsia="zh-CN"/>
        </w:rPr>
        <w:t>月</w:t>
      </w:r>
      <w:r>
        <w:rPr>
          <w:rStyle w:val="76"/>
          <w:rFonts w:hint="eastAsia" w:ascii="宋体" w:hAnsi="宋体" w:cs="宋体"/>
          <w:snapToGrid/>
          <w:color w:val="auto"/>
          <w:kern w:val="2"/>
          <w:sz w:val="24"/>
          <w:szCs w:val="24"/>
          <w:highlight w:val="none"/>
          <w:u w:val="single"/>
          <w:lang w:val="en-US" w:eastAsia="zh-CN"/>
        </w:rPr>
        <w:t>24</w:t>
      </w:r>
      <w:r>
        <w:rPr>
          <w:rStyle w:val="76"/>
          <w:rFonts w:hint="eastAsia" w:ascii="宋体" w:hAnsi="宋体" w:eastAsia="宋体" w:cs="宋体"/>
          <w:snapToGrid/>
          <w:color w:val="auto"/>
          <w:kern w:val="2"/>
          <w:sz w:val="24"/>
          <w:szCs w:val="24"/>
          <w:highlight w:val="none"/>
          <w:u w:val="single"/>
          <w:lang w:val="en-US" w:eastAsia="zh-CN"/>
        </w:rPr>
        <w:t>日</w:t>
      </w:r>
      <w:r>
        <w:rPr>
          <w:rFonts w:hint="eastAsia" w:ascii="宋体" w:hAnsi="宋体" w:eastAsia="宋体" w:cs="宋体"/>
          <w:color w:val="auto"/>
          <w:sz w:val="24"/>
          <w:highlight w:val="none"/>
        </w:rPr>
        <w:t>，每天上午00:00至12:00 ，下午12:00至23:59（北京时间，线上获取法定节假日均可，线下获取文件法定节假日除外）</w:t>
      </w:r>
    </w:p>
    <w:p w14:paraId="76E492E6">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地点（网址）：</w:t>
      </w:r>
      <w:r>
        <w:rPr>
          <w:rFonts w:hint="eastAsia" w:ascii="宋体" w:hAnsi="宋体" w:eastAsia="宋体" w:cs="宋体"/>
          <w:color w:val="auto"/>
          <w:sz w:val="24"/>
          <w:highlight w:val="none"/>
        </w:rPr>
        <w:t xml:space="preserve">政采云平台（https://www.zcygov.cn/） </w:t>
      </w:r>
    </w:p>
    <w:p w14:paraId="6C331C9B">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方式：</w:t>
      </w:r>
      <w:r>
        <w:rPr>
          <w:rFonts w:hint="eastAsia" w:ascii="宋体" w:hAnsi="宋体" w:eastAsia="宋体" w:cs="宋体"/>
          <w:color w:val="auto"/>
          <w:sz w:val="24"/>
          <w:highlight w:val="none"/>
        </w:rPr>
        <w:t xml:space="preserve">供应商登录政采云平台https://www.zcygov.cn/在线申请获取采购文件（进入“项目采购”应用，在获取采购文件菜单中选择项目，申请获取采购文件）。 </w:t>
      </w:r>
    </w:p>
    <w:p w14:paraId="6BEDE192">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售价（元）：</w:t>
      </w:r>
      <w:r>
        <w:rPr>
          <w:rFonts w:hint="eastAsia" w:ascii="宋体" w:hAnsi="宋体" w:eastAsia="宋体" w:cs="宋体"/>
          <w:color w:val="auto"/>
          <w:sz w:val="24"/>
          <w:highlight w:val="none"/>
        </w:rPr>
        <w:t xml:space="preserve">0 </w:t>
      </w:r>
      <w:r>
        <w:rPr>
          <w:rFonts w:hint="eastAsia" w:ascii="宋体" w:hAnsi="宋体" w:eastAsia="宋体" w:cs="宋体"/>
          <w:color w:val="auto"/>
          <w:sz w:val="24"/>
          <w:highlight w:val="none"/>
        </w:rPr>
        <w:tab/>
      </w:r>
    </w:p>
    <w:p w14:paraId="6068237E">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四、提交投标文件截止时间、开标时间和地点</w:t>
      </w:r>
    </w:p>
    <w:p w14:paraId="46CEC869">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提交投标文件截止时间：</w:t>
      </w:r>
      <w:r>
        <w:rPr>
          <w:rStyle w:val="76"/>
          <w:rFonts w:hint="eastAsia" w:ascii="宋体" w:hAnsi="宋体" w:eastAsia="宋体" w:cs="宋体"/>
          <w:snapToGrid/>
          <w:color w:val="auto"/>
          <w:kern w:val="2"/>
          <w:sz w:val="24"/>
          <w:szCs w:val="24"/>
          <w:highlight w:val="none"/>
          <w:u w:val="single"/>
          <w:lang w:val="en-US" w:eastAsia="zh-CN"/>
        </w:rPr>
        <w:t>202</w:t>
      </w:r>
      <w:r>
        <w:rPr>
          <w:rStyle w:val="76"/>
          <w:rFonts w:hint="eastAsia" w:ascii="宋体" w:hAnsi="宋体" w:cs="宋体"/>
          <w:snapToGrid/>
          <w:color w:val="auto"/>
          <w:kern w:val="2"/>
          <w:sz w:val="24"/>
          <w:szCs w:val="24"/>
          <w:highlight w:val="none"/>
          <w:u w:val="single"/>
          <w:lang w:val="en-US" w:eastAsia="zh-CN"/>
        </w:rPr>
        <w:t>6</w:t>
      </w:r>
      <w:r>
        <w:rPr>
          <w:rStyle w:val="76"/>
          <w:rFonts w:hint="eastAsia" w:ascii="宋体" w:hAnsi="宋体" w:eastAsia="宋体" w:cs="宋体"/>
          <w:snapToGrid/>
          <w:color w:val="auto"/>
          <w:kern w:val="2"/>
          <w:sz w:val="24"/>
          <w:szCs w:val="24"/>
          <w:highlight w:val="none"/>
          <w:u w:val="single"/>
          <w:lang w:val="en-US" w:eastAsia="zh-CN"/>
        </w:rPr>
        <w:t>年</w:t>
      </w:r>
      <w:r>
        <w:rPr>
          <w:rStyle w:val="76"/>
          <w:rFonts w:hint="eastAsia" w:ascii="宋体" w:hAnsi="宋体" w:cs="宋体"/>
          <w:snapToGrid/>
          <w:color w:val="auto"/>
          <w:kern w:val="2"/>
          <w:sz w:val="24"/>
          <w:szCs w:val="24"/>
          <w:highlight w:val="none"/>
          <w:u w:val="single"/>
          <w:lang w:val="en-US" w:eastAsia="zh-CN"/>
        </w:rPr>
        <w:t>4</w:t>
      </w:r>
      <w:r>
        <w:rPr>
          <w:rStyle w:val="76"/>
          <w:rFonts w:hint="eastAsia" w:ascii="宋体" w:hAnsi="宋体" w:eastAsia="宋体" w:cs="宋体"/>
          <w:snapToGrid/>
          <w:color w:val="auto"/>
          <w:kern w:val="2"/>
          <w:sz w:val="24"/>
          <w:szCs w:val="24"/>
          <w:highlight w:val="none"/>
          <w:u w:val="single"/>
          <w:lang w:val="en-US" w:eastAsia="zh-CN"/>
        </w:rPr>
        <w:t>月</w:t>
      </w:r>
      <w:r>
        <w:rPr>
          <w:rStyle w:val="76"/>
          <w:rFonts w:hint="eastAsia" w:ascii="宋体" w:hAnsi="宋体" w:cs="宋体"/>
          <w:snapToGrid/>
          <w:color w:val="auto"/>
          <w:kern w:val="2"/>
          <w:sz w:val="24"/>
          <w:szCs w:val="24"/>
          <w:highlight w:val="none"/>
          <w:u w:val="single"/>
          <w:lang w:val="en-US" w:eastAsia="zh-CN"/>
        </w:rPr>
        <w:t>24</w:t>
      </w:r>
      <w:r>
        <w:rPr>
          <w:rStyle w:val="76"/>
          <w:rFonts w:hint="eastAsia" w:ascii="宋体" w:hAnsi="宋体" w:eastAsia="宋体" w:cs="宋体"/>
          <w:snapToGrid/>
          <w:color w:val="auto"/>
          <w:kern w:val="2"/>
          <w:sz w:val="24"/>
          <w:szCs w:val="24"/>
          <w:highlight w:val="none"/>
          <w:u w:val="single"/>
          <w:lang w:val="en-US" w:eastAsia="zh-CN"/>
        </w:rPr>
        <w:t>日</w:t>
      </w:r>
      <w:r>
        <w:rPr>
          <w:rStyle w:val="76"/>
          <w:rFonts w:hint="eastAsia" w:ascii="宋体" w:hAnsi="宋体" w:cs="宋体"/>
          <w:snapToGrid/>
          <w:color w:val="auto"/>
          <w:kern w:val="2"/>
          <w:sz w:val="24"/>
          <w:szCs w:val="24"/>
          <w:highlight w:val="none"/>
          <w:u w:val="single"/>
          <w:lang w:val="en-US" w:eastAsia="zh-CN"/>
        </w:rPr>
        <w:t>14</w:t>
      </w:r>
      <w:r>
        <w:rPr>
          <w:rStyle w:val="76"/>
          <w:rFonts w:hint="eastAsia" w:ascii="宋体" w:hAnsi="宋体" w:eastAsia="宋体" w:cs="宋体"/>
          <w:snapToGrid/>
          <w:color w:val="auto"/>
          <w:kern w:val="2"/>
          <w:sz w:val="24"/>
          <w:szCs w:val="24"/>
          <w:highlight w:val="none"/>
          <w:u w:val="single"/>
        </w:rPr>
        <w:t>点</w:t>
      </w:r>
      <w:r>
        <w:rPr>
          <w:rStyle w:val="76"/>
          <w:rFonts w:hint="eastAsia" w:ascii="宋体" w:hAnsi="宋体" w:cs="宋体"/>
          <w:snapToGrid/>
          <w:color w:val="auto"/>
          <w:kern w:val="2"/>
          <w:sz w:val="24"/>
          <w:szCs w:val="24"/>
          <w:highlight w:val="none"/>
          <w:u w:val="single"/>
          <w:lang w:val="en-US" w:eastAsia="zh-CN"/>
        </w:rPr>
        <w:t>00</w:t>
      </w:r>
      <w:r>
        <w:rPr>
          <w:rStyle w:val="76"/>
          <w:rFonts w:hint="eastAsia" w:ascii="宋体" w:hAnsi="宋体" w:eastAsia="宋体" w:cs="宋体"/>
          <w:snapToGrid/>
          <w:color w:val="auto"/>
          <w:kern w:val="2"/>
          <w:sz w:val="24"/>
          <w:szCs w:val="24"/>
          <w:highlight w:val="none"/>
          <w:u w:val="single"/>
        </w:rPr>
        <w:t>分</w:t>
      </w:r>
      <w:r>
        <w:rPr>
          <w:rStyle w:val="76"/>
          <w:rFonts w:hint="eastAsia" w:ascii="宋体" w:hAnsi="宋体" w:eastAsia="宋体" w:cs="宋体"/>
          <w:bCs/>
          <w:snapToGrid/>
          <w:color w:val="auto"/>
          <w:kern w:val="2"/>
          <w:sz w:val="24"/>
          <w:szCs w:val="24"/>
          <w:highlight w:val="none"/>
          <w:u w:val="single"/>
        </w:rPr>
        <w:t>00秒</w:t>
      </w:r>
      <w:r>
        <w:rPr>
          <w:rFonts w:hint="eastAsia" w:ascii="宋体" w:hAnsi="宋体" w:eastAsia="宋体" w:cs="宋体"/>
          <w:color w:val="auto"/>
          <w:sz w:val="24"/>
          <w:highlight w:val="none"/>
        </w:rPr>
        <w:t>（北京时间）</w:t>
      </w:r>
    </w:p>
    <w:p w14:paraId="697E64C5">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投标地点（网址）：</w:t>
      </w:r>
      <w:r>
        <w:rPr>
          <w:rFonts w:hint="eastAsia" w:ascii="宋体" w:hAnsi="宋体" w:eastAsia="宋体" w:cs="宋体"/>
          <w:color w:val="auto"/>
          <w:sz w:val="24"/>
          <w:highlight w:val="none"/>
        </w:rPr>
        <w:t xml:space="preserve">政采云平台（https://www.zcygov.cn/） </w:t>
      </w:r>
    </w:p>
    <w:p w14:paraId="12A5F0FB">
      <w:pPr>
        <w:spacing w:line="360" w:lineRule="auto"/>
        <w:ind w:firstLine="482" w:firstLineChars="200"/>
        <w:rPr>
          <w:rFonts w:hint="eastAsia" w:ascii="宋体" w:hAnsi="宋体" w:eastAsia="宋体" w:cs="宋体"/>
          <w:bCs/>
          <w:color w:val="auto"/>
          <w:sz w:val="24"/>
          <w:highlight w:val="none"/>
          <w:u w:val="single"/>
        </w:rPr>
      </w:pPr>
      <w:r>
        <w:rPr>
          <w:rFonts w:hint="eastAsia" w:ascii="宋体" w:hAnsi="宋体" w:eastAsia="宋体" w:cs="宋体"/>
          <w:b/>
          <w:color w:val="auto"/>
          <w:sz w:val="24"/>
          <w:highlight w:val="none"/>
        </w:rPr>
        <w:t>开标时间：</w:t>
      </w:r>
      <w:r>
        <w:rPr>
          <w:rStyle w:val="76"/>
          <w:rFonts w:hint="eastAsia" w:ascii="宋体" w:hAnsi="宋体" w:eastAsia="宋体" w:cs="宋体"/>
          <w:snapToGrid/>
          <w:color w:val="auto"/>
          <w:kern w:val="2"/>
          <w:sz w:val="24"/>
          <w:szCs w:val="24"/>
          <w:highlight w:val="none"/>
          <w:u w:val="single"/>
          <w:lang w:val="en-US" w:eastAsia="zh-CN"/>
        </w:rPr>
        <w:t>202</w:t>
      </w:r>
      <w:r>
        <w:rPr>
          <w:rStyle w:val="76"/>
          <w:rFonts w:hint="eastAsia" w:ascii="宋体" w:hAnsi="宋体" w:cs="宋体"/>
          <w:snapToGrid/>
          <w:color w:val="auto"/>
          <w:kern w:val="2"/>
          <w:sz w:val="24"/>
          <w:szCs w:val="24"/>
          <w:highlight w:val="none"/>
          <w:u w:val="single"/>
          <w:lang w:val="en-US" w:eastAsia="zh-CN"/>
        </w:rPr>
        <w:t>6</w:t>
      </w:r>
      <w:r>
        <w:rPr>
          <w:rStyle w:val="76"/>
          <w:rFonts w:hint="eastAsia" w:ascii="宋体" w:hAnsi="宋体" w:eastAsia="宋体" w:cs="宋体"/>
          <w:snapToGrid/>
          <w:color w:val="auto"/>
          <w:kern w:val="2"/>
          <w:sz w:val="24"/>
          <w:szCs w:val="24"/>
          <w:highlight w:val="none"/>
          <w:u w:val="single"/>
          <w:lang w:val="en-US" w:eastAsia="zh-CN"/>
        </w:rPr>
        <w:t>年</w:t>
      </w:r>
      <w:r>
        <w:rPr>
          <w:rStyle w:val="76"/>
          <w:rFonts w:hint="eastAsia" w:ascii="宋体" w:hAnsi="宋体" w:cs="宋体"/>
          <w:snapToGrid/>
          <w:color w:val="auto"/>
          <w:kern w:val="2"/>
          <w:sz w:val="24"/>
          <w:szCs w:val="24"/>
          <w:highlight w:val="none"/>
          <w:u w:val="single"/>
          <w:lang w:val="en-US" w:eastAsia="zh-CN"/>
        </w:rPr>
        <w:t>4</w:t>
      </w:r>
      <w:r>
        <w:rPr>
          <w:rStyle w:val="76"/>
          <w:rFonts w:hint="eastAsia" w:ascii="宋体" w:hAnsi="宋体" w:eastAsia="宋体" w:cs="宋体"/>
          <w:snapToGrid/>
          <w:color w:val="auto"/>
          <w:kern w:val="2"/>
          <w:sz w:val="24"/>
          <w:szCs w:val="24"/>
          <w:highlight w:val="none"/>
          <w:u w:val="single"/>
          <w:lang w:val="en-US" w:eastAsia="zh-CN"/>
        </w:rPr>
        <w:t>月</w:t>
      </w:r>
      <w:r>
        <w:rPr>
          <w:rStyle w:val="76"/>
          <w:rFonts w:hint="eastAsia" w:ascii="宋体" w:hAnsi="宋体" w:cs="宋体"/>
          <w:snapToGrid/>
          <w:color w:val="auto"/>
          <w:kern w:val="2"/>
          <w:sz w:val="24"/>
          <w:szCs w:val="24"/>
          <w:highlight w:val="none"/>
          <w:u w:val="single"/>
          <w:lang w:val="en-US" w:eastAsia="zh-CN"/>
        </w:rPr>
        <w:t>24</w:t>
      </w:r>
      <w:r>
        <w:rPr>
          <w:rStyle w:val="76"/>
          <w:rFonts w:hint="eastAsia" w:ascii="宋体" w:hAnsi="宋体" w:eastAsia="宋体" w:cs="宋体"/>
          <w:snapToGrid/>
          <w:color w:val="auto"/>
          <w:kern w:val="2"/>
          <w:sz w:val="24"/>
          <w:szCs w:val="24"/>
          <w:highlight w:val="none"/>
          <w:u w:val="single"/>
          <w:lang w:val="en-US" w:eastAsia="zh-CN"/>
        </w:rPr>
        <w:t>日</w:t>
      </w:r>
      <w:r>
        <w:rPr>
          <w:rStyle w:val="76"/>
          <w:rFonts w:hint="eastAsia" w:ascii="宋体" w:hAnsi="宋体" w:cs="宋体"/>
          <w:snapToGrid/>
          <w:color w:val="auto"/>
          <w:kern w:val="2"/>
          <w:sz w:val="24"/>
          <w:szCs w:val="24"/>
          <w:highlight w:val="none"/>
          <w:u w:val="single"/>
          <w:lang w:val="en-US" w:eastAsia="zh-CN"/>
        </w:rPr>
        <w:t>14</w:t>
      </w:r>
      <w:r>
        <w:rPr>
          <w:rStyle w:val="76"/>
          <w:rFonts w:hint="eastAsia" w:ascii="宋体" w:hAnsi="宋体" w:eastAsia="宋体" w:cs="宋体"/>
          <w:snapToGrid/>
          <w:color w:val="auto"/>
          <w:kern w:val="2"/>
          <w:sz w:val="24"/>
          <w:szCs w:val="24"/>
          <w:highlight w:val="none"/>
          <w:u w:val="single"/>
        </w:rPr>
        <w:t>点</w:t>
      </w:r>
      <w:r>
        <w:rPr>
          <w:rStyle w:val="76"/>
          <w:rFonts w:hint="eastAsia" w:ascii="宋体" w:hAnsi="宋体" w:cs="宋体"/>
          <w:snapToGrid/>
          <w:color w:val="auto"/>
          <w:kern w:val="2"/>
          <w:sz w:val="24"/>
          <w:szCs w:val="24"/>
          <w:highlight w:val="none"/>
          <w:u w:val="single"/>
          <w:lang w:val="en-US" w:eastAsia="zh-CN"/>
        </w:rPr>
        <w:t>00</w:t>
      </w:r>
      <w:r>
        <w:rPr>
          <w:rStyle w:val="76"/>
          <w:rFonts w:hint="eastAsia" w:ascii="宋体" w:hAnsi="宋体" w:eastAsia="宋体" w:cs="宋体"/>
          <w:snapToGrid/>
          <w:color w:val="auto"/>
          <w:kern w:val="2"/>
          <w:sz w:val="24"/>
          <w:szCs w:val="24"/>
          <w:highlight w:val="none"/>
          <w:u w:val="single"/>
        </w:rPr>
        <w:t>分</w:t>
      </w:r>
      <w:r>
        <w:rPr>
          <w:rStyle w:val="76"/>
          <w:rFonts w:hint="eastAsia" w:ascii="宋体" w:hAnsi="宋体" w:eastAsia="宋体" w:cs="宋体"/>
          <w:bCs/>
          <w:snapToGrid/>
          <w:color w:val="auto"/>
          <w:kern w:val="2"/>
          <w:sz w:val="24"/>
          <w:szCs w:val="24"/>
          <w:highlight w:val="none"/>
          <w:u w:val="single"/>
        </w:rPr>
        <w:t>00秒</w:t>
      </w:r>
      <w:r>
        <w:rPr>
          <w:rFonts w:hint="eastAsia" w:ascii="宋体" w:hAnsi="宋体" w:eastAsia="宋体" w:cs="宋体"/>
          <w:color w:val="auto"/>
          <w:sz w:val="24"/>
          <w:highlight w:val="none"/>
        </w:rPr>
        <w:t>（北京时间）</w:t>
      </w:r>
    </w:p>
    <w:p w14:paraId="4883BEAF">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开标地点（网址）：</w:t>
      </w:r>
      <w:r>
        <w:rPr>
          <w:rFonts w:hint="eastAsia" w:ascii="宋体" w:hAnsi="宋体" w:eastAsia="宋体" w:cs="宋体"/>
          <w:color w:val="auto"/>
          <w:sz w:val="24"/>
          <w:highlight w:val="none"/>
        </w:rPr>
        <w:t>政采云平台（https://www.zcygov.cn/）</w:t>
      </w:r>
    </w:p>
    <w:p w14:paraId="6992FF71">
      <w:pPr>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五、公告期限 </w:t>
      </w:r>
    </w:p>
    <w:p w14:paraId="38CDCFB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自本公告发布之日起5个工作日。</w:t>
      </w:r>
    </w:p>
    <w:p w14:paraId="522B89E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六、其他补充事宜</w:t>
      </w:r>
    </w:p>
    <w:p w14:paraId="760708A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4B4AB9F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677118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1E0A8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项目是否接收备份文件，以前附表说明为准。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01AD1269">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七、对本次采购提出询问、质疑、投诉，请按以下方式联系</w:t>
      </w:r>
    </w:p>
    <w:p w14:paraId="72D3758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1.采购人信息</w:t>
      </w:r>
    </w:p>
    <w:p w14:paraId="2F3236C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名    称：</w:t>
      </w:r>
      <w:r>
        <w:rPr>
          <w:rFonts w:hint="eastAsia" w:ascii="宋体" w:hAnsi="宋体" w:cs="宋体"/>
          <w:color w:val="auto"/>
          <w:sz w:val="24"/>
          <w:highlight w:val="none"/>
          <w:lang w:eastAsia="zh-CN"/>
        </w:rPr>
        <w:t>杭州市余杭区人民政府中泰街道办事处</w:t>
      </w:r>
    </w:p>
    <w:p w14:paraId="5D541A2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地    址：</w:t>
      </w:r>
      <w:r>
        <w:rPr>
          <w:rFonts w:hint="eastAsia" w:ascii="宋体" w:hAnsi="宋体" w:cs="宋体"/>
          <w:color w:val="auto"/>
          <w:sz w:val="24"/>
          <w:highlight w:val="none"/>
          <w:lang w:eastAsia="zh-CN"/>
        </w:rPr>
        <w:t>杭州市余杭区人民政府中泰街道办事处</w:t>
      </w:r>
    </w:p>
    <w:p w14:paraId="124B48F1">
      <w:pPr>
        <w:spacing w:line="360" w:lineRule="auto"/>
        <w:ind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传    真： /</w:t>
      </w:r>
    </w:p>
    <w:p w14:paraId="579F4E99">
      <w:pPr>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项目联系人（询问）：</w:t>
      </w:r>
      <w:r>
        <w:rPr>
          <w:rFonts w:hint="eastAsia" w:ascii="宋体" w:hAnsi="宋体" w:cs="宋体"/>
          <w:color w:val="auto"/>
          <w:sz w:val="24"/>
          <w:highlight w:val="none"/>
          <w:lang w:val="en-US" w:eastAsia="zh-CN"/>
        </w:rPr>
        <w:t xml:space="preserve">金工 </w:t>
      </w:r>
    </w:p>
    <w:p w14:paraId="3AD69768">
      <w:pPr>
        <w:spacing w:line="360" w:lineRule="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 xml:space="preserve">    项目联系方式（询问）：</w:t>
      </w:r>
      <w:r>
        <w:rPr>
          <w:rFonts w:hint="eastAsia" w:ascii="宋体" w:hAnsi="宋体" w:cs="宋体"/>
          <w:color w:val="auto"/>
          <w:sz w:val="24"/>
          <w:szCs w:val="28"/>
          <w:highlight w:val="none"/>
          <w:lang w:val="en-US" w:eastAsia="zh-CN"/>
        </w:rPr>
        <w:t xml:space="preserve"> 057188633107</w:t>
      </w:r>
    </w:p>
    <w:p w14:paraId="12DF2CD2">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 xml:space="preserve">    质疑联系人：</w:t>
      </w:r>
      <w:r>
        <w:rPr>
          <w:rFonts w:hint="eastAsia" w:ascii="宋体" w:hAnsi="宋体" w:eastAsia="宋体" w:cs="宋体"/>
          <w:i w:val="0"/>
          <w:iCs w:val="0"/>
          <w:caps w:val="0"/>
          <w:color w:val="auto"/>
          <w:spacing w:val="0"/>
          <w:sz w:val="24"/>
          <w:szCs w:val="24"/>
          <w:highlight w:val="none"/>
          <w:shd w:val="clear"/>
        </w:rPr>
        <w:t>金斐斐</w:t>
      </w:r>
      <w:r>
        <w:rPr>
          <w:rFonts w:hint="eastAsia" w:ascii="宋体" w:hAnsi="宋体" w:cs="宋体"/>
          <w:color w:val="auto"/>
          <w:sz w:val="24"/>
          <w:highlight w:val="none"/>
          <w:lang w:val="en-US" w:eastAsia="zh-CN"/>
        </w:rPr>
        <w:t xml:space="preserve"> </w:t>
      </w:r>
    </w:p>
    <w:p w14:paraId="70EEF85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质疑联系方式：</w:t>
      </w:r>
      <w:r>
        <w:rPr>
          <w:rFonts w:hint="eastAsia" w:ascii="宋体" w:hAnsi="宋体" w:cs="宋体"/>
          <w:color w:val="auto"/>
          <w:sz w:val="24"/>
          <w:szCs w:val="28"/>
          <w:highlight w:val="none"/>
          <w:lang w:val="en-US" w:eastAsia="zh-CN"/>
        </w:rPr>
        <w:t>15857158985</w:t>
      </w:r>
      <w:r>
        <w:rPr>
          <w:rFonts w:hint="eastAsia" w:ascii="宋体" w:hAnsi="宋体" w:eastAsia="宋体" w:cs="宋体"/>
          <w:color w:val="auto"/>
          <w:sz w:val="24"/>
          <w:highlight w:val="none"/>
          <w:lang w:val="en-US" w:eastAsia="zh-CN"/>
        </w:rPr>
        <w:t>（请通过以下路径在线提起质疑：政采云-项目采购-询问质疑投诉-质疑列表）</w:t>
      </w:r>
    </w:p>
    <w:p w14:paraId="1BB7037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2.采购代理机构信息            </w:t>
      </w:r>
    </w:p>
    <w:p w14:paraId="4E659BFD">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w:t>
      </w:r>
      <w:r>
        <w:rPr>
          <w:rFonts w:hint="eastAsia" w:ascii="宋体" w:hAnsi="宋体" w:cs="宋体"/>
          <w:color w:val="auto"/>
          <w:sz w:val="24"/>
          <w:highlight w:val="none"/>
          <w:lang w:eastAsia="zh-CN"/>
        </w:rPr>
        <w:t>浙江建友工程咨询有限公司</w:t>
      </w:r>
    </w:p>
    <w:p w14:paraId="08DF9CEE">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cs="宋体"/>
          <w:color w:val="auto"/>
          <w:sz w:val="24"/>
          <w:highlight w:val="none"/>
          <w:lang w:val="en-US" w:eastAsia="zh-CN"/>
        </w:rPr>
        <w:t xml:space="preserve">西港发展中心西7幢 </w:t>
      </w:r>
    </w:p>
    <w:p w14:paraId="0B4B084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传    真：/ </w:t>
      </w:r>
    </w:p>
    <w:p w14:paraId="6B404370">
      <w:pPr>
        <w:spacing w:line="360" w:lineRule="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 xml:space="preserve">    项目联系人（询问）：</w:t>
      </w:r>
      <w:r>
        <w:rPr>
          <w:rFonts w:hint="eastAsia" w:ascii="宋体" w:hAnsi="宋体" w:cs="宋体"/>
          <w:color w:val="auto"/>
          <w:sz w:val="24"/>
          <w:highlight w:val="none"/>
          <w:lang w:val="en-US" w:eastAsia="zh-CN"/>
        </w:rPr>
        <w:t xml:space="preserve"> 梅工</w:t>
      </w:r>
    </w:p>
    <w:p w14:paraId="5C1B1A48">
      <w:pPr>
        <w:spacing w:line="360" w:lineRule="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 xml:space="preserve">    项目联系方式（询问）：</w:t>
      </w:r>
      <w:r>
        <w:rPr>
          <w:rFonts w:hint="eastAsia" w:ascii="宋体" w:hAnsi="宋体" w:cs="宋体"/>
          <w:color w:val="auto"/>
          <w:sz w:val="24"/>
          <w:highlight w:val="none"/>
          <w:lang w:val="en-US" w:eastAsia="zh-CN"/>
        </w:rPr>
        <w:t xml:space="preserve"> 17826732531</w:t>
      </w:r>
    </w:p>
    <w:p w14:paraId="3D89F514">
      <w:pPr>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 xml:space="preserve">    质疑联系人：</w:t>
      </w:r>
      <w:r>
        <w:rPr>
          <w:rFonts w:hint="eastAsia" w:ascii="宋体" w:hAnsi="宋体" w:cs="宋体"/>
          <w:color w:val="auto"/>
          <w:sz w:val="24"/>
          <w:highlight w:val="none"/>
          <w:lang w:val="en-US" w:eastAsia="zh-CN"/>
        </w:rPr>
        <w:t xml:space="preserve"> 董晓梦</w:t>
      </w:r>
    </w:p>
    <w:p w14:paraId="2ADA40E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质疑联系方式：</w:t>
      </w:r>
      <w:r>
        <w:rPr>
          <w:rFonts w:hint="eastAsia" w:ascii="宋体" w:hAnsi="宋体" w:cs="宋体"/>
          <w:color w:val="auto"/>
          <w:sz w:val="24"/>
          <w:highlight w:val="none"/>
          <w:lang w:val="en-US" w:eastAsia="zh-CN"/>
        </w:rPr>
        <w:t xml:space="preserve">15068833611 </w:t>
      </w:r>
      <w:r>
        <w:rPr>
          <w:rFonts w:hint="eastAsia" w:ascii="宋体" w:hAnsi="宋体" w:eastAsia="宋体" w:cs="宋体"/>
          <w:color w:val="auto"/>
          <w:sz w:val="24"/>
          <w:highlight w:val="none"/>
          <w:lang w:val="en-US" w:eastAsia="zh-CN"/>
        </w:rPr>
        <w:t>（请通过以下路径在线提起质疑：政采云-项目采购-询问质疑投诉-质疑列表）</w:t>
      </w:r>
    </w:p>
    <w:p w14:paraId="35D7F3E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 xml:space="preserve">同级政府采购监督管理部门            </w:t>
      </w:r>
    </w:p>
    <w:p w14:paraId="09E14B77">
      <w:pPr>
        <w:spacing w:line="360" w:lineRule="auto"/>
        <w:ind w:firstLine="42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名 称：杭州市余杭区财政局政府采购监管科 </w:t>
      </w:r>
    </w:p>
    <w:p w14:paraId="1F715471">
      <w:pPr>
        <w:spacing w:line="360" w:lineRule="auto"/>
        <w:ind w:firstLine="42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址：杭州市余杭区文一西路1500号8号楼1201</w:t>
      </w:r>
    </w:p>
    <w:p w14:paraId="6E2DDB74">
      <w:pPr>
        <w:spacing w:line="360" w:lineRule="auto"/>
        <w:ind w:firstLine="42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 /</w:t>
      </w:r>
    </w:p>
    <w:p w14:paraId="215507FF">
      <w:pPr>
        <w:spacing w:line="360" w:lineRule="auto"/>
        <w:ind w:firstLine="42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 ：张女士</w:t>
      </w:r>
    </w:p>
    <w:p w14:paraId="48227689">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监督投诉电话：0571-89516936 </w:t>
      </w:r>
      <w:r>
        <w:rPr>
          <w:rFonts w:hint="eastAsia" w:ascii="宋体" w:hAnsi="宋体" w:cs="宋体"/>
          <w:color w:val="auto"/>
          <w:sz w:val="24"/>
          <w:highlight w:val="none"/>
          <w:lang w:val="en-US" w:eastAsia="zh-CN"/>
        </w:rPr>
        <w:t xml:space="preserve"> </w:t>
      </w:r>
    </w:p>
    <w:p w14:paraId="2571962E">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2654BED0">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CA问题联系电话（人工）：汇信CA 400-888-4636；天谷CA 400-087-8198。</w:t>
      </w:r>
    </w:p>
    <w:p w14:paraId="63EE2319">
      <w:pPr>
        <w:widowControl/>
        <w:adjustRightInd/>
        <w:jc w:val="left"/>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br w:type="page"/>
      </w:r>
    </w:p>
    <w:p w14:paraId="546DAD3D">
      <w:pPr>
        <w:adjustRightInd/>
        <w:spacing w:line="360" w:lineRule="auto"/>
        <w:jc w:val="center"/>
        <w:outlineLvl w:val="0"/>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第二部分</w:t>
      </w:r>
      <w:bookmarkEnd w:id="4"/>
      <w:r>
        <w:rPr>
          <w:rFonts w:hint="eastAsia" w:ascii="宋体" w:hAnsi="宋体" w:eastAsia="宋体" w:cs="宋体"/>
          <w:b/>
          <w:color w:val="auto"/>
          <w:sz w:val="36"/>
          <w:szCs w:val="20"/>
          <w:highlight w:val="none"/>
        </w:rPr>
        <w:t xml:space="preserve"> 投标人须知</w:t>
      </w:r>
      <w:bookmarkEnd w:id="5"/>
    </w:p>
    <w:p w14:paraId="47D94A84">
      <w:pPr>
        <w:adjustRightInd/>
        <w:spacing w:line="360" w:lineRule="auto"/>
        <w:ind w:firstLine="3845" w:firstLineChars="1197"/>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前附表</w:t>
      </w:r>
    </w:p>
    <w:tbl>
      <w:tblPr>
        <w:tblStyle w:val="62"/>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7B7361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6ED86E81">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215AB50B">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66013589">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本项目的特别规定</w:t>
            </w:r>
          </w:p>
        </w:tc>
      </w:tr>
      <w:tr w14:paraId="73C25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2968F8D">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0DA2A589">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项目属性与核心产品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1BFB839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服务类。</w:t>
            </w:r>
          </w:p>
        </w:tc>
      </w:tr>
      <w:tr w14:paraId="1D8783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65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F8953C1">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1E132F50">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15E80946">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（1）标的：</w:t>
            </w:r>
            <w:r>
              <w:rPr>
                <w:rFonts w:hint="eastAsia" w:ascii="宋体" w:hAnsi="宋体" w:cs="宋体"/>
                <w:color w:val="auto"/>
                <w:sz w:val="24"/>
                <w:highlight w:val="none"/>
                <w:u w:val="single"/>
                <w:lang w:eastAsia="zh-CN"/>
              </w:rPr>
              <w:t>南湖小镇三期安置农居点市政基础配套建设工程(一期）桩基检测及基坑监测</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lang w:val="en-US" w:eastAsia="zh-CN"/>
              </w:rPr>
              <w:t>建筑业</w:t>
            </w:r>
            <w:r>
              <w:rPr>
                <w:rFonts w:hint="eastAsia" w:ascii="宋体" w:hAnsi="宋体" w:eastAsia="宋体" w:cs="宋体"/>
                <w:color w:val="auto"/>
                <w:sz w:val="24"/>
                <w:highlight w:val="none"/>
              </w:rPr>
              <w:t>行业；</w:t>
            </w:r>
          </w:p>
          <w:p w14:paraId="13638BE8">
            <w:pPr>
              <w:rPr>
                <w:rFonts w:hint="eastAsia" w:ascii="宋体" w:hAnsi="宋体" w:eastAsia="宋体" w:cs="宋体"/>
                <w:color w:val="auto"/>
                <w:highlight w:val="none"/>
              </w:rPr>
            </w:pPr>
            <w:r>
              <w:rPr>
                <w:rFonts w:hint="eastAsia" w:ascii="宋体" w:hAnsi="宋体" w:eastAsia="宋体" w:cs="宋体"/>
                <w:b w:val="0"/>
                <w:color w:val="auto"/>
                <w:sz w:val="24"/>
                <w:szCs w:val="24"/>
                <w:highlight w:val="none"/>
                <w:lang w:val="en-US" w:eastAsia="zh-CN"/>
              </w:rPr>
              <w:t>注：</w:t>
            </w:r>
            <w:r>
              <w:rPr>
                <w:rFonts w:hint="eastAsia" w:ascii="宋体" w:hAnsi="宋体" w:eastAsia="宋体" w:cs="宋体"/>
                <w:b w:val="0"/>
                <w:color w:val="auto"/>
                <w:sz w:val="24"/>
                <w:szCs w:val="24"/>
                <w:highlight w:val="none"/>
              </w:rPr>
              <w:t>中小企业</w:t>
            </w:r>
            <w:r>
              <w:rPr>
                <w:rFonts w:hint="eastAsia" w:ascii="宋体" w:hAnsi="宋体" w:eastAsia="宋体" w:cs="宋体"/>
                <w:b w:val="0"/>
                <w:color w:val="auto"/>
                <w:sz w:val="24"/>
                <w:szCs w:val="24"/>
                <w:highlight w:val="none"/>
                <w:lang w:val="en-US" w:eastAsia="zh-CN"/>
              </w:rPr>
              <w:t>划型标准详见</w:t>
            </w:r>
            <w:r>
              <w:rPr>
                <w:rFonts w:hint="eastAsia" w:ascii="宋体" w:hAnsi="宋体" w:eastAsia="宋体" w:cs="宋体"/>
                <w:b w:val="0"/>
                <w:color w:val="auto"/>
                <w:sz w:val="24"/>
                <w:szCs w:val="24"/>
                <w:highlight w:val="none"/>
              </w:rPr>
              <w:t>附件</w:t>
            </w:r>
            <w:r>
              <w:rPr>
                <w:rFonts w:hint="eastAsia" w:ascii="宋体" w:hAnsi="宋体" w:eastAsia="宋体" w:cs="宋体"/>
                <w:b w:val="0"/>
                <w:color w:val="auto"/>
                <w:sz w:val="24"/>
                <w:szCs w:val="24"/>
                <w:highlight w:val="none"/>
                <w:lang w:val="en-US" w:eastAsia="zh-CN"/>
              </w:rPr>
              <w:t>8。</w:t>
            </w:r>
          </w:p>
        </w:tc>
      </w:tr>
      <w:tr w14:paraId="2471E1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85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897FED2">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561B7CED">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20DD4D6E">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F0FE"/>
            </w:r>
            <w:r>
              <w:rPr>
                <w:rFonts w:hint="eastAsia" w:ascii="宋体" w:hAnsi="宋体" w:eastAsia="宋体" w:cs="宋体"/>
                <w:color w:val="auto"/>
                <w:sz w:val="24"/>
                <w:szCs w:val="24"/>
                <w:highlight w:val="none"/>
              </w:rPr>
              <w:t>本项目不允许采购进口产品。</w:t>
            </w:r>
          </w:p>
          <w:p w14:paraId="414031F5">
            <w:pPr>
              <w:bidi w:val="0"/>
              <w:rPr>
                <w:rFonts w:hint="eastAsia" w:ascii="宋体" w:hAnsi="宋体" w:eastAsia="宋体" w:cs="宋体"/>
                <w:color w:val="auto"/>
                <w:highlight w:val="none"/>
              </w:rPr>
            </w:pPr>
            <w:r>
              <w:rPr>
                <w:rFonts w:hint="eastAsia" w:ascii="宋体" w:hAnsi="宋体" w:eastAsia="宋体" w:cs="宋体"/>
                <w:color w:val="auto"/>
                <w:sz w:val="24"/>
                <w:szCs w:val="24"/>
                <w:highlight w:val="none"/>
              </w:rPr>
              <w:t>☐可以就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采购进口产品。</w:t>
            </w:r>
            <w:r>
              <w:rPr>
                <w:rFonts w:hint="eastAsia" w:ascii="宋体" w:hAnsi="宋体" w:eastAsia="宋体" w:cs="宋体"/>
                <w:color w:val="auto"/>
                <w:kern w:val="0"/>
                <w:sz w:val="24"/>
                <w:szCs w:val="24"/>
                <w:highlight w:val="none"/>
              </w:rPr>
              <w:t>优先采购向我国企业转让技术、与我国企业签订消化吸收再创新方案的供应商的进口产品，详见</w:t>
            </w:r>
            <w:r>
              <w:rPr>
                <w:rFonts w:hint="eastAsia" w:ascii="宋体" w:hAnsi="宋体" w:eastAsia="宋体" w:cs="宋体"/>
                <w:color w:val="auto"/>
                <w:kern w:val="0"/>
                <w:sz w:val="24"/>
                <w:szCs w:val="24"/>
                <w:highlight w:val="none"/>
                <w:u w:val="single"/>
              </w:rPr>
              <w:t>评分标准</w:t>
            </w:r>
            <w:r>
              <w:rPr>
                <w:rFonts w:hint="eastAsia" w:ascii="宋体" w:hAnsi="宋体" w:eastAsia="宋体" w:cs="宋体"/>
                <w:color w:val="auto"/>
                <w:kern w:val="0"/>
                <w:sz w:val="24"/>
                <w:szCs w:val="24"/>
                <w:highlight w:val="none"/>
              </w:rPr>
              <w:t>。</w:t>
            </w:r>
          </w:p>
        </w:tc>
      </w:tr>
      <w:tr w14:paraId="1B2CDA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69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165180D">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249A04B4">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3B2FFD04">
            <w:pPr>
              <w:spacing w:line="360" w:lineRule="auto"/>
              <w:rPr>
                <w:rFonts w:hint="eastAsia" w:ascii="宋体" w:hAnsi="宋体" w:eastAsia="宋体" w:cs="宋体"/>
                <w:color w:val="auto"/>
                <w:sz w:val="24"/>
                <w:szCs w:val="24"/>
                <w:highlight w:val="none"/>
              </w:rPr>
            </w:pPr>
            <w:r>
              <w:rPr>
                <w:rFonts w:hint="eastAsia" w:ascii="Wingdings" w:hAnsi="Wingdings" w:eastAsia="宋体" w:cs="宋体"/>
                <w:color w:val="auto"/>
                <w:kern w:val="0"/>
                <w:sz w:val="24"/>
                <w:szCs w:val="24"/>
                <w:highlight w:val="none"/>
                <w:lang w:val="en-US" w:eastAsia="zh-CN" w:bidi="ar-SA"/>
              </w:rPr>
              <w:t>þ</w:t>
            </w:r>
            <w:r>
              <w:rPr>
                <w:rFonts w:hint="eastAsia" w:ascii="宋体" w:hAnsi="宋体" w:eastAsia="宋体" w:cs="宋体"/>
                <w:color w:val="auto"/>
                <w:kern w:val="0"/>
                <w:sz w:val="24"/>
                <w:szCs w:val="24"/>
                <w:highlight w:val="none"/>
              </w:rPr>
              <w:t xml:space="preserve"> A</w:t>
            </w:r>
            <w:r>
              <w:rPr>
                <w:rFonts w:hint="eastAsia" w:ascii="宋体" w:hAnsi="宋体" w:eastAsia="宋体" w:cs="宋体"/>
                <w:color w:val="auto"/>
                <w:sz w:val="24"/>
                <w:szCs w:val="24"/>
                <w:highlight w:val="none"/>
              </w:rPr>
              <w:t>同意将非主体、非关键性的工作分包。</w:t>
            </w:r>
          </w:p>
          <w:p w14:paraId="3E3C245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B</w:t>
            </w:r>
            <w:r>
              <w:rPr>
                <w:rFonts w:hint="eastAsia" w:ascii="宋体" w:hAnsi="宋体" w:eastAsia="宋体" w:cs="宋体"/>
                <w:color w:val="auto"/>
                <w:sz w:val="24"/>
                <w:szCs w:val="24"/>
                <w:highlight w:val="none"/>
              </w:rPr>
              <w:t>不同意分包。</w:t>
            </w:r>
          </w:p>
          <w:p w14:paraId="4496484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注：不得限制大中型企业向小微企业合理分包。</w:t>
            </w:r>
          </w:p>
        </w:tc>
      </w:tr>
      <w:tr w14:paraId="3C818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A60E248">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66DB4C81">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61FAD2D1">
            <w:pPr>
              <w:spacing w:line="360" w:lineRule="auto"/>
              <w:rPr>
                <w:rFonts w:hint="eastAsia" w:ascii="宋体" w:hAnsi="宋体" w:eastAsia="宋体" w:cs="宋体"/>
                <w:color w:val="auto"/>
                <w:sz w:val="24"/>
                <w:highlight w:val="none"/>
              </w:rPr>
            </w:pPr>
            <w:r>
              <w:rPr>
                <w:rFonts w:hint="eastAsia" w:ascii="Wingdings" w:hAnsi="Wingdings" w:eastAsia="宋体" w:cs="宋体"/>
                <w:color w:val="auto"/>
                <w:kern w:val="0"/>
                <w:sz w:val="24"/>
                <w:szCs w:val="24"/>
                <w:highlight w:val="none"/>
                <w:lang w:val="en-US" w:eastAsia="zh-CN" w:bidi="ar-SA"/>
              </w:rPr>
              <w:t>þ</w:t>
            </w:r>
            <w:r>
              <w:rPr>
                <w:rFonts w:hint="eastAsia" w:ascii="宋体" w:hAnsi="宋体" w:eastAsia="宋体" w:cs="宋体"/>
                <w:color w:val="auto"/>
                <w:kern w:val="0"/>
                <w:sz w:val="24"/>
                <w:highlight w:val="none"/>
              </w:rPr>
              <w:t>A</w:t>
            </w:r>
            <w:r>
              <w:rPr>
                <w:rFonts w:hint="eastAsia" w:ascii="宋体" w:hAnsi="宋体" w:eastAsia="宋体" w:cs="宋体"/>
                <w:color w:val="auto"/>
                <w:sz w:val="24"/>
                <w:highlight w:val="none"/>
              </w:rPr>
              <w:t>不组织。</w:t>
            </w:r>
          </w:p>
          <w:p w14:paraId="5E4E0938">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kern w:val="0"/>
                <w:sz w:val="24"/>
                <w:highlight w:val="none"/>
              </w:rPr>
              <w:t>☐B组织，</w:t>
            </w: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0"/>
                <w:highlight w:val="none"/>
              </w:rPr>
              <w:t>。</w:t>
            </w:r>
          </w:p>
          <w:p w14:paraId="7CEA0DDE">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2"/>
                <w:sz w:val="24"/>
                <w:szCs w:val="24"/>
                <w:highlight w:val="none"/>
                <w:lang w:val="en-US" w:eastAsia="zh-CN" w:bidi="ar-SA"/>
              </w:rPr>
              <w:t>C不统一组织，供应商在获取采购文件后，自行至项目现场考察。</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2"/>
                <w:sz w:val="24"/>
                <w:szCs w:val="24"/>
                <w:highlight w:val="none"/>
                <w:lang w:val="en-US" w:eastAsia="zh-CN" w:bidi="ar-SA"/>
              </w:rPr>
              <w:t>。</w:t>
            </w:r>
          </w:p>
        </w:tc>
      </w:tr>
      <w:tr w14:paraId="7D5ACE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6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30CD20D">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0A101FC6">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73EB5368">
            <w:pPr>
              <w:spacing w:line="360" w:lineRule="auto"/>
              <w:rPr>
                <w:rFonts w:hint="eastAsia" w:ascii="宋体" w:hAnsi="宋体" w:eastAsia="宋体" w:cs="宋体"/>
                <w:color w:val="auto"/>
                <w:sz w:val="24"/>
                <w:szCs w:val="24"/>
                <w:highlight w:val="none"/>
              </w:rPr>
            </w:pPr>
            <w:r>
              <w:rPr>
                <w:rFonts w:hint="eastAsia" w:ascii="Wingdings" w:hAnsi="Wingdings" w:eastAsia="宋体" w:cs="宋体"/>
                <w:color w:val="auto"/>
                <w:kern w:val="2"/>
                <w:sz w:val="24"/>
                <w:szCs w:val="24"/>
                <w:highlight w:val="none"/>
                <w:lang w:val="en-US" w:eastAsia="zh-CN" w:bidi="ar-SA"/>
              </w:rPr>
              <w:t>þ</w:t>
            </w:r>
            <w:r>
              <w:rPr>
                <w:rFonts w:hint="eastAsia" w:ascii="宋体" w:hAnsi="宋体" w:eastAsia="宋体" w:cs="宋体"/>
                <w:color w:val="auto"/>
                <w:sz w:val="24"/>
                <w:szCs w:val="24"/>
                <w:highlight w:val="none"/>
              </w:rPr>
              <w:t>A不要求提供。</w:t>
            </w:r>
          </w:p>
          <w:p w14:paraId="142E4A41">
            <w:pPr>
              <w:rPr>
                <w:rFonts w:hint="eastAsia" w:ascii="宋体" w:hAnsi="宋体" w:eastAsia="宋体" w:cs="宋体"/>
                <w:color w:val="auto"/>
                <w:highlight w:val="none"/>
              </w:rPr>
            </w:pPr>
            <w:r>
              <w:rPr>
                <w:rFonts w:hint="eastAsia" w:ascii="宋体" w:hAnsi="宋体" w:eastAsia="宋体" w:cs="宋体"/>
                <w:color w:val="auto"/>
                <w:sz w:val="24"/>
                <w:szCs w:val="24"/>
                <w:highlight w:val="none"/>
              </w:rPr>
              <w:t>☐B要求提供</w:t>
            </w:r>
            <w:r>
              <w:rPr>
                <w:rFonts w:hint="eastAsia" w:ascii="宋体" w:hAnsi="宋体" w:cs="宋体"/>
                <w:color w:val="auto"/>
                <w:sz w:val="24"/>
                <w:szCs w:val="24"/>
                <w:highlight w:val="none"/>
                <w:lang w:eastAsia="zh-CN"/>
              </w:rPr>
              <w:t>。</w:t>
            </w:r>
          </w:p>
        </w:tc>
      </w:tr>
      <w:tr w14:paraId="424882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F450A06">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11A6E5B9">
            <w:pPr>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53FD7EAE">
            <w:pPr>
              <w:spacing w:line="360" w:lineRule="auto"/>
              <w:rPr>
                <w:rFonts w:hint="eastAsia" w:ascii="宋体" w:hAnsi="宋体" w:eastAsia="宋体" w:cs="宋体"/>
                <w:color w:val="auto"/>
                <w:sz w:val="24"/>
                <w:szCs w:val="24"/>
                <w:highlight w:val="none"/>
              </w:rPr>
            </w:pPr>
            <w:r>
              <w:rPr>
                <w:rFonts w:hint="eastAsia" w:ascii="Wingdings" w:hAnsi="Wingdings" w:eastAsia="宋体" w:cs="宋体"/>
                <w:color w:val="auto"/>
                <w:kern w:val="0"/>
                <w:sz w:val="24"/>
                <w:szCs w:val="24"/>
                <w:highlight w:val="none"/>
                <w:lang w:val="en-US" w:eastAsia="zh-CN" w:bidi="ar-SA"/>
              </w:rPr>
              <w:t>þ</w:t>
            </w:r>
            <w:r>
              <w:rPr>
                <w:rFonts w:hint="eastAsia" w:ascii="宋体" w:hAnsi="宋体" w:eastAsia="宋体" w:cs="宋体"/>
                <w:color w:val="auto"/>
                <w:kern w:val="0"/>
                <w:sz w:val="24"/>
                <w:szCs w:val="24"/>
                <w:highlight w:val="none"/>
              </w:rPr>
              <w:t>A</w:t>
            </w:r>
            <w:r>
              <w:rPr>
                <w:rFonts w:hint="eastAsia" w:ascii="宋体" w:hAnsi="宋体" w:eastAsia="宋体" w:cs="宋体"/>
                <w:color w:val="auto"/>
                <w:sz w:val="24"/>
                <w:szCs w:val="24"/>
                <w:highlight w:val="none"/>
              </w:rPr>
              <w:t>不组织。</w:t>
            </w:r>
          </w:p>
          <w:p w14:paraId="68371B0C">
            <w:pPr>
              <w:spacing w:line="360" w:lineRule="auto"/>
              <w:rPr>
                <w:rFonts w:hint="eastAsia" w:ascii="宋体" w:hAnsi="宋体" w:eastAsia="宋体" w:cs="宋体"/>
                <w:b/>
                <w:color w:val="auto"/>
                <w:kern w:val="0"/>
                <w:sz w:val="24"/>
                <w:highlight w:val="none"/>
                <w:lang w:val="zh-CN"/>
              </w:rPr>
            </w:pPr>
            <w:r>
              <w:rPr>
                <w:rFonts w:hint="eastAsia" w:ascii="MS Gothic" w:hAnsi="MS Gothic"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rPr>
              <w:t>B组织。</w:t>
            </w:r>
          </w:p>
        </w:tc>
      </w:tr>
      <w:tr w14:paraId="245A36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71EF4CA6">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18037D26">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4706FA6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（1）资格证明文件：见招标文件第二部分11.1。</w:t>
            </w:r>
          </w:p>
          <w:p w14:paraId="4802D0BE">
            <w:pPr>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color w:val="auto"/>
                <w:kern w:val="0"/>
                <w:sz w:val="24"/>
                <w:szCs w:val="24"/>
                <w:highlight w:val="none"/>
                <w:lang w:val="zh-CN"/>
              </w:rPr>
              <w:t>投标人未提供有效的资格证明文件的，视为投标人不具备招标文件中规定的资格要求，投标无效。</w:t>
            </w:r>
          </w:p>
        </w:tc>
      </w:tr>
      <w:tr w14:paraId="663BEB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vAlign w:val="center"/>
          </w:tcPr>
          <w:p w14:paraId="00CE0CB9">
            <w:pPr>
              <w:snapToGrid w:val="0"/>
              <w:spacing w:line="360" w:lineRule="auto"/>
              <w:jc w:val="center"/>
              <w:rPr>
                <w:rFonts w:hint="eastAsia" w:ascii="宋体" w:hAnsi="宋体" w:eastAsia="宋体" w:cs="宋体"/>
                <w:color w:val="auto"/>
                <w:sz w:val="24"/>
                <w:szCs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67ABABA4">
            <w:pPr>
              <w:snapToGrid w:val="0"/>
              <w:spacing w:line="360" w:lineRule="auto"/>
              <w:jc w:val="center"/>
              <w:rPr>
                <w:rFonts w:hint="eastAsia" w:ascii="宋体" w:hAnsi="宋体" w:eastAsia="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3C3E365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（2）资信证明文件：根据招标文件第四部分评标标准提供</w:t>
            </w:r>
            <w:r>
              <w:rPr>
                <w:rFonts w:hint="eastAsia" w:ascii="宋体" w:hAnsi="宋体" w:eastAsia="宋体" w:cs="宋体"/>
                <w:color w:val="auto"/>
                <w:sz w:val="24"/>
                <w:highlight w:val="none"/>
                <w:u w:val="none"/>
                <w:lang w:val="en-US" w:eastAsia="zh-CN"/>
              </w:rPr>
              <w:t>有效的</w:t>
            </w:r>
            <w:r>
              <w:rPr>
                <w:rFonts w:hint="eastAsia" w:ascii="宋体" w:hAnsi="宋体" w:eastAsia="宋体" w:cs="宋体"/>
                <w:color w:val="auto"/>
                <w:sz w:val="24"/>
                <w:highlight w:val="none"/>
                <w:u w:val="none"/>
              </w:rPr>
              <w:t>资信证明文件</w:t>
            </w:r>
            <w:r>
              <w:rPr>
                <w:rFonts w:hint="eastAsia" w:ascii="宋体" w:hAnsi="宋体" w:eastAsia="宋体" w:cs="宋体"/>
                <w:color w:val="auto"/>
                <w:sz w:val="24"/>
                <w:szCs w:val="24"/>
                <w:highlight w:val="none"/>
                <w:u w:val="none"/>
              </w:rPr>
              <w:t>。</w:t>
            </w:r>
          </w:p>
        </w:tc>
      </w:tr>
      <w:tr w14:paraId="5689BD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2902AA8">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78E19158">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32B3C7D0">
            <w:pPr>
              <w:shd w:val="clear" w:color="auto" w:fill="auto"/>
              <w:snapToGrid/>
              <w:spacing w:line="360" w:lineRule="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采购人拟采购的产品属于品目清单范围的，采购人将依据国家确定的认证机构出具的、处于有效期之内的节能产品、环境标志产品认证证书，对获得证书的产品实施政府优先采购</w:t>
            </w:r>
            <w:r>
              <w:rPr>
                <w:rFonts w:hint="eastAsia" w:ascii="宋体" w:hAnsi="宋体" w:eastAsia="宋体" w:cs="宋体"/>
                <w:color w:val="auto"/>
                <w:kern w:val="2"/>
                <w:sz w:val="24"/>
                <w:szCs w:val="24"/>
                <w:highlight w:val="none"/>
                <w:shd w:val="clear" w:color="auto" w:fill="auto"/>
                <w:lang w:val="en-US" w:eastAsia="zh-CN" w:bidi="ar-SA"/>
              </w:rPr>
              <w:t>或强制采购。</w:t>
            </w:r>
          </w:p>
          <w:p w14:paraId="35ECE8EA">
            <w:pPr>
              <w:pStyle w:val="963"/>
              <w:pageBreakBefore w:val="0"/>
              <w:shd w:val="clear" w:color="auto" w:fill="auto"/>
              <w:kinsoku/>
              <w:wordWrap/>
              <w:overflowPunct/>
              <w:topLinePunct w:val="0"/>
              <w:bidi w:val="0"/>
              <w:snapToGrid/>
              <w:spacing w:line="360" w:lineRule="auto"/>
              <w:jc w:val="both"/>
              <w:textAlignment w:val="auto"/>
              <w:rPr>
                <w:rFonts w:hint="eastAsia" w:ascii="宋体" w:hAnsi="宋体" w:eastAsia="宋体" w:cs="宋体"/>
                <w:color w:val="auto"/>
                <w:kern w:val="0"/>
                <w:sz w:val="24"/>
                <w:highlight w:val="none"/>
                <w:shd w:val="clear" w:color="auto" w:fill="auto"/>
                <w:lang w:val="zh-CN"/>
              </w:rPr>
            </w:pPr>
            <w:r>
              <w:rPr>
                <w:rFonts w:hint="eastAsia" w:ascii="宋体" w:hAnsi="宋体" w:eastAsia="宋体" w:cs="宋体"/>
                <w:color w:val="auto"/>
                <w:kern w:val="2"/>
                <w:sz w:val="24"/>
                <w:szCs w:val="24"/>
                <w:highlight w:val="none"/>
                <w:shd w:val="clear" w:color="auto" w:fill="auto"/>
                <w:lang w:val="en-US" w:eastAsia="zh-CN" w:bidi="ar-SA"/>
              </w:rPr>
              <w:t>☐强制采购。产品：</w:t>
            </w:r>
            <w:r>
              <w:rPr>
                <w:rFonts w:hint="eastAsia" w:ascii="宋体" w:hAnsi="宋体" w:eastAsia="宋体" w:cs="宋体"/>
                <w:color w:val="auto"/>
                <w:kern w:val="2"/>
                <w:sz w:val="24"/>
                <w:szCs w:val="24"/>
                <w:highlight w:val="none"/>
                <w:u w:val="single"/>
                <w:shd w:val="clear" w:color="auto" w:fill="auto"/>
                <w:lang w:val="en-US" w:eastAsia="zh-CN" w:bidi="ar-SA"/>
              </w:rPr>
              <w:t xml:space="preserve">        </w:t>
            </w:r>
            <w:r>
              <w:rPr>
                <w:rFonts w:hint="eastAsia" w:ascii="宋体" w:hAnsi="宋体" w:eastAsia="宋体" w:cs="宋体"/>
                <w:color w:val="auto"/>
                <w:kern w:val="2"/>
                <w:sz w:val="24"/>
                <w:szCs w:val="24"/>
                <w:highlight w:val="none"/>
                <w:u w:val="none"/>
                <w:shd w:val="clear" w:color="auto" w:fill="auto"/>
                <w:lang w:val="en-US" w:eastAsia="zh-CN" w:bidi="ar-SA"/>
              </w:rPr>
              <w:t>。</w:t>
            </w:r>
            <w:r>
              <w:rPr>
                <w:rFonts w:hint="eastAsia" w:ascii="宋体" w:hAnsi="宋体" w:eastAsia="宋体" w:cs="宋体"/>
                <w:color w:val="auto"/>
                <w:sz w:val="24"/>
                <w:highlight w:val="none"/>
                <w:shd w:val="clear" w:color="auto" w:fill="auto"/>
              </w:rPr>
              <w:t>▲</w:t>
            </w:r>
            <w:r>
              <w:rPr>
                <w:rFonts w:hint="eastAsia" w:ascii="宋体" w:hAnsi="宋体" w:eastAsia="宋体" w:cs="宋体"/>
                <w:color w:val="auto"/>
                <w:kern w:val="0"/>
                <w:sz w:val="24"/>
                <w:highlight w:val="none"/>
                <w:shd w:val="clear" w:color="auto" w:fill="auto"/>
                <w:lang w:val="zh-CN"/>
              </w:rPr>
              <w:t>对实施政府强制采购，</w:t>
            </w:r>
            <w:r>
              <w:rPr>
                <w:rFonts w:hint="eastAsia" w:ascii="宋体" w:hAnsi="宋体" w:eastAsia="宋体" w:cs="宋体"/>
                <w:b/>
                <w:bCs/>
                <w:color w:val="auto"/>
                <w:kern w:val="0"/>
                <w:sz w:val="24"/>
                <w:highlight w:val="none"/>
                <w:shd w:val="clear" w:color="auto" w:fill="auto"/>
                <w:lang w:val="zh-CN"/>
              </w:rPr>
              <w:t>投标人</w:t>
            </w:r>
            <w:r>
              <w:rPr>
                <w:rFonts w:hint="eastAsia" w:ascii="宋体" w:hAnsi="宋体" w:eastAsia="宋体" w:cs="宋体"/>
                <w:b/>
                <w:bCs/>
                <w:color w:val="auto"/>
                <w:kern w:val="0"/>
                <w:sz w:val="24"/>
                <w:highlight w:val="none"/>
                <w:shd w:val="clear" w:color="auto" w:fill="auto"/>
              </w:rPr>
              <w:t>就</w:t>
            </w:r>
            <w:r>
              <w:rPr>
                <w:rFonts w:hint="eastAsia" w:ascii="宋体" w:hAnsi="宋体" w:eastAsia="宋体" w:cs="宋体"/>
                <w:b/>
                <w:bCs/>
                <w:color w:val="auto"/>
                <w:kern w:val="0"/>
                <w:sz w:val="24"/>
                <w:highlight w:val="none"/>
                <w:shd w:val="clear" w:color="auto" w:fill="auto"/>
                <w:lang w:val="zh-CN"/>
              </w:rPr>
              <w:t>相应的投标产品未</w:t>
            </w:r>
            <w:r>
              <w:rPr>
                <w:rFonts w:hint="eastAsia" w:ascii="宋体" w:hAnsi="宋体" w:eastAsia="宋体" w:cs="宋体"/>
                <w:b/>
                <w:bCs/>
                <w:color w:val="auto"/>
                <w:kern w:val="0"/>
                <w:sz w:val="24"/>
                <w:highlight w:val="none"/>
                <w:shd w:val="clear" w:color="auto" w:fill="auto"/>
              </w:rPr>
              <w:t>提供</w:t>
            </w:r>
            <w:r>
              <w:rPr>
                <w:rFonts w:hint="eastAsia" w:ascii="宋体" w:hAnsi="宋体" w:eastAsia="宋体" w:cs="宋体"/>
                <w:b/>
                <w:bCs/>
                <w:color w:val="auto"/>
                <w:kern w:val="0"/>
                <w:sz w:val="24"/>
                <w:highlight w:val="none"/>
                <w:shd w:val="clear" w:color="auto" w:fill="auto"/>
                <w:lang w:val="zh-CN"/>
              </w:rPr>
              <w:t>国家确定的认证机构出具的、处于有效期之内的节能产品认证证书的，投标无效</w:t>
            </w:r>
            <w:r>
              <w:rPr>
                <w:rFonts w:hint="eastAsia" w:ascii="宋体" w:hAnsi="宋体" w:eastAsia="宋体" w:cs="宋体"/>
                <w:color w:val="auto"/>
                <w:kern w:val="0"/>
                <w:sz w:val="24"/>
                <w:highlight w:val="none"/>
                <w:shd w:val="clear" w:color="auto" w:fill="auto"/>
                <w:lang w:val="zh-CN"/>
              </w:rPr>
              <w:t>。</w:t>
            </w:r>
          </w:p>
          <w:p w14:paraId="1CD8E7E9">
            <w:pPr>
              <w:pStyle w:val="963"/>
              <w:pageBreakBefore w:val="0"/>
              <w:shd w:val="clear" w:color="auto" w:fill="auto"/>
              <w:kinsoku/>
              <w:wordWrap/>
              <w:overflowPunct/>
              <w:topLinePunct w:val="0"/>
              <w:bidi w:val="0"/>
              <w:snapToGrid/>
              <w:spacing w:line="360" w:lineRule="auto"/>
              <w:jc w:val="both"/>
              <w:textAlignment w:val="auto"/>
              <w:rPr>
                <w:rFonts w:hint="eastAsia" w:ascii="宋体" w:hAnsi="宋体" w:eastAsia="宋体" w:cs="宋体"/>
                <w:color w:val="auto"/>
                <w:kern w:val="2"/>
                <w:sz w:val="24"/>
                <w:szCs w:val="24"/>
                <w:highlight w:val="none"/>
                <w:u w:val="singl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□优先采购节能产品。产品：</w:t>
            </w:r>
            <w:r>
              <w:rPr>
                <w:rFonts w:hint="eastAsia" w:ascii="宋体" w:hAnsi="宋体" w:eastAsia="宋体" w:cs="宋体"/>
                <w:color w:val="auto"/>
                <w:kern w:val="2"/>
                <w:sz w:val="24"/>
                <w:szCs w:val="24"/>
                <w:highlight w:val="none"/>
                <w:u w:val="single"/>
                <w:shd w:val="clear" w:color="auto" w:fill="auto"/>
                <w:lang w:val="en-US" w:eastAsia="zh-CN" w:bidi="ar-SA"/>
              </w:rPr>
              <w:t xml:space="preserve">        </w:t>
            </w:r>
          </w:p>
          <w:p w14:paraId="60374B94">
            <w:pPr>
              <w:pStyle w:val="963"/>
              <w:pageBreakBefore w:val="0"/>
              <w:shd w:val="clear" w:color="auto" w:fill="auto"/>
              <w:kinsoku/>
              <w:wordWrap/>
              <w:overflowPunct/>
              <w:topLinePunct w:val="0"/>
              <w:bidi w:val="0"/>
              <w:snapToGrid/>
              <w:spacing w:line="360" w:lineRule="auto"/>
              <w:jc w:val="both"/>
              <w:textAlignment w:val="auto"/>
              <w:rPr>
                <w:rFonts w:hint="eastAsia" w:ascii="宋体" w:hAnsi="宋体" w:eastAsia="宋体" w:cs="宋体"/>
                <w:color w:val="auto"/>
                <w:kern w:val="2"/>
                <w:sz w:val="24"/>
                <w:szCs w:val="24"/>
                <w:highlight w:val="none"/>
                <w:u w:val="singl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□优先采购环保产品。产品：</w:t>
            </w:r>
            <w:r>
              <w:rPr>
                <w:rFonts w:hint="eastAsia" w:ascii="宋体" w:hAnsi="宋体" w:eastAsia="宋体" w:cs="宋体"/>
                <w:color w:val="auto"/>
                <w:kern w:val="2"/>
                <w:sz w:val="24"/>
                <w:szCs w:val="24"/>
                <w:highlight w:val="none"/>
                <w:u w:val="single"/>
                <w:shd w:val="clear" w:color="auto" w:fill="auto"/>
                <w:lang w:val="en-US" w:eastAsia="zh-CN" w:bidi="ar-SA"/>
              </w:rPr>
              <w:t xml:space="preserve">        </w:t>
            </w:r>
          </w:p>
          <w:p w14:paraId="71231CEA">
            <w:pP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kern w:val="2"/>
                <w:sz w:val="24"/>
                <w:szCs w:val="24"/>
                <w:highlight w:val="none"/>
                <w:lang w:val="en-US" w:eastAsia="zh-CN" w:bidi="ar-SA"/>
              </w:rPr>
              <w:sym w:font="Wingdings 2" w:char="0052"/>
            </w:r>
            <w:r>
              <w:rPr>
                <w:rFonts w:hint="eastAsia" w:ascii="宋体" w:hAnsi="宋体" w:eastAsia="宋体" w:cs="宋体"/>
                <w:color w:val="auto"/>
                <w:kern w:val="2"/>
                <w:sz w:val="24"/>
                <w:szCs w:val="24"/>
                <w:highlight w:val="none"/>
                <w:lang w:val="en-US" w:eastAsia="zh-CN" w:bidi="ar-SA"/>
              </w:rPr>
              <w:t>无。</w:t>
            </w:r>
          </w:p>
        </w:tc>
      </w:tr>
      <w:tr w14:paraId="50C04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53C81153">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11F1A89B">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070BEFC3">
            <w:pPr>
              <w:snapToGrid w:val="0"/>
              <w:spacing w:line="360" w:lineRule="auto"/>
              <w:jc w:val="left"/>
              <w:rPr>
                <w:rFonts w:hint="eastAsia" w:ascii="宋体" w:hAnsi="宋体" w:eastAsia="宋体" w:cs="宋体"/>
                <w:b/>
                <w:color w:val="auto"/>
                <w:kern w:val="0"/>
                <w:sz w:val="24"/>
                <w:szCs w:val="24"/>
                <w:highlight w:val="none"/>
                <w:lang w:val="zh-CN"/>
              </w:rPr>
            </w:pPr>
            <w:r>
              <w:rPr>
                <w:rFonts w:hint="eastAsia" w:ascii="宋体" w:hAnsi="宋体" w:eastAsia="宋体" w:cs="宋体"/>
                <w:color w:val="auto"/>
                <w:kern w:val="0"/>
                <w:sz w:val="24"/>
                <w:szCs w:val="24"/>
                <w:highlight w:val="none"/>
                <w:lang w:val="zh-CN"/>
              </w:rPr>
              <w:t>有关本项目实施所需的所有费用（含税费）均计入报价。</w:t>
            </w:r>
            <w:r>
              <w:rPr>
                <w:rFonts w:hint="eastAsia" w:ascii="宋体" w:hAnsi="宋体" w:eastAsia="宋体" w:cs="宋体"/>
                <w:b/>
                <w:bCs/>
                <w:color w:val="auto"/>
                <w:kern w:val="0"/>
                <w:sz w:val="24"/>
                <w:szCs w:val="24"/>
                <w:highlight w:val="none"/>
                <w:lang w:val="zh-CN"/>
              </w:rPr>
              <w:t>投标文件</w:t>
            </w:r>
            <w:r>
              <w:rPr>
                <w:rFonts w:hint="eastAsia" w:ascii="宋体" w:hAnsi="宋体" w:eastAsia="宋体" w:cs="宋体"/>
                <w:b/>
                <w:bCs/>
                <w:color w:val="auto"/>
                <w:sz w:val="24"/>
                <w:szCs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eastAsia="宋体" w:cs="宋体"/>
                <w:color w:val="auto"/>
                <w:kern w:val="0"/>
                <w:sz w:val="24"/>
                <w:szCs w:val="24"/>
                <w:highlight w:val="none"/>
                <w:lang w:val="zh-CN"/>
              </w:rPr>
              <w:t>投标文件中价格全部采用人民币报价。招标文件未列明，而投标人认为必需的费用也需列入报价。</w:t>
            </w:r>
            <w:r>
              <w:rPr>
                <w:rFonts w:hint="eastAsia" w:ascii="宋体" w:hAnsi="宋体" w:eastAsia="宋体" w:cs="宋体"/>
                <w:b/>
                <w:color w:val="auto"/>
                <w:kern w:val="0"/>
                <w:sz w:val="24"/>
                <w:szCs w:val="24"/>
                <w:highlight w:val="none"/>
                <w:lang w:val="zh-CN"/>
              </w:rPr>
              <w:t>提醒：验收时检测费用由采购人承担，不包含在投标总价中。</w:t>
            </w:r>
          </w:p>
          <w:p w14:paraId="3ECEFADE">
            <w:pPr>
              <w:snapToGrid w:val="0"/>
              <w:spacing w:line="360" w:lineRule="auto"/>
              <w:jc w:val="left"/>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投标报价出现下列情形的，投标无效：</w:t>
            </w:r>
          </w:p>
          <w:p w14:paraId="4F06F573">
            <w:pPr>
              <w:snapToGrid w:val="0"/>
              <w:spacing w:line="360" w:lineRule="auto"/>
              <w:ind w:firstLine="241" w:firstLineChars="100"/>
              <w:jc w:val="left"/>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投标文件出现不是唯一的、有选择性投标报价的；</w:t>
            </w:r>
          </w:p>
          <w:p w14:paraId="52763B24">
            <w:pPr>
              <w:snapToGrid w:val="0"/>
              <w:spacing w:line="360" w:lineRule="auto"/>
              <w:ind w:firstLine="241" w:firstLineChars="100"/>
              <w:jc w:val="left"/>
              <w:rPr>
                <w:rFonts w:hint="eastAsia" w:ascii="宋体" w:hAnsi="宋体" w:eastAsia="宋体" w:cs="宋体"/>
                <w:color w:val="auto"/>
                <w:kern w:val="0"/>
                <w:sz w:val="24"/>
                <w:szCs w:val="24"/>
                <w:highlight w:val="none"/>
                <w:lang w:val="zh-CN"/>
              </w:rPr>
            </w:pPr>
            <w:r>
              <w:rPr>
                <w:rFonts w:hint="eastAsia" w:ascii="宋体" w:hAnsi="宋体" w:eastAsia="宋体" w:cs="宋体"/>
                <w:b/>
                <w:color w:val="auto"/>
                <w:kern w:val="0"/>
                <w:sz w:val="24"/>
                <w:szCs w:val="24"/>
                <w:highlight w:val="none"/>
                <w:lang w:val="zh-CN"/>
              </w:rPr>
              <w:t>投标报价超过招标文件中规定的预算金额或者最高限价的;</w:t>
            </w:r>
          </w:p>
          <w:p w14:paraId="2FAB5527">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eastAsia="宋体" w:cs="宋体"/>
                <w:b/>
                <w:color w:val="auto"/>
                <w:sz w:val="24"/>
                <w:szCs w:val="24"/>
                <w:highlight w:val="none"/>
              </w:rPr>
              <w:t>;</w:t>
            </w:r>
          </w:p>
          <w:p w14:paraId="22144E45">
            <w:pPr>
              <w:spacing w:line="360" w:lineRule="auto"/>
              <w:ind w:firstLine="241" w:firstLineChars="100"/>
              <w:rPr>
                <w:rFonts w:hint="eastAsia" w:ascii="宋体" w:hAnsi="宋体" w:eastAsia="宋体" w:cs="宋体"/>
                <w:color w:val="auto"/>
                <w:sz w:val="24"/>
                <w:highlight w:val="none"/>
              </w:rPr>
            </w:pPr>
            <w:r>
              <w:rPr>
                <w:rFonts w:hint="eastAsia" w:ascii="宋体" w:hAnsi="宋体" w:eastAsia="宋体" w:cs="宋体"/>
                <w:b/>
                <w:color w:val="auto"/>
                <w:kern w:val="0"/>
                <w:sz w:val="24"/>
                <w:szCs w:val="24"/>
                <w:highlight w:val="none"/>
              </w:rPr>
              <w:t>投标人对根据修正原则修正后的报价不确认的</w:t>
            </w:r>
            <w:r>
              <w:rPr>
                <w:rFonts w:hint="eastAsia" w:ascii="宋体" w:hAnsi="宋体" w:eastAsia="宋体" w:cs="宋体"/>
                <w:b/>
                <w:color w:val="auto"/>
                <w:sz w:val="24"/>
                <w:szCs w:val="24"/>
                <w:highlight w:val="none"/>
              </w:rPr>
              <w:t>。</w:t>
            </w:r>
          </w:p>
        </w:tc>
      </w:tr>
      <w:tr w14:paraId="352FA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blHeader/>
        </w:trPr>
        <w:tc>
          <w:tcPr>
            <w:tcW w:w="629" w:type="dxa"/>
            <w:tcBorders>
              <w:top w:val="single" w:color="auto" w:sz="4" w:space="0"/>
              <w:left w:val="single" w:color="000000" w:sz="8" w:space="0"/>
              <w:right w:val="single" w:color="000000" w:sz="2" w:space="0"/>
            </w:tcBorders>
            <w:vAlign w:val="center"/>
          </w:tcPr>
          <w:p w14:paraId="7DC77102">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843" w:type="dxa"/>
            <w:tcBorders>
              <w:top w:val="single" w:color="000000" w:sz="8" w:space="0"/>
              <w:left w:val="single" w:color="000000" w:sz="2" w:space="0"/>
              <w:right w:val="single" w:color="000000" w:sz="8" w:space="0"/>
            </w:tcBorders>
            <w:vAlign w:val="center"/>
          </w:tcPr>
          <w:p w14:paraId="1FF00D3C">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67F185B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p w14:paraId="2554E4CD">
            <w:pPr>
              <w:spacing w:after="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有融资需求的中标供应商可参照相关规定及银行方案凭政府采购合同向相关合作银行提出信用融资（贷款）申请。详见</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"http://www.xiaoshan.gov.cn/art/2018/12/20/art_1229293109_1559514.html" </w:instrText>
            </w:r>
            <w:r>
              <w:rPr>
                <w:rFonts w:hint="eastAsia" w:ascii="宋体" w:hAnsi="宋体" w:eastAsia="宋体" w:cs="宋体"/>
                <w:color w:val="auto"/>
                <w:sz w:val="24"/>
                <w:szCs w:val="24"/>
                <w:highlight w:val="none"/>
              </w:rPr>
              <w:fldChar w:fldCharType="separate"/>
            </w:r>
            <w:r>
              <w:rPr>
                <w:rStyle w:val="76"/>
                <w:rFonts w:hint="eastAsia" w:ascii="宋体" w:hAnsi="宋体" w:eastAsia="宋体" w:cs="宋体"/>
                <w:snapToGrid/>
                <w:color w:val="auto"/>
                <w:sz w:val="24"/>
                <w:szCs w:val="24"/>
                <w:highlight w:val="none"/>
              </w:rPr>
              <w:t>http://www.xiaoshan.gov.cn/art/2018/12/20/art_1229293109_1559514.html</w:t>
            </w:r>
            <w:r>
              <w:rPr>
                <w:rStyle w:val="76"/>
                <w:rFonts w:hint="eastAsia" w:ascii="宋体" w:hAnsi="宋体" w:eastAsia="宋体" w:cs="宋体"/>
                <w:snapToGrid/>
                <w:color w:val="auto"/>
                <w:sz w:val="24"/>
                <w:szCs w:val="24"/>
                <w:highlight w:val="none"/>
              </w:rPr>
              <w:fldChar w:fldCharType="end"/>
            </w:r>
          </w:p>
        </w:tc>
      </w:tr>
      <w:tr w14:paraId="0CE24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329F22F0">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1F42EE05">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备份投标文件送达地点和签收人员</w:t>
            </w:r>
          </w:p>
        </w:tc>
        <w:tc>
          <w:tcPr>
            <w:tcW w:w="6095" w:type="dxa"/>
            <w:tcBorders>
              <w:top w:val="single" w:color="000000" w:sz="8" w:space="0"/>
              <w:left w:val="single" w:color="000000" w:sz="2" w:space="0"/>
              <w:bottom w:val="single" w:color="000000" w:sz="8" w:space="0"/>
              <w:right w:val="single" w:color="000000" w:sz="8" w:space="0"/>
            </w:tcBorders>
            <w:vAlign w:val="center"/>
          </w:tcPr>
          <w:p w14:paraId="786C6D06">
            <w:pPr>
              <w:pStyle w:val="32"/>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s="宋体"/>
                <w:color w:val="auto"/>
                <w:kern w:val="28"/>
                <w:sz w:val="24"/>
                <w:szCs w:val="24"/>
                <w:highlight w:val="none"/>
                <w:lang w:eastAsia="zh-CN"/>
              </w:rPr>
            </w:pPr>
            <w:r>
              <w:rPr>
                <w:rFonts w:hint="eastAsia" w:ascii="宋体" w:hAnsi="宋体" w:eastAsia="宋体" w:cs="宋体"/>
                <w:color w:val="auto"/>
                <w:kern w:val="28"/>
                <w:sz w:val="24"/>
                <w:szCs w:val="24"/>
                <w:highlight w:val="none"/>
                <w:lang w:val="en-US" w:eastAsia="zh-CN"/>
              </w:rPr>
              <w:t>本项目</w:t>
            </w:r>
            <w:r>
              <w:rPr>
                <w:rFonts w:hint="eastAsia" w:ascii="宋体" w:hAnsi="宋体" w:eastAsia="宋体" w:cs="宋体"/>
                <w:color w:val="auto"/>
                <w:kern w:val="28"/>
                <w:sz w:val="24"/>
                <w:szCs w:val="24"/>
                <w:highlight w:val="none"/>
              </w:rPr>
              <w:t>备份文件是否收取：不收取</w:t>
            </w:r>
            <w:r>
              <w:rPr>
                <w:rFonts w:hint="eastAsia" w:ascii="宋体" w:hAnsi="宋体" w:eastAsia="宋体" w:cs="宋体"/>
                <w:color w:val="auto"/>
                <w:kern w:val="28"/>
                <w:sz w:val="24"/>
                <w:szCs w:val="24"/>
                <w:highlight w:val="none"/>
                <w:lang w:eastAsia="zh-CN"/>
              </w:rPr>
              <w:t>。</w:t>
            </w:r>
          </w:p>
          <w:p w14:paraId="290287C4">
            <w:pPr>
              <w:pStyle w:val="32"/>
              <w:spacing w:line="360" w:lineRule="auto"/>
              <w:rPr>
                <w:rFonts w:hint="eastAsia" w:ascii="宋体" w:hAnsi="宋体" w:eastAsia="宋体" w:cs="宋体"/>
                <w:color w:val="auto"/>
                <w:kern w:val="28"/>
                <w:sz w:val="24"/>
                <w:highlight w:val="none"/>
              </w:rPr>
            </w:pPr>
            <w:r>
              <w:rPr>
                <w:rFonts w:hint="eastAsia" w:ascii="宋体" w:hAnsi="宋体" w:eastAsia="宋体" w:cs="宋体"/>
                <w:b/>
                <w:color w:val="auto"/>
                <w:sz w:val="24"/>
                <w:szCs w:val="24"/>
                <w:highlight w:val="none"/>
              </w:rPr>
              <w:t>中标单位在中标后提供纸质投标文件一正二副。</w:t>
            </w:r>
          </w:p>
        </w:tc>
      </w:tr>
      <w:tr w14:paraId="47DA9C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1B7DA92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843" w:type="dxa"/>
            <w:tcBorders>
              <w:top w:val="single" w:color="000000" w:sz="8" w:space="0"/>
              <w:left w:val="single" w:color="000000" w:sz="2" w:space="0"/>
              <w:bottom w:val="single" w:color="000000" w:sz="8" w:space="0"/>
              <w:right w:val="single" w:color="000000" w:sz="8" w:space="0"/>
            </w:tcBorders>
            <w:vAlign w:val="center"/>
          </w:tcPr>
          <w:p w14:paraId="7C751C6F">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采购机构代理费用</w:t>
            </w:r>
          </w:p>
        </w:tc>
        <w:tc>
          <w:tcPr>
            <w:tcW w:w="6095" w:type="dxa"/>
            <w:tcBorders>
              <w:top w:val="single" w:color="000000" w:sz="8" w:space="0"/>
              <w:left w:val="single" w:color="000000" w:sz="2" w:space="0"/>
              <w:bottom w:val="single" w:color="000000" w:sz="8" w:space="0"/>
              <w:right w:val="single" w:color="000000" w:sz="8" w:space="0"/>
            </w:tcBorders>
            <w:vAlign w:val="center"/>
          </w:tcPr>
          <w:p w14:paraId="71E6A549">
            <w:pPr>
              <w:spacing w:after="0"/>
              <w:rPr>
                <w:rFonts w:hint="eastAsia" w:ascii="宋体" w:hAnsi="宋体" w:eastAsia="宋体" w:cs="宋体"/>
                <w:color w:val="auto"/>
                <w:kern w:val="28"/>
                <w:sz w:val="24"/>
                <w:highlight w:val="none"/>
              </w:rPr>
            </w:pPr>
            <w:r>
              <w:rPr>
                <w:rFonts w:hint="eastAsia" w:ascii="宋体" w:hAnsi="宋体" w:eastAsia="宋体" w:cs="宋体"/>
                <w:color w:val="auto"/>
                <w:sz w:val="24"/>
                <w:szCs w:val="24"/>
                <w:highlight w:val="none"/>
                <w:lang w:val="zh-CN" w:eastAsia="zh-CN"/>
              </w:rPr>
              <w:t>本项目代理服务费由中标人支付。本次代理服务费按国家发展计划委员会的计价格[2002]1980号文件收费标准结算收取，不足</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000.00元按</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000.00元收取。</w:t>
            </w:r>
          </w:p>
        </w:tc>
      </w:tr>
      <w:tr w14:paraId="27EA9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495D7EE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843" w:type="dxa"/>
            <w:tcBorders>
              <w:top w:val="single" w:color="000000" w:sz="8" w:space="0"/>
              <w:left w:val="single" w:color="000000" w:sz="2" w:space="0"/>
              <w:bottom w:val="single" w:color="000000" w:sz="8" w:space="0"/>
              <w:right w:val="single" w:color="000000" w:sz="8" w:space="0"/>
            </w:tcBorders>
            <w:vAlign w:val="center"/>
          </w:tcPr>
          <w:p w14:paraId="42F135C1">
            <w:pPr>
              <w:jc w:val="center"/>
              <w:rPr>
                <w:rFonts w:hint="eastAsia" w:ascii="宋体" w:hAnsi="宋体" w:eastAsia="宋体" w:cs="宋体"/>
                <w:color w:val="auto"/>
                <w:highlight w:val="none"/>
              </w:rPr>
            </w:pPr>
            <w:r>
              <w:rPr>
                <w:rFonts w:hint="eastAsia" w:ascii="宋体" w:hAnsi="宋体" w:eastAsia="宋体" w:cs="宋体"/>
                <w:b/>
                <w:color w:val="auto"/>
                <w:sz w:val="24"/>
                <w:highlight w:val="none"/>
              </w:rPr>
              <w:t>资格审查和信用信息审查</w:t>
            </w:r>
          </w:p>
        </w:tc>
        <w:tc>
          <w:tcPr>
            <w:tcW w:w="6095" w:type="dxa"/>
            <w:tcBorders>
              <w:top w:val="single" w:color="000000" w:sz="8" w:space="0"/>
              <w:left w:val="single" w:color="000000" w:sz="2" w:space="0"/>
              <w:bottom w:val="single" w:color="000000" w:sz="8" w:space="0"/>
              <w:right w:val="single" w:color="000000" w:sz="8" w:space="0"/>
            </w:tcBorders>
            <w:vAlign w:val="center"/>
          </w:tcPr>
          <w:p w14:paraId="465ED925">
            <w:pPr>
              <w:spacing w:after="0"/>
              <w:rPr>
                <w:rFonts w:hint="eastAsia" w:ascii="宋体" w:hAnsi="宋体" w:eastAsia="宋体" w:cs="宋体"/>
                <w:color w:val="auto"/>
                <w:highlight w:val="none"/>
              </w:rPr>
            </w:pPr>
            <w:r>
              <w:rPr>
                <w:rFonts w:hint="eastAsia" w:ascii="宋体" w:hAnsi="宋体" w:eastAsia="宋体" w:cs="宋体"/>
                <w:color w:val="auto"/>
                <w:sz w:val="24"/>
                <w:szCs w:val="24"/>
                <w:highlight w:val="none"/>
              </w:rPr>
              <w:t>本项目由采购人进行资格文件及信用信息查询。</w:t>
            </w:r>
          </w:p>
        </w:tc>
      </w:tr>
      <w:tr w14:paraId="511627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120463D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843" w:type="dxa"/>
            <w:tcBorders>
              <w:top w:val="single" w:color="000000" w:sz="8" w:space="0"/>
              <w:left w:val="single" w:color="000000" w:sz="2" w:space="0"/>
              <w:bottom w:val="single" w:color="000000" w:sz="8" w:space="0"/>
              <w:right w:val="single" w:color="000000" w:sz="8" w:space="0"/>
            </w:tcBorders>
            <w:vAlign w:val="center"/>
          </w:tcPr>
          <w:p w14:paraId="7F84ACBA">
            <w:pPr>
              <w:jc w:val="center"/>
              <w:rPr>
                <w:rFonts w:hint="eastAsia" w:ascii="宋体" w:hAnsi="宋体" w:eastAsia="宋体" w:cs="宋体"/>
                <w:b/>
                <w:color w:val="auto"/>
                <w:sz w:val="22"/>
                <w:highlight w:val="none"/>
              </w:rPr>
            </w:pPr>
            <w:r>
              <w:rPr>
                <w:rFonts w:hint="eastAsia" w:ascii="宋体" w:hAnsi="宋体" w:eastAsia="宋体" w:cs="宋体"/>
                <w:b/>
                <w:color w:val="auto"/>
                <w:sz w:val="24"/>
                <w:highlight w:val="none"/>
              </w:rPr>
              <w:t>质疑接收人及答复</w:t>
            </w:r>
          </w:p>
        </w:tc>
        <w:tc>
          <w:tcPr>
            <w:tcW w:w="6095" w:type="dxa"/>
            <w:tcBorders>
              <w:top w:val="single" w:color="000000" w:sz="8" w:space="0"/>
              <w:left w:val="single" w:color="000000" w:sz="2" w:space="0"/>
              <w:bottom w:val="single" w:color="000000" w:sz="8" w:space="0"/>
              <w:right w:val="single" w:color="000000" w:sz="8" w:space="0"/>
            </w:tcBorders>
            <w:vAlign w:val="center"/>
          </w:tcPr>
          <w:p w14:paraId="29E729C7">
            <w:pPr>
              <w:snapToGrid w:val="0"/>
              <w:spacing w:after="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采购人、采购机构质疑接收人、联系方式：详见公告</w:t>
            </w:r>
          </w:p>
          <w:p w14:paraId="47A9878D">
            <w:pPr>
              <w:snapToGrid w:val="0"/>
              <w:spacing w:after="0"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线上提交质疑方式：政采云线上质疑路径：项目采购-询问质疑投诉-质疑列表。请使用ca签章在每一页质疑文件中加盖电子公章，上传完整附件。</w:t>
            </w:r>
          </w:p>
          <w:p w14:paraId="14A62928">
            <w:pPr>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本项目涉及资格条件、采购需求、评分办法及采购过程中有关现场考察或开标前答疑会等事项由</w:t>
            </w:r>
            <w:r>
              <w:rPr>
                <w:rFonts w:hint="eastAsia" w:ascii="宋体" w:hAnsi="宋体" w:eastAsia="宋体" w:cs="宋体"/>
                <w:b/>
                <w:bCs/>
                <w:color w:val="auto"/>
                <w:sz w:val="24"/>
                <w:szCs w:val="24"/>
                <w:highlight w:val="none"/>
              </w:rPr>
              <w:t>采购人</w:t>
            </w:r>
            <w:r>
              <w:rPr>
                <w:rFonts w:hint="eastAsia" w:ascii="宋体" w:hAnsi="宋体" w:eastAsia="宋体" w:cs="宋体"/>
                <w:color w:val="auto"/>
                <w:sz w:val="24"/>
                <w:szCs w:val="24"/>
                <w:highlight w:val="none"/>
              </w:rPr>
              <w:t>进行答复。</w:t>
            </w:r>
          </w:p>
          <w:p w14:paraId="092A4AB1">
            <w:pPr>
              <w:spacing w:after="0"/>
              <w:rPr>
                <w:rFonts w:hint="eastAsia" w:ascii="宋体" w:hAnsi="宋体" w:eastAsia="宋体" w:cs="宋体"/>
                <w:color w:val="auto"/>
                <w:sz w:val="22"/>
                <w:highlight w:val="none"/>
              </w:rPr>
            </w:pPr>
            <w:r>
              <w:rPr>
                <w:rFonts w:hint="eastAsia" w:ascii="宋体" w:hAnsi="宋体" w:eastAsia="宋体" w:cs="宋体"/>
                <w:color w:val="auto"/>
                <w:sz w:val="24"/>
                <w:szCs w:val="24"/>
                <w:highlight w:val="none"/>
              </w:rPr>
              <w:t>涉及流程规范性、组织程序等相关事项，由</w:t>
            </w:r>
            <w:r>
              <w:rPr>
                <w:rFonts w:hint="eastAsia" w:ascii="宋体" w:hAnsi="宋体" w:eastAsia="宋体" w:cs="宋体"/>
                <w:b/>
                <w:bCs/>
                <w:color w:val="auto"/>
                <w:sz w:val="24"/>
                <w:szCs w:val="24"/>
                <w:highlight w:val="none"/>
              </w:rPr>
              <w:t>采购</w:t>
            </w:r>
            <w:r>
              <w:rPr>
                <w:rFonts w:hint="eastAsia" w:ascii="宋体" w:hAnsi="宋体" w:eastAsia="宋体" w:cs="宋体"/>
                <w:b/>
                <w:bCs/>
                <w:color w:val="auto"/>
                <w:sz w:val="24"/>
                <w:szCs w:val="24"/>
                <w:highlight w:val="none"/>
                <w:lang w:eastAsia="zh-CN"/>
              </w:rPr>
              <w:t>代理</w:t>
            </w:r>
            <w:r>
              <w:rPr>
                <w:rFonts w:hint="eastAsia" w:ascii="宋体" w:hAnsi="宋体" w:eastAsia="宋体" w:cs="宋体"/>
                <w:b/>
                <w:bCs/>
                <w:color w:val="auto"/>
                <w:sz w:val="24"/>
                <w:szCs w:val="24"/>
                <w:highlight w:val="none"/>
              </w:rPr>
              <w:t>机构</w:t>
            </w:r>
            <w:r>
              <w:rPr>
                <w:rFonts w:hint="eastAsia" w:ascii="宋体" w:hAnsi="宋体" w:eastAsia="宋体" w:cs="宋体"/>
                <w:color w:val="auto"/>
                <w:sz w:val="24"/>
                <w:szCs w:val="24"/>
                <w:highlight w:val="none"/>
              </w:rPr>
              <w:t>进行答复。</w:t>
            </w:r>
          </w:p>
        </w:tc>
      </w:tr>
      <w:tr w14:paraId="647F32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000000" w:sz="8" w:space="0"/>
              <w:right w:val="single" w:color="000000" w:sz="2" w:space="0"/>
            </w:tcBorders>
            <w:vAlign w:val="center"/>
          </w:tcPr>
          <w:p w14:paraId="4FB88302">
            <w:pPr>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6</w:t>
            </w:r>
          </w:p>
        </w:tc>
        <w:tc>
          <w:tcPr>
            <w:tcW w:w="1843" w:type="dxa"/>
            <w:vMerge w:val="restart"/>
            <w:tcBorders>
              <w:top w:val="single" w:color="000000" w:sz="8" w:space="0"/>
              <w:left w:val="single" w:color="000000" w:sz="2" w:space="0"/>
              <w:right w:val="single" w:color="000000" w:sz="8" w:space="0"/>
            </w:tcBorders>
            <w:vAlign w:val="center"/>
          </w:tcPr>
          <w:p w14:paraId="5E9C45E4">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45ACF348">
            <w:pPr>
              <w:pStyle w:val="3"/>
              <w:ind w:left="0" w:leftChars="0" w:firstLine="0" w:firstLineChars="0"/>
              <w:rPr>
                <w:rFonts w:hint="eastAsia" w:ascii="宋体" w:hAnsi="宋体" w:eastAsia="宋体" w:cs="宋体"/>
                <w:snapToGrid w:val="0"/>
                <w:color w:val="auto"/>
                <w:kern w:val="28"/>
                <w:sz w:val="24"/>
                <w:highlight w:val="none"/>
              </w:rPr>
            </w:pPr>
            <w:r>
              <w:rPr>
                <w:rFonts w:hint="eastAsia" w:ascii="宋体" w:hAnsi="宋体" w:eastAsia="宋体" w:cs="宋体"/>
                <w:b w:val="0"/>
                <w:bCs w:val="0"/>
                <w:color w:val="auto"/>
                <w:kern w:val="2"/>
                <w:sz w:val="24"/>
                <w:szCs w:val="24"/>
                <w:highlight w:val="none"/>
                <w:lang w:val="en-US" w:eastAsia="zh-CN" w:bidi="ar-SA"/>
              </w:rPr>
              <w:t>联合体投标的，联合体各方分别提供与联合体协议中规定的分工内容相应的业绩证明材料，业绩数量以提供材料较少的一方为准。</w:t>
            </w:r>
          </w:p>
        </w:tc>
      </w:tr>
      <w:tr w14:paraId="572DB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right w:val="single" w:color="000000" w:sz="2" w:space="0"/>
            </w:tcBorders>
          </w:tcPr>
          <w:p w14:paraId="1D03EC04">
            <w:pPr>
              <w:snapToGrid w:val="0"/>
              <w:spacing w:line="360" w:lineRule="auto"/>
              <w:jc w:val="center"/>
              <w:rPr>
                <w:rFonts w:hint="eastAsia" w:ascii="宋体" w:hAnsi="宋体" w:eastAsia="宋体" w:cs="宋体"/>
                <w:color w:val="auto"/>
                <w:sz w:val="24"/>
                <w:highlight w:val="none"/>
              </w:rPr>
            </w:pPr>
          </w:p>
        </w:tc>
        <w:tc>
          <w:tcPr>
            <w:tcW w:w="1843" w:type="dxa"/>
            <w:vMerge w:val="continue"/>
            <w:tcBorders>
              <w:left w:val="single" w:color="000000" w:sz="2" w:space="0"/>
              <w:right w:val="single" w:color="000000" w:sz="8" w:space="0"/>
            </w:tcBorders>
            <w:vAlign w:val="center"/>
          </w:tcPr>
          <w:p w14:paraId="7AEA7E9C">
            <w:pPr>
              <w:snapToGrid w:val="0"/>
              <w:spacing w:line="360" w:lineRule="auto"/>
              <w:jc w:val="center"/>
              <w:rPr>
                <w:rFonts w:hint="eastAsia" w:ascii="宋体" w:hAnsi="宋体" w:eastAsia="宋体" w:cs="宋体"/>
                <w:b/>
                <w:color w:val="auto"/>
                <w:sz w:val="24"/>
                <w:highlight w:val="none"/>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4FFB80A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☐联合体投标的，联合体各方均需按招标文件第四部分评标标准要求提供资信证明文件，否则视为不符合相关要求。</w:t>
            </w:r>
          </w:p>
          <w:p w14:paraId="26C36D28">
            <w:pPr>
              <w:pStyle w:val="3"/>
              <w:ind w:left="0" w:leftChars="0" w:firstLine="0" w:firstLineChars="0"/>
              <w:rPr>
                <w:rFonts w:hint="eastAsia" w:ascii="宋体" w:hAnsi="宋体" w:eastAsia="宋体" w:cs="宋体"/>
                <w:color w:val="auto"/>
                <w:highlight w:val="none"/>
              </w:rPr>
            </w:pPr>
            <w:r>
              <w:rPr>
                <w:rFonts w:hint="eastAsia" w:ascii="宋体" w:hAnsi="宋体" w:eastAsia="宋体" w:cs="宋体"/>
                <w:color w:val="auto"/>
                <w:sz w:val="24"/>
                <w:szCs w:val="24"/>
                <w:highlight w:val="none"/>
              </w:rPr>
              <w:sym w:font="Wingdings" w:char="F0FE"/>
            </w:r>
            <w:r>
              <w:rPr>
                <w:rFonts w:hint="eastAsia" w:ascii="宋体" w:hAnsi="宋体" w:eastAsia="宋体" w:cs="宋体"/>
                <w:b w:val="0"/>
                <w:bCs w:val="0"/>
                <w:snapToGrid w:val="0"/>
                <w:color w:val="auto"/>
                <w:kern w:val="28"/>
                <w:sz w:val="24"/>
                <w:szCs w:val="24"/>
                <w:highlight w:val="none"/>
                <w:lang w:val="en-US" w:eastAsia="zh-CN" w:bidi="ar-SA"/>
              </w:rPr>
              <w:t>联合体投标的，联合体中有一方或者联合体成员根据分工按招标文件第四部分评标标准要求提供资信证明文件的，视为符合了相关要求。</w:t>
            </w:r>
          </w:p>
        </w:tc>
      </w:tr>
      <w:tr w14:paraId="547AD4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bottom w:val="single" w:color="auto" w:sz="4" w:space="0"/>
              <w:right w:val="single" w:color="000000" w:sz="2" w:space="0"/>
            </w:tcBorders>
          </w:tcPr>
          <w:p w14:paraId="14FF463C">
            <w:pPr>
              <w:snapToGrid w:val="0"/>
              <w:spacing w:line="360" w:lineRule="auto"/>
              <w:jc w:val="center"/>
              <w:rPr>
                <w:rFonts w:hint="eastAsia" w:ascii="宋体" w:hAnsi="宋体" w:eastAsia="宋体" w:cs="宋体"/>
                <w:color w:val="auto"/>
                <w:sz w:val="24"/>
                <w:highlight w:val="none"/>
              </w:rPr>
            </w:pPr>
          </w:p>
        </w:tc>
        <w:tc>
          <w:tcPr>
            <w:tcW w:w="1843" w:type="dxa"/>
            <w:vMerge w:val="continue"/>
            <w:tcBorders>
              <w:left w:val="single" w:color="000000" w:sz="2" w:space="0"/>
              <w:bottom w:val="single" w:color="000000" w:sz="8" w:space="0"/>
              <w:right w:val="single" w:color="000000" w:sz="8" w:space="0"/>
            </w:tcBorders>
            <w:vAlign w:val="center"/>
          </w:tcPr>
          <w:p w14:paraId="25F69D8B">
            <w:pPr>
              <w:snapToGrid w:val="0"/>
              <w:spacing w:line="360" w:lineRule="auto"/>
              <w:jc w:val="center"/>
              <w:rPr>
                <w:rFonts w:hint="eastAsia" w:ascii="宋体" w:hAnsi="宋体" w:eastAsia="宋体" w:cs="宋体"/>
                <w:b/>
                <w:color w:val="auto"/>
                <w:sz w:val="24"/>
                <w:highlight w:val="none"/>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5A269F52">
            <w:pPr>
              <w:spacing w:line="360" w:lineRule="auto"/>
              <w:rPr>
                <w:rFonts w:hint="eastAsia" w:ascii="宋体" w:hAnsi="宋体" w:eastAsia="宋体" w:cs="宋体"/>
                <w:b/>
                <w:bCs/>
                <w:color w:val="auto"/>
                <w:highlight w:val="none"/>
              </w:rPr>
            </w:pPr>
            <w:r>
              <w:rPr>
                <w:rFonts w:hint="eastAsia" w:ascii="宋体" w:hAnsi="宋体" w:eastAsia="宋体" w:cs="宋体"/>
                <w:color w:val="auto"/>
                <w:kern w:val="0"/>
                <w:sz w:val="24"/>
                <w:highlight w:val="none"/>
              </w:rPr>
              <w:t>招标文件第四部分评审因素对应的要求及第五部分采购合同的内容视为采购需求的一部分。</w:t>
            </w:r>
          </w:p>
        </w:tc>
      </w:tr>
      <w:bookmarkEnd w:id="6"/>
    </w:tbl>
    <w:p w14:paraId="278AF872">
      <w:pPr>
        <w:rPr>
          <w:rFonts w:hint="eastAsia" w:ascii="宋体" w:hAnsi="宋体" w:eastAsia="宋体" w:cs="宋体"/>
          <w:b/>
          <w:color w:val="auto"/>
          <w:sz w:val="32"/>
          <w:szCs w:val="20"/>
          <w:highlight w:val="none"/>
        </w:rPr>
      </w:pPr>
      <w:bookmarkStart w:id="8" w:name="_Toc164416483"/>
      <w:bookmarkStart w:id="9" w:name="第三部分"/>
      <w:r>
        <w:rPr>
          <w:rFonts w:hint="eastAsia" w:ascii="宋体" w:hAnsi="宋体" w:eastAsia="宋体" w:cs="宋体"/>
          <w:b/>
          <w:color w:val="auto"/>
          <w:sz w:val="32"/>
          <w:szCs w:val="20"/>
          <w:highlight w:val="none"/>
        </w:rPr>
        <w:br w:type="page"/>
      </w:r>
    </w:p>
    <w:p w14:paraId="44C2E998">
      <w:pPr>
        <w:adjustRightInd/>
        <w:spacing w:line="360" w:lineRule="auto"/>
        <w:ind w:firstLine="3845" w:firstLineChars="1197"/>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一、总则</w:t>
      </w:r>
    </w:p>
    <w:p w14:paraId="3EC80EF8">
      <w:pPr>
        <w:snapToGrid w:val="0"/>
        <w:spacing w:line="360" w:lineRule="auto"/>
        <w:jc w:val="left"/>
        <w:outlineLvl w:val="1"/>
        <w:rPr>
          <w:rFonts w:hint="eastAsia" w:ascii="宋体" w:hAnsi="宋体" w:eastAsia="宋体" w:cs="宋体"/>
          <w:b/>
          <w:color w:val="auto"/>
          <w:sz w:val="24"/>
          <w:highlight w:val="none"/>
        </w:rPr>
      </w:pPr>
      <w:bookmarkStart w:id="10" w:name="_Toc91899903"/>
      <w:r>
        <w:rPr>
          <w:rFonts w:hint="eastAsia" w:ascii="宋体" w:hAnsi="宋体" w:eastAsia="宋体" w:cs="宋体"/>
          <w:b/>
          <w:color w:val="auto"/>
          <w:sz w:val="24"/>
          <w:highlight w:val="none"/>
        </w:rPr>
        <w:t>1. 适用范围</w:t>
      </w:r>
    </w:p>
    <w:p w14:paraId="75C7E396">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本招标文件适用于该项目的招标、投标、开标、资格审查及信用信息查询、评标、定标、合同、验收等行为（法律、法规另有规定的，从其规定）。</w:t>
      </w:r>
    </w:p>
    <w:p w14:paraId="6D6E1312">
      <w:pPr>
        <w:numPr>
          <w:ilvl w:val="0"/>
          <w:numId w:val="1"/>
        </w:numPr>
        <w:adjustRightInd/>
        <w:spacing w:line="360" w:lineRule="auto"/>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定义</w:t>
      </w:r>
    </w:p>
    <w:p w14:paraId="1CC1878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“采购人”系指招标公告中载明的本项目的采购人。</w:t>
      </w:r>
    </w:p>
    <w:p w14:paraId="1D2A068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“采购代理机构”系指招标公告中载明的本项目的采购代理机构。</w:t>
      </w:r>
    </w:p>
    <w:p w14:paraId="44F49B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 “投标人”系指是指响应招标、参加投标竞争的法人、其他组织或者自然人。</w:t>
      </w:r>
    </w:p>
    <w:p w14:paraId="3E16949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 “负责人”系指法人企业的法定负责人，或其他组织为法律、行政法规规定代表单位行使职权的主要负责人，或自然人本人。</w:t>
      </w:r>
    </w:p>
    <w:p w14:paraId="7B4AB3E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2E2A09D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2.6“电子交易平台”系指本项目政府采购活动所依托的政府采购云平台（https://www.zcygov.cn/）。</w:t>
      </w:r>
    </w:p>
    <w:p w14:paraId="7EF14AD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 “▲” 系指实质性要求条款，“</w:t>
      </w:r>
      <w:r>
        <w:rPr>
          <w:rFonts w:hint="eastAsia" w:ascii="Wingdings" w:hAnsi="Wingdings" w:eastAsia="宋体" w:cs="宋体"/>
          <w:color w:val="auto"/>
          <w:kern w:val="0"/>
          <w:sz w:val="24"/>
          <w:szCs w:val="24"/>
          <w:highlight w:val="none"/>
          <w:lang w:val="en-US" w:eastAsia="zh-CN" w:bidi="ar-SA"/>
        </w:rPr>
        <w:t>þ</w:t>
      </w:r>
      <w:r>
        <w:rPr>
          <w:rFonts w:hint="eastAsia" w:ascii="宋体" w:hAnsi="宋体" w:eastAsia="宋体" w:cs="宋体"/>
          <w:color w:val="auto"/>
          <w:sz w:val="24"/>
          <w:highlight w:val="none"/>
        </w:rPr>
        <w:t>” 系指适用本项目的要求，“</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 系指不适用本项目的要求。</w:t>
      </w:r>
    </w:p>
    <w:p w14:paraId="3EE33C08">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color w:val="auto"/>
          <w:highlight w:val="none"/>
        </w:rPr>
        <w:t xml:space="preserve"> </w:t>
      </w:r>
      <w:r>
        <w:rPr>
          <w:rFonts w:hint="eastAsia" w:ascii="宋体" w:hAnsi="宋体" w:eastAsia="宋体" w:cs="宋体"/>
          <w:b/>
          <w:color w:val="auto"/>
          <w:sz w:val="24"/>
          <w:highlight w:val="none"/>
        </w:rPr>
        <w:t>采购项目需要落实的政府采购政策</w:t>
      </w:r>
    </w:p>
    <w:p w14:paraId="1E1A9C10">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eastAsia="宋体" w:cs="宋体"/>
          <w:color w:val="auto"/>
          <w:kern w:val="0"/>
          <w:sz w:val="24"/>
          <w:highlight w:val="none"/>
        </w:rPr>
        <w:t>优先采购向我国企业转让技术、与我国企业签订消化吸收再创新方案的供应商的进口产品</w:t>
      </w:r>
      <w:r>
        <w:rPr>
          <w:rFonts w:hint="eastAsia" w:ascii="宋体" w:hAnsi="宋体" w:eastAsia="宋体" w:cs="宋体"/>
          <w:color w:val="auto"/>
          <w:sz w:val="24"/>
          <w:highlight w:val="none"/>
        </w:rPr>
        <w:t>。</w:t>
      </w:r>
    </w:p>
    <w:p w14:paraId="21EFB8C8">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3.2 支持绿色发展</w:t>
      </w:r>
    </w:p>
    <w:p w14:paraId="1A0425D3">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eastAsia="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32721D6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2E9F97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11" w:name="_Hlk107568539"/>
      <w:r>
        <w:rPr>
          <w:rFonts w:hint="eastAsia" w:ascii="宋体" w:hAnsi="宋体" w:eastAsia="宋体" w:cs="宋体"/>
          <w:color w:val="auto"/>
          <w:sz w:val="24"/>
          <w:highlight w:val="none"/>
        </w:rPr>
        <w:t>鼓励采购单位优先采购秸秆环保板材等资源综合利用产品。鼓励采购单位优先采购绿色物流配送服务、提供新能源交通工具的租赁服务。</w:t>
      </w:r>
    </w:p>
    <w:p w14:paraId="766C9FB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11"/>
    </w:p>
    <w:p w14:paraId="494534C6">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3.3</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支持中小企业发展</w:t>
      </w:r>
    </w:p>
    <w:p w14:paraId="4DA3E83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6BBF324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符合中小企业划分标准的个体工商户，在政府采购活动中视同中小企业。</w:t>
      </w:r>
    </w:p>
    <w:p w14:paraId="7AE817A7">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sz w:val="24"/>
          <w:highlight w:val="none"/>
        </w:rPr>
        <w:t>3.3.2</w:t>
      </w:r>
      <w:r>
        <w:rPr>
          <w:rFonts w:hint="eastAsia" w:ascii="宋体" w:hAnsi="宋体" w:eastAsia="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519CB3E2">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以联合体形式参加政府采购活动，联合体各方均为中小企业的，联合体视同中小企业。其中，联合体各方均为小微企业的，联合体视同小微企业。</w:t>
      </w:r>
    </w:p>
    <w:p w14:paraId="6C47506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3.3.3对于未预留份额专门面向中小企业的政府采购货物项目，以及预留份额政府采购货物项目中的非预留部分标项，对小型和微型企业的投标报价给予10%-20%的扣除（</w:t>
      </w:r>
      <w:r>
        <w:rPr>
          <w:rFonts w:hint="eastAsia" w:ascii="宋体" w:hAnsi="宋体" w:eastAsia="宋体" w:cs="宋体"/>
          <w:snapToGrid w:val="0"/>
          <w:color w:val="auto"/>
          <w:kern w:val="28"/>
          <w:sz w:val="24"/>
          <w:highlight w:val="none"/>
        </w:rPr>
        <w:t>招标文件第四部分</w:t>
      </w:r>
      <w:r>
        <w:rPr>
          <w:rFonts w:hint="eastAsia" w:ascii="宋体" w:hAnsi="宋体" w:eastAsia="宋体" w:cs="宋体"/>
          <w:color w:val="auto"/>
          <w:sz w:val="24"/>
          <w:highlight w:val="none"/>
          <w:u w:val="single"/>
        </w:rPr>
        <w:t>评标办分法明确具体的扣除比例，未明确的，</w:t>
      </w:r>
      <w:r>
        <w:rPr>
          <w:rFonts w:hint="eastAsia" w:ascii="宋体" w:hAnsi="宋体" w:eastAsia="宋体" w:cs="宋体"/>
          <w:color w:val="auto"/>
          <w:sz w:val="24"/>
          <w:highlight w:val="none"/>
        </w:rPr>
        <w:t>给予20%的扣除），用扣除后的价格参与评审。接受大中型企业与小微企业组成联合体或者允许大中型企业向一家或者多家小微企业分包的政府采购货物项目，对于</w:t>
      </w:r>
      <w:bookmarkStart w:id="12" w:name="_Hlk101132181"/>
      <w:r>
        <w:rPr>
          <w:rFonts w:hint="eastAsia" w:ascii="宋体" w:hAnsi="宋体" w:eastAsia="宋体" w:cs="宋体"/>
          <w:color w:val="auto"/>
          <w:sz w:val="24"/>
          <w:highlight w:val="none"/>
        </w:rPr>
        <w:t>联合协议或者分包意向协议约定小微企业的合同份额占到合同总金额30%以上的</w:t>
      </w:r>
      <w:bookmarkEnd w:id="12"/>
      <w:r>
        <w:rPr>
          <w:rFonts w:hint="eastAsia" w:ascii="宋体" w:hAnsi="宋体" w:eastAsia="宋体" w:cs="宋体"/>
          <w:color w:val="auto"/>
          <w:sz w:val="24"/>
          <w:highlight w:val="none"/>
        </w:rPr>
        <w:t>，对联合体或者大中型企业的报价给予4%-6%（</w:t>
      </w:r>
      <w:r>
        <w:rPr>
          <w:rFonts w:hint="eastAsia" w:ascii="宋体" w:hAnsi="宋体" w:eastAsia="宋体" w:cs="宋体"/>
          <w:snapToGrid w:val="0"/>
          <w:color w:val="auto"/>
          <w:kern w:val="28"/>
          <w:sz w:val="24"/>
          <w:highlight w:val="none"/>
        </w:rPr>
        <w:t>招标文件第四部分</w:t>
      </w:r>
      <w:r>
        <w:rPr>
          <w:rFonts w:hint="eastAsia" w:ascii="宋体" w:hAnsi="宋体" w:eastAsia="宋体" w:cs="宋体"/>
          <w:color w:val="auto"/>
          <w:sz w:val="24"/>
          <w:highlight w:val="none"/>
          <w:u w:val="single"/>
        </w:rPr>
        <w:t>评标办分法明确具体的扣除比例，未明确的，</w:t>
      </w:r>
      <w:r>
        <w:rPr>
          <w:rFonts w:hint="eastAsia" w:ascii="宋体" w:hAnsi="宋体" w:eastAsia="宋体" w:cs="宋体"/>
          <w:color w:val="auto"/>
          <w:sz w:val="24"/>
          <w:highlight w:val="none"/>
        </w:rPr>
        <w:t>给予6%的扣除）的扣除，用扣除后的价格参加评审。组成联合体或者接受分包的小微企业与联合体内其他企业、分包企业之间存在直接控股、管理关系的，不享受价格扣除优惠政策。</w:t>
      </w:r>
    </w:p>
    <w:p w14:paraId="3C4F5C8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7B357B2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7B96C57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3.3.6</w:t>
      </w:r>
      <w:r>
        <w:rPr>
          <w:rFonts w:hint="eastAsia" w:ascii="宋体" w:hAnsi="宋体" w:eastAsia="宋体" w:cs="宋体"/>
          <w:color w:val="auto"/>
          <w:sz w:val="24"/>
          <w:highlight w:val="none"/>
          <w:lang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eastAsia="宋体" w:cs="宋体"/>
          <w:color w:val="auto"/>
          <w:sz w:val="24"/>
          <w:highlight w:val="none"/>
        </w:rPr>
        <w:t>。</w:t>
      </w:r>
    </w:p>
    <w:p w14:paraId="28E967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3.3.7中小企业享受扶持政策获得政府采购合同的，小微企业不得将合同分包给大中型企业，中型企业不得将合同分包给大型企业。</w:t>
      </w:r>
    </w:p>
    <w:p w14:paraId="076EFE28">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3.4 </w:t>
      </w:r>
      <w:r>
        <w:rPr>
          <w:rFonts w:hint="eastAsia" w:ascii="宋体" w:hAnsi="宋体" w:eastAsia="宋体" w:cs="宋体"/>
          <w:bCs/>
          <w:color w:val="auto"/>
          <w:sz w:val="24"/>
          <w:highlight w:val="none"/>
        </w:rPr>
        <w:t>支持创新发展</w:t>
      </w:r>
    </w:p>
    <w:p w14:paraId="1EAE06E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3.4.1 </w:t>
      </w:r>
      <w:r>
        <w:rPr>
          <w:rFonts w:hint="eastAsia" w:ascii="宋体" w:hAnsi="宋体" w:eastAsia="宋体" w:cs="宋体"/>
          <w:color w:val="auto"/>
          <w:sz w:val="24"/>
          <w:highlight w:val="none"/>
          <w:lang w:eastAsia="zh-CN"/>
        </w:rPr>
        <w:t>首台套、“制造精品”、“专精特新”等创新产品按规定享受政府采购支持政策</w:t>
      </w:r>
      <w:r>
        <w:rPr>
          <w:rFonts w:hint="eastAsia" w:ascii="宋体" w:hAnsi="宋体" w:eastAsia="宋体" w:cs="宋体"/>
          <w:color w:val="auto"/>
          <w:sz w:val="24"/>
          <w:highlight w:val="none"/>
        </w:rPr>
        <w:t>。</w:t>
      </w:r>
    </w:p>
    <w:p w14:paraId="537BBF5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3.4.2</w:t>
      </w:r>
      <w:r>
        <w:rPr>
          <w:rFonts w:hint="eastAsia" w:ascii="宋体" w:hAnsi="宋体" w:eastAsia="宋体" w:cs="宋体"/>
          <w:b w:val="0"/>
          <w:bCs w:val="0"/>
          <w:color w:val="auto"/>
          <w:sz w:val="24"/>
          <w:szCs w:val="24"/>
          <w:highlight w:val="none"/>
          <w:lang w:val="en-US" w:eastAsia="zh-CN"/>
        </w:rPr>
        <w:t>采购人应当贯彻落实知识产权保护相关法律法规，</w:t>
      </w:r>
      <w:r>
        <w:rPr>
          <w:rFonts w:hint="eastAsia" w:ascii="宋体" w:hAnsi="宋体" w:eastAsia="宋体" w:cs="宋体"/>
          <w:b w:val="0"/>
          <w:bCs w:val="0"/>
          <w:color w:val="auto"/>
          <w:sz w:val="24"/>
          <w:szCs w:val="24"/>
          <w:highlight w:val="none"/>
          <w:lang w:val="en-US"/>
        </w:rPr>
        <w:t>应当采购使用正版软件。</w:t>
      </w:r>
    </w:p>
    <w:p w14:paraId="06DE5176">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平等对待内外资企业和符合条件的破产重整企业</w:t>
      </w:r>
    </w:p>
    <w:p w14:paraId="1C8EE0F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平等对待内外资企业和符合条件的破产重整企业，切实保障企业公平竞争，平等维护企业的合法利益。</w:t>
      </w:r>
    </w:p>
    <w:p w14:paraId="26B0CEFE">
      <w:pPr>
        <w:spacing w:line="360" w:lineRule="auto"/>
        <w:rPr>
          <w:rFonts w:hint="eastAsia" w:ascii="宋体" w:hAnsi="宋体" w:eastAsia="宋体" w:cs="宋体"/>
          <w:b/>
          <w:color w:val="auto"/>
          <w:highlight w:val="none"/>
        </w:rPr>
      </w:pPr>
      <w:r>
        <w:rPr>
          <w:rFonts w:hint="eastAsia" w:ascii="宋体" w:hAnsi="宋体" w:eastAsia="宋体" w:cs="宋体"/>
          <w:b/>
          <w:color w:val="auto"/>
          <w:sz w:val="24"/>
          <w:highlight w:val="none"/>
        </w:rPr>
        <w:t>4. 询问、质疑、投诉</w:t>
      </w:r>
    </w:p>
    <w:p w14:paraId="7DBAE0DA">
      <w:pPr>
        <w:spacing w:line="360" w:lineRule="auto"/>
        <w:ind w:firstLine="240" w:firstLineChars="1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4.1</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zh-CN"/>
        </w:rPr>
        <w:t>在线询问、质疑、投诉</w:t>
      </w:r>
    </w:p>
    <w:p w14:paraId="6BAECABA">
      <w:pPr>
        <w:autoSpaceDE w:val="0"/>
        <w:autoSpaceDN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95DC2A2">
      <w:pPr>
        <w:autoSpaceDE w:val="0"/>
        <w:autoSpaceDN w:val="0"/>
        <w:spacing w:line="360" w:lineRule="auto"/>
        <w:ind w:firstLine="240" w:firstLineChars="1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4.2</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供应商询问</w:t>
      </w:r>
    </w:p>
    <w:p w14:paraId="0E9D889D">
      <w:pPr>
        <w:autoSpaceDE w:val="0"/>
        <w:autoSpaceDN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103C5757">
      <w:pPr>
        <w:autoSpaceDE w:val="0"/>
        <w:autoSpaceDN w:val="0"/>
        <w:spacing w:line="360" w:lineRule="auto"/>
        <w:ind w:firstLine="240" w:firstLineChars="1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4.3</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供应商质疑</w:t>
      </w:r>
    </w:p>
    <w:p w14:paraId="5A4DF23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4.3</w:t>
      </w:r>
      <w:r>
        <w:rPr>
          <w:rFonts w:hint="eastAsia" w:ascii="宋体" w:hAnsi="宋体" w:eastAsia="宋体" w:cs="宋体"/>
          <w:color w:val="auto"/>
          <w:sz w:val="24"/>
          <w:highlight w:val="none"/>
        </w:rPr>
        <w:t>.1提出质疑的供应商应当是参与所质疑项目采购活动的供应商。潜在供应商已依法获取其可质疑的招标文件的，可以对该文件提出质疑。</w:t>
      </w:r>
    </w:p>
    <w:p w14:paraId="79C6341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4.3</w:t>
      </w:r>
      <w:r>
        <w:rPr>
          <w:rFonts w:hint="eastAsia" w:ascii="宋体" w:hAnsi="宋体" w:eastAsia="宋体" w:cs="宋体"/>
          <w:color w:val="auto"/>
          <w:sz w:val="24"/>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22AB4AF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4.3.2.1对招标文件提出质疑的，质疑期限为供应商获得招标文件之日或者招标文件公告期限届满之日起计算。</w:t>
      </w:r>
    </w:p>
    <w:p w14:paraId="75B21CD6">
      <w:pPr>
        <w:spacing w:line="360" w:lineRule="auto"/>
        <w:ind w:left="479" w:leftChars="228"/>
        <w:rPr>
          <w:rFonts w:hint="eastAsia" w:ascii="宋体" w:hAnsi="宋体" w:eastAsia="宋体" w:cs="宋体"/>
          <w:color w:val="auto"/>
          <w:sz w:val="24"/>
          <w:highlight w:val="none"/>
        </w:rPr>
      </w:pPr>
      <w:r>
        <w:rPr>
          <w:rFonts w:hint="eastAsia" w:ascii="宋体" w:hAnsi="宋体" w:eastAsia="宋体" w:cs="宋体"/>
          <w:color w:val="auto"/>
          <w:sz w:val="24"/>
          <w:highlight w:val="none"/>
        </w:rPr>
        <w:t>4.3.2.2对采购过程提出质疑的，质疑期限为各采购程序环节结束之日起计算。4.3.2.3对采购结果提出质疑的，质疑期限自采购结果公告期限届满之日起计算。</w:t>
      </w:r>
    </w:p>
    <w:p w14:paraId="6CC9B7D8">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4.3.3</w:t>
      </w:r>
      <w:r>
        <w:rPr>
          <w:rFonts w:hint="eastAsia" w:ascii="宋体" w:hAnsi="宋体" w:eastAsia="宋体" w:cs="宋体"/>
          <w:color w:val="auto"/>
          <w:sz w:val="24"/>
          <w:highlight w:val="none"/>
        </w:rPr>
        <w:t>供应商提出质疑应当提交质疑函和必要的证明材料。质疑函应当包括下列内容：</w:t>
      </w:r>
    </w:p>
    <w:p w14:paraId="570B8602">
      <w:pPr>
        <w:spacing w:line="360" w:lineRule="auto"/>
        <w:ind w:left="479" w:leftChars="228"/>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4.3.3.1供应商的姓名或者名称、地址、邮编、联系人及联系电话；</w:t>
      </w:r>
    </w:p>
    <w:p w14:paraId="3587E890">
      <w:pPr>
        <w:spacing w:line="360" w:lineRule="auto"/>
        <w:ind w:left="479" w:leftChars="228"/>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4.3.3.2质疑项目的名称、编号；</w:t>
      </w:r>
    </w:p>
    <w:p w14:paraId="2B251F51">
      <w:pPr>
        <w:spacing w:line="360" w:lineRule="auto"/>
        <w:ind w:left="479" w:leftChars="228"/>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4.3.3.3具体、明确的质疑事项和与质疑事项相关的请求；</w:t>
      </w:r>
    </w:p>
    <w:p w14:paraId="5A0DBD80">
      <w:pPr>
        <w:spacing w:line="360" w:lineRule="auto"/>
        <w:ind w:left="479" w:leftChars="228"/>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4.3.3.4事实依据；</w:t>
      </w:r>
    </w:p>
    <w:p w14:paraId="05270B70">
      <w:pPr>
        <w:spacing w:line="360" w:lineRule="auto"/>
        <w:ind w:left="479" w:leftChars="228"/>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4.3.3.5必要的法律依据；</w:t>
      </w:r>
    </w:p>
    <w:p w14:paraId="7D030B4D">
      <w:pPr>
        <w:spacing w:line="360" w:lineRule="auto"/>
        <w:ind w:left="479" w:leftChars="228"/>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4.3.3.6提出质疑的日期。</w:t>
      </w:r>
    </w:p>
    <w:p w14:paraId="48DD5E66">
      <w:pPr>
        <w:spacing w:line="360" w:lineRule="auto"/>
        <w:ind w:left="479" w:leftChars="228"/>
        <w:rPr>
          <w:rFonts w:hint="eastAsia" w:ascii="宋体" w:hAnsi="宋体" w:eastAsia="宋体" w:cs="宋体"/>
          <w:color w:val="auto"/>
          <w:highlight w:val="none"/>
        </w:rPr>
      </w:pPr>
      <w:r>
        <w:rPr>
          <w:rFonts w:hint="eastAsia" w:ascii="宋体" w:hAnsi="宋体" w:eastAsia="宋体" w:cs="宋体"/>
          <w:color w:val="auto"/>
          <w:sz w:val="24"/>
          <w:szCs w:val="32"/>
          <w:highlight w:val="none"/>
        </w:rPr>
        <w:t>供应商提交的质疑函需一式三份。供应商为自然人的，应当由本人签字；供应商为法人或者其他组织的，应当由法定代表人、主要负责人，或者其授权代表签字或者盖章，并加盖公章。质疑函范本及制作说明详见附件2。</w:t>
      </w:r>
    </w:p>
    <w:p w14:paraId="1682EB7D">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4.3.4对同一采购程序环节的质疑，供应商须在法定质疑期内一次性提出。</w:t>
      </w:r>
    </w:p>
    <w:p w14:paraId="7B17D8B1">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4.3.5采购人或者采购代理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代理机构在质疑回复后5个工作日内，在浙江政府采购网的“其他公告”栏目公开质疑答复，答复内容应当完整。质疑函作为附件上传。</w:t>
      </w:r>
    </w:p>
    <w:p w14:paraId="6734A3A8">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4.3.6询问或者质疑事项可能影响采购结果的，采购人应当暂停签订合同，已经签订合同的，应当中止履行合同。</w:t>
      </w:r>
    </w:p>
    <w:p w14:paraId="5E541FDF">
      <w:pPr>
        <w:autoSpaceDE w:val="0"/>
        <w:autoSpaceDN w:val="0"/>
        <w:spacing w:line="360" w:lineRule="auto"/>
        <w:ind w:firstLine="240" w:firstLineChars="1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4.4</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供应商投诉</w:t>
      </w:r>
    </w:p>
    <w:p w14:paraId="44215451">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4.4.1质疑供应商对采购人、采购代理机构的答复不满意或者采购人、采购代理机构未在规定的时间内作出答复的，可以在答复期满后十五个工作日内向同级政府采购监督管理部门提出投诉。</w:t>
      </w:r>
    </w:p>
    <w:p w14:paraId="08834AF1">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4.4.2供应商投诉的事项不得超出已质疑事项的范围，基于质疑答复内容提出的投诉事项除外。</w:t>
      </w:r>
    </w:p>
    <w:p w14:paraId="09BF5E67">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4.4.3供应商投诉应当有明确的请求和必要的证明材料。</w:t>
      </w:r>
    </w:p>
    <w:p w14:paraId="564EC290">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4.4.4 以联合体形式参加政府采购活动的，其投诉应当由组成联合体的所有供应商共同提出。</w:t>
      </w:r>
    </w:p>
    <w:p w14:paraId="1D8E188E">
      <w:pPr>
        <w:pStyle w:val="886"/>
        <w:shd w:val="clear" w:color="auto" w:fill="FFFFFF"/>
        <w:snapToGrid w:val="0"/>
        <w:spacing w:after="240" w:afterAutospacing="0" w:line="360" w:lineRule="auto"/>
        <w:ind w:firstLine="400"/>
        <w:contextualSpacing/>
        <w:rPr>
          <w:rFonts w:hint="eastAsia" w:ascii="宋体" w:hAnsi="宋体" w:eastAsia="宋体" w:cs="宋体"/>
          <w:color w:val="auto"/>
          <w:highlight w:val="none"/>
        </w:rPr>
      </w:pPr>
      <w:r>
        <w:rPr>
          <w:rFonts w:hint="eastAsia" w:ascii="宋体" w:hAnsi="宋体" w:eastAsia="宋体" w:cs="宋体"/>
          <w:color w:val="auto"/>
          <w:highlight w:val="none"/>
        </w:rPr>
        <w:t>4.4.5根据政府采购行政裁决省市区三级联动试点工作安排，杭州市本级</w:t>
      </w:r>
      <w:r>
        <w:rPr>
          <w:rFonts w:hint="eastAsia" w:ascii="宋体" w:hAnsi="宋体" w:eastAsia="宋体" w:cs="宋体"/>
          <w:color w:val="auto"/>
          <w:highlight w:val="none"/>
          <w:lang w:eastAsia="zh-CN"/>
        </w:rPr>
        <w:t>及各区、县（市）</w:t>
      </w:r>
      <w:r>
        <w:rPr>
          <w:rFonts w:hint="eastAsia" w:ascii="宋体" w:hAnsi="宋体" w:eastAsia="宋体" w:cs="宋体"/>
          <w:color w:val="auto"/>
          <w:highlight w:val="none"/>
        </w:rPr>
        <w:t>政府采购项目投诉材料可寄送浙江省政府采购行政裁决服务中心（杭州），地址：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color w:val="auto"/>
          <w:highlight w:val="none"/>
        </w:rPr>
        <w:t>收件人：朱女士</w:t>
      </w:r>
      <w:r>
        <w:rPr>
          <w:rFonts w:hint="eastAsia" w:ascii="宋体" w:hAnsi="宋体" w:eastAsia="宋体" w:cs="宋体"/>
          <w:color w:val="auto"/>
          <w:sz w:val="24"/>
          <w:highlight w:val="none"/>
        </w:rPr>
        <w:t>、王女士</w:t>
      </w:r>
      <w:r>
        <w:rPr>
          <w:rFonts w:hint="eastAsia" w:ascii="宋体" w:hAnsi="宋体" w:eastAsia="宋体" w:cs="宋体"/>
          <w:color w:val="auto"/>
          <w:highlight w:val="none"/>
        </w:rPr>
        <w:t>，电话：0571-</w:t>
      </w:r>
      <w:r>
        <w:rPr>
          <w:rFonts w:hint="eastAsia" w:ascii="宋体" w:hAnsi="宋体" w:eastAsia="宋体" w:cs="宋体"/>
          <w:i w:val="0"/>
          <w:caps w:val="0"/>
          <w:color w:val="auto"/>
          <w:spacing w:val="0"/>
          <w:sz w:val="24"/>
          <w:szCs w:val="24"/>
          <w:highlight w:val="none"/>
        </w:rPr>
        <w:t>8</w:t>
      </w:r>
      <w:r>
        <w:rPr>
          <w:rFonts w:hint="eastAsia" w:ascii="宋体" w:hAnsi="宋体" w:eastAsia="宋体" w:cs="宋体"/>
          <w:i w:val="0"/>
          <w:caps w:val="0"/>
          <w:color w:val="auto"/>
          <w:spacing w:val="0"/>
          <w:sz w:val="24"/>
          <w:szCs w:val="24"/>
          <w:highlight w:val="none"/>
          <w:lang w:val="en-US" w:eastAsia="zh-CN"/>
        </w:rPr>
        <w:t>7227671,0571-87800218</w:t>
      </w:r>
      <w:r>
        <w:rPr>
          <w:rFonts w:hint="eastAsia" w:ascii="宋体" w:hAnsi="宋体" w:eastAsia="宋体" w:cs="宋体"/>
          <w:color w:val="auto"/>
          <w:highlight w:val="none"/>
        </w:rPr>
        <w:t>。</w:t>
      </w:r>
    </w:p>
    <w:p w14:paraId="35E9985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4.5 补偿救济</w:t>
      </w:r>
    </w:p>
    <w:p w14:paraId="19F5F4E8">
      <w:pPr>
        <w:pStyle w:val="886"/>
        <w:shd w:val="clear" w:color="auto" w:fill="FFFFFF"/>
        <w:snapToGrid w:val="0"/>
        <w:spacing w:after="240" w:afterAutospacing="0" w:line="360" w:lineRule="auto"/>
        <w:ind w:firstLine="400"/>
        <w:contextualSpacing/>
        <w:rPr>
          <w:rFonts w:hint="eastAsia" w:ascii="宋体" w:hAnsi="宋体" w:eastAsia="宋体" w:cs="宋体"/>
          <w:color w:val="auto"/>
          <w:highlight w:val="none"/>
        </w:rPr>
      </w:pPr>
      <w:r>
        <w:rPr>
          <w:rFonts w:hint="eastAsia" w:ascii="宋体" w:hAnsi="宋体" w:eastAsia="宋体" w:cs="宋体"/>
          <w:color w:val="auto"/>
          <w:sz w:val="24"/>
          <w:highlight w:val="none"/>
        </w:rPr>
        <w:t>采购人因政策变化、规划调整而不履行政府采购合同的，供应商可依据《杭州市涉企补偿救济实施办法（试行）》向采购人提起补偿申请。</w:t>
      </w:r>
    </w:p>
    <w:p w14:paraId="2B880F3E">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投诉书范本及制作说明详见附件3。</w:t>
      </w:r>
    </w:p>
    <w:p w14:paraId="4143FC5A">
      <w:pPr>
        <w:adjustRightInd/>
        <w:spacing w:line="360" w:lineRule="auto"/>
        <w:jc w:val="center"/>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二、招标文件的构成、澄清、修改</w:t>
      </w:r>
    </w:p>
    <w:p w14:paraId="514657D6">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招标文件的构成</w:t>
      </w:r>
    </w:p>
    <w:p w14:paraId="4AE2D5DD">
      <w:pPr>
        <w:autoSpaceDE w:val="0"/>
        <w:autoSpaceDN w:val="0"/>
        <w:spacing w:line="360" w:lineRule="auto"/>
        <w:ind w:firstLine="240" w:firstLineChars="1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5.1 招标文件包括下列文件及附件：</w:t>
      </w:r>
    </w:p>
    <w:p w14:paraId="5DDAA9BE">
      <w:pPr>
        <w:pStyle w:val="32"/>
        <w:tabs>
          <w:tab w:val="left" w:pos="840"/>
        </w:tabs>
        <w:spacing w:line="360" w:lineRule="auto"/>
        <w:ind w:firstLine="960" w:firstLineChars="400"/>
        <w:rPr>
          <w:rFonts w:hint="eastAsia" w:ascii="宋体" w:hAnsi="宋体" w:eastAsia="宋体" w:cs="宋体"/>
          <w:snapToGrid/>
          <w:color w:val="auto"/>
          <w:sz w:val="24"/>
          <w:szCs w:val="24"/>
          <w:highlight w:val="none"/>
          <w:lang w:val="zh-CN"/>
        </w:rPr>
      </w:pPr>
      <w:r>
        <w:rPr>
          <w:rFonts w:hint="eastAsia" w:ascii="宋体" w:hAnsi="宋体" w:eastAsia="宋体" w:cs="宋体"/>
          <w:snapToGrid/>
          <w:color w:val="auto"/>
          <w:sz w:val="24"/>
          <w:szCs w:val="24"/>
          <w:highlight w:val="none"/>
          <w:lang w:val="zh-CN"/>
        </w:rPr>
        <w:t>5.1.1招标公告；</w:t>
      </w:r>
    </w:p>
    <w:p w14:paraId="44A4D033">
      <w:pPr>
        <w:pStyle w:val="32"/>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snapToGrid/>
          <w:color w:val="auto"/>
          <w:sz w:val="24"/>
          <w:szCs w:val="24"/>
          <w:highlight w:val="none"/>
          <w:lang w:val="zh-CN"/>
        </w:rPr>
        <w:t>.1.2投标人须知</w:t>
      </w:r>
      <w:r>
        <w:rPr>
          <w:rFonts w:hint="eastAsia" w:ascii="宋体" w:hAnsi="宋体" w:eastAsia="宋体" w:cs="宋体"/>
          <w:color w:val="auto"/>
          <w:sz w:val="24"/>
          <w:szCs w:val="24"/>
          <w:highlight w:val="none"/>
        </w:rPr>
        <w:t>；</w:t>
      </w:r>
    </w:p>
    <w:p w14:paraId="3982699B">
      <w:pPr>
        <w:pStyle w:val="32"/>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5.1.3采购需求；</w:t>
      </w:r>
    </w:p>
    <w:p w14:paraId="150C736F">
      <w:pPr>
        <w:pStyle w:val="32"/>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5.1.4评标办法；</w:t>
      </w:r>
    </w:p>
    <w:p w14:paraId="0C36FBA2">
      <w:pPr>
        <w:pStyle w:val="32"/>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5.1.5拟签订的合同文本；</w:t>
      </w:r>
    </w:p>
    <w:p w14:paraId="722E96CA">
      <w:pPr>
        <w:pStyle w:val="32"/>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5.1.6</w:t>
      </w:r>
      <w:r>
        <w:rPr>
          <w:rFonts w:hint="eastAsia" w:ascii="宋体" w:hAnsi="宋体" w:eastAsia="宋体" w:cs="宋体"/>
          <w:color w:val="auto"/>
          <w:sz w:val="24"/>
          <w:szCs w:val="24"/>
          <w:highlight w:val="none"/>
        </w:rPr>
        <w:t>应提交的有关格式范例。</w:t>
      </w:r>
    </w:p>
    <w:p w14:paraId="7873B48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5.2与本项目有关的</w:t>
      </w:r>
      <w:r>
        <w:rPr>
          <w:rFonts w:hint="eastAsia" w:ascii="宋体" w:hAnsi="宋体" w:eastAsia="宋体" w:cs="宋体"/>
          <w:bCs/>
          <w:color w:val="auto"/>
          <w:sz w:val="24"/>
          <w:highlight w:val="none"/>
        </w:rPr>
        <w:t>澄清或者修改的内容为招标文件的组成部分</w:t>
      </w:r>
      <w:r>
        <w:rPr>
          <w:rFonts w:hint="eastAsia" w:ascii="宋体" w:hAnsi="宋体" w:eastAsia="宋体" w:cs="宋体"/>
          <w:color w:val="auto"/>
          <w:sz w:val="24"/>
          <w:highlight w:val="none"/>
        </w:rPr>
        <w:t>。</w:t>
      </w:r>
    </w:p>
    <w:p w14:paraId="1353C1C5">
      <w:pPr>
        <w:pStyle w:val="32"/>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 招标文件的澄清、修改</w:t>
      </w:r>
    </w:p>
    <w:p w14:paraId="0E930405">
      <w:pPr>
        <w:pStyle w:val="128"/>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6.1已获取招标文件的潜在投标人，若有问题需要澄清，应于投标截止时间前，以书面形式向采购代理机构提出。</w:t>
      </w:r>
    </w:p>
    <w:p w14:paraId="71E015EF">
      <w:pPr>
        <w:pStyle w:val="128"/>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66A81C03">
      <w:pPr>
        <w:adjustRightInd/>
        <w:spacing w:line="360" w:lineRule="auto"/>
        <w:jc w:val="center"/>
        <w:outlineLvl w:val="0"/>
        <w:rPr>
          <w:rFonts w:hint="eastAsia" w:ascii="宋体" w:hAnsi="宋体" w:eastAsia="宋体" w:cs="宋体"/>
          <w:b/>
          <w:color w:val="auto"/>
          <w:sz w:val="32"/>
          <w:szCs w:val="21"/>
          <w:highlight w:val="none"/>
        </w:rPr>
      </w:pPr>
      <w:r>
        <w:rPr>
          <w:rFonts w:hint="eastAsia" w:ascii="宋体" w:hAnsi="宋体" w:eastAsia="宋体" w:cs="宋体"/>
          <w:b/>
          <w:color w:val="auto"/>
          <w:sz w:val="32"/>
          <w:szCs w:val="21"/>
          <w:highlight w:val="none"/>
        </w:rPr>
        <w:t>三、投标</w:t>
      </w:r>
    </w:p>
    <w:p w14:paraId="49CA1C0E">
      <w:pPr>
        <w:pStyle w:val="32"/>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 招标文件的获取</w:t>
      </w:r>
    </w:p>
    <w:p w14:paraId="5B579F4F">
      <w:pPr>
        <w:spacing w:line="360" w:lineRule="auto"/>
        <w:ind w:firstLine="480" w:firstLineChars="200"/>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详见招标公告中获取招标文件的时间期限、地点、方式及招标文件售价。</w:t>
      </w:r>
    </w:p>
    <w:p w14:paraId="30F3D466">
      <w:pPr>
        <w:pStyle w:val="32"/>
        <w:numPr>
          <w:ilvl w:val="0"/>
          <w:numId w:val="2"/>
        </w:num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开标前答疑会或现场考察</w:t>
      </w:r>
    </w:p>
    <w:p w14:paraId="40080C9D">
      <w:pPr>
        <w:pStyle w:val="3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586FC6B9">
      <w:pPr>
        <w:pStyle w:val="32"/>
        <w:numPr>
          <w:ilvl w:val="0"/>
          <w:numId w:val="2"/>
        </w:numPr>
        <w:spacing w:line="360" w:lineRule="auto"/>
        <w:ind w:left="0" w:leftChars="0"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投标保证金</w:t>
      </w:r>
    </w:p>
    <w:p w14:paraId="47E19C9F">
      <w:pPr>
        <w:pStyle w:val="5"/>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本项目不需缴纳投标保证金。</w:t>
      </w:r>
    </w:p>
    <w:p w14:paraId="649EB58D">
      <w:pPr>
        <w:pStyle w:val="32"/>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 投标文件的语言</w:t>
      </w:r>
    </w:p>
    <w:p w14:paraId="6957A778">
      <w:pPr>
        <w:autoSpaceDE w:val="0"/>
        <w:autoSpaceDN w:val="0"/>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投标文件及投标人与采购有关的来往通知、函件和文件均应使用中文。</w:t>
      </w:r>
    </w:p>
    <w:p w14:paraId="55B8D8AC">
      <w:pPr>
        <w:pStyle w:val="32"/>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 投标文件的组成</w:t>
      </w:r>
    </w:p>
    <w:p w14:paraId="7A49D9CF">
      <w:pPr>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snapToGrid w:val="0"/>
          <w:color w:val="auto"/>
          <w:sz w:val="24"/>
          <w:highlight w:val="none"/>
        </w:rPr>
        <w:t>▲投标文件至少应包括以下文件。</w:t>
      </w:r>
    </w:p>
    <w:p w14:paraId="3D6993D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w:t>
      </w:r>
      <w:r>
        <w:rPr>
          <w:rFonts w:hint="eastAsia" w:ascii="宋体" w:hAnsi="宋体" w:eastAsia="宋体" w:cs="宋体"/>
          <w:b/>
          <w:color w:val="auto"/>
          <w:sz w:val="24"/>
          <w:highlight w:val="none"/>
        </w:rPr>
        <w:t>资格文件</w:t>
      </w:r>
      <w:r>
        <w:rPr>
          <w:rFonts w:hint="eastAsia" w:ascii="宋体" w:hAnsi="宋体" w:eastAsia="宋体" w:cs="宋体"/>
          <w:color w:val="auto"/>
          <w:sz w:val="24"/>
          <w:highlight w:val="none"/>
        </w:rPr>
        <w:t>：</w:t>
      </w:r>
    </w:p>
    <w:p w14:paraId="0CBE7B61">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11.1.1符合参加政府采购活动应当具备的一般条件的承诺函；</w:t>
      </w:r>
    </w:p>
    <w:p w14:paraId="0BF30E73">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11.1.2</w:t>
      </w:r>
      <w:bookmarkStart w:id="13" w:name="_Hlk101259339"/>
      <w:r>
        <w:rPr>
          <w:rFonts w:hint="eastAsia" w:ascii="宋体" w:hAnsi="宋体" w:eastAsia="宋体" w:cs="宋体"/>
          <w:snapToGrid w:val="0"/>
          <w:color w:val="auto"/>
          <w:kern w:val="28"/>
          <w:sz w:val="24"/>
          <w:szCs w:val="20"/>
          <w:highlight w:val="none"/>
        </w:rPr>
        <w:t>联合协议</w:t>
      </w:r>
      <w:bookmarkEnd w:id="13"/>
      <w:r>
        <w:rPr>
          <w:rFonts w:hint="eastAsia" w:ascii="宋体" w:hAnsi="宋体" w:eastAsia="宋体" w:cs="宋体"/>
          <w:snapToGrid w:val="0"/>
          <w:color w:val="auto"/>
          <w:kern w:val="28"/>
          <w:sz w:val="24"/>
          <w:szCs w:val="20"/>
          <w:highlight w:val="none"/>
        </w:rPr>
        <w:t>（如果有)；</w:t>
      </w:r>
    </w:p>
    <w:p w14:paraId="0CC1BD23">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11.1.3落实政府采购政策需满足的资格要求</w:t>
      </w:r>
      <w:r>
        <w:rPr>
          <w:rFonts w:hint="eastAsia" w:ascii="宋体" w:hAnsi="宋体" w:eastAsia="宋体" w:cs="宋体"/>
          <w:snapToGrid w:val="0"/>
          <w:color w:val="auto"/>
          <w:kern w:val="28"/>
          <w:sz w:val="24"/>
          <w:szCs w:val="20"/>
          <w:highlight w:val="none"/>
        </w:rPr>
        <w:t>（如果有)</w:t>
      </w:r>
      <w:r>
        <w:rPr>
          <w:rFonts w:hint="eastAsia" w:ascii="宋体" w:hAnsi="宋体" w:eastAsia="宋体" w:cs="宋体"/>
          <w:color w:val="auto"/>
          <w:sz w:val="24"/>
          <w:highlight w:val="none"/>
        </w:rPr>
        <w:t>；</w:t>
      </w:r>
    </w:p>
    <w:p w14:paraId="74A6D354">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11.1.4本项目的特定资格要求</w:t>
      </w:r>
      <w:r>
        <w:rPr>
          <w:rFonts w:hint="eastAsia" w:ascii="宋体" w:hAnsi="宋体" w:eastAsia="宋体" w:cs="宋体"/>
          <w:snapToGrid w:val="0"/>
          <w:color w:val="auto"/>
          <w:kern w:val="28"/>
          <w:sz w:val="24"/>
          <w:szCs w:val="20"/>
          <w:highlight w:val="none"/>
        </w:rPr>
        <w:t>（如果有)</w:t>
      </w:r>
      <w:r>
        <w:rPr>
          <w:rFonts w:hint="eastAsia" w:ascii="宋体" w:hAnsi="宋体" w:eastAsia="宋体" w:cs="宋体"/>
          <w:color w:val="auto"/>
          <w:sz w:val="24"/>
          <w:highlight w:val="none"/>
        </w:rPr>
        <w:t>。</w:t>
      </w:r>
    </w:p>
    <w:p w14:paraId="74E6C391">
      <w:pPr>
        <w:snapToGrid w:val="0"/>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w:t>
      </w:r>
      <w:r>
        <w:rPr>
          <w:rFonts w:hint="eastAsia" w:ascii="宋体" w:hAnsi="宋体" w:eastAsia="宋体" w:cs="宋体"/>
          <w:color w:val="auto"/>
          <w:sz w:val="24"/>
          <w:highlight w:val="none"/>
        </w:rPr>
        <w:t>2商务技术</w:t>
      </w:r>
      <w:r>
        <w:rPr>
          <w:rFonts w:hint="eastAsia" w:ascii="宋体" w:hAnsi="宋体" w:eastAsia="宋体" w:cs="宋体"/>
          <w:color w:val="auto"/>
          <w:sz w:val="24"/>
          <w:highlight w:val="none"/>
          <w:lang w:val="zh-CN"/>
        </w:rPr>
        <w:t>文件：</w:t>
      </w:r>
    </w:p>
    <w:p w14:paraId="0B2F1F46">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11.2.1投标函；</w:t>
      </w:r>
      <w:r>
        <w:rPr>
          <w:rFonts w:hint="eastAsia" w:ascii="宋体" w:hAnsi="宋体" w:eastAsia="宋体" w:cs="宋体"/>
          <w:color w:val="auto"/>
          <w:sz w:val="24"/>
          <w:highlight w:val="none"/>
          <w:lang w:val="zh-CN"/>
        </w:rPr>
        <w:t xml:space="preserve"> </w:t>
      </w:r>
    </w:p>
    <w:p w14:paraId="4990FDD5">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11.2.2授权委托书或法定代表人（单位负责人、自然人本人）身份证明；</w:t>
      </w:r>
    </w:p>
    <w:p w14:paraId="5335125D">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11.2.3分包意向协议</w:t>
      </w:r>
      <w:r>
        <w:rPr>
          <w:rFonts w:hint="eastAsia" w:ascii="宋体" w:hAnsi="宋体" w:eastAsia="宋体" w:cs="宋体"/>
          <w:snapToGrid w:val="0"/>
          <w:color w:val="auto"/>
          <w:kern w:val="28"/>
          <w:sz w:val="24"/>
          <w:szCs w:val="20"/>
          <w:highlight w:val="none"/>
        </w:rPr>
        <w:t>（如果有)</w:t>
      </w:r>
      <w:r>
        <w:rPr>
          <w:rFonts w:hint="eastAsia" w:ascii="宋体" w:hAnsi="宋体" w:eastAsia="宋体" w:cs="宋体"/>
          <w:color w:val="auto"/>
          <w:sz w:val="24"/>
          <w:highlight w:val="none"/>
        </w:rPr>
        <w:t>；</w:t>
      </w:r>
    </w:p>
    <w:p w14:paraId="53088DBC">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11.2.4符合性审查资料；</w:t>
      </w:r>
    </w:p>
    <w:p w14:paraId="1D76E739">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11.2.5评标标准相应的商务技术资料；</w:t>
      </w:r>
    </w:p>
    <w:p w14:paraId="4E0A22DA">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11.2.6投标标的清单；</w:t>
      </w:r>
    </w:p>
    <w:p w14:paraId="54812202">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11.2.7商务技术偏离表；</w:t>
      </w:r>
    </w:p>
    <w:p w14:paraId="27B97EAC">
      <w:pPr>
        <w:snapToGrid w:val="0"/>
        <w:spacing w:line="360" w:lineRule="auto"/>
        <w:ind w:firstLine="960" w:firstLineChars="4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zh-CN"/>
        </w:rPr>
        <w:t>政府采购供应商廉洁自律承诺书；</w:t>
      </w:r>
    </w:p>
    <w:p w14:paraId="32A67EC5">
      <w:pPr>
        <w:snapToGrid w:val="0"/>
        <w:spacing w:line="360" w:lineRule="auto"/>
        <w:ind w:firstLine="480" w:firstLineChars="200"/>
        <w:rPr>
          <w:rFonts w:hint="eastAsia" w:ascii="宋体" w:hAnsi="宋体" w:eastAsia="宋体" w:cs="宋体"/>
          <w:color w:val="auto"/>
          <w:sz w:val="24"/>
          <w:highlight w:val="none"/>
          <w:u w:val="single"/>
          <w:lang w:val="zh-CN"/>
        </w:rPr>
      </w:pPr>
      <w:r>
        <w:rPr>
          <w:rFonts w:hint="eastAsia" w:ascii="宋体" w:hAnsi="宋体" w:eastAsia="宋体" w:cs="宋体"/>
          <w:color w:val="auto"/>
          <w:kern w:val="0"/>
          <w:sz w:val="24"/>
          <w:highlight w:val="none"/>
          <w:lang w:val="zh-CN"/>
        </w:rPr>
        <w:t>11.</w:t>
      </w:r>
      <w:r>
        <w:rPr>
          <w:rFonts w:hint="eastAsia" w:ascii="宋体" w:hAnsi="宋体" w:eastAsia="宋体" w:cs="宋体"/>
          <w:color w:val="auto"/>
          <w:kern w:val="0"/>
          <w:sz w:val="24"/>
          <w:highlight w:val="none"/>
        </w:rPr>
        <w:t>3</w:t>
      </w:r>
      <w:r>
        <w:rPr>
          <w:rFonts w:hint="eastAsia" w:ascii="宋体" w:hAnsi="宋体" w:eastAsia="宋体" w:cs="宋体"/>
          <w:b/>
          <w:color w:val="auto"/>
          <w:sz w:val="24"/>
          <w:highlight w:val="none"/>
        </w:rPr>
        <w:t>报价文件：</w:t>
      </w:r>
      <w:r>
        <w:rPr>
          <w:rFonts w:hint="eastAsia" w:ascii="宋体" w:hAnsi="宋体" w:eastAsia="宋体" w:cs="宋体"/>
          <w:color w:val="auto"/>
          <w:sz w:val="24"/>
          <w:highlight w:val="none"/>
        </w:rPr>
        <w:t xml:space="preserve"> </w:t>
      </w:r>
    </w:p>
    <w:p w14:paraId="3BE634B5">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11.3.1开标一览表（报价表）；</w:t>
      </w:r>
    </w:p>
    <w:p w14:paraId="74AE276D">
      <w:pPr>
        <w:pStyle w:val="964"/>
        <w:adjustRightInd w:val="0"/>
        <w:spacing w:line="360" w:lineRule="auto"/>
        <w:ind w:firstLine="960" w:firstLineChars="400"/>
        <w:rPr>
          <w:rFonts w:hint="eastAsia" w:ascii="宋体" w:hAnsi="宋体" w:eastAsia="宋体" w:cs="宋体"/>
          <w:color w:val="auto"/>
          <w:highlight w:val="none"/>
        </w:rPr>
      </w:pPr>
      <w:r>
        <w:rPr>
          <w:rFonts w:hint="eastAsia" w:ascii="宋体" w:hAnsi="宋体" w:eastAsia="宋体" w:cs="宋体"/>
          <w:b w:val="0"/>
          <w:bCs w:val="0"/>
          <w:color w:val="auto"/>
          <w:sz w:val="24"/>
          <w:szCs w:val="24"/>
          <w:highlight w:val="none"/>
          <w:lang w:val="en-US"/>
        </w:rPr>
        <w:t>11.3.</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rPr>
        <w:t xml:space="preserve"> 报价情况说明（如供应商报价低于项目预算50%的，应当提交本文档，详细阐述不影响产品质量或者诚信履约的具体原因）</w:t>
      </w:r>
      <w:r>
        <w:rPr>
          <w:rFonts w:hint="eastAsia" w:ascii="宋体" w:hAnsi="宋体" w:eastAsia="宋体" w:cs="宋体"/>
          <w:b w:val="0"/>
          <w:bCs w:val="0"/>
          <w:color w:val="auto"/>
          <w:sz w:val="24"/>
          <w:szCs w:val="24"/>
          <w:highlight w:val="none"/>
          <w:lang w:val="en-US" w:eastAsia="zh-CN"/>
        </w:rPr>
        <w:t>；</w:t>
      </w:r>
    </w:p>
    <w:p w14:paraId="68BDBC96">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中小企业声明函。</w:t>
      </w:r>
    </w:p>
    <w:p w14:paraId="3D3E5F35">
      <w:pPr>
        <w:spacing w:line="360" w:lineRule="auto"/>
        <w:ind w:firstLine="723" w:firstLineChars="3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投标文件含有采购人不能接受的附加条件的，投标无效；</w:t>
      </w:r>
    </w:p>
    <w:p w14:paraId="6443F8B4">
      <w:pPr>
        <w:spacing w:line="360" w:lineRule="auto"/>
        <w:ind w:firstLine="723" w:firstLineChars="3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投标人提供虚假材料投标的，投标无效。</w:t>
      </w:r>
    </w:p>
    <w:p w14:paraId="192401A3">
      <w:pPr>
        <w:spacing w:line="360" w:lineRule="auto"/>
        <w:ind w:firstLine="720" w:firstLineChars="300"/>
        <w:rPr>
          <w:rFonts w:hint="eastAsia" w:ascii="宋体" w:hAnsi="宋体" w:eastAsia="宋体" w:cs="宋体"/>
          <w:color w:val="auto"/>
          <w:highlight w:val="none"/>
        </w:rPr>
      </w:pPr>
      <w:r>
        <w:rPr>
          <w:rFonts w:hint="eastAsia" w:ascii="宋体" w:hAnsi="宋体" w:eastAsia="宋体" w:cs="宋体"/>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投标人应对投标文件中材料的真实性、合法性负责。投标人可事先在公开官网查询、核对相关证书和报告内容，确保投标文件资料准确无误。</w:t>
      </w:r>
    </w:p>
    <w:p w14:paraId="769006F6">
      <w:pPr>
        <w:pStyle w:val="128"/>
        <w:snapToGrid w:val="0"/>
        <w:spacing w:before="0"/>
        <w:ind w:firstLine="0" w:firstLineChars="0"/>
        <w:outlineLvl w:val="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12</w:t>
      </w:r>
      <w:r>
        <w:rPr>
          <w:rFonts w:hint="eastAsia" w:ascii="宋体" w:hAnsi="宋体" w:eastAsia="宋体" w:cs="宋体"/>
          <w:b/>
          <w:color w:val="auto"/>
          <w:kern w:val="0"/>
          <w:szCs w:val="24"/>
          <w:highlight w:val="none"/>
          <w:lang w:val="zh-CN"/>
        </w:rPr>
        <w:t xml:space="preserve">. </w:t>
      </w:r>
      <w:r>
        <w:rPr>
          <w:rFonts w:hint="eastAsia" w:ascii="宋体" w:hAnsi="宋体" w:eastAsia="宋体" w:cs="宋体"/>
          <w:b/>
          <w:color w:val="auto"/>
          <w:szCs w:val="24"/>
          <w:highlight w:val="none"/>
        </w:rPr>
        <w:t>投标文件的编制</w:t>
      </w:r>
    </w:p>
    <w:p w14:paraId="7C399C6B">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12.1投标文件分为资格文件、商务技术文件、报价文件三部分。如果本项目分多个标项的，投标人应按所投标项提交相应的投标文件。各投标人在编制投标文件时请按照招标文件第六部分规定的格式进行，混乱的编排导致投标文件被误读或评标委员会查找不到有效文件是投标人的风险。</w:t>
      </w:r>
    </w:p>
    <w:p w14:paraId="1FE69DC9">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0D6165E1">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45C890F1">
      <w:pPr>
        <w:numPr>
          <w:ilvl w:val="0"/>
          <w:numId w:val="3"/>
        </w:numPr>
        <w:snapToGrid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投标文件的签署、盖章</w:t>
      </w:r>
    </w:p>
    <w:p w14:paraId="76680A3B">
      <w:pPr>
        <w:pStyle w:val="128"/>
        <w:snapToGrid w:val="0"/>
        <w:spacing w:before="0"/>
        <w:ind w:firstLine="480"/>
        <w:rPr>
          <w:rFonts w:hint="eastAsia" w:ascii="宋体" w:hAnsi="宋体" w:eastAsia="宋体" w:cs="宋体"/>
          <w:b/>
          <w:color w:val="auto"/>
          <w:highlight w:val="none"/>
        </w:rPr>
      </w:pPr>
      <w:r>
        <w:rPr>
          <w:rFonts w:hint="eastAsia" w:ascii="宋体" w:hAnsi="宋体" w:eastAsia="宋体" w:cs="宋体"/>
          <w:color w:val="auto"/>
          <w:szCs w:val="24"/>
          <w:highlight w:val="none"/>
        </w:rPr>
        <w:t>13.1投标文件按照招标文件第六部分格式要</w:t>
      </w:r>
      <w:r>
        <w:rPr>
          <w:rFonts w:hint="eastAsia" w:ascii="宋体" w:hAnsi="宋体" w:eastAsia="宋体" w:cs="宋体"/>
          <w:color w:val="auto"/>
          <w:highlight w:val="none"/>
        </w:rPr>
        <w:t>求进行签署、盖章。</w:t>
      </w:r>
      <w:r>
        <w:rPr>
          <w:rFonts w:hint="eastAsia" w:ascii="宋体" w:hAnsi="宋体" w:eastAsia="宋体" w:cs="宋体"/>
          <w:b/>
          <w:color w:val="auto"/>
          <w:highlight w:val="none"/>
        </w:rPr>
        <w:t>▲投标人的投标文件未按照招标文件要求签署、盖章的，其投标无效</w:t>
      </w:r>
      <w:r>
        <w:rPr>
          <w:rFonts w:hint="eastAsia" w:ascii="宋体" w:hAnsi="宋体" w:eastAsia="宋体" w:cs="宋体"/>
          <w:color w:val="auto"/>
          <w:szCs w:val="24"/>
          <w:highlight w:val="none"/>
        </w:rPr>
        <w:t>。</w:t>
      </w:r>
    </w:p>
    <w:p w14:paraId="364B8352">
      <w:pPr>
        <w:pStyle w:val="128"/>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005E5EA5">
      <w:pPr>
        <w:pStyle w:val="128"/>
        <w:snapToGrid w:val="0"/>
        <w:spacing w:before="0"/>
        <w:ind w:firstLine="480"/>
        <w:rPr>
          <w:rFonts w:hint="eastAsia" w:ascii="宋体" w:hAnsi="宋体" w:eastAsia="宋体" w:cs="宋体"/>
          <w:color w:val="auto"/>
          <w:szCs w:val="24"/>
          <w:highlight w:val="none"/>
        </w:rPr>
      </w:pPr>
      <w:r>
        <w:rPr>
          <w:rFonts w:hint="eastAsia" w:ascii="宋体" w:hAnsi="宋体" w:eastAsia="宋体" w:cs="宋体"/>
          <w:color w:val="auto"/>
          <w:highlight w:val="none"/>
        </w:rPr>
        <w:t>13.3招标文件对投标文件签署、盖章的要求适用于电子签名。</w:t>
      </w:r>
    </w:p>
    <w:p w14:paraId="56A26D54">
      <w:pPr>
        <w:pStyle w:val="128"/>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14. 投标文件的提交、补充、修改、撤回</w:t>
      </w:r>
    </w:p>
    <w:p w14:paraId="0D91E237">
      <w:pPr>
        <w:pStyle w:val="128"/>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14:paraId="4DC780BA">
      <w:pPr>
        <w:pStyle w:val="128"/>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20341BE4">
      <w:pPr>
        <w:pStyle w:val="128"/>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1C280E43">
      <w:pPr>
        <w:pStyle w:val="32"/>
        <w:numPr>
          <w:ilvl w:val="0"/>
          <w:numId w:val="4"/>
        </w:num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备份投标文件</w:t>
      </w:r>
    </w:p>
    <w:p w14:paraId="716CA0DE">
      <w:pPr>
        <w:pStyle w:val="32"/>
        <w:spacing w:line="360" w:lineRule="auto"/>
        <w:ind w:firstLine="360" w:firstLineChars="15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ascii="宋体" w:hAnsi="宋体" w:eastAsia="宋体" w:cs="宋体"/>
          <w:b/>
          <w:color w:val="auto"/>
          <w:sz w:val="24"/>
          <w:szCs w:val="24"/>
          <w:highlight w:val="none"/>
        </w:rPr>
        <w:t>但采购人、采购代理机构不强制或变相强制投标人提交备份投标文件。</w:t>
      </w:r>
    </w:p>
    <w:p w14:paraId="05CBAE35">
      <w:pPr>
        <w:pStyle w:val="32"/>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15.2备份投标文件须在“政采云投标客户端”制作生成，并储存在</w:t>
      </w:r>
      <w:r>
        <w:rPr>
          <w:rFonts w:hint="eastAsia" w:ascii="宋体" w:hAnsi="宋体" w:eastAsia="宋体" w:cs="宋体"/>
          <w:color w:val="auto"/>
          <w:sz w:val="24"/>
          <w:highlight w:val="none"/>
        </w:rPr>
        <w:t>DVD光盘等存储介质</w:t>
      </w:r>
      <w:r>
        <w:rPr>
          <w:rFonts w:hint="eastAsia" w:ascii="宋体" w:hAnsi="宋体" w:eastAsia="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宋体" w:hAnsi="宋体" w:eastAsia="宋体" w:cs="宋体"/>
          <w:b/>
          <w:color w:val="auto"/>
          <w:sz w:val="24"/>
          <w:highlight w:val="none"/>
        </w:rPr>
        <w:t>不符合上述制作、</w:t>
      </w:r>
      <w:r>
        <w:rPr>
          <w:rFonts w:hint="eastAsia" w:ascii="宋体" w:hAnsi="宋体" w:eastAsia="宋体" w:cs="宋体"/>
          <w:b/>
          <w:color w:val="auto"/>
          <w:sz w:val="24"/>
          <w:szCs w:val="24"/>
          <w:highlight w:val="none"/>
        </w:rPr>
        <w:t>存储、密封规定的备份投标文件将被视为无效或者被拒绝接收。</w:t>
      </w:r>
    </w:p>
    <w:p w14:paraId="22FB36A3">
      <w:pPr>
        <w:pStyle w:val="3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15.3直接提交备份投标文件的，投标人应于投标截止时间前在招标公告中载明的开标地点将备份投标文件提交给采购代理机构，采购代理机构将拒绝接受逾期送达的备份投标文件。</w:t>
      </w:r>
    </w:p>
    <w:p w14:paraId="4A195085">
      <w:pPr>
        <w:pStyle w:val="3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ascii="宋体" w:hAnsi="宋体" w:eastAsia="宋体" w:cs="宋体"/>
          <w:snapToGrid/>
          <w:color w:val="auto"/>
          <w:sz w:val="24"/>
          <w:szCs w:val="24"/>
          <w:highlight w:val="none"/>
        </w:rPr>
        <w:t>招标文件第二部分投标人须知前附表规定的备份投标文件送达地点；</w:t>
      </w:r>
      <w:r>
        <w:rPr>
          <w:rFonts w:hint="eastAsia" w:ascii="宋体" w:hAnsi="宋体" w:eastAsia="宋体" w:cs="宋体"/>
          <w:color w:val="auto"/>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14:paraId="00268F43">
      <w:pPr>
        <w:pStyle w:val="32"/>
        <w:spacing w:line="360" w:lineRule="auto"/>
        <w:ind w:firstLine="479" w:firstLineChars="19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15.5投标人仅提交备份投标文件，未在电子交易平台传输递交投标文件的，投标无效。</w:t>
      </w:r>
    </w:p>
    <w:p w14:paraId="27D8F723">
      <w:pPr>
        <w:pStyle w:val="128"/>
        <w:numPr>
          <w:ilvl w:val="0"/>
          <w:numId w:val="5"/>
        </w:numPr>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投标文件的无效处理</w:t>
      </w:r>
    </w:p>
    <w:p w14:paraId="7C8BA518">
      <w:pPr>
        <w:pStyle w:val="24"/>
        <w:spacing w:line="360" w:lineRule="auto"/>
        <w:ind w:firstLine="360"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有招标文件第四部分</w:t>
      </w:r>
      <w:r>
        <w:rPr>
          <w:rFonts w:hint="eastAsia" w:ascii="宋体" w:hAnsi="宋体" w:eastAsia="宋体" w:cs="宋体"/>
          <w:color w:val="auto"/>
          <w:highlight w:val="none"/>
        </w:rPr>
        <w:t>4.2规定</w:t>
      </w:r>
      <w:r>
        <w:rPr>
          <w:rFonts w:hint="eastAsia" w:ascii="宋体" w:hAnsi="宋体" w:eastAsia="宋体" w:cs="宋体"/>
          <w:color w:val="auto"/>
          <w:szCs w:val="21"/>
          <w:highlight w:val="none"/>
        </w:rPr>
        <w:t>的情形之一的，投标无效：</w:t>
      </w:r>
    </w:p>
    <w:p w14:paraId="3D409DD9">
      <w:pPr>
        <w:pStyle w:val="128"/>
        <w:numPr>
          <w:ilvl w:val="0"/>
          <w:numId w:val="5"/>
        </w:numPr>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投标有效期</w:t>
      </w:r>
    </w:p>
    <w:p w14:paraId="7655A86D">
      <w:pPr>
        <w:spacing w:line="360" w:lineRule="auto"/>
        <w:ind w:firstLine="480" w:firstLineChars="200"/>
        <w:rPr>
          <w:rFonts w:hint="eastAsia" w:ascii="宋体" w:hAnsi="宋体" w:eastAsia="宋体" w:cs="宋体"/>
          <w:b/>
          <w:color w:val="auto"/>
          <w:sz w:val="24"/>
          <w:szCs w:val="21"/>
          <w:highlight w:val="none"/>
        </w:rPr>
      </w:pPr>
      <w:r>
        <w:rPr>
          <w:rFonts w:hint="eastAsia" w:ascii="宋体" w:hAnsi="宋体" w:eastAsia="宋体" w:cs="宋体"/>
          <w:color w:val="auto"/>
          <w:sz w:val="24"/>
          <w:szCs w:val="20"/>
          <w:highlight w:val="none"/>
        </w:rPr>
        <w:t>17.1投标有效期为从提交投标文件的截止之日起90天。▲</w:t>
      </w:r>
      <w:r>
        <w:rPr>
          <w:rFonts w:hint="eastAsia" w:ascii="宋体" w:hAnsi="宋体" w:eastAsia="宋体" w:cs="宋体"/>
          <w:b/>
          <w:color w:val="auto"/>
          <w:sz w:val="24"/>
          <w:szCs w:val="20"/>
          <w:highlight w:val="none"/>
        </w:rPr>
        <w:t>投标人的投标文件中承</w:t>
      </w:r>
      <w:r>
        <w:rPr>
          <w:rFonts w:hint="eastAsia" w:ascii="宋体" w:hAnsi="宋体" w:eastAsia="宋体" w:cs="宋体"/>
          <w:b/>
          <w:color w:val="auto"/>
          <w:sz w:val="24"/>
          <w:szCs w:val="21"/>
          <w:highlight w:val="none"/>
        </w:rPr>
        <w:t>诺的投标有效期少于招标文件中载明的投标有效期的，投标无效。</w:t>
      </w:r>
    </w:p>
    <w:p w14:paraId="2E7FDEC8">
      <w:pPr>
        <w:pStyle w:val="128"/>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17.2投标文件合格投递后，自投标截止日期起，在投标有效期内有效。</w:t>
      </w:r>
    </w:p>
    <w:p w14:paraId="611501DD">
      <w:pPr>
        <w:pStyle w:val="128"/>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28BDD41B">
      <w:pPr>
        <w:pStyle w:val="128"/>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17.4在投标截止时间起至投标有效期届满，供应商投标文件不可撤销。</w:t>
      </w:r>
    </w:p>
    <w:p w14:paraId="60DF7925">
      <w:pPr>
        <w:pStyle w:val="128"/>
        <w:spacing w:before="0"/>
        <w:ind w:left="0" w:leftChars="0" w:firstLine="0" w:firstLineChars="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四、开标</w:t>
      </w:r>
    </w:p>
    <w:p w14:paraId="26FD474B">
      <w:pPr>
        <w:pStyle w:val="554"/>
        <w:spacing w:before="0" w:line="360" w:lineRule="auto"/>
        <w:ind w:left="0" w:leftChars="0" w:firstLine="0" w:firstLineChars="0"/>
        <w:contextualSpacing/>
        <w:rPr>
          <w:rFonts w:hint="eastAsia" w:ascii="宋体" w:hAnsi="宋体" w:eastAsia="宋体" w:cs="宋体"/>
          <w:color w:val="auto"/>
          <w:sz w:val="24"/>
          <w:highlight w:val="none"/>
        </w:rPr>
      </w:pPr>
      <w:r>
        <w:rPr>
          <w:rFonts w:hint="eastAsia" w:ascii="宋体" w:hAnsi="宋体" w:eastAsia="宋体" w:cs="宋体"/>
          <w:b/>
          <w:color w:val="auto"/>
          <w:sz w:val="24"/>
          <w:szCs w:val="24"/>
          <w:highlight w:val="none"/>
        </w:rPr>
        <w:t>18.</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开标</w:t>
      </w:r>
      <w:r>
        <w:rPr>
          <w:rFonts w:hint="eastAsia" w:ascii="宋体" w:hAnsi="宋体" w:eastAsia="宋体" w:cs="宋体"/>
          <w:color w:val="auto"/>
          <w:sz w:val="24"/>
          <w:highlight w:val="none"/>
        </w:rPr>
        <w:t xml:space="preserve"> </w:t>
      </w:r>
    </w:p>
    <w:p w14:paraId="1C92A2F2">
      <w:pPr>
        <w:pStyle w:val="554"/>
        <w:spacing w:before="0" w:line="360" w:lineRule="auto"/>
        <w:ind w:left="0"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18.1</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按照招标文件规定的时间通过电子交易平台组织开标，所有投标人均应当准时在线参加。投标人不足3家的，不得开标。</w:t>
      </w:r>
    </w:p>
    <w:p w14:paraId="1C221B5E">
      <w:pPr>
        <w:pStyle w:val="554"/>
        <w:spacing w:before="0" w:line="360" w:lineRule="auto"/>
        <w:ind w:left="0" w:firstLine="240" w:firstLineChars="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18.2开标时，电子交易平台按开标时间自动提取所有投标文件。</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依托电子交易平台发起开始解密指令，投标人按照平台提示和招标文件的规定在半小时内完成在线解密。</w:t>
      </w:r>
    </w:p>
    <w:p w14:paraId="023CA2AF">
      <w:pPr>
        <w:pStyle w:val="554"/>
        <w:spacing w:before="0" w:line="360" w:lineRule="auto"/>
        <w:ind w:left="0" w:firstLine="240" w:firstLineChars="100"/>
        <w:contextualSpacing/>
        <w:rPr>
          <w:rFonts w:hint="eastAsia" w:ascii="宋体" w:hAnsi="宋体" w:eastAsia="宋体" w:cs="宋体"/>
          <w:b/>
          <w:color w:val="auto"/>
          <w:sz w:val="24"/>
          <w:highlight w:val="none"/>
        </w:rPr>
      </w:pPr>
      <w:r>
        <w:rPr>
          <w:rFonts w:hint="eastAsia" w:ascii="宋体" w:hAnsi="宋体" w:eastAsia="宋体" w:cs="宋体"/>
          <w:color w:val="auto"/>
          <w:sz w:val="24"/>
          <w:highlight w:val="none"/>
        </w:rPr>
        <w:t>　18.3</w:t>
      </w:r>
      <w:r>
        <w:rPr>
          <w:rFonts w:hint="eastAsia" w:ascii="宋体" w:hAnsi="宋体" w:eastAsia="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1E54834B">
      <w:pPr>
        <w:pStyle w:val="128"/>
        <w:spacing w:before="0"/>
        <w:ind w:left="0" w:leftChars="0" w:firstLine="0" w:firstLineChars="0"/>
        <w:jc w:val="center"/>
        <w:rPr>
          <w:rFonts w:hint="eastAsia" w:ascii="宋体" w:hAnsi="宋体" w:eastAsia="宋体" w:cs="宋体"/>
          <w:b/>
          <w:color w:val="auto"/>
          <w:sz w:val="24"/>
          <w:highlight w:val="none"/>
        </w:rPr>
      </w:pPr>
      <w:r>
        <w:rPr>
          <w:rFonts w:hint="eastAsia" w:ascii="宋体" w:hAnsi="宋体" w:eastAsia="宋体" w:cs="宋体"/>
          <w:b/>
          <w:color w:val="auto"/>
          <w:sz w:val="32"/>
          <w:highlight w:val="none"/>
          <w:lang w:eastAsia="zh-CN"/>
        </w:rPr>
        <w:t>五</w:t>
      </w:r>
      <w:r>
        <w:rPr>
          <w:rFonts w:hint="eastAsia" w:ascii="宋体" w:hAnsi="宋体" w:eastAsia="宋体" w:cs="宋体"/>
          <w:b/>
          <w:color w:val="auto"/>
          <w:sz w:val="32"/>
          <w:highlight w:val="none"/>
        </w:rPr>
        <w:t>、</w:t>
      </w:r>
      <w:r>
        <w:rPr>
          <w:rFonts w:hint="eastAsia" w:ascii="宋体" w:hAnsi="宋体" w:eastAsia="宋体" w:cs="宋体"/>
          <w:b/>
          <w:color w:val="auto"/>
          <w:sz w:val="32"/>
          <w:highlight w:val="none"/>
          <w:lang w:eastAsia="zh-CN"/>
        </w:rPr>
        <w:t>资格审查</w:t>
      </w:r>
    </w:p>
    <w:p w14:paraId="3BCF9661">
      <w:pPr>
        <w:widowControl/>
        <w:numPr>
          <w:ilvl w:val="0"/>
          <w:numId w:val="6"/>
        </w:numPr>
        <w:spacing w:before="100" w:beforeAutospacing="1" w:after="240" w:line="360" w:lineRule="auto"/>
        <w:jc w:val="left"/>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资格审查</w:t>
      </w:r>
    </w:p>
    <w:p w14:paraId="2ED7B4B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19.1</w:t>
      </w:r>
      <w:r>
        <w:rPr>
          <w:rFonts w:hint="eastAsia" w:ascii="宋体" w:hAnsi="宋体" w:eastAsia="宋体" w:cs="宋体"/>
          <w:color w:val="auto"/>
          <w:sz w:val="24"/>
          <w:highlight w:val="none"/>
        </w:rPr>
        <w:t>采购人或采购代理机构依据法律法规和招标文件的规定，对投标人的资格进行审查。</w:t>
      </w:r>
    </w:p>
    <w:p w14:paraId="377E64C8">
      <w:pPr>
        <w:pStyle w:val="128"/>
        <w:spacing w:before="0"/>
        <w:ind w:firstLine="480"/>
        <w:rPr>
          <w:rFonts w:hint="eastAsia" w:ascii="宋体" w:hAnsi="宋体" w:eastAsia="宋体" w:cs="宋体"/>
          <w:color w:val="auto"/>
          <w:highlight w:val="none"/>
        </w:rPr>
      </w:pPr>
      <w:r>
        <w:rPr>
          <w:rFonts w:hint="eastAsia" w:ascii="宋体" w:hAnsi="宋体" w:eastAsia="宋体" w:cs="宋体"/>
          <w:color w:val="auto"/>
          <w:kern w:val="0"/>
          <w:szCs w:val="24"/>
          <w:highlight w:val="none"/>
        </w:rPr>
        <w:t>19.2投标人未按照招标文件要求提供与</w:t>
      </w:r>
      <w:r>
        <w:rPr>
          <w:rFonts w:hint="eastAsia" w:ascii="宋体" w:hAnsi="宋体" w:eastAsia="宋体" w:cs="宋体"/>
          <w:color w:val="auto"/>
          <w:highlight w:val="none"/>
        </w:rPr>
        <w:t>资格条件相应的</w:t>
      </w:r>
      <w:r>
        <w:rPr>
          <w:rFonts w:hint="eastAsia" w:ascii="宋体" w:hAnsi="宋体" w:eastAsia="宋体" w:cs="宋体"/>
          <w:color w:val="auto"/>
          <w:kern w:val="0"/>
          <w:szCs w:val="24"/>
          <w:highlight w:val="none"/>
        </w:rPr>
        <w:t>有效资格证明材料的，视为</w:t>
      </w:r>
      <w:r>
        <w:rPr>
          <w:rFonts w:hint="eastAsia" w:ascii="宋体" w:hAnsi="宋体" w:eastAsia="宋体" w:cs="宋体"/>
          <w:color w:val="auto"/>
          <w:highlight w:val="none"/>
        </w:rPr>
        <w:t>投标人不具备招标文件中规定的资格要求，其投标无效。</w:t>
      </w:r>
    </w:p>
    <w:p w14:paraId="5E415E15">
      <w:pPr>
        <w:pStyle w:val="128"/>
        <w:spacing w:before="0"/>
        <w:ind w:firstLine="480"/>
        <w:rPr>
          <w:rFonts w:hint="eastAsia" w:ascii="宋体" w:hAnsi="宋体" w:eastAsia="宋体" w:cs="宋体"/>
          <w:color w:val="auto"/>
          <w:highlight w:val="none"/>
        </w:rPr>
      </w:pPr>
      <w:r>
        <w:rPr>
          <w:rFonts w:hint="eastAsia" w:ascii="宋体" w:hAnsi="宋体" w:eastAsia="宋体" w:cs="宋体"/>
          <w:color w:val="auto"/>
          <w:kern w:val="0"/>
          <w:szCs w:val="24"/>
          <w:highlight w:val="none"/>
        </w:rPr>
        <w:t>19.</w:t>
      </w:r>
      <w:r>
        <w:rPr>
          <w:rFonts w:hint="eastAsia" w:ascii="宋体" w:hAnsi="宋体" w:eastAsia="宋体" w:cs="宋体"/>
          <w:color w:val="auto"/>
          <w:highlight w:val="none"/>
        </w:rPr>
        <w:t>3对未通过资格审查的投标人，采购人或采购代理机构告知其未通过的原因。</w:t>
      </w:r>
    </w:p>
    <w:p w14:paraId="006DE96D">
      <w:pPr>
        <w:pStyle w:val="128"/>
        <w:spacing w:before="0"/>
        <w:ind w:firstLine="480"/>
        <w:rPr>
          <w:rFonts w:hint="eastAsia" w:ascii="宋体" w:hAnsi="宋体" w:eastAsia="宋体" w:cs="宋体"/>
          <w:color w:val="auto"/>
          <w:highlight w:val="none"/>
        </w:rPr>
      </w:pPr>
      <w:r>
        <w:rPr>
          <w:rFonts w:hint="eastAsia" w:ascii="宋体" w:hAnsi="宋体" w:eastAsia="宋体" w:cs="宋体"/>
          <w:color w:val="auto"/>
          <w:kern w:val="0"/>
          <w:szCs w:val="24"/>
          <w:highlight w:val="none"/>
        </w:rPr>
        <w:t>19.</w:t>
      </w:r>
      <w:r>
        <w:rPr>
          <w:rFonts w:hint="eastAsia" w:ascii="宋体" w:hAnsi="宋体" w:eastAsia="宋体" w:cs="宋体"/>
          <w:color w:val="auto"/>
          <w:highlight w:val="none"/>
        </w:rPr>
        <w:t>4合格投标人不足3家的，不再评标。</w:t>
      </w:r>
    </w:p>
    <w:p w14:paraId="07E3257B">
      <w:pPr>
        <w:pStyle w:val="128"/>
        <w:numPr>
          <w:ilvl w:val="0"/>
          <w:numId w:val="6"/>
        </w:numPr>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信用信息查询</w:t>
      </w:r>
    </w:p>
    <w:p w14:paraId="29A41C9A">
      <w:pPr>
        <w:pStyle w:val="128"/>
        <w:spacing w:before="0"/>
        <w:ind w:firstLine="495" w:firstLineChars="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20.1信用信息查询渠道及截止时间：采购人或采购代理机构将在资格审查时通过“信用中国”网站(www.creditchina.gov.cn)、中国政府采购网(www.ccgp.gov.cn)渠道查询投标人接受资格审查时的信用记录。</w:t>
      </w:r>
    </w:p>
    <w:p w14:paraId="07D9F681">
      <w:pPr>
        <w:pStyle w:val="128"/>
        <w:spacing w:before="0"/>
        <w:ind w:firstLine="495" w:firstLineChars="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20.2信用信息查询记录和证据留存的具体方式：现场查询的投标人的信用记录、查询结果经确认后将与采购文件一起存档。</w:t>
      </w:r>
    </w:p>
    <w:p w14:paraId="2E1B1392">
      <w:pPr>
        <w:pStyle w:val="128"/>
        <w:spacing w:before="0"/>
        <w:ind w:firstLine="495" w:firstLineChars="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399C769B">
      <w:pPr>
        <w:pStyle w:val="128"/>
        <w:spacing w:before="0"/>
        <w:ind w:firstLine="480"/>
        <w:rPr>
          <w:rFonts w:hint="eastAsia" w:ascii="宋体" w:hAnsi="宋体" w:eastAsia="宋体" w:cs="宋体"/>
          <w:color w:val="auto"/>
          <w:highlight w:val="none"/>
        </w:rPr>
      </w:pPr>
      <w:r>
        <w:rPr>
          <w:rFonts w:hint="eastAsia" w:ascii="宋体" w:hAnsi="宋体" w:eastAsia="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eastAsia="宋体" w:cs="宋体"/>
          <w:color w:val="auto"/>
          <w:highlight w:val="none"/>
        </w:rPr>
        <w:t>。</w:t>
      </w:r>
    </w:p>
    <w:p w14:paraId="589CABDD">
      <w:pPr>
        <w:snapToGrid w:val="0"/>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六</w:t>
      </w:r>
      <w:r>
        <w:rPr>
          <w:rFonts w:hint="eastAsia" w:ascii="宋体" w:hAnsi="宋体" w:eastAsia="宋体" w:cs="宋体"/>
          <w:b/>
          <w:color w:val="auto"/>
          <w:sz w:val="32"/>
          <w:szCs w:val="32"/>
          <w:highlight w:val="none"/>
        </w:rPr>
        <w:t>、评标</w:t>
      </w:r>
    </w:p>
    <w:p w14:paraId="3B7DB7D1">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eastAsia="宋体" w:cs="宋体"/>
          <w:b/>
          <w:color w:val="auto"/>
          <w:sz w:val="24"/>
          <w:highlight w:val="none"/>
        </w:rPr>
        <w:t>详见招标文件第四部分评标办法。</w:t>
      </w:r>
    </w:p>
    <w:p w14:paraId="62968D94">
      <w:pPr>
        <w:snapToGrid w:val="0"/>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七</w:t>
      </w:r>
      <w:r>
        <w:rPr>
          <w:rFonts w:hint="eastAsia" w:ascii="宋体" w:hAnsi="宋体" w:eastAsia="宋体" w:cs="宋体"/>
          <w:b/>
          <w:color w:val="auto"/>
          <w:sz w:val="32"/>
          <w:szCs w:val="32"/>
          <w:highlight w:val="none"/>
        </w:rPr>
        <w:t>、定标</w:t>
      </w:r>
    </w:p>
    <w:p w14:paraId="1264F99E">
      <w:pPr>
        <w:pStyle w:val="24"/>
        <w:spacing w:line="360" w:lineRule="auto"/>
        <w:ind w:left="479" w:hanging="479" w:hangingChars="199"/>
        <w:rPr>
          <w:rFonts w:hint="eastAsia" w:ascii="宋体" w:hAnsi="宋体" w:eastAsia="宋体" w:cs="宋体"/>
          <w:b/>
          <w:color w:val="auto"/>
          <w:highlight w:val="none"/>
        </w:rPr>
      </w:pPr>
      <w:r>
        <w:rPr>
          <w:rFonts w:hint="eastAsia" w:ascii="宋体" w:hAnsi="宋体" w:eastAsia="宋体" w:cs="宋体"/>
          <w:b/>
          <w:color w:val="auto"/>
          <w:highlight w:val="none"/>
        </w:rPr>
        <w:t>22. 确定中标供应商</w:t>
      </w:r>
    </w:p>
    <w:p w14:paraId="0134C920">
      <w:pPr>
        <w:pStyle w:val="128"/>
        <w:snapToGrid w:val="0"/>
        <w:spacing w:before="0"/>
        <w:ind w:firstLine="480"/>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为提高政府采购效率，</w:t>
      </w:r>
      <w:r>
        <w:rPr>
          <w:rFonts w:hint="eastAsia" w:ascii="宋体" w:hAnsi="宋体" w:eastAsia="宋体" w:cs="宋体"/>
          <w:color w:val="auto"/>
          <w:szCs w:val="24"/>
          <w:highlight w:val="none"/>
          <w:lang w:val="en-US" w:eastAsia="zh-CN"/>
        </w:rPr>
        <w:t>鼓励</w:t>
      </w:r>
      <w:r>
        <w:rPr>
          <w:rFonts w:hint="eastAsia" w:ascii="宋体" w:hAnsi="宋体" w:eastAsia="宋体" w:cs="宋体"/>
          <w:color w:val="auto"/>
          <w:szCs w:val="24"/>
          <w:highlight w:val="none"/>
        </w:rPr>
        <w:t>在收到评审报告当天</w:t>
      </w:r>
      <w:r>
        <w:rPr>
          <w:rFonts w:hint="eastAsia" w:ascii="宋体" w:hAnsi="宋体" w:eastAsia="宋体" w:cs="宋体"/>
          <w:color w:val="auto"/>
          <w:szCs w:val="24"/>
          <w:highlight w:val="none"/>
          <w:lang w:val="en-US" w:eastAsia="zh-CN"/>
        </w:rPr>
        <w:t>在线</w:t>
      </w:r>
      <w:r>
        <w:rPr>
          <w:rFonts w:hint="eastAsia" w:ascii="宋体" w:hAnsi="宋体" w:eastAsia="宋体" w:cs="宋体"/>
          <w:color w:val="auto"/>
          <w:szCs w:val="24"/>
          <w:highlight w:val="none"/>
        </w:rPr>
        <w:t>确定中标或者成交供应商。中标、成交通知书和中标、成交结果公告应当在规定时间内同时发出。</w:t>
      </w:r>
    </w:p>
    <w:p w14:paraId="25AB710D">
      <w:pPr>
        <w:pStyle w:val="128"/>
        <w:snapToGrid w:val="0"/>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23. 中标通知与中标结果公告</w:t>
      </w:r>
    </w:p>
    <w:p w14:paraId="25DFB8DB">
      <w:pPr>
        <w:widowControl/>
        <w:shd w:val="clear" w:color="auto" w:fill="FFFFFF"/>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23.1自中标人确定之日起2个工作日内，采购代理机构通过电子交易平台向中标人发出中标通知书，同时编制发布采购结果公告。采购代理机构也可以以纸质形式进行中标通知。</w:t>
      </w:r>
    </w:p>
    <w:p w14:paraId="2BDF8ED9">
      <w:pPr>
        <w:widowControl/>
        <w:shd w:val="clear" w:color="auto" w:fill="FFFFFF"/>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23.2中标结果公告内容包括采购人及其委托的采购代理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11716A31">
      <w:pPr>
        <w:widowControl/>
        <w:shd w:val="clear" w:color="auto" w:fill="FFFFFF"/>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23.3公告期限为1个工作日。</w:t>
      </w:r>
    </w:p>
    <w:p w14:paraId="6F6F0FBC">
      <w:pPr>
        <w:pStyle w:val="3"/>
        <w:tabs>
          <w:tab w:val="clear" w:pos="432"/>
        </w:tabs>
        <w:ind w:left="12" w:hanging="12"/>
        <w:rPr>
          <w:rFonts w:hint="eastAsia" w:ascii="宋体" w:hAnsi="宋体" w:eastAsia="宋体" w:cs="宋体"/>
          <w:color w:val="auto"/>
          <w:highlight w:val="none"/>
        </w:rPr>
      </w:pPr>
      <w:r>
        <w:rPr>
          <w:rFonts w:hint="eastAsia" w:ascii="宋体" w:hAnsi="宋体" w:eastAsia="宋体" w:cs="宋体"/>
          <w:b/>
          <w:bCs/>
          <w:color w:val="auto"/>
          <w:kern w:val="2"/>
          <w:sz w:val="24"/>
          <w:szCs w:val="24"/>
          <w:highlight w:val="none"/>
          <w:lang w:val="zh-CN" w:eastAsia="zh-CN" w:bidi="ar-SA"/>
        </w:rPr>
        <w:t>24.</w:t>
      </w:r>
      <w:r>
        <w:rPr>
          <w:rFonts w:hint="eastAsia" w:ascii="宋体" w:hAnsi="宋体" w:eastAsia="宋体" w:cs="宋体"/>
          <w:b/>
          <w:bCs/>
          <w:color w:val="auto"/>
          <w:kern w:val="2"/>
          <w:sz w:val="24"/>
          <w:szCs w:val="24"/>
          <w:highlight w:val="none"/>
          <w:lang w:val="zh-CN" w:eastAsia="zh-CN"/>
        </w:rPr>
        <w:t>及时复核供应商材料。</w:t>
      </w:r>
      <w:r>
        <w:rPr>
          <w:rFonts w:hint="eastAsia" w:ascii="宋体" w:hAnsi="宋体" w:eastAsia="宋体" w:cs="宋体"/>
          <w:b w:val="0"/>
          <w:bCs w:val="0"/>
          <w:i w:val="0"/>
          <w:iCs w:val="0"/>
          <w:caps w:val="0"/>
          <w:color w:val="auto"/>
          <w:spacing w:val="0"/>
          <w:kern w:val="2"/>
          <w:sz w:val="24"/>
          <w:szCs w:val="24"/>
          <w:highlight w:val="none"/>
          <w:shd w:val="clear" w:color="auto" w:fill="auto"/>
        </w:rPr>
        <w:t>在评审结束后、合同签订前，采购人应及时通过网站查询、原件核对等方式对中标供应商在投标文件中涉及客观分评审内容的检测报告、认证证书等资料的真实性进行复核，复核情况详细记录，并纳入采购档案。发现供应商提供虚假材料的，应及时书面报告本级财政部门。</w:t>
      </w:r>
    </w:p>
    <w:p w14:paraId="7D2F4CD4">
      <w:pPr>
        <w:snapToGrid w:val="0"/>
        <w:spacing w:line="360" w:lineRule="auto"/>
        <w:ind w:left="120" w:leftChars="57" w:firstLine="482" w:firstLineChars="15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lang w:eastAsia="zh-CN"/>
        </w:rPr>
        <w:t>八</w:t>
      </w:r>
      <w:r>
        <w:rPr>
          <w:rFonts w:hint="eastAsia" w:ascii="宋体" w:hAnsi="宋体" w:eastAsia="宋体" w:cs="宋体"/>
          <w:b/>
          <w:color w:val="auto"/>
          <w:sz w:val="32"/>
          <w:highlight w:val="none"/>
        </w:rPr>
        <w:t>、合同授予</w:t>
      </w:r>
    </w:p>
    <w:p w14:paraId="6E359FE5">
      <w:pPr>
        <w:pStyle w:val="24"/>
        <w:spacing w:line="360" w:lineRule="auto"/>
        <w:ind w:left="479" w:hanging="479" w:hangingChars="199"/>
        <w:rPr>
          <w:rFonts w:hint="eastAsia" w:ascii="宋体" w:hAnsi="宋体" w:eastAsia="宋体" w:cs="宋体"/>
          <w:b/>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highlight w:val="none"/>
          <w:lang w:val="en-US" w:eastAsia="zh-CN"/>
        </w:rPr>
        <w:t>5</w:t>
      </w:r>
      <w:r>
        <w:rPr>
          <w:rFonts w:hint="eastAsia" w:ascii="宋体" w:hAnsi="宋体" w:eastAsia="宋体" w:cs="宋体"/>
          <w:b/>
          <w:color w:val="auto"/>
          <w:highlight w:val="none"/>
        </w:rPr>
        <w:t xml:space="preserve">. </w:t>
      </w:r>
      <w:r>
        <w:rPr>
          <w:rFonts w:hint="eastAsia" w:ascii="宋体" w:hAnsi="宋体" w:eastAsia="宋体" w:cs="宋体"/>
          <w:color w:val="auto"/>
          <w:highlight w:val="none"/>
        </w:rPr>
        <w:t>合同主要条款详见第五部分拟签订的合同文本。</w:t>
      </w:r>
    </w:p>
    <w:p w14:paraId="2799F50C">
      <w:pPr>
        <w:pStyle w:val="24"/>
        <w:spacing w:line="360" w:lineRule="auto"/>
        <w:ind w:left="479" w:hanging="479" w:hangingChars="199"/>
        <w:rPr>
          <w:rFonts w:hint="eastAsia" w:ascii="宋体" w:hAnsi="宋体" w:eastAsia="宋体" w:cs="宋体"/>
          <w:b/>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highlight w:val="none"/>
          <w:lang w:val="en-US" w:eastAsia="zh-CN"/>
        </w:rPr>
        <w:t>6</w:t>
      </w:r>
      <w:r>
        <w:rPr>
          <w:rFonts w:hint="eastAsia" w:ascii="宋体" w:hAnsi="宋体" w:eastAsia="宋体" w:cs="宋体"/>
          <w:b/>
          <w:color w:val="auto"/>
          <w:highlight w:val="none"/>
        </w:rPr>
        <w:t>. 合同的签订</w:t>
      </w:r>
    </w:p>
    <w:p w14:paraId="4B64683B">
      <w:pPr>
        <w:widowControl/>
        <w:shd w:val="clear" w:color="auto" w:fill="FFFFFF"/>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w:t>
      </w:r>
      <w:r>
        <w:rPr>
          <w:rFonts w:hint="eastAsia" w:ascii="宋体" w:hAnsi="宋体" w:eastAsia="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6C89DCFF">
      <w:pPr>
        <w:pStyle w:val="128"/>
        <w:snapToGrid w:val="0"/>
        <w:spacing w:before="0"/>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lang w:val="zh-CN"/>
        </w:rPr>
        <w:t>2</w:t>
      </w:r>
      <w:r>
        <w:rPr>
          <w:rFonts w:hint="eastAsia" w:ascii="宋体" w:hAnsi="宋体" w:eastAsia="宋体" w:cs="宋体"/>
          <w:color w:val="auto"/>
          <w:kern w:val="0"/>
          <w:highlight w:val="none"/>
          <w:lang w:val="en-US" w:eastAsia="zh-CN"/>
        </w:rPr>
        <w:t>6</w:t>
      </w:r>
      <w:r>
        <w:rPr>
          <w:rFonts w:hint="eastAsia" w:ascii="宋体" w:hAnsi="宋体" w:eastAsia="宋体" w:cs="宋体"/>
          <w:color w:val="auto"/>
          <w:kern w:val="0"/>
          <w:highlight w:val="none"/>
          <w:lang w:val="zh-CN"/>
        </w:rPr>
        <w:t>.2中标人按规定的日期、时间、地点，由法定代表人或其授权代表与采购人代表签订合同。如中标人为联合体的，由联合体成员各方法定代表人或其授权代表与采购人代表签订合同。</w:t>
      </w:r>
    </w:p>
    <w:p w14:paraId="6FAD3B65">
      <w:pPr>
        <w:pStyle w:val="128"/>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.3如签订合同并生效后，供应商无故拒绝或延期，除按照合同条款处理外，列入不良行为记录一次，并给予通报。</w:t>
      </w:r>
    </w:p>
    <w:p w14:paraId="31F71F00">
      <w:pPr>
        <w:pStyle w:val="128"/>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.4中标供应商拒绝与采购人签订合同的，采购人可以按照评审报告推荐的中标或者成交候选人名单排序，确定下一候选人为中标供应商，也可以重新开展政府采购活动。</w:t>
      </w:r>
    </w:p>
    <w:p w14:paraId="230696DE">
      <w:pPr>
        <w:pStyle w:val="128"/>
        <w:snapToGrid w:val="0"/>
        <w:spacing w:before="0" w:after="120"/>
        <w:ind w:firstLine="48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.5采购合同由采购人与中标供应商根据招标文件、投标文件等内容通过政府采购电子交易平台在线签订，自动备案。</w:t>
      </w:r>
    </w:p>
    <w:p w14:paraId="4040917A">
      <w:pPr>
        <w:pStyle w:val="24"/>
        <w:spacing w:line="360" w:lineRule="auto"/>
        <w:ind w:left="479" w:hanging="479" w:hangingChars="199"/>
        <w:rPr>
          <w:rFonts w:hint="eastAsia" w:ascii="宋体" w:hAnsi="宋体" w:eastAsia="宋体" w:cs="宋体"/>
          <w:b/>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highlight w:val="none"/>
          <w:lang w:val="en-US" w:eastAsia="zh-CN"/>
        </w:rPr>
        <w:t>7</w:t>
      </w:r>
      <w:r>
        <w:rPr>
          <w:rFonts w:hint="eastAsia" w:ascii="宋体" w:hAnsi="宋体" w:eastAsia="宋体" w:cs="宋体"/>
          <w:b/>
          <w:color w:val="auto"/>
          <w:highlight w:val="none"/>
        </w:rPr>
        <w:t>. 履约保证金</w:t>
      </w:r>
    </w:p>
    <w:p w14:paraId="2FDB3190">
      <w:pPr>
        <w:tabs>
          <w:tab w:val="left" w:pos="0"/>
        </w:tabs>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eastAsia="宋体" w:cs="宋体"/>
          <w:color w:val="auto"/>
          <w:sz w:val="24"/>
          <w:highlight w:val="none"/>
        </w:rPr>
        <w:t>。履约保证金的数额不得超过政府采购合同金额的1%，</w:t>
      </w:r>
      <w:r>
        <w:rPr>
          <w:rFonts w:hint="eastAsia" w:ascii="宋体" w:hAnsi="宋体" w:eastAsia="宋体" w:cs="宋体"/>
          <w:color w:val="auto"/>
          <w:kern w:val="2"/>
          <w:sz w:val="24"/>
          <w:highlight w:val="none"/>
        </w:rPr>
        <w:t>鼓励根据项目特点、供应商诚信等因素免收履约保证金或降低缴纳比例。</w:t>
      </w:r>
      <w:r>
        <w:rPr>
          <w:rFonts w:hint="eastAsia" w:ascii="宋体" w:hAnsi="宋体" w:eastAsia="宋体" w:cs="宋体"/>
          <w:color w:val="auto"/>
          <w:sz w:val="24"/>
          <w:highlight w:val="none"/>
        </w:rPr>
        <w:t>鼓励和支持供应商以银行、保险公司出具的保函形式提供履约保证金。采购人不得拒收履约保函，项目验收结束后应及时退还，延迟退还的，应当按照合同约定和法律规定承担相应的赔偿责任。</w:t>
      </w:r>
    </w:p>
    <w:p w14:paraId="356110B8">
      <w:pPr>
        <w:tabs>
          <w:tab w:val="left" w:pos="0"/>
        </w:tabs>
        <w:spacing w:line="360" w:lineRule="auto"/>
        <w:ind w:firstLine="482"/>
        <w:rPr>
          <w:rFonts w:hint="eastAsia"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3D6F1D6B">
      <w:pPr>
        <w:pStyle w:val="3"/>
        <w:numPr>
          <w:ilvl w:val="0"/>
          <w:numId w:val="0"/>
        </w:numPr>
        <w:ind w:leftChars="0"/>
        <w:rPr>
          <w:rFonts w:hint="eastAsia" w:ascii="宋体" w:hAnsi="宋体" w:eastAsia="宋体" w:cs="宋体"/>
          <w:color w:val="auto"/>
          <w:highlight w:val="none"/>
        </w:rPr>
      </w:pPr>
      <w:r>
        <w:rPr>
          <w:rFonts w:hint="eastAsia" w:ascii="宋体" w:hAnsi="宋体" w:eastAsia="宋体" w:cs="宋体"/>
          <w:b/>
          <w:bCs/>
          <w:color w:val="auto"/>
          <w:kern w:val="2"/>
          <w:sz w:val="24"/>
          <w:szCs w:val="32"/>
          <w:highlight w:val="none"/>
          <w:lang w:val="en-US" w:eastAsia="zh-CN"/>
        </w:rPr>
        <w:t>28.</w:t>
      </w:r>
      <w:r>
        <w:rPr>
          <w:rFonts w:hint="eastAsia" w:ascii="宋体" w:hAnsi="宋体" w:eastAsia="宋体" w:cs="宋体"/>
          <w:b/>
          <w:bCs/>
          <w:color w:val="auto"/>
          <w:kern w:val="2"/>
          <w:sz w:val="24"/>
          <w:szCs w:val="32"/>
          <w:highlight w:val="none"/>
          <w:lang w:val="en-US"/>
        </w:rPr>
        <w:t>预付款</w:t>
      </w:r>
    </w:p>
    <w:p w14:paraId="44721FE9">
      <w:pPr>
        <w:adjustRightInd/>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kern w:val="2"/>
          <w:sz w:val="24"/>
          <w:highlight w:val="none"/>
        </w:rPr>
        <w:t>采购单位应当在政府采购合同中约定预付款，对中小企业合同预付款比例原则上不低于合同金额的40％，不高于合同金额的70%；项目分年安排预算的，每年预付款比例</w:t>
      </w:r>
      <w:r>
        <w:rPr>
          <w:rFonts w:hint="eastAsia" w:ascii="宋体" w:hAnsi="宋体" w:eastAsia="宋体" w:cs="宋体"/>
          <w:color w:val="auto"/>
          <w:sz w:val="24"/>
          <w:highlight w:val="none"/>
        </w:rPr>
        <w:t>不低于</w:t>
      </w:r>
      <w:r>
        <w:rPr>
          <w:rFonts w:hint="eastAsia" w:ascii="宋体" w:hAnsi="宋体" w:eastAsia="宋体" w:cs="宋体"/>
          <w:color w:val="auto"/>
          <w:kern w:val="2"/>
          <w:sz w:val="24"/>
          <w:highlight w:val="none"/>
        </w:rPr>
        <w:t>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宋体" w:hAnsi="宋体" w:eastAsia="宋体" w:cs="宋体"/>
          <w:color w:val="auto"/>
          <w:kern w:val="2"/>
          <w:sz w:val="24"/>
          <w:highlight w:val="none"/>
          <w:lang w:val="en-US" w:eastAsia="zh-CN"/>
        </w:rPr>
        <w:t>95763</w:t>
      </w:r>
      <w:r>
        <w:rPr>
          <w:rFonts w:hint="eastAsia" w:ascii="宋体" w:hAnsi="宋体" w:eastAsia="宋体" w:cs="宋体"/>
          <w:color w:val="auto"/>
          <w:kern w:val="2"/>
          <w:sz w:val="24"/>
          <w:highlight w:val="none"/>
        </w:rPr>
        <w:t>。</w:t>
      </w:r>
    </w:p>
    <w:p w14:paraId="17D518C0">
      <w:pPr>
        <w:snapToGrid w:val="0"/>
        <w:spacing w:line="360" w:lineRule="auto"/>
        <w:ind w:firstLine="3357" w:firstLineChars="1045"/>
        <w:rPr>
          <w:rFonts w:hint="eastAsia" w:ascii="宋体" w:hAnsi="宋体" w:eastAsia="宋体" w:cs="宋体"/>
          <w:b/>
          <w:color w:val="auto"/>
          <w:sz w:val="24"/>
          <w:highlight w:val="none"/>
        </w:rPr>
      </w:pPr>
      <w:r>
        <w:rPr>
          <w:rFonts w:hint="eastAsia" w:ascii="宋体" w:hAnsi="宋体" w:eastAsia="宋体" w:cs="宋体"/>
          <w:b/>
          <w:color w:val="auto"/>
          <w:sz w:val="32"/>
          <w:highlight w:val="none"/>
          <w:lang w:eastAsia="zh-CN"/>
        </w:rPr>
        <w:t>九</w:t>
      </w:r>
      <w:r>
        <w:rPr>
          <w:rFonts w:hint="eastAsia" w:ascii="宋体" w:hAnsi="宋体" w:eastAsia="宋体" w:cs="宋体"/>
          <w:b/>
          <w:color w:val="auto"/>
          <w:sz w:val="32"/>
          <w:highlight w:val="none"/>
        </w:rPr>
        <w:t>、电子交易活动的中止</w:t>
      </w:r>
    </w:p>
    <w:p w14:paraId="05367930">
      <w:pPr>
        <w:pStyle w:val="128"/>
        <w:snapToGrid w:val="0"/>
        <w:spacing w:before="0"/>
        <w:ind w:firstLine="0" w:firstLineChars="0"/>
        <w:rPr>
          <w:rFonts w:hint="eastAsia" w:ascii="宋体" w:hAnsi="宋体" w:eastAsia="宋体" w:cs="宋体"/>
          <w:color w:val="auto"/>
          <w:highlight w:val="none"/>
        </w:rPr>
      </w:pPr>
      <w:r>
        <w:rPr>
          <w:rFonts w:hint="eastAsia" w:ascii="宋体" w:hAnsi="宋体" w:eastAsia="宋体" w:cs="宋体"/>
          <w:b/>
          <w:bCs/>
          <w:color w:val="auto"/>
          <w:kern w:val="2"/>
          <w:sz w:val="24"/>
          <w:szCs w:val="20"/>
          <w:highlight w:val="none"/>
        </w:rPr>
        <w:t>2</w:t>
      </w:r>
      <w:r>
        <w:rPr>
          <w:rFonts w:hint="eastAsia" w:ascii="宋体" w:hAnsi="宋体" w:eastAsia="宋体" w:cs="宋体"/>
          <w:b/>
          <w:bCs/>
          <w:color w:val="auto"/>
          <w:kern w:val="2"/>
          <w:sz w:val="24"/>
          <w:szCs w:val="24"/>
          <w:highlight w:val="none"/>
          <w:lang w:val="en-US" w:eastAsia="zh-CN"/>
        </w:rPr>
        <w:t>9</w:t>
      </w:r>
      <w:r>
        <w:rPr>
          <w:rFonts w:hint="eastAsia" w:ascii="宋体" w:hAnsi="宋体" w:eastAsia="宋体" w:cs="宋体"/>
          <w:b/>
          <w:color w:val="auto"/>
          <w:szCs w:val="24"/>
          <w:highlight w:val="none"/>
        </w:rPr>
        <w:t>. 电子交易活动的中止。</w:t>
      </w:r>
      <w:r>
        <w:rPr>
          <w:rFonts w:hint="eastAsia" w:ascii="宋体" w:hAnsi="宋体" w:eastAsia="宋体" w:cs="宋体"/>
          <w:color w:val="auto"/>
          <w:highlight w:val="none"/>
        </w:rPr>
        <w:t>采购过程中出现以下情形，导致电子交易平台无法正常运行，或者无法保证电子交易的公平、公正和安全时，</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可中止电子交易活动：</w:t>
      </w:r>
    </w:p>
    <w:p w14:paraId="5CD0A6EE">
      <w:pPr>
        <w:pStyle w:val="128"/>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 xml:space="preserve">.1电子交易平台发生故障而无法登录访问的； </w:t>
      </w:r>
    </w:p>
    <w:p w14:paraId="4AEDFBCD">
      <w:pPr>
        <w:pStyle w:val="128"/>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.2电子交易平台应用或数据库出现错误，不能进行正常操作的；</w:t>
      </w:r>
    </w:p>
    <w:p w14:paraId="413C46CD">
      <w:pPr>
        <w:pStyle w:val="128"/>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.3电子交易平台发现严重安全漏洞，有潜在泄密危险的；</w:t>
      </w:r>
    </w:p>
    <w:p w14:paraId="7E23A96C">
      <w:pPr>
        <w:pStyle w:val="128"/>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 xml:space="preserve">.4病毒发作导致不能进行正常操作的； </w:t>
      </w:r>
    </w:p>
    <w:p w14:paraId="38A2888E">
      <w:pPr>
        <w:pStyle w:val="128"/>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.5其他无法保证电子交易的公平、公正和安全的情况。</w:t>
      </w:r>
    </w:p>
    <w:p w14:paraId="36DF8C61">
      <w:pPr>
        <w:pStyle w:val="128"/>
        <w:snapToGrid w:val="0"/>
        <w:spacing w:before="0"/>
        <w:ind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5AB4FF62">
      <w:pPr>
        <w:snapToGrid w:val="0"/>
        <w:spacing w:line="360" w:lineRule="auto"/>
        <w:ind w:left="120" w:leftChars="57" w:firstLine="482" w:firstLineChars="150"/>
        <w:jc w:val="center"/>
        <w:rPr>
          <w:rFonts w:hint="eastAsia" w:ascii="宋体" w:hAnsi="宋体" w:eastAsia="宋体" w:cs="宋体"/>
          <w:b/>
          <w:color w:val="auto"/>
          <w:sz w:val="32"/>
          <w:highlight w:val="none"/>
          <w:lang w:eastAsia="zh-CN"/>
        </w:rPr>
      </w:pPr>
    </w:p>
    <w:p w14:paraId="123C2B24">
      <w:pPr>
        <w:snapToGrid w:val="0"/>
        <w:spacing w:line="360" w:lineRule="auto"/>
        <w:ind w:left="120" w:leftChars="57" w:firstLine="482" w:firstLineChars="15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lang w:eastAsia="zh-CN"/>
        </w:rPr>
        <w:t>十</w:t>
      </w:r>
      <w:r>
        <w:rPr>
          <w:rFonts w:hint="eastAsia" w:ascii="宋体" w:hAnsi="宋体" w:eastAsia="宋体" w:cs="宋体"/>
          <w:b/>
          <w:color w:val="auto"/>
          <w:sz w:val="32"/>
          <w:highlight w:val="none"/>
        </w:rPr>
        <w:t>、验收</w:t>
      </w:r>
    </w:p>
    <w:p w14:paraId="3890C78C">
      <w:pPr>
        <w:pStyle w:val="24"/>
        <w:spacing w:line="360" w:lineRule="auto"/>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3</w:t>
      </w:r>
      <w:r>
        <w:rPr>
          <w:rFonts w:hint="eastAsia" w:ascii="宋体" w:hAnsi="宋体" w:eastAsia="宋体" w:cs="宋体"/>
          <w:b/>
          <w:color w:val="auto"/>
          <w:highlight w:val="none"/>
          <w:lang w:val="en-US" w:eastAsia="zh-CN"/>
        </w:rPr>
        <w:t>1</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 xml:space="preserve"> </w:t>
      </w:r>
      <w:r>
        <w:rPr>
          <w:rFonts w:hint="eastAsia" w:ascii="宋体" w:hAnsi="宋体" w:eastAsia="宋体" w:cs="宋体"/>
          <w:b/>
          <w:color w:val="auto"/>
          <w:highlight w:val="none"/>
        </w:rPr>
        <w:t>验收</w:t>
      </w:r>
    </w:p>
    <w:p w14:paraId="7FF2CFB5">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24FF028">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.2采购人可以邀请参加本项目的其他投标人或者第三方机构参与验收。参与验收的投标人或者第三方机构的意见作为验收书的参考资料一并存档。</w:t>
      </w:r>
    </w:p>
    <w:p w14:paraId="499F2EC2">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5A1CD59">
      <w:pPr>
        <w:tabs>
          <w:tab w:val="left" w:pos="0"/>
        </w:tabs>
        <w:spacing w:line="360" w:lineRule="auto"/>
        <w:ind w:firstLine="48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r>
        <w:rPr>
          <w:rFonts w:hint="eastAsia" w:ascii="宋体" w:hAnsi="宋体" w:eastAsia="宋体" w:cs="宋体"/>
          <w:color w:val="auto"/>
          <w:kern w:val="0"/>
          <w:sz w:val="24"/>
          <w:highlight w:val="none"/>
          <w:lang w:eastAsia="zh-CN"/>
        </w:rPr>
        <w:t>。</w:t>
      </w:r>
    </w:p>
    <w:bookmarkEnd w:id="8"/>
    <w:bookmarkEnd w:id="9"/>
    <w:bookmarkEnd w:id="10"/>
    <w:p w14:paraId="67D8BD07">
      <w:pPr>
        <w:widowControl/>
        <w:adjustRightInd/>
        <w:jc w:val="left"/>
        <w:rPr>
          <w:rFonts w:hint="eastAsia" w:ascii="宋体" w:hAnsi="宋体" w:eastAsia="宋体" w:cs="宋体"/>
          <w:color w:val="auto"/>
          <w:kern w:val="0"/>
          <w:sz w:val="24"/>
          <w:highlight w:val="none"/>
        </w:rPr>
      </w:pPr>
      <w:bookmarkStart w:id="14" w:name="_Hlt75236011"/>
      <w:bookmarkEnd w:id="14"/>
      <w:bookmarkStart w:id="15" w:name="_Hlt74707468"/>
      <w:bookmarkEnd w:id="15"/>
      <w:bookmarkStart w:id="16" w:name="_Hlt68073093"/>
      <w:bookmarkEnd w:id="16"/>
      <w:bookmarkStart w:id="17" w:name="_Hlt75236290"/>
      <w:bookmarkEnd w:id="17"/>
      <w:bookmarkStart w:id="18" w:name="_Hlt74729768"/>
      <w:bookmarkEnd w:id="18"/>
      <w:bookmarkStart w:id="19" w:name="_Hlt74730295"/>
      <w:bookmarkEnd w:id="19"/>
      <w:bookmarkStart w:id="20" w:name="_Hlt68072990"/>
      <w:bookmarkEnd w:id="20"/>
      <w:bookmarkStart w:id="21" w:name="_Hlt68072998"/>
      <w:bookmarkEnd w:id="21"/>
      <w:bookmarkStart w:id="22" w:name="_Hlt68403820"/>
      <w:bookmarkEnd w:id="22"/>
      <w:bookmarkStart w:id="23" w:name="_Hlt75236101"/>
      <w:bookmarkEnd w:id="23"/>
      <w:bookmarkStart w:id="24" w:name="_Hlt68057669"/>
      <w:bookmarkEnd w:id="24"/>
      <w:bookmarkStart w:id="25" w:name="_Hlt74714665"/>
      <w:bookmarkEnd w:id="25"/>
      <w:bookmarkStart w:id="26" w:name="第四部分"/>
      <w:r>
        <w:rPr>
          <w:rFonts w:hint="eastAsia" w:ascii="宋体" w:hAnsi="宋体" w:eastAsia="宋体" w:cs="宋体"/>
          <w:color w:val="auto"/>
          <w:kern w:val="0"/>
          <w:sz w:val="24"/>
          <w:highlight w:val="none"/>
        </w:rPr>
        <w:br w:type="page"/>
      </w:r>
    </w:p>
    <w:p w14:paraId="5A6CA23C">
      <w:pPr>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第三部分   采购需求</w:t>
      </w:r>
    </w:p>
    <w:p w14:paraId="1CC7D21C">
      <w:pPr>
        <w:snapToGrid w:val="0"/>
        <w:rPr>
          <w:rStyle w:val="962"/>
          <w:rFonts w:hint="eastAsia" w:ascii="宋体" w:hAnsi="宋体" w:eastAsia="宋体" w:cs="宋体"/>
          <w:i w:val="0"/>
          <w:iCs w:val="0"/>
          <w:color w:val="auto"/>
          <w:highlight w:val="none"/>
        </w:rPr>
      </w:pPr>
      <w:r>
        <w:rPr>
          <w:rStyle w:val="962"/>
          <w:rFonts w:hint="eastAsia" w:ascii="宋体" w:hAnsi="宋体" w:eastAsia="宋体" w:cs="宋体"/>
          <w:i w:val="0"/>
          <w:iCs w:val="0"/>
          <w:color w:val="auto"/>
          <w:highlight w:val="none"/>
        </w:rPr>
        <w:t>属于实质性要求条款的，请用符号“▲”标明，否则属于非实质性要求。“★”系产品采购项目中单一产品或核心产品。</w:t>
      </w:r>
    </w:p>
    <w:p w14:paraId="2642C014">
      <w:pPr>
        <w:pStyle w:val="3"/>
        <w:numPr>
          <w:ilvl w:val="0"/>
          <w:numId w:val="0"/>
        </w:numPr>
        <w:ind w:left="630" w:leftChars="0" w:hanging="630" w:firstLineChars="0"/>
        <w:jc w:val="center"/>
        <w:rPr>
          <w:rFonts w:hint="eastAsia" w:ascii="宋体" w:hAnsi="宋体" w:eastAsia="宋体" w:cs="宋体"/>
          <w:color w:val="auto"/>
          <w:highlight w:val="none"/>
        </w:rPr>
      </w:pPr>
      <w:r>
        <w:rPr>
          <w:rFonts w:hint="eastAsia" w:ascii="宋体" w:hAnsi="宋体" w:eastAsia="宋体" w:cs="宋体"/>
          <w:b/>
          <w:bCs/>
          <w:color w:val="auto"/>
          <w:kern w:val="2"/>
          <w:sz w:val="32"/>
          <w:szCs w:val="32"/>
          <w:highlight w:val="none"/>
          <w:lang w:val="zh-CN" w:eastAsia="zh-CN" w:bidi="ar-SA"/>
        </w:rPr>
        <w:t>一、</w:t>
      </w:r>
      <w:r>
        <w:rPr>
          <w:rFonts w:hint="eastAsia" w:ascii="宋体" w:hAnsi="宋体" w:eastAsia="宋体" w:cs="宋体"/>
          <w:color w:val="auto"/>
          <w:highlight w:val="none"/>
        </w:rPr>
        <w:t>招标一览表</w:t>
      </w:r>
    </w:p>
    <w:p w14:paraId="2C4AA022">
      <w:pPr>
        <w:pStyle w:val="6"/>
        <w:rPr>
          <w:rFonts w:hint="eastAsia" w:ascii="宋体" w:hAnsi="宋体" w:eastAsia="宋体" w:cs="宋体"/>
          <w:color w:val="auto"/>
          <w:highlight w:val="none"/>
        </w:rPr>
      </w:pPr>
      <w:r>
        <w:rPr>
          <w:rFonts w:hint="eastAsia" w:ascii="宋体" w:hAnsi="宋体" w:eastAsia="宋体" w:cs="宋体"/>
          <w:color w:val="auto"/>
          <w:highlight w:val="none"/>
        </w:rPr>
        <w:t>标项</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南湖小镇三期安置农居点市政基础配套建设工程(一期）桩基检测及基坑监测</w:t>
      </w:r>
    </w:p>
    <w:tbl>
      <w:tblPr>
        <w:tblStyle w:val="62"/>
        <w:tblpPr w:leftFromText="180" w:rightFromText="180" w:vertAnchor="text" w:horzAnchor="margin" w:tblpXSpec="center" w:tblpY="63"/>
        <w:tblOverlap w:val="never"/>
        <w:tblW w:w="9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7"/>
        <w:gridCol w:w="2756"/>
        <w:gridCol w:w="641"/>
        <w:gridCol w:w="642"/>
        <w:gridCol w:w="1655"/>
        <w:gridCol w:w="1770"/>
        <w:gridCol w:w="1631"/>
      </w:tblGrid>
      <w:tr w14:paraId="3BB0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2" w:hRule="atLeast"/>
          <w:jc w:val="center"/>
        </w:trPr>
        <w:tc>
          <w:tcPr>
            <w:tcW w:w="657" w:type="dxa"/>
            <w:tcMar>
              <w:top w:w="15" w:type="dxa"/>
              <w:left w:w="15" w:type="dxa"/>
              <w:bottom w:w="0" w:type="dxa"/>
              <w:right w:w="15" w:type="dxa"/>
            </w:tcMar>
            <w:vAlign w:val="center"/>
          </w:tcPr>
          <w:p w14:paraId="4CD89813">
            <w:pPr>
              <w:tabs>
                <w:tab w:val="left" w:pos="0"/>
              </w:tabs>
              <w:adjustRightInd w:val="0"/>
              <w:snapToGrid w:val="0"/>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756" w:type="dxa"/>
            <w:tcMar>
              <w:top w:w="15" w:type="dxa"/>
              <w:left w:w="15" w:type="dxa"/>
              <w:bottom w:w="0" w:type="dxa"/>
              <w:right w:w="15" w:type="dxa"/>
            </w:tcMar>
            <w:vAlign w:val="center"/>
          </w:tcPr>
          <w:p w14:paraId="257FA5F0">
            <w:pPr>
              <w:tabs>
                <w:tab w:val="left" w:pos="0"/>
              </w:tabs>
              <w:adjustRightInd w:val="0"/>
              <w:snapToGrid w:val="0"/>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641" w:type="dxa"/>
            <w:tcMar>
              <w:top w:w="15" w:type="dxa"/>
              <w:left w:w="15" w:type="dxa"/>
              <w:bottom w:w="0" w:type="dxa"/>
              <w:right w:w="15" w:type="dxa"/>
            </w:tcMar>
            <w:vAlign w:val="center"/>
          </w:tcPr>
          <w:p w14:paraId="0AB8BCD3">
            <w:pPr>
              <w:tabs>
                <w:tab w:val="left" w:pos="0"/>
              </w:tabs>
              <w:adjustRightInd w:val="0"/>
              <w:snapToGrid w:val="0"/>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642" w:type="dxa"/>
            <w:tcMar>
              <w:top w:w="15" w:type="dxa"/>
              <w:left w:w="15" w:type="dxa"/>
              <w:bottom w:w="0" w:type="dxa"/>
              <w:right w:w="15" w:type="dxa"/>
            </w:tcMar>
            <w:vAlign w:val="center"/>
          </w:tcPr>
          <w:p w14:paraId="3C7AA87B">
            <w:pPr>
              <w:tabs>
                <w:tab w:val="left" w:pos="0"/>
              </w:tabs>
              <w:adjustRightInd w:val="0"/>
              <w:snapToGrid w:val="0"/>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655" w:type="dxa"/>
            <w:vAlign w:val="center"/>
          </w:tcPr>
          <w:p w14:paraId="7E751D14">
            <w:pPr>
              <w:tabs>
                <w:tab w:val="left" w:pos="0"/>
              </w:tabs>
              <w:adjustRightInd w:val="0"/>
              <w:snapToGrid w:val="0"/>
              <w:spacing w:after="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w:t>
            </w:r>
            <w:r>
              <w:rPr>
                <w:rFonts w:hint="eastAsia" w:ascii="宋体" w:hAnsi="宋体" w:eastAsia="宋体" w:cs="宋体"/>
                <w:color w:val="auto"/>
                <w:sz w:val="24"/>
                <w:szCs w:val="24"/>
                <w:highlight w:val="none"/>
                <w:lang w:val="en-US" w:eastAsia="zh-CN"/>
              </w:rPr>
              <w:t>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p>
        </w:tc>
        <w:tc>
          <w:tcPr>
            <w:tcW w:w="1770" w:type="dxa"/>
            <w:vAlign w:val="center"/>
          </w:tcPr>
          <w:p w14:paraId="34F2E931">
            <w:pPr>
              <w:tabs>
                <w:tab w:val="left" w:pos="0"/>
              </w:tabs>
              <w:adjustRightInd w:val="0"/>
              <w:snapToGrid w:val="0"/>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简要规格描述或基本情况介绍</w:t>
            </w:r>
          </w:p>
        </w:tc>
        <w:tc>
          <w:tcPr>
            <w:tcW w:w="1631" w:type="dxa"/>
            <w:vAlign w:val="center"/>
          </w:tcPr>
          <w:p w14:paraId="555E4BEC">
            <w:pPr>
              <w:tabs>
                <w:tab w:val="left" w:pos="0"/>
              </w:tabs>
              <w:adjustRightInd w:val="0"/>
              <w:snapToGrid w:val="0"/>
              <w:spacing w:after="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p>
        </w:tc>
      </w:tr>
      <w:tr w14:paraId="63CE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0" w:hRule="atLeast"/>
          <w:jc w:val="center"/>
        </w:trPr>
        <w:tc>
          <w:tcPr>
            <w:tcW w:w="657" w:type="dxa"/>
            <w:tcMar>
              <w:top w:w="15" w:type="dxa"/>
              <w:left w:w="15" w:type="dxa"/>
              <w:bottom w:w="0" w:type="dxa"/>
              <w:right w:w="15" w:type="dxa"/>
            </w:tcMar>
            <w:vAlign w:val="center"/>
          </w:tcPr>
          <w:p w14:paraId="316AC2A0">
            <w:pPr>
              <w:tabs>
                <w:tab w:val="left" w:pos="0"/>
              </w:tabs>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756" w:type="dxa"/>
            <w:tcMar>
              <w:top w:w="15" w:type="dxa"/>
              <w:left w:w="15" w:type="dxa"/>
              <w:bottom w:w="0" w:type="dxa"/>
              <w:right w:w="15" w:type="dxa"/>
            </w:tcMar>
            <w:vAlign w:val="center"/>
          </w:tcPr>
          <w:p w14:paraId="65BA9F2F">
            <w:pPr>
              <w:jc w:val="center"/>
              <w:textAlignment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南湖小镇三期安置农居点市政基础配套建设工程(一期）桩基检测及基坑监测</w:t>
            </w:r>
          </w:p>
        </w:tc>
        <w:tc>
          <w:tcPr>
            <w:tcW w:w="641" w:type="dxa"/>
            <w:tcMar>
              <w:top w:w="15" w:type="dxa"/>
              <w:left w:w="15" w:type="dxa"/>
              <w:bottom w:w="0" w:type="dxa"/>
              <w:right w:w="15" w:type="dxa"/>
            </w:tcMar>
            <w:vAlign w:val="center"/>
          </w:tcPr>
          <w:p w14:paraId="2B609DBE">
            <w:pPr>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642" w:type="dxa"/>
            <w:tcMar>
              <w:top w:w="15" w:type="dxa"/>
              <w:left w:w="15" w:type="dxa"/>
              <w:bottom w:w="0" w:type="dxa"/>
              <w:right w:w="15" w:type="dxa"/>
            </w:tcMar>
            <w:vAlign w:val="center"/>
          </w:tcPr>
          <w:p w14:paraId="6E45D6AC">
            <w:pPr>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w:t>
            </w:r>
          </w:p>
        </w:tc>
        <w:tc>
          <w:tcPr>
            <w:tcW w:w="1655" w:type="dxa"/>
            <w:vAlign w:val="center"/>
          </w:tcPr>
          <w:p w14:paraId="5D337C26">
            <w:pPr>
              <w:spacing w:line="40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b w:val="0"/>
                <w:bCs/>
                <w:color w:val="auto"/>
                <w:sz w:val="24"/>
                <w:highlight w:val="none"/>
                <w:lang w:val="en-US" w:eastAsia="zh-CN"/>
              </w:rPr>
              <w:t>937385</w:t>
            </w:r>
          </w:p>
        </w:tc>
        <w:tc>
          <w:tcPr>
            <w:tcW w:w="1770" w:type="dxa"/>
            <w:vAlign w:val="center"/>
          </w:tcPr>
          <w:p w14:paraId="7A6EE3F5">
            <w:pPr>
              <w:tabs>
                <w:tab w:val="left" w:pos="0"/>
              </w:tabs>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lang w:val="en-US" w:eastAsia="zh-CN"/>
              </w:rPr>
              <w:t>详见</w:t>
            </w:r>
            <w:r>
              <w:rPr>
                <w:rFonts w:hint="eastAsia" w:ascii="宋体" w:hAnsi="宋体" w:eastAsia="宋体" w:cs="宋体"/>
                <w:color w:val="auto"/>
                <w:sz w:val="24"/>
                <w:highlight w:val="none"/>
              </w:rPr>
              <w:t>采购需求</w:t>
            </w:r>
          </w:p>
        </w:tc>
        <w:tc>
          <w:tcPr>
            <w:tcW w:w="1631" w:type="dxa"/>
            <w:vAlign w:val="center"/>
          </w:tcPr>
          <w:p w14:paraId="3AC5AAC8">
            <w:pPr>
              <w:spacing w:line="40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937385</w:t>
            </w:r>
          </w:p>
        </w:tc>
      </w:tr>
    </w:tbl>
    <w:p w14:paraId="793813FB">
      <w:pP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注：▲投标人需在投标（开标）一览表中明确投标报价（总价）及以上各分项小计报价，各分项小计报价不得超过上表各最高限价。</w:t>
      </w:r>
    </w:p>
    <w:p w14:paraId="271890CD">
      <w:pPr>
        <w:rPr>
          <w:rFonts w:hint="eastAsia" w:ascii="宋体" w:hAnsi="宋体" w:eastAsia="宋体" w:cs="宋体"/>
          <w:b/>
          <w:bCs/>
          <w:color w:val="auto"/>
          <w:kern w:val="2"/>
          <w:sz w:val="32"/>
          <w:szCs w:val="32"/>
          <w:highlight w:val="none"/>
          <w:lang w:val="zh-CN" w:eastAsia="zh-CN" w:bidi="ar-SA"/>
        </w:rPr>
      </w:pPr>
    </w:p>
    <w:p w14:paraId="13A535F4">
      <w:pPr>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br w:type="page"/>
      </w:r>
    </w:p>
    <w:p w14:paraId="437885FD">
      <w:pPr>
        <w:pStyle w:val="3"/>
        <w:numPr>
          <w:ilvl w:val="0"/>
          <w:numId w:val="0"/>
        </w:numPr>
        <w:ind w:left="630" w:leftChars="0" w:hanging="630" w:firstLineChars="0"/>
        <w:jc w:val="center"/>
        <w:rPr>
          <w:rFonts w:hint="eastAsia" w:ascii="宋体" w:hAnsi="宋体" w:eastAsia="宋体" w:cs="宋体"/>
          <w:color w:val="auto"/>
          <w:highlight w:val="none"/>
        </w:rPr>
      </w:pPr>
      <w:r>
        <w:rPr>
          <w:rFonts w:hint="eastAsia" w:ascii="宋体" w:hAnsi="宋体" w:eastAsia="宋体" w:cs="宋体"/>
          <w:color w:val="auto"/>
          <w:highlight w:val="none"/>
          <w:lang w:val="zh-CN" w:eastAsia="zh-CN"/>
        </w:rPr>
        <w:t>二、</w:t>
      </w:r>
      <w:bookmarkStart w:id="505" w:name="_GoBack"/>
      <w:r>
        <w:rPr>
          <w:rFonts w:hint="eastAsia" w:ascii="宋体" w:hAnsi="宋体" w:eastAsia="宋体" w:cs="宋体"/>
          <w:color w:val="auto"/>
          <w:highlight w:val="none"/>
        </w:rPr>
        <w:t>采购需求</w:t>
      </w:r>
    </w:p>
    <w:p w14:paraId="22A5731B">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一、技术需求</w:t>
      </w:r>
    </w:p>
    <w:p w14:paraId="405F719E">
      <w:pPr>
        <w:keepNext w:val="0"/>
        <w:keepLines w:val="0"/>
        <w:pageBreakBefore w:val="0"/>
        <w:kinsoku/>
        <w:wordWrap/>
        <w:overflowPunct/>
        <w:topLinePunct w:val="0"/>
        <w:bidi w:val="0"/>
        <w:snapToGrid/>
        <w:spacing w:line="360" w:lineRule="auto"/>
        <w:ind w:leftChars="0"/>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、项目名称</w:t>
      </w:r>
    </w:p>
    <w:p w14:paraId="3AA4AC5D">
      <w:pPr>
        <w:keepNext w:val="0"/>
        <w:keepLines w:val="0"/>
        <w:pageBreakBefore w:val="0"/>
        <w:numPr>
          <w:ilvl w:val="0"/>
          <w:numId w:val="0"/>
        </w:numPr>
        <w:kinsoku/>
        <w:wordWrap/>
        <w:overflowPunct/>
        <w:topLinePunct w:val="0"/>
        <w:autoSpaceDE w:val="0"/>
        <w:autoSpaceDN w:val="0"/>
        <w:bidi w:val="0"/>
        <w:snapToGrid/>
        <w:spacing w:line="360" w:lineRule="auto"/>
        <w:ind w:left="0" w:leftChars="0" w:firstLine="480" w:firstLineChars="200"/>
        <w:jc w:val="left"/>
        <w:textAlignment w:val="auto"/>
        <w:rPr>
          <w:rFonts w:hint="eastAsia" w:ascii="宋体" w:hAnsi="宋体" w:eastAsia="宋体" w:cs="宋体"/>
          <w:b/>
          <w:bCs/>
          <w:color w:val="auto"/>
          <w:kern w:val="0"/>
          <w:sz w:val="24"/>
          <w:szCs w:val="24"/>
          <w:highlight w:val="none"/>
        </w:rPr>
      </w:pPr>
      <w:r>
        <w:rPr>
          <w:rFonts w:hint="eastAsia" w:ascii="宋体" w:hAnsi="宋体" w:cs="宋体"/>
          <w:color w:val="auto"/>
          <w:sz w:val="24"/>
          <w:szCs w:val="24"/>
          <w:highlight w:val="none"/>
          <w:lang w:eastAsia="zh-CN"/>
        </w:rPr>
        <w:t>南湖小镇三期安置农居点市政基础配套建设工程(一期）桩基检测及基坑监测</w:t>
      </w:r>
      <w:r>
        <w:rPr>
          <w:rFonts w:hint="eastAsia" w:ascii="宋体" w:hAnsi="宋体" w:eastAsia="宋体" w:cs="宋体"/>
          <w:color w:val="auto"/>
          <w:sz w:val="24"/>
          <w:szCs w:val="24"/>
          <w:highlight w:val="none"/>
          <w:lang w:eastAsia="zh-CN"/>
        </w:rPr>
        <w:t>。</w:t>
      </w:r>
    </w:p>
    <w:p w14:paraId="785C7F7B">
      <w:pPr>
        <w:keepNext w:val="0"/>
        <w:keepLines w:val="0"/>
        <w:pageBreakBefore w:val="0"/>
        <w:numPr>
          <w:ilvl w:val="0"/>
          <w:numId w:val="7"/>
        </w:numPr>
        <w:kinsoku/>
        <w:wordWrap/>
        <w:overflowPunct/>
        <w:topLinePunct w:val="0"/>
        <w:autoSpaceDE w:val="0"/>
        <w:autoSpaceDN w:val="0"/>
        <w:bidi w:val="0"/>
        <w:snapToGrid/>
        <w:spacing w:line="360" w:lineRule="auto"/>
        <w:ind w:leftChars="0"/>
        <w:jc w:val="left"/>
        <w:textAlignment w:val="auto"/>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项目特定资格条件</w:t>
      </w:r>
    </w:p>
    <w:p w14:paraId="785C7F7B">
      <w:pPr>
        <w:keepNext w:val="0"/>
        <w:keepLines w:val="0"/>
        <w:pageBreakBefore w:val="0"/>
        <w:numPr>
          <w:ilvl w:val="0"/>
          <w:numId w:val="0"/>
        </w:numPr>
        <w:kinsoku/>
        <w:wordWrap/>
        <w:overflowPunct/>
        <w:topLinePunct w:val="0"/>
        <w:autoSpaceDE w:val="0"/>
        <w:autoSpaceDN w:val="0"/>
        <w:bidi w:val="0"/>
        <w:snapToGrid/>
        <w:spacing w:line="360" w:lineRule="auto"/>
        <w:ind w:leftChars="0"/>
        <w:jc w:val="left"/>
        <w:textAlignment w:val="auto"/>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 xml:space="preserve">   </w:t>
      </w:r>
      <w:r>
        <w:rPr>
          <w:rFonts w:hint="eastAsia" w:ascii="宋体" w:hAnsi="宋体" w:cs="宋体"/>
          <w:color w:val="auto"/>
          <w:sz w:val="24"/>
          <w:highlight w:val="none"/>
          <w:lang w:val="en-US" w:eastAsia="zh-CN"/>
        </w:rPr>
        <w:t>响应人</w:t>
      </w:r>
      <w:r>
        <w:rPr>
          <w:rFonts w:hint="eastAsia" w:ascii="宋体" w:hAnsi="宋体" w:eastAsia="宋体" w:cs="宋体"/>
          <w:color w:val="auto"/>
          <w:sz w:val="24"/>
          <w:highlight w:val="none"/>
        </w:rPr>
        <w:t>同时具备①+②+③：①同时具备工程勘察岩土工程甲级、工程测量甲级资质或同时具备工程勘察专业类岩土工程（物探、测试、检测、监测）乙级、工程测量乙级资质；②具备建设行政主管部门核发的地基基础检测资质；③具有行政主管部门颁发的计量认证证书或资质认定证书（计量认证证书或资质认定证书附表内容需包含桩基检测、基坑监测资格或类似试验检测，具体与本项目服务内容相应）的独立法人企业</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项目负责人要求：具有注册土木工程师（岩土）</w:t>
      </w:r>
      <w:r>
        <w:rPr>
          <w:rFonts w:hint="eastAsia" w:ascii="宋体" w:hAnsi="宋体" w:eastAsia="宋体" w:cs="宋体"/>
          <w:color w:val="auto"/>
          <w:sz w:val="24"/>
          <w:szCs w:val="24"/>
          <w:highlight w:val="none"/>
          <w:lang w:val="en-US" w:eastAsia="zh-CN"/>
        </w:rPr>
        <w:t>。</w:t>
      </w:r>
    </w:p>
    <w:p w14:paraId="3307F4C5">
      <w:pPr>
        <w:keepNext w:val="0"/>
        <w:keepLines w:val="0"/>
        <w:pageBreakBefore w:val="0"/>
        <w:numPr>
          <w:ilvl w:val="0"/>
          <w:numId w:val="8"/>
        </w:numPr>
        <w:kinsoku/>
        <w:wordWrap/>
        <w:overflowPunct/>
        <w:topLinePunct w:val="0"/>
        <w:autoSpaceDE w:val="0"/>
        <w:autoSpaceDN w:val="0"/>
        <w:bidi w:val="0"/>
        <w:snapToGrid/>
        <w:spacing w:line="360" w:lineRule="auto"/>
        <w:ind w:left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建设概况</w:t>
      </w:r>
    </w:p>
    <w:p w14:paraId="6F0158E7">
      <w:pPr>
        <w:keepNext w:val="0"/>
        <w:keepLines w:val="0"/>
        <w:pageBreakBefore w:val="0"/>
        <w:widowControl/>
        <w:suppressLineNumbers w:val="0"/>
        <w:kinsoku/>
        <w:wordWrap/>
        <w:overflowPunct/>
        <w:topLinePunct w:val="0"/>
        <w:bidi w:val="0"/>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拟建设南湖小镇三期安置农居点市政基础配套建设工程（一期）。项目东至 YH100102-11 地块，南至规划苕南路，西至规划九峰路，北至规划环溪路，新建总建筑面积约为 78950 平方米，其中地上新建建筑面积约为 5100 平方米，地下新建建筑面积约为73850平方米。主要建设内容为多户多联安置农居点地下室及附属配套设施等 ，建设地点：余杭区中泰街道</w:t>
      </w:r>
    </w:p>
    <w:p w14:paraId="7F8738BA">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left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4、工作内容</w:t>
      </w:r>
    </w:p>
    <w:p w14:paraId="7D122E64">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（一）</w:t>
      </w:r>
      <w:r>
        <w:rPr>
          <w:rFonts w:hint="eastAsia" w:ascii="宋体" w:hAnsi="宋体" w:eastAsia="宋体" w:cs="宋体"/>
          <w:b w:val="0"/>
          <w:bCs w:val="0"/>
          <w:color w:val="auto"/>
          <w:kern w:val="0"/>
          <w:sz w:val="24"/>
          <w:szCs w:val="24"/>
          <w:highlight w:val="none"/>
          <w:lang w:val="en-US" w:eastAsia="zh-CN"/>
        </w:rPr>
        <w:t>桩基检测要求</w:t>
      </w:r>
    </w:p>
    <w:p w14:paraId="45006D3A">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4.1桩基检测数量</w:t>
      </w:r>
      <w:r>
        <w:rPr>
          <w:rFonts w:hint="eastAsia" w:ascii="宋体" w:hAnsi="宋体" w:cs="宋体"/>
          <w:b w:val="0"/>
          <w:bCs w:val="0"/>
          <w:color w:val="auto"/>
          <w:kern w:val="0"/>
          <w:sz w:val="24"/>
          <w:szCs w:val="24"/>
          <w:highlight w:val="none"/>
          <w:lang w:val="en-US" w:eastAsia="zh-CN"/>
        </w:rPr>
        <w:t xml:space="preserve"> </w:t>
      </w:r>
    </w:p>
    <w:tbl>
      <w:tblPr>
        <w:tblStyle w:val="62"/>
        <w:tblW w:w="8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7"/>
        <w:gridCol w:w="933"/>
        <w:gridCol w:w="1533"/>
        <w:gridCol w:w="2082"/>
      </w:tblGrid>
      <w:tr w14:paraId="47EE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3867" w:type="dxa"/>
            <w:noWrap/>
            <w:vAlign w:val="center"/>
          </w:tcPr>
          <w:p w14:paraId="215A0266">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桩型</w:t>
            </w:r>
          </w:p>
        </w:tc>
        <w:tc>
          <w:tcPr>
            <w:tcW w:w="933" w:type="dxa"/>
            <w:noWrap/>
            <w:vAlign w:val="center"/>
          </w:tcPr>
          <w:p w14:paraId="1A3207AE">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533" w:type="dxa"/>
            <w:noWrap/>
            <w:vAlign w:val="center"/>
          </w:tcPr>
          <w:p w14:paraId="76A4F5B1">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2082" w:type="dxa"/>
            <w:noWrap/>
            <w:vAlign w:val="center"/>
          </w:tcPr>
          <w:p w14:paraId="1921AF47">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530F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867" w:type="dxa"/>
            <w:noWrap/>
            <w:vAlign w:val="center"/>
          </w:tcPr>
          <w:p w14:paraId="6E66CAA6">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Φ500预应力混凝土管桩、单桩竖向抗压承载力特征值900kN，静载试验抗压极限值为1900kN，位置：设计试桩</w:t>
            </w:r>
          </w:p>
        </w:tc>
        <w:tc>
          <w:tcPr>
            <w:tcW w:w="933" w:type="dxa"/>
            <w:noWrap/>
            <w:vAlign w:val="center"/>
          </w:tcPr>
          <w:p w14:paraId="0DE48C4B">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533" w:type="dxa"/>
            <w:noWrap/>
            <w:vAlign w:val="center"/>
          </w:tcPr>
          <w:p w14:paraId="54BF4A8E">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w:t>
            </w:r>
          </w:p>
        </w:tc>
        <w:tc>
          <w:tcPr>
            <w:tcW w:w="2082" w:type="dxa"/>
            <w:noWrap/>
            <w:vAlign w:val="center"/>
          </w:tcPr>
          <w:p w14:paraId="7327F06F">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单桩竖向抗压静载试验</w:t>
            </w:r>
          </w:p>
        </w:tc>
      </w:tr>
      <w:tr w14:paraId="06A33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3867" w:type="dxa"/>
            <w:noWrap/>
            <w:vAlign w:val="center"/>
          </w:tcPr>
          <w:p w14:paraId="2C9ECA91">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Φ500预应力混凝土管桩、单桩抗拔承载力特征值110kN，试验抗拔极限值为230kN，位置：设计试桩</w:t>
            </w:r>
          </w:p>
        </w:tc>
        <w:tc>
          <w:tcPr>
            <w:tcW w:w="933" w:type="dxa"/>
            <w:noWrap/>
            <w:vAlign w:val="center"/>
          </w:tcPr>
          <w:p w14:paraId="17E7F670">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533" w:type="dxa"/>
            <w:noWrap/>
            <w:vAlign w:val="center"/>
          </w:tcPr>
          <w:p w14:paraId="4E484862">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w:t>
            </w:r>
          </w:p>
        </w:tc>
        <w:tc>
          <w:tcPr>
            <w:tcW w:w="2082" w:type="dxa"/>
            <w:noWrap/>
            <w:vAlign w:val="center"/>
          </w:tcPr>
          <w:p w14:paraId="3857569E">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单桩竖向抗拔静载试验</w:t>
            </w:r>
          </w:p>
        </w:tc>
      </w:tr>
      <w:tr w14:paraId="43712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867" w:type="dxa"/>
            <w:noWrap/>
            <w:vAlign w:val="center"/>
          </w:tcPr>
          <w:p w14:paraId="66A10D03">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Φ500预应力混凝土管桩、单桩竖向抗压承载力特征值900kN，静载试验抗压极限值为1900kN，位置：S5#配套用房</w:t>
            </w:r>
          </w:p>
        </w:tc>
        <w:tc>
          <w:tcPr>
            <w:tcW w:w="933" w:type="dxa"/>
            <w:noWrap/>
            <w:vAlign w:val="center"/>
          </w:tcPr>
          <w:p w14:paraId="7D9185C0">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533" w:type="dxa"/>
            <w:noWrap/>
            <w:vAlign w:val="center"/>
          </w:tcPr>
          <w:p w14:paraId="1582E502">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w:t>
            </w:r>
          </w:p>
        </w:tc>
        <w:tc>
          <w:tcPr>
            <w:tcW w:w="2082" w:type="dxa"/>
            <w:noWrap/>
            <w:vAlign w:val="center"/>
          </w:tcPr>
          <w:p w14:paraId="3EE6AA23">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单桩竖向抗压静载试验</w:t>
            </w:r>
          </w:p>
        </w:tc>
      </w:tr>
      <w:tr w14:paraId="24D9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867" w:type="dxa"/>
            <w:noWrap/>
            <w:vAlign w:val="center"/>
          </w:tcPr>
          <w:p w14:paraId="2A169872">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低应变检测，位置：S5#配套用房</w:t>
            </w:r>
          </w:p>
        </w:tc>
        <w:tc>
          <w:tcPr>
            <w:tcW w:w="933" w:type="dxa"/>
            <w:noWrap/>
            <w:vAlign w:val="center"/>
          </w:tcPr>
          <w:p w14:paraId="68D840C1">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w:t>
            </w:r>
          </w:p>
        </w:tc>
        <w:tc>
          <w:tcPr>
            <w:tcW w:w="1533" w:type="dxa"/>
            <w:noWrap/>
            <w:vAlign w:val="center"/>
          </w:tcPr>
          <w:p w14:paraId="73A8CD1C">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w:t>
            </w:r>
          </w:p>
        </w:tc>
        <w:tc>
          <w:tcPr>
            <w:tcW w:w="2082" w:type="dxa"/>
            <w:noWrap/>
            <w:vAlign w:val="center"/>
          </w:tcPr>
          <w:p w14:paraId="03C826CF">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低应变</w:t>
            </w:r>
          </w:p>
        </w:tc>
      </w:tr>
      <w:tr w14:paraId="3DC63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3867" w:type="dxa"/>
            <w:noWrap/>
            <w:vAlign w:val="center"/>
          </w:tcPr>
          <w:p w14:paraId="18F1CBE1">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Φ500预应力混凝土管桩、单桩竖向抗压承载力特征值900kN，静载试验抗压极限值为1900kN，位置：S10#配套用房</w:t>
            </w:r>
          </w:p>
        </w:tc>
        <w:tc>
          <w:tcPr>
            <w:tcW w:w="933" w:type="dxa"/>
            <w:noWrap/>
            <w:vAlign w:val="center"/>
          </w:tcPr>
          <w:p w14:paraId="5213F27A">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533" w:type="dxa"/>
            <w:noWrap/>
            <w:vAlign w:val="center"/>
          </w:tcPr>
          <w:p w14:paraId="5D843F59">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w:t>
            </w:r>
          </w:p>
        </w:tc>
        <w:tc>
          <w:tcPr>
            <w:tcW w:w="2082" w:type="dxa"/>
            <w:noWrap/>
            <w:vAlign w:val="center"/>
          </w:tcPr>
          <w:p w14:paraId="67BB7128">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Φ500预应力混凝土管桩、单桩竖向抗压承载力特征值900kN，静载试验抗压极限值为1900kN</w:t>
            </w:r>
          </w:p>
        </w:tc>
      </w:tr>
      <w:tr w14:paraId="653E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3867" w:type="dxa"/>
            <w:noWrap/>
            <w:vAlign w:val="center"/>
          </w:tcPr>
          <w:p w14:paraId="47EBC6C1">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低应变检测，位置：S10#配套用房</w:t>
            </w:r>
          </w:p>
        </w:tc>
        <w:tc>
          <w:tcPr>
            <w:tcW w:w="933" w:type="dxa"/>
            <w:noWrap/>
            <w:vAlign w:val="center"/>
          </w:tcPr>
          <w:p w14:paraId="01805E8F">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w:t>
            </w:r>
          </w:p>
        </w:tc>
        <w:tc>
          <w:tcPr>
            <w:tcW w:w="1533" w:type="dxa"/>
            <w:noWrap/>
            <w:vAlign w:val="center"/>
          </w:tcPr>
          <w:p w14:paraId="0580E49E">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w:t>
            </w:r>
          </w:p>
        </w:tc>
        <w:tc>
          <w:tcPr>
            <w:tcW w:w="2082" w:type="dxa"/>
            <w:noWrap/>
            <w:vAlign w:val="center"/>
          </w:tcPr>
          <w:p w14:paraId="40940ECA">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低应变检测</w:t>
            </w:r>
          </w:p>
        </w:tc>
      </w:tr>
      <w:tr w14:paraId="4290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3867" w:type="dxa"/>
            <w:noWrap/>
            <w:vAlign w:val="center"/>
          </w:tcPr>
          <w:p w14:paraId="5063BC98">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Φ500预应力混凝土管桩、单桩竖向抗压承载力特征值900kN，静载试验抗压极限值为1900kN，位置：地块一地下室</w:t>
            </w:r>
          </w:p>
        </w:tc>
        <w:tc>
          <w:tcPr>
            <w:tcW w:w="933" w:type="dxa"/>
            <w:noWrap/>
            <w:vAlign w:val="center"/>
          </w:tcPr>
          <w:p w14:paraId="777F5AC8">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1533" w:type="dxa"/>
            <w:noWrap/>
            <w:vAlign w:val="center"/>
          </w:tcPr>
          <w:p w14:paraId="4D43BA30">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w:t>
            </w:r>
          </w:p>
        </w:tc>
        <w:tc>
          <w:tcPr>
            <w:tcW w:w="2082" w:type="dxa"/>
            <w:noWrap/>
            <w:vAlign w:val="center"/>
          </w:tcPr>
          <w:p w14:paraId="0574C70F">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单桩竖向抗压静载试验</w:t>
            </w:r>
          </w:p>
        </w:tc>
      </w:tr>
      <w:tr w14:paraId="6C4BA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3867" w:type="dxa"/>
            <w:noWrap/>
            <w:vAlign w:val="center"/>
          </w:tcPr>
          <w:p w14:paraId="347C13A2">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Φ500预应力混凝土管桩、单桩抗拔承载力特征值110kN，试验抗拔极限值为230kN，位置：地块一地下室</w:t>
            </w:r>
          </w:p>
        </w:tc>
        <w:tc>
          <w:tcPr>
            <w:tcW w:w="933" w:type="dxa"/>
            <w:noWrap/>
            <w:vAlign w:val="center"/>
          </w:tcPr>
          <w:p w14:paraId="348AF26E">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533" w:type="dxa"/>
            <w:noWrap/>
            <w:vAlign w:val="center"/>
          </w:tcPr>
          <w:p w14:paraId="4F270CE2">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w:t>
            </w:r>
          </w:p>
        </w:tc>
        <w:tc>
          <w:tcPr>
            <w:tcW w:w="2082" w:type="dxa"/>
            <w:noWrap/>
            <w:vAlign w:val="center"/>
          </w:tcPr>
          <w:p w14:paraId="705334B3">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单桩竖向抗拔静载试验</w:t>
            </w:r>
          </w:p>
        </w:tc>
      </w:tr>
      <w:tr w14:paraId="0526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3867" w:type="dxa"/>
            <w:noWrap/>
            <w:vAlign w:val="center"/>
          </w:tcPr>
          <w:p w14:paraId="620F1A49">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低应变检测，位置：地块一地下室</w:t>
            </w:r>
          </w:p>
        </w:tc>
        <w:tc>
          <w:tcPr>
            <w:tcW w:w="933" w:type="dxa"/>
            <w:noWrap/>
            <w:vAlign w:val="center"/>
          </w:tcPr>
          <w:p w14:paraId="5B4ECC8A">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1328</w:t>
            </w:r>
          </w:p>
        </w:tc>
        <w:tc>
          <w:tcPr>
            <w:tcW w:w="1533" w:type="dxa"/>
            <w:noWrap/>
            <w:vAlign w:val="center"/>
          </w:tcPr>
          <w:p w14:paraId="31B6509D">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w:t>
            </w:r>
          </w:p>
        </w:tc>
        <w:tc>
          <w:tcPr>
            <w:tcW w:w="2082" w:type="dxa"/>
            <w:noWrap/>
            <w:vAlign w:val="center"/>
          </w:tcPr>
          <w:p w14:paraId="2D59A532">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低应变</w:t>
            </w:r>
          </w:p>
        </w:tc>
      </w:tr>
      <w:tr w14:paraId="22EBF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3867" w:type="dxa"/>
            <w:noWrap/>
            <w:vAlign w:val="center"/>
          </w:tcPr>
          <w:p w14:paraId="503378E3">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Φ500预应力混凝土管桩、单桩竖向抗压承载力特征值900kN，静载试验抗压极限值为1900kN，位置：地块二地下室</w:t>
            </w:r>
          </w:p>
        </w:tc>
        <w:tc>
          <w:tcPr>
            <w:tcW w:w="933" w:type="dxa"/>
            <w:noWrap/>
            <w:vAlign w:val="center"/>
          </w:tcPr>
          <w:p w14:paraId="2737324A">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1533" w:type="dxa"/>
            <w:noWrap/>
            <w:vAlign w:val="center"/>
          </w:tcPr>
          <w:p w14:paraId="54E9BC3A">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w:t>
            </w:r>
          </w:p>
        </w:tc>
        <w:tc>
          <w:tcPr>
            <w:tcW w:w="2082" w:type="dxa"/>
            <w:noWrap/>
            <w:vAlign w:val="center"/>
          </w:tcPr>
          <w:p w14:paraId="47B0CC10">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单桩竖向抗压静载试验</w:t>
            </w:r>
          </w:p>
        </w:tc>
      </w:tr>
      <w:tr w14:paraId="21E24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3867" w:type="dxa"/>
            <w:noWrap/>
            <w:vAlign w:val="center"/>
          </w:tcPr>
          <w:p w14:paraId="157A58AD">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Φ500预应力混凝土管桩、单桩抗拔承载力特征值110kN，试验抗拔极限值为230kN，位置：地块二地下室</w:t>
            </w:r>
          </w:p>
        </w:tc>
        <w:tc>
          <w:tcPr>
            <w:tcW w:w="933" w:type="dxa"/>
            <w:noWrap/>
            <w:vAlign w:val="center"/>
          </w:tcPr>
          <w:p w14:paraId="419A38DF">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533" w:type="dxa"/>
            <w:noWrap/>
            <w:vAlign w:val="center"/>
          </w:tcPr>
          <w:p w14:paraId="12D4F4FB">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w:t>
            </w:r>
          </w:p>
        </w:tc>
        <w:tc>
          <w:tcPr>
            <w:tcW w:w="2082" w:type="dxa"/>
            <w:noWrap/>
            <w:vAlign w:val="center"/>
          </w:tcPr>
          <w:p w14:paraId="1F95D43B">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单桩竖向抗拔静载试验</w:t>
            </w:r>
          </w:p>
        </w:tc>
      </w:tr>
      <w:tr w14:paraId="6910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3867" w:type="dxa"/>
            <w:noWrap/>
            <w:vAlign w:val="center"/>
          </w:tcPr>
          <w:p w14:paraId="7B5ACDBD">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低应变检测，位置：地块二地下室</w:t>
            </w:r>
          </w:p>
        </w:tc>
        <w:tc>
          <w:tcPr>
            <w:tcW w:w="933" w:type="dxa"/>
            <w:noWrap/>
            <w:vAlign w:val="center"/>
          </w:tcPr>
          <w:p w14:paraId="49F16EDA">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3153</w:t>
            </w:r>
          </w:p>
        </w:tc>
        <w:tc>
          <w:tcPr>
            <w:tcW w:w="1533" w:type="dxa"/>
            <w:noWrap/>
            <w:vAlign w:val="center"/>
          </w:tcPr>
          <w:p w14:paraId="406692CC">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w:t>
            </w:r>
          </w:p>
        </w:tc>
        <w:tc>
          <w:tcPr>
            <w:tcW w:w="2082" w:type="dxa"/>
            <w:noWrap/>
            <w:vAlign w:val="center"/>
          </w:tcPr>
          <w:p w14:paraId="17BF2274">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低应变</w:t>
            </w:r>
          </w:p>
        </w:tc>
      </w:tr>
      <w:tr w14:paraId="5F7E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3867" w:type="dxa"/>
            <w:noWrap/>
            <w:vAlign w:val="center"/>
          </w:tcPr>
          <w:p w14:paraId="0FEFDBDC">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Φ500预应力混凝土管桩、单桩竖向抗压承载力特征值900kN，静载试验抗压极限值为1900kN，位置：地块三地下室</w:t>
            </w:r>
          </w:p>
        </w:tc>
        <w:tc>
          <w:tcPr>
            <w:tcW w:w="933" w:type="dxa"/>
            <w:noWrap/>
            <w:vAlign w:val="center"/>
          </w:tcPr>
          <w:p w14:paraId="5F95D366">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w:t>
            </w:r>
          </w:p>
        </w:tc>
        <w:tc>
          <w:tcPr>
            <w:tcW w:w="1533" w:type="dxa"/>
            <w:noWrap/>
            <w:vAlign w:val="center"/>
          </w:tcPr>
          <w:p w14:paraId="2C735922">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w:t>
            </w:r>
          </w:p>
        </w:tc>
        <w:tc>
          <w:tcPr>
            <w:tcW w:w="2082" w:type="dxa"/>
            <w:noWrap/>
            <w:vAlign w:val="center"/>
          </w:tcPr>
          <w:p w14:paraId="036AFFEF">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单桩竖向抗压静载试验</w:t>
            </w:r>
          </w:p>
        </w:tc>
      </w:tr>
      <w:tr w14:paraId="6A8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3867" w:type="dxa"/>
            <w:noWrap/>
            <w:vAlign w:val="center"/>
          </w:tcPr>
          <w:p w14:paraId="2A03D4E2">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Φ500预应力混凝土管桩、单桩抗拔承载力特征值110kN，试验抗拔极限值为230kN，位置：地块三地下室</w:t>
            </w:r>
          </w:p>
        </w:tc>
        <w:tc>
          <w:tcPr>
            <w:tcW w:w="933" w:type="dxa"/>
            <w:noWrap/>
            <w:vAlign w:val="center"/>
          </w:tcPr>
          <w:p w14:paraId="62198DC7">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533" w:type="dxa"/>
            <w:noWrap/>
            <w:vAlign w:val="center"/>
          </w:tcPr>
          <w:p w14:paraId="00C4595D">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w:t>
            </w:r>
          </w:p>
        </w:tc>
        <w:tc>
          <w:tcPr>
            <w:tcW w:w="2082" w:type="dxa"/>
            <w:noWrap/>
            <w:vAlign w:val="center"/>
          </w:tcPr>
          <w:p w14:paraId="13734E40">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单桩竖向抗拔静载试验</w:t>
            </w:r>
          </w:p>
        </w:tc>
      </w:tr>
      <w:tr w14:paraId="76CD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3867" w:type="dxa"/>
            <w:noWrap/>
            <w:vAlign w:val="center"/>
          </w:tcPr>
          <w:p w14:paraId="25058076">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低应变检测，位置：地块三地下室</w:t>
            </w:r>
          </w:p>
        </w:tc>
        <w:tc>
          <w:tcPr>
            <w:tcW w:w="933" w:type="dxa"/>
            <w:noWrap/>
            <w:vAlign w:val="center"/>
          </w:tcPr>
          <w:p w14:paraId="1AF6FD7C">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3313</w:t>
            </w:r>
          </w:p>
        </w:tc>
        <w:tc>
          <w:tcPr>
            <w:tcW w:w="1533" w:type="dxa"/>
            <w:noWrap/>
            <w:vAlign w:val="center"/>
          </w:tcPr>
          <w:p w14:paraId="5FB36364">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w:t>
            </w:r>
          </w:p>
        </w:tc>
        <w:tc>
          <w:tcPr>
            <w:tcW w:w="2082" w:type="dxa"/>
            <w:noWrap/>
            <w:vAlign w:val="center"/>
          </w:tcPr>
          <w:p w14:paraId="2BB45533">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低应变</w:t>
            </w:r>
          </w:p>
        </w:tc>
      </w:tr>
    </w:tbl>
    <w:p w14:paraId="44ABD973">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leftChars="0" w:firstLine="480" w:firstLineChars="200"/>
        <w:jc w:val="left"/>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4.2桩基检测工期：30天（要求范围：单桩竖向抗压、单桩竖向抗拔；其它检测跟随现场施工进度相应完成）。</w:t>
      </w:r>
    </w:p>
    <w:p w14:paraId="4CF87674">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leftChars="0"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4.3▲为保证工期，要求配备设备(2个静载主机、2只压力传感器、4只位移传感器）。需提供满足要求的设备清单（格式自拟）。</w:t>
      </w:r>
    </w:p>
    <w:p w14:paraId="183A6CE9">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（二）</w:t>
      </w:r>
      <w:r>
        <w:rPr>
          <w:rFonts w:hint="eastAsia" w:ascii="宋体" w:hAnsi="宋体" w:eastAsia="宋体" w:cs="宋体"/>
          <w:b w:val="0"/>
          <w:bCs w:val="0"/>
          <w:color w:val="auto"/>
          <w:kern w:val="0"/>
          <w:sz w:val="24"/>
          <w:szCs w:val="24"/>
          <w:highlight w:val="none"/>
          <w:lang w:val="en-US" w:eastAsia="zh-CN"/>
        </w:rPr>
        <w:t>基坑监测要求</w:t>
      </w:r>
    </w:p>
    <w:tbl>
      <w:tblPr>
        <w:tblStyle w:val="62"/>
        <w:tblW w:w="9286" w:type="dxa"/>
        <w:jc w:val="center"/>
        <w:tblLayout w:type="fixed"/>
        <w:tblCellMar>
          <w:top w:w="0" w:type="dxa"/>
          <w:left w:w="108" w:type="dxa"/>
          <w:bottom w:w="0" w:type="dxa"/>
          <w:right w:w="108" w:type="dxa"/>
        </w:tblCellMar>
      </w:tblPr>
      <w:tblGrid>
        <w:gridCol w:w="3808"/>
        <w:gridCol w:w="1200"/>
        <w:gridCol w:w="1200"/>
        <w:gridCol w:w="3078"/>
      </w:tblGrid>
      <w:tr w14:paraId="5D2634BE">
        <w:tblPrEx>
          <w:tblCellMar>
            <w:top w:w="0" w:type="dxa"/>
            <w:left w:w="108" w:type="dxa"/>
            <w:bottom w:w="0" w:type="dxa"/>
            <w:right w:w="108" w:type="dxa"/>
          </w:tblCellMar>
        </w:tblPrEx>
        <w:trPr>
          <w:trHeight w:val="567" w:hRule="atLeast"/>
          <w:jc w:val="center"/>
        </w:trPr>
        <w:tc>
          <w:tcPr>
            <w:tcW w:w="3808" w:type="dxa"/>
            <w:tcBorders>
              <w:top w:val="single" w:color="auto" w:sz="4" w:space="0"/>
              <w:left w:val="single" w:color="auto" w:sz="4" w:space="0"/>
              <w:bottom w:val="single" w:color="auto" w:sz="4" w:space="0"/>
              <w:right w:val="single" w:color="auto" w:sz="4" w:space="0"/>
            </w:tcBorders>
            <w:noWrap/>
            <w:vAlign w:val="center"/>
          </w:tcPr>
          <w:p w14:paraId="6B0FABB5">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监测内容</w:t>
            </w:r>
          </w:p>
        </w:tc>
        <w:tc>
          <w:tcPr>
            <w:tcW w:w="1200" w:type="dxa"/>
            <w:tcBorders>
              <w:top w:val="single" w:color="auto" w:sz="4" w:space="0"/>
              <w:left w:val="nil"/>
              <w:bottom w:val="single" w:color="auto" w:sz="4" w:space="0"/>
              <w:right w:val="single" w:color="auto" w:sz="4" w:space="0"/>
            </w:tcBorders>
            <w:noWrap/>
            <w:vAlign w:val="center"/>
          </w:tcPr>
          <w:p w14:paraId="32FFF0A4">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00" w:type="dxa"/>
            <w:tcBorders>
              <w:top w:val="single" w:color="auto" w:sz="4" w:space="0"/>
              <w:left w:val="nil"/>
              <w:bottom w:val="single" w:color="auto" w:sz="4" w:space="0"/>
              <w:right w:val="single" w:color="auto" w:sz="4" w:space="0"/>
            </w:tcBorders>
            <w:noWrap/>
            <w:vAlign w:val="center"/>
          </w:tcPr>
          <w:p w14:paraId="4A130FE7">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078" w:type="dxa"/>
            <w:tcBorders>
              <w:top w:val="single" w:color="auto" w:sz="4" w:space="0"/>
              <w:left w:val="nil"/>
              <w:bottom w:val="single" w:color="auto" w:sz="4" w:space="0"/>
              <w:right w:val="single" w:color="auto" w:sz="4" w:space="0"/>
            </w:tcBorders>
            <w:noWrap/>
            <w:vAlign w:val="center"/>
          </w:tcPr>
          <w:p w14:paraId="099EEE85">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2A653E21">
        <w:tblPrEx>
          <w:tblCellMar>
            <w:top w:w="0" w:type="dxa"/>
            <w:left w:w="108" w:type="dxa"/>
            <w:bottom w:w="0" w:type="dxa"/>
            <w:right w:w="108" w:type="dxa"/>
          </w:tblCellMar>
        </w:tblPrEx>
        <w:trPr>
          <w:trHeight w:val="601" w:hRule="atLeast"/>
          <w:jc w:val="center"/>
        </w:trPr>
        <w:tc>
          <w:tcPr>
            <w:tcW w:w="3808" w:type="dxa"/>
            <w:tcBorders>
              <w:top w:val="single" w:color="auto" w:sz="4" w:space="0"/>
              <w:left w:val="single" w:color="auto" w:sz="4" w:space="0"/>
              <w:bottom w:val="single" w:color="auto" w:sz="4" w:space="0"/>
              <w:right w:val="single" w:color="auto" w:sz="4" w:space="0"/>
            </w:tcBorders>
            <w:noWrap/>
            <w:vAlign w:val="center"/>
          </w:tcPr>
          <w:p w14:paraId="0C56D3A6">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深层土体水平位移监测</w:t>
            </w:r>
          </w:p>
        </w:tc>
        <w:tc>
          <w:tcPr>
            <w:tcW w:w="1200" w:type="dxa"/>
            <w:tcBorders>
              <w:top w:val="single" w:color="auto" w:sz="4" w:space="0"/>
              <w:left w:val="single" w:color="auto" w:sz="4" w:space="0"/>
              <w:bottom w:val="single" w:color="auto" w:sz="4" w:space="0"/>
              <w:right w:val="single" w:color="auto" w:sz="4" w:space="0"/>
            </w:tcBorders>
            <w:noWrap/>
            <w:vAlign w:val="center"/>
          </w:tcPr>
          <w:p w14:paraId="5F564BB1">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w:t>
            </w:r>
          </w:p>
        </w:tc>
        <w:tc>
          <w:tcPr>
            <w:tcW w:w="1200" w:type="dxa"/>
            <w:tcBorders>
              <w:top w:val="single" w:color="auto" w:sz="4" w:space="0"/>
              <w:left w:val="single" w:color="auto" w:sz="4" w:space="0"/>
              <w:bottom w:val="single" w:color="auto" w:sz="4" w:space="0"/>
              <w:right w:val="single" w:color="auto" w:sz="4" w:space="0"/>
            </w:tcBorders>
            <w:noWrap/>
            <w:vAlign w:val="center"/>
          </w:tcPr>
          <w:p w14:paraId="3EF4F724">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孔</w:t>
            </w:r>
          </w:p>
        </w:tc>
        <w:tc>
          <w:tcPr>
            <w:tcW w:w="3078" w:type="dxa"/>
            <w:tcBorders>
              <w:top w:val="single" w:color="auto" w:sz="4" w:space="0"/>
              <w:left w:val="single" w:color="auto" w:sz="4" w:space="0"/>
              <w:bottom w:val="single" w:color="auto" w:sz="4" w:space="0"/>
              <w:right w:val="single" w:color="auto" w:sz="4" w:space="0"/>
            </w:tcBorders>
            <w:noWrap/>
            <w:vAlign w:val="center"/>
          </w:tcPr>
          <w:p w14:paraId="5266335D">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自动化监测</w:t>
            </w:r>
          </w:p>
        </w:tc>
      </w:tr>
      <w:tr w14:paraId="428FDD7B">
        <w:tblPrEx>
          <w:tblCellMar>
            <w:top w:w="0" w:type="dxa"/>
            <w:left w:w="108" w:type="dxa"/>
            <w:bottom w:w="0" w:type="dxa"/>
            <w:right w:w="108" w:type="dxa"/>
          </w:tblCellMar>
        </w:tblPrEx>
        <w:trPr>
          <w:trHeight w:val="567" w:hRule="atLeast"/>
          <w:jc w:val="center"/>
        </w:trPr>
        <w:tc>
          <w:tcPr>
            <w:tcW w:w="3808" w:type="dxa"/>
            <w:tcBorders>
              <w:top w:val="single" w:color="auto" w:sz="4" w:space="0"/>
              <w:left w:val="single" w:color="auto" w:sz="4" w:space="0"/>
              <w:bottom w:val="single" w:color="auto" w:sz="4" w:space="0"/>
              <w:right w:val="single" w:color="auto" w:sz="4" w:space="0"/>
            </w:tcBorders>
            <w:noWrap/>
            <w:vAlign w:val="center"/>
          </w:tcPr>
          <w:p w14:paraId="7A2BCAC9">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地下水位监测</w:t>
            </w:r>
          </w:p>
        </w:tc>
        <w:tc>
          <w:tcPr>
            <w:tcW w:w="1200" w:type="dxa"/>
            <w:tcBorders>
              <w:top w:val="single" w:color="auto" w:sz="4" w:space="0"/>
              <w:left w:val="single" w:color="auto" w:sz="4" w:space="0"/>
              <w:bottom w:val="single" w:color="auto" w:sz="4" w:space="0"/>
              <w:right w:val="single" w:color="auto" w:sz="4" w:space="0"/>
            </w:tcBorders>
            <w:noWrap/>
            <w:vAlign w:val="center"/>
          </w:tcPr>
          <w:p w14:paraId="3BE01D4E">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1200" w:type="dxa"/>
            <w:tcBorders>
              <w:top w:val="single" w:color="auto" w:sz="4" w:space="0"/>
              <w:left w:val="single" w:color="auto" w:sz="4" w:space="0"/>
              <w:bottom w:val="single" w:color="auto" w:sz="4" w:space="0"/>
              <w:right w:val="single" w:color="auto" w:sz="4" w:space="0"/>
            </w:tcBorders>
            <w:noWrap/>
            <w:vAlign w:val="center"/>
          </w:tcPr>
          <w:p w14:paraId="3D782763">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孔</w:t>
            </w:r>
          </w:p>
        </w:tc>
        <w:tc>
          <w:tcPr>
            <w:tcW w:w="3078" w:type="dxa"/>
            <w:tcBorders>
              <w:top w:val="single" w:color="auto" w:sz="4" w:space="0"/>
              <w:left w:val="single" w:color="auto" w:sz="4" w:space="0"/>
              <w:bottom w:val="single" w:color="auto" w:sz="4" w:space="0"/>
              <w:right w:val="single" w:color="auto" w:sz="4" w:space="0"/>
            </w:tcBorders>
            <w:noWrap/>
            <w:vAlign w:val="center"/>
          </w:tcPr>
          <w:p w14:paraId="02C82175">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自动化监测</w:t>
            </w:r>
          </w:p>
        </w:tc>
      </w:tr>
      <w:tr w14:paraId="007B04A8">
        <w:tblPrEx>
          <w:tblCellMar>
            <w:top w:w="0" w:type="dxa"/>
            <w:left w:w="108" w:type="dxa"/>
            <w:bottom w:w="0" w:type="dxa"/>
            <w:right w:w="108" w:type="dxa"/>
          </w:tblCellMar>
        </w:tblPrEx>
        <w:trPr>
          <w:trHeight w:val="567" w:hRule="atLeast"/>
          <w:jc w:val="center"/>
        </w:trPr>
        <w:tc>
          <w:tcPr>
            <w:tcW w:w="3808" w:type="dxa"/>
            <w:tcBorders>
              <w:top w:val="single" w:color="auto" w:sz="4" w:space="0"/>
              <w:left w:val="single" w:color="auto" w:sz="4" w:space="0"/>
              <w:bottom w:val="single" w:color="auto" w:sz="4" w:space="0"/>
              <w:right w:val="single" w:color="auto" w:sz="4" w:space="0"/>
            </w:tcBorders>
            <w:noWrap/>
            <w:vAlign w:val="center"/>
          </w:tcPr>
          <w:p w14:paraId="1885699D">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基坑周边地表/建筑沉降监测</w:t>
            </w:r>
          </w:p>
        </w:tc>
        <w:tc>
          <w:tcPr>
            <w:tcW w:w="1200" w:type="dxa"/>
            <w:tcBorders>
              <w:top w:val="single" w:color="auto" w:sz="4" w:space="0"/>
              <w:left w:val="single" w:color="auto" w:sz="4" w:space="0"/>
              <w:bottom w:val="single" w:color="auto" w:sz="4" w:space="0"/>
              <w:right w:val="single" w:color="auto" w:sz="4" w:space="0"/>
            </w:tcBorders>
            <w:noWrap/>
            <w:vAlign w:val="center"/>
          </w:tcPr>
          <w:p w14:paraId="5B5951FE">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76</w:t>
            </w:r>
          </w:p>
        </w:tc>
        <w:tc>
          <w:tcPr>
            <w:tcW w:w="1200" w:type="dxa"/>
            <w:tcBorders>
              <w:top w:val="single" w:color="auto" w:sz="4" w:space="0"/>
              <w:left w:val="single" w:color="auto" w:sz="4" w:space="0"/>
              <w:bottom w:val="single" w:color="auto" w:sz="4" w:space="0"/>
              <w:right w:val="single" w:color="auto" w:sz="4" w:space="0"/>
            </w:tcBorders>
            <w:noWrap/>
            <w:vAlign w:val="center"/>
          </w:tcPr>
          <w:p w14:paraId="0B17001A">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点</w:t>
            </w:r>
          </w:p>
        </w:tc>
        <w:tc>
          <w:tcPr>
            <w:tcW w:w="3078" w:type="dxa"/>
            <w:tcBorders>
              <w:top w:val="single" w:color="auto" w:sz="4" w:space="0"/>
              <w:left w:val="single" w:color="auto" w:sz="4" w:space="0"/>
              <w:bottom w:val="single" w:color="auto" w:sz="4" w:space="0"/>
              <w:right w:val="single" w:color="auto" w:sz="4" w:space="0"/>
            </w:tcBorders>
            <w:noWrap/>
            <w:vAlign w:val="center"/>
          </w:tcPr>
          <w:p w14:paraId="1BFB5B36">
            <w:pPr>
              <w:pageBreakBefore w:val="0"/>
              <w:widowControl/>
              <w:kinsoku/>
              <w:wordWrap/>
              <w:overflowPunct/>
              <w:topLinePunct w:val="0"/>
              <w:bidi w:val="0"/>
              <w:snapToGrid/>
              <w:spacing w:line="240" w:lineRule="auto"/>
              <w:ind w:left="0" w:leftChars="0"/>
              <w:jc w:val="center"/>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人工监测</w:t>
            </w:r>
          </w:p>
        </w:tc>
      </w:tr>
      <w:tr w14:paraId="25496BB0">
        <w:tblPrEx>
          <w:tblCellMar>
            <w:top w:w="0" w:type="dxa"/>
            <w:left w:w="108" w:type="dxa"/>
            <w:bottom w:w="0" w:type="dxa"/>
            <w:right w:w="108" w:type="dxa"/>
          </w:tblCellMar>
        </w:tblPrEx>
        <w:trPr>
          <w:trHeight w:val="567" w:hRule="atLeast"/>
          <w:jc w:val="center"/>
        </w:trPr>
        <w:tc>
          <w:tcPr>
            <w:tcW w:w="3808" w:type="dxa"/>
            <w:tcBorders>
              <w:top w:val="single" w:color="auto" w:sz="4" w:space="0"/>
              <w:left w:val="single" w:color="auto" w:sz="4" w:space="0"/>
              <w:bottom w:val="single" w:color="auto" w:sz="4" w:space="0"/>
              <w:right w:val="single" w:color="auto" w:sz="4" w:space="0"/>
            </w:tcBorders>
            <w:noWrap/>
            <w:vAlign w:val="center"/>
          </w:tcPr>
          <w:p w14:paraId="072B3CB6">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措施费</w:t>
            </w:r>
          </w:p>
        </w:tc>
        <w:tc>
          <w:tcPr>
            <w:tcW w:w="1200" w:type="dxa"/>
            <w:tcBorders>
              <w:top w:val="single" w:color="auto" w:sz="4" w:space="0"/>
              <w:left w:val="single" w:color="auto" w:sz="4" w:space="0"/>
              <w:bottom w:val="single" w:color="auto" w:sz="4" w:space="0"/>
              <w:right w:val="single" w:color="auto" w:sz="4" w:space="0"/>
            </w:tcBorders>
            <w:noWrap/>
            <w:vAlign w:val="center"/>
          </w:tcPr>
          <w:p w14:paraId="7F3E1524">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00" w:type="dxa"/>
            <w:tcBorders>
              <w:top w:val="single" w:color="auto" w:sz="4" w:space="0"/>
              <w:left w:val="single" w:color="auto" w:sz="4" w:space="0"/>
              <w:bottom w:val="single" w:color="auto" w:sz="4" w:space="0"/>
              <w:right w:val="single" w:color="auto" w:sz="4" w:space="0"/>
            </w:tcBorders>
            <w:noWrap/>
            <w:vAlign w:val="center"/>
          </w:tcPr>
          <w:p w14:paraId="7C681FBF">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w:t>
            </w:r>
          </w:p>
        </w:tc>
        <w:tc>
          <w:tcPr>
            <w:tcW w:w="3078" w:type="dxa"/>
            <w:tcBorders>
              <w:top w:val="single" w:color="auto" w:sz="4" w:space="0"/>
              <w:left w:val="single" w:color="auto" w:sz="4" w:space="0"/>
              <w:bottom w:val="single" w:color="auto" w:sz="4" w:space="0"/>
              <w:right w:val="single" w:color="auto" w:sz="4" w:space="0"/>
            </w:tcBorders>
            <w:noWrap/>
            <w:vAlign w:val="center"/>
          </w:tcPr>
          <w:p w14:paraId="621A8115">
            <w:pPr>
              <w:pageBreakBefore w:val="0"/>
              <w:widowControl/>
              <w:kinsoku/>
              <w:wordWrap/>
              <w:overflowPunct/>
              <w:topLinePunct w:val="0"/>
              <w:bidi w:val="0"/>
              <w:snapToGrid/>
              <w:spacing w:line="24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多次进出场费、运输费、场地临时便道及场地内协调费等投标人检测和监测过程中可能产生的所有费用</w:t>
            </w:r>
          </w:p>
        </w:tc>
      </w:tr>
    </w:tbl>
    <w:p w14:paraId="0921056D">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基坑监测包含挖土阶段、基础施工阶段、围护及支撑拆除阶段</w:t>
      </w:r>
      <w:r>
        <w:rPr>
          <w:rFonts w:hint="eastAsia" w:ascii="宋体" w:hAnsi="宋体" w:cs="宋体"/>
          <w:b w:val="0"/>
          <w:bCs/>
          <w:color w:val="auto"/>
          <w:sz w:val="24"/>
          <w:szCs w:val="24"/>
          <w:highlight w:val="none"/>
          <w:lang w:eastAsia="zh-CN"/>
        </w:rPr>
        <w:t>。</w:t>
      </w:r>
    </w:p>
    <w:p w14:paraId="4AD03A54">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注：桩基检测具体要求（包括检测数量）必须满足招标文件、设计及国家相关规范规定的要求。桩长、桩径、桩顶标高、桩身承载力变化的投标单价不予调整。如本项目需设置自动化监测，供应商应在响应报价中自行考虑风险（含基坑监测专家论证的专家费）。 </w:t>
      </w:r>
    </w:p>
    <w:p w14:paraId="1599EDEA">
      <w:pPr>
        <w:keepNext w:val="0"/>
        <w:keepLines w:val="0"/>
        <w:pageBreakBefore w:val="0"/>
        <w:widowControl w:val="0"/>
        <w:kinsoku/>
        <w:wordWrap/>
        <w:overflowPunct/>
        <w:topLinePunct w:val="0"/>
        <w:autoSpaceDE/>
        <w:autoSpaceDN/>
        <w:bidi w:val="0"/>
        <w:adjustRightInd w:val="0"/>
        <w:snapToGrid/>
        <w:spacing w:line="360" w:lineRule="auto"/>
        <w:ind w:left="0" w:leftChars="0" w:firstLine="482" w:firstLineChars="20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各供应商须仔细审查地勘、图纸等交易附件资料，上述交易数量仅供参考，具体交易数量根据最终图纸、专项论证方案及项目实施过程的实际情况将有微调，</w:t>
      </w:r>
      <w:r>
        <w:rPr>
          <w:rFonts w:hint="eastAsia" w:ascii="宋体" w:hAnsi="宋体" w:eastAsia="宋体" w:cs="宋体"/>
          <w:b/>
          <w:bCs w:val="0"/>
          <w:color w:val="auto"/>
          <w:sz w:val="24"/>
          <w:szCs w:val="24"/>
          <w:highlight w:val="none"/>
          <w:lang w:val="en-US" w:eastAsia="zh-CN"/>
        </w:rPr>
        <w:t>按照单价响应报价结合实际数量计取</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val="en-US" w:eastAsia="zh-CN"/>
        </w:rPr>
        <w:t>单价报价</w:t>
      </w:r>
      <w:r>
        <w:rPr>
          <w:rFonts w:hint="eastAsia" w:ascii="宋体" w:hAnsi="宋体" w:eastAsia="宋体" w:cs="宋体"/>
          <w:b/>
          <w:bCs w:val="0"/>
          <w:color w:val="auto"/>
          <w:sz w:val="24"/>
          <w:szCs w:val="24"/>
          <w:highlight w:val="none"/>
        </w:rPr>
        <w:t>今后不作调整，响应供应商需要自行考虑交易风险。</w:t>
      </w:r>
    </w:p>
    <w:p w14:paraId="52A965B5">
      <w:pPr>
        <w:keepNext w:val="0"/>
        <w:keepLines w:val="0"/>
        <w:pageBreakBefore w:val="0"/>
        <w:widowControl w:val="0"/>
        <w:kinsoku/>
        <w:wordWrap/>
        <w:overflowPunct/>
        <w:topLinePunct w:val="0"/>
        <w:autoSpaceDE/>
        <w:autoSpaceDN/>
        <w:bidi w:val="0"/>
        <w:adjustRightInd w:val="0"/>
        <w:snapToGrid/>
        <w:spacing w:line="360" w:lineRule="auto"/>
        <w:ind w:leftChars="0"/>
        <w:textAlignment w:val="auto"/>
        <w:rPr>
          <w:rFonts w:hint="eastAsia" w:ascii="宋体" w:hAnsi="宋体" w:eastAsia="宋体" w:cs="宋体"/>
          <w:b/>
          <w:bCs w:val="0"/>
          <w:color w:val="auto"/>
          <w:sz w:val="24"/>
          <w:szCs w:val="24"/>
          <w:highlight w:val="none"/>
          <w:lang w:val="en-US" w:eastAsia="zh-CN"/>
        </w:rPr>
      </w:pPr>
    </w:p>
    <w:p w14:paraId="6FA23471">
      <w:pPr>
        <w:keepNext w:val="0"/>
        <w:keepLines w:val="0"/>
        <w:pageBreakBefore w:val="0"/>
        <w:widowControl w:val="0"/>
        <w:kinsoku/>
        <w:wordWrap/>
        <w:overflowPunct/>
        <w:topLinePunct w:val="0"/>
        <w:autoSpaceDE/>
        <w:autoSpaceDN/>
        <w:bidi w:val="0"/>
        <w:adjustRightInd w:val="0"/>
        <w:snapToGrid/>
        <w:spacing w:line="360" w:lineRule="auto"/>
        <w:ind w:leftChars="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5</w:t>
      </w:r>
      <w:r>
        <w:rPr>
          <w:rFonts w:hint="eastAsia" w:ascii="宋体" w:hAnsi="宋体" w:eastAsia="宋体" w:cs="宋体"/>
          <w:b/>
          <w:bCs w:val="0"/>
          <w:color w:val="auto"/>
          <w:sz w:val="24"/>
          <w:szCs w:val="24"/>
          <w:highlight w:val="none"/>
        </w:rPr>
        <w:t>、服务内容：</w:t>
      </w:r>
    </w:p>
    <w:p w14:paraId="63E4909E">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供应商必须根据工程进展，及时对于相关要求进行详细检测并形成书面成果文件按规定时限提交交易发起人。</w:t>
      </w:r>
    </w:p>
    <w:p w14:paraId="0B61B734">
      <w:pPr>
        <w:keepNext w:val="0"/>
        <w:keepLines w:val="0"/>
        <w:pageBreakBefore w:val="0"/>
        <w:widowControl w:val="0"/>
        <w:kinsoku/>
        <w:wordWrap/>
        <w:overflowPunct/>
        <w:topLinePunct w:val="0"/>
        <w:autoSpaceDE/>
        <w:autoSpaceDN/>
        <w:bidi w:val="0"/>
        <w:adjustRightInd w:val="0"/>
        <w:snapToGrid/>
        <w:spacing w:line="360" w:lineRule="auto"/>
        <w:ind w:left="0" w:leftChars="0" w:firstLine="482" w:firstLineChars="20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二、商务需求</w:t>
      </w:r>
      <w:r>
        <w:rPr>
          <w:rFonts w:hint="eastAsia" w:ascii="宋体" w:hAnsi="宋体" w:eastAsia="宋体" w:cs="宋体"/>
          <w:b/>
          <w:bCs w:val="0"/>
          <w:color w:val="auto"/>
          <w:sz w:val="24"/>
          <w:szCs w:val="24"/>
          <w:highlight w:val="none"/>
        </w:rPr>
        <w:t>：</w:t>
      </w:r>
    </w:p>
    <w:p w14:paraId="1253CF3B">
      <w:pPr>
        <w:pStyle w:val="2"/>
        <w:keepNext/>
        <w:keepLines/>
        <w:pageBreakBefore w:val="0"/>
        <w:widowControl w:val="0"/>
        <w:kinsoku/>
        <w:wordWrap/>
        <w:overflowPunct/>
        <w:topLinePunct w:val="0"/>
        <w:autoSpaceDE/>
        <w:autoSpaceDN/>
        <w:bidi w:val="0"/>
        <w:adjustRightInd w:val="0"/>
        <w:snapToGrid/>
        <w:spacing w:before="0" w:after="0" w:line="360" w:lineRule="auto"/>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1、服务期：</w:t>
      </w:r>
      <w:r>
        <w:rPr>
          <w:rFonts w:hint="eastAsia" w:ascii="宋体" w:hAnsi="宋体" w:eastAsia="宋体" w:cs="宋体"/>
          <w:b w:val="0"/>
          <w:bCs/>
          <w:color w:val="auto"/>
          <w:sz w:val="24"/>
          <w:szCs w:val="24"/>
          <w:highlight w:val="none"/>
          <w:lang w:val="en-US" w:eastAsia="zh-CN"/>
        </w:rPr>
        <w:t>桩基检测服务期为30天；基坑监测服务期暂定</w:t>
      </w:r>
      <w:r>
        <w:rPr>
          <w:rFonts w:hint="eastAsia" w:ascii="宋体" w:hAnsi="宋体" w:cs="宋体"/>
          <w:b w:val="0"/>
          <w:bCs/>
          <w:color w:val="auto"/>
          <w:sz w:val="24"/>
          <w:szCs w:val="24"/>
          <w:highlight w:val="none"/>
          <w:lang w:val="en-US" w:eastAsia="zh-CN"/>
        </w:rPr>
        <w:t>36</w:t>
      </w:r>
      <w:r>
        <w:rPr>
          <w:rFonts w:hint="eastAsia" w:ascii="宋体" w:hAnsi="宋体" w:eastAsia="宋体" w:cs="宋体"/>
          <w:b w:val="0"/>
          <w:bCs/>
          <w:color w:val="auto"/>
          <w:sz w:val="24"/>
          <w:szCs w:val="24"/>
          <w:highlight w:val="none"/>
          <w:lang w:val="en-US" w:eastAsia="zh-CN"/>
        </w:rPr>
        <w:t>个月(基坑支护监测具体时长由投标单位结合图纸及监测方案自行考虑，结算</w:t>
      </w:r>
      <w:r>
        <w:rPr>
          <w:rFonts w:hint="eastAsia" w:ascii="宋体" w:hAnsi="宋体" w:cs="宋体"/>
          <w:b w:val="0"/>
          <w:bCs/>
          <w:color w:val="auto"/>
          <w:sz w:val="24"/>
          <w:szCs w:val="24"/>
          <w:highlight w:val="none"/>
          <w:lang w:val="en-US" w:eastAsia="zh-CN"/>
        </w:rPr>
        <w:t>费用</w:t>
      </w:r>
      <w:r>
        <w:rPr>
          <w:rFonts w:hint="eastAsia" w:ascii="宋体" w:hAnsi="宋体" w:eastAsia="宋体" w:cs="宋体"/>
          <w:b w:val="0"/>
          <w:bCs/>
          <w:color w:val="auto"/>
          <w:sz w:val="24"/>
          <w:szCs w:val="24"/>
          <w:highlight w:val="none"/>
          <w:lang w:val="en-US" w:eastAsia="zh-CN"/>
        </w:rPr>
        <w:t>后期不调整)</w:t>
      </w:r>
      <w:r>
        <w:rPr>
          <w:rFonts w:hint="eastAsia" w:ascii="宋体" w:hAnsi="宋体" w:eastAsia="宋体" w:cs="宋体"/>
          <w:b w:val="0"/>
          <w:bCs/>
          <w:color w:val="auto"/>
          <w:sz w:val="24"/>
          <w:szCs w:val="24"/>
          <w:highlight w:val="none"/>
        </w:rPr>
        <w:t>，具体按交易发起人要求为准；</w:t>
      </w:r>
    </w:p>
    <w:p w14:paraId="61739ACC">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2、质量要求：达到现行国家有关工程施工验收规范和标准的合格要求及交易发起人要求。</w:t>
      </w:r>
    </w:p>
    <w:p w14:paraId="7726A261">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3、本项目在实施期间如遇国家政策性调价，市场材料价格发生变化等，本项目成交总价均不予调整。</w:t>
      </w:r>
    </w:p>
    <w:p w14:paraId="7E548F61">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4、供应商应充分考虑检测监测观测期间各类价格的风险、物价上涨因素、国家政策性调整风险和自然条件，</w:t>
      </w:r>
      <w:r>
        <w:rPr>
          <w:rFonts w:hint="eastAsia" w:ascii="宋体" w:hAnsi="宋体" w:eastAsia="宋体" w:cs="宋体"/>
          <w:b w:val="0"/>
          <w:bCs/>
          <w:color w:val="auto"/>
          <w:sz w:val="24"/>
          <w:szCs w:val="24"/>
          <w:highlight w:val="none"/>
          <w:lang w:val="en-US" w:eastAsia="zh-CN"/>
        </w:rPr>
        <w:t>本项目为单价合同</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响应单价</w:t>
      </w:r>
      <w:r>
        <w:rPr>
          <w:rFonts w:hint="eastAsia" w:ascii="宋体" w:hAnsi="宋体" w:eastAsia="宋体" w:cs="宋体"/>
          <w:b w:val="0"/>
          <w:bCs/>
          <w:color w:val="auto"/>
          <w:sz w:val="24"/>
          <w:szCs w:val="24"/>
          <w:highlight w:val="none"/>
        </w:rPr>
        <w:t>今后不作任何调整。如建安工程工期延长导致检测、监测、观测周期延长等费用已包含在成交价内。成交价已包含完成本项目桩基检测、基坑监测工作并形成书面成果报告可能发生的所有费用，包括但不限于：设备的租赁（或购置）费、设备的进退场费及使用费、材料费、人工费、机械费、检测费、交通费、利润、管理费、税金、检测所需的措施费、检测服务所需制作安装费、现场水电费、保险费、社保税金、风险费、成果资料费、专家会审费、场地恢复费及与各单位协调产生的费用</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如需土建单位配合的相应配合费</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等。</w:t>
      </w:r>
    </w:p>
    <w:p w14:paraId="719B309A">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5、若为联合体单位的，需明确牵头单位，本项目所有费用统一支付至牵头人，由牵头人自行分配联合体成员单位费用。</w:t>
      </w:r>
    </w:p>
    <w:p w14:paraId="3BFAA719">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6、付款方式</w:t>
      </w:r>
    </w:p>
    <w:p w14:paraId="0F549F87">
      <w:pPr>
        <w:keepNext w:val="0"/>
        <w:keepLines w:val="0"/>
        <w:widowControl w:val="0"/>
        <w:suppressLineNumbers w:val="0"/>
        <w:autoSpaceDE w:val="0"/>
        <w:autoSpaceDN/>
        <w:adjustRightInd w:val="0"/>
        <w:spacing w:before="0" w:beforeAutospacing="0" w:after="0" w:afterAutospacing="0" w:line="360" w:lineRule="auto"/>
        <w:ind w:left="0" w:leftChars="0" w:right="0" w:firstLine="480" w:firstLineChars="200"/>
        <w:jc w:val="both"/>
        <w:rPr>
          <w:rFonts w:hint="eastAsia" w:ascii="宋体" w:hAnsi="宋体" w:eastAsia="宋体" w:cs="宋体"/>
          <w:kern w:val="2"/>
          <w:sz w:val="21"/>
          <w:szCs w:val="21"/>
          <w:highlight w:val="none"/>
          <w:woUserID w:val="1"/>
        </w:rPr>
      </w:pPr>
      <w:r>
        <w:rPr>
          <w:rFonts w:hint="eastAsia" w:ascii="宋体" w:hAnsi="宋体" w:eastAsia="宋体" w:cs="宋体"/>
          <w:kern w:val="2"/>
          <w:sz w:val="24"/>
          <w:szCs w:val="24"/>
          <w:highlight w:val="none"/>
          <w:lang w:val="en-US" w:eastAsia="zh-CN" w:bidi="ar"/>
          <w:woUserID w:val="1"/>
        </w:rPr>
        <w:t>1、桩基检测部分：乙方完成本工程的检测工作并提交相应的检测报告后（如根据项目现场实际情况需分期实施的，具体以发包人要求为准），工作量经现场各方确认后按实际工作量并经跟审单位审核后30天内支付至实际检测费的60%，余款在中间结构验收合格后支付至合同价的100%。</w:t>
      </w:r>
    </w:p>
    <w:p w14:paraId="3C2B0E5D">
      <w:pPr>
        <w:keepNext w:val="0"/>
        <w:keepLines w:val="0"/>
        <w:widowControl w:val="0"/>
        <w:suppressLineNumbers w:val="0"/>
        <w:autoSpaceDE w:val="0"/>
        <w:autoSpaceDN/>
        <w:adjustRightInd w:val="0"/>
        <w:spacing w:before="0" w:beforeAutospacing="0" w:after="0" w:afterAutospacing="0" w:line="360" w:lineRule="auto"/>
        <w:ind w:left="0" w:leftChars="0" w:right="0" w:firstLine="480" w:firstLineChars="200"/>
        <w:jc w:val="both"/>
        <w:rPr>
          <w:rFonts w:hint="eastAsia" w:ascii="宋体" w:hAnsi="宋体" w:eastAsia="宋体" w:cs="宋体"/>
          <w:kern w:val="2"/>
          <w:sz w:val="24"/>
          <w:szCs w:val="24"/>
          <w:highlight w:val="none"/>
          <w:woUserID w:val="1"/>
        </w:rPr>
      </w:pPr>
      <w:r>
        <w:rPr>
          <w:rFonts w:hint="eastAsia" w:ascii="宋体" w:hAnsi="宋体" w:eastAsia="宋体" w:cs="宋体"/>
          <w:kern w:val="2"/>
          <w:sz w:val="24"/>
          <w:szCs w:val="24"/>
          <w:highlight w:val="none"/>
          <w:lang w:val="en-US" w:eastAsia="zh-CN" w:bidi="ar"/>
          <w:woUserID w:val="1"/>
        </w:rPr>
        <w:t>2、基坑监测部分：基坑监测工作完成后，递交完整的符合要求的监测报告后（如根据项目现场实际情况需分期实施的，具体以发包人要求为准），工作量经现场各方确认后按实际工作量并经跟审单位审核完成后30天内支付至实际监测费的100%。</w:t>
      </w:r>
    </w:p>
    <w:p w14:paraId="2F0D5104">
      <w:pPr>
        <w:keepNext w:val="0"/>
        <w:keepLines w:val="0"/>
        <w:widowControl w:val="0"/>
        <w:suppressLineNumbers w:val="0"/>
        <w:autoSpaceDE w:val="0"/>
        <w:autoSpaceDN/>
        <w:adjustRightInd w:val="0"/>
        <w:spacing w:before="0" w:beforeAutospacing="0" w:after="0" w:afterAutospacing="0" w:line="360" w:lineRule="auto"/>
        <w:ind w:left="0" w:leftChars="0" w:right="0" w:firstLine="480" w:firstLineChars="200"/>
        <w:jc w:val="both"/>
        <w:rPr>
          <w:rFonts w:hint="eastAsia" w:ascii="宋体" w:hAnsi="宋体" w:eastAsia="宋体" w:cs="宋体"/>
          <w:kern w:val="2"/>
          <w:sz w:val="24"/>
          <w:szCs w:val="24"/>
          <w:highlight w:val="none"/>
          <w:woUserID w:val="1"/>
        </w:rPr>
      </w:pPr>
      <w:r>
        <w:rPr>
          <w:rFonts w:hint="eastAsia" w:ascii="宋体" w:hAnsi="宋体" w:eastAsia="宋体" w:cs="宋体"/>
          <w:kern w:val="2"/>
          <w:sz w:val="24"/>
          <w:szCs w:val="24"/>
          <w:highlight w:val="none"/>
          <w:lang w:val="en-US" w:eastAsia="zh-CN" w:bidi="ar"/>
          <w:woUserID w:val="1"/>
        </w:rPr>
        <w:t>3、付款前乙方须提供增值税专用发票，否则，甲方有权拒付合同价款，由此产生的一切责任由乙方承担。</w:t>
      </w:r>
    </w:p>
    <w:p w14:paraId="3028084E">
      <w:pPr>
        <w:pStyle w:val="2"/>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本项目桩基检测费用、基坑监测费用在合同实施期间不因工程的工期延长等因素而调整。承包人的基坑监测方案必须满足相关规范和设计要求，如需要监测项目的施工方案发生变更，承包人的监测方案和测试内容应作相应调整，但监测费用不变，发包人、设计单位、施工单位最终审查通过的施工监测方案或测试内容有可能由于施工单位或专家评审等原因在施工过程中进行调整（如增加布点和监测频率等），承包人应无条件接受并考虑该风险，发包人并不会因此增加监测费用。</w:t>
      </w:r>
    </w:p>
    <w:p w14:paraId="6FC24B39">
      <w:pPr>
        <w:rPr>
          <w:rFonts w:hint="eastAsia"/>
          <w:highlight w:val="none"/>
          <w:lang w:val="en-US" w:eastAsia="zh-CN"/>
        </w:rPr>
      </w:pPr>
    </w:p>
    <w:p w14:paraId="000869DF">
      <w:pPr>
        <w:rPr>
          <w:rFonts w:hint="default"/>
          <w:highlight w:val="none"/>
          <w:lang w:val="en-US" w:eastAsia="zh-CN"/>
        </w:rPr>
      </w:pPr>
    </w:p>
    <w:p w14:paraId="7782C14D">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w:t>
      </w:r>
    </w:p>
    <w:p w14:paraId="5F2037CA">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1、如有附图，仅作参考。</w:t>
      </w:r>
    </w:p>
    <w:p w14:paraId="059D8ADF">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2、打▲内容为实质性要求，不允许有负偏离，否则将以涉及无效投标条款作无效投标。</w:t>
      </w:r>
    </w:p>
    <w:p w14:paraId="657D8D68">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color w:val="auto"/>
          <w:highlight w:val="none"/>
        </w:rPr>
      </w:pPr>
      <w:r>
        <w:rPr>
          <w:rFonts w:hint="eastAsia" w:ascii="宋体" w:hAnsi="宋体" w:eastAsia="宋体" w:cs="宋体"/>
          <w:b w:val="0"/>
          <w:bCs/>
          <w:color w:val="auto"/>
          <w:sz w:val="24"/>
          <w:szCs w:val="24"/>
          <w:highlight w:val="none"/>
        </w:rPr>
        <w:t>3、中标人所提供的货物、服务须与投标承诺一致，不得以次充好、偷工减料，若在项目验收中发现有上述情况，将向有关部门举报，根据相关规定进行处理。</w:t>
      </w:r>
      <w:r>
        <w:rPr>
          <w:rFonts w:hint="eastAsia" w:ascii="宋体" w:hAnsi="宋体" w:cs="宋体"/>
          <w:color w:val="auto"/>
          <w:kern w:val="0"/>
          <w:sz w:val="24"/>
          <w:highlight w:val="none"/>
          <w:lang w:val="zh-CN"/>
        </w:rPr>
        <w:t>响应报价为</w:t>
      </w:r>
      <w:r>
        <w:rPr>
          <w:rFonts w:hint="eastAsia" w:ascii="宋体" w:hAnsi="宋体" w:cs="宋体"/>
          <w:color w:val="auto"/>
          <w:kern w:val="0"/>
          <w:sz w:val="24"/>
          <w:highlight w:val="none"/>
        </w:rPr>
        <w:t>总价</w:t>
      </w:r>
      <w:r>
        <w:rPr>
          <w:rFonts w:hint="eastAsia" w:ascii="宋体" w:hAnsi="宋体" w:cs="宋体"/>
          <w:color w:val="auto"/>
          <w:kern w:val="0"/>
          <w:sz w:val="24"/>
          <w:highlight w:val="none"/>
          <w:lang w:val="zh-CN"/>
        </w:rPr>
        <w:t>包干的形式。成交</w:t>
      </w:r>
      <w:r>
        <w:rPr>
          <w:rFonts w:hint="eastAsia" w:ascii="宋体" w:hAnsi="宋体" w:cs="宋体"/>
          <w:color w:val="auto"/>
          <w:kern w:val="0"/>
          <w:sz w:val="24"/>
          <w:highlight w:val="none"/>
        </w:rPr>
        <w:t>总价</w:t>
      </w:r>
      <w:r>
        <w:rPr>
          <w:rFonts w:hint="eastAsia" w:ascii="宋体" w:hAnsi="宋体" w:cs="宋体"/>
          <w:color w:val="auto"/>
          <w:kern w:val="0"/>
          <w:sz w:val="24"/>
          <w:highlight w:val="none"/>
          <w:lang w:val="zh-CN"/>
        </w:rPr>
        <w:t>一次性包干，今后不作调整。成交</w:t>
      </w:r>
      <w:r>
        <w:rPr>
          <w:rFonts w:hint="eastAsia" w:ascii="宋体" w:hAnsi="宋体" w:cs="宋体"/>
          <w:color w:val="auto"/>
          <w:kern w:val="0"/>
          <w:sz w:val="24"/>
          <w:highlight w:val="none"/>
        </w:rPr>
        <w:t>总</w:t>
      </w:r>
      <w:r>
        <w:rPr>
          <w:rFonts w:hint="eastAsia" w:ascii="宋体" w:hAnsi="宋体" w:cs="宋体"/>
          <w:color w:val="auto"/>
          <w:kern w:val="0"/>
          <w:sz w:val="24"/>
          <w:highlight w:val="none"/>
          <w:lang w:val="zh-CN"/>
        </w:rPr>
        <w:t>价</w:t>
      </w:r>
      <w:r>
        <w:rPr>
          <w:rFonts w:hint="eastAsia" w:ascii="宋体" w:hAnsi="宋体" w:cs="宋体"/>
          <w:color w:val="auto"/>
          <w:sz w:val="24"/>
          <w:highlight w:val="none"/>
        </w:rPr>
        <w:t>包括但不限于：设备的租赁（或购置）费、设备的进退场费及使用费、材料费、人工费、机械费、检测费、交通费、利润、管理费、税金、检测所需的措施费、检测服务所需制作安装费、现场水电费、保险费、社保税金、风险费、成果资料费、</w:t>
      </w:r>
      <w:r>
        <w:rPr>
          <w:rFonts w:hint="eastAsia" w:ascii="宋体" w:hAnsi="宋体"/>
          <w:color w:val="auto"/>
          <w:sz w:val="24"/>
          <w:highlight w:val="none"/>
        </w:rPr>
        <w:t>专家会审费、</w:t>
      </w:r>
      <w:r>
        <w:rPr>
          <w:rFonts w:hint="eastAsia" w:ascii="宋体" w:hAnsi="宋体" w:cs="宋体"/>
          <w:color w:val="auto"/>
          <w:sz w:val="24"/>
          <w:highlight w:val="none"/>
        </w:rPr>
        <w:t>场地恢复费及与各单位协调产生的费用等</w:t>
      </w:r>
      <w:r>
        <w:rPr>
          <w:rFonts w:hint="eastAsia" w:ascii="宋体" w:hAnsi="宋体" w:cs="宋体"/>
          <w:color w:val="auto"/>
          <w:kern w:val="0"/>
          <w:sz w:val="24"/>
          <w:highlight w:val="none"/>
          <w:lang w:val="zh-CN"/>
        </w:rPr>
        <w:t>。本项目所需辅助材料由成交人承担，计入报价。</w:t>
      </w:r>
    </w:p>
    <w:p w14:paraId="3458EB7C">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bookmarkEnd w:id="505"/>
    <w:p w14:paraId="4819A0D5">
      <w:pPr>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第四部分   </w:t>
      </w:r>
      <w:bookmarkStart w:id="27" w:name="_Toc184310343"/>
      <w:bookmarkEnd w:id="27"/>
      <w:bookmarkStart w:id="28" w:name="_Toc184312133"/>
      <w:bookmarkEnd w:id="28"/>
      <w:bookmarkStart w:id="29" w:name="_Toc184312075"/>
      <w:bookmarkEnd w:id="29"/>
      <w:bookmarkStart w:id="30" w:name="_Toc184312130"/>
      <w:bookmarkEnd w:id="30"/>
      <w:bookmarkStart w:id="31" w:name="_Toc184308061"/>
      <w:bookmarkEnd w:id="31"/>
      <w:bookmarkStart w:id="32" w:name="_Toc184313303"/>
      <w:bookmarkEnd w:id="32"/>
      <w:bookmarkStart w:id="33" w:name="_Toc184312078"/>
      <w:bookmarkEnd w:id="33"/>
      <w:bookmarkStart w:id="34" w:name="_Toc184310327"/>
      <w:bookmarkEnd w:id="34"/>
      <w:bookmarkStart w:id="35" w:name="_Toc184312128"/>
      <w:bookmarkEnd w:id="35"/>
      <w:bookmarkStart w:id="36" w:name="_Toc184308064"/>
      <w:bookmarkEnd w:id="36"/>
      <w:bookmarkStart w:id="37" w:name="_Toc184313281"/>
      <w:bookmarkEnd w:id="37"/>
      <w:bookmarkStart w:id="38" w:name="_Toc184310315"/>
      <w:bookmarkEnd w:id="38"/>
      <w:bookmarkStart w:id="39" w:name="_Toc184308044"/>
      <w:bookmarkEnd w:id="39"/>
      <w:bookmarkStart w:id="40" w:name="_Toc184313300"/>
      <w:bookmarkEnd w:id="40"/>
      <w:bookmarkStart w:id="41" w:name="_Toc184308093"/>
      <w:bookmarkEnd w:id="41"/>
      <w:bookmarkStart w:id="42" w:name="_Toc184312084"/>
      <w:bookmarkEnd w:id="42"/>
      <w:bookmarkStart w:id="43" w:name="_Toc184310335"/>
      <w:bookmarkEnd w:id="43"/>
      <w:bookmarkStart w:id="44" w:name="_Toc184310340"/>
      <w:bookmarkEnd w:id="44"/>
      <w:bookmarkStart w:id="45" w:name="_Toc184313287"/>
      <w:bookmarkEnd w:id="45"/>
      <w:bookmarkStart w:id="46" w:name="_Toc184310280"/>
      <w:bookmarkEnd w:id="46"/>
      <w:bookmarkStart w:id="47" w:name="_Toc184314422"/>
      <w:bookmarkEnd w:id="47"/>
      <w:bookmarkStart w:id="48" w:name="_Toc184314433"/>
      <w:bookmarkEnd w:id="48"/>
      <w:bookmarkStart w:id="49" w:name="_Toc184313252"/>
      <w:bookmarkEnd w:id="49"/>
      <w:bookmarkStart w:id="50" w:name="_Toc184313248"/>
      <w:bookmarkEnd w:id="50"/>
      <w:bookmarkStart w:id="51" w:name="_Toc184314414"/>
      <w:bookmarkEnd w:id="51"/>
      <w:bookmarkStart w:id="52" w:name="_Toc184312117"/>
      <w:bookmarkEnd w:id="52"/>
      <w:bookmarkStart w:id="53" w:name="_Toc184313273"/>
      <w:bookmarkEnd w:id="53"/>
      <w:bookmarkStart w:id="54" w:name="_Toc184314451"/>
      <w:bookmarkEnd w:id="54"/>
      <w:bookmarkStart w:id="55" w:name="_Toc184313269"/>
      <w:bookmarkEnd w:id="55"/>
      <w:bookmarkStart w:id="56" w:name="_Toc184308051"/>
      <w:bookmarkEnd w:id="56"/>
      <w:bookmarkStart w:id="57" w:name="_Toc184314415"/>
      <w:bookmarkEnd w:id="57"/>
      <w:bookmarkStart w:id="58" w:name="_Toc184310331"/>
      <w:bookmarkEnd w:id="58"/>
      <w:bookmarkStart w:id="59" w:name="_Toc184312076"/>
      <w:bookmarkEnd w:id="59"/>
      <w:bookmarkStart w:id="60" w:name="_Toc184313272"/>
      <w:bookmarkEnd w:id="60"/>
      <w:bookmarkStart w:id="61" w:name="_Toc184308099"/>
      <w:bookmarkEnd w:id="61"/>
      <w:bookmarkStart w:id="62" w:name="_Toc184308080"/>
      <w:bookmarkEnd w:id="62"/>
      <w:bookmarkStart w:id="63" w:name="_Toc184310297"/>
      <w:bookmarkEnd w:id="63"/>
      <w:bookmarkStart w:id="64" w:name="_Toc184313302"/>
      <w:bookmarkEnd w:id="64"/>
      <w:bookmarkStart w:id="65" w:name="_Toc184310277"/>
      <w:bookmarkEnd w:id="65"/>
      <w:bookmarkStart w:id="66" w:name="_Toc184310284"/>
      <w:bookmarkEnd w:id="66"/>
      <w:bookmarkStart w:id="67" w:name="_Toc184308090"/>
      <w:bookmarkEnd w:id="67"/>
      <w:bookmarkStart w:id="68" w:name="_Toc184310290"/>
      <w:bookmarkEnd w:id="68"/>
      <w:bookmarkStart w:id="69" w:name="_Toc184313292"/>
      <w:bookmarkEnd w:id="69"/>
      <w:bookmarkStart w:id="70" w:name="_Toc184312120"/>
      <w:bookmarkEnd w:id="70"/>
      <w:bookmarkStart w:id="71" w:name="_Toc184313261"/>
      <w:bookmarkEnd w:id="71"/>
      <w:bookmarkStart w:id="72" w:name="_Toc184314434"/>
      <w:bookmarkEnd w:id="72"/>
      <w:bookmarkStart w:id="73" w:name="_Toc184308085"/>
      <w:bookmarkEnd w:id="73"/>
      <w:bookmarkStart w:id="74" w:name="_Toc184313299"/>
      <w:bookmarkEnd w:id="74"/>
      <w:bookmarkStart w:id="75" w:name="_Toc184313298"/>
      <w:bookmarkEnd w:id="75"/>
      <w:bookmarkStart w:id="76" w:name="_Toc184312094"/>
      <w:bookmarkEnd w:id="76"/>
      <w:bookmarkStart w:id="77" w:name="_Toc184313255"/>
      <w:bookmarkEnd w:id="77"/>
      <w:bookmarkStart w:id="78" w:name="_Toc184308075"/>
      <w:bookmarkEnd w:id="78"/>
      <w:bookmarkStart w:id="79" w:name="_Toc184314470"/>
      <w:bookmarkEnd w:id="79"/>
      <w:bookmarkStart w:id="80" w:name="_Toc184312069"/>
      <w:bookmarkEnd w:id="80"/>
      <w:bookmarkStart w:id="81" w:name="_Toc184308088"/>
      <w:bookmarkEnd w:id="81"/>
      <w:bookmarkStart w:id="82" w:name="_Toc184308048"/>
      <w:bookmarkEnd w:id="82"/>
      <w:bookmarkStart w:id="83" w:name="_Toc184314475"/>
      <w:bookmarkEnd w:id="83"/>
      <w:bookmarkStart w:id="84" w:name="_Toc184313241"/>
      <w:bookmarkEnd w:id="84"/>
      <w:bookmarkStart w:id="85" w:name="_Toc184308081"/>
      <w:bookmarkEnd w:id="85"/>
      <w:bookmarkStart w:id="86" w:name="_Toc184312112"/>
      <w:bookmarkEnd w:id="86"/>
      <w:bookmarkStart w:id="87" w:name="_Toc184312107"/>
      <w:bookmarkEnd w:id="87"/>
      <w:bookmarkStart w:id="88" w:name="_Toc184308089"/>
      <w:bookmarkEnd w:id="88"/>
      <w:bookmarkStart w:id="89" w:name="_Toc184310298"/>
      <w:bookmarkEnd w:id="89"/>
      <w:bookmarkStart w:id="90" w:name="_Toc184314473"/>
      <w:bookmarkEnd w:id="90"/>
      <w:bookmarkStart w:id="91" w:name="_Toc184310287"/>
      <w:bookmarkEnd w:id="91"/>
      <w:bookmarkStart w:id="92" w:name="_Toc184314437"/>
      <w:bookmarkEnd w:id="92"/>
      <w:bookmarkStart w:id="93" w:name="_Toc184312092"/>
      <w:bookmarkEnd w:id="93"/>
      <w:bookmarkStart w:id="94" w:name="_Toc184314478"/>
      <w:bookmarkEnd w:id="94"/>
      <w:bookmarkStart w:id="95" w:name="_Toc184312138"/>
      <w:bookmarkEnd w:id="95"/>
      <w:bookmarkStart w:id="96" w:name="_Toc184308037"/>
      <w:bookmarkEnd w:id="96"/>
      <w:bookmarkStart w:id="97" w:name="_Toc184310309"/>
      <w:bookmarkEnd w:id="97"/>
      <w:bookmarkStart w:id="98" w:name="_Toc184312126"/>
      <w:bookmarkEnd w:id="98"/>
      <w:bookmarkStart w:id="99" w:name="_Toc184314445"/>
      <w:bookmarkEnd w:id="99"/>
      <w:bookmarkStart w:id="100" w:name="_Toc184313242"/>
      <w:bookmarkEnd w:id="100"/>
      <w:bookmarkStart w:id="101" w:name="_Toc184312096"/>
      <w:bookmarkEnd w:id="101"/>
      <w:bookmarkStart w:id="102" w:name="_Toc184313294"/>
      <w:bookmarkEnd w:id="102"/>
      <w:bookmarkStart w:id="103" w:name="_Toc184308041"/>
      <w:bookmarkEnd w:id="103"/>
      <w:bookmarkStart w:id="104" w:name="_Toc184313244"/>
      <w:bookmarkEnd w:id="104"/>
      <w:bookmarkStart w:id="105" w:name="_Toc184308095"/>
      <w:bookmarkEnd w:id="105"/>
      <w:bookmarkStart w:id="106" w:name="_Toc184310326"/>
      <w:bookmarkEnd w:id="106"/>
      <w:bookmarkStart w:id="107" w:name="_Toc184310295"/>
      <w:bookmarkEnd w:id="107"/>
      <w:bookmarkStart w:id="108" w:name="_Toc184308103"/>
      <w:bookmarkEnd w:id="108"/>
      <w:bookmarkStart w:id="109" w:name="_Toc184314417"/>
      <w:bookmarkEnd w:id="109"/>
      <w:bookmarkStart w:id="110" w:name="_Toc184314427"/>
      <w:bookmarkEnd w:id="110"/>
      <w:bookmarkStart w:id="111" w:name="_Toc184310305"/>
      <w:bookmarkEnd w:id="111"/>
      <w:bookmarkStart w:id="112" w:name="_Toc184312108"/>
      <w:bookmarkEnd w:id="112"/>
      <w:bookmarkStart w:id="113" w:name="_Toc184310289"/>
      <w:bookmarkEnd w:id="113"/>
      <w:bookmarkStart w:id="114" w:name="_Toc184312097"/>
      <w:bookmarkEnd w:id="114"/>
      <w:bookmarkStart w:id="115" w:name="_Toc184312121"/>
      <w:bookmarkEnd w:id="115"/>
      <w:bookmarkStart w:id="116" w:name="_Toc184310321"/>
      <w:bookmarkEnd w:id="116"/>
      <w:bookmarkStart w:id="117" w:name="_Toc184312125"/>
      <w:bookmarkEnd w:id="117"/>
      <w:bookmarkStart w:id="118" w:name="_Toc184313250"/>
      <w:bookmarkEnd w:id="118"/>
      <w:bookmarkStart w:id="119" w:name="_Toc184314425"/>
      <w:bookmarkEnd w:id="119"/>
      <w:bookmarkStart w:id="120" w:name="_Toc184310344"/>
      <w:bookmarkEnd w:id="120"/>
      <w:bookmarkStart w:id="121" w:name="_Toc184310286"/>
      <w:bookmarkEnd w:id="121"/>
      <w:bookmarkStart w:id="122" w:name="_Toc184313270"/>
      <w:bookmarkEnd w:id="122"/>
      <w:bookmarkStart w:id="123" w:name="_Toc184314411"/>
      <w:bookmarkEnd w:id="123"/>
      <w:bookmarkStart w:id="124" w:name="_Toc184308062"/>
      <w:bookmarkEnd w:id="124"/>
      <w:bookmarkStart w:id="125" w:name="_Toc184313304"/>
      <w:bookmarkEnd w:id="125"/>
      <w:bookmarkStart w:id="126" w:name="_Toc184313253"/>
      <w:bookmarkEnd w:id="126"/>
      <w:bookmarkStart w:id="127" w:name="_Toc184314441"/>
      <w:bookmarkEnd w:id="127"/>
      <w:bookmarkStart w:id="128" w:name="_Toc184314431"/>
      <w:bookmarkEnd w:id="128"/>
      <w:bookmarkStart w:id="129" w:name="_Toc184314416"/>
      <w:bookmarkEnd w:id="129"/>
      <w:bookmarkStart w:id="130" w:name="_Toc184312116"/>
      <w:bookmarkEnd w:id="130"/>
      <w:bookmarkStart w:id="131" w:name="_Toc184310292"/>
      <w:bookmarkEnd w:id="131"/>
      <w:bookmarkStart w:id="132" w:name="_Toc184310342"/>
      <w:bookmarkEnd w:id="132"/>
      <w:bookmarkStart w:id="133" w:name="_Toc184308046"/>
      <w:bookmarkEnd w:id="133"/>
      <w:bookmarkStart w:id="134" w:name="_Toc184312093"/>
      <w:bookmarkEnd w:id="134"/>
      <w:bookmarkStart w:id="135" w:name="_Toc184314429"/>
      <w:bookmarkEnd w:id="135"/>
      <w:bookmarkStart w:id="136" w:name="_Toc184313262"/>
      <w:bookmarkEnd w:id="136"/>
      <w:bookmarkStart w:id="137" w:name="_Toc184314477"/>
      <w:bookmarkEnd w:id="137"/>
      <w:bookmarkStart w:id="138" w:name="_Toc184313277"/>
      <w:bookmarkEnd w:id="138"/>
      <w:bookmarkStart w:id="139" w:name="_Toc184310306"/>
      <w:bookmarkEnd w:id="139"/>
      <w:bookmarkStart w:id="140" w:name="_Toc184314444"/>
      <w:bookmarkEnd w:id="140"/>
      <w:bookmarkStart w:id="141" w:name="_Toc184308059"/>
      <w:bookmarkEnd w:id="141"/>
      <w:bookmarkStart w:id="142" w:name="_Toc184310300"/>
      <w:bookmarkEnd w:id="142"/>
      <w:bookmarkStart w:id="143" w:name="_Toc184313309"/>
      <w:bookmarkEnd w:id="143"/>
      <w:bookmarkStart w:id="144" w:name="_Toc184312137"/>
      <w:bookmarkEnd w:id="144"/>
      <w:bookmarkStart w:id="145" w:name="_Toc184313295"/>
      <w:bookmarkEnd w:id="145"/>
      <w:bookmarkStart w:id="146" w:name="_Toc184314420"/>
      <w:bookmarkEnd w:id="146"/>
      <w:bookmarkStart w:id="147" w:name="_Toc184314435"/>
      <w:bookmarkEnd w:id="147"/>
      <w:bookmarkStart w:id="148" w:name="_Toc184313265"/>
      <w:bookmarkEnd w:id="148"/>
      <w:bookmarkStart w:id="149" w:name="_Toc184313238"/>
      <w:bookmarkEnd w:id="149"/>
      <w:bookmarkStart w:id="150" w:name="_Toc184313275"/>
      <w:bookmarkEnd w:id="150"/>
      <w:bookmarkStart w:id="151" w:name="_Toc184310322"/>
      <w:bookmarkEnd w:id="151"/>
      <w:bookmarkStart w:id="152" w:name="_Toc184314463"/>
      <w:bookmarkEnd w:id="152"/>
      <w:bookmarkStart w:id="153" w:name="_Toc184313254"/>
      <w:bookmarkEnd w:id="153"/>
      <w:bookmarkStart w:id="154" w:name="_Toc184310328"/>
      <w:bookmarkEnd w:id="154"/>
      <w:bookmarkStart w:id="155" w:name="_Toc184313301"/>
      <w:bookmarkEnd w:id="155"/>
      <w:bookmarkStart w:id="156" w:name="_Toc184310336"/>
      <w:bookmarkEnd w:id="156"/>
      <w:bookmarkStart w:id="157" w:name="_Toc184308101"/>
      <w:bookmarkEnd w:id="157"/>
      <w:bookmarkStart w:id="158" w:name="_Toc184308050"/>
      <w:bookmarkEnd w:id="158"/>
      <w:bookmarkStart w:id="159" w:name="_Toc184314458"/>
      <w:bookmarkEnd w:id="159"/>
      <w:bookmarkStart w:id="160" w:name="_Toc184314423"/>
      <w:bookmarkEnd w:id="160"/>
      <w:bookmarkStart w:id="161" w:name="_Toc184310304"/>
      <w:bookmarkEnd w:id="161"/>
      <w:bookmarkStart w:id="162" w:name="_Toc184312134"/>
      <w:bookmarkEnd w:id="162"/>
      <w:bookmarkStart w:id="163" w:name="_Toc184314481"/>
      <w:bookmarkEnd w:id="163"/>
      <w:bookmarkStart w:id="164" w:name="_Toc184314457"/>
      <w:bookmarkEnd w:id="164"/>
      <w:bookmarkStart w:id="165" w:name="_Toc184308045"/>
      <w:bookmarkEnd w:id="165"/>
      <w:bookmarkStart w:id="166" w:name="_Toc184314460"/>
      <w:bookmarkEnd w:id="166"/>
      <w:bookmarkStart w:id="167" w:name="_Toc184310272"/>
      <w:bookmarkEnd w:id="167"/>
      <w:bookmarkStart w:id="168" w:name="_Toc184313279"/>
      <w:bookmarkEnd w:id="168"/>
      <w:bookmarkStart w:id="169" w:name="_Toc184312089"/>
      <w:bookmarkEnd w:id="169"/>
      <w:bookmarkStart w:id="170" w:name="_Toc184313240"/>
      <w:bookmarkEnd w:id="170"/>
      <w:bookmarkStart w:id="171" w:name="_Toc184308066"/>
      <w:bookmarkEnd w:id="171"/>
      <w:bookmarkStart w:id="172" w:name="_Toc184308036"/>
      <w:bookmarkEnd w:id="172"/>
      <w:bookmarkStart w:id="173" w:name="_Toc184314446"/>
      <w:bookmarkEnd w:id="173"/>
      <w:bookmarkStart w:id="174" w:name="_Toc184313271"/>
      <w:bookmarkEnd w:id="174"/>
      <w:bookmarkStart w:id="175" w:name="_Toc184308069"/>
      <w:bookmarkEnd w:id="175"/>
      <w:bookmarkStart w:id="176" w:name="_Toc184308053"/>
      <w:bookmarkEnd w:id="176"/>
      <w:bookmarkStart w:id="177" w:name="_Toc184314462"/>
      <w:bookmarkEnd w:id="177"/>
      <w:bookmarkStart w:id="178" w:name="_Toc184312086"/>
      <w:bookmarkEnd w:id="178"/>
      <w:bookmarkStart w:id="179" w:name="_Toc184313245"/>
      <w:bookmarkEnd w:id="179"/>
      <w:bookmarkStart w:id="180" w:name="_Toc184310291"/>
      <w:bookmarkEnd w:id="180"/>
      <w:bookmarkStart w:id="181" w:name="_Toc184310273"/>
      <w:bookmarkEnd w:id="181"/>
      <w:bookmarkStart w:id="182" w:name="_Toc184310276"/>
      <w:bookmarkEnd w:id="182"/>
      <w:bookmarkStart w:id="183" w:name="_Toc184310307"/>
      <w:bookmarkEnd w:id="183"/>
      <w:bookmarkStart w:id="184" w:name="_Toc184312135"/>
      <w:bookmarkEnd w:id="184"/>
      <w:bookmarkStart w:id="185" w:name="_Toc184313266"/>
      <w:bookmarkEnd w:id="185"/>
      <w:bookmarkStart w:id="186" w:name="_Toc184314410"/>
      <w:bookmarkEnd w:id="186"/>
      <w:bookmarkStart w:id="187" w:name="_Toc184314450"/>
      <w:bookmarkEnd w:id="187"/>
      <w:bookmarkStart w:id="188" w:name="_Toc184313256"/>
      <w:bookmarkEnd w:id="188"/>
      <w:bookmarkStart w:id="189" w:name="_Toc184312139"/>
      <w:bookmarkEnd w:id="189"/>
      <w:bookmarkStart w:id="190" w:name="_Toc184312080"/>
      <w:bookmarkEnd w:id="190"/>
      <w:bookmarkStart w:id="191" w:name="_Toc184308083"/>
      <w:bookmarkEnd w:id="191"/>
      <w:bookmarkStart w:id="192" w:name="_Toc184310319"/>
      <w:bookmarkEnd w:id="192"/>
      <w:bookmarkStart w:id="193" w:name="_Toc184314439"/>
      <w:bookmarkEnd w:id="193"/>
      <w:bookmarkStart w:id="194" w:name="_Toc184312118"/>
      <w:bookmarkEnd w:id="194"/>
      <w:bookmarkStart w:id="195" w:name="_Toc184313258"/>
      <w:bookmarkEnd w:id="195"/>
      <w:bookmarkStart w:id="196" w:name="_Toc184312088"/>
      <w:bookmarkEnd w:id="196"/>
      <w:bookmarkStart w:id="197" w:name="_Toc184313274"/>
      <w:bookmarkEnd w:id="197"/>
      <w:bookmarkStart w:id="198" w:name="_Toc184308038"/>
      <w:bookmarkEnd w:id="198"/>
      <w:bookmarkStart w:id="199" w:name="_Toc184310338"/>
      <w:bookmarkEnd w:id="199"/>
      <w:bookmarkStart w:id="200" w:name="_Toc184308055"/>
      <w:bookmarkEnd w:id="200"/>
      <w:bookmarkStart w:id="201" w:name="_Toc184313288"/>
      <w:bookmarkEnd w:id="201"/>
      <w:bookmarkStart w:id="202" w:name="_Toc184313267"/>
      <w:bookmarkEnd w:id="202"/>
      <w:bookmarkStart w:id="203" w:name="_Toc184308087"/>
      <w:bookmarkEnd w:id="203"/>
      <w:bookmarkStart w:id="204" w:name="_Toc184312085"/>
      <w:bookmarkEnd w:id="204"/>
      <w:bookmarkStart w:id="205" w:name="_Toc184308068"/>
      <w:bookmarkEnd w:id="205"/>
      <w:bookmarkStart w:id="206" w:name="_Toc184312068"/>
      <w:bookmarkEnd w:id="206"/>
      <w:bookmarkStart w:id="207" w:name="_Toc184314436"/>
      <w:bookmarkEnd w:id="207"/>
      <w:bookmarkStart w:id="208" w:name="_Toc184314428"/>
      <w:bookmarkEnd w:id="208"/>
      <w:bookmarkStart w:id="209" w:name="_Toc184312132"/>
      <w:bookmarkEnd w:id="209"/>
      <w:bookmarkStart w:id="210" w:name="_Toc184308043"/>
      <w:bookmarkEnd w:id="210"/>
      <w:bookmarkStart w:id="211" w:name="_Toc184308098"/>
      <w:bookmarkEnd w:id="211"/>
      <w:bookmarkStart w:id="212" w:name="_Toc184313286"/>
      <w:bookmarkEnd w:id="212"/>
      <w:bookmarkStart w:id="213" w:name="_Toc184312082"/>
      <w:bookmarkEnd w:id="213"/>
      <w:bookmarkStart w:id="214" w:name="_Toc184310279"/>
      <w:bookmarkEnd w:id="214"/>
      <w:bookmarkStart w:id="215" w:name="_Toc184308084"/>
      <w:bookmarkEnd w:id="215"/>
      <w:bookmarkStart w:id="216" w:name="_Toc184308096"/>
      <w:bookmarkEnd w:id="216"/>
      <w:bookmarkStart w:id="217" w:name="_Toc184312106"/>
      <w:bookmarkEnd w:id="217"/>
      <w:bookmarkStart w:id="218" w:name="_Toc184312124"/>
      <w:bookmarkEnd w:id="218"/>
      <w:bookmarkStart w:id="219" w:name="_Toc184313280"/>
      <w:bookmarkEnd w:id="219"/>
      <w:bookmarkStart w:id="220" w:name="_Toc184310293"/>
      <w:bookmarkEnd w:id="220"/>
      <w:bookmarkStart w:id="221" w:name="_Toc184308072"/>
      <w:bookmarkEnd w:id="221"/>
      <w:bookmarkStart w:id="222" w:name="_Toc184310337"/>
      <w:bookmarkEnd w:id="222"/>
      <w:bookmarkStart w:id="223" w:name="_Toc184313282"/>
      <w:bookmarkEnd w:id="223"/>
      <w:bookmarkStart w:id="224" w:name="_Toc184313249"/>
      <w:bookmarkEnd w:id="224"/>
      <w:bookmarkStart w:id="225" w:name="_Toc184313268"/>
      <w:bookmarkEnd w:id="225"/>
      <w:bookmarkStart w:id="226" w:name="_Toc184314418"/>
      <w:bookmarkEnd w:id="226"/>
      <w:bookmarkStart w:id="227" w:name="_Toc184314430"/>
      <w:bookmarkEnd w:id="227"/>
      <w:bookmarkStart w:id="228" w:name="_Toc184308071"/>
      <w:bookmarkEnd w:id="228"/>
      <w:bookmarkStart w:id="229" w:name="_Toc184314419"/>
      <w:bookmarkEnd w:id="229"/>
      <w:bookmarkStart w:id="230" w:name="_Toc184314413"/>
      <w:bookmarkEnd w:id="230"/>
      <w:bookmarkStart w:id="231" w:name="_Toc184312131"/>
      <w:bookmarkEnd w:id="231"/>
      <w:bookmarkStart w:id="232" w:name="_Toc184313283"/>
      <w:bookmarkEnd w:id="232"/>
      <w:bookmarkStart w:id="233" w:name="_Toc184313308"/>
      <w:bookmarkEnd w:id="233"/>
      <w:bookmarkStart w:id="234" w:name="_Toc184308039"/>
      <w:bookmarkEnd w:id="234"/>
      <w:bookmarkStart w:id="235" w:name="_Toc184312113"/>
      <w:bookmarkEnd w:id="235"/>
      <w:bookmarkStart w:id="236" w:name="_Toc184310285"/>
      <w:bookmarkEnd w:id="236"/>
      <w:bookmarkStart w:id="237" w:name="_Toc184308054"/>
      <w:bookmarkEnd w:id="237"/>
      <w:bookmarkStart w:id="238" w:name="_Toc184314443"/>
      <w:bookmarkEnd w:id="238"/>
      <w:bookmarkStart w:id="239" w:name="_Toc184310308"/>
      <w:bookmarkEnd w:id="239"/>
      <w:bookmarkStart w:id="240" w:name="_Toc184313285"/>
      <w:bookmarkEnd w:id="240"/>
      <w:bookmarkStart w:id="241" w:name="_Toc184312114"/>
      <w:bookmarkEnd w:id="241"/>
      <w:bookmarkStart w:id="242" w:name="_Toc184312115"/>
      <w:bookmarkEnd w:id="242"/>
      <w:bookmarkStart w:id="243" w:name="_Toc184310334"/>
      <w:bookmarkEnd w:id="243"/>
      <w:bookmarkStart w:id="244" w:name="_Toc184308094"/>
      <w:bookmarkEnd w:id="244"/>
      <w:bookmarkStart w:id="245" w:name="_Toc184312067"/>
      <w:bookmarkEnd w:id="245"/>
      <w:bookmarkStart w:id="246" w:name="_Toc184314426"/>
      <w:bookmarkEnd w:id="246"/>
      <w:bookmarkStart w:id="247" w:name="_Toc184314447"/>
      <w:bookmarkEnd w:id="247"/>
      <w:bookmarkStart w:id="248" w:name="_Toc184308056"/>
      <w:bookmarkEnd w:id="248"/>
      <w:bookmarkStart w:id="249" w:name="_Toc184312129"/>
      <w:bookmarkEnd w:id="249"/>
      <w:bookmarkStart w:id="250" w:name="_Toc184308070"/>
      <w:bookmarkEnd w:id="250"/>
      <w:bookmarkStart w:id="251" w:name="_Toc184312083"/>
      <w:bookmarkEnd w:id="251"/>
      <w:bookmarkStart w:id="252" w:name="_Toc184312072"/>
      <w:bookmarkEnd w:id="252"/>
      <w:bookmarkStart w:id="253" w:name="_Toc184310333"/>
      <w:bookmarkEnd w:id="253"/>
      <w:bookmarkStart w:id="254" w:name="_Toc184310314"/>
      <w:bookmarkEnd w:id="254"/>
      <w:bookmarkStart w:id="255" w:name="_Toc184314440"/>
      <w:bookmarkEnd w:id="255"/>
      <w:bookmarkStart w:id="256" w:name="_Toc184313239"/>
      <w:bookmarkEnd w:id="256"/>
      <w:bookmarkStart w:id="257" w:name="_Toc184314412"/>
      <w:bookmarkEnd w:id="257"/>
      <w:bookmarkStart w:id="258" w:name="_Toc184310323"/>
      <w:bookmarkEnd w:id="258"/>
      <w:bookmarkStart w:id="259" w:name="_Toc184308086"/>
      <w:bookmarkEnd w:id="259"/>
      <w:bookmarkStart w:id="260" w:name="_Toc184314459"/>
      <w:bookmarkEnd w:id="260"/>
      <w:bookmarkStart w:id="261" w:name="_Toc184312073"/>
      <w:bookmarkEnd w:id="261"/>
      <w:bookmarkStart w:id="262" w:name="_Toc184312105"/>
      <w:bookmarkEnd w:id="262"/>
      <w:bookmarkStart w:id="263" w:name="_Toc184308107"/>
      <w:bookmarkEnd w:id="263"/>
      <w:bookmarkStart w:id="264" w:name="_Toc184308042"/>
      <w:bookmarkEnd w:id="264"/>
      <w:bookmarkStart w:id="265" w:name="_Toc184308078"/>
      <w:bookmarkEnd w:id="265"/>
      <w:bookmarkStart w:id="266" w:name="_Toc184308092"/>
      <w:bookmarkEnd w:id="266"/>
      <w:bookmarkStart w:id="267" w:name="_Toc184314432"/>
      <w:bookmarkEnd w:id="267"/>
      <w:bookmarkStart w:id="268" w:name="_Toc184310275"/>
      <w:bookmarkEnd w:id="268"/>
      <w:bookmarkStart w:id="269" w:name="_Toc184308065"/>
      <w:bookmarkEnd w:id="269"/>
      <w:bookmarkStart w:id="270" w:name="_Toc184308105"/>
      <w:bookmarkEnd w:id="270"/>
      <w:bookmarkStart w:id="271" w:name="_Toc184310288"/>
      <w:bookmarkEnd w:id="271"/>
      <w:bookmarkStart w:id="272" w:name="_Toc184314438"/>
      <w:bookmarkEnd w:id="272"/>
      <w:bookmarkStart w:id="273" w:name="_Toc184312104"/>
      <w:bookmarkEnd w:id="273"/>
      <w:bookmarkStart w:id="274" w:name="_Toc184313264"/>
      <w:bookmarkEnd w:id="274"/>
      <w:bookmarkStart w:id="275" w:name="_Toc184313310"/>
      <w:bookmarkEnd w:id="275"/>
      <w:bookmarkStart w:id="276" w:name="_Toc184313278"/>
      <w:bookmarkEnd w:id="276"/>
      <w:bookmarkStart w:id="277" w:name="_Toc184312102"/>
      <w:bookmarkEnd w:id="277"/>
      <w:bookmarkStart w:id="278" w:name="_Toc184314482"/>
      <w:bookmarkEnd w:id="278"/>
      <w:bookmarkStart w:id="279" w:name="_Toc184308091"/>
      <w:bookmarkEnd w:id="279"/>
      <w:bookmarkStart w:id="280" w:name="_Toc184312136"/>
      <w:bookmarkEnd w:id="280"/>
      <w:bookmarkStart w:id="281" w:name="_Toc184310312"/>
      <w:bookmarkEnd w:id="281"/>
      <w:bookmarkStart w:id="282" w:name="_Toc184312109"/>
      <w:bookmarkEnd w:id="282"/>
      <w:bookmarkStart w:id="283" w:name="_Toc184312074"/>
      <w:bookmarkEnd w:id="283"/>
      <w:bookmarkStart w:id="284" w:name="_Toc184310282"/>
      <w:bookmarkEnd w:id="284"/>
      <w:bookmarkStart w:id="285" w:name="_Toc184314476"/>
      <w:bookmarkEnd w:id="285"/>
      <w:bookmarkStart w:id="286" w:name="_Toc184313243"/>
      <w:bookmarkEnd w:id="286"/>
      <w:bookmarkStart w:id="287" w:name="_Toc184313305"/>
      <w:bookmarkEnd w:id="287"/>
      <w:bookmarkStart w:id="288" w:name="_Toc184308082"/>
      <w:bookmarkEnd w:id="288"/>
      <w:bookmarkStart w:id="289" w:name="_Toc184312087"/>
      <w:bookmarkEnd w:id="289"/>
      <w:bookmarkStart w:id="290" w:name="_Toc184313306"/>
      <w:bookmarkEnd w:id="290"/>
      <w:bookmarkStart w:id="291" w:name="_Toc184310320"/>
      <w:bookmarkEnd w:id="291"/>
      <w:bookmarkStart w:id="292" w:name="_Toc184310313"/>
      <w:bookmarkEnd w:id="292"/>
      <w:bookmarkStart w:id="293" w:name="_Toc184310341"/>
      <w:bookmarkEnd w:id="293"/>
      <w:bookmarkStart w:id="294" w:name="_Toc184310278"/>
      <w:bookmarkEnd w:id="294"/>
      <w:bookmarkStart w:id="295" w:name="_Toc184308079"/>
      <w:bookmarkEnd w:id="295"/>
      <w:bookmarkStart w:id="296" w:name="_Toc184312095"/>
      <w:bookmarkEnd w:id="296"/>
      <w:bookmarkStart w:id="297" w:name="_Toc184313260"/>
      <w:bookmarkEnd w:id="297"/>
      <w:bookmarkStart w:id="298" w:name="_Toc184310281"/>
      <w:bookmarkEnd w:id="298"/>
      <w:bookmarkStart w:id="299" w:name="_Toc184310302"/>
      <w:bookmarkEnd w:id="299"/>
      <w:bookmarkStart w:id="300" w:name="_Toc184314474"/>
      <w:bookmarkEnd w:id="300"/>
      <w:bookmarkStart w:id="301" w:name="_Toc184308047"/>
      <w:bookmarkEnd w:id="301"/>
      <w:bookmarkStart w:id="302" w:name="_Toc184312077"/>
      <w:bookmarkEnd w:id="302"/>
      <w:bookmarkStart w:id="303" w:name="_Toc184313291"/>
      <w:bookmarkEnd w:id="303"/>
      <w:bookmarkStart w:id="304" w:name="_Toc184308073"/>
      <w:bookmarkEnd w:id="304"/>
      <w:bookmarkStart w:id="305" w:name="_Toc184313290"/>
      <w:bookmarkEnd w:id="305"/>
      <w:bookmarkStart w:id="306" w:name="_Toc184314448"/>
      <w:bookmarkEnd w:id="306"/>
      <w:bookmarkStart w:id="307" w:name="_Toc184308077"/>
      <w:bookmarkEnd w:id="307"/>
      <w:bookmarkStart w:id="308" w:name="_Toc184308100"/>
      <w:bookmarkEnd w:id="308"/>
      <w:bookmarkStart w:id="309" w:name="_Toc184314456"/>
      <w:bookmarkEnd w:id="309"/>
      <w:bookmarkStart w:id="310" w:name="_Toc184310325"/>
      <w:bookmarkEnd w:id="310"/>
      <w:bookmarkStart w:id="311" w:name="_Toc184314467"/>
      <w:bookmarkEnd w:id="311"/>
      <w:bookmarkStart w:id="312" w:name="_Toc184314453"/>
      <w:bookmarkEnd w:id="312"/>
      <w:bookmarkStart w:id="313" w:name="_Toc184313276"/>
      <w:bookmarkEnd w:id="313"/>
      <w:bookmarkStart w:id="314" w:name="_Toc184313257"/>
      <w:bookmarkEnd w:id="314"/>
      <w:bookmarkStart w:id="315" w:name="_Toc184314479"/>
      <w:bookmarkEnd w:id="315"/>
      <w:bookmarkStart w:id="316" w:name="_Toc184313307"/>
      <w:bookmarkEnd w:id="316"/>
      <w:bookmarkStart w:id="317" w:name="_Toc184313284"/>
      <w:bookmarkEnd w:id="317"/>
      <w:bookmarkStart w:id="318" w:name="_Toc184312101"/>
      <w:bookmarkEnd w:id="318"/>
      <w:bookmarkStart w:id="319" w:name="_Toc184308104"/>
      <w:bookmarkEnd w:id="319"/>
      <w:bookmarkStart w:id="320" w:name="_Toc184308074"/>
      <w:bookmarkEnd w:id="320"/>
      <w:bookmarkStart w:id="321" w:name="_Toc184310303"/>
      <w:bookmarkEnd w:id="321"/>
      <w:bookmarkStart w:id="322" w:name="_Toc184314424"/>
      <w:bookmarkEnd w:id="322"/>
      <w:bookmarkStart w:id="323" w:name="_Toc184314471"/>
      <w:bookmarkEnd w:id="323"/>
      <w:bookmarkStart w:id="324" w:name="_Toc184313251"/>
      <w:bookmarkEnd w:id="324"/>
      <w:bookmarkStart w:id="325" w:name="_Toc184313246"/>
      <w:bookmarkEnd w:id="325"/>
      <w:bookmarkStart w:id="326" w:name="_Toc184312111"/>
      <w:bookmarkEnd w:id="326"/>
      <w:bookmarkStart w:id="327" w:name="_Toc184308058"/>
      <w:bookmarkEnd w:id="327"/>
      <w:bookmarkStart w:id="328" w:name="_Toc184314472"/>
      <w:bookmarkEnd w:id="328"/>
      <w:bookmarkStart w:id="329" w:name="_Toc184308052"/>
      <w:bookmarkEnd w:id="329"/>
      <w:bookmarkStart w:id="330" w:name="_Toc184312110"/>
      <w:bookmarkEnd w:id="330"/>
      <w:bookmarkStart w:id="331" w:name="_Toc184312070"/>
      <w:bookmarkEnd w:id="331"/>
      <w:bookmarkStart w:id="332" w:name="_Toc184308106"/>
      <w:bookmarkEnd w:id="332"/>
      <w:bookmarkStart w:id="333" w:name="_Toc184312099"/>
      <w:bookmarkEnd w:id="333"/>
      <w:bookmarkStart w:id="334" w:name="_Toc184310310"/>
      <w:bookmarkEnd w:id="334"/>
      <w:bookmarkStart w:id="335" w:name="_Toc184312090"/>
      <w:bookmarkEnd w:id="335"/>
      <w:bookmarkStart w:id="336" w:name="_Toc184314466"/>
      <w:bookmarkEnd w:id="336"/>
      <w:bookmarkStart w:id="337" w:name="_Toc184310329"/>
      <w:bookmarkEnd w:id="337"/>
      <w:bookmarkStart w:id="338" w:name="_Toc184313247"/>
      <w:bookmarkEnd w:id="338"/>
      <w:bookmarkStart w:id="339" w:name="_Toc184310339"/>
      <w:bookmarkEnd w:id="339"/>
      <w:bookmarkStart w:id="340" w:name="_Toc184310296"/>
      <w:bookmarkEnd w:id="340"/>
      <w:bookmarkStart w:id="341" w:name="_Toc184310332"/>
      <w:bookmarkEnd w:id="341"/>
      <w:bookmarkStart w:id="342" w:name="_Toc184314454"/>
      <w:bookmarkEnd w:id="342"/>
      <w:bookmarkStart w:id="343" w:name="_Toc184308063"/>
      <w:bookmarkEnd w:id="343"/>
      <w:bookmarkStart w:id="344" w:name="_Toc184310317"/>
      <w:bookmarkEnd w:id="344"/>
      <w:bookmarkStart w:id="345" w:name="_Toc184314461"/>
      <w:bookmarkEnd w:id="345"/>
      <w:bookmarkStart w:id="346" w:name="_Toc184308108"/>
      <w:bookmarkEnd w:id="346"/>
      <w:bookmarkStart w:id="347" w:name="_Toc184314469"/>
      <w:bookmarkEnd w:id="347"/>
      <w:bookmarkStart w:id="348" w:name="_Toc184310318"/>
      <w:bookmarkEnd w:id="348"/>
      <w:bookmarkStart w:id="349" w:name="_Toc184310311"/>
      <w:bookmarkEnd w:id="349"/>
      <w:bookmarkStart w:id="350" w:name="_Toc184313289"/>
      <w:bookmarkEnd w:id="350"/>
      <w:bookmarkStart w:id="351" w:name="_Toc184314449"/>
      <w:bookmarkEnd w:id="351"/>
      <w:bookmarkStart w:id="352" w:name="_Toc184312119"/>
      <w:bookmarkEnd w:id="352"/>
      <w:bookmarkStart w:id="353" w:name="_Toc184312071"/>
      <w:bookmarkEnd w:id="353"/>
      <w:bookmarkStart w:id="354" w:name="_Toc184312081"/>
      <w:bookmarkEnd w:id="354"/>
      <w:bookmarkStart w:id="355" w:name="_Toc184310301"/>
      <w:bookmarkEnd w:id="355"/>
      <w:bookmarkStart w:id="356" w:name="_Toc184313296"/>
      <w:bookmarkEnd w:id="356"/>
      <w:bookmarkStart w:id="357" w:name="_Toc184314465"/>
      <w:bookmarkEnd w:id="357"/>
      <w:bookmarkStart w:id="358" w:name="_Toc184308067"/>
      <w:bookmarkEnd w:id="358"/>
      <w:bookmarkStart w:id="359" w:name="_Toc184314452"/>
      <w:bookmarkEnd w:id="359"/>
      <w:bookmarkStart w:id="360" w:name="_Toc184312123"/>
      <w:bookmarkEnd w:id="360"/>
      <w:bookmarkStart w:id="361" w:name="_Toc184308040"/>
      <w:bookmarkEnd w:id="361"/>
      <w:bookmarkStart w:id="362" w:name="_Toc184310283"/>
      <w:bookmarkEnd w:id="362"/>
      <w:bookmarkStart w:id="363" w:name="_Toc184314421"/>
      <w:bookmarkEnd w:id="363"/>
      <w:bookmarkStart w:id="364" w:name="_Toc184310330"/>
      <w:bookmarkEnd w:id="364"/>
      <w:bookmarkStart w:id="365" w:name="_Toc184308076"/>
      <w:bookmarkEnd w:id="365"/>
      <w:bookmarkStart w:id="366" w:name="_Toc184314455"/>
      <w:bookmarkEnd w:id="366"/>
      <w:bookmarkStart w:id="367" w:name="_Toc184314464"/>
      <w:bookmarkEnd w:id="367"/>
      <w:bookmarkStart w:id="368" w:name="_Toc184308102"/>
      <w:bookmarkEnd w:id="368"/>
      <w:bookmarkStart w:id="369" w:name="_Toc184308097"/>
      <w:bookmarkEnd w:id="369"/>
      <w:bookmarkStart w:id="370" w:name="_Toc184308060"/>
      <w:bookmarkEnd w:id="370"/>
      <w:bookmarkStart w:id="371" w:name="_Toc184310274"/>
      <w:bookmarkEnd w:id="371"/>
      <w:bookmarkStart w:id="372" w:name="_Toc184314468"/>
      <w:bookmarkEnd w:id="372"/>
      <w:bookmarkStart w:id="373" w:name="_Toc184312127"/>
      <w:bookmarkEnd w:id="373"/>
      <w:bookmarkStart w:id="374" w:name="_Toc184310299"/>
      <w:bookmarkEnd w:id="374"/>
      <w:bookmarkStart w:id="375" w:name="_Toc184308057"/>
      <w:bookmarkEnd w:id="375"/>
      <w:bookmarkStart w:id="376" w:name="_Toc184313259"/>
      <w:bookmarkEnd w:id="376"/>
      <w:bookmarkStart w:id="377" w:name="_Toc184312098"/>
      <w:bookmarkEnd w:id="377"/>
      <w:bookmarkStart w:id="378" w:name="_Toc184314480"/>
      <w:bookmarkEnd w:id="378"/>
      <w:bookmarkStart w:id="379" w:name="_Toc184312100"/>
      <w:bookmarkEnd w:id="379"/>
      <w:bookmarkStart w:id="380" w:name="_Toc184312079"/>
      <w:bookmarkEnd w:id="380"/>
      <w:bookmarkStart w:id="381" w:name="_Toc184310316"/>
      <w:bookmarkEnd w:id="381"/>
      <w:bookmarkStart w:id="382" w:name="_Toc184313297"/>
      <w:bookmarkEnd w:id="382"/>
      <w:bookmarkStart w:id="383" w:name="_Toc184310294"/>
      <w:bookmarkEnd w:id="383"/>
      <w:bookmarkStart w:id="384" w:name="_Toc184312122"/>
      <w:bookmarkEnd w:id="384"/>
      <w:bookmarkStart w:id="385" w:name="_Toc184310324"/>
      <w:bookmarkEnd w:id="385"/>
      <w:bookmarkStart w:id="386" w:name="_Toc184312103"/>
      <w:bookmarkEnd w:id="386"/>
      <w:bookmarkStart w:id="387" w:name="_Toc184308049"/>
      <w:bookmarkEnd w:id="387"/>
      <w:bookmarkStart w:id="388" w:name="_Toc184314442"/>
      <w:bookmarkEnd w:id="388"/>
      <w:bookmarkStart w:id="389" w:name="_Toc184312091"/>
      <w:bookmarkEnd w:id="389"/>
      <w:bookmarkStart w:id="390" w:name="_Toc184313263"/>
      <w:bookmarkEnd w:id="390"/>
      <w:bookmarkStart w:id="391" w:name="_Toc184313293"/>
      <w:bookmarkEnd w:id="391"/>
      <w:r>
        <w:rPr>
          <w:rFonts w:hint="eastAsia" w:ascii="宋体" w:hAnsi="宋体" w:eastAsia="宋体" w:cs="宋体"/>
          <w:b/>
          <w:color w:val="auto"/>
          <w:sz w:val="36"/>
          <w:szCs w:val="36"/>
          <w:highlight w:val="none"/>
        </w:rPr>
        <w:t>评标办法</w:t>
      </w:r>
    </w:p>
    <w:p w14:paraId="314EEEAD">
      <w:pPr>
        <w:snapToGrid w:val="0"/>
        <w:spacing w:line="360" w:lineRule="auto"/>
        <w:jc w:val="center"/>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评标办法前附表</w:t>
      </w:r>
    </w:p>
    <w:bookmarkEnd w:id="26"/>
    <w:tbl>
      <w:tblPr>
        <w:tblStyle w:val="62"/>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476"/>
        <w:gridCol w:w="941"/>
        <w:gridCol w:w="5363"/>
        <w:gridCol w:w="786"/>
        <w:gridCol w:w="950"/>
      </w:tblGrid>
      <w:tr w14:paraId="2B99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gridSpan w:val="2"/>
            <w:vAlign w:val="center"/>
          </w:tcPr>
          <w:p w14:paraId="5AC8BE73">
            <w:pPr>
              <w:adjustRightInd/>
              <w:snapToGrid w:val="0"/>
              <w:spacing w:line="240" w:lineRule="auto"/>
              <w:jc w:val="center"/>
              <w:rPr>
                <w:rFonts w:hint="eastAsia" w:ascii="宋体" w:hAnsi="宋体" w:eastAsia="宋体" w:cs="宋体"/>
                <w:b/>
                <w:bCs/>
                <w:color w:val="auto"/>
                <w:sz w:val="24"/>
                <w:szCs w:val="24"/>
                <w:highlight w:val="none"/>
              </w:rPr>
            </w:pPr>
            <w:bookmarkStart w:id="392" w:name="第五部分"/>
            <w:bookmarkStart w:id="393" w:name="_Toc86217003"/>
            <w:r>
              <w:rPr>
                <w:rFonts w:hint="eastAsia" w:ascii="宋体" w:hAnsi="宋体" w:eastAsia="宋体" w:cs="宋体"/>
                <w:b/>
                <w:bCs/>
                <w:color w:val="auto"/>
                <w:sz w:val="24"/>
                <w:szCs w:val="24"/>
                <w:highlight w:val="none"/>
              </w:rPr>
              <w:t>序号</w:t>
            </w:r>
          </w:p>
        </w:tc>
        <w:tc>
          <w:tcPr>
            <w:tcW w:w="6304" w:type="dxa"/>
            <w:gridSpan w:val="2"/>
            <w:vAlign w:val="center"/>
          </w:tcPr>
          <w:p w14:paraId="69CCDF12">
            <w:pPr>
              <w:adjustRightInd/>
              <w:snapToGrid w:val="0"/>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评分内容和标准</w:t>
            </w:r>
          </w:p>
        </w:tc>
        <w:tc>
          <w:tcPr>
            <w:tcW w:w="786" w:type="dxa"/>
            <w:vAlign w:val="center"/>
          </w:tcPr>
          <w:p w14:paraId="61E0595A">
            <w:pPr>
              <w:adjustRightInd/>
              <w:snapToGrid w:val="0"/>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权重</w:t>
            </w:r>
          </w:p>
        </w:tc>
        <w:tc>
          <w:tcPr>
            <w:tcW w:w="950" w:type="dxa"/>
            <w:vAlign w:val="center"/>
          </w:tcPr>
          <w:p w14:paraId="0EB2FBFC">
            <w:pPr>
              <w:adjustRightInd/>
              <w:snapToGrid w:val="0"/>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主客观分</w:t>
            </w:r>
          </w:p>
        </w:tc>
      </w:tr>
      <w:tr w14:paraId="1AAAD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jc w:val="center"/>
        </w:trPr>
        <w:tc>
          <w:tcPr>
            <w:tcW w:w="788" w:type="dxa"/>
            <w:vMerge w:val="restart"/>
            <w:vAlign w:val="center"/>
          </w:tcPr>
          <w:p w14:paraId="52A98DA2">
            <w:pPr>
              <w:adjustRightInd/>
              <w:snapToGrid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商务资信分</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476" w:type="dxa"/>
            <w:vAlign w:val="center"/>
          </w:tcPr>
          <w:p w14:paraId="1D75BEBE">
            <w:pPr>
              <w:adjustRightInd/>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1" w:type="dxa"/>
            <w:shd w:val="clear" w:color="auto" w:fill="auto"/>
            <w:vAlign w:val="center"/>
          </w:tcPr>
          <w:p w14:paraId="38D85769">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认证体系</w:t>
            </w:r>
          </w:p>
        </w:tc>
        <w:tc>
          <w:tcPr>
            <w:tcW w:w="5363" w:type="dxa"/>
            <w:shd w:val="clear" w:color="auto" w:fill="auto"/>
            <w:vAlign w:val="center"/>
          </w:tcPr>
          <w:p w14:paraId="00618A85">
            <w:pPr>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具有质量管理体系认证、环境管理体系认证、职业健康安全管理体系认证且在有效期内的，每个得1分，最高得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提供证书和全国认证认可信息公共服务平台查询“有效”截图）</w:t>
            </w:r>
          </w:p>
        </w:tc>
        <w:tc>
          <w:tcPr>
            <w:tcW w:w="786" w:type="dxa"/>
            <w:shd w:val="clear" w:color="auto" w:fill="auto"/>
            <w:vAlign w:val="center"/>
          </w:tcPr>
          <w:p w14:paraId="672CB037">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p>
        </w:tc>
        <w:tc>
          <w:tcPr>
            <w:tcW w:w="950" w:type="dxa"/>
            <w:shd w:val="clear" w:color="auto" w:fill="auto"/>
            <w:vAlign w:val="center"/>
          </w:tcPr>
          <w:p w14:paraId="78B38549">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客观分</w:t>
            </w:r>
          </w:p>
        </w:tc>
      </w:tr>
      <w:tr w14:paraId="025B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88" w:type="dxa"/>
            <w:vMerge w:val="continue"/>
            <w:vAlign w:val="center"/>
          </w:tcPr>
          <w:p w14:paraId="546B7EDA">
            <w:pPr>
              <w:adjustRightInd/>
              <w:snapToGrid w:val="0"/>
              <w:spacing w:line="240" w:lineRule="auto"/>
              <w:jc w:val="center"/>
              <w:rPr>
                <w:rFonts w:hint="eastAsia" w:ascii="宋体" w:hAnsi="宋体" w:eastAsia="宋体" w:cs="宋体"/>
                <w:color w:val="auto"/>
                <w:sz w:val="24"/>
                <w:szCs w:val="24"/>
                <w:highlight w:val="none"/>
              </w:rPr>
            </w:pPr>
          </w:p>
        </w:tc>
        <w:tc>
          <w:tcPr>
            <w:tcW w:w="476" w:type="dxa"/>
            <w:vAlign w:val="center"/>
          </w:tcPr>
          <w:p w14:paraId="6CF74AA1">
            <w:pPr>
              <w:adjustRightInd/>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941" w:type="dxa"/>
            <w:shd w:val="clear" w:color="auto" w:fill="auto"/>
            <w:vAlign w:val="center"/>
          </w:tcPr>
          <w:p w14:paraId="15C9A060">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业绩</w:t>
            </w:r>
          </w:p>
        </w:tc>
        <w:tc>
          <w:tcPr>
            <w:tcW w:w="5363" w:type="dxa"/>
            <w:shd w:val="clear" w:color="auto" w:fill="auto"/>
            <w:vAlign w:val="center"/>
          </w:tcPr>
          <w:p w14:paraId="053DE6A4">
            <w:pPr>
              <w:numPr>
                <w:ilvl w:val="0"/>
                <w:numId w:val="0"/>
              </w:numPr>
              <w:spacing w:line="24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自202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年1月1 日至今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以合同签订时间为准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承担过</w:t>
            </w:r>
            <w:r>
              <w:rPr>
                <w:rFonts w:hint="eastAsia" w:ascii="宋体" w:hAnsi="宋体" w:cs="宋体"/>
                <w:color w:val="auto"/>
                <w:sz w:val="24"/>
                <w:highlight w:val="none"/>
              </w:rPr>
              <w:t>房屋建筑类似工程业绩（工作内容包含桩基检测、基坑监测）</w:t>
            </w:r>
            <w:r>
              <w:rPr>
                <w:rFonts w:hint="eastAsia" w:ascii="宋体" w:hAnsi="宋体" w:eastAsia="宋体" w:cs="宋体"/>
                <w:color w:val="auto"/>
                <w:sz w:val="24"/>
                <w:szCs w:val="24"/>
                <w:highlight w:val="none"/>
              </w:rPr>
              <w:t xml:space="preserve">的每个得 </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分，最高得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51A1378E">
            <w:pPr>
              <w:numPr>
                <w:ilvl w:val="0"/>
                <w:numId w:val="0"/>
              </w:numPr>
              <w:spacing w:line="240" w:lineRule="auto"/>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（提供合同复印件，合同中</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lang w:eastAsia="zh-CN"/>
              </w:rPr>
              <w:t>体现</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内容）</w:t>
            </w:r>
          </w:p>
        </w:tc>
        <w:tc>
          <w:tcPr>
            <w:tcW w:w="786" w:type="dxa"/>
            <w:shd w:val="clear" w:color="auto" w:fill="auto"/>
            <w:vAlign w:val="center"/>
          </w:tcPr>
          <w:p w14:paraId="3F35A5DC">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w:t>
            </w:r>
          </w:p>
        </w:tc>
        <w:tc>
          <w:tcPr>
            <w:tcW w:w="950" w:type="dxa"/>
            <w:shd w:val="clear" w:color="auto" w:fill="auto"/>
            <w:vAlign w:val="center"/>
          </w:tcPr>
          <w:p w14:paraId="12207AEB">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客观分</w:t>
            </w:r>
          </w:p>
        </w:tc>
      </w:tr>
      <w:tr w14:paraId="10817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88" w:type="dxa"/>
            <w:vMerge w:val="continue"/>
            <w:vAlign w:val="center"/>
          </w:tcPr>
          <w:p w14:paraId="7C015E35">
            <w:pPr>
              <w:adjustRightInd/>
              <w:snapToGrid w:val="0"/>
              <w:spacing w:line="240" w:lineRule="auto"/>
              <w:jc w:val="center"/>
              <w:rPr>
                <w:rFonts w:hint="eastAsia" w:ascii="宋体" w:hAnsi="宋体" w:eastAsia="宋体" w:cs="宋体"/>
                <w:color w:val="auto"/>
                <w:sz w:val="24"/>
                <w:szCs w:val="24"/>
                <w:highlight w:val="none"/>
              </w:rPr>
            </w:pPr>
          </w:p>
        </w:tc>
        <w:tc>
          <w:tcPr>
            <w:tcW w:w="476" w:type="dxa"/>
            <w:vMerge w:val="restart"/>
            <w:vAlign w:val="center"/>
          </w:tcPr>
          <w:p w14:paraId="6108A21A">
            <w:pPr>
              <w:adjustRightInd/>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941" w:type="dxa"/>
            <w:vMerge w:val="restart"/>
            <w:shd w:val="clear" w:color="auto" w:fill="auto"/>
            <w:vAlign w:val="center"/>
          </w:tcPr>
          <w:p w14:paraId="5CA69A4B">
            <w:pPr>
              <w:widowControl/>
              <w:adjustRightInd/>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项目负责人及技术力量安排等</w:t>
            </w:r>
          </w:p>
        </w:tc>
        <w:tc>
          <w:tcPr>
            <w:tcW w:w="5363" w:type="dxa"/>
            <w:shd w:val="clear" w:color="auto" w:fill="auto"/>
            <w:vAlign w:val="center"/>
          </w:tcPr>
          <w:p w14:paraId="18942FD4">
            <w:pPr>
              <w:pStyle w:val="255"/>
              <w:spacing w:line="240" w:lineRule="auto"/>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Cs w:val="21"/>
                <w:highlight w:val="none"/>
              </w:rPr>
              <w:t>拟派项目负责人具备工程师资格得基本分3分，具备注册岩土工程师另加2分，本项最高得5分。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提供职称证书复印件</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近3个月</w:t>
            </w:r>
            <w:r>
              <w:rPr>
                <w:rFonts w:hint="eastAsia" w:ascii="宋体" w:hAnsi="宋体" w:eastAsia="宋体" w:cs="宋体"/>
                <w:color w:val="auto"/>
                <w:sz w:val="24"/>
                <w:szCs w:val="24"/>
                <w:highlight w:val="none"/>
                <w:lang w:val="en-US" w:eastAsia="zh-CN"/>
              </w:rPr>
              <w:t>任意1个月</w:t>
            </w:r>
            <w:r>
              <w:rPr>
                <w:rFonts w:hint="eastAsia" w:ascii="宋体" w:hAnsi="宋体" w:eastAsia="宋体" w:cs="宋体"/>
                <w:color w:val="auto"/>
                <w:sz w:val="24"/>
                <w:szCs w:val="24"/>
                <w:highlight w:val="none"/>
              </w:rPr>
              <w:t>在本单位缴纳的社保证明。若人员已退休但仍可执业的，可凭社保部门出具的退休证明及聘用合同替代</w:t>
            </w:r>
            <w:r>
              <w:rPr>
                <w:rFonts w:hint="eastAsia" w:ascii="宋体" w:hAnsi="宋体" w:eastAsia="宋体" w:cs="宋体"/>
                <w:color w:val="auto"/>
                <w:sz w:val="24"/>
                <w:szCs w:val="24"/>
                <w:highlight w:val="none"/>
                <w:lang w:eastAsia="zh-CN"/>
              </w:rPr>
              <w:t>）</w:t>
            </w:r>
          </w:p>
        </w:tc>
        <w:tc>
          <w:tcPr>
            <w:tcW w:w="786" w:type="dxa"/>
            <w:shd w:val="clear" w:color="auto" w:fill="auto"/>
            <w:vAlign w:val="center"/>
          </w:tcPr>
          <w:p w14:paraId="3DC5C832">
            <w:pPr>
              <w:widowControl/>
              <w:adjustRightInd/>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950" w:type="dxa"/>
            <w:shd w:val="clear" w:color="auto" w:fill="auto"/>
            <w:vAlign w:val="center"/>
          </w:tcPr>
          <w:p w14:paraId="4E8C62F8">
            <w:pPr>
              <w:widowControl/>
              <w:adjustRightInd/>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客观分</w:t>
            </w:r>
          </w:p>
        </w:tc>
      </w:tr>
      <w:tr w14:paraId="572D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Merge w:val="continue"/>
            <w:vAlign w:val="center"/>
          </w:tcPr>
          <w:p w14:paraId="62FC99A4">
            <w:pPr>
              <w:adjustRightInd/>
              <w:snapToGrid w:val="0"/>
              <w:spacing w:line="240" w:lineRule="auto"/>
              <w:jc w:val="center"/>
              <w:rPr>
                <w:rFonts w:hint="eastAsia" w:ascii="宋体" w:hAnsi="宋体" w:eastAsia="宋体" w:cs="宋体"/>
                <w:color w:val="auto"/>
                <w:sz w:val="24"/>
                <w:szCs w:val="24"/>
                <w:highlight w:val="none"/>
              </w:rPr>
            </w:pPr>
          </w:p>
        </w:tc>
        <w:tc>
          <w:tcPr>
            <w:tcW w:w="476" w:type="dxa"/>
            <w:vMerge w:val="continue"/>
            <w:shd w:val="clear" w:color="auto" w:fill="auto"/>
            <w:vAlign w:val="center"/>
          </w:tcPr>
          <w:p w14:paraId="7F7A339F">
            <w:pPr>
              <w:adjustRightInd/>
              <w:snapToGrid w:val="0"/>
              <w:spacing w:line="240" w:lineRule="auto"/>
              <w:jc w:val="center"/>
              <w:rPr>
                <w:rFonts w:hint="eastAsia" w:ascii="宋体" w:hAnsi="宋体" w:eastAsia="宋体" w:cs="宋体"/>
                <w:color w:val="auto"/>
                <w:sz w:val="24"/>
                <w:szCs w:val="24"/>
                <w:highlight w:val="none"/>
                <w:lang w:val="en-US" w:eastAsia="zh-CN"/>
              </w:rPr>
            </w:pPr>
          </w:p>
        </w:tc>
        <w:tc>
          <w:tcPr>
            <w:tcW w:w="941" w:type="dxa"/>
            <w:vMerge w:val="continue"/>
            <w:vAlign w:val="center"/>
          </w:tcPr>
          <w:p w14:paraId="13C36CFC">
            <w:pPr>
              <w:adjustRightInd/>
              <w:snapToGrid w:val="0"/>
              <w:spacing w:line="240" w:lineRule="auto"/>
              <w:jc w:val="left"/>
              <w:rPr>
                <w:rFonts w:hint="eastAsia" w:ascii="宋体" w:hAnsi="宋体" w:eastAsia="宋体" w:cs="宋体"/>
                <w:color w:val="auto"/>
                <w:sz w:val="24"/>
                <w:szCs w:val="24"/>
                <w:highlight w:val="none"/>
              </w:rPr>
            </w:pPr>
          </w:p>
        </w:tc>
        <w:tc>
          <w:tcPr>
            <w:tcW w:w="5363" w:type="dxa"/>
            <w:shd w:val="clear" w:color="auto" w:fill="auto"/>
            <w:vAlign w:val="center"/>
          </w:tcPr>
          <w:p w14:paraId="209F54CA">
            <w:pPr>
              <w:pStyle w:val="255"/>
              <w:spacing w:line="240" w:lineRule="auto"/>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Cs w:val="21"/>
                <w:highlight w:val="none"/>
              </w:rPr>
              <w:t>除项目负责人外，拟派检测组成员人数不少于6人的得基本分</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分，项目组成员具备中级及以上职称的，每人加0.</w:t>
            </w:r>
            <w:r>
              <w:rPr>
                <w:rFonts w:hint="eastAsia" w:ascii="宋体" w:hAnsi="宋体" w:eastAsia="宋体" w:cs="宋体"/>
                <w:szCs w:val="21"/>
                <w:highlight w:val="none"/>
                <w:lang w:val="en-US" w:eastAsia="zh-CN"/>
              </w:rPr>
              <w:t>25</w:t>
            </w:r>
            <w:r>
              <w:rPr>
                <w:rFonts w:hint="eastAsia" w:ascii="宋体" w:hAnsi="宋体" w:eastAsia="宋体" w:cs="宋体"/>
                <w:szCs w:val="21"/>
                <w:highlight w:val="none"/>
              </w:rPr>
              <w:t>分，最多加</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分；本项最高得</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提供职称证书复印件</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近3个月</w:t>
            </w:r>
            <w:r>
              <w:rPr>
                <w:rFonts w:hint="eastAsia" w:ascii="宋体" w:hAnsi="宋体" w:eastAsia="宋体" w:cs="宋体"/>
                <w:color w:val="auto"/>
                <w:sz w:val="24"/>
                <w:szCs w:val="24"/>
                <w:highlight w:val="none"/>
                <w:lang w:val="en-US" w:eastAsia="zh-CN"/>
              </w:rPr>
              <w:t>任意1个月</w:t>
            </w:r>
            <w:r>
              <w:rPr>
                <w:rFonts w:hint="eastAsia" w:ascii="宋体" w:hAnsi="宋体" w:eastAsia="宋体" w:cs="宋体"/>
                <w:color w:val="auto"/>
                <w:sz w:val="24"/>
                <w:szCs w:val="24"/>
                <w:highlight w:val="none"/>
              </w:rPr>
              <w:t>在本单位缴纳的社保证明。若人员已退休但仍可执业的，可凭社保部门出具的退休证明及聘用合同替代</w:t>
            </w:r>
            <w:r>
              <w:rPr>
                <w:rFonts w:hint="eastAsia" w:ascii="宋体" w:hAnsi="宋体" w:eastAsia="宋体" w:cs="宋体"/>
                <w:color w:val="auto"/>
                <w:sz w:val="24"/>
                <w:szCs w:val="24"/>
                <w:highlight w:val="none"/>
                <w:lang w:eastAsia="zh-CN"/>
              </w:rPr>
              <w:t>）</w:t>
            </w:r>
          </w:p>
        </w:tc>
        <w:tc>
          <w:tcPr>
            <w:tcW w:w="786" w:type="dxa"/>
            <w:shd w:val="clear" w:color="auto" w:fill="auto"/>
            <w:vAlign w:val="center"/>
          </w:tcPr>
          <w:p w14:paraId="01F674C1">
            <w:pPr>
              <w:widowControl/>
              <w:adjustRightInd/>
              <w:spacing w:line="24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950" w:type="dxa"/>
            <w:shd w:val="clear" w:color="auto" w:fill="auto"/>
            <w:vAlign w:val="center"/>
          </w:tcPr>
          <w:p w14:paraId="68513173">
            <w:pPr>
              <w:widowControl/>
              <w:adjustRightInd/>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客观分</w:t>
            </w:r>
          </w:p>
        </w:tc>
      </w:tr>
      <w:tr w14:paraId="3FDD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Merge w:val="restart"/>
            <w:vAlign w:val="center"/>
          </w:tcPr>
          <w:p w14:paraId="7A89E843">
            <w:pPr>
              <w:adjustRightInd/>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技术服务分</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分）</w:t>
            </w:r>
          </w:p>
          <w:p w14:paraId="66C68C78">
            <w:pPr>
              <w:adjustRightInd/>
              <w:snapToGrid w:val="0"/>
              <w:spacing w:line="240" w:lineRule="auto"/>
              <w:jc w:val="center"/>
              <w:rPr>
                <w:rFonts w:hint="eastAsia" w:ascii="宋体" w:hAnsi="宋体" w:eastAsia="宋体" w:cs="宋体"/>
                <w:color w:val="auto"/>
                <w:sz w:val="24"/>
                <w:szCs w:val="24"/>
                <w:highlight w:val="none"/>
              </w:rPr>
            </w:pPr>
          </w:p>
          <w:p w14:paraId="282C3EE1">
            <w:pPr>
              <w:adjustRightInd/>
              <w:snapToGrid w:val="0"/>
              <w:spacing w:line="240" w:lineRule="auto"/>
              <w:jc w:val="center"/>
              <w:rPr>
                <w:rFonts w:hint="eastAsia" w:ascii="宋体" w:hAnsi="宋体" w:eastAsia="宋体" w:cs="宋体"/>
                <w:color w:val="auto"/>
                <w:sz w:val="24"/>
                <w:szCs w:val="24"/>
                <w:highlight w:val="none"/>
              </w:rPr>
            </w:pPr>
          </w:p>
        </w:tc>
        <w:tc>
          <w:tcPr>
            <w:tcW w:w="476" w:type="dxa"/>
            <w:vMerge w:val="restart"/>
            <w:shd w:val="clear" w:color="auto" w:fill="auto"/>
            <w:vAlign w:val="center"/>
          </w:tcPr>
          <w:p w14:paraId="44259808">
            <w:pPr>
              <w:adjustRightInd/>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941" w:type="dxa"/>
            <w:vMerge w:val="restart"/>
            <w:vAlign w:val="center"/>
          </w:tcPr>
          <w:p w14:paraId="24070AE3">
            <w:pPr>
              <w:adjustRightInd/>
              <w:snapToGrid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工作计划</w:t>
            </w:r>
          </w:p>
        </w:tc>
        <w:tc>
          <w:tcPr>
            <w:tcW w:w="5363" w:type="dxa"/>
            <w:vAlign w:val="center"/>
          </w:tcPr>
          <w:p w14:paraId="0D3EE59B">
            <w:pPr>
              <w:adjustRightInd/>
              <w:snapToGrid w:val="0"/>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项目整体工作阶段及任务划分、进度控制合理、关键时间节点把握（本项分值设置为：</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4、3、2、1、0）</w:t>
            </w:r>
          </w:p>
        </w:tc>
        <w:tc>
          <w:tcPr>
            <w:tcW w:w="786" w:type="dxa"/>
            <w:vAlign w:val="center"/>
          </w:tcPr>
          <w:p w14:paraId="5C00853D">
            <w:pPr>
              <w:adjustRightInd/>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950" w:type="dxa"/>
            <w:vAlign w:val="center"/>
          </w:tcPr>
          <w:p w14:paraId="5CACB8CC">
            <w:pPr>
              <w:adjustRightInd/>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主观分</w:t>
            </w:r>
          </w:p>
        </w:tc>
      </w:tr>
      <w:tr w14:paraId="420E1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788" w:type="dxa"/>
            <w:vMerge w:val="continue"/>
            <w:vAlign w:val="center"/>
          </w:tcPr>
          <w:p w14:paraId="19444F1A">
            <w:pPr>
              <w:adjustRightInd/>
              <w:snapToGrid w:val="0"/>
              <w:spacing w:line="240" w:lineRule="auto"/>
              <w:jc w:val="center"/>
              <w:rPr>
                <w:rFonts w:hint="eastAsia" w:ascii="宋体" w:hAnsi="宋体" w:eastAsia="宋体" w:cs="宋体"/>
                <w:color w:val="auto"/>
                <w:sz w:val="24"/>
                <w:szCs w:val="24"/>
                <w:highlight w:val="none"/>
              </w:rPr>
            </w:pPr>
          </w:p>
        </w:tc>
        <w:tc>
          <w:tcPr>
            <w:tcW w:w="476" w:type="dxa"/>
            <w:vMerge w:val="continue"/>
            <w:shd w:val="clear" w:color="auto" w:fill="auto"/>
            <w:vAlign w:val="center"/>
          </w:tcPr>
          <w:p w14:paraId="215650BA">
            <w:pPr>
              <w:adjustRightInd/>
              <w:snapToGrid w:val="0"/>
              <w:spacing w:line="240" w:lineRule="auto"/>
              <w:jc w:val="center"/>
              <w:rPr>
                <w:rFonts w:hint="eastAsia" w:ascii="宋体" w:hAnsi="宋体" w:eastAsia="宋体" w:cs="宋体"/>
                <w:color w:val="auto"/>
                <w:sz w:val="24"/>
                <w:szCs w:val="24"/>
                <w:highlight w:val="none"/>
                <w:lang w:val="en-US" w:eastAsia="zh-CN"/>
              </w:rPr>
            </w:pPr>
          </w:p>
        </w:tc>
        <w:tc>
          <w:tcPr>
            <w:tcW w:w="941" w:type="dxa"/>
            <w:vMerge w:val="continue"/>
            <w:vAlign w:val="center"/>
          </w:tcPr>
          <w:p w14:paraId="3BCD3608">
            <w:pPr>
              <w:adjustRightInd/>
              <w:snapToGrid w:val="0"/>
              <w:spacing w:line="240" w:lineRule="auto"/>
              <w:jc w:val="center"/>
              <w:rPr>
                <w:rFonts w:hint="eastAsia" w:ascii="宋体" w:hAnsi="宋体" w:eastAsia="宋体" w:cs="宋体"/>
                <w:color w:val="auto"/>
                <w:sz w:val="24"/>
                <w:szCs w:val="24"/>
                <w:highlight w:val="none"/>
              </w:rPr>
            </w:pPr>
          </w:p>
        </w:tc>
        <w:tc>
          <w:tcPr>
            <w:tcW w:w="5363" w:type="dxa"/>
            <w:vAlign w:val="center"/>
          </w:tcPr>
          <w:p w14:paraId="03AC47F3">
            <w:pPr>
              <w:adjustRightInd/>
              <w:snapToGrid w:val="0"/>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节点进度细化合理、有利于项目开展</w:t>
            </w:r>
            <w:r>
              <w:rPr>
                <w:rFonts w:hint="eastAsia" w:ascii="宋体" w:hAnsi="宋体" w:eastAsia="宋体" w:cs="宋体"/>
                <w:color w:val="auto"/>
                <w:sz w:val="24"/>
                <w:szCs w:val="24"/>
                <w:highlight w:val="none"/>
              </w:rPr>
              <w:t>（本项分值设置为：</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4、3、2、1、0）</w:t>
            </w:r>
          </w:p>
        </w:tc>
        <w:tc>
          <w:tcPr>
            <w:tcW w:w="786" w:type="dxa"/>
            <w:vAlign w:val="center"/>
          </w:tcPr>
          <w:p w14:paraId="26DCFFEA">
            <w:pPr>
              <w:adjustRightInd/>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950" w:type="dxa"/>
            <w:vAlign w:val="center"/>
          </w:tcPr>
          <w:p w14:paraId="4836A681">
            <w:pPr>
              <w:adjustRightInd/>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主观分</w:t>
            </w:r>
          </w:p>
        </w:tc>
      </w:tr>
      <w:tr w14:paraId="691A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Merge w:val="continue"/>
            <w:vAlign w:val="center"/>
          </w:tcPr>
          <w:p w14:paraId="6978939D">
            <w:pPr>
              <w:adjustRightInd/>
              <w:snapToGrid w:val="0"/>
              <w:spacing w:line="240" w:lineRule="auto"/>
              <w:jc w:val="center"/>
              <w:rPr>
                <w:rFonts w:hint="eastAsia" w:ascii="宋体" w:hAnsi="宋体" w:eastAsia="宋体" w:cs="宋体"/>
                <w:color w:val="auto"/>
                <w:sz w:val="24"/>
                <w:szCs w:val="24"/>
                <w:highlight w:val="none"/>
              </w:rPr>
            </w:pPr>
          </w:p>
        </w:tc>
        <w:tc>
          <w:tcPr>
            <w:tcW w:w="476" w:type="dxa"/>
            <w:vMerge w:val="restart"/>
            <w:shd w:val="clear" w:color="auto" w:fill="auto"/>
            <w:vAlign w:val="center"/>
          </w:tcPr>
          <w:p w14:paraId="5A440E6F">
            <w:pPr>
              <w:adjustRightInd/>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941" w:type="dxa"/>
            <w:vMerge w:val="restart"/>
            <w:vAlign w:val="center"/>
          </w:tcPr>
          <w:p w14:paraId="43DEBC44">
            <w:pPr>
              <w:adjustRightInd/>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响应方案</w:t>
            </w:r>
          </w:p>
        </w:tc>
        <w:tc>
          <w:tcPr>
            <w:tcW w:w="5363" w:type="dxa"/>
            <w:vAlign w:val="center"/>
          </w:tcPr>
          <w:p w14:paraId="47BE2000">
            <w:pPr>
              <w:adjustRightInd/>
              <w:snapToGrid w:val="0"/>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桩基检测实施方案的</w:t>
            </w:r>
            <w:r>
              <w:rPr>
                <w:rFonts w:hint="eastAsia" w:ascii="宋体" w:hAnsi="宋体" w:eastAsia="宋体" w:cs="宋体"/>
                <w:color w:val="auto"/>
                <w:sz w:val="24"/>
                <w:szCs w:val="24"/>
                <w:highlight w:val="none"/>
              </w:rPr>
              <w:t>可行性、针对性进行综合评定（本项分值设置为：</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4、3、2、1、0）</w:t>
            </w:r>
          </w:p>
        </w:tc>
        <w:tc>
          <w:tcPr>
            <w:tcW w:w="786" w:type="dxa"/>
            <w:vAlign w:val="center"/>
          </w:tcPr>
          <w:p w14:paraId="6E4E9C01">
            <w:pPr>
              <w:adjustRightInd/>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950" w:type="dxa"/>
            <w:vAlign w:val="center"/>
          </w:tcPr>
          <w:p w14:paraId="7B30DB37">
            <w:pPr>
              <w:adjustRightInd/>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主观分</w:t>
            </w:r>
          </w:p>
        </w:tc>
      </w:tr>
      <w:tr w14:paraId="0999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Merge w:val="continue"/>
            <w:vAlign w:val="center"/>
          </w:tcPr>
          <w:p w14:paraId="767185D1">
            <w:pPr>
              <w:adjustRightInd/>
              <w:snapToGrid w:val="0"/>
              <w:spacing w:line="240" w:lineRule="auto"/>
              <w:jc w:val="center"/>
              <w:rPr>
                <w:rFonts w:hint="eastAsia" w:ascii="宋体" w:hAnsi="宋体" w:eastAsia="宋体" w:cs="宋体"/>
                <w:color w:val="auto"/>
                <w:sz w:val="24"/>
                <w:szCs w:val="24"/>
                <w:highlight w:val="none"/>
              </w:rPr>
            </w:pPr>
          </w:p>
        </w:tc>
        <w:tc>
          <w:tcPr>
            <w:tcW w:w="476" w:type="dxa"/>
            <w:vMerge w:val="continue"/>
            <w:shd w:val="clear" w:color="auto" w:fill="auto"/>
            <w:vAlign w:val="center"/>
          </w:tcPr>
          <w:p w14:paraId="1E9498EE">
            <w:pPr>
              <w:adjustRightInd/>
              <w:snapToGrid w:val="0"/>
              <w:spacing w:line="240" w:lineRule="auto"/>
              <w:jc w:val="center"/>
              <w:rPr>
                <w:rFonts w:hint="eastAsia" w:ascii="宋体" w:hAnsi="宋体" w:eastAsia="宋体" w:cs="宋体"/>
                <w:color w:val="auto"/>
                <w:sz w:val="24"/>
                <w:szCs w:val="24"/>
                <w:highlight w:val="none"/>
                <w:lang w:val="en-US" w:eastAsia="zh-CN"/>
              </w:rPr>
            </w:pPr>
          </w:p>
        </w:tc>
        <w:tc>
          <w:tcPr>
            <w:tcW w:w="941" w:type="dxa"/>
            <w:vMerge w:val="continue"/>
            <w:vAlign w:val="center"/>
          </w:tcPr>
          <w:p w14:paraId="46A44B64">
            <w:pPr>
              <w:adjustRightInd/>
              <w:snapToGrid w:val="0"/>
              <w:spacing w:line="240" w:lineRule="auto"/>
              <w:jc w:val="center"/>
              <w:rPr>
                <w:rFonts w:hint="eastAsia" w:ascii="宋体" w:hAnsi="宋体" w:eastAsia="宋体" w:cs="宋体"/>
                <w:color w:val="auto"/>
                <w:sz w:val="24"/>
                <w:szCs w:val="24"/>
                <w:highlight w:val="none"/>
              </w:rPr>
            </w:pPr>
          </w:p>
        </w:tc>
        <w:tc>
          <w:tcPr>
            <w:tcW w:w="5363" w:type="dxa"/>
            <w:vAlign w:val="center"/>
          </w:tcPr>
          <w:p w14:paraId="4F4B39F6">
            <w:pPr>
              <w:adjustRightInd/>
              <w:snapToGrid w:val="0"/>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基坑监测实施方案的</w:t>
            </w:r>
            <w:r>
              <w:rPr>
                <w:rFonts w:hint="eastAsia" w:ascii="宋体" w:hAnsi="宋体" w:eastAsia="宋体" w:cs="宋体"/>
                <w:color w:val="auto"/>
                <w:sz w:val="24"/>
                <w:szCs w:val="24"/>
                <w:highlight w:val="none"/>
              </w:rPr>
              <w:t>可行性、针对性进行综合评定（本项分值设置为：</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4、3、2、1、0）</w:t>
            </w:r>
          </w:p>
        </w:tc>
        <w:tc>
          <w:tcPr>
            <w:tcW w:w="786" w:type="dxa"/>
            <w:vAlign w:val="center"/>
          </w:tcPr>
          <w:p w14:paraId="427A842E">
            <w:pPr>
              <w:adjustRightInd/>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950" w:type="dxa"/>
            <w:vAlign w:val="center"/>
          </w:tcPr>
          <w:p w14:paraId="4F973084">
            <w:pPr>
              <w:adjustRightInd/>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主观分</w:t>
            </w:r>
          </w:p>
        </w:tc>
      </w:tr>
      <w:tr w14:paraId="74FD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Merge w:val="continue"/>
            <w:vAlign w:val="center"/>
          </w:tcPr>
          <w:p w14:paraId="6AF47640">
            <w:pPr>
              <w:adjustRightInd/>
              <w:snapToGrid w:val="0"/>
              <w:spacing w:line="240" w:lineRule="auto"/>
              <w:jc w:val="center"/>
              <w:rPr>
                <w:rFonts w:hint="eastAsia" w:ascii="宋体" w:hAnsi="宋体" w:eastAsia="宋体" w:cs="宋体"/>
                <w:color w:val="auto"/>
                <w:sz w:val="24"/>
                <w:szCs w:val="24"/>
                <w:highlight w:val="none"/>
              </w:rPr>
            </w:pPr>
          </w:p>
        </w:tc>
        <w:tc>
          <w:tcPr>
            <w:tcW w:w="476" w:type="dxa"/>
            <w:shd w:val="clear" w:color="auto" w:fill="auto"/>
            <w:vAlign w:val="center"/>
          </w:tcPr>
          <w:p w14:paraId="0131CB61">
            <w:pPr>
              <w:adjustRightInd/>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941" w:type="dxa"/>
            <w:vAlign w:val="center"/>
          </w:tcPr>
          <w:p w14:paraId="1BFC2FAF">
            <w:pPr>
              <w:adjustRightInd/>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管理服务组织机构设置、运作流程、服务管理机制</w:t>
            </w:r>
          </w:p>
        </w:tc>
        <w:tc>
          <w:tcPr>
            <w:tcW w:w="5363" w:type="dxa"/>
            <w:vAlign w:val="center"/>
          </w:tcPr>
          <w:p w14:paraId="7C7D83C7">
            <w:pPr>
              <w:adjustRightInd/>
              <w:snapToGrid w:val="0"/>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根据管理服务组织机构设置（附组织机构图）、运作流程（附运作流程图）、激励机制、监督机制、自我约束机制和信息反馈渠道及处理机制等是否科学、合理、高效（综合评定）（本项分值设置为：</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4、3、2、1、0）</w:t>
            </w:r>
          </w:p>
        </w:tc>
        <w:tc>
          <w:tcPr>
            <w:tcW w:w="786" w:type="dxa"/>
            <w:vAlign w:val="center"/>
          </w:tcPr>
          <w:p w14:paraId="6D973813">
            <w:pPr>
              <w:adjustRightInd/>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950" w:type="dxa"/>
            <w:vAlign w:val="center"/>
          </w:tcPr>
          <w:p w14:paraId="7802C893">
            <w:pPr>
              <w:adjustRightInd/>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主观分</w:t>
            </w:r>
          </w:p>
        </w:tc>
      </w:tr>
      <w:tr w14:paraId="4910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Merge w:val="continue"/>
            <w:vAlign w:val="center"/>
          </w:tcPr>
          <w:p w14:paraId="36F8A83E">
            <w:pPr>
              <w:adjustRightInd/>
              <w:snapToGrid w:val="0"/>
              <w:spacing w:line="240" w:lineRule="auto"/>
              <w:jc w:val="center"/>
              <w:rPr>
                <w:rFonts w:hint="eastAsia" w:ascii="宋体" w:hAnsi="宋体" w:eastAsia="宋体" w:cs="宋体"/>
                <w:color w:val="auto"/>
                <w:sz w:val="24"/>
                <w:szCs w:val="24"/>
                <w:highlight w:val="none"/>
              </w:rPr>
            </w:pPr>
          </w:p>
        </w:tc>
        <w:tc>
          <w:tcPr>
            <w:tcW w:w="476" w:type="dxa"/>
            <w:vMerge w:val="restart"/>
            <w:shd w:val="clear" w:color="auto" w:fill="auto"/>
            <w:vAlign w:val="center"/>
          </w:tcPr>
          <w:p w14:paraId="284E54E5">
            <w:pPr>
              <w:adjustRightInd/>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941" w:type="dxa"/>
            <w:vMerge w:val="restart"/>
            <w:vAlign w:val="center"/>
          </w:tcPr>
          <w:p w14:paraId="71ABD9AC">
            <w:pPr>
              <w:adjustRightInd/>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重点难点分析</w:t>
            </w:r>
          </w:p>
        </w:tc>
        <w:tc>
          <w:tcPr>
            <w:tcW w:w="5363" w:type="dxa"/>
            <w:vAlign w:val="center"/>
          </w:tcPr>
          <w:p w14:paraId="2D3BDE72">
            <w:pPr>
              <w:adjustRightInd/>
              <w:snapToGrid w:val="0"/>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针对本项目特点提出的重点、难点分析到位（本项分值设置为：4、3、2、1、0）</w:t>
            </w:r>
          </w:p>
        </w:tc>
        <w:tc>
          <w:tcPr>
            <w:tcW w:w="786" w:type="dxa"/>
            <w:vAlign w:val="center"/>
          </w:tcPr>
          <w:p w14:paraId="06B7AD37">
            <w:pPr>
              <w:adjustRightInd/>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950" w:type="dxa"/>
            <w:vAlign w:val="center"/>
          </w:tcPr>
          <w:p w14:paraId="583A5A04">
            <w:pPr>
              <w:adjustRightInd/>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主观分</w:t>
            </w:r>
          </w:p>
        </w:tc>
      </w:tr>
      <w:tr w14:paraId="1219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Merge w:val="continue"/>
            <w:vAlign w:val="center"/>
          </w:tcPr>
          <w:p w14:paraId="00CC1046">
            <w:pPr>
              <w:adjustRightInd/>
              <w:snapToGrid w:val="0"/>
              <w:spacing w:line="240" w:lineRule="auto"/>
              <w:jc w:val="center"/>
              <w:rPr>
                <w:rFonts w:hint="eastAsia" w:ascii="宋体" w:hAnsi="宋体" w:eastAsia="宋体" w:cs="宋体"/>
                <w:color w:val="auto"/>
                <w:sz w:val="24"/>
                <w:szCs w:val="24"/>
                <w:highlight w:val="none"/>
              </w:rPr>
            </w:pPr>
          </w:p>
        </w:tc>
        <w:tc>
          <w:tcPr>
            <w:tcW w:w="476" w:type="dxa"/>
            <w:vMerge w:val="continue"/>
            <w:shd w:val="clear" w:color="auto" w:fill="auto"/>
            <w:vAlign w:val="center"/>
          </w:tcPr>
          <w:p w14:paraId="655CAF3A">
            <w:pPr>
              <w:adjustRightInd/>
              <w:snapToGrid w:val="0"/>
              <w:spacing w:line="240" w:lineRule="auto"/>
              <w:jc w:val="center"/>
              <w:rPr>
                <w:rFonts w:hint="eastAsia" w:ascii="宋体" w:hAnsi="宋体" w:eastAsia="宋体" w:cs="宋体"/>
                <w:color w:val="auto"/>
                <w:sz w:val="24"/>
                <w:szCs w:val="24"/>
                <w:highlight w:val="none"/>
                <w:lang w:val="en-US" w:eastAsia="zh-CN"/>
              </w:rPr>
            </w:pPr>
          </w:p>
        </w:tc>
        <w:tc>
          <w:tcPr>
            <w:tcW w:w="941" w:type="dxa"/>
            <w:vMerge w:val="continue"/>
            <w:vAlign w:val="center"/>
          </w:tcPr>
          <w:p w14:paraId="76FE98D0">
            <w:pPr>
              <w:adjustRightInd/>
              <w:snapToGrid w:val="0"/>
              <w:spacing w:line="240" w:lineRule="auto"/>
              <w:jc w:val="center"/>
              <w:rPr>
                <w:rFonts w:hint="eastAsia" w:ascii="宋体" w:hAnsi="宋体" w:eastAsia="宋体" w:cs="宋体"/>
                <w:color w:val="auto"/>
                <w:sz w:val="24"/>
                <w:szCs w:val="24"/>
                <w:highlight w:val="none"/>
                <w:lang w:val="en-US" w:eastAsia="zh-CN"/>
              </w:rPr>
            </w:pPr>
          </w:p>
        </w:tc>
        <w:tc>
          <w:tcPr>
            <w:tcW w:w="5363" w:type="dxa"/>
            <w:vAlign w:val="center"/>
          </w:tcPr>
          <w:p w14:paraId="7A1CE294">
            <w:pPr>
              <w:adjustRightInd/>
              <w:snapToGrid w:val="0"/>
              <w:spacing w:line="24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评委根据各投标单位的针对本项目工程特点、难点的分析及应对措施方案，酌情打分</w:t>
            </w:r>
            <w:r>
              <w:rPr>
                <w:rFonts w:hint="eastAsia" w:ascii="宋体" w:hAnsi="宋体" w:eastAsia="宋体" w:cs="宋体"/>
                <w:color w:val="auto"/>
                <w:sz w:val="24"/>
                <w:szCs w:val="24"/>
                <w:highlight w:val="none"/>
              </w:rPr>
              <w:t>（本项分值设置为：4、3、2、1、0）</w:t>
            </w:r>
          </w:p>
        </w:tc>
        <w:tc>
          <w:tcPr>
            <w:tcW w:w="786" w:type="dxa"/>
            <w:vAlign w:val="center"/>
          </w:tcPr>
          <w:p w14:paraId="54EAA578">
            <w:pPr>
              <w:adjustRightInd/>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950" w:type="dxa"/>
            <w:vAlign w:val="center"/>
          </w:tcPr>
          <w:p w14:paraId="7C59A6A5">
            <w:pPr>
              <w:adjustRightInd/>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主观分</w:t>
            </w:r>
          </w:p>
        </w:tc>
      </w:tr>
      <w:tr w14:paraId="428F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Merge w:val="continue"/>
            <w:vAlign w:val="center"/>
          </w:tcPr>
          <w:p w14:paraId="63D6E4E6">
            <w:pPr>
              <w:adjustRightInd/>
              <w:snapToGrid w:val="0"/>
              <w:spacing w:line="240" w:lineRule="auto"/>
              <w:jc w:val="center"/>
              <w:rPr>
                <w:rFonts w:hint="eastAsia" w:ascii="宋体" w:hAnsi="宋体" w:eastAsia="宋体" w:cs="宋体"/>
                <w:color w:val="auto"/>
                <w:sz w:val="24"/>
                <w:szCs w:val="24"/>
                <w:highlight w:val="none"/>
              </w:rPr>
            </w:pPr>
          </w:p>
        </w:tc>
        <w:tc>
          <w:tcPr>
            <w:tcW w:w="476" w:type="dxa"/>
            <w:shd w:val="clear" w:color="auto" w:fill="auto"/>
            <w:vAlign w:val="center"/>
          </w:tcPr>
          <w:p w14:paraId="3024F2EE">
            <w:pPr>
              <w:adjustRightInd/>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941" w:type="dxa"/>
            <w:vAlign w:val="center"/>
          </w:tcPr>
          <w:p w14:paraId="0771E2E0">
            <w:pPr>
              <w:adjustRightInd/>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应急方案</w:t>
            </w:r>
          </w:p>
        </w:tc>
        <w:tc>
          <w:tcPr>
            <w:tcW w:w="5363" w:type="dxa"/>
            <w:vAlign w:val="center"/>
          </w:tcPr>
          <w:p w14:paraId="002E7E8E">
            <w:pPr>
              <w:adjustRightInd/>
              <w:snapToGrid w:val="0"/>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投标人针对本项目的应急预案的方针和原则，应急工程救授保障体系</w:t>
            </w:r>
            <w:r>
              <w:rPr>
                <w:rFonts w:hint="eastAsia" w:ascii="宋体" w:hAnsi="宋体" w:eastAsia="宋体" w:cs="宋体"/>
                <w:color w:val="auto"/>
                <w:sz w:val="24"/>
                <w:szCs w:val="24"/>
                <w:highlight w:val="none"/>
              </w:rPr>
              <w:t>（本项分值设置为：4、3、2、1、0）</w:t>
            </w:r>
          </w:p>
        </w:tc>
        <w:tc>
          <w:tcPr>
            <w:tcW w:w="786" w:type="dxa"/>
            <w:vAlign w:val="center"/>
          </w:tcPr>
          <w:p w14:paraId="128D2876">
            <w:pPr>
              <w:adjustRightInd/>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950" w:type="dxa"/>
            <w:vAlign w:val="center"/>
          </w:tcPr>
          <w:p w14:paraId="68C49AE0">
            <w:pPr>
              <w:adjustRightInd/>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主观分</w:t>
            </w:r>
          </w:p>
        </w:tc>
      </w:tr>
      <w:tr w14:paraId="4A28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Merge w:val="continue"/>
            <w:vAlign w:val="center"/>
          </w:tcPr>
          <w:p w14:paraId="19C2B4AE">
            <w:pPr>
              <w:adjustRightInd/>
              <w:snapToGrid w:val="0"/>
              <w:spacing w:line="240" w:lineRule="auto"/>
              <w:jc w:val="center"/>
              <w:rPr>
                <w:rFonts w:hint="eastAsia" w:ascii="宋体" w:hAnsi="宋体" w:eastAsia="宋体" w:cs="宋体"/>
                <w:color w:val="auto"/>
                <w:sz w:val="24"/>
                <w:szCs w:val="24"/>
                <w:highlight w:val="none"/>
              </w:rPr>
            </w:pPr>
          </w:p>
        </w:tc>
        <w:tc>
          <w:tcPr>
            <w:tcW w:w="476" w:type="dxa"/>
            <w:vMerge w:val="restart"/>
            <w:shd w:val="clear" w:color="auto" w:fill="auto"/>
            <w:vAlign w:val="center"/>
          </w:tcPr>
          <w:p w14:paraId="7E46F9EE">
            <w:pPr>
              <w:adjustRightInd/>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941" w:type="dxa"/>
            <w:vMerge w:val="restart"/>
            <w:vAlign w:val="center"/>
          </w:tcPr>
          <w:p w14:paraId="32F2D1BE">
            <w:pPr>
              <w:adjustRightInd/>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质量保证及</w:t>
            </w:r>
            <w:r>
              <w:rPr>
                <w:rFonts w:hint="eastAsia" w:ascii="宋体" w:hAnsi="宋体" w:eastAsia="宋体" w:cs="宋体"/>
                <w:color w:val="auto"/>
                <w:sz w:val="24"/>
                <w:szCs w:val="24"/>
                <w:highlight w:val="none"/>
                <w:lang w:val="en-US" w:eastAsia="zh-CN"/>
              </w:rPr>
              <w:t>后续服务</w:t>
            </w:r>
          </w:p>
        </w:tc>
        <w:tc>
          <w:tcPr>
            <w:tcW w:w="5363" w:type="dxa"/>
            <w:vAlign w:val="center"/>
          </w:tcPr>
          <w:p w14:paraId="76023AED">
            <w:pPr>
              <w:adjustRightInd/>
              <w:snapToGrid w:val="0"/>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根据本项目的实际情况制定安全</w:t>
            </w:r>
            <w:r>
              <w:rPr>
                <w:rFonts w:hint="eastAsia" w:ascii="宋体" w:hAnsi="宋体" w:eastAsia="宋体" w:cs="宋体"/>
                <w:color w:val="auto"/>
                <w:sz w:val="24"/>
                <w:szCs w:val="24"/>
                <w:highlight w:val="none"/>
                <w:lang w:val="en-US" w:eastAsia="zh-CN"/>
              </w:rPr>
              <w:t>保证</w:t>
            </w:r>
            <w:r>
              <w:rPr>
                <w:rFonts w:hint="eastAsia" w:ascii="宋体" w:hAnsi="宋体" w:eastAsia="宋体" w:cs="宋体"/>
                <w:color w:val="auto"/>
                <w:sz w:val="24"/>
                <w:szCs w:val="24"/>
                <w:highlight w:val="none"/>
              </w:rPr>
              <w:t>方案和措施，</w:t>
            </w:r>
            <w:r>
              <w:rPr>
                <w:rFonts w:hint="eastAsia" w:ascii="宋体" w:hAnsi="宋体" w:eastAsia="宋体" w:cs="宋体"/>
                <w:color w:val="auto"/>
                <w:sz w:val="24"/>
                <w:szCs w:val="24"/>
                <w:highlight w:val="none"/>
                <w:lang w:val="en-US" w:eastAsia="zh-CN"/>
              </w:rPr>
              <w:t>包括但不限于</w:t>
            </w:r>
            <w:r>
              <w:rPr>
                <w:rFonts w:hint="eastAsia" w:ascii="宋体" w:hAnsi="宋体" w:eastAsia="宋体" w:cs="宋体"/>
                <w:color w:val="auto"/>
                <w:sz w:val="24"/>
                <w:szCs w:val="24"/>
                <w:highlight w:val="none"/>
              </w:rPr>
              <w:t>明确的安全保证体系</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0-1</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、安全管理措施</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0-1</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、技术措施</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0-1</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、安全防护措施</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0-1</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安全责任承诺</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0-1</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786" w:type="dxa"/>
            <w:vAlign w:val="center"/>
          </w:tcPr>
          <w:p w14:paraId="76A0A106">
            <w:pPr>
              <w:adjustRightInd/>
              <w:snapToGrid w:val="0"/>
              <w:spacing w:line="240" w:lineRule="auto"/>
              <w:jc w:val="center"/>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5</w:t>
            </w:r>
          </w:p>
        </w:tc>
        <w:tc>
          <w:tcPr>
            <w:tcW w:w="950" w:type="dxa"/>
            <w:vAlign w:val="center"/>
          </w:tcPr>
          <w:p w14:paraId="74CA3210">
            <w:pPr>
              <w:adjustRightInd/>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r>
      <w:tr w14:paraId="1DE3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Merge w:val="continue"/>
            <w:vAlign w:val="center"/>
          </w:tcPr>
          <w:p w14:paraId="04D39D19">
            <w:pPr>
              <w:adjustRightInd/>
              <w:snapToGrid w:val="0"/>
              <w:spacing w:line="240" w:lineRule="auto"/>
              <w:jc w:val="center"/>
              <w:rPr>
                <w:rFonts w:hint="eastAsia" w:ascii="宋体" w:hAnsi="宋体" w:eastAsia="宋体" w:cs="宋体"/>
                <w:color w:val="auto"/>
                <w:sz w:val="24"/>
                <w:szCs w:val="24"/>
                <w:highlight w:val="none"/>
              </w:rPr>
            </w:pPr>
          </w:p>
        </w:tc>
        <w:tc>
          <w:tcPr>
            <w:tcW w:w="476" w:type="dxa"/>
            <w:vMerge w:val="continue"/>
            <w:shd w:val="clear" w:color="auto" w:fill="auto"/>
            <w:vAlign w:val="center"/>
          </w:tcPr>
          <w:p w14:paraId="1A702179">
            <w:pPr>
              <w:adjustRightInd/>
              <w:snapToGrid w:val="0"/>
              <w:spacing w:line="240" w:lineRule="auto"/>
              <w:jc w:val="center"/>
              <w:rPr>
                <w:rFonts w:hint="eastAsia" w:ascii="宋体" w:hAnsi="宋体" w:eastAsia="宋体" w:cs="宋体"/>
                <w:color w:val="auto"/>
                <w:sz w:val="24"/>
                <w:szCs w:val="24"/>
                <w:highlight w:val="none"/>
                <w:lang w:val="en-US" w:eastAsia="zh-CN"/>
              </w:rPr>
            </w:pPr>
          </w:p>
        </w:tc>
        <w:tc>
          <w:tcPr>
            <w:tcW w:w="941" w:type="dxa"/>
            <w:vMerge w:val="continue"/>
            <w:vAlign w:val="center"/>
          </w:tcPr>
          <w:p w14:paraId="71D0FB1A">
            <w:pPr>
              <w:adjustRightInd/>
              <w:snapToGrid w:val="0"/>
              <w:spacing w:line="240" w:lineRule="auto"/>
              <w:jc w:val="center"/>
              <w:rPr>
                <w:rFonts w:hint="eastAsia" w:ascii="宋体" w:hAnsi="宋体" w:eastAsia="宋体" w:cs="宋体"/>
                <w:color w:val="auto"/>
                <w:sz w:val="24"/>
                <w:szCs w:val="24"/>
                <w:highlight w:val="none"/>
              </w:rPr>
            </w:pPr>
          </w:p>
        </w:tc>
        <w:tc>
          <w:tcPr>
            <w:tcW w:w="5363" w:type="dxa"/>
            <w:vAlign w:val="center"/>
          </w:tcPr>
          <w:p w14:paraId="0FB3AB27">
            <w:pPr>
              <w:adjustRightInd/>
              <w:snapToGrid w:val="0"/>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成果报告章节及主要内容的表述是否全面、合理，是否满足规范及审查要求进行综合评定</w:t>
            </w:r>
            <w:r>
              <w:rPr>
                <w:rFonts w:hint="eastAsia" w:ascii="宋体" w:hAnsi="宋体" w:eastAsia="宋体" w:cs="宋体"/>
                <w:color w:val="auto"/>
                <w:sz w:val="24"/>
                <w:szCs w:val="24"/>
                <w:highlight w:val="none"/>
              </w:rPr>
              <w:t>（本项分值设置为：3、2、1、0）</w:t>
            </w:r>
          </w:p>
        </w:tc>
        <w:tc>
          <w:tcPr>
            <w:tcW w:w="786" w:type="dxa"/>
            <w:vAlign w:val="center"/>
          </w:tcPr>
          <w:p w14:paraId="7C07C428">
            <w:pPr>
              <w:adjustRightInd/>
              <w:snapToGrid w:val="0"/>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950" w:type="dxa"/>
            <w:vAlign w:val="center"/>
          </w:tcPr>
          <w:p w14:paraId="782531E0">
            <w:pPr>
              <w:adjustRightInd/>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主观分</w:t>
            </w:r>
          </w:p>
        </w:tc>
      </w:tr>
      <w:tr w14:paraId="60A3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Merge w:val="continue"/>
            <w:vAlign w:val="center"/>
          </w:tcPr>
          <w:p w14:paraId="191D07D8">
            <w:pPr>
              <w:adjustRightInd/>
              <w:snapToGrid w:val="0"/>
              <w:spacing w:line="240" w:lineRule="auto"/>
              <w:jc w:val="center"/>
              <w:rPr>
                <w:rFonts w:hint="eastAsia" w:ascii="宋体" w:hAnsi="宋体" w:eastAsia="宋体" w:cs="宋体"/>
                <w:color w:val="auto"/>
                <w:sz w:val="24"/>
                <w:szCs w:val="24"/>
                <w:highlight w:val="none"/>
              </w:rPr>
            </w:pPr>
          </w:p>
        </w:tc>
        <w:tc>
          <w:tcPr>
            <w:tcW w:w="476" w:type="dxa"/>
            <w:vMerge w:val="continue"/>
            <w:shd w:val="clear" w:color="auto" w:fill="auto"/>
            <w:vAlign w:val="center"/>
          </w:tcPr>
          <w:p w14:paraId="1A4136F4">
            <w:pPr>
              <w:adjustRightInd/>
              <w:snapToGrid w:val="0"/>
              <w:spacing w:line="240" w:lineRule="auto"/>
              <w:jc w:val="center"/>
              <w:rPr>
                <w:rFonts w:hint="eastAsia" w:ascii="宋体" w:hAnsi="宋体" w:eastAsia="宋体" w:cs="宋体"/>
                <w:color w:val="auto"/>
                <w:sz w:val="24"/>
                <w:szCs w:val="24"/>
                <w:highlight w:val="none"/>
                <w:lang w:val="en-US" w:eastAsia="zh-CN"/>
              </w:rPr>
            </w:pPr>
          </w:p>
        </w:tc>
        <w:tc>
          <w:tcPr>
            <w:tcW w:w="941" w:type="dxa"/>
            <w:vMerge w:val="continue"/>
            <w:vAlign w:val="center"/>
          </w:tcPr>
          <w:p w14:paraId="7257F461">
            <w:pPr>
              <w:adjustRightInd/>
              <w:snapToGrid w:val="0"/>
              <w:spacing w:line="240" w:lineRule="auto"/>
              <w:jc w:val="center"/>
              <w:rPr>
                <w:rFonts w:hint="eastAsia" w:ascii="宋体" w:hAnsi="宋体" w:eastAsia="宋体" w:cs="宋体"/>
                <w:color w:val="auto"/>
                <w:sz w:val="24"/>
                <w:szCs w:val="24"/>
                <w:highlight w:val="none"/>
              </w:rPr>
            </w:pPr>
          </w:p>
        </w:tc>
        <w:tc>
          <w:tcPr>
            <w:tcW w:w="5363" w:type="dxa"/>
            <w:vAlign w:val="center"/>
          </w:tcPr>
          <w:p w14:paraId="19B740D6">
            <w:pPr>
              <w:adjustRightInd/>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后续服务保障体系</w:t>
            </w:r>
            <w:r>
              <w:rPr>
                <w:rFonts w:hint="eastAsia" w:ascii="宋体" w:hAnsi="宋体" w:eastAsia="宋体" w:cs="宋体"/>
                <w:color w:val="auto"/>
                <w:sz w:val="24"/>
                <w:szCs w:val="24"/>
                <w:highlight w:val="none"/>
                <w:lang w:val="en-US" w:eastAsia="zh-CN"/>
              </w:rPr>
              <w:t>是否</w:t>
            </w:r>
            <w:r>
              <w:rPr>
                <w:rFonts w:hint="eastAsia" w:ascii="宋体" w:hAnsi="宋体" w:eastAsia="宋体" w:cs="宋体"/>
                <w:color w:val="auto"/>
                <w:sz w:val="24"/>
                <w:szCs w:val="24"/>
                <w:highlight w:val="none"/>
              </w:rPr>
              <w:t>健全，应对措施科学，与</w:t>
            </w:r>
            <w:r>
              <w:rPr>
                <w:rFonts w:hint="eastAsia" w:ascii="宋体" w:hAnsi="宋体" w:eastAsia="宋体" w:cs="宋体"/>
                <w:color w:val="auto"/>
                <w:sz w:val="24"/>
                <w:szCs w:val="24"/>
                <w:highlight w:val="none"/>
                <w:lang w:val="en-US" w:eastAsia="zh-CN"/>
              </w:rPr>
              <w:t>交易发起人的</w:t>
            </w:r>
            <w:r>
              <w:rPr>
                <w:rFonts w:hint="eastAsia" w:ascii="宋体" w:hAnsi="宋体" w:eastAsia="宋体" w:cs="宋体"/>
                <w:color w:val="auto"/>
                <w:sz w:val="24"/>
                <w:szCs w:val="24"/>
                <w:highlight w:val="none"/>
              </w:rPr>
              <w:t>配合</w:t>
            </w:r>
            <w:r>
              <w:rPr>
                <w:rFonts w:hint="eastAsia" w:ascii="宋体" w:hAnsi="宋体" w:eastAsia="宋体" w:cs="宋体"/>
                <w:color w:val="auto"/>
                <w:sz w:val="24"/>
                <w:szCs w:val="24"/>
                <w:highlight w:val="none"/>
                <w:lang w:val="en-US" w:eastAsia="zh-CN"/>
              </w:rPr>
              <w:t>程度等</w:t>
            </w:r>
            <w:r>
              <w:rPr>
                <w:rFonts w:hint="eastAsia" w:ascii="宋体" w:hAnsi="宋体" w:eastAsia="宋体" w:cs="宋体"/>
                <w:color w:val="auto"/>
                <w:sz w:val="24"/>
                <w:szCs w:val="24"/>
                <w:highlight w:val="none"/>
              </w:rPr>
              <w:t>（本项分值设置为：3、2、1、0）</w:t>
            </w:r>
          </w:p>
        </w:tc>
        <w:tc>
          <w:tcPr>
            <w:tcW w:w="786" w:type="dxa"/>
            <w:vAlign w:val="center"/>
          </w:tcPr>
          <w:p w14:paraId="6ABFACAF">
            <w:pPr>
              <w:adjustRightInd/>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950" w:type="dxa"/>
            <w:vAlign w:val="center"/>
          </w:tcPr>
          <w:p w14:paraId="24A716BE">
            <w:pPr>
              <w:adjustRightInd/>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r>
      <w:tr w14:paraId="33E02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8" w:type="dxa"/>
            <w:vMerge w:val="continue"/>
            <w:vAlign w:val="center"/>
          </w:tcPr>
          <w:p w14:paraId="50ED1185">
            <w:pPr>
              <w:adjustRightInd/>
              <w:snapToGrid w:val="0"/>
              <w:spacing w:line="240" w:lineRule="auto"/>
              <w:jc w:val="center"/>
              <w:rPr>
                <w:rFonts w:hint="eastAsia" w:ascii="宋体" w:hAnsi="宋体" w:eastAsia="宋体" w:cs="宋体"/>
                <w:color w:val="auto"/>
                <w:sz w:val="24"/>
                <w:szCs w:val="24"/>
                <w:highlight w:val="none"/>
              </w:rPr>
            </w:pPr>
          </w:p>
        </w:tc>
        <w:tc>
          <w:tcPr>
            <w:tcW w:w="476" w:type="dxa"/>
            <w:vMerge w:val="restart"/>
            <w:shd w:val="clear" w:color="auto" w:fill="auto"/>
            <w:vAlign w:val="center"/>
          </w:tcPr>
          <w:p w14:paraId="21C96039">
            <w:pPr>
              <w:adjustRightInd/>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941" w:type="dxa"/>
            <w:vMerge w:val="restart"/>
            <w:vAlign w:val="center"/>
          </w:tcPr>
          <w:p w14:paraId="4D4567E4">
            <w:pPr>
              <w:adjustRightInd/>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对项目的合理化建议及服务承诺</w:t>
            </w:r>
          </w:p>
        </w:tc>
        <w:tc>
          <w:tcPr>
            <w:tcW w:w="5363" w:type="dxa"/>
            <w:vAlign w:val="center"/>
          </w:tcPr>
          <w:p w14:paraId="3FC461C7">
            <w:pPr>
              <w:adjustRightInd/>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对本项目的合理化建议（综合评定）（本项分值设置为：3、2、1、0）</w:t>
            </w:r>
          </w:p>
        </w:tc>
        <w:tc>
          <w:tcPr>
            <w:tcW w:w="786" w:type="dxa"/>
            <w:vAlign w:val="center"/>
          </w:tcPr>
          <w:p w14:paraId="57D9F6B1">
            <w:pPr>
              <w:adjustRightInd/>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950" w:type="dxa"/>
            <w:vAlign w:val="center"/>
          </w:tcPr>
          <w:p w14:paraId="59427093">
            <w:pPr>
              <w:adjustRightInd/>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r>
      <w:tr w14:paraId="27A2C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Merge w:val="continue"/>
            <w:vAlign w:val="center"/>
          </w:tcPr>
          <w:p w14:paraId="2CB6C7D0">
            <w:pPr>
              <w:adjustRightInd/>
              <w:snapToGrid w:val="0"/>
              <w:spacing w:line="240" w:lineRule="auto"/>
              <w:jc w:val="center"/>
              <w:rPr>
                <w:rFonts w:hint="eastAsia" w:ascii="宋体" w:hAnsi="宋体" w:eastAsia="宋体" w:cs="宋体"/>
                <w:color w:val="auto"/>
                <w:sz w:val="24"/>
                <w:szCs w:val="24"/>
                <w:highlight w:val="none"/>
              </w:rPr>
            </w:pPr>
          </w:p>
        </w:tc>
        <w:tc>
          <w:tcPr>
            <w:tcW w:w="476" w:type="dxa"/>
            <w:vMerge w:val="continue"/>
            <w:vAlign w:val="center"/>
          </w:tcPr>
          <w:p w14:paraId="01FB94CA">
            <w:pPr>
              <w:adjustRightInd/>
              <w:snapToGrid w:val="0"/>
              <w:spacing w:line="240" w:lineRule="auto"/>
              <w:jc w:val="center"/>
              <w:rPr>
                <w:rFonts w:hint="eastAsia" w:ascii="宋体" w:hAnsi="宋体" w:eastAsia="宋体" w:cs="宋体"/>
                <w:color w:val="auto"/>
                <w:sz w:val="24"/>
                <w:szCs w:val="24"/>
                <w:highlight w:val="none"/>
                <w:lang w:val="en-US" w:eastAsia="zh-CN"/>
              </w:rPr>
            </w:pPr>
          </w:p>
        </w:tc>
        <w:tc>
          <w:tcPr>
            <w:tcW w:w="941" w:type="dxa"/>
            <w:vMerge w:val="continue"/>
            <w:vAlign w:val="center"/>
          </w:tcPr>
          <w:p w14:paraId="24F7EA0F">
            <w:pPr>
              <w:adjustRightInd/>
              <w:snapToGrid w:val="0"/>
              <w:spacing w:line="240" w:lineRule="auto"/>
              <w:jc w:val="center"/>
              <w:rPr>
                <w:rFonts w:hint="eastAsia" w:ascii="宋体" w:hAnsi="宋体" w:eastAsia="宋体" w:cs="宋体"/>
                <w:color w:val="auto"/>
                <w:sz w:val="24"/>
                <w:szCs w:val="24"/>
                <w:highlight w:val="none"/>
              </w:rPr>
            </w:pPr>
          </w:p>
        </w:tc>
        <w:tc>
          <w:tcPr>
            <w:tcW w:w="5363" w:type="dxa"/>
            <w:vAlign w:val="center"/>
          </w:tcPr>
          <w:p w14:paraId="5CD1D8CE">
            <w:pPr>
              <w:adjustRightInd/>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服务承诺（根据售后服务方案、措施、响应及本地化服务能力等情况综合评定）（本项分值设置为：3、2、1、0）</w:t>
            </w:r>
          </w:p>
        </w:tc>
        <w:tc>
          <w:tcPr>
            <w:tcW w:w="786" w:type="dxa"/>
            <w:vAlign w:val="center"/>
          </w:tcPr>
          <w:p w14:paraId="1F0EAEDB">
            <w:pPr>
              <w:adjustRightInd/>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950" w:type="dxa"/>
            <w:vAlign w:val="center"/>
          </w:tcPr>
          <w:p w14:paraId="3BF21FD2">
            <w:pPr>
              <w:adjustRightInd/>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r>
      <w:tr w14:paraId="78371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61" w:hRule="atLeast"/>
          <w:jc w:val="center"/>
        </w:trPr>
        <w:tc>
          <w:tcPr>
            <w:tcW w:w="788" w:type="dxa"/>
            <w:vAlign w:val="center"/>
          </w:tcPr>
          <w:p w14:paraId="30606CA5">
            <w:pPr>
              <w:adjustRightInd/>
              <w:snapToGrid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价格</w:t>
            </w:r>
            <w:r>
              <w:rPr>
                <w:rFonts w:hint="eastAsia" w:ascii="宋体" w:hAnsi="宋体" w:eastAsia="宋体" w:cs="宋体"/>
                <w:color w:val="auto"/>
                <w:sz w:val="24"/>
                <w:szCs w:val="24"/>
                <w:highlight w:val="none"/>
                <w:lang w:val="en-US" w:eastAsia="zh-CN"/>
              </w:rPr>
              <w:t>分</w:t>
            </w:r>
          </w:p>
          <w:p w14:paraId="45010311">
            <w:pPr>
              <w:adjustRightInd/>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c>
          <w:tcPr>
            <w:tcW w:w="476" w:type="dxa"/>
            <w:vAlign w:val="center"/>
          </w:tcPr>
          <w:p w14:paraId="3C0D0A78">
            <w:pPr>
              <w:adjustRightInd/>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941" w:type="dxa"/>
            <w:vAlign w:val="center"/>
          </w:tcPr>
          <w:p w14:paraId="279BEDA5">
            <w:pPr>
              <w:adjustRightInd/>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价格权值=0.</w:t>
            </w:r>
            <w:r>
              <w:rPr>
                <w:rFonts w:hint="eastAsia" w:ascii="宋体" w:hAnsi="宋体" w:cs="宋体"/>
                <w:color w:val="auto"/>
                <w:sz w:val="24"/>
                <w:szCs w:val="24"/>
                <w:highlight w:val="none"/>
                <w:lang w:val="en-US" w:eastAsia="zh-CN"/>
              </w:rPr>
              <w:t>30</w:t>
            </w:r>
          </w:p>
        </w:tc>
        <w:tc>
          <w:tcPr>
            <w:tcW w:w="5363" w:type="dxa"/>
            <w:vAlign w:val="center"/>
          </w:tcPr>
          <w:p w14:paraId="13FC81D9">
            <w:pPr>
              <w:adjustRightInd/>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最低有效投标价格为评标基准价</w:t>
            </w:r>
          </w:p>
          <w:p w14:paraId="5CE1A04F">
            <w:pPr>
              <w:adjustRightInd/>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投标报价得分=(评标基准价／投标报价)×价格权值×100（计算得分保留小数点后2位）</w:t>
            </w:r>
          </w:p>
          <w:p w14:paraId="34E21380">
            <w:pPr>
              <w:adjustRightInd/>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评标过程中，不得去掉报价中的最高报价和最低报价。</w:t>
            </w:r>
          </w:p>
        </w:tc>
        <w:tc>
          <w:tcPr>
            <w:tcW w:w="786" w:type="dxa"/>
            <w:vAlign w:val="center"/>
          </w:tcPr>
          <w:p w14:paraId="07956791">
            <w:pPr>
              <w:adjustRightInd/>
              <w:snapToGrid w:val="0"/>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p>
        </w:tc>
        <w:tc>
          <w:tcPr>
            <w:tcW w:w="950" w:type="dxa"/>
            <w:vAlign w:val="center"/>
          </w:tcPr>
          <w:p w14:paraId="7B21301F">
            <w:pPr>
              <w:adjustRightInd/>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r>
    </w:tbl>
    <w:p w14:paraId="2E71003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备注：1、投标人编制投标文件（商务技术文件部分）时，建议按此目录（序号和内容）提供评标标准相应的商务技术资料。 </w:t>
      </w:r>
    </w:p>
    <w:p w14:paraId="1A1D350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2、评分条款中涉及的业绩、荣誉、人员、社保等分公司均有效。涉及社保、劳动关系证明关系的，如人员为法人代表，则无需提供相关证明，提供营业执照及身份证。</w:t>
      </w:r>
    </w:p>
    <w:p w14:paraId="7A199A6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3、投标文件中如附有外文资料，必须逐一对应翻译成中文并加盖投标人公章后附在相关外文资料后面，否则外文资料不予认可。</w:t>
      </w:r>
    </w:p>
    <w:p w14:paraId="3DE4E796">
      <w:pPr>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p w14:paraId="06898AD1">
      <w:pPr>
        <w:snapToGrid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32"/>
          <w:highlight w:val="none"/>
        </w:rPr>
        <w:t>一、评标方法</w:t>
      </w:r>
    </w:p>
    <w:p w14:paraId="28090F3C">
      <w:pPr>
        <w:adjustRightInd/>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1.本项目采用综合评分法。</w:t>
      </w:r>
      <w:r>
        <w:rPr>
          <w:rFonts w:hint="eastAsia" w:ascii="宋体" w:hAnsi="宋体" w:eastAsia="宋体" w:cs="宋体"/>
          <w:color w:val="auto"/>
          <w:kern w:val="0"/>
          <w:sz w:val="24"/>
          <w:highlight w:val="none"/>
        </w:rPr>
        <w:t>综合评分法，是指投标文件满足招标文件全部实质性要求，且按照评审因素的量化指标评审得分最高的投标人为中标候选人的评标方法。</w:t>
      </w:r>
    </w:p>
    <w:p w14:paraId="56D02141">
      <w:pPr>
        <w:adjustRightInd/>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sz w:val="32"/>
          <w:highlight w:val="none"/>
        </w:rPr>
        <w:t>二、评标标准</w:t>
      </w:r>
    </w:p>
    <w:p w14:paraId="2E7A49EE">
      <w:pPr>
        <w:spacing w:line="360" w:lineRule="auto"/>
        <w:ind w:firstLine="472" w:firstLineChars="19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color w:val="auto"/>
          <w:highlight w:val="none"/>
        </w:rPr>
        <w:t xml:space="preserve"> </w:t>
      </w:r>
      <w:r>
        <w:rPr>
          <w:rFonts w:hint="eastAsia" w:ascii="宋体" w:hAnsi="宋体" w:eastAsia="宋体" w:cs="宋体"/>
          <w:b/>
          <w:color w:val="auto"/>
          <w:sz w:val="24"/>
          <w:highlight w:val="none"/>
        </w:rPr>
        <w:t>评标标准：</w:t>
      </w:r>
      <w:r>
        <w:rPr>
          <w:rFonts w:hint="eastAsia" w:ascii="宋体" w:hAnsi="宋体" w:eastAsia="宋体" w:cs="宋体"/>
          <w:color w:val="auto"/>
          <w:kern w:val="0"/>
          <w:sz w:val="24"/>
          <w:highlight w:val="none"/>
        </w:rPr>
        <w:t>见评标办法前附表。</w:t>
      </w:r>
    </w:p>
    <w:p w14:paraId="6AE293EF">
      <w:pPr>
        <w:spacing w:line="360" w:lineRule="auto"/>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三、评标程序</w:t>
      </w:r>
    </w:p>
    <w:p w14:paraId="25ECEECE">
      <w:pPr>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3.1符合性审查。</w:t>
      </w:r>
      <w:r>
        <w:rPr>
          <w:rFonts w:hint="eastAsia" w:ascii="宋体" w:hAnsi="宋体" w:eastAsia="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370D1015">
      <w:pPr>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3.2 比较与评价。</w:t>
      </w:r>
      <w:r>
        <w:rPr>
          <w:rFonts w:hint="eastAsia" w:ascii="宋体" w:hAnsi="宋体" w:eastAsia="宋体" w:cs="宋体"/>
          <w:color w:val="auto"/>
          <w:kern w:val="0"/>
          <w:sz w:val="24"/>
          <w:highlight w:val="none"/>
        </w:rPr>
        <w:t>评标委员会应当按照招标文件中规定的评标方法和标准，对符合性审查合格的投标文件进行商务和技术评估，综合比较与评价。</w:t>
      </w:r>
    </w:p>
    <w:p w14:paraId="69F2F1AA">
      <w:pPr>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3.3汇总商务技术得分。</w:t>
      </w:r>
      <w:r>
        <w:rPr>
          <w:rFonts w:hint="eastAsia" w:ascii="宋体" w:hAnsi="宋体" w:eastAsia="宋体" w:cs="宋体"/>
          <w:color w:val="auto"/>
          <w:kern w:val="0"/>
          <w:sz w:val="24"/>
          <w:highlight w:val="none"/>
        </w:rPr>
        <w:t>评标委员会各成员应当独立对每个投标人的商务和技术文件进行评价，并汇总商务技术得分情况。</w:t>
      </w:r>
    </w:p>
    <w:p w14:paraId="66AC9162">
      <w:pPr>
        <w:spacing w:line="360" w:lineRule="auto"/>
        <w:ind w:firstLine="472" w:firstLineChars="196"/>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3.4报价评审。</w:t>
      </w:r>
    </w:p>
    <w:p w14:paraId="26DC07E7">
      <w:pPr>
        <w:pStyle w:val="128"/>
        <w:spacing w:before="0"/>
        <w:ind w:firstLine="508" w:firstLineChars="212"/>
        <w:rPr>
          <w:rFonts w:hint="eastAsia" w:ascii="宋体" w:hAnsi="宋体" w:eastAsia="宋体" w:cs="宋体"/>
          <w:color w:val="auto"/>
          <w:kern w:val="0"/>
          <w:highlight w:val="none"/>
        </w:rPr>
      </w:pPr>
      <w:r>
        <w:rPr>
          <w:rFonts w:hint="eastAsia" w:ascii="宋体" w:hAnsi="宋体" w:eastAsia="宋体" w:cs="宋体"/>
          <w:color w:val="auto"/>
          <w:kern w:val="0"/>
          <w:highlight w:val="none"/>
        </w:rPr>
        <w:t>3.4.1投标文件报价出现前后不一致的，按照下列规定修正：</w:t>
      </w:r>
    </w:p>
    <w:p w14:paraId="6CF3A336">
      <w:pPr>
        <w:pStyle w:val="128"/>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3.4.1.1投标文件中开标一览表(报价表)内容与投标文件中相应内容不一致的，以开标一览表(报价表)为准;</w:t>
      </w:r>
    </w:p>
    <w:p w14:paraId="246F1E42">
      <w:pPr>
        <w:pStyle w:val="128"/>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3.4.1.2大写金额和小写金额不一致的，以大写金额为准;</w:t>
      </w:r>
    </w:p>
    <w:p w14:paraId="2783E8E2">
      <w:pPr>
        <w:pStyle w:val="128"/>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3.4.1.3单价金额小数点或者百分比有明显错位的，以开标一览表的总价为准，并修改单价;</w:t>
      </w:r>
    </w:p>
    <w:p w14:paraId="4F805A38">
      <w:pPr>
        <w:pStyle w:val="128"/>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3.4.1.4总价金额与按单价汇总金额不一致的，以单价金额计算结果为准。</w:t>
      </w:r>
    </w:p>
    <w:p w14:paraId="2B094F28">
      <w:pPr>
        <w:pStyle w:val="128"/>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163B002A">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3.4.2投标文件出现不是唯一的、有选择性投标报价的，投标无效。</w:t>
      </w:r>
    </w:p>
    <w:p w14:paraId="6C77458B">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3.4.3投标报价超过招标文件中规定的预算金额或者最高限价的，投标无效。</w:t>
      </w:r>
    </w:p>
    <w:p w14:paraId="1108A08D">
      <w:pPr>
        <w:pStyle w:val="128"/>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3C3C207C">
      <w:pPr>
        <w:pStyle w:val="128"/>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3.4.5对于未预留份额专门面向中小企业的政府采购货物项目，以及预留份额政府采购货物项目中的非预留部分标项，对小型和微型企业的投标报价给予10%-20%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7410E21D">
      <w:pPr>
        <w:spacing w:line="360" w:lineRule="auto"/>
        <w:ind w:firstLine="482" w:firstLineChars="200"/>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3.5排序与推荐。</w:t>
      </w:r>
      <w:r>
        <w:rPr>
          <w:rFonts w:hint="eastAsia" w:ascii="宋体" w:hAnsi="宋体" w:eastAsia="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207F055">
      <w:pPr>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6DA2AA47">
      <w:pPr>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w:t>
      </w:r>
      <w:r>
        <w:rPr>
          <w:rFonts w:hint="eastAsia" w:ascii="宋体" w:hAnsi="宋体" w:eastAsia="宋体" w:cs="宋体"/>
          <w:bCs/>
          <w:color w:val="auto"/>
          <w:kern w:val="0"/>
          <w:sz w:val="24"/>
          <w:highlight w:val="none"/>
        </w:rPr>
        <w:t>6</w:t>
      </w:r>
      <w:r>
        <w:rPr>
          <w:rFonts w:hint="eastAsia" w:ascii="宋体" w:hAnsi="宋体" w:eastAsia="宋体" w:cs="宋体"/>
          <w:b/>
          <w:color w:val="auto"/>
          <w:kern w:val="0"/>
          <w:sz w:val="24"/>
          <w:highlight w:val="none"/>
        </w:rPr>
        <w:t>编写评标报告。</w:t>
      </w:r>
      <w:r>
        <w:rPr>
          <w:rFonts w:hint="eastAsia" w:ascii="宋体" w:hAnsi="宋体" w:eastAsia="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30F1438">
      <w:pPr>
        <w:widowControl/>
        <w:shd w:val="clear" w:color="auto" w:fill="FFFFFF"/>
        <w:adjustRightInd/>
        <w:spacing w:after="225" w:line="315" w:lineRule="atLeast"/>
        <w:jc w:val="left"/>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四、评标中的其他事项</w:t>
      </w:r>
    </w:p>
    <w:p w14:paraId="216D0B40">
      <w:pPr>
        <w:pStyle w:val="128"/>
        <w:spacing w:before="0"/>
        <w:ind w:firstLine="472" w:firstLineChars="196"/>
        <w:rPr>
          <w:rFonts w:hint="eastAsia" w:ascii="宋体" w:hAnsi="宋体" w:eastAsia="宋体" w:cs="宋体"/>
          <w:color w:val="auto"/>
          <w:kern w:val="0"/>
          <w:szCs w:val="24"/>
          <w:highlight w:val="none"/>
        </w:rPr>
      </w:pPr>
      <w:r>
        <w:rPr>
          <w:rFonts w:hint="eastAsia" w:ascii="宋体" w:hAnsi="宋体" w:eastAsia="宋体" w:cs="宋体"/>
          <w:b/>
          <w:color w:val="auto"/>
          <w:kern w:val="0"/>
          <w:szCs w:val="24"/>
          <w:highlight w:val="none"/>
        </w:rPr>
        <w:t>4.1投标人澄清、说明或者补正。</w:t>
      </w:r>
      <w:r>
        <w:rPr>
          <w:rFonts w:hint="eastAsia" w:ascii="宋体" w:hAnsi="宋体" w:eastAsia="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3AE45C16">
      <w:pPr>
        <w:pStyle w:val="24"/>
        <w:spacing w:line="360" w:lineRule="auto"/>
        <w:ind w:left="954" w:leftChars="226" w:hanging="479" w:firstLineChars="0"/>
        <w:rPr>
          <w:rFonts w:hint="eastAsia" w:ascii="宋体" w:hAnsi="宋体" w:eastAsia="宋体" w:cs="宋体"/>
          <w:color w:val="auto"/>
          <w:szCs w:val="21"/>
          <w:highlight w:val="none"/>
        </w:rPr>
      </w:pPr>
      <w:r>
        <w:rPr>
          <w:rFonts w:hint="eastAsia" w:ascii="宋体" w:hAnsi="宋体" w:eastAsia="宋体" w:cs="宋体"/>
          <w:b/>
          <w:color w:val="auto"/>
          <w:kern w:val="0"/>
          <w:highlight w:val="none"/>
        </w:rPr>
        <w:t>4.2投标无效。</w:t>
      </w:r>
      <w:r>
        <w:rPr>
          <w:rFonts w:hint="eastAsia" w:ascii="宋体" w:hAnsi="宋体" w:eastAsia="宋体" w:cs="宋体"/>
          <w:color w:val="auto"/>
          <w:szCs w:val="21"/>
          <w:highlight w:val="none"/>
        </w:rPr>
        <w:t>有下列情形之一的，投标无效：</w:t>
      </w:r>
    </w:p>
    <w:p w14:paraId="12E640F9">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4.2.1投标人不具备招标文件中规定的资格要求的（投标人未提供有效的资格文件的，视为投标人不具备招标文件中规定的资格要求）；</w:t>
      </w:r>
    </w:p>
    <w:p w14:paraId="66F65A0B">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4.2.2投标文件未按照招标文件要求签署、盖章的；</w:t>
      </w:r>
    </w:p>
    <w:p w14:paraId="27504777">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4C695CD8">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4.2.4投标文件含有采购人不能接受的附加条件的；</w:t>
      </w:r>
    </w:p>
    <w:p w14:paraId="010274B2">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4.2.5投标文件中承诺的投标有效期少于招标文件中载明的投标有效期的；</w:t>
      </w:r>
    </w:p>
    <w:p w14:paraId="4ADF2D1B">
      <w:pPr>
        <w:snapToGrid w:val="0"/>
        <w:spacing w:line="360" w:lineRule="auto"/>
        <w:ind w:firstLine="120" w:firstLineChars="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4.2.6投标文件出现不是唯一的、有选择性投标报价的;</w:t>
      </w:r>
    </w:p>
    <w:p w14:paraId="0FACC845">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4.2.7投标报价超过招标文件中规定的预算金额或者最高限价的; 投标报价低于项目预算50%，未在报价文件中详细阐述不影响产品质量或者诚信履约的具体原因的；</w:t>
      </w:r>
    </w:p>
    <w:p w14:paraId="2355763B">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4.2.8报价明显低于其他通过符合性审查投标人的报价，有可能影响产品质量或者不能诚信履约的，未能按要求提供书面说明或者提交相关证明材料，不能证明其报价合理性的；</w:t>
      </w:r>
    </w:p>
    <w:p w14:paraId="549AE94E">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4.2.9投标人对根据修正原则修正后的报价不确认的；</w:t>
      </w:r>
    </w:p>
    <w:p w14:paraId="239C4C6E">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4.2.10投标人提供虚假材料投标的；</w:t>
      </w:r>
    </w:p>
    <w:p w14:paraId="33C61EE5">
      <w:pPr>
        <w:spacing w:line="360" w:lineRule="auto"/>
        <w:ind w:firstLine="240" w:firstLine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4.2.11投标人有恶意串通、妨碍其他投标人的竞争行为、损害采购人或者其他投标人的合法权益情形的；</w:t>
      </w:r>
    </w:p>
    <w:p w14:paraId="5703A77D">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kern w:val="0"/>
          <w:sz w:val="24"/>
          <w:highlight w:val="none"/>
        </w:rPr>
        <w:t>4.2.12</w:t>
      </w:r>
      <w:r>
        <w:rPr>
          <w:rFonts w:hint="eastAsia" w:ascii="宋体" w:hAnsi="宋体" w:eastAsia="宋体" w:cs="宋体"/>
          <w:color w:val="auto"/>
          <w:kern w:val="0"/>
          <w:sz w:val="24"/>
          <w:highlight w:val="none"/>
          <w:lang w:val="en-US" w:eastAsia="zh-CN"/>
        </w:rPr>
        <w:t>参与同一个采购包（标段）的供应商存在下列情形之一且无法合理解释的，其投标文件无效：（1）不同供应商的电子投标文件上传计算机的网卡MAC地址或硬盘序列号等硬件信息相同的；（2）上传的电子投标文件若出现使用本项目其他投标供应商的数字证书加密的，或者加盖本项目其他投标供应商的电子印章的；（3）不同供应商的投标文件的内容存在3处（含）以上错误一致的；（4）不同供应商联系人为同一人或不同联系人的联系电话一致的。</w:t>
      </w:r>
    </w:p>
    <w:p w14:paraId="30E3A7F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投标人仅提交备份投标文件，未在电子交易平台传输递交投标文件的，投标无效；</w:t>
      </w:r>
    </w:p>
    <w:p w14:paraId="5EF30C1E">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投标人未提供样品或提供的样品不满足采购需求实质性条件的，投标无效；</w:t>
      </w:r>
    </w:p>
    <w:p w14:paraId="57B46F76">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kern w:val="0"/>
          <w:sz w:val="24"/>
          <w:highlight w:val="none"/>
        </w:rPr>
        <w:t>4.2.1</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投标文件不满足招标文件的实质性要求的；</w:t>
      </w:r>
    </w:p>
    <w:p w14:paraId="1E713F2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法律、法规、规章（适用本市的）及省级以上规范性文件（适用本市的）规定的其他无效情形。</w:t>
      </w:r>
    </w:p>
    <w:p w14:paraId="2DF0B21B">
      <w:pPr>
        <w:pStyle w:val="24"/>
        <w:snapToGrid w:val="0"/>
        <w:spacing w:line="360" w:lineRule="auto"/>
        <w:ind w:firstLine="472" w:firstLineChars="196"/>
        <w:rPr>
          <w:rFonts w:hint="eastAsia" w:ascii="宋体" w:hAnsi="宋体" w:eastAsia="宋体" w:cs="宋体"/>
          <w:color w:val="auto"/>
          <w:highlight w:val="none"/>
        </w:rPr>
      </w:pPr>
      <w:r>
        <w:rPr>
          <w:rFonts w:hint="eastAsia" w:ascii="宋体" w:hAnsi="宋体" w:eastAsia="宋体" w:cs="宋体"/>
          <w:b/>
          <w:color w:val="auto"/>
          <w:highlight w:val="none"/>
        </w:rPr>
        <w:t>5.废标。</w:t>
      </w:r>
      <w:r>
        <w:rPr>
          <w:rFonts w:hint="eastAsia" w:ascii="宋体" w:hAnsi="宋体" w:eastAsia="宋体" w:cs="宋体"/>
          <w:color w:val="auto"/>
          <w:highlight w:val="none"/>
        </w:rPr>
        <w:t>根据《中华人民共和国政府采购法》第三十六条之规定，在采购中，出现下列情形之一的，应予废标：</w:t>
      </w:r>
    </w:p>
    <w:p w14:paraId="02AF2F6B">
      <w:pPr>
        <w:pStyle w:val="24"/>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5.1符合专业条件的供应商或者对招标文件作实质响应的供应商不足3家的；</w:t>
      </w:r>
    </w:p>
    <w:p w14:paraId="079ABF9B">
      <w:pPr>
        <w:pStyle w:val="24"/>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5.2出现影响采购公正的违法、违规行为的；</w:t>
      </w:r>
    </w:p>
    <w:p w14:paraId="52CBAA6B">
      <w:pPr>
        <w:pStyle w:val="24"/>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5.3投标人的报价均超过了采购预算，采购人不能支付的；</w:t>
      </w:r>
    </w:p>
    <w:p w14:paraId="64D3D3C3">
      <w:pPr>
        <w:pStyle w:val="24"/>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5.4因重大变故，采购任务取消的。</w:t>
      </w:r>
    </w:p>
    <w:p w14:paraId="22A3FAAA">
      <w:pPr>
        <w:pStyle w:val="24"/>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废标后，采购代理机构应当将废标理由通知所有投标人。</w:t>
      </w:r>
    </w:p>
    <w:p w14:paraId="3FD5D854">
      <w:pPr>
        <w:pStyle w:val="24"/>
        <w:snapToGrid w:val="0"/>
        <w:spacing w:line="360" w:lineRule="auto"/>
        <w:ind w:firstLine="590" w:firstLineChars="245"/>
        <w:rPr>
          <w:rFonts w:hint="eastAsia" w:ascii="宋体" w:hAnsi="宋体" w:eastAsia="宋体" w:cs="宋体"/>
          <w:color w:val="auto"/>
          <w:highlight w:val="none"/>
        </w:rPr>
      </w:pPr>
      <w:r>
        <w:rPr>
          <w:rFonts w:hint="eastAsia" w:ascii="宋体" w:hAnsi="宋体" w:eastAsia="宋体" w:cs="宋体"/>
          <w:b/>
          <w:color w:val="auto"/>
          <w:highlight w:val="none"/>
        </w:rPr>
        <w:t>6.修改招标文件，重新组织采购活动。</w:t>
      </w:r>
      <w:r>
        <w:rPr>
          <w:rFonts w:hint="eastAsia" w:ascii="宋体" w:hAnsi="宋体" w:eastAsia="宋体" w:cs="宋体"/>
          <w:color w:val="auto"/>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3A967699">
      <w:pPr>
        <w:pStyle w:val="24"/>
        <w:snapToGrid w:val="0"/>
        <w:spacing w:line="360" w:lineRule="auto"/>
        <w:ind w:firstLine="482"/>
        <w:rPr>
          <w:rFonts w:hint="eastAsia" w:ascii="宋体" w:hAnsi="宋体" w:eastAsia="宋体" w:cs="宋体"/>
          <w:color w:val="auto"/>
          <w:highlight w:val="none"/>
        </w:rPr>
      </w:pPr>
      <w:r>
        <w:rPr>
          <w:rFonts w:hint="eastAsia" w:ascii="宋体" w:hAnsi="宋体" w:eastAsia="宋体" w:cs="宋体"/>
          <w:b/>
          <w:color w:val="auto"/>
          <w:kern w:val="0"/>
          <w:highlight w:val="none"/>
        </w:rPr>
        <w:t>7.重新开展采购。</w:t>
      </w:r>
      <w:r>
        <w:rPr>
          <w:rFonts w:hint="eastAsia" w:ascii="宋体" w:hAnsi="宋体" w:eastAsia="宋体" w:cs="宋体"/>
          <w:color w:val="auto"/>
          <w:highlight w:val="none"/>
        </w:rPr>
        <w:t>有政府采购法第七十一条、第七十二条规定的违法行为之一，影响或者可能影响中标结果的，依照下列规定处理：</w:t>
      </w:r>
    </w:p>
    <w:p w14:paraId="0A0D4607">
      <w:pPr>
        <w:pStyle w:val="24"/>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7.1未确定中标供应商的，终止本次政府采购活动，重新开展政府采购活动。</w:t>
      </w:r>
    </w:p>
    <w:p w14:paraId="7EDB17A8">
      <w:pPr>
        <w:pStyle w:val="24"/>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7.2已确定中标供应商但尚未签订政府采购合同的，中标结果无效，从合格的中标候选人中另行确定中标供应商；没有合格的中标候选人的，重新开展政府采购活动。</w:t>
      </w:r>
    </w:p>
    <w:p w14:paraId="080673A3">
      <w:pPr>
        <w:pStyle w:val="24"/>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7.3政府采购合同已签订但尚未履行的，撤销合同，从合格的中标候选人中另行确定中标供应商；没有合格的中标候选人的，重新开展政府采购活动。</w:t>
      </w:r>
    </w:p>
    <w:p w14:paraId="17AC62B8">
      <w:pPr>
        <w:pStyle w:val="24"/>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7.4政府采购合同已经履行，给采购人、供应商造成损失的，由责任人承担赔偿责任。</w:t>
      </w:r>
    </w:p>
    <w:p w14:paraId="034F4239">
      <w:pPr>
        <w:spacing w:line="360" w:lineRule="auto"/>
        <w:ind w:firstLine="420"/>
        <w:outlineLvl w:val="0"/>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sz w:val="24"/>
          <w:highlight w:val="none"/>
        </w:rPr>
        <w:t>5政府采购当事人有其他违反政府采购法或者政府采购法实施条例等法律法规规定的行为，经改正后仍然影响或者可能影响中标结果或者依法被认定为中标无效的，依照7.1-7.4规定处理。</w:t>
      </w:r>
    </w:p>
    <w:p w14:paraId="0D0FB297">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24A87FE">
      <w:pPr>
        <w:numPr>
          <w:ilvl w:val="0"/>
          <w:numId w:val="9"/>
        </w:numPr>
        <w:spacing w:line="360" w:lineRule="auto"/>
        <w:ind w:left="720" w:leftChars="343" w:firstLine="1084" w:firstLineChars="300"/>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拟签订的合同文本</w:t>
      </w:r>
    </w:p>
    <w:p w14:paraId="7249A8E3">
      <w:p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合同编号：</w:t>
      </w:r>
      <w:r>
        <w:rPr>
          <w:rFonts w:hint="eastAsia" w:ascii="宋体" w:hAnsi="宋体" w:eastAsia="宋体" w:cs="宋体"/>
          <w:color w:val="auto"/>
          <w:sz w:val="24"/>
          <w:highlight w:val="none"/>
          <w:u w:val="single"/>
        </w:rPr>
        <w:t xml:space="preserve">           </w:t>
      </w:r>
    </w:p>
    <w:p w14:paraId="3EB569A7">
      <w:pPr>
        <w:pStyle w:val="3"/>
        <w:ind w:left="0" w:firstLine="0"/>
        <w:rPr>
          <w:rFonts w:hint="eastAsia" w:ascii="宋体" w:hAnsi="宋体" w:eastAsia="宋体" w:cs="宋体"/>
          <w:color w:val="auto"/>
          <w:highlight w:val="none"/>
        </w:rPr>
      </w:pPr>
    </w:p>
    <w:p w14:paraId="092C38F1">
      <w:pPr>
        <w:spacing w:line="48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政府采购合同参考范本</w:t>
      </w:r>
    </w:p>
    <w:p w14:paraId="29148D23">
      <w:pPr>
        <w:spacing w:line="48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（服务类）</w:t>
      </w:r>
    </w:p>
    <w:p w14:paraId="740EB232">
      <w:pPr>
        <w:pStyle w:val="699"/>
        <w:ind w:firstLine="2843" w:firstLineChars="118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第一部分 合同书</w:t>
      </w:r>
    </w:p>
    <w:p w14:paraId="18502F20">
      <w:pPr>
        <w:spacing w:before="120" w:line="22" w:lineRule="atLeast"/>
        <w:rPr>
          <w:rFonts w:hint="eastAsia" w:ascii="宋体" w:hAnsi="宋体" w:eastAsia="宋体" w:cs="宋体"/>
          <w:color w:val="auto"/>
          <w:sz w:val="24"/>
          <w:highlight w:val="none"/>
        </w:rPr>
      </w:pPr>
    </w:p>
    <w:p w14:paraId="53E9B8D0">
      <w:pPr>
        <w:pStyle w:val="3"/>
        <w:rPr>
          <w:rFonts w:hint="eastAsia" w:ascii="宋体" w:hAnsi="宋体" w:eastAsia="宋体" w:cs="宋体"/>
          <w:color w:val="auto"/>
          <w:highlight w:val="none"/>
        </w:rPr>
      </w:pPr>
    </w:p>
    <w:p w14:paraId="1A784FA4">
      <w:pPr>
        <w:spacing w:before="120" w:line="22" w:lineRule="atLeast"/>
        <w:ind w:left="96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5BBD04A6">
      <w:pPr>
        <w:pStyle w:val="596"/>
        <w:spacing w:before="120" w:line="22" w:lineRule="atLeast"/>
        <w:rPr>
          <w:rFonts w:hint="eastAsia" w:ascii="宋体" w:hAnsi="宋体" w:eastAsia="宋体" w:cs="宋体"/>
          <w:color w:val="auto"/>
          <w:szCs w:val="24"/>
          <w:highlight w:val="none"/>
        </w:rPr>
      </w:pPr>
    </w:p>
    <w:p w14:paraId="3C78F874">
      <w:pPr>
        <w:pStyle w:val="596"/>
        <w:spacing w:before="120" w:line="22" w:lineRule="atLeast"/>
        <w:rPr>
          <w:rFonts w:hint="eastAsia" w:ascii="宋体" w:hAnsi="宋体" w:eastAsia="宋体" w:cs="宋体"/>
          <w:color w:val="auto"/>
          <w:szCs w:val="24"/>
          <w:highlight w:val="none"/>
        </w:rPr>
      </w:pPr>
    </w:p>
    <w:p w14:paraId="1440AEB3">
      <w:pPr>
        <w:rPr>
          <w:rFonts w:hint="eastAsia" w:ascii="宋体" w:hAnsi="宋体" w:eastAsia="宋体" w:cs="宋体"/>
          <w:color w:val="auto"/>
          <w:sz w:val="24"/>
          <w:highlight w:val="none"/>
        </w:rPr>
      </w:pPr>
    </w:p>
    <w:p w14:paraId="18F5708D">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 xml:space="preserve">                                       </w:t>
      </w:r>
    </w:p>
    <w:p w14:paraId="39230002">
      <w:pPr>
        <w:spacing w:before="120" w:line="22" w:lineRule="atLeast"/>
        <w:rPr>
          <w:rFonts w:hint="eastAsia" w:ascii="宋体" w:hAnsi="宋体" w:eastAsia="宋体" w:cs="宋体"/>
          <w:color w:val="auto"/>
          <w:sz w:val="24"/>
          <w:highlight w:val="none"/>
        </w:rPr>
      </w:pPr>
    </w:p>
    <w:p w14:paraId="635501CB">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w:t>
      </w:r>
    </w:p>
    <w:p w14:paraId="2B74FC53">
      <w:pPr>
        <w:spacing w:before="120" w:line="22" w:lineRule="atLeast"/>
        <w:rPr>
          <w:rFonts w:hint="eastAsia" w:ascii="宋体" w:hAnsi="宋体" w:eastAsia="宋体" w:cs="宋体"/>
          <w:color w:val="auto"/>
          <w:sz w:val="24"/>
          <w:highlight w:val="none"/>
        </w:rPr>
      </w:pPr>
    </w:p>
    <w:p w14:paraId="1581E202">
      <w:pPr>
        <w:spacing w:before="120" w:line="22" w:lineRule="atLeast"/>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w:t>
      </w:r>
      <w:r>
        <w:rPr>
          <w:rFonts w:hint="eastAsia" w:ascii="宋体" w:hAnsi="宋体" w:eastAsia="宋体" w:cs="宋体"/>
          <w:color w:val="auto"/>
          <w:sz w:val="24"/>
          <w:highlight w:val="none"/>
          <w:u w:val="single"/>
        </w:rPr>
        <w:t xml:space="preserve">                                     </w:t>
      </w:r>
    </w:p>
    <w:p w14:paraId="3757A442">
      <w:pPr>
        <w:spacing w:before="120" w:line="22" w:lineRule="atLeast"/>
        <w:rPr>
          <w:rFonts w:hint="eastAsia" w:ascii="宋体" w:hAnsi="宋体" w:eastAsia="宋体" w:cs="宋体"/>
          <w:color w:val="auto"/>
          <w:sz w:val="24"/>
          <w:highlight w:val="none"/>
        </w:rPr>
      </w:pPr>
    </w:p>
    <w:p w14:paraId="439ED20A">
      <w:pPr>
        <w:spacing w:before="120" w:line="22" w:lineRule="atLeast"/>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6DC2B853">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2A8449A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（采购人）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（政府采购方式）  </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 xml:space="preserve">   （相关评定主体名称）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（中标或者成交供应商名称） </w:t>
      </w:r>
      <w:r>
        <w:rPr>
          <w:rFonts w:hint="eastAsia" w:ascii="宋体" w:hAnsi="宋体" w:eastAsia="宋体" w:cs="宋体"/>
          <w:color w:val="auto"/>
          <w:sz w:val="24"/>
          <w:highlight w:val="none"/>
        </w:rPr>
        <w:t>为该项目中标或者成交供应商。现于中标或者成交通知书发出之日起10个工作日内，按照采购文件确定的事项签订本合同。</w:t>
      </w:r>
    </w:p>
    <w:p w14:paraId="458B5B69">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highlight w:val="none"/>
          <w:u w:val="single"/>
        </w:rPr>
        <w:t xml:space="preserve">   （采购人）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（中或者成交标供应商名称）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3B572579">
      <w:pPr>
        <w:spacing w:line="560" w:lineRule="exact"/>
        <w:ind w:firstLine="482" w:firstLineChars="200"/>
        <w:outlineLvl w:val="0"/>
        <w:rPr>
          <w:rFonts w:hint="eastAsia" w:ascii="宋体" w:hAnsi="宋体" w:eastAsia="宋体" w:cs="宋体"/>
          <w:color w:val="auto"/>
          <w:sz w:val="24"/>
          <w:highlight w:val="none"/>
        </w:rPr>
      </w:pPr>
      <w:bookmarkStart w:id="394" w:name="_Toc19273"/>
      <w:bookmarkStart w:id="395" w:name="_Toc15367"/>
      <w:bookmarkStart w:id="396" w:name="_Toc28855"/>
      <w:bookmarkStart w:id="397" w:name="_Toc22967"/>
      <w:bookmarkStart w:id="398" w:name="_Toc20421"/>
      <w:r>
        <w:rPr>
          <w:rFonts w:hint="eastAsia" w:ascii="宋体" w:hAnsi="宋体" w:eastAsia="宋体" w:cs="宋体"/>
          <w:b/>
          <w:color w:val="auto"/>
          <w:sz w:val="24"/>
          <w:highlight w:val="none"/>
        </w:rPr>
        <w:t>1.1 合同组成部分</w:t>
      </w:r>
      <w:bookmarkEnd w:id="394"/>
      <w:bookmarkEnd w:id="395"/>
      <w:bookmarkEnd w:id="396"/>
      <w:bookmarkEnd w:id="397"/>
      <w:bookmarkEnd w:id="398"/>
    </w:p>
    <w:p w14:paraId="6FF5D80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2465C7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47104EB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中标或者成交通知书；</w:t>
      </w:r>
    </w:p>
    <w:p w14:paraId="32637762">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投标或者响应文件（含澄清或者说明文件）；</w:t>
      </w:r>
    </w:p>
    <w:p w14:paraId="765719F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采购文件（含澄清或者修改文件）；</w:t>
      </w:r>
    </w:p>
    <w:p w14:paraId="77967B6E">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14:paraId="478C9A2F">
      <w:pPr>
        <w:spacing w:line="560" w:lineRule="exact"/>
        <w:ind w:firstLine="482" w:firstLineChars="200"/>
        <w:outlineLvl w:val="0"/>
        <w:rPr>
          <w:rFonts w:hint="eastAsia" w:ascii="宋体" w:hAnsi="宋体" w:eastAsia="宋体" w:cs="宋体"/>
          <w:b/>
          <w:color w:val="auto"/>
          <w:sz w:val="24"/>
          <w:highlight w:val="none"/>
        </w:rPr>
      </w:pPr>
      <w:bookmarkStart w:id="399" w:name="_Toc6311"/>
      <w:bookmarkStart w:id="400" w:name="_Toc6773"/>
      <w:bookmarkStart w:id="401" w:name="_Toc22185"/>
      <w:bookmarkStart w:id="402" w:name="_Toc2918"/>
      <w:bookmarkStart w:id="403" w:name="_Toc18585"/>
      <w:r>
        <w:rPr>
          <w:rFonts w:hint="eastAsia" w:ascii="宋体" w:hAnsi="宋体" w:eastAsia="宋体" w:cs="宋体"/>
          <w:b/>
          <w:color w:val="auto"/>
          <w:sz w:val="24"/>
          <w:highlight w:val="none"/>
        </w:rPr>
        <w:t>1.2 标的</w:t>
      </w:r>
      <w:bookmarkEnd w:id="399"/>
      <w:bookmarkEnd w:id="400"/>
      <w:bookmarkEnd w:id="401"/>
      <w:bookmarkEnd w:id="402"/>
      <w:bookmarkEnd w:id="403"/>
    </w:p>
    <w:p w14:paraId="54BBEB20">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 服务内容：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733FB44">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1.2.2 服务标准：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C4E91ED">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1.2.3 技术保障：</w:t>
      </w:r>
      <w:r>
        <w:rPr>
          <w:rFonts w:hint="eastAsia" w:ascii="宋体" w:hAnsi="宋体" w:eastAsia="宋体" w:cs="宋体"/>
          <w:color w:val="auto"/>
          <w:sz w:val="24"/>
          <w:highlight w:val="none"/>
          <w:u w:val="single"/>
        </w:rPr>
        <w:t>　　　　　　　　　                      　      ；</w:t>
      </w:r>
    </w:p>
    <w:p w14:paraId="7122532B">
      <w:pPr>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1.2.4 服务人员组成：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F21DF71">
      <w:pPr>
        <w:pStyle w:val="957"/>
        <w:spacing w:before="0" w:beforeAutospacing="0" w:after="0"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1.2.5合同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（是/否）涉及货物。若涉及货物的的，则：</w:t>
      </w:r>
    </w:p>
    <w:p w14:paraId="22188BBE">
      <w:pPr>
        <w:spacing w:line="560" w:lineRule="exact"/>
        <w:ind w:firstLine="480" w:firstLineChars="200"/>
        <w:rPr>
          <w:rFonts w:hint="eastAsia" w:ascii="宋体" w:hAnsi="宋体" w:eastAsia="宋体" w:cs="宋体"/>
          <w:color w:val="auto"/>
          <w:sz w:val="24"/>
          <w:highlight w:val="none"/>
          <w:u w:val="single"/>
        </w:rPr>
      </w:pPr>
      <w:bookmarkStart w:id="404" w:name="_Toc21124"/>
      <w:bookmarkStart w:id="405" w:name="_Toc5635"/>
      <w:bookmarkStart w:id="406" w:name="_Toc1386"/>
      <w:bookmarkStart w:id="407" w:name="_Toc4929"/>
      <w:bookmarkStart w:id="408" w:name="_Toc13918"/>
      <w:r>
        <w:rPr>
          <w:rFonts w:hint="eastAsia" w:ascii="宋体" w:hAnsi="宋体" w:eastAsia="宋体" w:cs="宋体"/>
          <w:color w:val="auto"/>
          <w:sz w:val="24"/>
          <w:highlight w:val="none"/>
        </w:rPr>
        <w:t>1.2.5.1 货物名称、品牌、规格型号、花色：</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C59D213">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1.2.5.2 货物数量：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204E029">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1.2.5.3 货物质量：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CC35B8A">
      <w:pPr>
        <w:spacing w:line="560" w:lineRule="exact"/>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 价款</w:t>
      </w:r>
      <w:bookmarkEnd w:id="404"/>
      <w:bookmarkEnd w:id="405"/>
      <w:bookmarkEnd w:id="406"/>
      <w:bookmarkEnd w:id="407"/>
      <w:bookmarkEnd w:id="408"/>
    </w:p>
    <w:p w14:paraId="3708D6D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本项目采用以下第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条款规定的计价方式计价。</w:t>
      </w:r>
    </w:p>
    <w:p w14:paraId="796453D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1.3.1总价合同，本合同总价（含税）为：￥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w:t>
      </w:r>
    </w:p>
    <w:p w14:paraId="411F1031">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62"/>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BF2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FF9DA86">
            <w:pPr>
              <w:pStyle w:val="317"/>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402" w:type="dxa"/>
            <w:vAlign w:val="center"/>
          </w:tcPr>
          <w:p w14:paraId="62D1F2DB">
            <w:pPr>
              <w:pStyle w:val="317"/>
              <w:spacing w:line="560" w:lineRule="exact"/>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2552" w:type="dxa"/>
            <w:vAlign w:val="center"/>
          </w:tcPr>
          <w:p w14:paraId="7A59FF35">
            <w:pPr>
              <w:pStyle w:val="317"/>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3F4C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8E8D025">
            <w:pPr>
              <w:pStyle w:val="317"/>
              <w:spacing w:line="560" w:lineRule="exact"/>
              <w:ind w:firstLine="200"/>
              <w:jc w:val="center"/>
              <w:rPr>
                <w:rFonts w:hint="eastAsia" w:ascii="宋体" w:hAnsi="宋体" w:eastAsia="宋体" w:cs="宋体"/>
                <w:color w:val="auto"/>
                <w:sz w:val="24"/>
                <w:szCs w:val="24"/>
                <w:highlight w:val="none"/>
              </w:rPr>
            </w:pPr>
          </w:p>
        </w:tc>
        <w:tc>
          <w:tcPr>
            <w:tcW w:w="3402" w:type="dxa"/>
            <w:vAlign w:val="center"/>
          </w:tcPr>
          <w:p w14:paraId="61EC4F44">
            <w:pPr>
              <w:pStyle w:val="317"/>
              <w:spacing w:line="560" w:lineRule="exact"/>
              <w:ind w:firstLine="200"/>
              <w:jc w:val="center"/>
              <w:rPr>
                <w:rFonts w:hint="eastAsia" w:ascii="宋体" w:hAnsi="宋体" w:eastAsia="宋体" w:cs="宋体"/>
                <w:color w:val="auto"/>
                <w:sz w:val="24"/>
                <w:szCs w:val="24"/>
                <w:highlight w:val="none"/>
              </w:rPr>
            </w:pPr>
          </w:p>
        </w:tc>
        <w:tc>
          <w:tcPr>
            <w:tcW w:w="2552" w:type="dxa"/>
            <w:vAlign w:val="center"/>
          </w:tcPr>
          <w:p w14:paraId="1709CBE1">
            <w:pPr>
              <w:pStyle w:val="317"/>
              <w:spacing w:line="560" w:lineRule="exact"/>
              <w:ind w:firstLine="200"/>
              <w:jc w:val="center"/>
              <w:rPr>
                <w:rFonts w:hint="eastAsia" w:ascii="宋体" w:hAnsi="宋体" w:eastAsia="宋体" w:cs="宋体"/>
                <w:color w:val="auto"/>
                <w:sz w:val="24"/>
                <w:szCs w:val="24"/>
                <w:highlight w:val="none"/>
              </w:rPr>
            </w:pPr>
          </w:p>
        </w:tc>
      </w:tr>
      <w:tr w14:paraId="04B32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F6FAF33">
            <w:pPr>
              <w:pStyle w:val="317"/>
              <w:spacing w:line="560" w:lineRule="exact"/>
              <w:ind w:firstLine="200"/>
              <w:jc w:val="center"/>
              <w:rPr>
                <w:rFonts w:hint="eastAsia" w:ascii="宋体" w:hAnsi="宋体" w:eastAsia="宋体" w:cs="宋体"/>
                <w:color w:val="auto"/>
                <w:sz w:val="24"/>
                <w:szCs w:val="24"/>
                <w:highlight w:val="none"/>
              </w:rPr>
            </w:pPr>
          </w:p>
        </w:tc>
        <w:tc>
          <w:tcPr>
            <w:tcW w:w="3402" w:type="dxa"/>
            <w:vAlign w:val="center"/>
          </w:tcPr>
          <w:p w14:paraId="6DFFCE4C">
            <w:pPr>
              <w:pStyle w:val="317"/>
              <w:spacing w:line="560" w:lineRule="exact"/>
              <w:ind w:firstLine="200"/>
              <w:jc w:val="center"/>
              <w:rPr>
                <w:rFonts w:hint="eastAsia" w:ascii="宋体" w:hAnsi="宋体" w:eastAsia="宋体" w:cs="宋体"/>
                <w:color w:val="auto"/>
                <w:sz w:val="24"/>
                <w:szCs w:val="24"/>
                <w:highlight w:val="none"/>
              </w:rPr>
            </w:pPr>
          </w:p>
        </w:tc>
        <w:tc>
          <w:tcPr>
            <w:tcW w:w="2552" w:type="dxa"/>
            <w:vAlign w:val="center"/>
          </w:tcPr>
          <w:p w14:paraId="444E4060">
            <w:pPr>
              <w:pStyle w:val="317"/>
              <w:spacing w:line="560" w:lineRule="exact"/>
              <w:ind w:firstLine="200"/>
              <w:jc w:val="center"/>
              <w:rPr>
                <w:rFonts w:hint="eastAsia" w:ascii="宋体" w:hAnsi="宋体" w:eastAsia="宋体" w:cs="宋体"/>
                <w:color w:val="auto"/>
                <w:sz w:val="24"/>
                <w:szCs w:val="24"/>
                <w:highlight w:val="none"/>
              </w:rPr>
            </w:pPr>
          </w:p>
        </w:tc>
      </w:tr>
      <w:tr w14:paraId="283E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C3C1DDE">
            <w:pPr>
              <w:pStyle w:val="317"/>
              <w:spacing w:line="560" w:lineRule="exact"/>
              <w:ind w:firstLine="200"/>
              <w:jc w:val="center"/>
              <w:rPr>
                <w:rFonts w:hint="eastAsia" w:ascii="宋体" w:hAnsi="宋体" w:eastAsia="宋体" w:cs="宋体"/>
                <w:color w:val="auto"/>
                <w:sz w:val="24"/>
                <w:szCs w:val="24"/>
                <w:highlight w:val="none"/>
              </w:rPr>
            </w:pPr>
          </w:p>
        </w:tc>
        <w:tc>
          <w:tcPr>
            <w:tcW w:w="3402" w:type="dxa"/>
            <w:vAlign w:val="center"/>
          </w:tcPr>
          <w:p w14:paraId="4158D3A0">
            <w:pPr>
              <w:pStyle w:val="317"/>
              <w:spacing w:line="560" w:lineRule="exact"/>
              <w:ind w:firstLine="200"/>
              <w:jc w:val="center"/>
              <w:rPr>
                <w:rFonts w:hint="eastAsia" w:ascii="宋体" w:hAnsi="宋体" w:eastAsia="宋体" w:cs="宋体"/>
                <w:color w:val="auto"/>
                <w:sz w:val="24"/>
                <w:szCs w:val="24"/>
                <w:highlight w:val="none"/>
              </w:rPr>
            </w:pPr>
          </w:p>
        </w:tc>
        <w:tc>
          <w:tcPr>
            <w:tcW w:w="2552" w:type="dxa"/>
            <w:vAlign w:val="center"/>
          </w:tcPr>
          <w:p w14:paraId="057EE0B8">
            <w:pPr>
              <w:pStyle w:val="317"/>
              <w:spacing w:line="560" w:lineRule="exact"/>
              <w:ind w:firstLine="200"/>
              <w:jc w:val="center"/>
              <w:rPr>
                <w:rFonts w:hint="eastAsia" w:ascii="宋体" w:hAnsi="宋体" w:eastAsia="宋体" w:cs="宋体"/>
                <w:color w:val="auto"/>
                <w:sz w:val="24"/>
                <w:szCs w:val="24"/>
                <w:highlight w:val="none"/>
              </w:rPr>
            </w:pPr>
          </w:p>
        </w:tc>
      </w:tr>
      <w:tr w14:paraId="2B9F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39ACF1C">
            <w:pPr>
              <w:pStyle w:val="317"/>
              <w:spacing w:line="560" w:lineRule="exact"/>
              <w:ind w:firstLine="200"/>
              <w:jc w:val="center"/>
              <w:rPr>
                <w:rFonts w:hint="eastAsia" w:ascii="宋体" w:hAnsi="宋体" w:eastAsia="宋体" w:cs="宋体"/>
                <w:color w:val="auto"/>
                <w:sz w:val="24"/>
                <w:szCs w:val="24"/>
                <w:highlight w:val="none"/>
              </w:rPr>
            </w:pPr>
          </w:p>
        </w:tc>
        <w:tc>
          <w:tcPr>
            <w:tcW w:w="3402" w:type="dxa"/>
            <w:vAlign w:val="center"/>
          </w:tcPr>
          <w:p w14:paraId="428405F8">
            <w:pPr>
              <w:pStyle w:val="317"/>
              <w:spacing w:line="560" w:lineRule="exact"/>
              <w:ind w:firstLine="200"/>
              <w:jc w:val="center"/>
              <w:rPr>
                <w:rFonts w:hint="eastAsia" w:ascii="宋体" w:hAnsi="宋体" w:eastAsia="宋体" w:cs="宋体"/>
                <w:color w:val="auto"/>
                <w:sz w:val="24"/>
                <w:szCs w:val="24"/>
                <w:highlight w:val="none"/>
              </w:rPr>
            </w:pPr>
          </w:p>
        </w:tc>
        <w:tc>
          <w:tcPr>
            <w:tcW w:w="2552" w:type="dxa"/>
            <w:vAlign w:val="center"/>
          </w:tcPr>
          <w:p w14:paraId="6617BB85">
            <w:pPr>
              <w:pStyle w:val="317"/>
              <w:spacing w:line="560" w:lineRule="exact"/>
              <w:ind w:firstLine="200"/>
              <w:jc w:val="center"/>
              <w:rPr>
                <w:rFonts w:hint="eastAsia" w:ascii="宋体" w:hAnsi="宋体" w:eastAsia="宋体" w:cs="宋体"/>
                <w:color w:val="auto"/>
                <w:sz w:val="24"/>
                <w:szCs w:val="24"/>
                <w:highlight w:val="none"/>
              </w:rPr>
            </w:pPr>
          </w:p>
        </w:tc>
      </w:tr>
      <w:tr w14:paraId="056E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0239154F">
            <w:pPr>
              <w:pStyle w:val="317"/>
              <w:spacing w:line="560" w:lineRule="exact"/>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2552" w:type="dxa"/>
            <w:vAlign w:val="center"/>
          </w:tcPr>
          <w:p w14:paraId="77E63469">
            <w:pPr>
              <w:pStyle w:val="317"/>
              <w:spacing w:line="560" w:lineRule="exact"/>
              <w:ind w:firstLine="200"/>
              <w:jc w:val="center"/>
              <w:rPr>
                <w:rFonts w:hint="eastAsia" w:ascii="宋体" w:hAnsi="宋体" w:eastAsia="宋体" w:cs="宋体"/>
                <w:color w:val="auto"/>
                <w:sz w:val="24"/>
                <w:szCs w:val="24"/>
                <w:highlight w:val="none"/>
              </w:rPr>
            </w:pPr>
          </w:p>
        </w:tc>
      </w:tr>
    </w:tbl>
    <w:p w14:paraId="3688FC82">
      <w:pPr>
        <w:spacing w:line="560" w:lineRule="exact"/>
        <w:ind w:firstLine="480" w:firstLineChars="200"/>
        <w:rPr>
          <w:rFonts w:hint="eastAsia" w:ascii="宋体" w:hAnsi="宋体" w:eastAsia="宋体" w:cs="宋体"/>
          <w:color w:val="auto"/>
          <w:sz w:val="24"/>
          <w:highlight w:val="none"/>
        </w:rPr>
      </w:pPr>
      <w:bookmarkStart w:id="409" w:name="_Toc3654"/>
      <w:bookmarkStart w:id="410" w:name="_Toc14993"/>
      <w:bookmarkStart w:id="411" w:name="_Toc26916"/>
      <w:bookmarkStart w:id="412" w:name="_Toc30506"/>
      <w:bookmarkStart w:id="413" w:name="_Toc30158"/>
      <w:r>
        <w:rPr>
          <w:rFonts w:hint="eastAsia" w:ascii="宋体" w:hAnsi="宋体" w:eastAsia="宋体" w:cs="宋体"/>
          <w:bCs/>
          <w:color w:val="auto"/>
          <w:sz w:val="24"/>
          <w:highlight w:val="none"/>
        </w:rPr>
        <w:t>1.3.2单价合同，本合同单价（含税）标准为：</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。服务工作量的计量方式为：</w:t>
      </w:r>
      <w:r>
        <w:rPr>
          <w:rFonts w:hint="eastAsia" w:ascii="宋体" w:hAnsi="宋体" w:eastAsia="宋体" w:cs="宋体"/>
          <w:bCs/>
          <w:color w:val="auto"/>
          <w:sz w:val="24"/>
          <w:highlight w:val="none"/>
          <w:u w:val="single"/>
        </w:rPr>
        <w:t xml:space="preserve">       </w:t>
      </w:r>
      <w:r>
        <w:rPr>
          <w:rFonts w:hint="eastAsia" w:ascii="宋体" w:hAnsi="宋体" w:eastAsia="宋体" w:cs="宋体"/>
          <w:b/>
          <w:i/>
          <w:color w:val="auto"/>
          <w:sz w:val="24"/>
          <w:highlight w:val="none"/>
          <w:u w:val="single"/>
        </w:rPr>
        <w:t>合同专用条款</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。单价合同，在合同履行期间内，根据实际完成的工作量据实结算，但结算总价上限不得超过预算金额或者双方确定的金额￥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w:t>
      </w:r>
    </w:p>
    <w:p w14:paraId="16A7442B">
      <w:pPr>
        <w:pStyle w:val="3"/>
        <w:rPr>
          <w:rFonts w:hint="eastAsia" w:ascii="宋体" w:hAnsi="宋体" w:eastAsia="宋体" w:cs="宋体"/>
          <w:color w:val="auto"/>
          <w:highlight w:val="none"/>
          <w:lang w:val="en-US"/>
        </w:rPr>
      </w:pPr>
      <w:r>
        <w:rPr>
          <w:rFonts w:hint="eastAsia" w:ascii="宋体" w:hAnsi="宋体" w:eastAsia="宋体" w:cs="宋体"/>
          <w:color w:val="auto"/>
          <w:sz w:val="24"/>
          <w:highlight w:val="none"/>
          <w:lang w:val="en-US"/>
        </w:rPr>
        <w:t xml:space="preserve">    </w:t>
      </w:r>
      <w:r>
        <w:rPr>
          <w:rFonts w:hint="eastAsia" w:ascii="宋体" w:hAnsi="宋体" w:eastAsia="宋体" w:cs="宋体"/>
          <w:b w:val="0"/>
          <w:bCs w:val="0"/>
          <w:color w:val="auto"/>
          <w:sz w:val="24"/>
          <w:highlight w:val="none"/>
          <w:lang w:val="en-US"/>
        </w:rPr>
        <w:t>1.3.3其他计价方式：</w:t>
      </w:r>
      <w:r>
        <w:rPr>
          <w:rFonts w:hint="eastAsia" w:ascii="宋体" w:hAnsi="宋体" w:eastAsia="宋体" w:cs="宋体"/>
          <w:b w:val="0"/>
          <w:bCs w:val="0"/>
          <w:color w:val="auto"/>
          <w:sz w:val="24"/>
          <w:highlight w:val="none"/>
          <w:u w:val="single"/>
          <w:lang w:val="en-US"/>
        </w:rPr>
        <w:t xml:space="preserve">                   </w:t>
      </w:r>
      <w:r>
        <w:rPr>
          <w:rFonts w:hint="eastAsia" w:ascii="宋体" w:hAnsi="宋体" w:eastAsia="宋体" w:cs="宋体"/>
          <w:b w:val="0"/>
          <w:bCs w:val="0"/>
          <w:color w:val="auto"/>
          <w:sz w:val="24"/>
          <w:highlight w:val="none"/>
        </w:rPr>
        <w:t>。</w:t>
      </w:r>
    </w:p>
    <w:bookmarkEnd w:id="409"/>
    <w:bookmarkEnd w:id="410"/>
    <w:bookmarkEnd w:id="411"/>
    <w:bookmarkEnd w:id="412"/>
    <w:bookmarkEnd w:id="413"/>
    <w:p w14:paraId="56E5434B">
      <w:pPr>
        <w:pStyle w:val="957"/>
        <w:spacing w:before="0" w:beforeAutospacing="0" w:after="0" w:afterAutospacing="0" w:line="360" w:lineRule="auto"/>
        <w:ind w:firstLine="480"/>
        <w:rPr>
          <w:rFonts w:hint="eastAsia" w:ascii="宋体" w:hAnsi="宋体" w:eastAsia="宋体" w:cs="宋体"/>
          <w:b/>
          <w:color w:val="auto"/>
          <w:highlight w:val="none"/>
        </w:rPr>
      </w:pPr>
      <w:bookmarkStart w:id="414" w:name="_Toc11108"/>
      <w:bookmarkStart w:id="415" w:name="_Toc3625"/>
      <w:bookmarkStart w:id="416" w:name="_Toc31421"/>
      <w:bookmarkStart w:id="417" w:name="_Toc8772"/>
      <w:bookmarkStart w:id="418" w:name="_Toc4760"/>
      <w:r>
        <w:rPr>
          <w:rFonts w:hint="eastAsia" w:ascii="宋体" w:hAnsi="宋体" w:eastAsia="宋体" w:cs="宋体"/>
          <w:b/>
          <w:color w:val="auto"/>
          <w:highlight w:val="none"/>
        </w:rPr>
        <w:t>1.4履约保证金</w:t>
      </w:r>
    </w:p>
    <w:p w14:paraId="49453070">
      <w:pPr>
        <w:pStyle w:val="957"/>
        <w:spacing w:before="0" w:beforeAutospacing="0" w:after="0"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乙方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（是/否）需要支付履约保证金。若需要支付履约保证金的，则：</w:t>
      </w:r>
    </w:p>
    <w:p w14:paraId="49751892">
      <w:pPr>
        <w:spacing w:line="560" w:lineRule="exact"/>
        <w:ind w:firstLine="480" w:firstLineChars="200"/>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1.4.1履约保证金的比例为合同金额的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63A65760">
      <w:pPr>
        <w:spacing w:line="560" w:lineRule="exact"/>
        <w:ind w:firstLine="480" w:firstLineChars="200"/>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1.4.2履约保证金支付方式详见</w:t>
      </w:r>
      <w:r>
        <w:rPr>
          <w:rFonts w:hint="eastAsia" w:ascii="宋体" w:hAnsi="宋体" w:eastAsia="宋体" w:cs="宋体"/>
          <w:color w:val="auto"/>
          <w:kern w:val="0"/>
          <w:sz w:val="24"/>
          <w:highlight w:val="none"/>
          <w:u w:val="single"/>
        </w:rPr>
        <w:t xml:space="preserve">    </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714E8369">
      <w:pPr>
        <w:pStyle w:val="3"/>
        <w:tabs>
          <w:tab w:val="left" w:pos="0"/>
        </w:tabs>
        <w:spacing w:line="560" w:lineRule="exact"/>
        <w:ind w:left="0" w:firstLine="480" w:firstLineChars="200"/>
        <w:rPr>
          <w:rFonts w:hint="eastAsia" w:ascii="宋体" w:hAnsi="宋体" w:eastAsia="宋体" w:cs="宋体"/>
          <w:color w:val="auto"/>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45B02843">
      <w:pPr>
        <w:spacing w:line="560" w:lineRule="exact"/>
        <w:ind w:firstLine="480" w:firstLineChars="200"/>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1.4.4甲方在项目验收结束后及时退还履约保证金。甲方在项目通过验收之日起</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eastAsia="宋体" w:cs="宋体"/>
          <w:color w:val="auto"/>
          <w:kern w:val="0"/>
          <w:sz w:val="24"/>
          <w:highlight w:val="none"/>
          <w:u w:val="single"/>
        </w:rPr>
        <w:t xml:space="preserve">  0.05（可根据情况修改）  </w:t>
      </w:r>
      <w:r>
        <w:rPr>
          <w:rFonts w:hint="eastAsia" w:ascii="宋体" w:hAnsi="宋体" w:eastAsia="宋体" w:cs="宋体"/>
          <w:color w:val="auto"/>
          <w:kern w:val="0"/>
          <w:sz w:val="24"/>
          <w:highlight w:val="none"/>
        </w:rPr>
        <w:t>%计算，最高限额为本合同履约保证金的</w:t>
      </w:r>
      <w:r>
        <w:rPr>
          <w:rFonts w:hint="eastAsia" w:ascii="宋体" w:hAnsi="宋体" w:eastAsia="宋体" w:cs="宋体"/>
          <w:color w:val="auto"/>
          <w:kern w:val="0"/>
          <w:sz w:val="24"/>
          <w:highlight w:val="none"/>
          <w:u w:val="single"/>
        </w:rPr>
        <w:t xml:space="preserve">  20  </w:t>
      </w:r>
      <w:r>
        <w:rPr>
          <w:rFonts w:hint="eastAsia" w:ascii="宋体" w:hAnsi="宋体" w:eastAsia="宋体" w:cs="宋体"/>
          <w:color w:val="auto"/>
          <w:kern w:val="0"/>
          <w:sz w:val="24"/>
          <w:highlight w:val="none"/>
        </w:rPr>
        <w:t xml:space="preserve"> %。</w:t>
      </w:r>
    </w:p>
    <w:p w14:paraId="17F54F73">
      <w:pPr>
        <w:spacing w:line="560" w:lineRule="exact"/>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1.5预付款</w:t>
      </w:r>
    </w:p>
    <w:p w14:paraId="0AA7B57E">
      <w:pPr>
        <w:pStyle w:val="957"/>
        <w:spacing w:before="0" w:beforeAutospacing="0" w:after="0"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甲方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（是/否）需要支付预付款。若需要支付预付款的，则：</w:t>
      </w:r>
    </w:p>
    <w:p w14:paraId="59908AE1">
      <w:pPr>
        <w:spacing w:line="5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1.5.1预付款比例、支付方式、时间详见</w:t>
      </w:r>
      <w:r>
        <w:rPr>
          <w:rFonts w:hint="eastAsia" w:ascii="宋体" w:hAnsi="宋体" w:eastAsia="宋体" w:cs="宋体"/>
          <w:color w:val="auto"/>
          <w:kern w:val="0"/>
          <w:sz w:val="24"/>
          <w:highlight w:val="none"/>
          <w:u w:val="single"/>
        </w:rPr>
        <w:t xml:space="preserve">    </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406F4B6B">
      <w:pPr>
        <w:pStyle w:val="957"/>
        <w:spacing w:before="0" w:beforeAutospacing="0" w:after="0"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1.5.2预付款的扣回方式详见</w:t>
      </w:r>
      <w:r>
        <w:rPr>
          <w:rFonts w:hint="eastAsia" w:ascii="宋体" w:hAnsi="宋体" w:eastAsia="宋体" w:cs="宋体"/>
          <w:color w:val="auto"/>
          <w:highlight w:val="none"/>
          <w:u w:val="single"/>
        </w:rPr>
        <w:t xml:space="preserve">    </w:t>
      </w:r>
      <w:r>
        <w:rPr>
          <w:rFonts w:hint="eastAsia" w:ascii="宋体" w:hAnsi="宋体" w:eastAsia="宋体" w:cs="宋体"/>
          <w:b/>
          <w:i/>
          <w:color w:val="auto"/>
          <w:highlight w:val="none"/>
          <w:u w:val="single"/>
        </w:rPr>
        <w:t>合同专用条款</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707BF44">
      <w:pPr>
        <w:pStyle w:val="957"/>
        <w:spacing w:before="0" w:beforeAutospacing="0" w:after="0" w:afterAutospacing="0" w:line="360" w:lineRule="auto"/>
        <w:ind w:firstLine="480"/>
        <w:rPr>
          <w:rFonts w:hint="eastAsia" w:ascii="宋体" w:hAnsi="宋体" w:eastAsia="宋体" w:cs="宋体"/>
          <w:color w:val="auto"/>
          <w:highlight w:val="none"/>
          <w:u w:val="single"/>
        </w:rPr>
      </w:pPr>
      <w:r>
        <w:rPr>
          <w:rFonts w:hint="eastAsia" w:ascii="宋体" w:hAnsi="宋体" w:eastAsia="宋体" w:cs="宋体"/>
          <w:color w:val="auto"/>
          <w:highlight w:val="none"/>
        </w:rPr>
        <w:t>1.5.3预付款的担保措施详见</w:t>
      </w:r>
      <w:r>
        <w:rPr>
          <w:rFonts w:hint="eastAsia" w:ascii="宋体" w:hAnsi="宋体" w:eastAsia="宋体" w:cs="宋体"/>
          <w:color w:val="auto"/>
          <w:highlight w:val="none"/>
          <w:u w:val="single"/>
        </w:rPr>
        <w:t xml:space="preserve">    </w:t>
      </w:r>
      <w:r>
        <w:rPr>
          <w:rFonts w:hint="eastAsia" w:ascii="宋体" w:hAnsi="宋体" w:eastAsia="宋体" w:cs="宋体"/>
          <w:b/>
          <w:i/>
          <w:color w:val="auto"/>
          <w:highlight w:val="none"/>
          <w:u w:val="single"/>
        </w:rPr>
        <w:t>合同专用条款</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DCDC885">
      <w:pPr>
        <w:pStyle w:val="957"/>
        <w:spacing w:before="0" w:beforeAutospacing="0" w:after="0" w:afterAutospacing="0" w:line="360" w:lineRule="auto"/>
        <w:ind w:firstLine="480"/>
        <w:rPr>
          <w:rFonts w:hint="eastAsia" w:ascii="宋体" w:hAnsi="宋体" w:eastAsia="宋体" w:cs="宋体"/>
          <w:b/>
          <w:bCs/>
          <w:color w:val="auto"/>
          <w:highlight w:val="none"/>
        </w:rPr>
      </w:pPr>
      <w:r>
        <w:rPr>
          <w:rFonts w:hint="eastAsia" w:ascii="宋体" w:hAnsi="宋体" w:eastAsia="宋体" w:cs="宋体"/>
          <w:b/>
          <w:bCs/>
          <w:color w:val="auto"/>
          <w:highlight w:val="none"/>
        </w:rPr>
        <w:t>1.6资金支付</w:t>
      </w:r>
    </w:p>
    <w:p w14:paraId="759029E1">
      <w:pPr>
        <w:pStyle w:val="957"/>
        <w:spacing w:before="0" w:beforeAutospacing="0" w:after="0"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29BED18D">
      <w:pPr>
        <w:spacing w:line="560" w:lineRule="exact"/>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1.6.2资金支付的方式、时间和条件详见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55338B31">
      <w:pPr>
        <w:spacing w:line="560" w:lineRule="exact"/>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1.7 履行期限、地点和方式</w:t>
      </w:r>
      <w:bookmarkEnd w:id="414"/>
      <w:bookmarkEnd w:id="415"/>
      <w:bookmarkEnd w:id="416"/>
      <w:bookmarkEnd w:id="417"/>
      <w:bookmarkEnd w:id="418"/>
    </w:p>
    <w:p w14:paraId="0AD22763">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1.7.1 服务交付（实施）的时间（期限）：</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60EF7DD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服务交付（实施）的地点（地域范围）：</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11CF22B4">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1.7.3 服务交付（实施）的方式：</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5BC844E3">
      <w:pPr>
        <w:spacing w:line="560" w:lineRule="exact"/>
        <w:ind w:firstLine="480" w:firstLineChars="200"/>
        <w:outlineLvl w:val="0"/>
        <w:rPr>
          <w:rFonts w:hint="eastAsia" w:ascii="宋体" w:hAnsi="宋体" w:eastAsia="宋体" w:cs="宋体"/>
          <w:bCs/>
          <w:color w:val="auto"/>
          <w:sz w:val="24"/>
          <w:highlight w:val="none"/>
        </w:rPr>
      </w:pPr>
      <w:bookmarkStart w:id="419" w:name="_Toc2375"/>
      <w:bookmarkStart w:id="420" w:name="_Toc24662"/>
      <w:bookmarkStart w:id="421" w:name="_Toc3079"/>
      <w:bookmarkStart w:id="422" w:name="_Toc8586"/>
      <w:bookmarkStart w:id="423" w:name="_Toc5698"/>
      <w:r>
        <w:rPr>
          <w:rFonts w:hint="eastAsia" w:ascii="宋体" w:hAnsi="宋体" w:eastAsia="宋体" w:cs="宋体"/>
          <w:bCs/>
          <w:color w:val="auto"/>
          <w:sz w:val="24"/>
          <w:highlight w:val="none"/>
        </w:rPr>
        <w:t>1.7.4若服务涉及货物的，则货物的：</w:t>
      </w:r>
    </w:p>
    <w:p w14:paraId="5842ECD2">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1.7.4.1 交付期限：详见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2888D8D9">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1.7.4.2 交付地点：</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2359B76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1.7.4.3 交付方式：</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2EB7D0CD">
      <w:pPr>
        <w:spacing w:line="560" w:lineRule="exact"/>
        <w:ind w:firstLine="482" w:firstLineChars="200"/>
        <w:outlineLvl w:val="0"/>
        <w:rPr>
          <w:rFonts w:hint="eastAsia" w:ascii="宋体" w:hAnsi="宋体" w:eastAsia="宋体" w:cs="宋体"/>
          <w:color w:val="auto"/>
          <w:sz w:val="24"/>
          <w:highlight w:val="none"/>
          <w:u w:val="single"/>
        </w:rPr>
      </w:pPr>
      <w:r>
        <w:rPr>
          <w:rFonts w:hint="eastAsia" w:ascii="宋体" w:hAnsi="宋体" w:eastAsia="宋体" w:cs="宋体"/>
          <w:b/>
          <w:color w:val="auto"/>
          <w:sz w:val="24"/>
          <w:highlight w:val="none"/>
        </w:rPr>
        <w:t>1.8违约责任</w:t>
      </w:r>
      <w:bookmarkEnd w:id="419"/>
      <w:bookmarkEnd w:id="420"/>
      <w:bookmarkEnd w:id="421"/>
      <w:bookmarkEnd w:id="422"/>
      <w:bookmarkEnd w:id="423"/>
    </w:p>
    <w:p w14:paraId="4505C269">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宋体" w:hAnsi="宋体" w:eastAsia="宋体" w:cs="宋体"/>
          <w:color w:val="auto"/>
          <w:sz w:val="24"/>
          <w:highlight w:val="none"/>
          <w:u w:val="single"/>
        </w:rPr>
        <w:t xml:space="preserve">0.05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20   </w:t>
      </w:r>
      <w:r>
        <w:rPr>
          <w:rFonts w:hint="eastAsia" w:ascii="宋体" w:hAnsi="宋体" w:eastAsia="宋体" w:cs="宋体"/>
          <w:color w:val="auto"/>
          <w:sz w:val="24"/>
          <w:highlight w:val="none"/>
        </w:rPr>
        <w:t>%；迟延履行的违约金计算数额达到前述最高限额之日起，甲方有权在要求乙方支付违约金的同时，书面通知乙方解除本合同；</w:t>
      </w:r>
    </w:p>
    <w:p w14:paraId="72A552CB">
      <w:pPr>
        <w:pStyle w:val="3"/>
        <w:ind w:left="0" w:firstLine="480" w:firstLineChars="200"/>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4"/>
          <w:szCs w:val="24"/>
          <w:highlight w:val="none"/>
          <w:u w:val="single"/>
          <w:lang w:val="en-US"/>
        </w:rPr>
        <w:t xml:space="preserve">  0.0</w:t>
      </w:r>
      <w:r>
        <w:rPr>
          <w:rFonts w:hint="eastAsia" w:ascii="宋体" w:hAnsi="宋体" w:eastAsia="宋体" w:cs="宋体"/>
          <w:b w:val="0"/>
          <w:bCs w:val="0"/>
          <w:color w:val="auto"/>
          <w:sz w:val="24"/>
          <w:szCs w:val="24"/>
          <w:highlight w:val="none"/>
          <w:lang w:val="en-US"/>
        </w:rPr>
        <w:t xml:space="preserve">5（可根据情况修改） </w:t>
      </w:r>
      <w:r>
        <w:rPr>
          <w:rFonts w:hint="eastAsia" w:ascii="宋体" w:hAnsi="宋体" w:eastAsia="宋体" w:cs="宋体"/>
          <w:b w:val="0"/>
          <w:bCs w:val="0"/>
          <w:color w:val="auto"/>
          <w:sz w:val="24"/>
          <w:szCs w:val="24"/>
          <w:highlight w:val="none"/>
          <w:u w:val="single"/>
          <w:lang w:val="en-US"/>
        </w:rPr>
        <w:t xml:space="preserve">  </w:t>
      </w:r>
      <w:r>
        <w:rPr>
          <w:rFonts w:hint="eastAsia" w:ascii="宋体" w:hAnsi="宋体" w:eastAsia="宋体" w:cs="宋体"/>
          <w:b w:val="0"/>
          <w:bCs w:val="0"/>
          <w:color w:val="auto"/>
          <w:sz w:val="24"/>
          <w:szCs w:val="24"/>
          <w:highlight w:val="none"/>
          <w:lang w:val="en-US"/>
        </w:rPr>
        <w:t>%计算，最高限额为本合同总价的</w:t>
      </w:r>
      <w:r>
        <w:rPr>
          <w:rFonts w:hint="eastAsia" w:ascii="宋体" w:hAnsi="宋体" w:eastAsia="宋体" w:cs="宋体"/>
          <w:b w:val="0"/>
          <w:bCs w:val="0"/>
          <w:color w:val="auto"/>
          <w:sz w:val="24"/>
          <w:szCs w:val="24"/>
          <w:highlight w:val="none"/>
          <w:u w:val="single"/>
          <w:lang w:val="en-US"/>
        </w:rPr>
        <w:t xml:space="preserve">  20  </w:t>
      </w:r>
      <w:r>
        <w:rPr>
          <w:rFonts w:hint="eastAsia" w:ascii="宋体" w:hAnsi="宋体" w:eastAsia="宋体" w:cs="宋体"/>
          <w:b w:val="0"/>
          <w:bCs w:val="0"/>
          <w:color w:val="auto"/>
          <w:sz w:val="24"/>
          <w:szCs w:val="24"/>
          <w:highlight w:val="none"/>
          <w:lang w:val="en-US"/>
        </w:rPr>
        <w:t>%；迟延交付货物的违约金计算数额达到前述最高限额之日起，甲方有权在要求乙方支付违约金的同时，书面通知乙方解除本合同；</w:t>
      </w:r>
    </w:p>
    <w:p w14:paraId="752EC9E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1.8.3除不可抗力外，如果甲方没有按照本合同约定的付款方式付款，那么乙方可要求甲方支付违约金，违约金按每迟延付款一日的应付而未付款的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highlight w:val="none"/>
          <w:u w:val="single"/>
        </w:rPr>
        <w:t xml:space="preserve">   0.05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20</w:t>
      </w:r>
      <w:r>
        <w:rPr>
          <w:rFonts w:hint="eastAsia" w:ascii="宋体" w:hAnsi="宋体" w:eastAsia="宋体" w:cs="宋体"/>
          <w:color w:val="auto"/>
          <w:kern w:val="0"/>
          <w:sz w:val="24"/>
          <w:highlight w:val="none"/>
          <w:u w:val="single"/>
        </w:rPr>
        <w:t>（可根据情况修改）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%；迟延付款的违约金计算数额达到前述最高限额之日起，乙方有权在要求甲方支付违约金的同时，书面通知甲方解除本合同；</w:t>
      </w:r>
    </w:p>
    <w:p w14:paraId="022617A9">
      <w:pPr>
        <w:spacing w:line="560" w:lineRule="exact"/>
        <w:ind w:firstLine="480" w:firstLineChars="200"/>
        <w:rPr>
          <w:rFonts w:hint="eastAsia" w:ascii="宋体" w:hAnsi="宋体" w:eastAsia="宋体" w:cs="宋体"/>
          <w:color w:val="auto"/>
          <w:sz w:val="24"/>
          <w:highlight w:val="none"/>
        </w:rPr>
      </w:pPr>
      <w:bookmarkStart w:id="424" w:name="_Toc32454"/>
      <w:bookmarkStart w:id="425" w:name="_Toc9497"/>
      <w:bookmarkStart w:id="426" w:name="_Toc30329"/>
      <w:bookmarkStart w:id="427" w:name="_Toc26807"/>
      <w:bookmarkStart w:id="428" w:name="_Toc18683"/>
      <w:r>
        <w:rPr>
          <w:rFonts w:hint="eastAsia" w:ascii="宋体" w:hAnsi="宋体" w:eastAsia="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5C0197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FD6DC3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723DC7C4">
      <w:pPr>
        <w:spacing w:line="560" w:lineRule="exact"/>
        <w:ind w:right="-420" w:rightChars="-200"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1.8.7违约责任</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另有约定的，从其约定。</w:t>
      </w:r>
    </w:p>
    <w:bookmarkEnd w:id="424"/>
    <w:bookmarkEnd w:id="425"/>
    <w:bookmarkEnd w:id="426"/>
    <w:bookmarkEnd w:id="427"/>
    <w:bookmarkEnd w:id="428"/>
    <w:p w14:paraId="5C663B49">
      <w:pPr>
        <w:spacing w:line="560" w:lineRule="exact"/>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1.9合同争议的解决</w:t>
      </w:r>
    </w:p>
    <w:p w14:paraId="6133B900">
      <w:pPr>
        <w:spacing w:line="560" w:lineRule="exact"/>
        <w:ind w:left="-61" w:leftChars="-29" w:right="-420" w:rightChars="-200"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eastAsia="宋体" w:cs="宋体"/>
          <w:b/>
          <w:i/>
          <w:color w:val="auto"/>
          <w:sz w:val="24"/>
          <w:highlight w:val="none"/>
          <w:u w:val="single"/>
        </w:rPr>
        <w:t xml:space="preserve">  </w:t>
      </w:r>
      <w:r>
        <w:rPr>
          <w:rFonts w:hint="default" w:ascii="宋体" w:hAnsi="宋体" w:cs="宋体"/>
          <w:b/>
          <w:i/>
          <w:color w:val="auto"/>
          <w:sz w:val="24"/>
          <w:highlight w:val="none"/>
          <w:u w:val="single"/>
          <w:lang w:eastAsia="zh-CN"/>
          <w:woUserID w:val="1"/>
        </w:rPr>
        <w:t>二</w:t>
      </w:r>
      <w:r>
        <w:rPr>
          <w:rFonts w:hint="eastAsia" w:ascii="宋体" w:hAnsi="宋体" w:eastAsia="宋体" w:cs="宋体"/>
          <w:b/>
          <w:i/>
          <w:color w:val="auto"/>
          <w:sz w:val="24"/>
          <w:highlight w:val="none"/>
          <w:u w:val="single"/>
        </w:rPr>
        <w:t xml:space="preserve">   </w:t>
      </w:r>
      <w:r>
        <w:rPr>
          <w:rFonts w:hint="eastAsia" w:ascii="宋体" w:hAnsi="宋体" w:eastAsia="宋体" w:cs="宋体"/>
          <w:color w:val="auto"/>
          <w:sz w:val="24"/>
          <w:highlight w:val="none"/>
        </w:rPr>
        <w:t>条款规定的方式解决：</w:t>
      </w:r>
    </w:p>
    <w:p w14:paraId="4BB056A6">
      <w:pPr>
        <w:spacing w:line="560" w:lineRule="exact"/>
        <w:ind w:left="-420" w:leftChars="-200" w:right="-420" w:rightChars="-200" w:firstLine="600" w:firstLineChars="250"/>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一）</w:t>
      </w:r>
      <w:r>
        <w:rPr>
          <w:rFonts w:hint="eastAsia" w:ascii="宋体" w:hAnsi="宋体" w:eastAsia="宋体" w:cs="宋体"/>
          <w:color w:val="auto"/>
          <w:sz w:val="24"/>
          <w:highlight w:val="none"/>
        </w:rPr>
        <w:t>将争议提交</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仲裁委员会依申请仲裁时其现行有效的仲裁规则裁决；</w:t>
      </w:r>
    </w:p>
    <w:p w14:paraId="4C68DB41">
      <w:pPr>
        <w:spacing w:line="560" w:lineRule="exact"/>
        <w:ind w:left="-420" w:leftChars="-200" w:right="-420" w:rightChars="-200" w:firstLine="600" w:firstLineChars="250"/>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二）</w:t>
      </w:r>
      <w:r>
        <w:rPr>
          <w:rFonts w:hint="eastAsia" w:ascii="宋体" w:hAnsi="宋体" w:eastAsia="宋体" w:cs="宋体"/>
          <w:color w:val="auto"/>
          <w:sz w:val="24"/>
          <w:highlight w:val="none"/>
        </w:rPr>
        <w:t xml:space="preserve"> 向</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人民法院起诉。</w:t>
      </w:r>
    </w:p>
    <w:p w14:paraId="6B456E9D">
      <w:pPr>
        <w:spacing w:line="560" w:lineRule="exact"/>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2.0 合同生效</w:t>
      </w:r>
    </w:p>
    <w:p w14:paraId="4AFB2198">
      <w:pPr>
        <w:spacing w:line="56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本合同自双方当事人盖章签字时生效。</w:t>
      </w:r>
    </w:p>
    <w:p w14:paraId="35887E56">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甲方</w:t>
      </w:r>
      <w:r>
        <w:rPr>
          <w:rFonts w:hint="eastAsia" w:ascii="宋体" w:hAnsi="宋体" w:eastAsia="宋体" w:cs="宋体"/>
          <w:color w:val="auto"/>
          <w:sz w:val="24"/>
          <w:highlight w:val="none"/>
          <w:lang w:val="zh-CN"/>
        </w:rPr>
        <w:t xml:space="preserve">：                             </w:t>
      </w:r>
      <w:r>
        <w:rPr>
          <w:rFonts w:hint="eastAsia" w:ascii="宋体" w:hAnsi="宋体" w:eastAsia="宋体" w:cs="宋体"/>
          <w:b/>
          <w:color w:val="auto"/>
          <w:sz w:val="24"/>
          <w:highlight w:val="none"/>
          <w:lang w:val="zh-CN"/>
        </w:rPr>
        <w:t xml:space="preserve">      乙方</w:t>
      </w:r>
      <w:r>
        <w:rPr>
          <w:rFonts w:hint="eastAsia" w:ascii="宋体" w:hAnsi="宋体" w:eastAsia="宋体" w:cs="宋体"/>
          <w:color w:val="auto"/>
          <w:sz w:val="24"/>
          <w:highlight w:val="none"/>
          <w:lang w:val="zh-CN"/>
        </w:rPr>
        <w:t>：</w:t>
      </w:r>
    </w:p>
    <w:p w14:paraId="2CBB9DBA">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14:paraId="5D96D3CF">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                                   住所：</w:t>
      </w:r>
    </w:p>
    <w:p w14:paraId="7D2059AE">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法定代表人或</w:t>
      </w:r>
    </w:p>
    <w:p w14:paraId="45D00BC5">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授权代表（签字）：                       授权代表（签字）: </w:t>
      </w:r>
    </w:p>
    <w:p w14:paraId="212208B7">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14:paraId="465ABF09">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14:paraId="60B22DC2">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14:paraId="1B957F22">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电话:                                    电话: </w:t>
      </w:r>
    </w:p>
    <w:p w14:paraId="5C259BC1">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                                    传真:</w:t>
      </w:r>
    </w:p>
    <w:p w14:paraId="360B0A40">
      <w:pPr>
        <w:autoSpaceDE w:val="0"/>
        <w:autoSpaceDN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14:paraId="183D0457">
      <w:pPr>
        <w:autoSpaceDE w:val="0"/>
        <w:autoSpaceDN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14:paraId="71573621">
      <w:pPr>
        <w:autoSpaceDE w:val="0"/>
        <w:autoSpaceDN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14:paraId="2C9424DD">
      <w:pPr>
        <w:autoSpaceDE w:val="0"/>
        <w:autoSpaceDN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开户账号：</w:t>
      </w:r>
    </w:p>
    <w:p w14:paraId="6646AF09">
      <w:pPr>
        <w:pStyle w:val="699"/>
        <w:spacing w:line="560" w:lineRule="exact"/>
        <w:ind w:firstLine="482"/>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第二部分 合同一般条款</w:t>
      </w:r>
    </w:p>
    <w:p w14:paraId="114F37A0">
      <w:pPr>
        <w:spacing w:line="560" w:lineRule="exact"/>
        <w:ind w:firstLine="482" w:firstLineChars="200"/>
        <w:outlineLvl w:val="0"/>
        <w:rPr>
          <w:rFonts w:hint="eastAsia" w:ascii="宋体" w:hAnsi="宋体" w:eastAsia="宋体" w:cs="宋体"/>
          <w:b/>
          <w:color w:val="auto"/>
          <w:sz w:val="24"/>
          <w:highlight w:val="none"/>
        </w:rPr>
      </w:pPr>
      <w:bookmarkStart w:id="429" w:name="_Toc25079"/>
      <w:bookmarkStart w:id="430" w:name="_Toc5228"/>
      <w:bookmarkStart w:id="431" w:name="_Toc31297"/>
      <w:bookmarkStart w:id="432" w:name="_Toc19680"/>
      <w:bookmarkStart w:id="433" w:name="_Toc14021"/>
      <w:r>
        <w:rPr>
          <w:rFonts w:hint="eastAsia" w:ascii="宋体" w:hAnsi="宋体" w:eastAsia="宋体" w:cs="宋体"/>
          <w:b/>
          <w:color w:val="auto"/>
          <w:sz w:val="24"/>
          <w:highlight w:val="none"/>
        </w:rPr>
        <w:t>2.1 定义</w:t>
      </w:r>
      <w:bookmarkEnd w:id="429"/>
      <w:bookmarkEnd w:id="430"/>
      <w:bookmarkEnd w:id="431"/>
      <w:bookmarkEnd w:id="432"/>
      <w:bookmarkEnd w:id="433"/>
    </w:p>
    <w:p w14:paraId="09A4D1E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19E23404">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“合同”系指采购人和中标或成交供应商签订的载明双方当事人所达成的协议，并包括所有的附件、附录和构成合同的其他文件。</w:t>
      </w:r>
    </w:p>
    <w:p w14:paraId="6759B2E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“合同价”系指根据合同约定，中标或成交供应商在完全履行合同义务后，采购人应支付给中标或成交供应商的价格。</w:t>
      </w:r>
    </w:p>
    <w:p w14:paraId="30C93DC2">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“服务”系指中标或成交供应商根据合同约定应向采购人履行的除货物和工程以外的其他政府采购对象，包括采购人自身需要的服务和向社会公众提供的公共服务。</w:t>
      </w:r>
    </w:p>
    <w:p w14:paraId="492422F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 “甲方”系指与中标或成交供应商签署合同的采购人；采购人委托采购代理机构代表其与乙方签订合同的，采购人的授权委托书作为合同附件。</w:t>
      </w:r>
    </w:p>
    <w:p w14:paraId="423A71A2">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6C476C0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 “现场”系指合同约定提供服务的地点。</w:t>
      </w:r>
    </w:p>
    <w:p w14:paraId="390A5822">
      <w:pPr>
        <w:spacing w:line="560" w:lineRule="exact"/>
        <w:ind w:firstLine="482" w:firstLineChars="200"/>
        <w:outlineLvl w:val="0"/>
        <w:rPr>
          <w:rFonts w:hint="eastAsia" w:ascii="宋体" w:hAnsi="宋体" w:eastAsia="宋体" w:cs="宋体"/>
          <w:b/>
          <w:color w:val="auto"/>
          <w:sz w:val="24"/>
          <w:highlight w:val="none"/>
        </w:rPr>
      </w:pPr>
      <w:bookmarkStart w:id="434" w:name="_Toc16752"/>
      <w:bookmarkStart w:id="435" w:name="_Toc31402"/>
      <w:bookmarkStart w:id="436" w:name="_Toc23289"/>
      <w:bookmarkStart w:id="437" w:name="_Toc19539"/>
      <w:bookmarkStart w:id="438" w:name="_Toc3769"/>
      <w:r>
        <w:rPr>
          <w:rFonts w:hint="eastAsia" w:ascii="宋体" w:hAnsi="宋体" w:eastAsia="宋体" w:cs="宋体"/>
          <w:b/>
          <w:color w:val="auto"/>
          <w:sz w:val="24"/>
          <w:highlight w:val="none"/>
        </w:rPr>
        <w:t>2.2 技术规范</w:t>
      </w:r>
      <w:bookmarkEnd w:id="434"/>
      <w:bookmarkEnd w:id="435"/>
      <w:bookmarkEnd w:id="436"/>
      <w:bookmarkEnd w:id="437"/>
      <w:bookmarkEnd w:id="438"/>
    </w:p>
    <w:p w14:paraId="6ABED33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7355A6B">
      <w:pPr>
        <w:spacing w:line="560" w:lineRule="exact"/>
        <w:ind w:firstLine="482" w:firstLineChars="200"/>
        <w:outlineLvl w:val="0"/>
        <w:rPr>
          <w:rFonts w:hint="eastAsia" w:ascii="宋体" w:hAnsi="宋体" w:eastAsia="宋体" w:cs="宋体"/>
          <w:b/>
          <w:color w:val="auto"/>
          <w:sz w:val="24"/>
          <w:highlight w:val="none"/>
        </w:rPr>
      </w:pPr>
      <w:bookmarkStart w:id="439" w:name="_Toc12412"/>
      <w:bookmarkStart w:id="440" w:name="_Toc4133"/>
      <w:bookmarkStart w:id="441" w:name="_Toc13673"/>
      <w:bookmarkStart w:id="442" w:name="_Toc27945"/>
      <w:bookmarkStart w:id="443" w:name="_Toc9161"/>
      <w:r>
        <w:rPr>
          <w:rFonts w:hint="eastAsia" w:ascii="宋体" w:hAnsi="宋体" w:eastAsia="宋体" w:cs="宋体"/>
          <w:b/>
          <w:color w:val="auto"/>
          <w:sz w:val="24"/>
          <w:highlight w:val="none"/>
        </w:rPr>
        <w:t>2.3 知识产权</w:t>
      </w:r>
      <w:bookmarkEnd w:id="439"/>
      <w:bookmarkEnd w:id="440"/>
      <w:bookmarkEnd w:id="441"/>
      <w:bookmarkEnd w:id="442"/>
      <w:bookmarkEnd w:id="443"/>
    </w:p>
    <w:p w14:paraId="2435165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73A10932">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 合同涉及技术成果的归属和收益的分成办法的，详见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7D9C16CA">
      <w:pPr>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 履约检查和问题反馈</w:t>
      </w:r>
    </w:p>
    <w:p w14:paraId="0E5EC85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513A36FE">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合同履行期间，甲方有权将履行过程中出现的问题反馈给乙方，双方当事人应以书面形式约定需要完善和改进的内容。</w:t>
      </w:r>
    </w:p>
    <w:p w14:paraId="621ED780">
      <w:pPr>
        <w:spacing w:line="560" w:lineRule="exact"/>
        <w:ind w:firstLine="482" w:firstLineChars="200"/>
        <w:outlineLvl w:val="0"/>
        <w:rPr>
          <w:rFonts w:hint="eastAsia" w:ascii="宋体" w:hAnsi="宋体" w:eastAsia="宋体" w:cs="宋体"/>
          <w:b/>
          <w:color w:val="auto"/>
          <w:sz w:val="24"/>
          <w:highlight w:val="none"/>
        </w:rPr>
      </w:pPr>
      <w:bookmarkStart w:id="444" w:name="_Toc15447"/>
      <w:bookmarkStart w:id="445" w:name="_Toc31233"/>
      <w:bookmarkStart w:id="446" w:name="_Toc22011"/>
      <w:bookmarkStart w:id="447" w:name="_Toc32670"/>
      <w:bookmarkStart w:id="448" w:name="_Toc26555"/>
      <w:r>
        <w:rPr>
          <w:rFonts w:hint="eastAsia" w:ascii="宋体" w:hAnsi="宋体" w:eastAsia="宋体" w:cs="宋体"/>
          <w:b/>
          <w:color w:val="auto"/>
          <w:sz w:val="24"/>
          <w:highlight w:val="none"/>
        </w:rPr>
        <w:t>2.5 结算方式和付款条件</w:t>
      </w:r>
      <w:bookmarkEnd w:id="444"/>
      <w:bookmarkEnd w:id="445"/>
      <w:bookmarkEnd w:id="446"/>
      <w:bookmarkEnd w:id="447"/>
      <w:bookmarkEnd w:id="448"/>
    </w:p>
    <w:p w14:paraId="36C2981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4E12124B">
      <w:pPr>
        <w:spacing w:line="560" w:lineRule="exact"/>
        <w:ind w:firstLine="482" w:firstLineChars="200"/>
        <w:outlineLvl w:val="0"/>
        <w:rPr>
          <w:rFonts w:hint="eastAsia" w:ascii="宋体" w:hAnsi="宋体" w:eastAsia="宋体" w:cs="宋体"/>
          <w:b/>
          <w:color w:val="auto"/>
          <w:sz w:val="24"/>
          <w:highlight w:val="none"/>
        </w:rPr>
      </w:pPr>
      <w:bookmarkStart w:id="449" w:name="_Toc30507"/>
      <w:bookmarkStart w:id="450" w:name="_Toc13467"/>
      <w:bookmarkStart w:id="451" w:name="_Toc16163"/>
      <w:bookmarkStart w:id="452" w:name="_Toc13154"/>
      <w:bookmarkStart w:id="453" w:name="_Toc18990"/>
      <w:r>
        <w:rPr>
          <w:rFonts w:hint="eastAsia" w:ascii="宋体" w:hAnsi="宋体" w:eastAsia="宋体" w:cs="宋体"/>
          <w:b/>
          <w:color w:val="auto"/>
          <w:sz w:val="24"/>
          <w:highlight w:val="none"/>
        </w:rPr>
        <w:t>2.6 技术资料和保密义务</w:t>
      </w:r>
      <w:bookmarkEnd w:id="449"/>
      <w:bookmarkEnd w:id="450"/>
      <w:bookmarkEnd w:id="451"/>
      <w:bookmarkEnd w:id="452"/>
      <w:bookmarkEnd w:id="453"/>
    </w:p>
    <w:p w14:paraId="117390CE">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2.6.1 乙方有权依据合同约定和项目需要，向甲方了解有关情况，调阅有关资料等，甲方应予积极配合；</w:t>
      </w:r>
    </w:p>
    <w:p w14:paraId="096DE61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2.6.2 乙方有义务妥善保管和保护由甲方提供的前款信息和资料等；</w:t>
      </w:r>
    </w:p>
    <w:p w14:paraId="54716CF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3913306">
      <w:pPr>
        <w:spacing w:line="560" w:lineRule="exact"/>
        <w:ind w:firstLine="482" w:firstLineChars="200"/>
        <w:outlineLvl w:val="0"/>
        <w:rPr>
          <w:rFonts w:hint="eastAsia" w:ascii="宋体" w:hAnsi="宋体" w:eastAsia="宋体" w:cs="宋体"/>
          <w:b/>
          <w:color w:val="auto"/>
          <w:sz w:val="24"/>
          <w:highlight w:val="none"/>
        </w:rPr>
      </w:pPr>
      <w:bookmarkStart w:id="454" w:name="_Toc19069"/>
      <w:r>
        <w:rPr>
          <w:rFonts w:hint="eastAsia" w:ascii="宋体" w:hAnsi="宋体" w:eastAsia="宋体" w:cs="宋体"/>
          <w:b/>
          <w:color w:val="auto"/>
          <w:sz w:val="24"/>
          <w:highlight w:val="none"/>
        </w:rPr>
        <w:t>2.7 质量保证</w:t>
      </w:r>
      <w:bookmarkEnd w:id="454"/>
    </w:p>
    <w:p w14:paraId="2BA8B95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乙方应建立和完善履行合同的内部质量保证体系，并提供相关内部规章制度给甲方，以便甲方进行监督检查；</w:t>
      </w:r>
    </w:p>
    <w:p w14:paraId="00F70104">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乙方应保证履行合同的人员数量和素质、软件和硬件设备的配置、场地、环境和设施等满足全面履行合同的要求，并应接受甲方的监督检查。</w:t>
      </w:r>
    </w:p>
    <w:p w14:paraId="60436DA3">
      <w:pPr>
        <w:spacing w:line="560" w:lineRule="exact"/>
        <w:ind w:firstLine="482" w:firstLineChars="200"/>
        <w:outlineLvl w:val="0"/>
        <w:rPr>
          <w:rFonts w:hint="eastAsia" w:ascii="宋体" w:hAnsi="宋体" w:eastAsia="宋体" w:cs="宋体"/>
          <w:b/>
          <w:color w:val="auto"/>
          <w:sz w:val="24"/>
          <w:highlight w:val="none"/>
        </w:rPr>
      </w:pPr>
      <w:bookmarkStart w:id="455" w:name="_Toc22267"/>
      <w:r>
        <w:rPr>
          <w:rFonts w:hint="eastAsia" w:ascii="宋体" w:hAnsi="宋体" w:eastAsia="宋体" w:cs="宋体"/>
          <w:b/>
          <w:color w:val="auto"/>
          <w:sz w:val="24"/>
          <w:highlight w:val="none"/>
        </w:rPr>
        <w:t>2.8 延迟履行</w:t>
      </w:r>
      <w:bookmarkEnd w:id="455"/>
    </w:p>
    <w:p w14:paraId="78D3E83E">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32C1542D">
      <w:pPr>
        <w:spacing w:line="560" w:lineRule="exact"/>
        <w:ind w:firstLine="482" w:firstLineChars="200"/>
        <w:outlineLvl w:val="0"/>
        <w:rPr>
          <w:rFonts w:hint="eastAsia" w:ascii="宋体" w:hAnsi="宋体" w:eastAsia="宋体" w:cs="宋体"/>
          <w:b/>
          <w:color w:val="auto"/>
          <w:sz w:val="24"/>
          <w:highlight w:val="none"/>
        </w:rPr>
      </w:pPr>
      <w:bookmarkStart w:id="456" w:name="_Toc10611"/>
      <w:r>
        <w:rPr>
          <w:rFonts w:hint="eastAsia" w:ascii="宋体" w:hAnsi="宋体" w:eastAsia="宋体" w:cs="宋体"/>
          <w:b/>
          <w:color w:val="auto"/>
          <w:sz w:val="24"/>
          <w:highlight w:val="none"/>
        </w:rPr>
        <w:t>2.9 合同变更</w:t>
      </w:r>
      <w:bookmarkEnd w:id="456"/>
    </w:p>
    <w:p w14:paraId="32B8619E">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31F09788">
      <w:pPr>
        <w:spacing w:line="560" w:lineRule="exact"/>
        <w:ind w:firstLine="482" w:firstLineChars="200"/>
        <w:outlineLvl w:val="0"/>
        <w:rPr>
          <w:rFonts w:hint="eastAsia" w:ascii="宋体" w:hAnsi="宋体" w:eastAsia="宋体" w:cs="宋体"/>
          <w:b/>
          <w:color w:val="auto"/>
          <w:sz w:val="24"/>
          <w:highlight w:val="none"/>
        </w:rPr>
      </w:pPr>
      <w:bookmarkStart w:id="457" w:name="_Toc21830"/>
      <w:bookmarkStart w:id="458" w:name="_Toc23368"/>
      <w:bookmarkStart w:id="459" w:name="_Toc10663"/>
      <w:bookmarkStart w:id="460" w:name="_Toc26689"/>
      <w:bookmarkStart w:id="461" w:name="_Toc42"/>
      <w:r>
        <w:rPr>
          <w:rFonts w:hint="eastAsia" w:ascii="宋体" w:hAnsi="宋体" w:eastAsia="宋体" w:cs="宋体"/>
          <w:b/>
          <w:color w:val="auto"/>
          <w:sz w:val="24"/>
          <w:highlight w:val="none"/>
        </w:rPr>
        <w:t>2.10 合同转让和分包</w:t>
      </w:r>
      <w:bookmarkEnd w:id="457"/>
      <w:bookmarkEnd w:id="458"/>
      <w:bookmarkEnd w:id="459"/>
      <w:bookmarkEnd w:id="460"/>
      <w:bookmarkEnd w:id="461"/>
    </w:p>
    <w:p w14:paraId="6B495234">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0546975">
      <w:pPr>
        <w:spacing w:line="560" w:lineRule="exact"/>
        <w:ind w:firstLine="482" w:firstLineChars="200"/>
        <w:outlineLvl w:val="0"/>
        <w:rPr>
          <w:rFonts w:hint="eastAsia" w:ascii="宋体" w:hAnsi="宋体" w:eastAsia="宋体" w:cs="宋体"/>
          <w:b/>
          <w:color w:val="auto"/>
          <w:sz w:val="24"/>
          <w:highlight w:val="none"/>
        </w:rPr>
      </w:pPr>
      <w:bookmarkStart w:id="462" w:name="_Toc14371"/>
      <w:bookmarkStart w:id="463" w:name="_Toc4720"/>
      <w:bookmarkStart w:id="464" w:name="_Toc26633"/>
      <w:bookmarkStart w:id="465" w:name="_Toc25571"/>
      <w:bookmarkStart w:id="466" w:name="_Toc32494"/>
      <w:r>
        <w:rPr>
          <w:rFonts w:hint="eastAsia" w:ascii="宋体" w:hAnsi="宋体" w:eastAsia="宋体" w:cs="宋体"/>
          <w:b/>
          <w:color w:val="auto"/>
          <w:sz w:val="24"/>
          <w:highlight w:val="none"/>
        </w:rPr>
        <w:t>2.11 不可抗力</w:t>
      </w:r>
      <w:bookmarkEnd w:id="462"/>
      <w:bookmarkEnd w:id="463"/>
      <w:bookmarkEnd w:id="464"/>
      <w:bookmarkEnd w:id="465"/>
      <w:bookmarkEnd w:id="466"/>
    </w:p>
    <w:p w14:paraId="13A47F1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2.11.1如果任何一方遭遇法律规定的不可抗力，致使合同履行受阻时，履行合同的期限应予延长，延长的期限应相当于不可抗力所影响的时间；</w:t>
      </w:r>
    </w:p>
    <w:p w14:paraId="71AB963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因不可抗力致使不能实现合同目的的，当事人可以解除合同；</w:t>
      </w:r>
    </w:p>
    <w:p w14:paraId="6F9C548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2.11.3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08991B3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78057992">
      <w:pPr>
        <w:spacing w:line="560" w:lineRule="exact"/>
        <w:ind w:firstLine="482" w:firstLineChars="200"/>
        <w:outlineLvl w:val="0"/>
        <w:rPr>
          <w:rFonts w:hint="eastAsia" w:ascii="宋体" w:hAnsi="宋体" w:eastAsia="宋体" w:cs="宋体"/>
          <w:b/>
          <w:color w:val="auto"/>
          <w:sz w:val="24"/>
          <w:highlight w:val="none"/>
        </w:rPr>
      </w:pPr>
      <w:bookmarkStart w:id="467" w:name="_Toc24465"/>
      <w:bookmarkStart w:id="468" w:name="_Toc3638"/>
      <w:bookmarkStart w:id="469" w:name="_Toc14115"/>
      <w:bookmarkStart w:id="470" w:name="_Toc23854"/>
      <w:bookmarkStart w:id="471" w:name="_Toc25783"/>
      <w:r>
        <w:rPr>
          <w:rFonts w:hint="eastAsia" w:ascii="宋体" w:hAnsi="宋体" w:eastAsia="宋体" w:cs="宋体"/>
          <w:b/>
          <w:color w:val="auto"/>
          <w:sz w:val="24"/>
          <w:highlight w:val="none"/>
        </w:rPr>
        <w:t>2.12 税费</w:t>
      </w:r>
      <w:bookmarkEnd w:id="467"/>
      <w:bookmarkEnd w:id="468"/>
      <w:bookmarkEnd w:id="469"/>
      <w:bookmarkEnd w:id="470"/>
      <w:bookmarkEnd w:id="471"/>
    </w:p>
    <w:p w14:paraId="361777C4">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与合同有关的一切税费，均按照中华人民共和国法律的相关规定缴纳。</w:t>
      </w:r>
    </w:p>
    <w:p w14:paraId="5FD71BC1">
      <w:pPr>
        <w:spacing w:line="560" w:lineRule="exact"/>
        <w:ind w:firstLine="482" w:firstLineChars="200"/>
        <w:outlineLvl w:val="0"/>
        <w:rPr>
          <w:rFonts w:hint="eastAsia" w:ascii="宋体" w:hAnsi="宋体" w:eastAsia="宋体" w:cs="宋体"/>
          <w:b/>
          <w:color w:val="auto"/>
          <w:sz w:val="24"/>
          <w:highlight w:val="none"/>
        </w:rPr>
      </w:pPr>
      <w:bookmarkStart w:id="472" w:name="_Toc30105"/>
      <w:bookmarkStart w:id="473" w:name="_Toc7315"/>
      <w:bookmarkStart w:id="474" w:name="_Toc26883"/>
      <w:bookmarkStart w:id="475" w:name="_Toc25525"/>
      <w:bookmarkStart w:id="476" w:name="_Toc14814"/>
      <w:r>
        <w:rPr>
          <w:rFonts w:hint="eastAsia" w:ascii="宋体" w:hAnsi="宋体" w:eastAsia="宋体" w:cs="宋体"/>
          <w:b/>
          <w:color w:val="auto"/>
          <w:sz w:val="24"/>
          <w:highlight w:val="none"/>
        </w:rPr>
        <w:t>2.13 乙方破产</w:t>
      </w:r>
      <w:bookmarkEnd w:id="472"/>
      <w:bookmarkEnd w:id="473"/>
      <w:bookmarkEnd w:id="474"/>
      <w:bookmarkEnd w:id="475"/>
      <w:bookmarkEnd w:id="476"/>
    </w:p>
    <w:p w14:paraId="3E9EB9D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843AE7A">
      <w:pPr>
        <w:spacing w:line="560" w:lineRule="exact"/>
        <w:ind w:firstLine="482" w:firstLineChars="200"/>
        <w:outlineLvl w:val="0"/>
        <w:rPr>
          <w:rFonts w:hint="eastAsia" w:ascii="宋体" w:hAnsi="宋体" w:eastAsia="宋体" w:cs="宋体"/>
          <w:b/>
          <w:color w:val="auto"/>
          <w:sz w:val="24"/>
          <w:highlight w:val="none"/>
        </w:rPr>
      </w:pPr>
      <w:bookmarkStart w:id="477" w:name="_Toc1123"/>
      <w:bookmarkStart w:id="478" w:name="_Toc23323"/>
      <w:bookmarkStart w:id="479" w:name="_Toc2016"/>
      <w:r>
        <w:rPr>
          <w:rFonts w:hint="eastAsia" w:ascii="宋体" w:hAnsi="宋体" w:eastAsia="宋体" w:cs="宋体"/>
          <w:b/>
          <w:color w:val="auto"/>
          <w:sz w:val="24"/>
          <w:highlight w:val="none"/>
        </w:rPr>
        <w:t>2.14 合同中止、终止</w:t>
      </w:r>
      <w:bookmarkEnd w:id="477"/>
      <w:bookmarkEnd w:id="478"/>
      <w:bookmarkEnd w:id="479"/>
    </w:p>
    <w:p w14:paraId="626790E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2.14.1 双方当事人不得擅自中止或者终止合同；</w:t>
      </w:r>
    </w:p>
    <w:p w14:paraId="0BFFA3C4">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28404194">
      <w:pPr>
        <w:spacing w:line="560" w:lineRule="exact"/>
        <w:ind w:firstLine="482" w:firstLineChars="200"/>
        <w:outlineLvl w:val="0"/>
        <w:rPr>
          <w:rFonts w:hint="eastAsia" w:ascii="宋体" w:hAnsi="宋体" w:eastAsia="宋体" w:cs="宋体"/>
          <w:b/>
          <w:color w:val="auto"/>
          <w:sz w:val="24"/>
          <w:highlight w:val="none"/>
        </w:rPr>
      </w:pPr>
      <w:bookmarkStart w:id="480" w:name="_Toc14525"/>
      <w:bookmarkStart w:id="481" w:name="_Toc1969"/>
      <w:bookmarkStart w:id="482" w:name="_Toc17363"/>
      <w:r>
        <w:rPr>
          <w:rFonts w:hint="eastAsia" w:ascii="宋体" w:hAnsi="宋体" w:eastAsia="宋体" w:cs="宋体"/>
          <w:b/>
          <w:color w:val="auto"/>
          <w:sz w:val="24"/>
          <w:highlight w:val="none"/>
        </w:rPr>
        <w:t>2.15 检验和验收</w:t>
      </w:r>
      <w:bookmarkEnd w:id="480"/>
      <w:bookmarkEnd w:id="481"/>
      <w:bookmarkEnd w:id="482"/>
    </w:p>
    <w:p w14:paraId="7D38CA49">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2.15.1 乙方按照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的约定，定期提交服务报告，甲方按照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的约定进行定期验收；</w:t>
      </w:r>
    </w:p>
    <w:p w14:paraId="334A2CE6">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9E7B57E">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p w14:paraId="1AD0A43D">
      <w:pPr>
        <w:spacing w:line="560" w:lineRule="exact"/>
        <w:ind w:firstLine="482" w:firstLineChars="200"/>
        <w:outlineLvl w:val="0"/>
        <w:rPr>
          <w:rFonts w:hint="eastAsia" w:ascii="宋体" w:hAnsi="宋体" w:eastAsia="宋体" w:cs="宋体"/>
          <w:b/>
          <w:color w:val="auto"/>
          <w:sz w:val="24"/>
          <w:highlight w:val="none"/>
        </w:rPr>
      </w:pPr>
      <w:bookmarkStart w:id="483" w:name="_Toc9808"/>
      <w:bookmarkStart w:id="484" w:name="_Toc31892"/>
      <w:bookmarkStart w:id="485" w:name="_Toc25198"/>
      <w:bookmarkStart w:id="486" w:name="_Toc2308"/>
      <w:bookmarkStart w:id="487" w:name="_Toc12666"/>
      <w:r>
        <w:rPr>
          <w:rFonts w:hint="eastAsia" w:ascii="宋体" w:hAnsi="宋体" w:eastAsia="宋体" w:cs="宋体"/>
          <w:b/>
          <w:color w:val="auto"/>
          <w:sz w:val="24"/>
          <w:highlight w:val="none"/>
        </w:rPr>
        <w:t>2.16 通知和送达</w:t>
      </w:r>
      <w:bookmarkEnd w:id="483"/>
      <w:bookmarkEnd w:id="484"/>
      <w:bookmarkEnd w:id="485"/>
      <w:bookmarkEnd w:id="486"/>
      <w:bookmarkEnd w:id="487"/>
    </w:p>
    <w:p w14:paraId="6811D730">
      <w:pPr>
        <w:spacing w:line="560" w:lineRule="exact"/>
        <w:ind w:firstLine="480" w:firstLineChars="200"/>
        <w:rPr>
          <w:rFonts w:hint="eastAsia" w:ascii="宋体" w:hAnsi="宋体" w:eastAsia="宋体" w:cs="宋体"/>
          <w:color w:val="auto"/>
          <w:sz w:val="24"/>
          <w:highlight w:val="none"/>
        </w:rPr>
      </w:pPr>
      <w:bookmarkStart w:id="488" w:name="_Toc18401"/>
      <w:bookmarkStart w:id="489" w:name="_Toc27674"/>
      <w:r>
        <w:rPr>
          <w:rFonts w:hint="eastAsia" w:ascii="宋体" w:hAnsi="宋体" w:eastAsia="宋体" w:cs="宋体"/>
          <w:color w:val="auto"/>
          <w:sz w:val="24"/>
          <w:highlight w:val="none"/>
        </w:rPr>
        <w:t xml:space="preserve">2.17.1任何一方因履行合同而以合同第一部分尾部所列明的传真或电子邮件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发出的所有通知、文件、材料，均视为已向对方当事人送达；任何一方变更上述送达方式或者地址的，应于</w:t>
      </w:r>
      <w:r>
        <w:rPr>
          <w:rFonts w:hint="eastAsia" w:ascii="宋体" w:hAnsi="宋体" w:eastAsia="宋体" w:cs="宋体"/>
          <w:color w:val="auto"/>
          <w:sz w:val="24"/>
          <w:highlight w:val="none"/>
          <w:u w:val="single"/>
        </w:rPr>
        <w:t>3</w:t>
      </w:r>
      <w:r>
        <w:rPr>
          <w:rFonts w:hint="eastAsia" w:ascii="宋体" w:hAnsi="宋体" w:eastAsia="宋体" w:cs="宋体"/>
          <w:color w:val="auto"/>
          <w:sz w:val="24"/>
          <w:highlight w:val="none"/>
        </w:rPr>
        <w:t>个工作日内书面通知对方当事人，在对方当事人收到有关变更通知之前，变更前的约定送达方式或者地址仍视为有效。</w:t>
      </w:r>
    </w:p>
    <w:p w14:paraId="5A80806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488"/>
      <w:bookmarkEnd w:id="489"/>
    </w:p>
    <w:p w14:paraId="7500D668">
      <w:pPr>
        <w:spacing w:line="560" w:lineRule="exact"/>
        <w:ind w:firstLine="482" w:firstLineChars="200"/>
        <w:outlineLvl w:val="0"/>
        <w:rPr>
          <w:rFonts w:hint="eastAsia" w:ascii="宋体" w:hAnsi="宋体" w:eastAsia="宋体" w:cs="宋体"/>
          <w:b/>
          <w:color w:val="auto"/>
          <w:sz w:val="24"/>
          <w:highlight w:val="none"/>
        </w:rPr>
      </w:pPr>
      <w:bookmarkStart w:id="490" w:name="_Toc28906"/>
      <w:bookmarkStart w:id="491" w:name="_Toc27644"/>
      <w:bookmarkStart w:id="492" w:name="_Toc12254"/>
      <w:bookmarkStart w:id="493" w:name="_Toc5063"/>
      <w:bookmarkStart w:id="494" w:name="_Toc20808"/>
      <w:r>
        <w:rPr>
          <w:rFonts w:hint="eastAsia" w:ascii="宋体" w:hAnsi="宋体" w:eastAsia="宋体" w:cs="宋体"/>
          <w:b/>
          <w:color w:val="auto"/>
          <w:sz w:val="24"/>
          <w:highlight w:val="none"/>
        </w:rPr>
        <w:t>2.17 合同使用的文字和适用的法律</w:t>
      </w:r>
      <w:bookmarkEnd w:id="490"/>
      <w:bookmarkEnd w:id="491"/>
      <w:bookmarkEnd w:id="492"/>
      <w:bookmarkEnd w:id="493"/>
      <w:bookmarkEnd w:id="494"/>
    </w:p>
    <w:p w14:paraId="1D7C4C2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 合同使用汉语书就、变更和解释；</w:t>
      </w:r>
    </w:p>
    <w:p w14:paraId="690DC619">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 合同适用中华人民共和国法律。</w:t>
      </w:r>
    </w:p>
    <w:p w14:paraId="5C346DBF">
      <w:pPr>
        <w:spacing w:line="560" w:lineRule="exact"/>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2.18 计量单位</w:t>
      </w:r>
    </w:p>
    <w:p w14:paraId="2E02134E">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14:paraId="22299A81">
      <w:pPr>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2.19合同份数</w:t>
      </w:r>
    </w:p>
    <w:p w14:paraId="39831C92">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14:paraId="40656FCB">
      <w:pPr>
        <w:spacing w:line="360" w:lineRule="auto"/>
        <w:jc w:val="center"/>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第三部分  合同专用条款</w:t>
      </w:r>
    </w:p>
    <w:p w14:paraId="71DE1CD5">
      <w:pPr>
        <w:spacing w:line="560" w:lineRule="exact"/>
        <w:ind w:left="-420" w:leftChars="-200" w:right="-420" w:rightChars="-200"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91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7"/>
        <w:gridCol w:w="8149"/>
      </w:tblGrid>
      <w:tr w14:paraId="3C5C8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977" w:type="dxa"/>
            <w:tcBorders>
              <w:left w:val="single" w:color="auto" w:sz="4" w:space="0"/>
            </w:tcBorders>
            <w:vAlign w:val="center"/>
          </w:tcPr>
          <w:p w14:paraId="244E9199">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8149" w:type="dxa"/>
            <w:vAlign w:val="center"/>
          </w:tcPr>
          <w:p w14:paraId="1431B5D5">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约定内容</w:t>
            </w:r>
          </w:p>
        </w:tc>
      </w:tr>
      <w:tr w14:paraId="630F1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EC83E6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1.3.2</w:t>
            </w:r>
          </w:p>
        </w:tc>
        <w:tc>
          <w:tcPr>
            <w:tcW w:w="8149" w:type="dxa"/>
            <w:vAlign w:val="center"/>
          </w:tcPr>
          <w:p w14:paraId="21B645FF">
            <w:pPr>
              <w:spacing w:line="360" w:lineRule="auto"/>
              <w:rPr>
                <w:rFonts w:hint="eastAsia" w:ascii="宋体" w:hAnsi="宋体" w:eastAsia="宋体" w:cs="宋体"/>
                <w:color w:val="auto"/>
                <w:sz w:val="24"/>
                <w:highlight w:val="none"/>
              </w:rPr>
            </w:pPr>
          </w:p>
        </w:tc>
      </w:tr>
      <w:tr w14:paraId="089F0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D64137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w:t>
            </w:r>
          </w:p>
        </w:tc>
        <w:tc>
          <w:tcPr>
            <w:tcW w:w="8149" w:type="dxa"/>
            <w:vAlign w:val="center"/>
          </w:tcPr>
          <w:p w14:paraId="52C9536B">
            <w:pPr>
              <w:spacing w:line="360" w:lineRule="auto"/>
              <w:rPr>
                <w:rFonts w:hint="eastAsia" w:ascii="宋体" w:hAnsi="宋体" w:eastAsia="宋体" w:cs="宋体"/>
                <w:color w:val="auto"/>
                <w:sz w:val="24"/>
                <w:highlight w:val="none"/>
              </w:rPr>
            </w:pPr>
          </w:p>
        </w:tc>
      </w:tr>
      <w:tr w14:paraId="27EC9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CE9B92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1.5.1 </w:t>
            </w:r>
          </w:p>
        </w:tc>
        <w:tc>
          <w:tcPr>
            <w:tcW w:w="8149" w:type="dxa"/>
            <w:vAlign w:val="center"/>
          </w:tcPr>
          <w:p w14:paraId="155E3EE4">
            <w:pPr>
              <w:spacing w:line="360" w:lineRule="auto"/>
              <w:rPr>
                <w:rFonts w:hint="eastAsia" w:ascii="宋体" w:hAnsi="宋体" w:eastAsia="宋体" w:cs="宋体"/>
                <w:color w:val="auto"/>
                <w:sz w:val="24"/>
                <w:highlight w:val="none"/>
              </w:rPr>
            </w:pPr>
          </w:p>
        </w:tc>
      </w:tr>
      <w:tr w14:paraId="7A405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1EE61A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1.5.2</w:t>
            </w:r>
          </w:p>
        </w:tc>
        <w:tc>
          <w:tcPr>
            <w:tcW w:w="8149" w:type="dxa"/>
            <w:vAlign w:val="center"/>
          </w:tcPr>
          <w:p w14:paraId="6B3A84D4">
            <w:pPr>
              <w:spacing w:line="360" w:lineRule="auto"/>
              <w:rPr>
                <w:rFonts w:hint="eastAsia" w:ascii="宋体" w:hAnsi="宋体" w:eastAsia="宋体" w:cs="宋体"/>
                <w:color w:val="auto"/>
                <w:sz w:val="24"/>
                <w:highlight w:val="none"/>
              </w:rPr>
            </w:pPr>
          </w:p>
        </w:tc>
      </w:tr>
      <w:tr w14:paraId="3B759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C13A93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1.5.3 </w:t>
            </w:r>
          </w:p>
        </w:tc>
        <w:tc>
          <w:tcPr>
            <w:tcW w:w="8149" w:type="dxa"/>
            <w:vAlign w:val="center"/>
          </w:tcPr>
          <w:p w14:paraId="30AF09D4">
            <w:pPr>
              <w:spacing w:line="360" w:lineRule="auto"/>
              <w:rPr>
                <w:rFonts w:hint="eastAsia" w:ascii="宋体" w:hAnsi="宋体" w:eastAsia="宋体" w:cs="宋体"/>
                <w:color w:val="auto"/>
                <w:sz w:val="24"/>
                <w:highlight w:val="none"/>
              </w:rPr>
            </w:pPr>
          </w:p>
        </w:tc>
      </w:tr>
      <w:tr w14:paraId="3F45A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62BF107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w:t>
            </w:r>
          </w:p>
        </w:tc>
        <w:tc>
          <w:tcPr>
            <w:tcW w:w="8149" w:type="dxa"/>
            <w:vAlign w:val="center"/>
          </w:tcPr>
          <w:p w14:paraId="763DDC19">
            <w:pPr>
              <w:spacing w:line="360" w:lineRule="auto"/>
              <w:rPr>
                <w:rFonts w:hint="eastAsia" w:ascii="宋体" w:hAnsi="宋体" w:eastAsia="宋体" w:cs="宋体"/>
                <w:color w:val="auto"/>
                <w:sz w:val="24"/>
                <w:highlight w:val="none"/>
              </w:rPr>
            </w:pPr>
          </w:p>
        </w:tc>
      </w:tr>
      <w:tr w14:paraId="3950B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D7DB3F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w:t>
            </w:r>
          </w:p>
        </w:tc>
        <w:tc>
          <w:tcPr>
            <w:tcW w:w="8149" w:type="dxa"/>
            <w:vAlign w:val="center"/>
          </w:tcPr>
          <w:p w14:paraId="25E7ADAD">
            <w:pPr>
              <w:spacing w:line="360" w:lineRule="auto"/>
              <w:rPr>
                <w:rFonts w:hint="eastAsia" w:ascii="宋体" w:hAnsi="宋体" w:eastAsia="宋体" w:cs="宋体"/>
                <w:color w:val="auto"/>
                <w:sz w:val="24"/>
                <w:highlight w:val="none"/>
              </w:rPr>
            </w:pPr>
          </w:p>
        </w:tc>
      </w:tr>
      <w:tr w14:paraId="2DACA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955638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w:t>
            </w:r>
          </w:p>
        </w:tc>
        <w:tc>
          <w:tcPr>
            <w:tcW w:w="8149" w:type="dxa"/>
            <w:vAlign w:val="center"/>
          </w:tcPr>
          <w:p w14:paraId="586BED76">
            <w:pPr>
              <w:spacing w:line="360" w:lineRule="auto"/>
              <w:rPr>
                <w:rFonts w:hint="eastAsia" w:ascii="宋体" w:hAnsi="宋体" w:eastAsia="宋体" w:cs="宋体"/>
                <w:color w:val="auto"/>
                <w:sz w:val="24"/>
                <w:highlight w:val="none"/>
              </w:rPr>
            </w:pPr>
          </w:p>
        </w:tc>
      </w:tr>
      <w:tr w14:paraId="4106E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804ADD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w:t>
            </w:r>
          </w:p>
        </w:tc>
        <w:tc>
          <w:tcPr>
            <w:tcW w:w="8149" w:type="dxa"/>
            <w:vAlign w:val="center"/>
          </w:tcPr>
          <w:p w14:paraId="32E232D3">
            <w:pPr>
              <w:spacing w:line="360" w:lineRule="auto"/>
              <w:rPr>
                <w:rFonts w:hint="eastAsia" w:ascii="宋体" w:hAnsi="宋体" w:eastAsia="宋体" w:cs="宋体"/>
                <w:color w:val="auto"/>
                <w:sz w:val="24"/>
                <w:highlight w:val="none"/>
              </w:rPr>
            </w:pPr>
          </w:p>
        </w:tc>
      </w:tr>
      <w:tr w14:paraId="0B0A9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CDD67D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1.7.4.1</w:t>
            </w:r>
          </w:p>
        </w:tc>
        <w:tc>
          <w:tcPr>
            <w:tcW w:w="8149" w:type="dxa"/>
            <w:vAlign w:val="center"/>
          </w:tcPr>
          <w:p w14:paraId="2D559F04">
            <w:pPr>
              <w:spacing w:line="360" w:lineRule="auto"/>
              <w:rPr>
                <w:rFonts w:hint="eastAsia" w:ascii="宋体" w:hAnsi="宋体" w:eastAsia="宋体" w:cs="宋体"/>
                <w:color w:val="auto"/>
                <w:sz w:val="24"/>
                <w:highlight w:val="none"/>
              </w:rPr>
            </w:pPr>
          </w:p>
        </w:tc>
      </w:tr>
      <w:tr w14:paraId="54F7E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6305AD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1.7.4.2</w:t>
            </w:r>
          </w:p>
        </w:tc>
        <w:tc>
          <w:tcPr>
            <w:tcW w:w="8149" w:type="dxa"/>
            <w:vAlign w:val="center"/>
          </w:tcPr>
          <w:p w14:paraId="29DB2CCB">
            <w:pPr>
              <w:spacing w:line="360" w:lineRule="auto"/>
              <w:rPr>
                <w:rFonts w:hint="eastAsia" w:ascii="宋体" w:hAnsi="宋体" w:eastAsia="宋体" w:cs="宋体"/>
                <w:color w:val="auto"/>
                <w:sz w:val="24"/>
                <w:highlight w:val="none"/>
              </w:rPr>
            </w:pPr>
          </w:p>
        </w:tc>
      </w:tr>
      <w:tr w14:paraId="79461C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E9DC9D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1.7.4.3</w:t>
            </w:r>
          </w:p>
        </w:tc>
        <w:tc>
          <w:tcPr>
            <w:tcW w:w="8149" w:type="dxa"/>
            <w:vAlign w:val="center"/>
          </w:tcPr>
          <w:p w14:paraId="7AC3846D">
            <w:pPr>
              <w:spacing w:line="360" w:lineRule="auto"/>
              <w:rPr>
                <w:rFonts w:hint="eastAsia" w:ascii="宋体" w:hAnsi="宋体" w:eastAsia="宋体" w:cs="宋体"/>
                <w:color w:val="auto"/>
                <w:sz w:val="24"/>
                <w:highlight w:val="none"/>
              </w:rPr>
            </w:pPr>
          </w:p>
        </w:tc>
      </w:tr>
      <w:tr w14:paraId="28C3A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4077EC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1.8.7</w:t>
            </w:r>
          </w:p>
        </w:tc>
        <w:tc>
          <w:tcPr>
            <w:tcW w:w="8149" w:type="dxa"/>
            <w:vAlign w:val="center"/>
          </w:tcPr>
          <w:p w14:paraId="2B1FCE2F">
            <w:pPr>
              <w:spacing w:line="360" w:lineRule="auto"/>
              <w:rPr>
                <w:rFonts w:hint="eastAsia" w:ascii="宋体" w:hAnsi="宋体" w:eastAsia="宋体" w:cs="宋体"/>
                <w:color w:val="auto"/>
                <w:sz w:val="24"/>
                <w:highlight w:val="none"/>
              </w:rPr>
            </w:pPr>
          </w:p>
        </w:tc>
      </w:tr>
      <w:tr w14:paraId="0D34A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F11815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w:t>
            </w:r>
          </w:p>
        </w:tc>
        <w:tc>
          <w:tcPr>
            <w:tcW w:w="8149" w:type="dxa"/>
            <w:vAlign w:val="center"/>
          </w:tcPr>
          <w:p w14:paraId="58B406DC">
            <w:pPr>
              <w:spacing w:line="360" w:lineRule="auto"/>
              <w:rPr>
                <w:rFonts w:hint="eastAsia" w:ascii="宋体" w:hAnsi="宋体" w:eastAsia="宋体" w:cs="宋体"/>
                <w:color w:val="auto"/>
                <w:sz w:val="24"/>
                <w:highlight w:val="none"/>
              </w:rPr>
            </w:pPr>
          </w:p>
        </w:tc>
      </w:tr>
      <w:tr w14:paraId="4A67C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AD51C6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w:t>
            </w:r>
          </w:p>
        </w:tc>
        <w:tc>
          <w:tcPr>
            <w:tcW w:w="8149" w:type="dxa"/>
            <w:vAlign w:val="center"/>
          </w:tcPr>
          <w:p w14:paraId="0631AA7A">
            <w:pPr>
              <w:spacing w:line="360" w:lineRule="auto"/>
              <w:rPr>
                <w:rFonts w:hint="eastAsia" w:ascii="宋体" w:hAnsi="宋体" w:eastAsia="宋体" w:cs="宋体"/>
                <w:color w:val="auto"/>
                <w:sz w:val="24"/>
                <w:highlight w:val="none"/>
              </w:rPr>
            </w:pPr>
          </w:p>
        </w:tc>
      </w:tr>
      <w:tr w14:paraId="0E904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08F347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w:t>
            </w:r>
          </w:p>
        </w:tc>
        <w:tc>
          <w:tcPr>
            <w:tcW w:w="8149" w:type="dxa"/>
            <w:vAlign w:val="center"/>
          </w:tcPr>
          <w:p w14:paraId="56C32B32">
            <w:pPr>
              <w:spacing w:line="360" w:lineRule="auto"/>
              <w:ind w:left="-420" w:leftChars="-200" w:right="-420" w:rightChars="-200" w:firstLine="480" w:firstLineChars="200"/>
              <w:rPr>
                <w:rFonts w:hint="eastAsia" w:ascii="宋体" w:hAnsi="宋体" w:eastAsia="宋体" w:cs="宋体"/>
                <w:color w:val="auto"/>
                <w:sz w:val="24"/>
                <w:highlight w:val="none"/>
              </w:rPr>
            </w:pPr>
          </w:p>
        </w:tc>
      </w:tr>
      <w:tr w14:paraId="40C8F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65EA841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w:t>
            </w:r>
          </w:p>
        </w:tc>
        <w:tc>
          <w:tcPr>
            <w:tcW w:w="8149" w:type="dxa"/>
            <w:vAlign w:val="center"/>
          </w:tcPr>
          <w:p w14:paraId="1AF00C45">
            <w:pPr>
              <w:spacing w:line="360" w:lineRule="auto"/>
              <w:ind w:left="-420" w:leftChars="-200" w:right="-420" w:rightChars="-200" w:firstLine="480" w:firstLineChars="200"/>
              <w:rPr>
                <w:rFonts w:hint="eastAsia" w:ascii="宋体" w:hAnsi="宋体" w:eastAsia="宋体" w:cs="宋体"/>
                <w:color w:val="auto"/>
                <w:sz w:val="24"/>
                <w:highlight w:val="none"/>
              </w:rPr>
            </w:pPr>
          </w:p>
        </w:tc>
      </w:tr>
      <w:tr w14:paraId="1020F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425760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2.11.3</w:t>
            </w:r>
          </w:p>
        </w:tc>
        <w:tc>
          <w:tcPr>
            <w:tcW w:w="8149" w:type="dxa"/>
            <w:vAlign w:val="center"/>
          </w:tcPr>
          <w:p w14:paraId="1348D762">
            <w:pPr>
              <w:spacing w:line="360" w:lineRule="auto"/>
              <w:rPr>
                <w:rFonts w:hint="eastAsia" w:ascii="宋体" w:hAnsi="宋体" w:eastAsia="宋体" w:cs="宋体"/>
                <w:color w:val="auto"/>
                <w:sz w:val="24"/>
                <w:highlight w:val="none"/>
              </w:rPr>
            </w:pPr>
          </w:p>
        </w:tc>
      </w:tr>
      <w:tr w14:paraId="70A93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tcPr>
          <w:p w14:paraId="2E10BCE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2.11.4 </w:t>
            </w:r>
          </w:p>
        </w:tc>
        <w:tc>
          <w:tcPr>
            <w:tcW w:w="8149" w:type="dxa"/>
          </w:tcPr>
          <w:p w14:paraId="31B37E47">
            <w:pPr>
              <w:spacing w:line="360" w:lineRule="auto"/>
              <w:rPr>
                <w:rFonts w:hint="eastAsia" w:ascii="宋体" w:hAnsi="宋体" w:eastAsia="宋体" w:cs="宋体"/>
                <w:color w:val="auto"/>
                <w:sz w:val="24"/>
                <w:highlight w:val="none"/>
              </w:rPr>
            </w:pPr>
          </w:p>
        </w:tc>
      </w:tr>
      <w:tr w14:paraId="4CFD9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585168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2.15.1</w:t>
            </w:r>
          </w:p>
        </w:tc>
        <w:tc>
          <w:tcPr>
            <w:tcW w:w="8149" w:type="dxa"/>
            <w:vAlign w:val="center"/>
          </w:tcPr>
          <w:p w14:paraId="58C5D042">
            <w:pPr>
              <w:spacing w:line="360" w:lineRule="auto"/>
              <w:rPr>
                <w:rFonts w:hint="eastAsia" w:ascii="宋体" w:hAnsi="宋体" w:eastAsia="宋体" w:cs="宋体"/>
                <w:color w:val="auto"/>
                <w:sz w:val="24"/>
                <w:highlight w:val="none"/>
              </w:rPr>
            </w:pPr>
          </w:p>
        </w:tc>
      </w:tr>
      <w:tr w14:paraId="6C150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DDEDC5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2.15.3</w:t>
            </w:r>
          </w:p>
        </w:tc>
        <w:tc>
          <w:tcPr>
            <w:tcW w:w="8149" w:type="dxa"/>
            <w:vAlign w:val="center"/>
          </w:tcPr>
          <w:p w14:paraId="2627CE3D">
            <w:pPr>
              <w:spacing w:line="360" w:lineRule="auto"/>
              <w:rPr>
                <w:rFonts w:hint="eastAsia" w:ascii="宋体" w:hAnsi="宋体" w:eastAsia="宋体" w:cs="宋体"/>
                <w:color w:val="auto"/>
                <w:sz w:val="24"/>
                <w:highlight w:val="none"/>
              </w:rPr>
            </w:pPr>
          </w:p>
        </w:tc>
      </w:tr>
      <w:tr w14:paraId="4F924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977" w:type="dxa"/>
            <w:tcBorders>
              <w:left w:val="single" w:color="auto" w:sz="4" w:space="0"/>
            </w:tcBorders>
          </w:tcPr>
          <w:p w14:paraId="380355E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2.19</w:t>
            </w:r>
          </w:p>
        </w:tc>
        <w:tc>
          <w:tcPr>
            <w:tcW w:w="8149" w:type="dxa"/>
          </w:tcPr>
          <w:p w14:paraId="18E0C8C7">
            <w:pPr>
              <w:spacing w:line="360" w:lineRule="auto"/>
              <w:rPr>
                <w:rFonts w:hint="eastAsia" w:ascii="宋体" w:hAnsi="宋体" w:eastAsia="宋体" w:cs="宋体"/>
                <w:color w:val="auto"/>
                <w:sz w:val="24"/>
                <w:highlight w:val="none"/>
              </w:rPr>
            </w:pPr>
          </w:p>
        </w:tc>
      </w:tr>
    </w:tbl>
    <w:p w14:paraId="7EE8CAF5">
      <w:pPr>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br w:type="page"/>
      </w:r>
    </w:p>
    <w:p w14:paraId="0201C47C">
      <w:pPr>
        <w:widowControl/>
        <w:adjustRightInd/>
        <w:jc w:val="center"/>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第六部分</w:t>
      </w:r>
      <w:bookmarkEnd w:id="392"/>
      <w:r>
        <w:rPr>
          <w:rFonts w:hint="eastAsia" w:ascii="宋体" w:hAnsi="宋体" w:eastAsia="宋体" w:cs="宋体"/>
          <w:b/>
          <w:color w:val="auto"/>
          <w:sz w:val="36"/>
          <w:szCs w:val="20"/>
          <w:highlight w:val="none"/>
        </w:rPr>
        <w:t xml:space="preserve"> </w:t>
      </w:r>
      <w:bookmarkEnd w:id="393"/>
      <w:r>
        <w:rPr>
          <w:rFonts w:hint="eastAsia" w:ascii="宋体" w:hAnsi="宋体" w:eastAsia="宋体" w:cs="宋体"/>
          <w:b/>
          <w:color w:val="auto"/>
          <w:sz w:val="36"/>
          <w:szCs w:val="20"/>
          <w:highlight w:val="none"/>
        </w:rPr>
        <w:t>应提交的有关格式范例</w:t>
      </w:r>
    </w:p>
    <w:p w14:paraId="01B1D72A">
      <w:pPr>
        <w:spacing w:line="360" w:lineRule="auto"/>
        <w:jc w:val="center"/>
        <w:outlineLvl w:val="0"/>
        <w:rPr>
          <w:rFonts w:hint="eastAsia" w:ascii="宋体" w:hAnsi="宋体" w:eastAsia="宋体" w:cs="宋体"/>
          <w:b/>
          <w:color w:val="auto"/>
          <w:kern w:val="0"/>
          <w:sz w:val="36"/>
          <w:szCs w:val="36"/>
          <w:highlight w:val="none"/>
        </w:rPr>
      </w:pPr>
    </w:p>
    <w:p w14:paraId="09122EC3">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资格文件部分</w:t>
      </w:r>
    </w:p>
    <w:p w14:paraId="748AE633">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3D0669D5">
      <w:pPr>
        <w:spacing w:line="360" w:lineRule="auto"/>
        <w:jc w:val="center"/>
        <w:outlineLvl w:val="0"/>
        <w:rPr>
          <w:rFonts w:hint="eastAsia" w:ascii="宋体" w:hAnsi="宋体" w:eastAsia="宋体" w:cs="宋体"/>
          <w:b/>
          <w:color w:val="auto"/>
          <w:kern w:val="0"/>
          <w:sz w:val="36"/>
          <w:szCs w:val="36"/>
          <w:highlight w:val="none"/>
        </w:rPr>
      </w:pPr>
    </w:p>
    <w:p w14:paraId="7A5A7CE7">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（1）符合参加政府采购活动应当具备的一般条件的承诺函……………（页码）</w:t>
      </w:r>
    </w:p>
    <w:p w14:paraId="484E28DF">
      <w:pPr>
        <w:snapToGrid w:val="0"/>
        <w:spacing w:line="360" w:lineRule="auto"/>
        <w:rPr>
          <w:rFonts w:hint="eastAsia" w:ascii="宋体" w:hAnsi="宋体" w:eastAsia="宋体" w:cs="宋体"/>
          <w:color w:val="auto"/>
          <w:sz w:val="24"/>
          <w:highlight w:val="none"/>
        </w:rPr>
      </w:pPr>
      <w:r>
        <w:rPr>
          <w:rFonts w:hint="eastAsia" w:ascii="宋体" w:hAnsi="宋体" w:eastAsia="宋体" w:cs="宋体"/>
          <w:snapToGrid w:val="0"/>
          <w:color w:val="auto"/>
          <w:kern w:val="28"/>
          <w:sz w:val="24"/>
          <w:szCs w:val="20"/>
          <w:highlight w:val="none"/>
        </w:rPr>
        <w:t>（2）联合协议</w:t>
      </w:r>
      <w:r>
        <w:rPr>
          <w:rFonts w:hint="eastAsia" w:ascii="宋体" w:hAnsi="宋体" w:eastAsia="宋体" w:cs="宋体"/>
          <w:color w:val="auto"/>
          <w:sz w:val="24"/>
          <w:highlight w:val="none"/>
        </w:rPr>
        <w:t>………………………………………………………………（页码）</w:t>
      </w:r>
    </w:p>
    <w:p w14:paraId="679F25F8">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（3）落实政府采购政策需满足的资格要求………………………………（页码）</w:t>
      </w:r>
    </w:p>
    <w:p w14:paraId="35AE3616">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（4）本项目的特定资格要求………………………………………………（页码）</w:t>
      </w:r>
    </w:p>
    <w:p w14:paraId="712C010C">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0E33CE6B">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 符合参加政府采购活动应当具备的一般条件的承诺函</w:t>
      </w:r>
    </w:p>
    <w:p w14:paraId="4CF737B2">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w:t>
      </w:r>
    </w:p>
    <w:p w14:paraId="7355AD5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我方参与（项目名称）【招标编号：（采购编号）】政府采购活动，郑重承诺：</w:t>
      </w:r>
    </w:p>
    <w:p w14:paraId="46BC71F8">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（一）具备《中华人民共和国政府采购法》第二十二条第一款规定的条件：</w:t>
      </w:r>
    </w:p>
    <w:p w14:paraId="0B46C14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3F7F4B5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2、具有良好的商业信誉和健全的财务会计制度； </w:t>
      </w:r>
    </w:p>
    <w:p w14:paraId="3456D42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4967DD7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6A10418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1B1006F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6、具有法律、行政法规规定的其他条件。</w:t>
      </w:r>
    </w:p>
    <w:p w14:paraId="0C6834F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（二）未被信用中国（www.creditchina.gov.cn)、中国政府采购网（www.ccgp.gov.cn）列入失信被执行人、重大税收违法案件当事人名单、政府采购严重违法失信行为记录名单。</w:t>
      </w:r>
    </w:p>
    <w:p w14:paraId="6EB77A0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（三）不存在以下情况：</w:t>
      </w:r>
    </w:p>
    <w:p w14:paraId="186D0F8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1、单位负责人为同一人或者存在直接控股、管理关系的不同供应商参加同一合同项下的政府采购活动的；</w:t>
      </w:r>
    </w:p>
    <w:p w14:paraId="6631AF1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2、为采购项目提供整体设计、规范编制或者项目管理、监理、检测等服务后再参加该采购项目的其他采购活动的。</w:t>
      </w:r>
    </w:p>
    <w:p w14:paraId="5DCC6FE6">
      <w:pPr>
        <w:snapToGrid w:val="0"/>
        <w:spacing w:line="360" w:lineRule="auto"/>
        <w:ind w:firstLine="5520" w:firstLineChars="2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投标人名称(电子签名)：</w:t>
      </w:r>
    </w:p>
    <w:p w14:paraId="13745399">
      <w:pPr>
        <w:snapToGrid w:val="0"/>
        <w:spacing w:line="360" w:lineRule="auto"/>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lang w:val="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A050F19">
      <w:pPr>
        <w:snapToGrid w:val="0"/>
        <w:spacing w:line="360" w:lineRule="auto"/>
        <w:ind w:right="480" w:firstLine="559" w:firstLineChars="233"/>
        <w:jc w:val="left"/>
        <w:rPr>
          <w:rFonts w:hint="eastAsia" w:ascii="宋体" w:hAnsi="宋体" w:eastAsia="宋体" w:cs="宋体"/>
          <w:color w:val="auto"/>
          <w:highlight w:val="none"/>
        </w:rPr>
      </w:pPr>
      <w:r>
        <w:rPr>
          <w:rFonts w:hint="eastAsia" w:ascii="宋体" w:hAnsi="宋体" w:eastAsia="宋体" w:cs="宋体"/>
          <w:color w:val="auto"/>
          <w:sz w:val="24"/>
          <w:highlight w:val="none"/>
        </w:rPr>
        <w:t>注：根据《关于规范政府采购供应商资格设定及资格审查的通知》（浙财采监[2013]24号）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宋体"/>
          <w:b/>
          <w:color w:val="auto"/>
          <w:sz w:val="24"/>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1EFA6A75">
      <w:pPr>
        <w:widowControl/>
        <w:spacing w:line="360" w:lineRule="auto"/>
        <w:ind w:firstLine="643" w:firstLineChars="20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二、联合协议（如果有）</w:t>
      </w:r>
    </w:p>
    <w:p w14:paraId="4AD2149B">
      <w:pPr>
        <w:widowControl/>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[以联合体形式投标的，提供联合协议（附件5）；本项目不接受联合体投标或者投标人不以联合体形式投标的，则不需要提供）]</w:t>
      </w:r>
    </w:p>
    <w:p w14:paraId="45045FC6">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三、落实政府采购政策需满足的资格要求</w:t>
      </w:r>
    </w:p>
    <w:p w14:paraId="5789959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（根据招标公告落实政府采购政策需满足的资格要求选择提供相应的材料；未要求的，无需提供）</w:t>
      </w:r>
    </w:p>
    <w:p w14:paraId="1FB3EC7A">
      <w:pPr>
        <w:snapToGrid w:val="0"/>
        <w:spacing w:before="50" w:after="50" w:line="360" w:lineRule="auto"/>
        <w:ind w:firstLine="472" w:firstLineChars="196"/>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A</w:t>
      </w:r>
      <w:r>
        <w:rPr>
          <w:rFonts w:hint="eastAsia" w:ascii="宋体" w:hAnsi="宋体" w:eastAsia="宋体" w:cs="宋体"/>
          <w:color w:val="auto"/>
          <w:sz w:val="24"/>
          <w:highlight w:val="none"/>
        </w:rPr>
        <w:t xml:space="preserve">.专门面向中小企业，服务全部由符合政策要求的中小企业（或小微企业）承接的，提供相应的中小企业声明函（附件7）。 </w:t>
      </w:r>
    </w:p>
    <w:p w14:paraId="29567CD7">
      <w:pPr>
        <w:widowControl/>
        <w:spacing w:line="360" w:lineRule="auto"/>
        <w:ind w:firstLine="472" w:firstLineChars="196"/>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B.</w:t>
      </w:r>
      <w:r>
        <w:rPr>
          <w:rFonts w:hint="eastAsia" w:ascii="宋体" w:hAnsi="宋体" w:eastAsia="宋体" w:cs="宋体"/>
          <w:color w:val="auto"/>
          <w:sz w:val="24"/>
          <w:highlight w:val="none"/>
        </w:rPr>
        <w:t>要求以联合体形式参加的，提供联合协议（附件5）和中小企业声明函（附件7），联合协议中中小企业合同金额应当达到招标公告载明的比例；如果供应商本身提供所有标的均由中小企业承接的，</w:t>
      </w:r>
      <w:r>
        <w:rPr>
          <w:rFonts w:hint="eastAsia" w:ascii="宋体" w:hAnsi="宋体" w:eastAsia="宋体" w:cs="宋体"/>
          <w:color w:val="auto"/>
          <w:spacing w:val="8"/>
          <w:kern w:val="0"/>
          <w:sz w:val="24"/>
          <w:highlight w:val="none"/>
        </w:rPr>
        <w:t>并相应达到了前述比例要求，</w:t>
      </w:r>
      <w:r>
        <w:rPr>
          <w:rFonts w:hint="eastAsia" w:ascii="宋体" w:hAnsi="宋体" w:eastAsia="宋体" w:cs="宋体"/>
          <w:color w:val="auto"/>
          <w:sz w:val="24"/>
          <w:highlight w:val="none"/>
        </w:rPr>
        <w:t>视同符合了资格条件，无需再与其他中小企业组成联合体参加政府采购活动，无需提供联合协议。</w:t>
      </w:r>
      <w:r>
        <w:rPr>
          <w:rFonts w:hint="eastAsia" w:ascii="宋体" w:hAnsi="宋体" w:eastAsia="宋体" w:cs="宋体"/>
          <w:b/>
          <w:color w:val="auto"/>
          <w:sz w:val="24"/>
          <w:highlight w:val="none"/>
        </w:rPr>
        <w:t xml:space="preserve">    </w:t>
      </w:r>
    </w:p>
    <w:p w14:paraId="0DF18495">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C、</w:t>
      </w:r>
      <w:r>
        <w:rPr>
          <w:rFonts w:hint="eastAsia" w:ascii="宋体" w:hAnsi="宋体" w:eastAsia="宋体" w:cs="宋体"/>
          <w:color w:val="auto"/>
          <w:sz w:val="24"/>
          <w:highlight w:val="none"/>
        </w:rPr>
        <w:t>要求合同分包的，提供分包意向协议（附件6）和中小企业声明函（附件7），分包意向协议中中小企业合同金额应当达到招标公告载明的比例；如果供应商本身提供所有标的均由中小企业承接的，</w:t>
      </w:r>
      <w:r>
        <w:rPr>
          <w:rFonts w:hint="eastAsia" w:ascii="宋体" w:hAnsi="宋体" w:eastAsia="宋体" w:cs="宋体"/>
          <w:color w:val="auto"/>
          <w:spacing w:val="8"/>
          <w:kern w:val="0"/>
          <w:sz w:val="24"/>
          <w:highlight w:val="none"/>
        </w:rPr>
        <w:t>并相应达到了前述比例要求，</w:t>
      </w:r>
      <w:r>
        <w:rPr>
          <w:rFonts w:hint="eastAsia" w:ascii="宋体" w:hAnsi="宋体" w:eastAsia="宋体" w:cs="宋体"/>
          <w:color w:val="auto"/>
          <w:sz w:val="24"/>
          <w:highlight w:val="none"/>
        </w:rPr>
        <w:t>视同符合了资格条件，无需再向中小企业分包，无需提供分包意向协议。</w:t>
      </w:r>
    </w:p>
    <w:p w14:paraId="2E34B1F9">
      <w:pPr>
        <w:widowControl/>
        <w:spacing w:line="360" w:lineRule="auto"/>
        <w:ind w:left="15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四、本项目的特定资格要求</w:t>
      </w:r>
    </w:p>
    <w:p w14:paraId="465D48A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（根据招标公告本项目的特定资格要求提供相应的材料；未要求的，无需提供）</w:t>
      </w:r>
    </w:p>
    <w:p w14:paraId="6C032CC3">
      <w:pP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3F6F2A4C">
      <w:pPr>
        <w:spacing w:line="360" w:lineRule="auto"/>
        <w:ind w:right="420"/>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商务技术文件部分</w:t>
      </w:r>
    </w:p>
    <w:p w14:paraId="00033C72">
      <w:pPr>
        <w:spacing w:line="360" w:lineRule="auto"/>
        <w:jc w:val="center"/>
        <w:outlineLvl w:val="0"/>
        <w:rPr>
          <w:rFonts w:hint="eastAsia" w:ascii="宋体" w:hAnsi="宋体" w:eastAsia="宋体" w:cs="宋体"/>
          <w:b/>
          <w:color w:val="auto"/>
          <w:kern w:val="0"/>
          <w:sz w:val="24"/>
          <w:highlight w:val="none"/>
        </w:rPr>
      </w:pPr>
    </w:p>
    <w:p w14:paraId="7C2BD7C6">
      <w:pPr>
        <w:spacing w:line="360" w:lineRule="auto"/>
        <w:jc w:val="center"/>
        <w:outlineLvl w:val="0"/>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目录</w:t>
      </w:r>
    </w:p>
    <w:p w14:paraId="22B6F881">
      <w:pPr>
        <w:snapToGrid w:val="0"/>
        <w:spacing w:line="360" w:lineRule="auto"/>
        <w:ind w:left="479" w:leftChars="228"/>
        <w:rPr>
          <w:rFonts w:hint="eastAsia" w:ascii="宋体" w:hAnsi="宋体" w:eastAsia="宋体" w:cs="宋体"/>
          <w:color w:val="auto"/>
          <w:highlight w:val="none"/>
        </w:rPr>
      </w:pPr>
      <w:r>
        <w:rPr>
          <w:rFonts w:hint="eastAsia" w:ascii="宋体" w:hAnsi="宋体" w:eastAsia="宋体" w:cs="宋体"/>
          <w:color w:val="auto"/>
          <w:sz w:val="24"/>
          <w:highlight w:val="none"/>
        </w:rPr>
        <w:t>（1）投标函</w:t>
      </w:r>
      <w:r>
        <w:rPr>
          <w:rFonts w:hint="eastAsia" w:ascii="宋体" w:hAnsi="宋体" w:eastAsia="宋体" w:cs="宋体"/>
          <w:color w:val="auto"/>
          <w:highlight w:val="none"/>
        </w:rPr>
        <w:t>…………………………………………………………………………………（页码）</w:t>
      </w:r>
      <w:r>
        <w:rPr>
          <w:rFonts w:hint="eastAsia" w:ascii="宋体" w:hAnsi="宋体" w:eastAsia="宋体" w:cs="宋体"/>
          <w:color w:val="auto"/>
          <w:sz w:val="24"/>
          <w:highlight w:val="none"/>
        </w:rPr>
        <w:t>（2）授权委托书或法定代表人（单位负责人、自然人本人）身份证明</w:t>
      </w:r>
      <w:r>
        <w:rPr>
          <w:rFonts w:hint="eastAsia" w:ascii="宋体" w:hAnsi="宋体" w:eastAsia="宋体" w:cs="宋体"/>
          <w:color w:val="auto"/>
          <w:highlight w:val="none"/>
        </w:rPr>
        <w:t>………（页码）</w:t>
      </w:r>
    </w:p>
    <w:p w14:paraId="235233B8">
      <w:pPr>
        <w:snapToGrid w:val="0"/>
        <w:spacing w:line="360" w:lineRule="auto"/>
        <w:ind w:left="479" w:leftChars="228"/>
        <w:rPr>
          <w:rFonts w:hint="eastAsia" w:ascii="宋体" w:hAnsi="宋体" w:eastAsia="宋体" w:cs="宋体"/>
          <w:color w:val="auto"/>
          <w:highlight w:val="none"/>
        </w:rPr>
      </w:pPr>
      <w:r>
        <w:rPr>
          <w:rFonts w:hint="eastAsia" w:ascii="宋体" w:hAnsi="宋体" w:eastAsia="宋体" w:cs="宋体"/>
          <w:color w:val="auto"/>
          <w:sz w:val="24"/>
          <w:highlight w:val="none"/>
        </w:rPr>
        <w:t>（3）分包意向协议</w:t>
      </w:r>
      <w:r>
        <w:rPr>
          <w:rFonts w:hint="eastAsia" w:ascii="宋体" w:hAnsi="宋体" w:eastAsia="宋体" w:cs="宋体"/>
          <w:color w:val="auto"/>
          <w:highlight w:val="none"/>
        </w:rPr>
        <w:t>…………………………………………………………………………（页码）</w:t>
      </w:r>
    </w:p>
    <w:p w14:paraId="4F6E7C90">
      <w:pP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（4）符合性审查资料</w:t>
      </w:r>
      <w:r>
        <w:rPr>
          <w:rFonts w:hint="eastAsia" w:ascii="宋体" w:hAnsi="宋体" w:eastAsia="宋体" w:cs="宋体"/>
          <w:color w:val="auto"/>
          <w:highlight w:val="none"/>
        </w:rPr>
        <w:t>………………………………………………………………………（页码）</w:t>
      </w:r>
    </w:p>
    <w:p w14:paraId="5C087144">
      <w:pPr>
        <w:snapToGrid w:val="0"/>
        <w:spacing w:line="360" w:lineRule="auto"/>
        <w:ind w:left="479" w:leftChars="228"/>
        <w:rPr>
          <w:rFonts w:hint="eastAsia" w:ascii="宋体" w:hAnsi="宋体" w:eastAsia="宋体" w:cs="宋体"/>
          <w:color w:val="auto"/>
          <w:highlight w:val="none"/>
        </w:rPr>
      </w:pPr>
      <w:r>
        <w:rPr>
          <w:rFonts w:hint="eastAsia" w:ascii="宋体" w:hAnsi="宋体" w:eastAsia="宋体" w:cs="宋体"/>
          <w:color w:val="auto"/>
          <w:sz w:val="24"/>
          <w:highlight w:val="none"/>
        </w:rPr>
        <w:t>（5）评标标准相应的商务技术资料</w:t>
      </w:r>
      <w:r>
        <w:rPr>
          <w:rFonts w:hint="eastAsia" w:ascii="宋体" w:hAnsi="宋体" w:eastAsia="宋体" w:cs="宋体"/>
          <w:color w:val="auto"/>
          <w:highlight w:val="none"/>
        </w:rPr>
        <w:t>……………………………………………………（页码）</w:t>
      </w:r>
      <w:r>
        <w:rPr>
          <w:rFonts w:hint="eastAsia" w:ascii="宋体" w:hAnsi="宋体" w:eastAsia="宋体" w:cs="宋体"/>
          <w:color w:val="auto"/>
          <w:sz w:val="24"/>
          <w:highlight w:val="none"/>
        </w:rPr>
        <w:t>（6）投标标的清单</w:t>
      </w:r>
      <w:r>
        <w:rPr>
          <w:rFonts w:hint="eastAsia" w:ascii="宋体" w:hAnsi="宋体" w:eastAsia="宋体" w:cs="宋体"/>
          <w:color w:val="auto"/>
          <w:highlight w:val="none"/>
        </w:rPr>
        <w:t>…………………………………………………………………………（页码）</w:t>
      </w:r>
    </w:p>
    <w:p w14:paraId="5CE3B92A">
      <w:pPr>
        <w:snapToGrid w:val="0"/>
        <w:spacing w:line="360" w:lineRule="auto"/>
        <w:ind w:left="479" w:leftChars="228"/>
        <w:rPr>
          <w:rFonts w:hint="eastAsia" w:ascii="宋体" w:hAnsi="宋体" w:eastAsia="宋体" w:cs="宋体"/>
          <w:color w:val="auto"/>
          <w:highlight w:val="none"/>
        </w:rPr>
      </w:pPr>
      <w:r>
        <w:rPr>
          <w:rFonts w:hint="eastAsia" w:ascii="宋体" w:hAnsi="宋体" w:eastAsia="宋体" w:cs="宋体"/>
          <w:color w:val="auto"/>
          <w:sz w:val="24"/>
          <w:highlight w:val="none"/>
        </w:rPr>
        <w:t>（7）商务技术偏离表</w:t>
      </w:r>
      <w:r>
        <w:rPr>
          <w:rFonts w:hint="eastAsia" w:ascii="宋体" w:hAnsi="宋体" w:eastAsia="宋体" w:cs="宋体"/>
          <w:color w:val="auto"/>
          <w:highlight w:val="none"/>
        </w:rPr>
        <w:t>………………………………………………………………………（页码）</w:t>
      </w:r>
    </w:p>
    <w:p w14:paraId="104FEADC">
      <w:pPr>
        <w:snapToGrid w:val="0"/>
        <w:spacing w:line="360" w:lineRule="auto"/>
        <w:ind w:left="479" w:leftChars="228"/>
        <w:rPr>
          <w:rFonts w:hint="eastAsia" w:ascii="宋体" w:hAnsi="宋体" w:eastAsia="宋体" w:cs="宋体"/>
          <w:color w:val="auto"/>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zh-CN"/>
        </w:rPr>
        <w:t>）政府采购供应商廉洁自律承诺书</w:t>
      </w:r>
      <w:r>
        <w:rPr>
          <w:rFonts w:hint="eastAsia" w:ascii="宋体" w:hAnsi="宋体" w:eastAsia="宋体" w:cs="宋体"/>
          <w:color w:val="auto"/>
          <w:highlight w:val="none"/>
        </w:rPr>
        <w:t>…………………………………………………（页码）</w:t>
      </w:r>
    </w:p>
    <w:p w14:paraId="04A92570">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09F75923">
      <w:pPr>
        <w:snapToGrid w:val="0"/>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rPr>
        <w:t>一、投标</w:t>
      </w:r>
      <w:r>
        <w:rPr>
          <w:rFonts w:hint="eastAsia" w:ascii="宋体" w:hAnsi="宋体" w:eastAsia="宋体" w:cs="宋体"/>
          <w:b/>
          <w:color w:val="auto"/>
          <w:sz w:val="32"/>
          <w:szCs w:val="32"/>
          <w:highlight w:val="none"/>
        </w:rPr>
        <w:t>函</w:t>
      </w:r>
    </w:p>
    <w:p w14:paraId="57E4B1F6">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w:t>
      </w:r>
    </w:p>
    <w:p w14:paraId="56469C4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我方参加你方组织的（项目名称）【招标编号：（采购编号）】招标的有关活动，并对此项目进行投标。为此：</w:t>
      </w:r>
    </w:p>
    <w:p w14:paraId="286F369A">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1、我方承诺投标有效期从提交投标文件的截止之日起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天（不少于90天）</w:t>
      </w:r>
      <w:r>
        <w:rPr>
          <w:rFonts w:hint="eastAsia" w:ascii="宋体" w:hAnsi="宋体" w:eastAsia="宋体" w:cs="宋体"/>
          <w:color w:val="auto"/>
          <w:highlight w:val="none"/>
        </w:rPr>
        <w:t>，</w:t>
      </w:r>
      <w:r>
        <w:rPr>
          <w:rFonts w:hint="eastAsia" w:ascii="宋体" w:hAnsi="宋体" w:eastAsia="宋体" w:cs="宋体"/>
          <w:color w:val="auto"/>
          <w:sz w:val="24"/>
          <w:highlight w:val="none"/>
        </w:rPr>
        <w:t>本投标文件在投标有效期满之前均具有约束力。</w:t>
      </w:r>
    </w:p>
    <w:p w14:paraId="29FA49D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2、我方的投标文件包括以下内容：</w:t>
      </w:r>
    </w:p>
    <w:p w14:paraId="4132E446">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2.1资格文件：</w:t>
      </w:r>
    </w:p>
    <w:p w14:paraId="1458005B">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2.1.1承诺函；</w:t>
      </w:r>
    </w:p>
    <w:p w14:paraId="16D77F25">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w:t>
      </w:r>
      <w:r>
        <w:rPr>
          <w:rFonts w:hint="eastAsia" w:ascii="宋体" w:hAnsi="宋体" w:eastAsia="宋体" w:cs="宋体"/>
          <w:snapToGrid w:val="0"/>
          <w:color w:val="auto"/>
          <w:kern w:val="28"/>
          <w:sz w:val="24"/>
          <w:szCs w:val="20"/>
          <w:highlight w:val="none"/>
        </w:rPr>
        <w:t>联合协议</w:t>
      </w:r>
      <w:bookmarkStart w:id="495" w:name="_Hlk101257010"/>
      <w:r>
        <w:rPr>
          <w:rFonts w:hint="eastAsia" w:ascii="宋体" w:hAnsi="宋体" w:eastAsia="宋体" w:cs="宋体"/>
          <w:color w:val="auto"/>
          <w:sz w:val="24"/>
          <w:highlight w:val="none"/>
        </w:rPr>
        <w:t>（如果有)</w:t>
      </w:r>
      <w:bookmarkEnd w:id="495"/>
      <w:r>
        <w:rPr>
          <w:rFonts w:hint="eastAsia" w:ascii="宋体" w:hAnsi="宋体" w:eastAsia="宋体" w:cs="宋体"/>
          <w:snapToGrid w:val="0"/>
          <w:color w:val="auto"/>
          <w:kern w:val="28"/>
          <w:sz w:val="24"/>
          <w:szCs w:val="20"/>
          <w:highlight w:val="none"/>
        </w:rPr>
        <w:t>；</w:t>
      </w:r>
    </w:p>
    <w:p w14:paraId="76C0151E">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2.1.3落实政府采购政策需满足的资格要求（如果有）；</w:t>
      </w:r>
    </w:p>
    <w:p w14:paraId="41E33638">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2.1.4本项目的特定资格要求（如果有)。</w:t>
      </w:r>
    </w:p>
    <w:p w14:paraId="1EA533C3">
      <w:pPr>
        <w:snapToGrid w:val="0"/>
        <w:spacing w:line="360" w:lineRule="auto"/>
        <w:ind w:left="210" w:leftChars="100"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商务技术</w:t>
      </w:r>
      <w:r>
        <w:rPr>
          <w:rFonts w:hint="eastAsia" w:ascii="宋体" w:hAnsi="宋体" w:eastAsia="宋体" w:cs="宋体"/>
          <w:color w:val="auto"/>
          <w:sz w:val="24"/>
          <w:highlight w:val="none"/>
          <w:lang w:val="zh-CN"/>
        </w:rPr>
        <w:t>文件：</w:t>
      </w:r>
    </w:p>
    <w:p w14:paraId="6898CA18">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2.2.1投标函；</w:t>
      </w:r>
      <w:r>
        <w:rPr>
          <w:rFonts w:hint="eastAsia" w:ascii="宋体" w:hAnsi="宋体" w:eastAsia="宋体" w:cs="宋体"/>
          <w:color w:val="auto"/>
          <w:sz w:val="24"/>
          <w:highlight w:val="none"/>
          <w:lang w:val="zh-CN"/>
        </w:rPr>
        <w:t xml:space="preserve"> </w:t>
      </w:r>
    </w:p>
    <w:p w14:paraId="001AB051">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2.2.2授权委托书或法定代表人（单位负责人）身份证明；</w:t>
      </w:r>
    </w:p>
    <w:p w14:paraId="5B9750B1">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2.2.3分包意向协议（如果有)；</w:t>
      </w:r>
    </w:p>
    <w:p w14:paraId="2A95D772">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2.2.4符合性审查资料；</w:t>
      </w:r>
    </w:p>
    <w:p w14:paraId="1CA5FAE6">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2.2.5评标标准相应的商务技术资料；</w:t>
      </w:r>
    </w:p>
    <w:p w14:paraId="1C7AB33B">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2.2.6投标标的清单；</w:t>
      </w:r>
    </w:p>
    <w:p w14:paraId="68A9F4B4">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2.2.7商务技术偏离表；</w:t>
      </w:r>
    </w:p>
    <w:p w14:paraId="442B1236">
      <w:pPr>
        <w:snapToGrid w:val="0"/>
        <w:spacing w:line="360" w:lineRule="auto"/>
        <w:ind w:left="420" w:leftChars="200"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zh-CN"/>
        </w:rPr>
        <w:t>政府采购供应商廉洁自律承诺书；</w:t>
      </w:r>
    </w:p>
    <w:p w14:paraId="63E85BBE">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3报价文件</w:t>
      </w:r>
    </w:p>
    <w:p w14:paraId="0BDED148">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2.3.1开标一览表（报价表）；</w:t>
      </w:r>
    </w:p>
    <w:p w14:paraId="5E2BBB99">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2.3.2中小企业声明函（如果有）。</w:t>
      </w:r>
    </w:p>
    <w:p w14:paraId="1455B16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我方承诺除商务技术偏离表列出的偏离外，我方响应招标文件的全部要求。对投标文件中材料的真实性、合法性负责，积极配合采购人复核投标文件中的资料。</w:t>
      </w:r>
    </w:p>
    <w:p w14:paraId="5742407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4、如我方中标，我方承诺：</w:t>
      </w:r>
    </w:p>
    <w:p w14:paraId="4032A47C">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4.1在收到中标通知书后，在中标通知书规定的期限内与你方签订合同； </w:t>
      </w:r>
    </w:p>
    <w:p w14:paraId="1A90DA78">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4.2在签订合同时不向你方提出附加条件； </w:t>
      </w:r>
    </w:p>
    <w:p w14:paraId="326A0ACE">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4.3按照招标文件要求提交履约保证金； </w:t>
      </w:r>
    </w:p>
    <w:p w14:paraId="49783D22">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4.4在合同约定的期限内完成合同规定的全部义务。 </w:t>
      </w:r>
    </w:p>
    <w:p w14:paraId="17C0D819">
      <w:pPr>
        <w:numPr>
          <w:ilvl w:val="0"/>
          <w:numId w:val="10"/>
        </w:numPr>
        <w:snapToGrid/>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74ADDA73">
      <w:pPr>
        <w:numPr>
          <w:ilvl w:val="0"/>
          <w:numId w:val="10"/>
        </w:numPr>
        <w:snapToGrid/>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其他补充说明: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42A386A">
      <w:pPr>
        <w:spacing w:line="360" w:lineRule="auto"/>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投标人名称（电子签名）：                          </w:t>
      </w:r>
    </w:p>
    <w:p w14:paraId="2F86D8E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51AE6935">
      <w:pPr>
        <w:snapToGrid w:val="0"/>
        <w:spacing w:line="360" w:lineRule="auto"/>
        <w:ind w:left="420" w:leftChars="200" w:firstLine="4200" w:firstLineChars="1750"/>
        <w:rPr>
          <w:rFonts w:hint="eastAsia" w:ascii="宋体" w:hAnsi="宋体" w:eastAsia="宋体" w:cs="宋体"/>
          <w:color w:val="auto"/>
          <w:kern w:val="0"/>
          <w:sz w:val="24"/>
          <w:highlight w:val="none"/>
          <w:u w:val="single"/>
        </w:rPr>
      </w:pPr>
    </w:p>
    <w:p w14:paraId="1136F465">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4C0A8317">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798BDF5C">
      <w:pPr>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二、授权委托书或法定代表人（单位负责人、自然人本人）身份证明</w:t>
      </w:r>
    </w:p>
    <w:p w14:paraId="3718B3F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p>
    <w:p w14:paraId="28A5AF31">
      <w:pPr>
        <w:snapToGrid w:val="0"/>
        <w:spacing w:line="360" w:lineRule="auto"/>
        <w:ind w:firstLine="2872" w:firstLineChars="894"/>
        <w:rPr>
          <w:rFonts w:hint="eastAsia" w:ascii="宋体" w:hAnsi="宋体" w:eastAsia="宋体" w:cs="宋体"/>
          <w:color w:val="auto"/>
          <w:highlight w:val="none"/>
        </w:rPr>
      </w:pPr>
      <w:r>
        <w:rPr>
          <w:rFonts w:hint="eastAsia" w:ascii="宋体" w:hAnsi="宋体" w:eastAsia="宋体" w:cs="宋体"/>
          <w:b/>
          <w:color w:val="auto"/>
          <w:kern w:val="0"/>
          <w:sz w:val="32"/>
          <w:szCs w:val="32"/>
          <w:highlight w:val="none"/>
          <w:lang w:val="zh-CN"/>
        </w:rPr>
        <w:t>授权委托书（适用于非联合体投标）</w:t>
      </w:r>
    </w:p>
    <w:p w14:paraId="2E07BEC9">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5E959747">
      <w:pPr>
        <w:snapToGrid w:val="0"/>
        <w:spacing w:line="360" w:lineRule="auto"/>
        <w:ind w:firstLine="57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现</w:t>
      </w:r>
      <w:r>
        <w:rPr>
          <w:rFonts w:hint="eastAsia" w:ascii="宋体" w:hAnsi="宋体" w:eastAsia="宋体" w:cs="宋体"/>
          <w:color w:val="auto"/>
          <w:kern w:val="0"/>
          <w:sz w:val="24"/>
          <w:highlight w:val="none"/>
          <w:lang w:val="zh-CN"/>
        </w:rPr>
        <w:t>委托</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（姓名）为我方代理人（身份证号码：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，手机：</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u w:val="none"/>
          <w:lang w:val="en-US" w:eastAsia="zh-CN"/>
        </w:rPr>
        <w:t>，所在单位：</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），以我方名义处理</w:t>
      </w:r>
      <w:r>
        <w:rPr>
          <w:rFonts w:hint="eastAsia" w:ascii="宋体" w:hAnsi="宋体" w:eastAsia="宋体" w:cs="宋体"/>
          <w:color w:val="auto"/>
          <w:sz w:val="24"/>
          <w:highlight w:val="none"/>
        </w:rPr>
        <w:t>（项目名称）【招标编号：（采购编号）】</w:t>
      </w:r>
      <w:r>
        <w:rPr>
          <w:rFonts w:hint="eastAsia" w:ascii="宋体" w:hAnsi="宋体" w:eastAsia="宋体" w:cs="宋体"/>
          <w:color w:val="auto"/>
          <w:kern w:val="0"/>
          <w:sz w:val="24"/>
          <w:highlight w:val="none"/>
          <w:lang w:val="zh-CN"/>
        </w:rPr>
        <w:t>政府采购投标的一切事项，其法律后果由我方承担。</w:t>
      </w:r>
    </w:p>
    <w:p w14:paraId="73D765D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委托期限</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自</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日起至</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日止。</w:t>
      </w:r>
    </w:p>
    <w:p w14:paraId="732CD9D3">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特此告知。</w:t>
      </w:r>
    </w:p>
    <w:p w14:paraId="1FC3A87E">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投标人名称(电子签名)：</w:t>
      </w:r>
    </w:p>
    <w:p w14:paraId="4D715538">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 xml:space="preserve">                                                 签发日期：  年  月   日</w:t>
      </w:r>
    </w:p>
    <w:p w14:paraId="2CD2A7C9">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zh-CN"/>
        </w:rPr>
        <w:t>授权委托书（适用于联合体投标）</w:t>
      </w:r>
    </w:p>
    <w:p w14:paraId="1E24A88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4162F52F">
      <w:pPr>
        <w:snapToGrid w:val="0"/>
        <w:spacing w:line="360" w:lineRule="auto"/>
        <w:ind w:firstLine="57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现</w:t>
      </w:r>
      <w:r>
        <w:rPr>
          <w:rFonts w:hint="eastAsia" w:ascii="宋体" w:hAnsi="宋体" w:eastAsia="宋体" w:cs="宋体"/>
          <w:color w:val="auto"/>
          <w:kern w:val="0"/>
          <w:sz w:val="24"/>
          <w:highlight w:val="none"/>
          <w:lang w:val="zh-CN"/>
        </w:rPr>
        <w:t>委托</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（姓名）为我方代理人（身份证号码：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，手机：</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u w:val="none"/>
          <w:lang w:val="en-US" w:eastAsia="zh-CN"/>
        </w:rPr>
        <w:t>，所在单位：</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），以我方名义处理</w:t>
      </w:r>
      <w:r>
        <w:rPr>
          <w:rFonts w:hint="eastAsia" w:ascii="宋体" w:hAnsi="宋体" w:eastAsia="宋体" w:cs="宋体"/>
          <w:color w:val="auto"/>
          <w:sz w:val="24"/>
          <w:highlight w:val="none"/>
        </w:rPr>
        <w:t>（项目名称）【招标编号：（采购编号）】</w:t>
      </w:r>
      <w:r>
        <w:rPr>
          <w:rFonts w:hint="eastAsia" w:ascii="宋体" w:hAnsi="宋体" w:eastAsia="宋体" w:cs="宋体"/>
          <w:color w:val="auto"/>
          <w:kern w:val="0"/>
          <w:sz w:val="24"/>
          <w:highlight w:val="none"/>
          <w:lang w:val="zh-CN"/>
        </w:rPr>
        <w:t>政府采购投标的一切事项，其法律后果由我方承担。</w:t>
      </w:r>
    </w:p>
    <w:p w14:paraId="1B64883E">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委托期限</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自</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日起至</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日止。</w:t>
      </w:r>
    </w:p>
    <w:p w14:paraId="27D9931F">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特此告知。</w:t>
      </w:r>
    </w:p>
    <w:p w14:paraId="5F89DD81">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联合体成员名称(电子签名/公章)：</w:t>
      </w:r>
    </w:p>
    <w:p w14:paraId="2CCBEDED">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联合体成员名称(电子签名/公章)：</w:t>
      </w:r>
    </w:p>
    <w:p w14:paraId="4333CC97">
      <w:pPr>
        <w:snapToGrid w:val="0"/>
        <w:spacing w:line="360" w:lineRule="auto"/>
        <w:ind w:firstLine="5760" w:firstLineChars="2400"/>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w:t>
      </w:r>
    </w:p>
    <w:p w14:paraId="12FC2253">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06B2BCD0">
      <w:pP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p>
    <w:p w14:paraId="25B3ED7A">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kern w:val="0"/>
          <w:sz w:val="32"/>
          <w:szCs w:val="32"/>
          <w:highlight w:val="none"/>
          <w:lang w:val="zh-CN"/>
        </w:rPr>
        <w:t>法定代表人、单位负责人或自然人本人</w:t>
      </w:r>
      <w:r>
        <w:rPr>
          <w:rFonts w:hint="eastAsia" w:ascii="宋体" w:hAnsi="宋体" w:eastAsia="宋体" w:cs="宋体"/>
          <w:b/>
          <w:color w:val="auto"/>
          <w:sz w:val="30"/>
          <w:szCs w:val="30"/>
          <w:highlight w:val="none"/>
        </w:rPr>
        <w:t>的身份证明（适用于法定代表人、单位负责人或者自然人本人代表投标人参加投标）</w:t>
      </w:r>
    </w:p>
    <w:p w14:paraId="012B6A56">
      <w:pPr>
        <w:pStyle w:val="146"/>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31C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AF23D17">
            <w:pPr>
              <w:pStyle w:val="146"/>
              <w:adjustRightIn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正面：                                 反面：</w:t>
            </w:r>
          </w:p>
          <w:p w14:paraId="4B5DC18D">
            <w:pPr>
              <w:pStyle w:val="146"/>
              <w:adjustRightInd w:val="0"/>
              <w:spacing w:line="360" w:lineRule="auto"/>
              <w:rPr>
                <w:rFonts w:hint="eastAsia" w:ascii="宋体" w:hAnsi="宋体" w:eastAsia="宋体" w:cs="宋体"/>
                <w:bCs/>
                <w:color w:val="auto"/>
                <w:sz w:val="24"/>
                <w:highlight w:val="none"/>
              </w:rPr>
            </w:pPr>
          </w:p>
        </w:tc>
      </w:tr>
    </w:tbl>
    <w:p w14:paraId="2FC78643">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3E14DFFB">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投标人名称(电子签名)：             </w:t>
      </w:r>
    </w:p>
    <w:p w14:paraId="7B4F8123">
      <w:pPr>
        <w:spacing w:line="360" w:lineRule="auto"/>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13846D55">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227D4EC">
      <w:pPr>
        <w:snapToGrid w:val="0"/>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三、分包意向协议（如果有）</w:t>
      </w:r>
    </w:p>
    <w:p w14:paraId="1B95EC8B">
      <w:pPr>
        <w:widowControl/>
        <w:spacing w:line="360" w:lineRule="auto"/>
        <w:ind w:firstLine="120" w:firstLine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中标后以分包方式履行合同的，提供分包意向协议(附件6)；采购人不同意分包或者投标人中标后不以分包方式履行合同的，则不需要提供。</w:t>
      </w:r>
      <w:r>
        <w:rPr>
          <w:rFonts w:hint="eastAsia" w:ascii="宋体" w:hAnsi="宋体" w:eastAsia="宋体" w:cs="宋体"/>
          <w:color w:val="auto"/>
          <w:sz w:val="24"/>
          <w:highlight w:val="none"/>
        </w:rPr>
        <w:t>]</w:t>
      </w:r>
    </w:p>
    <w:p w14:paraId="756EFF17">
      <w:pPr>
        <w:snapToGrid w:val="0"/>
        <w:spacing w:line="360" w:lineRule="auto"/>
        <w:rPr>
          <w:rFonts w:hint="eastAsia" w:ascii="宋体" w:hAnsi="宋体" w:eastAsia="宋体" w:cs="宋体"/>
          <w:color w:val="auto"/>
          <w:kern w:val="0"/>
          <w:sz w:val="24"/>
          <w:highlight w:val="none"/>
        </w:rPr>
      </w:pPr>
    </w:p>
    <w:p w14:paraId="221C28FC">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四、符合性审查资料</w:t>
      </w:r>
    </w:p>
    <w:p w14:paraId="54811ED1">
      <w:pPr>
        <w:jc w:val="center"/>
        <w:rPr>
          <w:rFonts w:hint="eastAsia" w:ascii="宋体" w:hAnsi="宋体" w:eastAsia="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1293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E77C689">
            <w:pPr>
              <w:snapToGrid w:val="0"/>
              <w:spacing w:line="240" w:lineRule="atLeast"/>
              <w:jc w:val="center"/>
              <w:rPr>
                <w:rFonts w:hint="eastAsia" w:ascii="宋体" w:hAnsi="宋体" w:eastAsia="宋体" w:cs="宋体"/>
                <w:b w:val="0"/>
                <w:bCs/>
                <w:color w:val="auto"/>
                <w:sz w:val="24"/>
                <w:highlight w:val="none"/>
              </w:rPr>
            </w:pPr>
            <w:r>
              <w:rPr>
                <w:rFonts w:hint="eastAsia" w:ascii="宋体" w:hAnsi="宋体" w:eastAsia="宋体" w:cs="宋体"/>
                <w:b/>
                <w:color w:val="auto"/>
                <w:sz w:val="24"/>
                <w:highlight w:val="none"/>
              </w:rPr>
              <w:t>序号</w:t>
            </w:r>
          </w:p>
        </w:tc>
        <w:tc>
          <w:tcPr>
            <w:tcW w:w="4991" w:type="dxa"/>
            <w:vAlign w:val="center"/>
          </w:tcPr>
          <w:p w14:paraId="31CAFF39">
            <w:pPr>
              <w:snapToGrid w:val="0"/>
              <w:spacing w:line="240" w:lineRule="atLeast"/>
              <w:jc w:val="center"/>
              <w:rPr>
                <w:rFonts w:hint="eastAsia" w:ascii="宋体" w:hAnsi="宋体" w:eastAsia="宋体" w:cs="宋体"/>
                <w:b w:val="0"/>
                <w:bCs/>
                <w:color w:val="auto"/>
                <w:sz w:val="24"/>
                <w:highlight w:val="none"/>
              </w:rPr>
            </w:pPr>
            <w:r>
              <w:rPr>
                <w:rFonts w:hint="eastAsia" w:ascii="宋体" w:hAnsi="宋体" w:eastAsia="宋体" w:cs="宋体"/>
                <w:b/>
                <w:color w:val="auto"/>
                <w:sz w:val="24"/>
                <w:highlight w:val="none"/>
              </w:rPr>
              <w:t>实质性要求</w:t>
            </w:r>
          </w:p>
        </w:tc>
        <w:tc>
          <w:tcPr>
            <w:tcW w:w="2551" w:type="dxa"/>
            <w:vAlign w:val="center"/>
          </w:tcPr>
          <w:p w14:paraId="1B689039">
            <w:pPr>
              <w:snapToGrid w:val="0"/>
              <w:spacing w:line="240" w:lineRule="atLeast"/>
              <w:jc w:val="center"/>
              <w:rPr>
                <w:rFonts w:hint="eastAsia" w:ascii="宋体" w:hAnsi="宋体" w:eastAsia="宋体" w:cs="宋体"/>
                <w:b w:val="0"/>
                <w:bCs/>
                <w:color w:val="auto"/>
                <w:sz w:val="24"/>
                <w:highlight w:val="none"/>
              </w:rPr>
            </w:pPr>
            <w:r>
              <w:rPr>
                <w:rFonts w:hint="eastAsia" w:ascii="宋体" w:hAnsi="宋体" w:eastAsia="宋体" w:cs="宋体"/>
                <w:b/>
                <w:color w:val="auto"/>
                <w:sz w:val="24"/>
                <w:highlight w:val="none"/>
              </w:rPr>
              <w:t>需要提供的符合性审查资料</w:t>
            </w:r>
          </w:p>
        </w:tc>
        <w:tc>
          <w:tcPr>
            <w:tcW w:w="1418" w:type="dxa"/>
            <w:vAlign w:val="center"/>
          </w:tcPr>
          <w:p w14:paraId="01213A7F">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投标文件中的</w:t>
            </w:r>
          </w:p>
          <w:p w14:paraId="7DCCDA55">
            <w:pPr>
              <w:snapToGrid w:val="0"/>
              <w:spacing w:line="240" w:lineRule="atLeast"/>
              <w:jc w:val="center"/>
              <w:rPr>
                <w:rFonts w:hint="eastAsia" w:ascii="宋体" w:hAnsi="宋体" w:eastAsia="宋体" w:cs="宋体"/>
                <w:b w:val="0"/>
                <w:bCs/>
                <w:color w:val="auto"/>
                <w:sz w:val="24"/>
                <w:highlight w:val="none"/>
              </w:rPr>
            </w:pPr>
            <w:r>
              <w:rPr>
                <w:rFonts w:hint="eastAsia" w:ascii="宋体" w:hAnsi="宋体" w:eastAsia="宋体" w:cs="宋体"/>
                <w:b/>
                <w:color w:val="auto"/>
                <w:sz w:val="24"/>
                <w:highlight w:val="none"/>
              </w:rPr>
              <w:t>页码位置</w:t>
            </w:r>
          </w:p>
        </w:tc>
      </w:tr>
      <w:tr w14:paraId="6D1D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AB58832">
            <w:pPr>
              <w:jc w:val="center"/>
              <w:rPr>
                <w:rFonts w:hint="eastAsia" w:ascii="宋体" w:hAnsi="宋体" w:eastAsia="宋体" w:cs="宋体"/>
                <w:b w:val="0"/>
                <w:bCs/>
                <w:color w:val="auto"/>
                <w:sz w:val="24"/>
                <w:highlight w:val="none"/>
              </w:rPr>
            </w:pPr>
            <w:r>
              <w:rPr>
                <w:rFonts w:hint="eastAsia" w:ascii="宋体" w:hAnsi="宋体" w:eastAsia="宋体" w:cs="宋体"/>
                <w:color w:val="auto"/>
                <w:sz w:val="24"/>
                <w:highlight w:val="none"/>
              </w:rPr>
              <w:t>1</w:t>
            </w:r>
          </w:p>
        </w:tc>
        <w:tc>
          <w:tcPr>
            <w:tcW w:w="4991" w:type="dxa"/>
          </w:tcPr>
          <w:p w14:paraId="346392E6">
            <w:pPr>
              <w:spacing w:line="360" w:lineRule="auto"/>
              <w:rPr>
                <w:rFonts w:hint="eastAsia" w:ascii="宋体" w:hAnsi="宋体" w:eastAsia="宋体" w:cs="宋体"/>
                <w:b w:val="0"/>
                <w:bCs/>
                <w:color w:val="auto"/>
                <w:sz w:val="24"/>
                <w:highlight w:val="none"/>
              </w:rPr>
            </w:pPr>
            <w:r>
              <w:rPr>
                <w:rFonts w:hint="eastAsia" w:ascii="宋体" w:hAnsi="宋体" w:eastAsia="宋体" w:cs="宋体"/>
                <w:color w:val="auto"/>
                <w:sz w:val="24"/>
                <w:highlight w:val="none"/>
              </w:rPr>
              <w:t>投标文件按照招标文件要求签署、盖章。</w:t>
            </w:r>
          </w:p>
        </w:tc>
        <w:tc>
          <w:tcPr>
            <w:tcW w:w="2551" w:type="dxa"/>
            <w:vAlign w:val="center"/>
          </w:tcPr>
          <w:p w14:paraId="337339A9">
            <w:pPr>
              <w:rPr>
                <w:rFonts w:hint="eastAsia" w:ascii="宋体" w:hAnsi="宋体" w:eastAsia="宋体" w:cs="宋体"/>
                <w:b w:val="0"/>
                <w:bCs/>
                <w:color w:val="auto"/>
                <w:sz w:val="24"/>
                <w:highlight w:val="none"/>
              </w:rPr>
            </w:pPr>
            <w:r>
              <w:rPr>
                <w:rFonts w:hint="eastAsia" w:ascii="宋体" w:hAnsi="宋体" w:eastAsia="宋体" w:cs="宋体"/>
                <w:color w:val="auto"/>
                <w:sz w:val="24"/>
                <w:highlight w:val="none"/>
              </w:rPr>
              <w:t>需要使用电子签名或者签字盖章的投标文件的组成部分</w:t>
            </w:r>
          </w:p>
        </w:tc>
        <w:tc>
          <w:tcPr>
            <w:tcW w:w="1418" w:type="dxa"/>
          </w:tcPr>
          <w:p w14:paraId="3752E54B">
            <w:pPr>
              <w:rPr>
                <w:rFonts w:hint="eastAsia" w:ascii="宋体" w:hAnsi="宋体" w:eastAsia="宋体" w:cs="宋体"/>
                <w:color w:val="auto"/>
                <w:sz w:val="24"/>
                <w:highlight w:val="none"/>
              </w:rPr>
            </w:pPr>
          </w:p>
          <w:p w14:paraId="4A773A98">
            <w:pPr>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见投标文件</w:t>
            </w:r>
          </w:p>
          <w:p w14:paraId="0164FE2B">
            <w:pPr>
              <w:rPr>
                <w:rFonts w:hint="eastAsia" w:ascii="宋体" w:hAnsi="宋体" w:eastAsia="宋体" w:cs="宋体"/>
                <w:b w:val="0"/>
                <w:bCs/>
                <w:color w:val="auto"/>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r w14:paraId="2400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93F0BC6">
            <w:pPr>
              <w:jc w:val="center"/>
              <w:rPr>
                <w:rFonts w:hint="eastAsia" w:ascii="宋体" w:hAnsi="宋体" w:eastAsia="宋体" w:cs="宋体"/>
                <w:b w:val="0"/>
                <w:bCs/>
                <w:color w:val="auto"/>
                <w:sz w:val="24"/>
                <w:highlight w:val="none"/>
              </w:rPr>
            </w:pPr>
            <w:r>
              <w:rPr>
                <w:rFonts w:hint="eastAsia" w:ascii="宋体" w:hAnsi="宋体" w:eastAsia="宋体" w:cs="宋体"/>
                <w:color w:val="auto"/>
                <w:sz w:val="24"/>
                <w:highlight w:val="none"/>
              </w:rPr>
              <w:t>2</w:t>
            </w:r>
          </w:p>
        </w:tc>
        <w:tc>
          <w:tcPr>
            <w:tcW w:w="4991" w:type="dxa"/>
          </w:tcPr>
          <w:p w14:paraId="0CB89488">
            <w:pPr>
              <w:spacing w:line="360" w:lineRule="auto"/>
              <w:rPr>
                <w:rFonts w:hint="eastAsia" w:ascii="宋体" w:hAnsi="宋体" w:eastAsia="宋体" w:cs="宋体"/>
                <w:b w:val="0"/>
                <w:bCs/>
                <w:color w:val="auto"/>
                <w:sz w:val="24"/>
                <w:highlight w:val="none"/>
              </w:rPr>
            </w:pPr>
            <w:r>
              <w:rPr>
                <w:rFonts w:hint="eastAsia" w:ascii="宋体" w:hAnsi="宋体" w:eastAsia="宋体" w:cs="宋体"/>
                <w:color w:val="auto"/>
                <w:sz w:val="24"/>
                <w:highlight w:val="none"/>
              </w:rPr>
              <w:t>投标文件中承诺的投标有效期不少于招标文件中载明的投标有效期。</w:t>
            </w:r>
          </w:p>
        </w:tc>
        <w:tc>
          <w:tcPr>
            <w:tcW w:w="2551" w:type="dxa"/>
            <w:vAlign w:val="center"/>
          </w:tcPr>
          <w:p w14:paraId="2D91585F">
            <w:pPr>
              <w:rPr>
                <w:rFonts w:hint="eastAsia" w:ascii="宋体" w:hAnsi="宋体" w:eastAsia="宋体" w:cs="宋体"/>
                <w:b w:val="0"/>
                <w:bCs/>
                <w:color w:val="auto"/>
                <w:sz w:val="24"/>
                <w:highlight w:val="none"/>
              </w:rPr>
            </w:pPr>
            <w:r>
              <w:rPr>
                <w:rFonts w:hint="eastAsia" w:ascii="宋体" w:hAnsi="宋体" w:eastAsia="宋体" w:cs="宋体"/>
                <w:color w:val="auto"/>
                <w:sz w:val="24"/>
                <w:highlight w:val="none"/>
              </w:rPr>
              <w:t>投标函</w:t>
            </w:r>
          </w:p>
        </w:tc>
        <w:tc>
          <w:tcPr>
            <w:tcW w:w="1418" w:type="dxa"/>
          </w:tcPr>
          <w:p w14:paraId="6934BECD">
            <w:pPr>
              <w:rPr>
                <w:rFonts w:hint="eastAsia" w:ascii="宋体" w:hAnsi="宋体" w:eastAsia="宋体" w:cs="宋体"/>
                <w:b w:val="0"/>
                <w:bCs/>
                <w:color w:val="auto"/>
                <w:highlight w:val="none"/>
              </w:rPr>
            </w:pPr>
            <w:r>
              <w:rPr>
                <w:rFonts w:hint="eastAsia" w:ascii="宋体" w:hAnsi="宋体" w:eastAsia="宋体" w:cs="宋体"/>
                <w:color w:val="auto"/>
                <w:sz w:val="24"/>
                <w:highlight w:val="none"/>
              </w:rPr>
              <w:t>见投标文件第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r w14:paraId="5A57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AE85CCD">
            <w:pPr>
              <w:jc w:val="center"/>
              <w:rPr>
                <w:rFonts w:hint="eastAsia" w:ascii="宋体" w:hAnsi="宋体" w:eastAsia="宋体" w:cs="宋体"/>
                <w:b w:val="0"/>
                <w:bCs/>
                <w:color w:val="auto"/>
                <w:sz w:val="24"/>
                <w:highlight w:val="none"/>
              </w:rPr>
            </w:pPr>
            <w:r>
              <w:rPr>
                <w:rFonts w:hint="eastAsia" w:ascii="宋体" w:hAnsi="宋体" w:eastAsia="宋体" w:cs="宋体"/>
                <w:b w:val="0"/>
                <w:bCs w:val="0"/>
                <w:color w:val="auto"/>
                <w:sz w:val="24"/>
                <w:highlight w:val="none"/>
                <w:lang w:val="en-US" w:eastAsia="zh-CN"/>
              </w:rPr>
              <w:t>3</w:t>
            </w:r>
          </w:p>
        </w:tc>
        <w:tc>
          <w:tcPr>
            <w:tcW w:w="4991" w:type="dxa"/>
          </w:tcPr>
          <w:p w14:paraId="1C83308C">
            <w:pPr>
              <w:snapToGrid w:val="0"/>
              <w:spacing w:line="360" w:lineRule="auto"/>
              <w:ind w:firstLine="0" w:firstLineChars="0"/>
              <w:rPr>
                <w:rFonts w:hint="eastAsia" w:ascii="宋体" w:hAnsi="宋体" w:eastAsia="宋体" w:cs="宋体"/>
                <w:b w:val="0"/>
                <w:bCs w:val="0"/>
                <w:snapToGrid w:val="0"/>
                <w:color w:val="auto"/>
                <w:sz w:val="24"/>
                <w:highlight w:val="none"/>
              </w:rPr>
            </w:pPr>
            <w:r>
              <w:rPr>
                <w:rFonts w:hint="eastAsia" w:ascii="宋体" w:hAnsi="宋体" w:eastAsia="宋体" w:cs="宋体"/>
                <w:b w:val="0"/>
                <w:bCs w:val="0"/>
                <w:snapToGrid w:val="0"/>
                <w:color w:val="auto"/>
                <w:sz w:val="24"/>
                <w:highlight w:val="none"/>
              </w:rPr>
              <w:t>投标</w:t>
            </w:r>
            <w:r>
              <w:rPr>
                <w:rFonts w:hint="eastAsia" w:ascii="宋体" w:hAnsi="宋体" w:eastAsia="宋体" w:cs="宋体"/>
                <w:b w:val="0"/>
                <w:bCs w:val="0"/>
                <w:snapToGrid w:val="0"/>
                <w:color w:val="auto"/>
                <w:sz w:val="24"/>
                <w:highlight w:val="none"/>
                <w:lang w:val="en-US" w:eastAsia="zh-CN"/>
              </w:rPr>
              <w:t>文件的组成应符合招标文件要求</w:t>
            </w:r>
          </w:p>
          <w:p w14:paraId="0F8441F7">
            <w:pPr>
              <w:spacing w:line="360" w:lineRule="auto"/>
              <w:rPr>
                <w:rFonts w:hint="eastAsia" w:ascii="宋体" w:hAnsi="宋体" w:eastAsia="宋体" w:cs="宋体"/>
                <w:b w:val="0"/>
                <w:bCs/>
                <w:color w:val="auto"/>
                <w:sz w:val="24"/>
                <w:highlight w:val="none"/>
              </w:rPr>
            </w:pPr>
          </w:p>
        </w:tc>
        <w:tc>
          <w:tcPr>
            <w:tcW w:w="2551" w:type="dxa"/>
            <w:vAlign w:val="center"/>
          </w:tcPr>
          <w:p w14:paraId="3EF36BD5">
            <w:pPr>
              <w:rPr>
                <w:rFonts w:hint="eastAsia" w:ascii="宋体" w:hAnsi="宋体" w:eastAsia="宋体" w:cs="宋体"/>
                <w:b w:val="0"/>
                <w:bCs/>
                <w:color w:val="auto"/>
                <w:sz w:val="24"/>
                <w:highlight w:val="none"/>
              </w:rPr>
            </w:pPr>
            <w:r>
              <w:rPr>
                <w:rFonts w:hint="eastAsia" w:ascii="宋体" w:hAnsi="宋体" w:eastAsia="宋体" w:cs="宋体"/>
                <w:b w:val="0"/>
                <w:bCs w:val="0"/>
                <w:color w:val="auto"/>
                <w:sz w:val="24"/>
                <w:highlight w:val="none"/>
                <w:lang w:val="en-US" w:eastAsia="zh-CN"/>
              </w:rPr>
              <w:t>投标文件</w:t>
            </w:r>
          </w:p>
        </w:tc>
        <w:tc>
          <w:tcPr>
            <w:tcW w:w="1418" w:type="dxa"/>
          </w:tcPr>
          <w:p w14:paraId="7387E8BA">
            <w:pPr>
              <w:rPr>
                <w:rFonts w:hint="eastAsia" w:ascii="宋体" w:hAnsi="宋体" w:eastAsia="宋体" w:cs="宋体"/>
                <w:b w:val="0"/>
                <w:bCs/>
                <w:color w:val="auto"/>
                <w:highlight w:val="none"/>
              </w:rPr>
            </w:pPr>
            <w:r>
              <w:rPr>
                <w:rFonts w:hint="eastAsia" w:ascii="宋体" w:hAnsi="宋体" w:eastAsia="宋体" w:cs="宋体"/>
                <w:b w:val="0"/>
                <w:bCs w:val="0"/>
                <w:color w:val="auto"/>
                <w:sz w:val="24"/>
                <w:highlight w:val="none"/>
                <w:lang w:val="en-US" w:eastAsia="zh-CN"/>
              </w:rPr>
              <w:t>/</w:t>
            </w:r>
          </w:p>
        </w:tc>
      </w:tr>
      <w:tr w14:paraId="7D79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0B06957">
            <w:pPr>
              <w:jc w:val="center"/>
              <w:rPr>
                <w:rFonts w:hint="eastAsia" w:ascii="宋体" w:hAnsi="宋体" w:eastAsia="宋体" w:cs="宋体"/>
                <w:b/>
                <w:bCs/>
                <w:color w:val="auto"/>
                <w:sz w:val="24"/>
                <w:highlight w:val="none"/>
                <w:lang w:val="en-US" w:eastAsia="zh-CN"/>
              </w:rPr>
            </w:pPr>
            <w:r>
              <w:rPr>
                <w:rFonts w:hint="eastAsia" w:ascii="宋体" w:hAnsi="宋体" w:eastAsia="宋体" w:cs="宋体"/>
                <w:b w:val="0"/>
                <w:bCs w:val="0"/>
                <w:color w:val="auto"/>
                <w:sz w:val="24"/>
                <w:highlight w:val="none"/>
                <w:lang w:val="en-US" w:eastAsia="zh-CN"/>
              </w:rPr>
              <w:t>4</w:t>
            </w:r>
          </w:p>
        </w:tc>
        <w:tc>
          <w:tcPr>
            <w:tcW w:w="4991" w:type="dxa"/>
          </w:tcPr>
          <w:p w14:paraId="4FE65CF7">
            <w:pPr>
              <w:spacing w:line="360" w:lineRule="auto"/>
              <w:rPr>
                <w:rFonts w:hint="eastAsia" w:ascii="宋体" w:hAnsi="宋体" w:eastAsia="宋体" w:cs="宋体"/>
                <w:b/>
                <w:bCs/>
                <w:color w:val="auto"/>
                <w:sz w:val="24"/>
                <w:highlight w:val="none"/>
              </w:rPr>
            </w:pPr>
            <w:r>
              <w:rPr>
                <w:rFonts w:hint="eastAsia" w:ascii="宋体" w:hAnsi="宋体" w:eastAsia="宋体" w:cs="宋体"/>
                <w:b w:val="0"/>
                <w:bCs w:val="0"/>
                <w:snapToGrid w:val="0"/>
                <w:color w:val="auto"/>
                <w:sz w:val="24"/>
                <w:highlight w:val="none"/>
                <w:lang w:val="en-US" w:eastAsia="zh-CN"/>
              </w:rPr>
              <w:t>其他实质性要求1：</w:t>
            </w:r>
          </w:p>
        </w:tc>
        <w:tc>
          <w:tcPr>
            <w:tcW w:w="2551" w:type="dxa"/>
            <w:vMerge w:val="restart"/>
            <w:vAlign w:val="center"/>
          </w:tcPr>
          <w:p w14:paraId="4743BAEC">
            <w:pPr>
              <w:rPr>
                <w:rFonts w:hint="eastAsia" w:ascii="宋体" w:hAnsi="宋体" w:eastAsia="宋体" w:cs="宋体"/>
                <w:b/>
                <w:bCs/>
                <w:color w:val="auto"/>
                <w:sz w:val="24"/>
                <w:highlight w:val="none"/>
                <w:lang w:val="en-US" w:eastAsia="zh-CN"/>
              </w:rPr>
            </w:pPr>
            <w:r>
              <w:rPr>
                <w:rFonts w:hint="eastAsia" w:ascii="宋体" w:hAnsi="宋体" w:eastAsia="宋体" w:cs="宋体"/>
                <w:b w:val="0"/>
                <w:bCs w:val="0"/>
                <w:color w:val="auto"/>
                <w:kern w:val="0"/>
                <w:sz w:val="24"/>
                <w:highlight w:val="none"/>
              </w:rPr>
              <w:t>招标文件其它实质性要求相应的材料（“▲” 系指实质性要求条款，招标文件无其它实质性要求的，无需提供）</w:t>
            </w:r>
          </w:p>
        </w:tc>
        <w:tc>
          <w:tcPr>
            <w:tcW w:w="1418" w:type="dxa"/>
          </w:tcPr>
          <w:p w14:paraId="4BC899AB">
            <w:pPr>
              <w:rPr>
                <w:rFonts w:hint="eastAsia" w:ascii="宋体" w:hAnsi="宋体" w:eastAsia="宋体" w:cs="宋体"/>
                <w:b/>
                <w:bCs/>
                <w:color w:val="auto"/>
                <w:sz w:val="24"/>
                <w:highlight w:val="none"/>
                <w:lang w:val="en-US" w:eastAsia="zh-CN"/>
              </w:rPr>
            </w:pPr>
            <w:r>
              <w:rPr>
                <w:rFonts w:hint="eastAsia" w:ascii="宋体" w:hAnsi="宋体" w:eastAsia="宋体" w:cs="宋体"/>
                <w:b w:val="0"/>
                <w:bCs w:val="0"/>
                <w:color w:val="auto"/>
                <w:sz w:val="24"/>
                <w:highlight w:val="none"/>
              </w:rPr>
              <w:t>见投标文件第</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页</w:t>
            </w:r>
          </w:p>
        </w:tc>
      </w:tr>
      <w:tr w14:paraId="78D2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224A703">
            <w:pPr>
              <w:jc w:val="center"/>
              <w:rPr>
                <w:rFonts w:hint="eastAsia" w:ascii="宋体" w:hAnsi="宋体" w:eastAsia="宋体" w:cs="宋体"/>
                <w:b/>
                <w:bCs/>
                <w:color w:val="auto"/>
                <w:sz w:val="24"/>
                <w:highlight w:val="none"/>
                <w:lang w:val="en-US" w:eastAsia="zh-CN"/>
              </w:rPr>
            </w:pPr>
            <w:r>
              <w:rPr>
                <w:rFonts w:hint="eastAsia" w:ascii="宋体" w:hAnsi="宋体" w:eastAsia="宋体" w:cs="宋体"/>
                <w:b w:val="0"/>
                <w:bCs w:val="0"/>
                <w:color w:val="auto"/>
                <w:sz w:val="24"/>
                <w:highlight w:val="none"/>
                <w:lang w:val="en-US" w:eastAsia="zh-CN"/>
              </w:rPr>
              <w:t>5</w:t>
            </w:r>
          </w:p>
        </w:tc>
        <w:tc>
          <w:tcPr>
            <w:tcW w:w="4991" w:type="dxa"/>
          </w:tcPr>
          <w:p w14:paraId="5E07B24B">
            <w:pPr>
              <w:spacing w:line="360" w:lineRule="auto"/>
              <w:rPr>
                <w:rFonts w:hint="eastAsia" w:ascii="宋体" w:hAnsi="宋体" w:eastAsia="宋体" w:cs="宋体"/>
                <w:b/>
                <w:bCs/>
                <w:color w:val="auto"/>
                <w:sz w:val="24"/>
                <w:highlight w:val="none"/>
              </w:rPr>
            </w:pPr>
            <w:r>
              <w:rPr>
                <w:rFonts w:hint="eastAsia" w:ascii="宋体" w:hAnsi="宋体" w:eastAsia="宋体" w:cs="宋体"/>
                <w:b w:val="0"/>
                <w:bCs w:val="0"/>
                <w:snapToGrid w:val="0"/>
                <w:color w:val="auto"/>
                <w:sz w:val="24"/>
                <w:highlight w:val="none"/>
                <w:lang w:val="en-US" w:eastAsia="zh-CN"/>
              </w:rPr>
              <w:t>其他实质性要求2：</w:t>
            </w:r>
          </w:p>
        </w:tc>
        <w:tc>
          <w:tcPr>
            <w:tcW w:w="2551" w:type="dxa"/>
            <w:vMerge w:val="continue"/>
            <w:vAlign w:val="center"/>
          </w:tcPr>
          <w:p w14:paraId="3B73B7A6">
            <w:pPr>
              <w:rPr>
                <w:rFonts w:hint="eastAsia" w:ascii="宋体" w:hAnsi="宋体" w:eastAsia="宋体" w:cs="宋体"/>
                <w:b/>
                <w:bCs/>
                <w:color w:val="auto"/>
                <w:sz w:val="24"/>
                <w:highlight w:val="none"/>
                <w:lang w:val="en-US" w:eastAsia="zh-CN"/>
              </w:rPr>
            </w:pPr>
          </w:p>
        </w:tc>
        <w:tc>
          <w:tcPr>
            <w:tcW w:w="1418" w:type="dxa"/>
          </w:tcPr>
          <w:p w14:paraId="685D797E">
            <w:pPr>
              <w:rPr>
                <w:rFonts w:hint="eastAsia" w:ascii="宋体" w:hAnsi="宋体" w:eastAsia="宋体" w:cs="宋体"/>
                <w:b/>
                <w:bCs/>
                <w:color w:val="auto"/>
                <w:sz w:val="24"/>
                <w:highlight w:val="none"/>
                <w:lang w:val="en-US" w:eastAsia="zh-CN"/>
              </w:rPr>
            </w:pPr>
            <w:r>
              <w:rPr>
                <w:rFonts w:hint="eastAsia" w:ascii="宋体" w:hAnsi="宋体" w:eastAsia="宋体" w:cs="宋体"/>
                <w:b w:val="0"/>
                <w:bCs w:val="0"/>
                <w:color w:val="auto"/>
                <w:sz w:val="24"/>
                <w:highlight w:val="none"/>
              </w:rPr>
              <w:t>见投标文件第</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页</w:t>
            </w:r>
          </w:p>
        </w:tc>
      </w:tr>
      <w:tr w14:paraId="72829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2DA82AA">
            <w:pPr>
              <w:jc w:val="center"/>
              <w:rPr>
                <w:rFonts w:hint="eastAsia" w:ascii="宋体" w:hAnsi="宋体" w:eastAsia="宋体" w:cs="宋体"/>
                <w:b/>
                <w:bCs/>
                <w:color w:val="auto"/>
                <w:sz w:val="24"/>
                <w:highlight w:val="none"/>
                <w:lang w:val="en-US" w:eastAsia="zh-CN"/>
              </w:rPr>
            </w:pPr>
            <w:r>
              <w:rPr>
                <w:rFonts w:hint="eastAsia" w:ascii="宋体" w:hAnsi="宋体" w:eastAsia="宋体" w:cs="宋体"/>
                <w:color w:val="auto"/>
                <w:kern w:val="0"/>
                <w:sz w:val="24"/>
                <w:highlight w:val="none"/>
              </w:rPr>
              <w:t>……</w:t>
            </w:r>
          </w:p>
        </w:tc>
        <w:tc>
          <w:tcPr>
            <w:tcW w:w="4991" w:type="dxa"/>
          </w:tcPr>
          <w:p w14:paraId="65CA69A1">
            <w:pPr>
              <w:spacing w:line="360" w:lineRule="auto"/>
              <w:rPr>
                <w:rFonts w:hint="eastAsia" w:ascii="宋体" w:hAnsi="宋体" w:eastAsia="宋体" w:cs="宋体"/>
                <w:b/>
                <w:bCs/>
                <w:color w:val="auto"/>
                <w:sz w:val="24"/>
                <w:highlight w:val="none"/>
              </w:rPr>
            </w:pPr>
            <w:r>
              <w:rPr>
                <w:rFonts w:hint="eastAsia" w:ascii="宋体" w:hAnsi="宋体" w:eastAsia="宋体" w:cs="宋体"/>
                <w:b w:val="0"/>
                <w:bCs w:val="0"/>
                <w:snapToGrid w:val="0"/>
                <w:color w:val="auto"/>
                <w:sz w:val="24"/>
                <w:highlight w:val="none"/>
                <w:lang w:val="en-US" w:eastAsia="zh-CN"/>
              </w:rPr>
              <w:t>其他实质性要求</w:t>
            </w:r>
            <w:r>
              <w:rPr>
                <w:rFonts w:hint="eastAsia" w:ascii="宋体" w:hAnsi="宋体" w:eastAsia="宋体" w:cs="宋体"/>
                <w:color w:val="auto"/>
                <w:kern w:val="0"/>
                <w:sz w:val="24"/>
                <w:highlight w:val="none"/>
              </w:rPr>
              <w:t>……</w:t>
            </w:r>
            <w:r>
              <w:rPr>
                <w:rFonts w:hint="eastAsia" w:ascii="宋体" w:hAnsi="宋体" w:eastAsia="宋体" w:cs="宋体"/>
                <w:b w:val="0"/>
                <w:bCs w:val="0"/>
                <w:snapToGrid w:val="0"/>
                <w:color w:val="auto"/>
                <w:sz w:val="24"/>
                <w:highlight w:val="none"/>
                <w:lang w:val="en-US" w:eastAsia="zh-CN"/>
              </w:rPr>
              <w:t>：</w:t>
            </w:r>
          </w:p>
        </w:tc>
        <w:tc>
          <w:tcPr>
            <w:tcW w:w="2551" w:type="dxa"/>
            <w:vMerge w:val="continue"/>
            <w:vAlign w:val="center"/>
          </w:tcPr>
          <w:p w14:paraId="6F20F51D">
            <w:pPr>
              <w:rPr>
                <w:rFonts w:hint="eastAsia" w:ascii="宋体" w:hAnsi="宋体" w:eastAsia="宋体" w:cs="宋体"/>
                <w:b/>
                <w:bCs/>
                <w:color w:val="auto"/>
                <w:sz w:val="24"/>
                <w:highlight w:val="none"/>
                <w:lang w:val="en-US" w:eastAsia="zh-CN"/>
              </w:rPr>
            </w:pPr>
          </w:p>
        </w:tc>
        <w:tc>
          <w:tcPr>
            <w:tcW w:w="1418" w:type="dxa"/>
          </w:tcPr>
          <w:p w14:paraId="2B0A3076">
            <w:pPr>
              <w:rPr>
                <w:rFonts w:hint="eastAsia" w:ascii="宋体" w:hAnsi="宋体" w:eastAsia="宋体" w:cs="宋体"/>
                <w:b/>
                <w:bCs/>
                <w:color w:val="auto"/>
                <w:sz w:val="24"/>
                <w:highlight w:val="none"/>
                <w:lang w:val="en-US" w:eastAsia="zh-CN"/>
              </w:rPr>
            </w:pPr>
            <w:r>
              <w:rPr>
                <w:rFonts w:hint="eastAsia" w:ascii="宋体" w:hAnsi="宋体" w:eastAsia="宋体" w:cs="宋体"/>
                <w:b w:val="0"/>
                <w:bCs w:val="0"/>
                <w:color w:val="auto"/>
                <w:sz w:val="24"/>
                <w:highlight w:val="none"/>
              </w:rPr>
              <w:t>见投标文件第</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页</w:t>
            </w:r>
          </w:p>
        </w:tc>
      </w:tr>
    </w:tbl>
    <w:p w14:paraId="764CBEB3">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5E38B156">
      <w:pPr>
        <w:jc w:val="center"/>
        <w:rPr>
          <w:rFonts w:hint="eastAsia" w:ascii="宋体" w:hAnsi="宋体" w:eastAsia="宋体" w:cs="宋体"/>
          <w:color w:val="auto"/>
          <w:highlight w:val="none"/>
        </w:rPr>
      </w:pPr>
      <w:r>
        <w:rPr>
          <w:rFonts w:hint="eastAsia" w:ascii="宋体" w:hAnsi="宋体" w:eastAsia="宋体" w:cs="宋体"/>
          <w:b/>
          <w:color w:val="auto"/>
          <w:kern w:val="0"/>
          <w:sz w:val="32"/>
          <w:szCs w:val="32"/>
          <w:highlight w:val="none"/>
        </w:rPr>
        <w:t>五、评标标准相应的商务技术资料</w:t>
      </w:r>
    </w:p>
    <w:p w14:paraId="15F99D57">
      <w:pPr>
        <w:snapToGrid w:val="0"/>
        <w:spacing w:line="360" w:lineRule="auto"/>
        <w:jc w:val="left"/>
        <w:rPr>
          <w:rFonts w:hint="eastAsia" w:ascii="宋体" w:hAnsi="宋体" w:eastAsia="宋体" w:cs="宋体"/>
          <w:b w:val="0"/>
          <w:bCs/>
          <w:color w:val="auto"/>
          <w:sz w:val="24"/>
          <w:highlight w:val="none"/>
        </w:rPr>
      </w:pPr>
      <w:r>
        <w:rPr>
          <w:rFonts w:hint="eastAsia" w:ascii="宋体" w:hAnsi="宋体" w:eastAsia="宋体" w:cs="宋体"/>
          <w:b/>
          <w:color w:val="auto"/>
          <w:sz w:val="24"/>
          <w:highlight w:val="none"/>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0088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9FD5D9A">
            <w:pPr>
              <w:snapToGrid w:val="0"/>
              <w:spacing w:line="360" w:lineRule="auto"/>
              <w:jc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序号</w:t>
            </w:r>
          </w:p>
        </w:tc>
        <w:tc>
          <w:tcPr>
            <w:tcW w:w="5465" w:type="dxa"/>
          </w:tcPr>
          <w:p w14:paraId="42A7F2FD">
            <w:pPr>
              <w:snapToGrid w:val="0"/>
              <w:spacing w:line="360" w:lineRule="auto"/>
              <w:jc w:val="center"/>
              <w:rPr>
                <w:rFonts w:hint="eastAsia" w:ascii="宋体" w:hAnsi="宋体" w:eastAsia="宋体" w:cs="宋体"/>
                <w:b w:val="0"/>
                <w:bCs/>
                <w:color w:val="auto"/>
                <w:sz w:val="24"/>
                <w:highlight w:val="none"/>
                <w:vertAlign w:val="baseline"/>
              </w:rPr>
            </w:pPr>
            <w:r>
              <w:rPr>
                <w:rFonts w:hint="eastAsia" w:ascii="宋体" w:hAnsi="宋体" w:eastAsia="宋体" w:cs="宋体"/>
                <w:b w:val="0"/>
                <w:bCs/>
                <w:color w:val="auto"/>
                <w:sz w:val="24"/>
                <w:highlight w:val="none"/>
              </w:rPr>
              <w:t>投标文件中评标标准相应的商务技术资料目录*</w:t>
            </w:r>
          </w:p>
        </w:tc>
        <w:tc>
          <w:tcPr>
            <w:tcW w:w="3046" w:type="dxa"/>
          </w:tcPr>
          <w:p w14:paraId="323B6FFC">
            <w:pPr>
              <w:snapToGrid w:val="0"/>
              <w:spacing w:line="240" w:lineRule="atLeast"/>
              <w:jc w:val="center"/>
              <w:rPr>
                <w:rFonts w:hint="eastAsia" w:ascii="宋体" w:hAnsi="宋体" w:eastAsia="宋体" w:cs="宋体"/>
                <w:b w:val="0"/>
                <w:bCs/>
                <w:color w:val="auto"/>
                <w:sz w:val="24"/>
                <w:highlight w:val="none"/>
                <w:vertAlign w:val="baseline"/>
                <w:lang w:val="en-US" w:eastAsia="zh-CN"/>
              </w:rPr>
            </w:pPr>
            <w:r>
              <w:rPr>
                <w:rFonts w:hint="eastAsia" w:ascii="宋体" w:hAnsi="宋体" w:eastAsia="宋体" w:cs="宋体"/>
                <w:b w:val="0"/>
                <w:bCs/>
                <w:color w:val="auto"/>
                <w:sz w:val="24"/>
                <w:highlight w:val="none"/>
              </w:rPr>
              <w:t>投标文件中的页码位置</w:t>
            </w:r>
          </w:p>
        </w:tc>
      </w:tr>
      <w:tr w14:paraId="2E50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B9E8605">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eastAsia="宋体" w:cs="宋体"/>
                <w:b w:val="0"/>
                <w:bCs/>
                <w:color w:val="auto"/>
                <w:sz w:val="24"/>
                <w:highlight w:val="none"/>
                <w:vertAlign w:val="baseline"/>
                <w:lang w:val="en-US" w:eastAsia="zh-CN"/>
              </w:rPr>
              <w:t>1</w:t>
            </w:r>
          </w:p>
        </w:tc>
        <w:tc>
          <w:tcPr>
            <w:tcW w:w="5465" w:type="dxa"/>
          </w:tcPr>
          <w:p w14:paraId="1430E482">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eastAsia="宋体" w:cs="宋体"/>
                <w:b w:val="0"/>
                <w:bCs/>
                <w:color w:val="auto"/>
                <w:sz w:val="24"/>
                <w:highlight w:val="none"/>
                <w:vertAlign w:val="baseline"/>
                <w:lang w:val="en-US" w:eastAsia="zh-CN"/>
              </w:rPr>
              <w:t>XXX</w:t>
            </w:r>
          </w:p>
        </w:tc>
        <w:tc>
          <w:tcPr>
            <w:tcW w:w="3046" w:type="dxa"/>
          </w:tcPr>
          <w:p w14:paraId="3472E2C8">
            <w:pPr>
              <w:snapToGrid/>
              <w:spacing w:line="240" w:lineRule="auto"/>
              <w:jc w:val="center"/>
              <w:rPr>
                <w:rFonts w:hint="eastAsia" w:ascii="宋体" w:hAnsi="宋体" w:eastAsia="宋体" w:cs="宋体"/>
                <w:b w:val="0"/>
                <w:bCs/>
                <w:color w:val="auto"/>
                <w:sz w:val="24"/>
                <w:highlight w:val="none"/>
                <w:vertAlign w:val="baseline"/>
              </w:rPr>
            </w:pPr>
            <w:r>
              <w:rPr>
                <w:rFonts w:hint="eastAsia" w:ascii="宋体" w:hAnsi="宋体" w:eastAsia="宋体" w:cs="宋体"/>
                <w:b w:val="0"/>
                <w:bCs/>
                <w:color w:val="auto"/>
                <w:sz w:val="24"/>
                <w:highlight w:val="none"/>
              </w:rPr>
              <w:t>见投标文件第</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页</w:t>
            </w:r>
          </w:p>
        </w:tc>
      </w:tr>
      <w:tr w14:paraId="2C60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035B740">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eastAsia="宋体" w:cs="宋体"/>
                <w:b w:val="0"/>
                <w:bCs/>
                <w:color w:val="auto"/>
                <w:sz w:val="24"/>
                <w:highlight w:val="none"/>
                <w:vertAlign w:val="baseline"/>
                <w:lang w:val="en-US" w:eastAsia="zh-CN"/>
              </w:rPr>
              <w:t>2</w:t>
            </w:r>
          </w:p>
        </w:tc>
        <w:tc>
          <w:tcPr>
            <w:tcW w:w="5465" w:type="dxa"/>
          </w:tcPr>
          <w:p w14:paraId="0F454D88">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eastAsia="宋体" w:cs="宋体"/>
                <w:b w:val="0"/>
                <w:bCs/>
                <w:color w:val="auto"/>
                <w:sz w:val="24"/>
                <w:highlight w:val="none"/>
                <w:vertAlign w:val="baseline"/>
                <w:lang w:val="en-US" w:eastAsia="zh-CN"/>
              </w:rPr>
              <w:t>XXX</w:t>
            </w:r>
          </w:p>
        </w:tc>
        <w:tc>
          <w:tcPr>
            <w:tcW w:w="3046" w:type="dxa"/>
          </w:tcPr>
          <w:p w14:paraId="67F17360">
            <w:pPr>
              <w:snapToGrid/>
              <w:spacing w:line="240" w:lineRule="auto"/>
              <w:jc w:val="center"/>
              <w:rPr>
                <w:rFonts w:hint="eastAsia" w:ascii="宋体" w:hAnsi="宋体" w:eastAsia="宋体" w:cs="宋体"/>
                <w:b w:val="0"/>
                <w:bCs/>
                <w:color w:val="auto"/>
                <w:sz w:val="24"/>
                <w:highlight w:val="none"/>
                <w:vertAlign w:val="baseline"/>
              </w:rPr>
            </w:pPr>
            <w:r>
              <w:rPr>
                <w:rFonts w:hint="eastAsia" w:ascii="宋体" w:hAnsi="宋体" w:eastAsia="宋体" w:cs="宋体"/>
                <w:b w:val="0"/>
                <w:bCs/>
                <w:color w:val="auto"/>
                <w:sz w:val="24"/>
                <w:highlight w:val="none"/>
              </w:rPr>
              <w:t>见投标文件第</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页</w:t>
            </w:r>
          </w:p>
        </w:tc>
      </w:tr>
      <w:tr w14:paraId="31C2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0D557F2">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eastAsia="宋体" w:cs="宋体"/>
                <w:color w:val="auto"/>
                <w:kern w:val="0"/>
                <w:sz w:val="24"/>
                <w:highlight w:val="none"/>
              </w:rPr>
              <w:t>……</w:t>
            </w:r>
          </w:p>
        </w:tc>
        <w:tc>
          <w:tcPr>
            <w:tcW w:w="5465" w:type="dxa"/>
          </w:tcPr>
          <w:p w14:paraId="0BE982CF">
            <w:pPr>
              <w:snapToGrid w:val="0"/>
              <w:spacing w:line="360" w:lineRule="auto"/>
              <w:jc w:val="center"/>
              <w:rPr>
                <w:rFonts w:hint="eastAsia" w:ascii="宋体" w:hAnsi="宋体" w:eastAsia="宋体" w:cs="宋体"/>
                <w:b w:val="0"/>
                <w:bCs/>
                <w:color w:val="auto"/>
                <w:sz w:val="24"/>
                <w:highlight w:val="none"/>
                <w:vertAlign w:val="baseline"/>
              </w:rPr>
            </w:pPr>
          </w:p>
        </w:tc>
        <w:tc>
          <w:tcPr>
            <w:tcW w:w="3046" w:type="dxa"/>
          </w:tcPr>
          <w:p w14:paraId="666D4516">
            <w:pPr>
              <w:snapToGrid/>
              <w:spacing w:line="240"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见投标文件第</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页</w:t>
            </w:r>
          </w:p>
        </w:tc>
      </w:tr>
    </w:tbl>
    <w:p w14:paraId="45E2DC99">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0F0F5BB">
      <w:pPr>
        <w:ind w:firstLine="2891" w:firstLineChars="900"/>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六、投标标的清单</w:t>
      </w:r>
    </w:p>
    <w:tbl>
      <w:tblPr>
        <w:tblStyle w:val="62"/>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4F5D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55C9649">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59F3AC22">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00FEB594">
            <w:pPr>
              <w:spacing w:line="360" w:lineRule="auto"/>
              <w:jc w:val="center"/>
              <w:rPr>
                <w:rFonts w:hint="eastAsia" w:ascii="宋体" w:hAnsi="宋体" w:eastAsia="宋体" w:cs="宋体"/>
                <w:b/>
                <w:color w:val="auto"/>
                <w:sz w:val="24"/>
                <w:highlight w:val="none"/>
              </w:rPr>
            </w:pPr>
          </w:p>
          <w:p w14:paraId="6C656CCE">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564E047A">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1676CA1E">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155C271B">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7157333C">
            <w:pPr>
              <w:spacing w:line="360" w:lineRule="auto"/>
              <w:jc w:val="center"/>
              <w:rPr>
                <w:rFonts w:hint="eastAsia" w:ascii="宋体" w:hAnsi="宋体" w:eastAsia="宋体" w:cs="宋体"/>
                <w:b/>
                <w:color w:val="auto"/>
                <w:sz w:val="24"/>
                <w:highlight w:val="none"/>
              </w:rPr>
            </w:pPr>
          </w:p>
          <w:p w14:paraId="0827CDA6">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备注（如果有）</w:t>
            </w:r>
          </w:p>
          <w:p w14:paraId="2F27154D">
            <w:pPr>
              <w:spacing w:line="360" w:lineRule="auto"/>
              <w:jc w:val="center"/>
              <w:rPr>
                <w:rFonts w:hint="eastAsia" w:ascii="宋体" w:hAnsi="宋体" w:eastAsia="宋体" w:cs="宋体"/>
                <w:b/>
                <w:color w:val="auto"/>
                <w:sz w:val="24"/>
                <w:highlight w:val="none"/>
              </w:rPr>
            </w:pPr>
          </w:p>
        </w:tc>
      </w:tr>
      <w:tr w14:paraId="1570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742BCA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6A9E79EB">
            <w:pPr>
              <w:snapToGrid w:val="0"/>
              <w:spacing w:line="360" w:lineRule="auto"/>
              <w:jc w:val="center"/>
              <w:rPr>
                <w:rFonts w:hint="eastAsia" w:ascii="宋体" w:hAnsi="宋体" w:eastAsia="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508F38B4">
            <w:pPr>
              <w:snapToGrid w:val="0"/>
              <w:spacing w:line="360" w:lineRule="auto"/>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3E828C7">
            <w:pPr>
              <w:snapToGrid w:val="0"/>
              <w:spacing w:line="360" w:lineRule="auto"/>
              <w:jc w:val="center"/>
              <w:rPr>
                <w:rFonts w:hint="eastAsia" w:ascii="宋体" w:hAnsi="宋体" w:eastAsia="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257E4F85">
            <w:pPr>
              <w:spacing w:line="360" w:lineRule="auto"/>
              <w:jc w:val="center"/>
              <w:rPr>
                <w:rFonts w:hint="eastAsia" w:ascii="宋体" w:hAnsi="宋体" w:eastAsia="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38CDFBA1">
            <w:pPr>
              <w:spacing w:line="360" w:lineRule="auto"/>
              <w:jc w:val="center"/>
              <w:rPr>
                <w:rFonts w:hint="eastAsia" w:ascii="宋体" w:hAnsi="宋体" w:eastAsia="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59AEBAA0">
            <w:pPr>
              <w:spacing w:line="360" w:lineRule="auto"/>
              <w:jc w:val="center"/>
              <w:rPr>
                <w:rFonts w:hint="eastAsia" w:ascii="宋体" w:hAnsi="宋体" w:eastAsia="宋体" w:cs="宋体"/>
                <w:color w:val="auto"/>
                <w:sz w:val="24"/>
                <w:highlight w:val="none"/>
              </w:rPr>
            </w:pPr>
          </w:p>
        </w:tc>
      </w:tr>
      <w:tr w14:paraId="33942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CD3A99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4B179118">
            <w:pPr>
              <w:snapToGrid w:val="0"/>
              <w:spacing w:line="360" w:lineRule="auto"/>
              <w:jc w:val="center"/>
              <w:rPr>
                <w:rFonts w:hint="eastAsia" w:ascii="宋体" w:hAnsi="宋体" w:eastAsia="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5D9BED30">
            <w:pPr>
              <w:snapToGrid w:val="0"/>
              <w:spacing w:line="360" w:lineRule="auto"/>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E78E55E">
            <w:pPr>
              <w:snapToGrid w:val="0"/>
              <w:spacing w:line="360" w:lineRule="auto"/>
              <w:jc w:val="center"/>
              <w:rPr>
                <w:rFonts w:hint="eastAsia" w:ascii="宋体" w:hAnsi="宋体" w:eastAsia="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66EACDEF">
            <w:pPr>
              <w:spacing w:line="360" w:lineRule="auto"/>
              <w:jc w:val="center"/>
              <w:rPr>
                <w:rFonts w:hint="eastAsia" w:ascii="宋体" w:hAnsi="宋体" w:eastAsia="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3C6FCDC6">
            <w:pPr>
              <w:spacing w:line="360" w:lineRule="auto"/>
              <w:jc w:val="center"/>
              <w:rPr>
                <w:rFonts w:hint="eastAsia" w:ascii="宋体" w:hAnsi="宋体" w:eastAsia="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5A635F67">
            <w:pPr>
              <w:spacing w:line="360" w:lineRule="auto"/>
              <w:jc w:val="center"/>
              <w:rPr>
                <w:rFonts w:hint="eastAsia" w:ascii="宋体" w:hAnsi="宋体" w:eastAsia="宋体" w:cs="宋体"/>
                <w:color w:val="auto"/>
                <w:sz w:val="24"/>
                <w:highlight w:val="none"/>
              </w:rPr>
            </w:pPr>
          </w:p>
        </w:tc>
      </w:tr>
      <w:tr w14:paraId="58981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C9843C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089D6C4A">
            <w:pPr>
              <w:snapToGrid w:val="0"/>
              <w:spacing w:line="360" w:lineRule="auto"/>
              <w:jc w:val="center"/>
              <w:rPr>
                <w:rFonts w:hint="eastAsia" w:ascii="宋体" w:hAnsi="宋体" w:eastAsia="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7E0A2F9B">
            <w:pPr>
              <w:snapToGrid w:val="0"/>
              <w:spacing w:line="360" w:lineRule="auto"/>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0400AEC">
            <w:pPr>
              <w:snapToGrid w:val="0"/>
              <w:spacing w:line="360" w:lineRule="auto"/>
              <w:jc w:val="center"/>
              <w:rPr>
                <w:rFonts w:hint="eastAsia" w:ascii="宋体" w:hAnsi="宋体" w:eastAsia="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2F3263F7">
            <w:pPr>
              <w:spacing w:line="360" w:lineRule="auto"/>
              <w:jc w:val="center"/>
              <w:rPr>
                <w:rFonts w:hint="eastAsia" w:ascii="宋体" w:hAnsi="宋体" w:eastAsia="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5E99B89">
            <w:pPr>
              <w:spacing w:line="360" w:lineRule="auto"/>
              <w:jc w:val="center"/>
              <w:rPr>
                <w:rFonts w:hint="eastAsia" w:ascii="宋体" w:hAnsi="宋体" w:eastAsia="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59A2A867">
            <w:pPr>
              <w:spacing w:line="360" w:lineRule="auto"/>
              <w:jc w:val="center"/>
              <w:rPr>
                <w:rFonts w:hint="eastAsia" w:ascii="宋体" w:hAnsi="宋体" w:eastAsia="宋体" w:cs="宋体"/>
                <w:color w:val="auto"/>
                <w:sz w:val="24"/>
                <w:highlight w:val="none"/>
              </w:rPr>
            </w:pPr>
          </w:p>
        </w:tc>
      </w:tr>
    </w:tbl>
    <w:p w14:paraId="704AA1A3">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22347FA7">
      <w:pPr>
        <w:jc w:val="center"/>
        <w:rPr>
          <w:rFonts w:hint="eastAsia" w:ascii="宋体" w:hAnsi="宋体" w:eastAsia="宋体" w:cs="宋体"/>
          <w:b/>
          <w:color w:val="auto"/>
          <w:kern w:val="0"/>
          <w:sz w:val="32"/>
          <w:szCs w:val="32"/>
          <w:highlight w:val="none"/>
        </w:rPr>
      </w:pPr>
    </w:p>
    <w:p w14:paraId="5E9F1C6E">
      <w:pPr>
        <w:jc w:val="center"/>
        <w:rPr>
          <w:rFonts w:hint="eastAsia" w:ascii="宋体" w:hAnsi="宋体" w:eastAsia="宋体" w:cs="宋体"/>
          <w:b/>
          <w:color w:val="auto"/>
          <w:kern w:val="0"/>
          <w:sz w:val="32"/>
          <w:szCs w:val="32"/>
          <w:highlight w:val="none"/>
        </w:rPr>
      </w:pPr>
    </w:p>
    <w:p w14:paraId="2954A235">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858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E71DFB4">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3683" w:type="dxa"/>
          </w:tcPr>
          <w:p w14:paraId="5F0749FB">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招标文件章节及具体内容</w:t>
            </w:r>
          </w:p>
        </w:tc>
        <w:tc>
          <w:tcPr>
            <w:tcW w:w="3546" w:type="dxa"/>
          </w:tcPr>
          <w:p w14:paraId="6E3194D4">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投标文件章节及具体内容</w:t>
            </w:r>
          </w:p>
        </w:tc>
        <w:tc>
          <w:tcPr>
            <w:tcW w:w="1276" w:type="dxa"/>
          </w:tcPr>
          <w:p w14:paraId="3200F847">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偏离说明</w:t>
            </w:r>
          </w:p>
        </w:tc>
      </w:tr>
      <w:tr w14:paraId="1A9E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1A87B4F">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83" w:type="dxa"/>
          </w:tcPr>
          <w:p w14:paraId="77A2AD93">
            <w:pPr>
              <w:jc w:val="center"/>
              <w:rPr>
                <w:rFonts w:hint="eastAsia" w:ascii="宋体" w:hAnsi="宋体" w:eastAsia="宋体" w:cs="宋体"/>
                <w:b/>
                <w:color w:val="auto"/>
                <w:kern w:val="0"/>
                <w:sz w:val="32"/>
                <w:szCs w:val="32"/>
                <w:highlight w:val="none"/>
              </w:rPr>
            </w:pPr>
          </w:p>
        </w:tc>
        <w:tc>
          <w:tcPr>
            <w:tcW w:w="3546" w:type="dxa"/>
          </w:tcPr>
          <w:p w14:paraId="17BF1E7C">
            <w:pPr>
              <w:jc w:val="center"/>
              <w:rPr>
                <w:rFonts w:hint="eastAsia" w:ascii="宋体" w:hAnsi="宋体" w:eastAsia="宋体" w:cs="宋体"/>
                <w:b/>
                <w:color w:val="auto"/>
                <w:kern w:val="0"/>
                <w:sz w:val="32"/>
                <w:szCs w:val="32"/>
                <w:highlight w:val="none"/>
              </w:rPr>
            </w:pPr>
          </w:p>
        </w:tc>
        <w:tc>
          <w:tcPr>
            <w:tcW w:w="1276" w:type="dxa"/>
          </w:tcPr>
          <w:p w14:paraId="43469C5A">
            <w:pPr>
              <w:jc w:val="center"/>
              <w:rPr>
                <w:rFonts w:hint="eastAsia" w:ascii="宋体" w:hAnsi="宋体" w:eastAsia="宋体" w:cs="宋体"/>
                <w:b/>
                <w:color w:val="auto"/>
                <w:kern w:val="0"/>
                <w:sz w:val="32"/>
                <w:szCs w:val="32"/>
                <w:highlight w:val="none"/>
              </w:rPr>
            </w:pPr>
          </w:p>
        </w:tc>
      </w:tr>
      <w:tr w14:paraId="00D1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758AD0">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83" w:type="dxa"/>
          </w:tcPr>
          <w:p w14:paraId="0B0D6A8D">
            <w:pPr>
              <w:jc w:val="center"/>
              <w:rPr>
                <w:rFonts w:hint="eastAsia" w:ascii="宋体" w:hAnsi="宋体" w:eastAsia="宋体" w:cs="宋体"/>
                <w:b/>
                <w:color w:val="auto"/>
                <w:kern w:val="0"/>
                <w:sz w:val="32"/>
                <w:szCs w:val="32"/>
                <w:highlight w:val="none"/>
              </w:rPr>
            </w:pPr>
          </w:p>
        </w:tc>
        <w:tc>
          <w:tcPr>
            <w:tcW w:w="3546" w:type="dxa"/>
          </w:tcPr>
          <w:p w14:paraId="55BF6C4F">
            <w:pPr>
              <w:jc w:val="center"/>
              <w:rPr>
                <w:rFonts w:hint="eastAsia" w:ascii="宋体" w:hAnsi="宋体" w:eastAsia="宋体" w:cs="宋体"/>
                <w:b/>
                <w:color w:val="auto"/>
                <w:kern w:val="0"/>
                <w:sz w:val="32"/>
                <w:szCs w:val="32"/>
                <w:highlight w:val="none"/>
              </w:rPr>
            </w:pPr>
          </w:p>
        </w:tc>
        <w:tc>
          <w:tcPr>
            <w:tcW w:w="1276" w:type="dxa"/>
          </w:tcPr>
          <w:p w14:paraId="2794B1F8">
            <w:pPr>
              <w:jc w:val="center"/>
              <w:rPr>
                <w:rFonts w:hint="eastAsia" w:ascii="宋体" w:hAnsi="宋体" w:eastAsia="宋体" w:cs="宋体"/>
                <w:b/>
                <w:color w:val="auto"/>
                <w:kern w:val="0"/>
                <w:sz w:val="32"/>
                <w:szCs w:val="32"/>
                <w:highlight w:val="none"/>
              </w:rPr>
            </w:pPr>
          </w:p>
        </w:tc>
      </w:tr>
      <w:tr w14:paraId="2390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958F0E4">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83" w:type="dxa"/>
          </w:tcPr>
          <w:p w14:paraId="4B31F07A">
            <w:pPr>
              <w:jc w:val="center"/>
              <w:rPr>
                <w:rFonts w:hint="eastAsia" w:ascii="宋体" w:hAnsi="宋体" w:eastAsia="宋体" w:cs="宋体"/>
                <w:b/>
                <w:color w:val="auto"/>
                <w:kern w:val="0"/>
                <w:sz w:val="32"/>
                <w:szCs w:val="32"/>
                <w:highlight w:val="none"/>
              </w:rPr>
            </w:pPr>
          </w:p>
        </w:tc>
        <w:tc>
          <w:tcPr>
            <w:tcW w:w="3546" w:type="dxa"/>
          </w:tcPr>
          <w:p w14:paraId="24653622">
            <w:pPr>
              <w:jc w:val="center"/>
              <w:rPr>
                <w:rFonts w:hint="eastAsia" w:ascii="宋体" w:hAnsi="宋体" w:eastAsia="宋体" w:cs="宋体"/>
                <w:b/>
                <w:color w:val="auto"/>
                <w:kern w:val="0"/>
                <w:sz w:val="32"/>
                <w:szCs w:val="32"/>
                <w:highlight w:val="none"/>
              </w:rPr>
            </w:pPr>
          </w:p>
        </w:tc>
        <w:tc>
          <w:tcPr>
            <w:tcW w:w="1276" w:type="dxa"/>
          </w:tcPr>
          <w:p w14:paraId="397792F0">
            <w:pPr>
              <w:jc w:val="center"/>
              <w:rPr>
                <w:rFonts w:hint="eastAsia" w:ascii="宋体" w:hAnsi="宋体" w:eastAsia="宋体" w:cs="宋体"/>
                <w:b/>
                <w:color w:val="auto"/>
                <w:kern w:val="0"/>
                <w:sz w:val="32"/>
                <w:szCs w:val="32"/>
                <w:highlight w:val="none"/>
              </w:rPr>
            </w:pPr>
          </w:p>
        </w:tc>
      </w:tr>
    </w:tbl>
    <w:p w14:paraId="6A297A1F">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1703DA72">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2、本表格所反映的偏离情况与“</w:t>
      </w:r>
      <w:r>
        <w:rPr>
          <w:rFonts w:hint="eastAsia" w:ascii="宋体" w:hAnsi="宋体" w:eastAsia="宋体" w:cs="宋体"/>
          <w:b w:val="0"/>
          <w:color w:val="auto"/>
          <w:kern w:val="2"/>
          <w:sz w:val="24"/>
          <w:szCs w:val="24"/>
          <w:highlight w:val="none"/>
        </w:rPr>
        <w:t>符合性审查资料</w:t>
      </w:r>
      <w:r>
        <w:rPr>
          <w:rFonts w:hint="eastAsia" w:ascii="宋体" w:hAnsi="宋体" w:eastAsia="宋体" w:cs="宋体"/>
          <w:b w:val="0"/>
          <w:color w:val="auto"/>
          <w:kern w:val="2"/>
          <w:sz w:val="24"/>
          <w:szCs w:val="24"/>
          <w:highlight w:val="none"/>
          <w:lang w:eastAsia="zh-CN"/>
        </w:rPr>
        <w:t>”</w:t>
      </w:r>
      <w:r>
        <w:rPr>
          <w:rFonts w:hint="eastAsia" w:ascii="宋体" w:hAnsi="宋体" w:eastAsia="宋体" w:cs="宋体"/>
          <w:color w:val="auto"/>
          <w:sz w:val="24"/>
          <w:highlight w:val="none"/>
          <w:lang w:val="en-US" w:eastAsia="zh-CN"/>
        </w:rPr>
        <w:t>、“</w:t>
      </w:r>
      <w:r>
        <w:rPr>
          <w:rFonts w:hint="eastAsia" w:ascii="宋体" w:hAnsi="宋体" w:eastAsia="宋体" w:cs="宋体"/>
          <w:b w:val="0"/>
          <w:color w:val="auto"/>
          <w:kern w:val="2"/>
          <w:sz w:val="24"/>
          <w:szCs w:val="24"/>
          <w:highlight w:val="none"/>
        </w:rPr>
        <w:t>评标标准相应的商务技术资料</w:t>
      </w:r>
      <w:r>
        <w:rPr>
          <w:rFonts w:hint="eastAsia" w:ascii="宋体" w:hAnsi="宋体" w:eastAsia="宋体" w:cs="宋体"/>
          <w:b w:val="0"/>
          <w:color w:val="auto"/>
          <w:kern w:val="2"/>
          <w:sz w:val="24"/>
          <w:szCs w:val="24"/>
          <w:highlight w:val="none"/>
          <w:lang w:eastAsia="zh-CN"/>
        </w:rPr>
        <w:t>”</w:t>
      </w:r>
      <w:r>
        <w:rPr>
          <w:rFonts w:hint="eastAsia" w:ascii="宋体" w:hAnsi="宋体" w:eastAsia="宋体" w:cs="宋体"/>
          <w:b w:val="0"/>
          <w:color w:val="auto"/>
          <w:kern w:val="2"/>
          <w:sz w:val="24"/>
          <w:szCs w:val="24"/>
          <w:highlight w:val="none"/>
          <w:lang w:val="en-US" w:eastAsia="zh-CN"/>
        </w:rPr>
        <w:t>不一致的，以</w:t>
      </w:r>
      <w:r>
        <w:rPr>
          <w:rFonts w:hint="eastAsia" w:ascii="宋体" w:hAnsi="宋体" w:eastAsia="宋体" w:cs="宋体"/>
          <w:color w:val="auto"/>
          <w:sz w:val="24"/>
          <w:highlight w:val="none"/>
          <w:lang w:val="en-US" w:eastAsia="zh-CN"/>
        </w:rPr>
        <w:t>“</w:t>
      </w:r>
      <w:r>
        <w:rPr>
          <w:rFonts w:hint="eastAsia" w:ascii="宋体" w:hAnsi="宋体" w:eastAsia="宋体" w:cs="宋体"/>
          <w:b w:val="0"/>
          <w:color w:val="auto"/>
          <w:kern w:val="2"/>
          <w:sz w:val="24"/>
          <w:szCs w:val="24"/>
          <w:highlight w:val="none"/>
        </w:rPr>
        <w:t>符合性审查资料</w:t>
      </w:r>
      <w:r>
        <w:rPr>
          <w:rFonts w:hint="eastAsia" w:ascii="宋体" w:hAnsi="宋体" w:eastAsia="宋体" w:cs="宋体"/>
          <w:b w:val="0"/>
          <w:color w:val="auto"/>
          <w:kern w:val="2"/>
          <w:sz w:val="24"/>
          <w:szCs w:val="24"/>
          <w:highlight w:val="none"/>
          <w:lang w:eastAsia="zh-CN"/>
        </w:rPr>
        <w:t>”</w:t>
      </w:r>
      <w:r>
        <w:rPr>
          <w:rFonts w:hint="eastAsia" w:ascii="宋体" w:hAnsi="宋体" w:eastAsia="宋体" w:cs="宋体"/>
          <w:color w:val="auto"/>
          <w:sz w:val="24"/>
          <w:highlight w:val="none"/>
          <w:lang w:val="en-US" w:eastAsia="zh-CN"/>
        </w:rPr>
        <w:t>、“</w:t>
      </w:r>
      <w:r>
        <w:rPr>
          <w:rFonts w:hint="eastAsia" w:ascii="宋体" w:hAnsi="宋体" w:eastAsia="宋体" w:cs="宋体"/>
          <w:b w:val="0"/>
          <w:color w:val="auto"/>
          <w:kern w:val="2"/>
          <w:sz w:val="24"/>
          <w:szCs w:val="24"/>
          <w:highlight w:val="none"/>
        </w:rPr>
        <w:t>评标标准相应的商务技术资料</w:t>
      </w:r>
      <w:r>
        <w:rPr>
          <w:rFonts w:hint="eastAsia" w:ascii="宋体" w:hAnsi="宋体" w:eastAsia="宋体" w:cs="宋体"/>
          <w:b w:val="0"/>
          <w:color w:val="auto"/>
          <w:kern w:val="2"/>
          <w:sz w:val="24"/>
          <w:szCs w:val="24"/>
          <w:highlight w:val="none"/>
          <w:lang w:eastAsia="zh-CN"/>
        </w:rPr>
        <w:t>”</w:t>
      </w:r>
      <w:r>
        <w:rPr>
          <w:rFonts w:hint="eastAsia" w:ascii="宋体" w:hAnsi="宋体" w:eastAsia="宋体" w:cs="宋体"/>
          <w:b w:val="0"/>
          <w:color w:val="auto"/>
          <w:kern w:val="2"/>
          <w:sz w:val="24"/>
          <w:szCs w:val="24"/>
          <w:highlight w:val="none"/>
          <w:lang w:val="en-US" w:eastAsia="zh-CN"/>
        </w:rPr>
        <w:t>为准。</w:t>
      </w:r>
    </w:p>
    <w:p w14:paraId="3EEAAE45">
      <w:pPr>
        <w:numPr>
          <w:ilvl w:val="0"/>
          <w:numId w:val="0"/>
        </w:numPr>
        <w:spacing w:line="360" w:lineRule="auto"/>
        <w:ind w:right="420"/>
        <w:rPr>
          <w:rFonts w:hint="eastAsia" w:ascii="宋体" w:hAnsi="宋体" w:eastAsia="宋体" w:cs="宋体"/>
          <w:color w:val="auto"/>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highlight w:val="none"/>
        </w:rPr>
        <w:t>投标人须保证：除商务技术偏离表列出的偏离外，投标人响应招标文件的全部非实质性要求。</w:t>
      </w:r>
    </w:p>
    <w:p w14:paraId="40F0E5AD">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F32447F">
      <w:pPr>
        <w:widowControl/>
        <w:adjustRightInd/>
        <w:jc w:val="center"/>
        <w:rPr>
          <w:rFonts w:hint="eastAsia" w:ascii="宋体" w:hAnsi="宋体" w:eastAsia="宋体" w:cs="宋体"/>
          <w:b/>
          <w:color w:val="auto"/>
          <w:kern w:val="0"/>
          <w:sz w:val="32"/>
          <w:szCs w:val="32"/>
          <w:highlight w:val="none"/>
        </w:rPr>
      </w:pPr>
      <w:r>
        <w:rPr>
          <w:rFonts w:hint="eastAsia" w:ascii="宋体" w:hAnsi="宋体" w:eastAsia="宋体" w:cs="宋体"/>
          <w:b/>
          <w:bCs/>
          <w:color w:val="auto"/>
          <w:sz w:val="32"/>
          <w:szCs w:val="32"/>
          <w:highlight w:val="none"/>
        </w:rPr>
        <w:t>八</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32"/>
          <w:highlight w:val="none"/>
          <w:lang w:val="zh-CN"/>
        </w:rPr>
        <w:t>政府采购供应商廉洁自律承诺书</w:t>
      </w:r>
    </w:p>
    <w:p w14:paraId="22EAE851">
      <w:pPr>
        <w:snapToGrid w:val="0"/>
        <w:spacing w:line="360" w:lineRule="auto"/>
        <w:rPr>
          <w:rFonts w:hint="eastAsia" w:ascii="宋体" w:hAnsi="宋体" w:eastAsia="宋体" w:cs="宋体"/>
          <w:color w:val="auto"/>
          <w:sz w:val="24"/>
          <w:highlight w:val="none"/>
        </w:rPr>
      </w:pPr>
    </w:p>
    <w:p w14:paraId="7623ADDE">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5F41BF4D">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我单位响应你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项目招标要求参加投标。在这次投标过程中和中标后，我们将严格遵守国家法律法规要求，并郑重承诺：</w:t>
      </w:r>
    </w:p>
    <w:p w14:paraId="67D4C4C7">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一、不向项目有关人员及部门赠送礼金礼物、有价证券、回扣以及中介费、介绍费、咨询费等好处费； </w:t>
      </w:r>
    </w:p>
    <w:p w14:paraId="40E706E3">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二、不为项目有关人员及部门报销应由你方单位或个人支付的费用； </w:t>
      </w:r>
    </w:p>
    <w:p w14:paraId="41432E17">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三、不向项目有关人员及部门提供有可能影响公正的宴请和健身娱乐等活动； </w:t>
      </w:r>
    </w:p>
    <w:p w14:paraId="1AC64682">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四、不为项目有关人员及部门出国（境）、旅游等提供方便；</w:t>
      </w:r>
    </w:p>
    <w:p w14:paraId="0A948C63">
      <w:pPr>
        <w:autoSpaceDE w:val="0"/>
        <w:autoSpaceDN w:val="0"/>
        <w:spacing w:line="360" w:lineRule="auto"/>
        <w:ind w:left="481" w:leftChars="229"/>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五、不为项目有关人员个人装修住房、婚丧嫁娶、配偶子女工作安排等提供</w:t>
      </w:r>
    </w:p>
    <w:p w14:paraId="11BED97F">
      <w:pPr>
        <w:autoSpaceDE w:val="0"/>
        <w:autoSpaceDN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好处；</w:t>
      </w:r>
    </w:p>
    <w:p w14:paraId="0CA736C9">
      <w:pPr>
        <w:autoSpaceDE w:val="0"/>
        <w:autoSpaceDN w:val="0"/>
        <w:spacing w:line="360" w:lineRule="auto"/>
        <w:ind w:left="481" w:leftChars="229"/>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六、严格遵守《</w:t>
      </w:r>
      <w:r>
        <w:rPr>
          <w:rFonts w:hint="eastAsia" w:ascii="宋体" w:hAnsi="宋体" w:eastAsia="宋体" w:cs="宋体"/>
          <w:color w:val="auto"/>
          <w:sz w:val="24"/>
          <w:highlight w:val="none"/>
          <w:lang w:val="zh-CN"/>
        </w:rPr>
        <w:t>中华人民共和国</w:t>
      </w:r>
      <w:r>
        <w:rPr>
          <w:rFonts w:hint="eastAsia" w:ascii="宋体" w:hAnsi="宋体" w:eastAsia="宋体" w:cs="宋体"/>
          <w:color w:val="auto"/>
          <w:kern w:val="0"/>
          <w:sz w:val="24"/>
          <w:highlight w:val="none"/>
          <w:lang w:val="zh-CN"/>
        </w:rPr>
        <w:t>政府采购法》《</w:t>
      </w:r>
      <w:r>
        <w:rPr>
          <w:rFonts w:hint="eastAsia" w:ascii="宋体" w:hAnsi="宋体" w:eastAsia="宋体" w:cs="宋体"/>
          <w:color w:val="auto"/>
          <w:sz w:val="24"/>
          <w:highlight w:val="none"/>
          <w:lang w:val="zh-CN"/>
        </w:rPr>
        <w:t>中华人民共和国</w:t>
      </w:r>
      <w:r>
        <w:rPr>
          <w:rFonts w:hint="eastAsia" w:ascii="宋体" w:hAnsi="宋体" w:eastAsia="宋体" w:cs="宋体"/>
          <w:color w:val="auto"/>
          <w:kern w:val="0"/>
          <w:sz w:val="24"/>
          <w:highlight w:val="none"/>
          <w:lang w:val="zh-CN"/>
        </w:rPr>
        <w:t>招标投标</w:t>
      </w:r>
    </w:p>
    <w:p w14:paraId="7F07B776">
      <w:pPr>
        <w:autoSpaceDE w:val="0"/>
        <w:autoSpaceDN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法》</w:t>
      </w:r>
      <w:r>
        <w:rPr>
          <w:rFonts w:hint="eastAsia" w:ascii="宋体" w:hAnsi="宋体" w:eastAsia="宋体" w:cs="宋体"/>
          <w:color w:val="auto"/>
          <w:sz w:val="24"/>
          <w:highlight w:val="none"/>
          <w:lang w:val="zh-CN"/>
        </w:rPr>
        <w:t>《中华人民共和国民法典》</w:t>
      </w:r>
      <w:r>
        <w:rPr>
          <w:rFonts w:hint="eastAsia" w:ascii="宋体" w:hAnsi="宋体" w:eastAsia="宋体" w:cs="宋体"/>
          <w:color w:val="auto"/>
          <w:kern w:val="0"/>
          <w:sz w:val="24"/>
          <w:highlight w:val="none"/>
          <w:lang w:val="zh-CN"/>
        </w:rPr>
        <w:t xml:space="preserve">等法律法规，诚实守信，合法经营，坚决抵制各种违法违纪行为。 </w:t>
      </w:r>
    </w:p>
    <w:p w14:paraId="7B943BA7">
      <w:pPr>
        <w:autoSpaceDE w:val="0"/>
        <w:autoSpaceDN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如违反上述承诺，你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有权立即取消我单位投标、中标或在建项目的建设资格，有权拒绝我单位在一定时期内进入你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进行项目建设或其他经营活动，并通报市财政局。由此引起的相应损失均由我单位承担。</w:t>
      </w:r>
    </w:p>
    <w:p w14:paraId="141FB62B">
      <w:pPr>
        <w:autoSpaceDE w:val="0"/>
        <w:autoSpaceDN w:val="0"/>
        <w:spacing w:line="360" w:lineRule="auto"/>
        <w:ind w:left="2" w:leftChars="1" w:right="1120" w:firstLine="4560" w:firstLineChars="19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投标人名称（</w:t>
      </w:r>
      <w:r>
        <w:rPr>
          <w:rFonts w:hint="eastAsia" w:ascii="宋体" w:hAnsi="宋体" w:eastAsia="宋体" w:cs="宋体"/>
          <w:color w:val="auto"/>
          <w:sz w:val="24"/>
          <w:highlight w:val="none"/>
        </w:rPr>
        <w:t>电子签名</w:t>
      </w:r>
      <w:r>
        <w:rPr>
          <w:rFonts w:hint="eastAsia" w:ascii="宋体" w:hAnsi="宋体" w:eastAsia="宋体" w:cs="宋体"/>
          <w:color w:val="auto"/>
          <w:kern w:val="0"/>
          <w:sz w:val="24"/>
          <w:highlight w:val="none"/>
          <w:lang w:val="zh-CN"/>
        </w:rPr>
        <w:t xml:space="preserve">）：             </w:t>
      </w:r>
    </w:p>
    <w:p w14:paraId="264C119A">
      <w:pPr>
        <w:spacing w:line="360" w:lineRule="auto"/>
        <w:ind w:left="4620" w:leftChars="2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 xml:space="preserve">   年   月   日</w:t>
      </w:r>
    </w:p>
    <w:p w14:paraId="207DA977">
      <w:pPr>
        <w:spacing w:line="360" w:lineRule="auto"/>
        <w:jc w:val="center"/>
        <w:rPr>
          <w:rFonts w:hint="eastAsia" w:ascii="宋体" w:hAnsi="宋体" w:eastAsia="宋体" w:cs="宋体"/>
          <w:b/>
          <w:bCs/>
          <w:color w:val="auto"/>
          <w:sz w:val="24"/>
          <w:highlight w:val="none"/>
        </w:rPr>
      </w:pPr>
    </w:p>
    <w:p w14:paraId="66F952F0">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4CACF844">
      <w:pP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02489426">
      <w:pPr>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报价文件部分</w:t>
      </w:r>
    </w:p>
    <w:p w14:paraId="06838743">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41338701">
      <w:pPr>
        <w:spacing w:line="360" w:lineRule="auto"/>
        <w:jc w:val="center"/>
        <w:outlineLvl w:val="0"/>
        <w:rPr>
          <w:rFonts w:hint="eastAsia" w:ascii="宋体" w:hAnsi="宋体" w:eastAsia="宋体" w:cs="宋体"/>
          <w:b/>
          <w:color w:val="auto"/>
          <w:kern w:val="0"/>
          <w:sz w:val="36"/>
          <w:szCs w:val="36"/>
          <w:highlight w:val="none"/>
        </w:rPr>
      </w:pPr>
    </w:p>
    <w:p w14:paraId="0C548BD9">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（1）开标一览表（报价表）………………………………………………………（页码）</w:t>
      </w:r>
    </w:p>
    <w:p w14:paraId="36235039">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b w:val="0"/>
          <w:bCs/>
          <w:snapToGrid w:val="0"/>
          <w:color w:val="auto"/>
          <w:kern w:val="2"/>
          <w:sz w:val="24"/>
          <w:szCs w:val="24"/>
          <w:highlight w:val="none"/>
          <w:lang w:val="en-US" w:eastAsia="zh-CN" w:bidi="ar-SA"/>
        </w:rPr>
        <w:t>报价情况说明</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（页码）</w:t>
      </w:r>
    </w:p>
    <w:p w14:paraId="08248D95">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）中小企业声明函………………………………………………………………（页码）</w:t>
      </w:r>
    </w:p>
    <w:p w14:paraId="1A63956E">
      <w:pPr>
        <w:rPr>
          <w:rFonts w:hint="eastAsia" w:ascii="宋体" w:hAnsi="宋体" w:eastAsia="宋体" w:cs="宋体"/>
          <w:color w:val="auto"/>
          <w:kern w:val="2"/>
          <w:sz w:val="32"/>
          <w:szCs w:val="32"/>
          <w:highlight w:val="none"/>
        </w:rPr>
        <w:sectPr>
          <w:headerReference r:id="rId4" w:type="first"/>
          <w:footerReference r:id="rId7" w:type="first"/>
          <w:headerReference r:id="rId3" w:type="default"/>
          <w:footerReference r:id="rId5" w:type="default"/>
          <w:footerReference r:id="rId6" w:type="even"/>
          <w:pgSz w:w="11906" w:h="16838"/>
          <w:pgMar w:top="1276" w:right="1418" w:bottom="1247" w:left="1418" w:header="851" w:footer="992" w:gutter="0"/>
          <w:cols w:space="720" w:num="1"/>
          <w:titlePg/>
          <w:docGrid w:linePitch="312" w:charSpace="0"/>
        </w:sectPr>
      </w:pPr>
      <w:r>
        <w:rPr>
          <w:rFonts w:hint="eastAsia" w:ascii="宋体" w:hAnsi="宋体" w:eastAsia="宋体" w:cs="宋体"/>
          <w:color w:val="auto"/>
          <w:kern w:val="2"/>
          <w:sz w:val="32"/>
          <w:szCs w:val="32"/>
          <w:highlight w:val="none"/>
        </w:rPr>
        <w:br w:type="page"/>
      </w:r>
    </w:p>
    <w:p w14:paraId="5CF8B87B">
      <w:pPr>
        <w:pStyle w:val="690"/>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19C85E6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6294E171">
      <w:pPr>
        <w:snapToGrid w:val="0"/>
        <w:spacing w:line="360" w:lineRule="auto"/>
        <w:ind w:firstLine="482"/>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eastAsia="宋体" w:cs="宋体"/>
          <w:color w:val="auto"/>
          <w:sz w:val="24"/>
          <w:highlight w:val="none"/>
        </w:rPr>
        <w:t>（项目名称）</w:t>
      </w:r>
      <w:r>
        <w:rPr>
          <w:rFonts w:hint="eastAsia" w:ascii="宋体" w:hAnsi="宋体" w:eastAsia="宋体" w:cs="宋体"/>
          <w:color w:val="auto"/>
          <w:kern w:val="0"/>
          <w:sz w:val="24"/>
          <w:highlight w:val="none"/>
          <w:lang w:val="zh-CN"/>
        </w:rPr>
        <w:t>【招标编号：</w:t>
      </w:r>
      <w:r>
        <w:rPr>
          <w:rFonts w:hint="eastAsia" w:ascii="宋体" w:hAnsi="宋体" w:eastAsia="宋体" w:cs="宋体"/>
          <w:color w:val="auto"/>
          <w:sz w:val="24"/>
          <w:highlight w:val="none"/>
        </w:rPr>
        <w:t>（采购编号）】的实施</w:t>
      </w:r>
      <w:r>
        <w:rPr>
          <w:rFonts w:hint="eastAsia" w:ascii="宋体" w:hAnsi="宋体" w:eastAsia="宋体" w:cs="宋体"/>
          <w:color w:val="auto"/>
          <w:kern w:val="0"/>
          <w:sz w:val="24"/>
          <w:highlight w:val="none"/>
          <w:lang w:val="zh-CN"/>
        </w:rPr>
        <w:t>。</w:t>
      </w:r>
    </w:p>
    <w:p w14:paraId="6ADBD7B5">
      <w:pPr>
        <w:spacing w:line="360" w:lineRule="auto"/>
        <w:jc w:val="center"/>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开标一览表（报价表）(单位均为人民币元)</w:t>
      </w:r>
    </w:p>
    <w:tbl>
      <w:tblPr>
        <w:tblStyle w:val="62"/>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71E7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68BE22A4">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992" w:type="dxa"/>
            <w:vAlign w:val="center"/>
          </w:tcPr>
          <w:p w14:paraId="1F2F130B">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名称</w:t>
            </w:r>
          </w:p>
        </w:tc>
        <w:tc>
          <w:tcPr>
            <w:tcW w:w="2268" w:type="dxa"/>
          </w:tcPr>
          <w:p w14:paraId="54CB5D49">
            <w:pPr>
              <w:spacing w:line="360" w:lineRule="auto"/>
              <w:jc w:val="center"/>
              <w:rPr>
                <w:rFonts w:hint="eastAsia" w:ascii="宋体" w:hAnsi="宋体" w:eastAsia="宋体" w:cs="宋体"/>
                <w:b/>
                <w:color w:val="auto"/>
                <w:sz w:val="24"/>
                <w:highlight w:val="none"/>
              </w:rPr>
            </w:pPr>
          </w:p>
          <w:p w14:paraId="72F5045F">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服务范围</w:t>
            </w:r>
          </w:p>
        </w:tc>
        <w:tc>
          <w:tcPr>
            <w:tcW w:w="2410" w:type="dxa"/>
            <w:vAlign w:val="center"/>
          </w:tcPr>
          <w:p w14:paraId="059CBBED">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服务要求</w:t>
            </w:r>
          </w:p>
        </w:tc>
        <w:tc>
          <w:tcPr>
            <w:tcW w:w="2268" w:type="dxa"/>
            <w:vAlign w:val="center"/>
          </w:tcPr>
          <w:p w14:paraId="1DA78A1E">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服务时间</w:t>
            </w:r>
          </w:p>
        </w:tc>
        <w:tc>
          <w:tcPr>
            <w:tcW w:w="2126" w:type="dxa"/>
            <w:vAlign w:val="center"/>
          </w:tcPr>
          <w:p w14:paraId="37B2A26D">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服务标准</w:t>
            </w:r>
          </w:p>
        </w:tc>
        <w:tc>
          <w:tcPr>
            <w:tcW w:w="2127" w:type="dxa"/>
          </w:tcPr>
          <w:p w14:paraId="1CF04717">
            <w:pPr>
              <w:spacing w:line="360" w:lineRule="auto"/>
              <w:jc w:val="center"/>
              <w:rPr>
                <w:rFonts w:hint="eastAsia" w:ascii="宋体" w:hAnsi="宋体" w:eastAsia="宋体" w:cs="宋体"/>
                <w:b/>
                <w:color w:val="auto"/>
                <w:sz w:val="24"/>
                <w:highlight w:val="none"/>
              </w:rPr>
            </w:pPr>
          </w:p>
          <w:p w14:paraId="70ED062B">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服务人数</w:t>
            </w:r>
          </w:p>
        </w:tc>
        <w:tc>
          <w:tcPr>
            <w:tcW w:w="2126" w:type="dxa"/>
            <w:vAlign w:val="center"/>
          </w:tcPr>
          <w:p w14:paraId="69E192B5">
            <w:pPr>
              <w:spacing w:line="360" w:lineRule="auto"/>
              <w:jc w:val="center"/>
              <w:rPr>
                <w:rFonts w:hint="eastAsia" w:ascii="宋体" w:hAnsi="宋体" w:eastAsia="宋体" w:cs="宋体"/>
                <w:b/>
                <w:color w:val="auto"/>
                <w:sz w:val="24"/>
                <w:highlight w:val="none"/>
              </w:rPr>
            </w:pPr>
          </w:p>
          <w:p w14:paraId="7380A3A1">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备注（如果有）</w:t>
            </w:r>
          </w:p>
          <w:p w14:paraId="067D281E">
            <w:pPr>
              <w:spacing w:line="360" w:lineRule="auto"/>
              <w:jc w:val="center"/>
              <w:rPr>
                <w:rFonts w:hint="eastAsia" w:ascii="宋体" w:hAnsi="宋体" w:eastAsia="宋体" w:cs="宋体"/>
                <w:b/>
                <w:color w:val="auto"/>
                <w:sz w:val="24"/>
                <w:highlight w:val="none"/>
              </w:rPr>
            </w:pPr>
          </w:p>
        </w:tc>
      </w:tr>
      <w:tr w14:paraId="7E4D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1F32908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992" w:type="dxa"/>
            <w:vAlign w:val="center"/>
          </w:tcPr>
          <w:p w14:paraId="475A863B">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XX</w:t>
            </w:r>
          </w:p>
        </w:tc>
        <w:tc>
          <w:tcPr>
            <w:tcW w:w="2268" w:type="dxa"/>
            <w:vAlign w:val="center"/>
          </w:tcPr>
          <w:p w14:paraId="07F810B6">
            <w:pPr>
              <w:snapToGrid w:val="0"/>
              <w:spacing w:line="360" w:lineRule="auto"/>
              <w:jc w:val="center"/>
              <w:rPr>
                <w:rFonts w:hint="eastAsia" w:ascii="宋体" w:hAnsi="宋体" w:eastAsia="宋体" w:cs="宋体"/>
                <w:color w:val="auto"/>
                <w:sz w:val="24"/>
                <w:highlight w:val="none"/>
              </w:rPr>
            </w:pPr>
          </w:p>
        </w:tc>
        <w:tc>
          <w:tcPr>
            <w:tcW w:w="2410" w:type="dxa"/>
            <w:vAlign w:val="center"/>
          </w:tcPr>
          <w:p w14:paraId="59245F5A">
            <w:pPr>
              <w:snapToGrid w:val="0"/>
              <w:spacing w:line="360" w:lineRule="auto"/>
              <w:jc w:val="center"/>
              <w:rPr>
                <w:rFonts w:hint="eastAsia" w:ascii="宋体" w:hAnsi="宋体" w:eastAsia="宋体" w:cs="宋体"/>
                <w:color w:val="auto"/>
                <w:sz w:val="24"/>
                <w:highlight w:val="none"/>
              </w:rPr>
            </w:pPr>
          </w:p>
        </w:tc>
        <w:tc>
          <w:tcPr>
            <w:tcW w:w="2268" w:type="dxa"/>
            <w:vAlign w:val="center"/>
          </w:tcPr>
          <w:p w14:paraId="2A4F0C28">
            <w:pPr>
              <w:snapToGrid w:val="0"/>
              <w:spacing w:line="360" w:lineRule="auto"/>
              <w:jc w:val="center"/>
              <w:rPr>
                <w:rFonts w:hint="eastAsia" w:ascii="宋体" w:hAnsi="宋体" w:eastAsia="宋体" w:cs="宋体"/>
                <w:color w:val="auto"/>
                <w:sz w:val="24"/>
                <w:highlight w:val="none"/>
              </w:rPr>
            </w:pPr>
          </w:p>
        </w:tc>
        <w:tc>
          <w:tcPr>
            <w:tcW w:w="2126" w:type="dxa"/>
            <w:vAlign w:val="center"/>
          </w:tcPr>
          <w:p w14:paraId="68ED2B0B">
            <w:pPr>
              <w:spacing w:line="360" w:lineRule="auto"/>
              <w:jc w:val="center"/>
              <w:rPr>
                <w:rFonts w:hint="eastAsia" w:ascii="宋体" w:hAnsi="宋体" w:eastAsia="宋体" w:cs="宋体"/>
                <w:color w:val="auto"/>
                <w:sz w:val="24"/>
                <w:highlight w:val="none"/>
              </w:rPr>
            </w:pPr>
          </w:p>
        </w:tc>
        <w:tc>
          <w:tcPr>
            <w:tcW w:w="2127" w:type="dxa"/>
          </w:tcPr>
          <w:p w14:paraId="7A6C9C9F">
            <w:pPr>
              <w:spacing w:line="360" w:lineRule="auto"/>
              <w:jc w:val="center"/>
              <w:rPr>
                <w:rFonts w:hint="eastAsia" w:ascii="宋体" w:hAnsi="宋体" w:eastAsia="宋体" w:cs="宋体"/>
                <w:color w:val="auto"/>
                <w:sz w:val="24"/>
                <w:highlight w:val="none"/>
              </w:rPr>
            </w:pPr>
          </w:p>
        </w:tc>
        <w:tc>
          <w:tcPr>
            <w:tcW w:w="2126" w:type="dxa"/>
            <w:vAlign w:val="center"/>
          </w:tcPr>
          <w:p w14:paraId="337A9189">
            <w:pPr>
              <w:spacing w:line="360" w:lineRule="auto"/>
              <w:jc w:val="center"/>
              <w:rPr>
                <w:rFonts w:hint="eastAsia" w:ascii="宋体" w:hAnsi="宋体" w:eastAsia="宋体" w:cs="宋体"/>
                <w:color w:val="auto"/>
                <w:sz w:val="24"/>
                <w:highlight w:val="none"/>
              </w:rPr>
            </w:pPr>
          </w:p>
        </w:tc>
      </w:tr>
      <w:tr w14:paraId="11ED8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7FCF415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992" w:type="dxa"/>
            <w:vAlign w:val="center"/>
          </w:tcPr>
          <w:p w14:paraId="17E22711">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XX</w:t>
            </w:r>
          </w:p>
        </w:tc>
        <w:tc>
          <w:tcPr>
            <w:tcW w:w="2268" w:type="dxa"/>
            <w:vAlign w:val="center"/>
          </w:tcPr>
          <w:p w14:paraId="6FDCA019">
            <w:pPr>
              <w:snapToGrid w:val="0"/>
              <w:spacing w:line="360" w:lineRule="auto"/>
              <w:jc w:val="center"/>
              <w:rPr>
                <w:rFonts w:hint="eastAsia" w:ascii="宋体" w:hAnsi="宋体" w:eastAsia="宋体" w:cs="宋体"/>
                <w:color w:val="auto"/>
                <w:sz w:val="24"/>
                <w:highlight w:val="none"/>
              </w:rPr>
            </w:pPr>
          </w:p>
        </w:tc>
        <w:tc>
          <w:tcPr>
            <w:tcW w:w="2410" w:type="dxa"/>
            <w:vAlign w:val="center"/>
          </w:tcPr>
          <w:p w14:paraId="27DFEF08">
            <w:pPr>
              <w:snapToGrid w:val="0"/>
              <w:spacing w:line="360" w:lineRule="auto"/>
              <w:jc w:val="center"/>
              <w:rPr>
                <w:rFonts w:hint="eastAsia" w:ascii="宋体" w:hAnsi="宋体" w:eastAsia="宋体" w:cs="宋体"/>
                <w:color w:val="auto"/>
                <w:sz w:val="24"/>
                <w:highlight w:val="none"/>
              </w:rPr>
            </w:pPr>
          </w:p>
        </w:tc>
        <w:tc>
          <w:tcPr>
            <w:tcW w:w="2268" w:type="dxa"/>
            <w:vAlign w:val="center"/>
          </w:tcPr>
          <w:p w14:paraId="1F80070D">
            <w:pPr>
              <w:snapToGrid w:val="0"/>
              <w:spacing w:line="360" w:lineRule="auto"/>
              <w:jc w:val="center"/>
              <w:rPr>
                <w:rFonts w:hint="eastAsia" w:ascii="宋体" w:hAnsi="宋体" w:eastAsia="宋体" w:cs="宋体"/>
                <w:color w:val="auto"/>
                <w:sz w:val="24"/>
                <w:highlight w:val="none"/>
              </w:rPr>
            </w:pPr>
          </w:p>
        </w:tc>
        <w:tc>
          <w:tcPr>
            <w:tcW w:w="2126" w:type="dxa"/>
            <w:vAlign w:val="center"/>
          </w:tcPr>
          <w:p w14:paraId="39543733">
            <w:pPr>
              <w:spacing w:line="360" w:lineRule="auto"/>
              <w:jc w:val="center"/>
              <w:rPr>
                <w:rFonts w:hint="eastAsia" w:ascii="宋体" w:hAnsi="宋体" w:eastAsia="宋体" w:cs="宋体"/>
                <w:color w:val="auto"/>
                <w:sz w:val="24"/>
                <w:highlight w:val="none"/>
              </w:rPr>
            </w:pPr>
          </w:p>
        </w:tc>
        <w:tc>
          <w:tcPr>
            <w:tcW w:w="2127" w:type="dxa"/>
          </w:tcPr>
          <w:p w14:paraId="56F9B041">
            <w:pPr>
              <w:spacing w:line="360" w:lineRule="auto"/>
              <w:jc w:val="center"/>
              <w:rPr>
                <w:rFonts w:hint="eastAsia" w:ascii="宋体" w:hAnsi="宋体" w:eastAsia="宋体" w:cs="宋体"/>
                <w:color w:val="auto"/>
                <w:sz w:val="24"/>
                <w:highlight w:val="none"/>
              </w:rPr>
            </w:pPr>
          </w:p>
        </w:tc>
        <w:tc>
          <w:tcPr>
            <w:tcW w:w="2126" w:type="dxa"/>
            <w:vAlign w:val="center"/>
          </w:tcPr>
          <w:p w14:paraId="7325112A">
            <w:pPr>
              <w:spacing w:line="360" w:lineRule="auto"/>
              <w:jc w:val="center"/>
              <w:rPr>
                <w:rFonts w:hint="eastAsia" w:ascii="宋体" w:hAnsi="宋体" w:eastAsia="宋体" w:cs="宋体"/>
                <w:color w:val="auto"/>
                <w:sz w:val="24"/>
                <w:highlight w:val="none"/>
              </w:rPr>
            </w:pPr>
          </w:p>
        </w:tc>
      </w:tr>
      <w:tr w14:paraId="64797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09C4090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992" w:type="dxa"/>
            <w:vAlign w:val="center"/>
          </w:tcPr>
          <w:p w14:paraId="4A4EB4A7">
            <w:pPr>
              <w:snapToGrid w:val="0"/>
              <w:spacing w:line="360" w:lineRule="auto"/>
              <w:jc w:val="center"/>
              <w:rPr>
                <w:rFonts w:hint="eastAsia" w:ascii="宋体" w:hAnsi="宋体" w:eastAsia="宋体" w:cs="宋体"/>
                <w:color w:val="auto"/>
                <w:sz w:val="24"/>
                <w:highlight w:val="none"/>
              </w:rPr>
            </w:pPr>
          </w:p>
        </w:tc>
        <w:tc>
          <w:tcPr>
            <w:tcW w:w="2268" w:type="dxa"/>
            <w:vAlign w:val="center"/>
          </w:tcPr>
          <w:p w14:paraId="520A982B">
            <w:pPr>
              <w:snapToGrid w:val="0"/>
              <w:spacing w:line="360" w:lineRule="auto"/>
              <w:jc w:val="center"/>
              <w:rPr>
                <w:rFonts w:hint="eastAsia" w:ascii="宋体" w:hAnsi="宋体" w:eastAsia="宋体" w:cs="宋体"/>
                <w:color w:val="auto"/>
                <w:sz w:val="24"/>
                <w:highlight w:val="none"/>
              </w:rPr>
            </w:pPr>
          </w:p>
        </w:tc>
        <w:tc>
          <w:tcPr>
            <w:tcW w:w="2410" w:type="dxa"/>
            <w:vAlign w:val="center"/>
          </w:tcPr>
          <w:p w14:paraId="33845283">
            <w:pPr>
              <w:snapToGrid w:val="0"/>
              <w:spacing w:line="360" w:lineRule="auto"/>
              <w:jc w:val="center"/>
              <w:rPr>
                <w:rFonts w:hint="eastAsia" w:ascii="宋体" w:hAnsi="宋体" w:eastAsia="宋体" w:cs="宋体"/>
                <w:color w:val="auto"/>
                <w:sz w:val="24"/>
                <w:highlight w:val="none"/>
              </w:rPr>
            </w:pPr>
          </w:p>
        </w:tc>
        <w:tc>
          <w:tcPr>
            <w:tcW w:w="2268" w:type="dxa"/>
            <w:vAlign w:val="center"/>
          </w:tcPr>
          <w:p w14:paraId="58F2710C">
            <w:pPr>
              <w:snapToGrid w:val="0"/>
              <w:spacing w:line="360" w:lineRule="auto"/>
              <w:jc w:val="center"/>
              <w:rPr>
                <w:rFonts w:hint="eastAsia" w:ascii="宋体" w:hAnsi="宋体" w:eastAsia="宋体" w:cs="宋体"/>
                <w:color w:val="auto"/>
                <w:sz w:val="24"/>
                <w:highlight w:val="none"/>
              </w:rPr>
            </w:pPr>
          </w:p>
        </w:tc>
        <w:tc>
          <w:tcPr>
            <w:tcW w:w="2126" w:type="dxa"/>
            <w:vAlign w:val="center"/>
          </w:tcPr>
          <w:p w14:paraId="76BE9F69">
            <w:pPr>
              <w:spacing w:line="360" w:lineRule="auto"/>
              <w:jc w:val="center"/>
              <w:rPr>
                <w:rFonts w:hint="eastAsia" w:ascii="宋体" w:hAnsi="宋体" w:eastAsia="宋体" w:cs="宋体"/>
                <w:color w:val="auto"/>
                <w:sz w:val="24"/>
                <w:highlight w:val="none"/>
              </w:rPr>
            </w:pPr>
          </w:p>
        </w:tc>
        <w:tc>
          <w:tcPr>
            <w:tcW w:w="2127" w:type="dxa"/>
          </w:tcPr>
          <w:p w14:paraId="7F767C89">
            <w:pPr>
              <w:spacing w:line="360" w:lineRule="auto"/>
              <w:jc w:val="center"/>
              <w:rPr>
                <w:rFonts w:hint="eastAsia" w:ascii="宋体" w:hAnsi="宋体" w:eastAsia="宋体" w:cs="宋体"/>
                <w:color w:val="auto"/>
                <w:sz w:val="24"/>
                <w:highlight w:val="none"/>
              </w:rPr>
            </w:pPr>
          </w:p>
        </w:tc>
        <w:tc>
          <w:tcPr>
            <w:tcW w:w="2126" w:type="dxa"/>
            <w:vAlign w:val="center"/>
          </w:tcPr>
          <w:p w14:paraId="32A25188">
            <w:pPr>
              <w:spacing w:line="360" w:lineRule="auto"/>
              <w:jc w:val="center"/>
              <w:rPr>
                <w:rFonts w:hint="eastAsia" w:ascii="宋体" w:hAnsi="宋体" w:eastAsia="宋体" w:cs="宋体"/>
                <w:color w:val="auto"/>
                <w:sz w:val="24"/>
                <w:highlight w:val="none"/>
              </w:rPr>
            </w:pPr>
          </w:p>
        </w:tc>
      </w:tr>
      <w:tr w14:paraId="03E4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94809D2">
            <w:pPr>
              <w:spacing w:line="360" w:lineRule="auto"/>
              <w:jc w:val="center"/>
              <w:rPr>
                <w:rFonts w:hint="eastAsia" w:ascii="宋体" w:hAnsi="宋体" w:eastAsia="宋体" w:cs="宋体"/>
                <w:color w:val="auto"/>
                <w:sz w:val="24"/>
                <w:highlight w:val="none"/>
              </w:rPr>
            </w:pPr>
          </w:p>
        </w:tc>
        <w:tc>
          <w:tcPr>
            <w:tcW w:w="992" w:type="dxa"/>
            <w:vAlign w:val="center"/>
          </w:tcPr>
          <w:p w14:paraId="11BAA37C">
            <w:pPr>
              <w:snapToGrid w:val="0"/>
              <w:spacing w:line="360" w:lineRule="auto"/>
              <w:jc w:val="center"/>
              <w:rPr>
                <w:rFonts w:hint="eastAsia" w:ascii="宋体" w:hAnsi="宋体" w:eastAsia="宋体" w:cs="宋体"/>
                <w:color w:val="auto"/>
                <w:sz w:val="24"/>
                <w:highlight w:val="none"/>
              </w:rPr>
            </w:pPr>
          </w:p>
        </w:tc>
        <w:tc>
          <w:tcPr>
            <w:tcW w:w="2268" w:type="dxa"/>
            <w:vAlign w:val="center"/>
          </w:tcPr>
          <w:p w14:paraId="1A4AFB4E">
            <w:pPr>
              <w:snapToGrid w:val="0"/>
              <w:spacing w:line="360" w:lineRule="auto"/>
              <w:jc w:val="center"/>
              <w:rPr>
                <w:rFonts w:hint="eastAsia" w:ascii="宋体" w:hAnsi="宋体" w:eastAsia="宋体" w:cs="宋体"/>
                <w:color w:val="auto"/>
                <w:sz w:val="24"/>
                <w:highlight w:val="none"/>
              </w:rPr>
            </w:pPr>
          </w:p>
        </w:tc>
        <w:tc>
          <w:tcPr>
            <w:tcW w:w="2410" w:type="dxa"/>
            <w:vAlign w:val="center"/>
          </w:tcPr>
          <w:p w14:paraId="1B3BC053">
            <w:pPr>
              <w:snapToGrid w:val="0"/>
              <w:spacing w:line="360" w:lineRule="auto"/>
              <w:jc w:val="center"/>
              <w:rPr>
                <w:rFonts w:hint="eastAsia" w:ascii="宋体" w:hAnsi="宋体" w:eastAsia="宋体" w:cs="宋体"/>
                <w:color w:val="auto"/>
                <w:sz w:val="24"/>
                <w:highlight w:val="none"/>
              </w:rPr>
            </w:pPr>
          </w:p>
        </w:tc>
        <w:tc>
          <w:tcPr>
            <w:tcW w:w="2268" w:type="dxa"/>
            <w:vAlign w:val="center"/>
          </w:tcPr>
          <w:p w14:paraId="639AE4E2">
            <w:pPr>
              <w:snapToGrid w:val="0"/>
              <w:spacing w:line="360" w:lineRule="auto"/>
              <w:jc w:val="center"/>
              <w:rPr>
                <w:rFonts w:hint="eastAsia" w:ascii="宋体" w:hAnsi="宋体" w:eastAsia="宋体" w:cs="宋体"/>
                <w:color w:val="auto"/>
                <w:sz w:val="24"/>
                <w:highlight w:val="none"/>
              </w:rPr>
            </w:pPr>
          </w:p>
        </w:tc>
        <w:tc>
          <w:tcPr>
            <w:tcW w:w="2126" w:type="dxa"/>
            <w:vAlign w:val="center"/>
          </w:tcPr>
          <w:p w14:paraId="770C29A7">
            <w:pPr>
              <w:spacing w:line="360" w:lineRule="auto"/>
              <w:jc w:val="center"/>
              <w:rPr>
                <w:rFonts w:hint="eastAsia" w:ascii="宋体" w:hAnsi="宋体" w:eastAsia="宋体" w:cs="宋体"/>
                <w:color w:val="auto"/>
                <w:sz w:val="24"/>
                <w:highlight w:val="none"/>
              </w:rPr>
            </w:pPr>
          </w:p>
        </w:tc>
        <w:tc>
          <w:tcPr>
            <w:tcW w:w="2127" w:type="dxa"/>
          </w:tcPr>
          <w:p w14:paraId="5530E90A">
            <w:pPr>
              <w:spacing w:line="360" w:lineRule="auto"/>
              <w:jc w:val="center"/>
              <w:rPr>
                <w:rFonts w:hint="eastAsia" w:ascii="宋体" w:hAnsi="宋体" w:eastAsia="宋体" w:cs="宋体"/>
                <w:color w:val="auto"/>
                <w:sz w:val="24"/>
                <w:highlight w:val="none"/>
              </w:rPr>
            </w:pPr>
          </w:p>
        </w:tc>
        <w:tc>
          <w:tcPr>
            <w:tcW w:w="2126" w:type="dxa"/>
            <w:vAlign w:val="center"/>
          </w:tcPr>
          <w:p w14:paraId="13EDF873">
            <w:pPr>
              <w:spacing w:line="360" w:lineRule="auto"/>
              <w:jc w:val="center"/>
              <w:rPr>
                <w:rFonts w:hint="eastAsia" w:ascii="宋体" w:hAnsi="宋体" w:eastAsia="宋体" w:cs="宋体"/>
                <w:color w:val="auto"/>
                <w:sz w:val="24"/>
                <w:highlight w:val="none"/>
              </w:rPr>
            </w:pPr>
          </w:p>
        </w:tc>
      </w:tr>
      <w:tr w14:paraId="50ED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E317AB7">
            <w:pPr>
              <w:spacing w:line="360" w:lineRule="auto"/>
              <w:jc w:val="center"/>
              <w:rPr>
                <w:rFonts w:hint="eastAsia" w:ascii="宋体" w:hAnsi="宋体" w:eastAsia="宋体" w:cs="宋体"/>
                <w:color w:val="auto"/>
                <w:sz w:val="24"/>
                <w:highlight w:val="none"/>
              </w:rPr>
            </w:pPr>
          </w:p>
        </w:tc>
        <w:tc>
          <w:tcPr>
            <w:tcW w:w="992" w:type="dxa"/>
            <w:vAlign w:val="center"/>
          </w:tcPr>
          <w:p w14:paraId="20304620">
            <w:pPr>
              <w:snapToGrid w:val="0"/>
              <w:spacing w:line="360" w:lineRule="auto"/>
              <w:jc w:val="center"/>
              <w:rPr>
                <w:rFonts w:hint="eastAsia" w:ascii="宋体" w:hAnsi="宋体" w:eastAsia="宋体" w:cs="宋体"/>
                <w:color w:val="auto"/>
                <w:sz w:val="24"/>
                <w:highlight w:val="none"/>
              </w:rPr>
            </w:pPr>
          </w:p>
        </w:tc>
        <w:tc>
          <w:tcPr>
            <w:tcW w:w="2268" w:type="dxa"/>
            <w:vAlign w:val="center"/>
          </w:tcPr>
          <w:p w14:paraId="10842381">
            <w:pPr>
              <w:snapToGrid w:val="0"/>
              <w:spacing w:line="360" w:lineRule="auto"/>
              <w:jc w:val="center"/>
              <w:rPr>
                <w:rFonts w:hint="eastAsia" w:ascii="宋体" w:hAnsi="宋体" w:eastAsia="宋体" w:cs="宋体"/>
                <w:color w:val="auto"/>
                <w:sz w:val="24"/>
                <w:highlight w:val="none"/>
              </w:rPr>
            </w:pPr>
          </w:p>
        </w:tc>
        <w:tc>
          <w:tcPr>
            <w:tcW w:w="2410" w:type="dxa"/>
            <w:vAlign w:val="center"/>
          </w:tcPr>
          <w:p w14:paraId="514B2D2C">
            <w:pPr>
              <w:snapToGrid w:val="0"/>
              <w:spacing w:line="360" w:lineRule="auto"/>
              <w:jc w:val="center"/>
              <w:rPr>
                <w:rFonts w:hint="eastAsia" w:ascii="宋体" w:hAnsi="宋体" w:eastAsia="宋体" w:cs="宋体"/>
                <w:color w:val="auto"/>
                <w:sz w:val="24"/>
                <w:highlight w:val="none"/>
              </w:rPr>
            </w:pPr>
          </w:p>
        </w:tc>
        <w:tc>
          <w:tcPr>
            <w:tcW w:w="2268" w:type="dxa"/>
            <w:vAlign w:val="center"/>
          </w:tcPr>
          <w:p w14:paraId="16BB2678">
            <w:pPr>
              <w:snapToGrid w:val="0"/>
              <w:spacing w:line="360" w:lineRule="auto"/>
              <w:jc w:val="center"/>
              <w:rPr>
                <w:rFonts w:hint="eastAsia" w:ascii="宋体" w:hAnsi="宋体" w:eastAsia="宋体" w:cs="宋体"/>
                <w:color w:val="auto"/>
                <w:sz w:val="24"/>
                <w:highlight w:val="none"/>
              </w:rPr>
            </w:pPr>
          </w:p>
        </w:tc>
        <w:tc>
          <w:tcPr>
            <w:tcW w:w="2126" w:type="dxa"/>
            <w:vAlign w:val="center"/>
          </w:tcPr>
          <w:p w14:paraId="0AE6CE98">
            <w:pPr>
              <w:spacing w:line="360" w:lineRule="auto"/>
              <w:jc w:val="center"/>
              <w:rPr>
                <w:rFonts w:hint="eastAsia" w:ascii="宋体" w:hAnsi="宋体" w:eastAsia="宋体" w:cs="宋体"/>
                <w:color w:val="auto"/>
                <w:sz w:val="24"/>
                <w:highlight w:val="none"/>
              </w:rPr>
            </w:pPr>
          </w:p>
        </w:tc>
        <w:tc>
          <w:tcPr>
            <w:tcW w:w="2127" w:type="dxa"/>
          </w:tcPr>
          <w:p w14:paraId="3E8302D9">
            <w:pPr>
              <w:spacing w:line="360" w:lineRule="auto"/>
              <w:jc w:val="center"/>
              <w:rPr>
                <w:rFonts w:hint="eastAsia" w:ascii="宋体" w:hAnsi="宋体" w:eastAsia="宋体" w:cs="宋体"/>
                <w:color w:val="auto"/>
                <w:sz w:val="24"/>
                <w:highlight w:val="none"/>
              </w:rPr>
            </w:pPr>
          </w:p>
        </w:tc>
        <w:tc>
          <w:tcPr>
            <w:tcW w:w="2126" w:type="dxa"/>
            <w:vAlign w:val="center"/>
          </w:tcPr>
          <w:p w14:paraId="09260049">
            <w:pPr>
              <w:spacing w:line="360" w:lineRule="auto"/>
              <w:jc w:val="center"/>
              <w:rPr>
                <w:rFonts w:hint="eastAsia" w:ascii="宋体" w:hAnsi="宋体" w:eastAsia="宋体" w:cs="宋体"/>
                <w:color w:val="auto"/>
                <w:sz w:val="24"/>
                <w:highlight w:val="none"/>
              </w:rPr>
            </w:pPr>
          </w:p>
        </w:tc>
      </w:tr>
      <w:tr w14:paraId="38D3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18960C14">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投标报价（小写）</w:t>
            </w:r>
          </w:p>
        </w:tc>
        <w:tc>
          <w:tcPr>
            <w:tcW w:w="8647" w:type="dxa"/>
            <w:gridSpan w:val="4"/>
          </w:tcPr>
          <w:p w14:paraId="79D4A553">
            <w:pPr>
              <w:spacing w:line="360" w:lineRule="auto"/>
              <w:jc w:val="center"/>
              <w:rPr>
                <w:rFonts w:hint="eastAsia" w:ascii="宋体" w:hAnsi="宋体" w:eastAsia="宋体" w:cs="宋体"/>
                <w:color w:val="auto"/>
                <w:sz w:val="24"/>
                <w:highlight w:val="none"/>
              </w:rPr>
            </w:pPr>
          </w:p>
        </w:tc>
      </w:tr>
      <w:tr w14:paraId="62E96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4ADDA3AD">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投标报价（大写）</w:t>
            </w:r>
          </w:p>
        </w:tc>
        <w:tc>
          <w:tcPr>
            <w:tcW w:w="8647" w:type="dxa"/>
            <w:gridSpan w:val="4"/>
          </w:tcPr>
          <w:p w14:paraId="089635DC">
            <w:pPr>
              <w:spacing w:line="360" w:lineRule="auto"/>
              <w:jc w:val="center"/>
              <w:rPr>
                <w:rFonts w:hint="eastAsia" w:ascii="宋体" w:hAnsi="宋体" w:eastAsia="宋体" w:cs="宋体"/>
                <w:color w:val="auto"/>
                <w:sz w:val="24"/>
                <w:highlight w:val="none"/>
              </w:rPr>
            </w:pPr>
          </w:p>
        </w:tc>
      </w:tr>
    </w:tbl>
    <w:p w14:paraId="6D5507D9">
      <w:pPr>
        <w:snapToGrid w:val="0"/>
        <w:spacing w:line="360" w:lineRule="auto"/>
        <w:ind w:left="480"/>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注：</w:t>
      </w:r>
    </w:p>
    <w:p w14:paraId="7B118C0C">
      <w:pPr>
        <w:spacing w:line="360" w:lineRule="auto"/>
        <w:ind w:left="-2" w:leftChars="-1"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1、投标人需按本表格式填写</w:t>
      </w:r>
      <w:r>
        <w:rPr>
          <w:rFonts w:hint="eastAsia" w:ascii="宋体" w:hAnsi="宋体" w:eastAsia="宋体" w:cs="宋体"/>
          <w:b/>
          <w:color w:val="auto"/>
          <w:kern w:val="0"/>
          <w:sz w:val="24"/>
          <w:highlight w:val="none"/>
          <w:lang w:val="zh-CN"/>
        </w:rPr>
        <w:t>，</w:t>
      </w:r>
      <w:r>
        <w:rPr>
          <w:rFonts w:hint="eastAsia" w:ascii="宋体" w:hAnsi="宋体" w:eastAsia="宋体" w:cs="宋体"/>
          <w:b/>
          <w:color w:val="auto"/>
          <w:kern w:val="0"/>
          <w:sz w:val="24"/>
          <w:highlight w:val="none"/>
        </w:rPr>
        <w:t>否则视为</w:t>
      </w:r>
      <w:r>
        <w:rPr>
          <w:rFonts w:hint="eastAsia" w:ascii="宋体" w:hAnsi="宋体" w:eastAsia="宋体" w:cs="宋体"/>
          <w:b/>
          <w:color w:val="auto"/>
          <w:sz w:val="24"/>
          <w:highlight w:val="none"/>
        </w:rPr>
        <w:t>投标文件含有采购人不能接受的附加条件，投标无效</w:t>
      </w:r>
      <w:r>
        <w:rPr>
          <w:rFonts w:hint="eastAsia" w:ascii="宋体" w:hAnsi="宋体" w:eastAsia="宋体" w:cs="宋体"/>
          <w:b/>
          <w:color w:val="auto"/>
          <w:kern w:val="0"/>
          <w:sz w:val="24"/>
          <w:highlight w:val="none"/>
          <w:lang w:val="zh-CN"/>
        </w:rPr>
        <w:t>；</w:t>
      </w:r>
      <w:r>
        <w:rPr>
          <w:rFonts w:hint="eastAsia" w:ascii="宋体" w:hAnsi="宋体" w:eastAsia="宋体" w:cs="宋体"/>
          <w:color w:val="auto"/>
          <w:kern w:val="0"/>
          <w:sz w:val="24"/>
          <w:highlight w:val="none"/>
          <w:lang w:val="zh-CN"/>
        </w:rPr>
        <w:t>。</w:t>
      </w:r>
    </w:p>
    <w:p w14:paraId="37A080EF">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2、有关本项目实施所涉及的一切费用均计入报价。</w:t>
      </w:r>
      <w:r>
        <w:rPr>
          <w:rFonts w:hint="eastAsia" w:ascii="宋体" w:hAnsi="宋体" w:eastAsia="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条件或者合同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eastAsia="宋体" w:cs="宋体"/>
          <w:b/>
          <w:color w:val="auto"/>
          <w:kern w:val="0"/>
          <w:sz w:val="24"/>
          <w:highlight w:val="none"/>
          <w:lang w:val="zh-CN"/>
        </w:rPr>
        <w:t>采购内容未包含在《开标一览表（报价表）》名称栏中，投标人不能作出合理解释的，</w:t>
      </w:r>
      <w:r>
        <w:rPr>
          <w:rFonts w:hint="eastAsia" w:ascii="宋体" w:hAnsi="宋体" w:eastAsia="宋体" w:cs="宋体"/>
          <w:b/>
          <w:color w:val="auto"/>
          <w:kern w:val="0"/>
          <w:sz w:val="24"/>
          <w:highlight w:val="none"/>
        </w:rPr>
        <w:t>视为</w:t>
      </w:r>
      <w:r>
        <w:rPr>
          <w:rFonts w:hint="eastAsia" w:ascii="宋体" w:hAnsi="宋体" w:eastAsia="宋体" w:cs="宋体"/>
          <w:b/>
          <w:color w:val="auto"/>
          <w:sz w:val="24"/>
          <w:highlight w:val="none"/>
        </w:rPr>
        <w:t>投标文件含有采购人不能接受的附加条件的，投标无效。</w:t>
      </w:r>
    </w:p>
    <w:p w14:paraId="1083EA77">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3、特别提示：采购代理机构将对项目名称和项目编号，中标供应商名称、地址和中标金额，主要中标标的名称、品牌（如果有）、规格型号、数量、单价等予以公示。</w:t>
      </w:r>
    </w:p>
    <w:p w14:paraId="371279ED">
      <w:pPr>
        <w:rPr>
          <w:rFonts w:hint="eastAsia" w:ascii="宋体" w:hAnsi="宋体" w:eastAsia="宋体" w:cs="宋体"/>
          <w:color w:val="auto"/>
          <w:kern w:val="2"/>
          <w:sz w:val="32"/>
          <w:szCs w:val="32"/>
          <w:highlight w:val="none"/>
        </w:rPr>
        <w:sectPr>
          <w:pgSz w:w="16838" w:h="11906" w:orient="landscape"/>
          <w:pgMar w:top="1418" w:right="1276" w:bottom="1418" w:left="1247" w:header="851" w:footer="992" w:gutter="0"/>
          <w:cols w:space="720" w:num="1"/>
          <w:titlePg/>
          <w:docGrid w:linePitch="312" w:charSpace="0"/>
        </w:sectPr>
      </w:pPr>
      <w:r>
        <w:rPr>
          <w:rFonts w:hint="eastAsia" w:ascii="宋体" w:hAnsi="宋体" w:eastAsia="宋体" w:cs="宋体"/>
          <w:color w:val="auto"/>
          <w:kern w:val="2"/>
          <w:sz w:val="32"/>
          <w:szCs w:val="32"/>
          <w:highlight w:val="none"/>
        </w:rPr>
        <w:br w:type="page"/>
      </w:r>
    </w:p>
    <w:tbl>
      <w:tblPr>
        <w:tblStyle w:val="62"/>
        <w:tblW w:w="93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5"/>
        <w:gridCol w:w="2460"/>
        <w:gridCol w:w="1800"/>
        <w:gridCol w:w="630"/>
        <w:gridCol w:w="1035"/>
        <w:gridCol w:w="915"/>
        <w:gridCol w:w="960"/>
        <w:gridCol w:w="963"/>
      </w:tblGrid>
      <w:tr w14:paraId="1F4BC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9348" w:type="dxa"/>
            <w:gridSpan w:val="8"/>
            <w:tcBorders>
              <w:top w:val="nil"/>
              <w:left w:val="nil"/>
              <w:bottom w:val="nil"/>
              <w:right w:val="nil"/>
            </w:tcBorders>
            <w:vAlign w:val="center"/>
          </w:tcPr>
          <w:p w14:paraId="5FC2E339">
            <w:pPr>
              <w:jc w:val="center"/>
              <w:rPr>
                <w:rFonts w:hint="eastAsia" w:ascii="宋体" w:hAnsi="宋体" w:eastAsia="宋体" w:cs="宋体"/>
                <w:b/>
                <w:bCs/>
                <w:i w:val="0"/>
                <w:iCs w:val="0"/>
                <w:color w:val="000000"/>
                <w:sz w:val="36"/>
                <w:szCs w:val="36"/>
                <w:highlight w:val="none"/>
                <w:u w:val="none"/>
              </w:rPr>
            </w:pPr>
            <w:r>
              <w:rPr>
                <w:rFonts w:hint="eastAsia" w:ascii="宋体" w:hAnsi="宋体" w:eastAsia="宋体" w:cs="宋体"/>
                <w:color w:val="auto"/>
                <w:kern w:val="2"/>
                <w:sz w:val="32"/>
                <w:szCs w:val="32"/>
                <w:highlight w:val="none"/>
                <w:lang w:val="en-US" w:eastAsia="zh-CN"/>
              </w:rPr>
              <w:br w:type="page"/>
            </w:r>
            <w:r>
              <w:rPr>
                <w:rFonts w:hint="eastAsia" w:ascii="宋体" w:hAnsi="宋体" w:eastAsia="宋体" w:cs="宋体"/>
                <w:b/>
                <w:bCs/>
                <w:i w:val="0"/>
                <w:iCs w:val="0"/>
                <w:color w:val="000000"/>
                <w:kern w:val="0"/>
                <w:sz w:val="36"/>
                <w:szCs w:val="36"/>
                <w:highlight w:val="none"/>
                <w:u w:val="none"/>
                <w:lang w:val="en-US" w:eastAsia="zh-CN"/>
              </w:rPr>
              <w:t>工程量清单及计价表</w:t>
            </w:r>
          </w:p>
        </w:tc>
      </w:tr>
      <w:tr w14:paraId="22B90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48" w:type="dxa"/>
            <w:gridSpan w:val="8"/>
            <w:tcBorders>
              <w:top w:val="nil"/>
              <w:left w:val="nil"/>
              <w:bottom w:val="nil"/>
              <w:right w:val="nil"/>
            </w:tcBorders>
            <w:vAlign w:val="center"/>
          </w:tcPr>
          <w:p w14:paraId="58D10EAD">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项目名称：南湖小镇三期安置农居点市政基础配套建设工程(一期）桩基检测及基坑监测</w:t>
            </w:r>
          </w:p>
        </w:tc>
      </w:tr>
      <w:tr w14:paraId="349D3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3A09D4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序号</w:t>
            </w:r>
          </w:p>
        </w:tc>
        <w:tc>
          <w:tcPr>
            <w:tcW w:w="2460" w:type="dxa"/>
            <w:vMerge w:val="restart"/>
            <w:tcBorders>
              <w:top w:val="single" w:color="000000" w:sz="4" w:space="0"/>
              <w:left w:val="single" w:color="000000" w:sz="4" w:space="0"/>
              <w:bottom w:val="single" w:color="000000" w:sz="4" w:space="0"/>
              <w:right w:val="single" w:color="000000" w:sz="4" w:space="0"/>
            </w:tcBorders>
            <w:vAlign w:val="center"/>
          </w:tcPr>
          <w:p w14:paraId="7DDDB1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项目名称</w:t>
            </w:r>
          </w:p>
        </w:tc>
        <w:tc>
          <w:tcPr>
            <w:tcW w:w="1800" w:type="dxa"/>
            <w:vMerge w:val="restart"/>
            <w:tcBorders>
              <w:top w:val="single" w:color="000000" w:sz="4" w:space="0"/>
              <w:left w:val="single" w:color="000000" w:sz="4" w:space="0"/>
              <w:bottom w:val="single" w:color="000000" w:sz="4" w:space="0"/>
              <w:right w:val="single" w:color="000000" w:sz="4" w:space="0"/>
            </w:tcBorders>
            <w:vAlign w:val="center"/>
          </w:tcPr>
          <w:p w14:paraId="2F5967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项目特征描述</w:t>
            </w:r>
          </w:p>
        </w:tc>
        <w:tc>
          <w:tcPr>
            <w:tcW w:w="630" w:type="dxa"/>
            <w:vMerge w:val="restart"/>
            <w:tcBorders>
              <w:top w:val="single" w:color="000000" w:sz="4" w:space="0"/>
              <w:left w:val="single" w:color="000000" w:sz="4" w:space="0"/>
              <w:bottom w:val="single" w:color="000000" w:sz="4" w:space="0"/>
              <w:right w:val="single" w:color="000000" w:sz="4" w:space="0"/>
            </w:tcBorders>
            <w:vAlign w:val="center"/>
          </w:tcPr>
          <w:p w14:paraId="02D9D7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计量单位</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14:paraId="4CEDA6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数量</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14:paraId="4DB3DB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综合单价</w:t>
            </w:r>
          </w:p>
        </w:tc>
        <w:tc>
          <w:tcPr>
            <w:tcW w:w="960" w:type="dxa"/>
            <w:vMerge w:val="restart"/>
            <w:tcBorders>
              <w:top w:val="single" w:color="000000" w:sz="4" w:space="0"/>
              <w:left w:val="single" w:color="000000" w:sz="4" w:space="0"/>
              <w:bottom w:val="single" w:color="000000" w:sz="4" w:space="0"/>
              <w:right w:val="single" w:color="000000" w:sz="4" w:space="0"/>
            </w:tcBorders>
            <w:vAlign w:val="center"/>
          </w:tcPr>
          <w:p w14:paraId="20A2F6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合价</w:t>
            </w:r>
          </w:p>
        </w:tc>
        <w:tc>
          <w:tcPr>
            <w:tcW w:w="963" w:type="dxa"/>
            <w:vMerge w:val="restart"/>
            <w:tcBorders>
              <w:top w:val="single" w:color="000000" w:sz="4" w:space="0"/>
              <w:left w:val="single" w:color="000000" w:sz="4" w:space="0"/>
              <w:bottom w:val="single" w:color="000000" w:sz="4" w:space="0"/>
              <w:right w:val="single" w:color="000000" w:sz="4" w:space="0"/>
            </w:tcBorders>
            <w:vAlign w:val="center"/>
          </w:tcPr>
          <w:p w14:paraId="3623D1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备注</w:t>
            </w:r>
          </w:p>
        </w:tc>
      </w:tr>
      <w:tr w14:paraId="3F8A6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57E492E">
            <w:pPr>
              <w:jc w:val="center"/>
              <w:rPr>
                <w:rFonts w:hint="eastAsia" w:ascii="宋体" w:hAnsi="宋体" w:eastAsia="宋体" w:cs="宋体"/>
                <w:i w:val="0"/>
                <w:iCs w:val="0"/>
                <w:color w:val="000000"/>
                <w:sz w:val="20"/>
                <w:szCs w:val="20"/>
                <w:highlight w:val="none"/>
                <w:u w:val="none"/>
              </w:rPr>
            </w:pPr>
          </w:p>
        </w:tc>
        <w:tc>
          <w:tcPr>
            <w:tcW w:w="2460" w:type="dxa"/>
            <w:vMerge w:val="continue"/>
            <w:tcBorders>
              <w:top w:val="single" w:color="000000" w:sz="4" w:space="0"/>
              <w:left w:val="single" w:color="000000" w:sz="4" w:space="0"/>
              <w:bottom w:val="single" w:color="000000" w:sz="4" w:space="0"/>
              <w:right w:val="single" w:color="000000" w:sz="4" w:space="0"/>
            </w:tcBorders>
            <w:vAlign w:val="center"/>
          </w:tcPr>
          <w:p w14:paraId="130F98A3">
            <w:pPr>
              <w:jc w:val="center"/>
              <w:rPr>
                <w:rFonts w:hint="eastAsia" w:ascii="宋体" w:hAnsi="宋体" w:eastAsia="宋体" w:cs="宋体"/>
                <w:i w:val="0"/>
                <w:iCs w:val="0"/>
                <w:color w:val="000000"/>
                <w:sz w:val="20"/>
                <w:szCs w:val="20"/>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9E1DA45">
            <w:pPr>
              <w:jc w:val="center"/>
              <w:rPr>
                <w:rFonts w:hint="eastAsia" w:ascii="宋体" w:hAnsi="宋体" w:eastAsia="宋体" w:cs="宋体"/>
                <w:i w:val="0"/>
                <w:iCs w:val="0"/>
                <w:color w:val="000000"/>
                <w:sz w:val="20"/>
                <w:szCs w:val="20"/>
                <w:highlight w:val="none"/>
                <w:u w:val="none"/>
              </w:rPr>
            </w:pP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5ED404C9">
            <w:pPr>
              <w:jc w:val="center"/>
              <w:rPr>
                <w:rFonts w:hint="eastAsia" w:ascii="宋体" w:hAnsi="宋体" w:eastAsia="宋体" w:cs="宋体"/>
                <w:i w:val="0"/>
                <w:iCs w:val="0"/>
                <w:color w:val="000000"/>
                <w:sz w:val="20"/>
                <w:szCs w:val="20"/>
                <w:highlight w:val="none"/>
                <w:u w:val="none"/>
              </w:rPr>
            </w:pP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14:paraId="58BE407A">
            <w:pPr>
              <w:jc w:val="center"/>
              <w:rPr>
                <w:rFonts w:hint="eastAsia" w:ascii="宋体" w:hAnsi="宋体" w:eastAsia="宋体" w:cs="宋体"/>
                <w:i w:val="0"/>
                <w:iCs w:val="0"/>
                <w:color w:val="000000"/>
                <w:sz w:val="20"/>
                <w:szCs w:val="20"/>
                <w:highlight w:val="none"/>
                <w:u w:val="none"/>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14:paraId="454D072A">
            <w:pPr>
              <w:jc w:val="center"/>
              <w:rPr>
                <w:rFonts w:hint="eastAsia" w:ascii="宋体" w:hAnsi="宋体" w:eastAsia="宋体" w:cs="宋体"/>
                <w:i w:val="0"/>
                <w:iCs w:val="0"/>
                <w:color w:val="000000"/>
                <w:sz w:val="20"/>
                <w:szCs w:val="20"/>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14:paraId="3827F98A">
            <w:pPr>
              <w:jc w:val="center"/>
              <w:rPr>
                <w:rFonts w:hint="eastAsia" w:ascii="宋体" w:hAnsi="宋体" w:eastAsia="宋体" w:cs="宋体"/>
                <w:i w:val="0"/>
                <w:iCs w:val="0"/>
                <w:color w:val="000000"/>
                <w:sz w:val="20"/>
                <w:szCs w:val="20"/>
                <w:highlight w:val="none"/>
                <w:u w:val="none"/>
              </w:rPr>
            </w:pPr>
          </w:p>
        </w:tc>
        <w:tc>
          <w:tcPr>
            <w:tcW w:w="963" w:type="dxa"/>
            <w:vMerge w:val="continue"/>
            <w:tcBorders>
              <w:top w:val="single" w:color="000000" w:sz="4" w:space="0"/>
              <w:left w:val="single" w:color="000000" w:sz="4" w:space="0"/>
              <w:bottom w:val="single" w:color="000000" w:sz="4" w:space="0"/>
              <w:right w:val="single" w:color="000000" w:sz="4" w:space="0"/>
            </w:tcBorders>
            <w:vAlign w:val="center"/>
          </w:tcPr>
          <w:p w14:paraId="4F038035">
            <w:pPr>
              <w:jc w:val="center"/>
              <w:rPr>
                <w:rFonts w:hint="eastAsia" w:ascii="宋体" w:hAnsi="宋体" w:eastAsia="宋体" w:cs="宋体"/>
                <w:i w:val="0"/>
                <w:iCs w:val="0"/>
                <w:color w:val="000000"/>
                <w:sz w:val="20"/>
                <w:szCs w:val="20"/>
                <w:highlight w:val="none"/>
                <w:u w:val="none"/>
              </w:rPr>
            </w:pPr>
          </w:p>
        </w:tc>
      </w:tr>
      <w:tr w14:paraId="54B85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D5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一</w:t>
            </w:r>
          </w:p>
        </w:tc>
        <w:tc>
          <w:tcPr>
            <w:tcW w:w="2460" w:type="dxa"/>
            <w:tcBorders>
              <w:top w:val="single" w:color="000000" w:sz="4" w:space="0"/>
              <w:left w:val="single" w:color="000000" w:sz="4" w:space="0"/>
              <w:bottom w:val="single" w:color="000000" w:sz="4" w:space="0"/>
              <w:right w:val="single" w:color="000000" w:sz="4" w:space="0"/>
            </w:tcBorders>
            <w:shd w:val="clear" w:color="auto" w:fill="FFF2CC"/>
            <w:vAlign w:val="center"/>
          </w:tcPr>
          <w:p w14:paraId="4A9B91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工程桩检测</w:t>
            </w:r>
          </w:p>
        </w:tc>
        <w:tc>
          <w:tcPr>
            <w:tcW w:w="1800" w:type="dxa"/>
            <w:tcBorders>
              <w:top w:val="single" w:color="000000" w:sz="4" w:space="0"/>
              <w:left w:val="single" w:color="000000" w:sz="4" w:space="0"/>
              <w:bottom w:val="single" w:color="000000" w:sz="4" w:space="0"/>
              <w:right w:val="single" w:color="000000" w:sz="4" w:space="0"/>
            </w:tcBorders>
            <w:vAlign w:val="center"/>
          </w:tcPr>
          <w:p w14:paraId="41BB305E">
            <w:pPr>
              <w:jc w:val="center"/>
              <w:rPr>
                <w:rFonts w:hint="eastAsia" w:ascii="宋体" w:hAnsi="宋体" w:eastAsia="宋体" w:cs="宋体"/>
                <w:i w:val="0"/>
                <w:iCs w:val="0"/>
                <w:color w:val="000000"/>
                <w:sz w:val="20"/>
                <w:szCs w:val="20"/>
                <w:highlight w:val="none"/>
                <w:u w:val="none"/>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222ED507">
            <w:pPr>
              <w:jc w:val="center"/>
              <w:rPr>
                <w:rFonts w:hint="eastAsia" w:ascii="宋体" w:hAnsi="宋体" w:eastAsia="宋体" w:cs="宋体"/>
                <w:i w:val="0"/>
                <w:iCs w:val="0"/>
                <w:color w:val="000000"/>
                <w:sz w:val="20"/>
                <w:szCs w:val="20"/>
                <w:highlight w:val="none"/>
                <w:u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14:paraId="6DC93BDA">
            <w:pPr>
              <w:jc w:val="center"/>
              <w:rPr>
                <w:rFonts w:hint="eastAsia" w:ascii="宋体" w:hAnsi="宋体" w:eastAsia="宋体" w:cs="宋体"/>
                <w:i w:val="0"/>
                <w:iCs w:val="0"/>
                <w:color w:val="000000"/>
                <w:sz w:val="20"/>
                <w:szCs w:val="20"/>
                <w:highlight w:val="none"/>
                <w:u w:val="none"/>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0AC7EEBD">
            <w:pPr>
              <w:jc w:val="center"/>
              <w:rPr>
                <w:rFonts w:hint="eastAsia" w:ascii="宋体" w:hAnsi="宋体" w:eastAsia="宋体" w:cs="宋体"/>
                <w:i w:val="0"/>
                <w:iCs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4C80E7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7BC35507">
            <w:pPr>
              <w:jc w:val="center"/>
              <w:rPr>
                <w:rFonts w:hint="eastAsia" w:ascii="宋体" w:hAnsi="宋体" w:eastAsia="宋体" w:cs="宋体"/>
                <w:i w:val="0"/>
                <w:iCs w:val="0"/>
                <w:color w:val="000000"/>
                <w:sz w:val="20"/>
                <w:szCs w:val="20"/>
                <w:highlight w:val="none"/>
                <w:u w:val="none"/>
              </w:rPr>
            </w:pPr>
          </w:p>
        </w:tc>
      </w:tr>
      <w:tr w14:paraId="139DF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vAlign w:val="center"/>
          </w:tcPr>
          <w:p w14:paraId="4A0793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w:t>
            </w:r>
          </w:p>
        </w:tc>
        <w:tc>
          <w:tcPr>
            <w:tcW w:w="2460" w:type="dxa"/>
            <w:tcBorders>
              <w:top w:val="single" w:color="000000" w:sz="4" w:space="0"/>
              <w:left w:val="single" w:color="000000" w:sz="4" w:space="0"/>
              <w:bottom w:val="single" w:color="000000" w:sz="4" w:space="0"/>
              <w:right w:val="single" w:color="000000" w:sz="4" w:space="0"/>
            </w:tcBorders>
            <w:vAlign w:val="center"/>
          </w:tcPr>
          <w:p w14:paraId="39EB52C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单桩竖向抗压静载试验</w:t>
            </w:r>
          </w:p>
        </w:tc>
        <w:tc>
          <w:tcPr>
            <w:tcW w:w="1800" w:type="dxa"/>
            <w:tcBorders>
              <w:top w:val="single" w:color="000000" w:sz="4" w:space="0"/>
              <w:left w:val="single" w:color="000000" w:sz="4" w:space="0"/>
              <w:bottom w:val="single" w:color="000000" w:sz="4" w:space="0"/>
              <w:right w:val="single" w:color="000000" w:sz="4" w:space="0"/>
            </w:tcBorders>
            <w:vAlign w:val="center"/>
          </w:tcPr>
          <w:p w14:paraId="6A9F11E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Φ500预应力混凝土管桩、单桩竖向抗压承载力特征值900kN，静载试验抗压极限值为1900kN，位置：设计试桩</w:t>
            </w:r>
          </w:p>
        </w:tc>
        <w:tc>
          <w:tcPr>
            <w:tcW w:w="630" w:type="dxa"/>
            <w:tcBorders>
              <w:top w:val="single" w:color="000000" w:sz="4" w:space="0"/>
              <w:left w:val="single" w:color="000000" w:sz="4" w:space="0"/>
              <w:bottom w:val="single" w:color="000000" w:sz="4" w:space="0"/>
              <w:right w:val="single" w:color="000000" w:sz="4" w:space="0"/>
            </w:tcBorders>
            <w:vAlign w:val="center"/>
          </w:tcPr>
          <w:p w14:paraId="40F7F7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根</w:t>
            </w:r>
          </w:p>
        </w:tc>
        <w:tc>
          <w:tcPr>
            <w:tcW w:w="1035" w:type="dxa"/>
            <w:tcBorders>
              <w:top w:val="single" w:color="000000" w:sz="4" w:space="0"/>
              <w:left w:val="single" w:color="000000" w:sz="4" w:space="0"/>
              <w:bottom w:val="single" w:color="000000" w:sz="4" w:space="0"/>
              <w:right w:val="single" w:color="000000" w:sz="4" w:space="0"/>
            </w:tcBorders>
            <w:vAlign w:val="center"/>
          </w:tcPr>
          <w:p w14:paraId="678EAF5B">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3</w:t>
            </w:r>
          </w:p>
        </w:tc>
        <w:tc>
          <w:tcPr>
            <w:tcW w:w="915" w:type="dxa"/>
            <w:tcBorders>
              <w:top w:val="single" w:color="000000" w:sz="4" w:space="0"/>
              <w:left w:val="single" w:color="000000" w:sz="4" w:space="0"/>
              <w:bottom w:val="single" w:color="000000" w:sz="4" w:space="0"/>
              <w:right w:val="single" w:color="000000" w:sz="4" w:space="0"/>
            </w:tcBorders>
            <w:vAlign w:val="center"/>
          </w:tcPr>
          <w:p w14:paraId="142BC1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6A6EEA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164BB9B9">
            <w:pPr>
              <w:jc w:val="center"/>
              <w:rPr>
                <w:rFonts w:hint="eastAsia" w:ascii="宋体" w:hAnsi="宋体" w:eastAsia="宋体" w:cs="宋体"/>
                <w:i w:val="0"/>
                <w:iCs w:val="0"/>
                <w:color w:val="000000"/>
                <w:sz w:val="20"/>
                <w:szCs w:val="20"/>
                <w:highlight w:val="none"/>
                <w:u w:val="none"/>
              </w:rPr>
            </w:pPr>
          </w:p>
        </w:tc>
      </w:tr>
      <w:tr w14:paraId="18B5A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85" w:type="dxa"/>
            <w:tcBorders>
              <w:top w:val="single" w:color="000000" w:sz="4" w:space="0"/>
              <w:left w:val="single" w:color="000000" w:sz="4" w:space="0"/>
              <w:bottom w:val="single" w:color="000000" w:sz="4" w:space="0"/>
              <w:right w:val="single" w:color="000000" w:sz="4" w:space="0"/>
            </w:tcBorders>
            <w:vAlign w:val="center"/>
          </w:tcPr>
          <w:p w14:paraId="76565D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w:t>
            </w:r>
          </w:p>
        </w:tc>
        <w:tc>
          <w:tcPr>
            <w:tcW w:w="2460" w:type="dxa"/>
            <w:tcBorders>
              <w:top w:val="single" w:color="000000" w:sz="4" w:space="0"/>
              <w:left w:val="single" w:color="000000" w:sz="4" w:space="0"/>
              <w:bottom w:val="single" w:color="000000" w:sz="4" w:space="0"/>
              <w:right w:val="single" w:color="000000" w:sz="4" w:space="0"/>
            </w:tcBorders>
            <w:vAlign w:val="center"/>
          </w:tcPr>
          <w:p w14:paraId="0EF5B68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单桩竖向抗拔静载试验</w:t>
            </w:r>
          </w:p>
        </w:tc>
        <w:tc>
          <w:tcPr>
            <w:tcW w:w="1800" w:type="dxa"/>
            <w:tcBorders>
              <w:top w:val="single" w:color="000000" w:sz="4" w:space="0"/>
              <w:left w:val="single" w:color="000000" w:sz="4" w:space="0"/>
              <w:bottom w:val="single" w:color="000000" w:sz="4" w:space="0"/>
              <w:right w:val="single" w:color="000000" w:sz="4" w:space="0"/>
            </w:tcBorders>
            <w:vAlign w:val="center"/>
          </w:tcPr>
          <w:p w14:paraId="3E71788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Φ500预应力混凝土管桩、单桩抗拔承载力特征值110kN，试验抗拔极限值为230kN，位置：设计试桩</w:t>
            </w:r>
          </w:p>
        </w:tc>
        <w:tc>
          <w:tcPr>
            <w:tcW w:w="630" w:type="dxa"/>
            <w:tcBorders>
              <w:top w:val="single" w:color="000000" w:sz="4" w:space="0"/>
              <w:left w:val="single" w:color="000000" w:sz="4" w:space="0"/>
              <w:bottom w:val="single" w:color="000000" w:sz="4" w:space="0"/>
              <w:right w:val="single" w:color="000000" w:sz="4" w:space="0"/>
            </w:tcBorders>
            <w:vAlign w:val="center"/>
          </w:tcPr>
          <w:p w14:paraId="344B9C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根</w:t>
            </w:r>
          </w:p>
        </w:tc>
        <w:tc>
          <w:tcPr>
            <w:tcW w:w="1035" w:type="dxa"/>
            <w:tcBorders>
              <w:top w:val="single" w:color="000000" w:sz="4" w:space="0"/>
              <w:left w:val="single" w:color="000000" w:sz="4" w:space="0"/>
              <w:bottom w:val="single" w:color="000000" w:sz="4" w:space="0"/>
              <w:right w:val="single" w:color="000000" w:sz="4" w:space="0"/>
            </w:tcBorders>
            <w:vAlign w:val="center"/>
          </w:tcPr>
          <w:p w14:paraId="3E73B610">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3</w:t>
            </w:r>
          </w:p>
        </w:tc>
        <w:tc>
          <w:tcPr>
            <w:tcW w:w="915" w:type="dxa"/>
            <w:tcBorders>
              <w:top w:val="single" w:color="000000" w:sz="4" w:space="0"/>
              <w:left w:val="single" w:color="000000" w:sz="4" w:space="0"/>
              <w:bottom w:val="single" w:color="000000" w:sz="4" w:space="0"/>
              <w:right w:val="single" w:color="000000" w:sz="4" w:space="0"/>
            </w:tcBorders>
            <w:vAlign w:val="center"/>
          </w:tcPr>
          <w:p w14:paraId="1DED72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4C2E7D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236EDFED">
            <w:pPr>
              <w:jc w:val="center"/>
              <w:rPr>
                <w:rFonts w:hint="eastAsia" w:ascii="宋体" w:hAnsi="宋体" w:eastAsia="宋体" w:cs="宋体"/>
                <w:i w:val="0"/>
                <w:iCs w:val="0"/>
                <w:color w:val="FF0000"/>
                <w:sz w:val="20"/>
                <w:szCs w:val="20"/>
                <w:highlight w:val="none"/>
                <w:u w:val="none"/>
              </w:rPr>
            </w:pPr>
          </w:p>
        </w:tc>
      </w:tr>
      <w:tr w14:paraId="5C3E9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85" w:type="dxa"/>
            <w:tcBorders>
              <w:top w:val="single" w:color="000000" w:sz="4" w:space="0"/>
              <w:left w:val="single" w:color="000000" w:sz="4" w:space="0"/>
              <w:bottom w:val="single" w:color="000000" w:sz="4" w:space="0"/>
              <w:right w:val="single" w:color="000000" w:sz="4" w:space="0"/>
            </w:tcBorders>
            <w:vAlign w:val="center"/>
          </w:tcPr>
          <w:p w14:paraId="4F76E0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3</w:t>
            </w:r>
          </w:p>
        </w:tc>
        <w:tc>
          <w:tcPr>
            <w:tcW w:w="2460" w:type="dxa"/>
            <w:tcBorders>
              <w:top w:val="single" w:color="000000" w:sz="4" w:space="0"/>
              <w:left w:val="single" w:color="000000" w:sz="4" w:space="0"/>
              <w:bottom w:val="single" w:color="000000" w:sz="4" w:space="0"/>
              <w:right w:val="single" w:color="000000" w:sz="4" w:space="0"/>
            </w:tcBorders>
            <w:vAlign w:val="center"/>
          </w:tcPr>
          <w:p w14:paraId="6C62EAE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单桩竖向抗压静载试验</w:t>
            </w:r>
          </w:p>
        </w:tc>
        <w:tc>
          <w:tcPr>
            <w:tcW w:w="1800" w:type="dxa"/>
            <w:tcBorders>
              <w:top w:val="single" w:color="000000" w:sz="4" w:space="0"/>
              <w:left w:val="single" w:color="000000" w:sz="4" w:space="0"/>
              <w:bottom w:val="single" w:color="000000" w:sz="4" w:space="0"/>
              <w:right w:val="single" w:color="000000" w:sz="4" w:space="0"/>
            </w:tcBorders>
            <w:vAlign w:val="center"/>
          </w:tcPr>
          <w:p w14:paraId="5564263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Φ500预应力混凝土管桩、单桩竖向抗压承载力特征值900kN，静载试验抗压极限值为1900kN，位置：S5#配套用房</w:t>
            </w:r>
          </w:p>
        </w:tc>
        <w:tc>
          <w:tcPr>
            <w:tcW w:w="630" w:type="dxa"/>
            <w:tcBorders>
              <w:top w:val="single" w:color="000000" w:sz="4" w:space="0"/>
              <w:left w:val="single" w:color="000000" w:sz="4" w:space="0"/>
              <w:bottom w:val="single" w:color="000000" w:sz="4" w:space="0"/>
              <w:right w:val="single" w:color="000000" w:sz="4" w:space="0"/>
            </w:tcBorders>
            <w:vAlign w:val="center"/>
          </w:tcPr>
          <w:p w14:paraId="6AD70C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根</w:t>
            </w:r>
          </w:p>
        </w:tc>
        <w:tc>
          <w:tcPr>
            <w:tcW w:w="1035" w:type="dxa"/>
            <w:tcBorders>
              <w:top w:val="single" w:color="000000" w:sz="4" w:space="0"/>
              <w:left w:val="single" w:color="000000" w:sz="4" w:space="0"/>
              <w:bottom w:val="single" w:color="000000" w:sz="4" w:space="0"/>
              <w:right w:val="single" w:color="000000" w:sz="4" w:space="0"/>
            </w:tcBorders>
            <w:vAlign w:val="center"/>
          </w:tcPr>
          <w:p w14:paraId="2DAE9E9C">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w:t>
            </w:r>
          </w:p>
        </w:tc>
        <w:tc>
          <w:tcPr>
            <w:tcW w:w="915" w:type="dxa"/>
            <w:tcBorders>
              <w:top w:val="single" w:color="000000" w:sz="4" w:space="0"/>
              <w:left w:val="single" w:color="000000" w:sz="4" w:space="0"/>
              <w:bottom w:val="single" w:color="000000" w:sz="4" w:space="0"/>
              <w:right w:val="single" w:color="000000" w:sz="4" w:space="0"/>
            </w:tcBorders>
            <w:vAlign w:val="center"/>
          </w:tcPr>
          <w:p w14:paraId="019BF9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0B32E6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70CF6562">
            <w:pPr>
              <w:jc w:val="center"/>
              <w:rPr>
                <w:rFonts w:hint="eastAsia" w:ascii="宋体" w:hAnsi="宋体" w:eastAsia="宋体" w:cs="宋体"/>
                <w:i w:val="0"/>
                <w:iCs w:val="0"/>
                <w:color w:val="FF0000"/>
                <w:sz w:val="20"/>
                <w:szCs w:val="20"/>
                <w:highlight w:val="none"/>
                <w:u w:val="none"/>
              </w:rPr>
            </w:pPr>
          </w:p>
        </w:tc>
      </w:tr>
      <w:tr w14:paraId="684A7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85" w:type="dxa"/>
            <w:tcBorders>
              <w:top w:val="single" w:color="000000" w:sz="4" w:space="0"/>
              <w:left w:val="single" w:color="000000" w:sz="4" w:space="0"/>
              <w:bottom w:val="single" w:color="000000" w:sz="4" w:space="0"/>
              <w:right w:val="single" w:color="000000" w:sz="4" w:space="0"/>
            </w:tcBorders>
            <w:vAlign w:val="center"/>
          </w:tcPr>
          <w:p w14:paraId="2CAA6F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4</w:t>
            </w:r>
          </w:p>
        </w:tc>
        <w:tc>
          <w:tcPr>
            <w:tcW w:w="2460" w:type="dxa"/>
            <w:tcBorders>
              <w:top w:val="single" w:color="000000" w:sz="4" w:space="0"/>
              <w:left w:val="single" w:color="000000" w:sz="4" w:space="0"/>
              <w:bottom w:val="single" w:color="000000" w:sz="4" w:space="0"/>
              <w:right w:val="nil"/>
            </w:tcBorders>
            <w:vAlign w:val="center"/>
          </w:tcPr>
          <w:p w14:paraId="1FF9781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低应变</w:t>
            </w:r>
          </w:p>
        </w:tc>
        <w:tc>
          <w:tcPr>
            <w:tcW w:w="1800" w:type="dxa"/>
            <w:tcBorders>
              <w:top w:val="single" w:color="000000" w:sz="4" w:space="0"/>
              <w:left w:val="single" w:color="000000" w:sz="4" w:space="0"/>
              <w:bottom w:val="single" w:color="000000" w:sz="4" w:space="0"/>
              <w:right w:val="nil"/>
            </w:tcBorders>
            <w:vAlign w:val="center"/>
          </w:tcPr>
          <w:p w14:paraId="63D2C35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低应变检测，位置：S5#配套用房</w:t>
            </w:r>
          </w:p>
        </w:tc>
        <w:tc>
          <w:tcPr>
            <w:tcW w:w="630" w:type="dxa"/>
            <w:tcBorders>
              <w:top w:val="single" w:color="000000" w:sz="4" w:space="0"/>
              <w:left w:val="single" w:color="000000" w:sz="4" w:space="0"/>
              <w:bottom w:val="single" w:color="000000" w:sz="4" w:space="0"/>
              <w:right w:val="single" w:color="000000" w:sz="4" w:space="0"/>
            </w:tcBorders>
            <w:vAlign w:val="center"/>
          </w:tcPr>
          <w:p w14:paraId="7B1DFD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根</w:t>
            </w:r>
          </w:p>
        </w:tc>
        <w:tc>
          <w:tcPr>
            <w:tcW w:w="1035" w:type="dxa"/>
            <w:tcBorders>
              <w:top w:val="single" w:color="000000" w:sz="4" w:space="0"/>
              <w:left w:val="single" w:color="000000" w:sz="4" w:space="0"/>
              <w:bottom w:val="single" w:color="000000" w:sz="4" w:space="0"/>
              <w:right w:val="single" w:color="000000" w:sz="4" w:space="0"/>
            </w:tcBorders>
            <w:vAlign w:val="center"/>
          </w:tcPr>
          <w:p w14:paraId="19C83817">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45</w:t>
            </w:r>
          </w:p>
        </w:tc>
        <w:tc>
          <w:tcPr>
            <w:tcW w:w="915" w:type="dxa"/>
            <w:tcBorders>
              <w:top w:val="single" w:color="000000" w:sz="4" w:space="0"/>
              <w:left w:val="single" w:color="000000" w:sz="4" w:space="0"/>
              <w:bottom w:val="single" w:color="000000" w:sz="4" w:space="0"/>
              <w:right w:val="single" w:color="000000" w:sz="4" w:space="0"/>
            </w:tcBorders>
            <w:vAlign w:val="center"/>
          </w:tcPr>
          <w:p w14:paraId="73EE00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65F4B1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1996233A">
            <w:pPr>
              <w:jc w:val="center"/>
              <w:rPr>
                <w:rFonts w:hint="eastAsia" w:ascii="宋体" w:hAnsi="宋体" w:eastAsia="宋体" w:cs="宋体"/>
                <w:i w:val="0"/>
                <w:iCs w:val="0"/>
                <w:color w:val="FF0000"/>
                <w:sz w:val="20"/>
                <w:szCs w:val="20"/>
                <w:highlight w:val="none"/>
                <w:u w:val="none"/>
              </w:rPr>
            </w:pPr>
          </w:p>
        </w:tc>
      </w:tr>
      <w:tr w14:paraId="46B29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85" w:type="dxa"/>
            <w:tcBorders>
              <w:top w:val="single" w:color="000000" w:sz="4" w:space="0"/>
              <w:left w:val="single" w:color="000000" w:sz="4" w:space="0"/>
              <w:bottom w:val="single" w:color="000000" w:sz="4" w:space="0"/>
              <w:right w:val="single" w:color="000000" w:sz="4" w:space="0"/>
            </w:tcBorders>
            <w:vAlign w:val="center"/>
          </w:tcPr>
          <w:p w14:paraId="7F97434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p>
        </w:tc>
        <w:tc>
          <w:tcPr>
            <w:tcW w:w="2460" w:type="dxa"/>
            <w:tcBorders>
              <w:top w:val="single" w:color="000000" w:sz="4" w:space="0"/>
              <w:left w:val="single" w:color="000000" w:sz="4" w:space="0"/>
              <w:bottom w:val="single" w:color="000000" w:sz="4" w:space="0"/>
              <w:right w:val="nil"/>
            </w:tcBorders>
            <w:vAlign w:val="center"/>
          </w:tcPr>
          <w:p w14:paraId="24A0D83D">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Φ500预应力混凝土管桩、单桩竖向抗压承载力特征值900kN，静载试验抗压极限值为1900kN</w:t>
            </w:r>
          </w:p>
        </w:tc>
        <w:tc>
          <w:tcPr>
            <w:tcW w:w="1800" w:type="dxa"/>
            <w:tcBorders>
              <w:top w:val="single" w:color="000000" w:sz="4" w:space="0"/>
              <w:left w:val="single" w:color="000000" w:sz="4" w:space="0"/>
              <w:bottom w:val="single" w:color="000000" w:sz="4" w:space="0"/>
              <w:right w:val="nil"/>
            </w:tcBorders>
            <w:vAlign w:val="center"/>
          </w:tcPr>
          <w:p w14:paraId="271D116A">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Φ500预应力混凝土管桩、单桩竖向抗压承载力特征值900kN，静载试验抗压极限值为1900kN，位置：S10#配套用房</w:t>
            </w:r>
          </w:p>
        </w:tc>
        <w:tc>
          <w:tcPr>
            <w:tcW w:w="630" w:type="dxa"/>
            <w:tcBorders>
              <w:top w:val="single" w:color="000000" w:sz="4" w:space="0"/>
              <w:left w:val="single" w:color="000000" w:sz="4" w:space="0"/>
              <w:bottom w:val="single" w:color="000000" w:sz="4" w:space="0"/>
              <w:right w:val="single" w:color="000000" w:sz="4" w:space="0"/>
            </w:tcBorders>
            <w:vAlign w:val="center"/>
          </w:tcPr>
          <w:p w14:paraId="0049EA4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根</w:t>
            </w:r>
          </w:p>
        </w:tc>
        <w:tc>
          <w:tcPr>
            <w:tcW w:w="1035" w:type="dxa"/>
            <w:tcBorders>
              <w:top w:val="single" w:color="000000" w:sz="4" w:space="0"/>
              <w:left w:val="single" w:color="000000" w:sz="4" w:space="0"/>
              <w:bottom w:val="single" w:color="000000" w:sz="4" w:space="0"/>
              <w:right w:val="single" w:color="000000" w:sz="4" w:space="0"/>
            </w:tcBorders>
            <w:vAlign w:val="center"/>
          </w:tcPr>
          <w:p w14:paraId="1C112F4F">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2</w:t>
            </w:r>
          </w:p>
        </w:tc>
        <w:tc>
          <w:tcPr>
            <w:tcW w:w="915" w:type="dxa"/>
            <w:tcBorders>
              <w:top w:val="single" w:color="000000" w:sz="4" w:space="0"/>
              <w:left w:val="single" w:color="000000" w:sz="4" w:space="0"/>
              <w:bottom w:val="single" w:color="000000" w:sz="4" w:space="0"/>
              <w:right w:val="single" w:color="000000" w:sz="4" w:space="0"/>
            </w:tcBorders>
            <w:vAlign w:val="center"/>
          </w:tcPr>
          <w:p w14:paraId="031509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21E79F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1044138F">
            <w:pPr>
              <w:jc w:val="center"/>
              <w:rPr>
                <w:rFonts w:hint="eastAsia" w:ascii="宋体" w:hAnsi="宋体" w:eastAsia="宋体" w:cs="宋体"/>
                <w:i w:val="0"/>
                <w:iCs w:val="0"/>
                <w:color w:val="FF0000"/>
                <w:sz w:val="20"/>
                <w:szCs w:val="20"/>
                <w:highlight w:val="none"/>
                <w:u w:val="none"/>
              </w:rPr>
            </w:pPr>
          </w:p>
        </w:tc>
      </w:tr>
      <w:tr w14:paraId="755A1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85" w:type="dxa"/>
            <w:tcBorders>
              <w:top w:val="single" w:color="000000" w:sz="4" w:space="0"/>
              <w:left w:val="single" w:color="000000" w:sz="4" w:space="0"/>
              <w:bottom w:val="single" w:color="000000" w:sz="4" w:space="0"/>
              <w:right w:val="single" w:color="000000" w:sz="4" w:space="0"/>
            </w:tcBorders>
            <w:vAlign w:val="center"/>
          </w:tcPr>
          <w:p w14:paraId="0393037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p>
        </w:tc>
        <w:tc>
          <w:tcPr>
            <w:tcW w:w="2460" w:type="dxa"/>
            <w:tcBorders>
              <w:top w:val="single" w:color="000000" w:sz="4" w:space="0"/>
              <w:left w:val="single" w:color="000000" w:sz="4" w:space="0"/>
              <w:bottom w:val="single" w:color="000000" w:sz="4" w:space="0"/>
              <w:right w:val="nil"/>
            </w:tcBorders>
            <w:vAlign w:val="center"/>
          </w:tcPr>
          <w:p w14:paraId="5515417E">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低应变检测</w:t>
            </w:r>
          </w:p>
        </w:tc>
        <w:tc>
          <w:tcPr>
            <w:tcW w:w="1800" w:type="dxa"/>
            <w:tcBorders>
              <w:top w:val="single" w:color="000000" w:sz="4" w:space="0"/>
              <w:left w:val="single" w:color="000000" w:sz="4" w:space="0"/>
              <w:bottom w:val="single" w:color="000000" w:sz="4" w:space="0"/>
              <w:right w:val="nil"/>
            </w:tcBorders>
            <w:vAlign w:val="center"/>
          </w:tcPr>
          <w:p w14:paraId="35552C4D">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低应变检测，位置：S10#配套用房</w:t>
            </w:r>
          </w:p>
        </w:tc>
        <w:tc>
          <w:tcPr>
            <w:tcW w:w="630" w:type="dxa"/>
            <w:tcBorders>
              <w:top w:val="single" w:color="000000" w:sz="4" w:space="0"/>
              <w:left w:val="single" w:color="000000" w:sz="4" w:space="0"/>
              <w:bottom w:val="single" w:color="000000" w:sz="4" w:space="0"/>
              <w:right w:val="single" w:color="000000" w:sz="4" w:space="0"/>
            </w:tcBorders>
            <w:vAlign w:val="center"/>
          </w:tcPr>
          <w:p w14:paraId="0FB3FE3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根</w:t>
            </w:r>
          </w:p>
        </w:tc>
        <w:tc>
          <w:tcPr>
            <w:tcW w:w="1035" w:type="dxa"/>
            <w:tcBorders>
              <w:top w:val="single" w:color="000000" w:sz="4" w:space="0"/>
              <w:left w:val="single" w:color="000000" w:sz="4" w:space="0"/>
              <w:bottom w:val="single" w:color="000000" w:sz="4" w:space="0"/>
              <w:right w:val="single" w:color="000000" w:sz="4" w:space="0"/>
            </w:tcBorders>
            <w:vAlign w:val="center"/>
          </w:tcPr>
          <w:p w14:paraId="1CC686DB">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35</w:t>
            </w:r>
          </w:p>
        </w:tc>
        <w:tc>
          <w:tcPr>
            <w:tcW w:w="915" w:type="dxa"/>
            <w:tcBorders>
              <w:top w:val="single" w:color="000000" w:sz="4" w:space="0"/>
              <w:left w:val="single" w:color="000000" w:sz="4" w:space="0"/>
              <w:bottom w:val="single" w:color="000000" w:sz="4" w:space="0"/>
              <w:right w:val="single" w:color="000000" w:sz="4" w:space="0"/>
            </w:tcBorders>
            <w:vAlign w:val="center"/>
          </w:tcPr>
          <w:p w14:paraId="7A39F6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259954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4EA1F1F7">
            <w:pPr>
              <w:jc w:val="center"/>
              <w:rPr>
                <w:rFonts w:hint="eastAsia" w:ascii="宋体" w:hAnsi="宋体" w:eastAsia="宋体" w:cs="宋体"/>
                <w:i w:val="0"/>
                <w:iCs w:val="0"/>
                <w:color w:val="FF0000"/>
                <w:sz w:val="20"/>
                <w:szCs w:val="20"/>
                <w:highlight w:val="none"/>
                <w:u w:val="none"/>
              </w:rPr>
            </w:pPr>
          </w:p>
        </w:tc>
      </w:tr>
      <w:tr w14:paraId="6A9D2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85" w:type="dxa"/>
            <w:tcBorders>
              <w:top w:val="single" w:color="000000" w:sz="4" w:space="0"/>
              <w:left w:val="single" w:color="000000" w:sz="4" w:space="0"/>
              <w:bottom w:val="single" w:color="000000" w:sz="4" w:space="0"/>
              <w:right w:val="single" w:color="000000" w:sz="4" w:space="0"/>
            </w:tcBorders>
            <w:vAlign w:val="center"/>
          </w:tcPr>
          <w:p w14:paraId="0BCA19A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p>
        </w:tc>
        <w:tc>
          <w:tcPr>
            <w:tcW w:w="2460" w:type="dxa"/>
            <w:tcBorders>
              <w:top w:val="single" w:color="000000" w:sz="4" w:space="0"/>
              <w:left w:val="single" w:color="000000" w:sz="4" w:space="0"/>
              <w:bottom w:val="single" w:color="000000" w:sz="4" w:space="0"/>
              <w:right w:val="nil"/>
            </w:tcBorders>
            <w:vAlign w:val="center"/>
          </w:tcPr>
          <w:p w14:paraId="11E22DE2">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单桩竖向抗压静载试验</w:t>
            </w:r>
          </w:p>
        </w:tc>
        <w:tc>
          <w:tcPr>
            <w:tcW w:w="1800" w:type="dxa"/>
            <w:tcBorders>
              <w:top w:val="single" w:color="000000" w:sz="4" w:space="0"/>
              <w:left w:val="single" w:color="000000" w:sz="4" w:space="0"/>
              <w:bottom w:val="single" w:color="000000" w:sz="4" w:space="0"/>
              <w:right w:val="nil"/>
            </w:tcBorders>
            <w:vAlign w:val="center"/>
          </w:tcPr>
          <w:p w14:paraId="24D99B47">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Φ500预应力混凝土管桩、单桩竖向抗压承载力特征值900kN，静载试验抗压极限值为1900kN，位置：地块一地下室</w:t>
            </w:r>
          </w:p>
        </w:tc>
        <w:tc>
          <w:tcPr>
            <w:tcW w:w="630" w:type="dxa"/>
            <w:tcBorders>
              <w:top w:val="single" w:color="000000" w:sz="4" w:space="0"/>
              <w:left w:val="single" w:color="000000" w:sz="4" w:space="0"/>
              <w:bottom w:val="single" w:color="000000" w:sz="4" w:space="0"/>
              <w:right w:val="single" w:color="000000" w:sz="4" w:space="0"/>
            </w:tcBorders>
            <w:vAlign w:val="center"/>
          </w:tcPr>
          <w:p w14:paraId="6733C65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根</w:t>
            </w:r>
          </w:p>
        </w:tc>
        <w:tc>
          <w:tcPr>
            <w:tcW w:w="1035" w:type="dxa"/>
            <w:tcBorders>
              <w:top w:val="single" w:color="000000" w:sz="4" w:space="0"/>
              <w:left w:val="single" w:color="000000" w:sz="4" w:space="0"/>
              <w:bottom w:val="single" w:color="000000" w:sz="4" w:space="0"/>
              <w:right w:val="single" w:color="000000" w:sz="4" w:space="0"/>
            </w:tcBorders>
            <w:vAlign w:val="center"/>
          </w:tcPr>
          <w:p w14:paraId="446C5D05">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15</w:t>
            </w:r>
          </w:p>
        </w:tc>
        <w:tc>
          <w:tcPr>
            <w:tcW w:w="915" w:type="dxa"/>
            <w:tcBorders>
              <w:top w:val="single" w:color="000000" w:sz="4" w:space="0"/>
              <w:left w:val="single" w:color="000000" w:sz="4" w:space="0"/>
              <w:bottom w:val="single" w:color="000000" w:sz="4" w:space="0"/>
              <w:right w:val="single" w:color="000000" w:sz="4" w:space="0"/>
            </w:tcBorders>
            <w:vAlign w:val="center"/>
          </w:tcPr>
          <w:p w14:paraId="6E58B7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556942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2624E7B0">
            <w:pPr>
              <w:jc w:val="center"/>
              <w:rPr>
                <w:rFonts w:hint="eastAsia" w:ascii="宋体" w:hAnsi="宋体" w:eastAsia="宋体" w:cs="宋体"/>
                <w:i w:val="0"/>
                <w:iCs w:val="0"/>
                <w:color w:val="FF0000"/>
                <w:sz w:val="20"/>
                <w:szCs w:val="20"/>
                <w:highlight w:val="none"/>
                <w:u w:val="none"/>
              </w:rPr>
            </w:pPr>
          </w:p>
        </w:tc>
      </w:tr>
      <w:tr w14:paraId="6EF7B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85" w:type="dxa"/>
            <w:tcBorders>
              <w:top w:val="single" w:color="000000" w:sz="4" w:space="0"/>
              <w:left w:val="single" w:color="000000" w:sz="4" w:space="0"/>
              <w:bottom w:val="single" w:color="000000" w:sz="4" w:space="0"/>
              <w:right w:val="single" w:color="000000" w:sz="4" w:space="0"/>
            </w:tcBorders>
            <w:vAlign w:val="center"/>
          </w:tcPr>
          <w:p w14:paraId="4FB9516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p>
        </w:tc>
        <w:tc>
          <w:tcPr>
            <w:tcW w:w="2460" w:type="dxa"/>
            <w:tcBorders>
              <w:top w:val="single" w:color="000000" w:sz="4" w:space="0"/>
              <w:left w:val="single" w:color="000000" w:sz="4" w:space="0"/>
              <w:bottom w:val="single" w:color="000000" w:sz="4" w:space="0"/>
              <w:right w:val="nil"/>
            </w:tcBorders>
            <w:vAlign w:val="center"/>
          </w:tcPr>
          <w:p w14:paraId="77F8BCDA">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单桩竖向抗拔静载试验</w:t>
            </w:r>
          </w:p>
        </w:tc>
        <w:tc>
          <w:tcPr>
            <w:tcW w:w="1800" w:type="dxa"/>
            <w:tcBorders>
              <w:top w:val="single" w:color="000000" w:sz="4" w:space="0"/>
              <w:left w:val="single" w:color="000000" w:sz="4" w:space="0"/>
              <w:bottom w:val="single" w:color="000000" w:sz="4" w:space="0"/>
              <w:right w:val="nil"/>
            </w:tcBorders>
            <w:vAlign w:val="center"/>
          </w:tcPr>
          <w:p w14:paraId="0A099E59">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Φ500预应力混凝土管桩、单桩抗拔承载力特征值110kN，试验抗拔极限值为230kN，位置：地块一地下室</w:t>
            </w:r>
          </w:p>
        </w:tc>
        <w:tc>
          <w:tcPr>
            <w:tcW w:w="630" w:type="dxa"/>
            <w:tcBorders>
              <w:top w:val="single" w:color="000000" w:sz="4" w:space="0"/>
              <w:left w:val="single" w:color="000000" w:sz="4" w:space="0"/>
              <w:bottom w:val="single" w:color="000000" w:sz="4" w:space="0"/>
              <w:right w:val="single" w:color="000000" w:sz="4" w:space="0"/>
            </w:tcBorders>
            <w:vAlign w:val="center"/>
          </w:tcPr>
          <w:p w14:paraId="3E9488C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根</w:t>
            </w:r>
          </w:p>
        </w:tc>
        <w:tc>
          <w:tcPr>
            <w:tcW w:w="1035" w:type="dxa"/>
            <w:tcBorders>
              <w:top w:val="single" w:color="000000" w:sz="4" w:space="0"/>
              <w:left w:val="single" w:color="000000" w:sz="4" w:space="0"/>
              <w:bottom w:val="single" w:color="000000" w:sz="4" w:space="0"/>
              <w:right w:val="single" w:color="000000" w:sz="4" w:space="0"/>
            </w:tcBorders>
            <w:vAlign w:val="center"/>
          </w:tcPr>
          <w:p w14:paraId="3315E2FC">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3</w:t>
            </w:r>
          </w:p>
        </w:tc>
        <w:tc>
          <w:tcPr>
            <w:tcW w:w="915" w:type="dxa"/>
            <w:tcBorders>
              <w:top w:val="single" w:color="000000" w:sz="4" w:space="0"/>
              <w:left w:val="single" w:color="000000" w:sz="4" w:space="0"/>
              <w:bottom w:val="single" w:color="000000" w:sz="4" w:space="0"/>
              <w:right w:val="single" w:color="000000" w:sz="4" w:space="0"/>
            </w:tcBorders>
            <w:vAlign w:val="center"/>
          </w:tcPr>
          <w:p w14:paraId="716DA3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03A8DB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2E41B047">
            <w:pPr>
              <w:jc w:val="center"/>
              <w:rPr>
                <w:rFonts w:hint="eastAsia" w:ascii="宋体" w:hAnsi="宋体" w:eastAsia="宋体" w:cs="宋体"/>
                <w:i w:val="0"/>
                <w:iCs w:val="0"/>
                <w:color w:val="FF0000"/>
                <w:sz w:val="20"/>
                <w:szCs w:val="20"/>
                <w:highlight w:val="none"/>
                <w:u w:val="none"/>
              </w:rPr>
            </w:pPr>
          </w:p>
        </w:tc>
      </w:tr>
      <w:tr w14:paraId="38286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85" w:type="dxa"/>
            <w:tcBorders>
              <w:top w:val="single" w:color="000000" w:sz="4" w:space="0"/>
              <w:left w:val="single" w:color="000000" w:sz="4" w:space="0"/>
              <w:bottom w:val="single" w:color="000000" w:sz="4" w:space="0"/>
              <w:right w:val="single" w:color="000000" w:sz="4" w:space="0"/>
            </w:tcBorders>
            <w:vAlign w:val="center"/>
          </w:tcPr>
          <w:p w14:paraId="7CE54A9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p>
        </w:tc>
        <w:tc>
          <w:tcPr>
            <w:tcW w:w="2460" w:type="dxa"/>
            <w:tcBorders>
              <w:top w:val="single" w:color="000000" w:sz="4" w:space="0"/>
              <w:left w:val="single" w:color="000000" w:sz="4" w:space="0"/>
              <w:bottom w:val="single" w:color="000000" w:sz="4" w:space="0"/>
              <w:right w:val="nil"/>
            </w:tcBorders>
            <w:vAlign w:val="center"/>
          </w:tcPr>
          <w:p w14:paraId="7BCFEB16">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低应变</w:t>
            </w:r>
          </w:p>
        </w:tc>
        <w:tc>
          <w:tcPr>
            <w:tcW w:w="1800" w:type="dxa"/>
            <w:tcBorders>
              <w:top w:val="single" w:color="000000" w:sz="4" w:space="0"/>
              <w:left w:val="single" w:color="000000" w:sz="4" w:space="0"/>
              <w:bottom w:val="single" w:color="000000" w:sz="4" w:space="0"/>
              <w:right w:val="nil"/>
            </w:tcBorders>
            <w:vAlign w:val="center"/>
          </w:tcPr>
          <w:p w14:paraId="16A75601">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低应变检测，位置：地块一地下室</w:t>
            </w:r>
          </w:p>
        </w:tc>
        <w:tc>
          <w:tcPr>
            <w:tcW w:w="630" w:type="dxa"/>
            <w:tcBorders>
              <w:top w:val="single" w:color="000000" w:sz="4" w:space="0"/>
              <w:left w:val="single" w:color="000000" w:sz="4" w:space="0"/>
              <w:bottom w:val="single" w:color="000000" w:sz="4" w:space="0"/>
              <w:right w:val="single" w:color="000000" w:sz="4" w:space="0"/>
            </w:tcBorders>
            <w:vAlign w:val="center"/>
          </w:tcPr>
          <w:p w14:paraId="5F3C607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根</w:t>
            </w:r>
          </w:p>
        </w:tc>
        <w:tc>
          <w:tcPr>
            <w:tcW w:w="1035" w:type="dxa"/>
            <w:tcBorders>
              <w:top w:val="single" w:color="000000" w:sz="4" w:space="0"/>
              <w:left w:val="single" w:color="000000" w:sz="4" w:space="0"/>
              <w:bottom w:val="single" w:color="000000" w:sz="4" w:space="0"/>
              <w:right w:val="single" w:color="000000" w:sz="4" w:space="0"/>
            </w:tcBorders>
            <w:vAlign w:val="center"/>
          </w:tcPr>
          <w:p w14:paraId="288C8E93">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1328</w:t>
            </w:r>
          </w:p>
        </w:tc>
        <w:tc>
          <w:tcPr>
            <w:tcW w:w="915" w:type="dxa"/>
            <w:tcBorders>
              <w:top w:val="single" w:color="000000" w:sz="4" w:space="0"/>
              <w:left w:val="single" w:color="000000" w:sz="4" w:space="0"/>
              <w:bottom w:val="single" w:color="000000" w:sz="4" w:space="0"/>
              <w:right w:val="single" w:color="000000" w:sz="4" w:space="0"/>
            </w:tcBorders>
            <w:vAlign w:val="center"/>
          </w:tcPr>
          <w:p w14:paraId="6A1BFD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71756C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29754FB1">
            <w:pPr>
              <w:jc w:val="center"/>
              <w:rPr>
                <w:rFonts w:hint="eastAsia" w:ascii="宋体" w:hAnsi="宋体" w:eastAsia="宋体" w:cs="宋体"/>
                <w:i w:val="0"/>
                <w:iCs w:val="0"/>
                <w:color w:val="FF0000"/>
                <w:sz w:val="20"/>
                <w:szCs w:val="20"/>
                <w:highlight w:val="none"/>
                <w:u w:val="none"/>
              </w:rPr>
            </w:pPr>
          </w:p>
        </w:tc>
      </w:tr>
      <w:tr w14:paraId="05061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85" w:type="dxa"/>
            <w:tcBorders>
              <w:top w:val="single" w:color="000000" w:sz="4" w:space="0"/>
              <w:left w:val="single" w:color="000000" w:sz="4" w:space="0"/>
              <w:bottom w:val="single" w:color="000000" w:sz="4" w:space="0"/>
              <w:right w:val="single" w:color="000000" w:sz="4" w:space="0"/>
            </w:tcBorders>
            <w:vAlign w:val="center"/>
          </w:tcPr>
          <w:p w14:paraId="0E73467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p>
        </w:tc>
        <w:tc>
          <w:tcPr>
            <w:tcW w:w="2460" w:type="dxa"/>
            <w:tcBorders>
              <w:top w:val="single" w:color="000000" w:sz="4" w:space="0"/>
              <w:left w:val="single" w:color="000000" w:sz="4" w:space="0"/>
              <w:bottom w:val="single" w:color="000000" w:sz="4" w:space="0"/>
              <w:right w:val="nil"/>
            </w:tcBorders>
            <w:vAlign w:val="center"/>
          </w:tcPr>
          <w:p w14:paraId="749576EF">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单桩竖向抗压静载试验</w:t>
            </w:r>
          </w:p>
        </w:tc>
        <w:tc>
          <w:tcPr>
            <w:tcW w:w="1800" w:type="dxa"/>
            <w:tcBorders>
              <w:top w:val="single" w:color="000000" w:sz="4" w:space="0"/>
              <w:left w:val="single" w:color="000000" w:sz="4" w:space="0"/>
              <w:bottom w:val="single" w:color="000000" w:sz="4" w:space="0"/>
              <w:right w:val="nil"/>
            </w:tcBorders>
            <w:vAlign w:val="center"/>
          </w:tcPr>
          <w:p w14:paraId="7BB7A002">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Φ500预应力混凝土管桩、单桩竖向抗压承载力特征值900kN，静载试验抗压极限值为1900kN，位置：地块二地下室</w:t>
            </w:r>
          </w:p>
        </w:tc>
        <w:tc>
          <w:tcPr>
            <w:tcW w:w="630" w:type="dxa"/>
            <w:tcBorders>
              <w:top w:val="single" w:color="000000" w:sz="4" w:space="0"/>
              <w:left w:val="single" w:color="000000" w:sz="4" w:space="0"/>
              <w:bottom w:val="single" w:color="000000" w:sz="4" w:space="0"/>
              <w:right w:val="single" w:color="000000" w:sz="4" w:space="0"/>
            </w:tcBorders>
            <w:vAlign w:val="center"/>
          </w:tcPr>
          <w:p w14:paraId="467F1B1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根</w:t>
            </w:r>
          </w:p>
        </w:tc>
        <w:tc>
          <w:tcPr>
            <w:tcW w:w="1035" w:type="dxa"/>
            <w:tcBorders>
              <w:top w:val="single" w:color="000000" w:sz="4" w:space="0"/>
              <w:left w:val="single" w:color="000000" w:sz="4" w:space="0"/>
              <w:bottom w:val="single" w:color="000000" w:sz="4" w:space="0"/>
              <w:right w:val="single" w:color="000000" w:sz="4" w:space="0"/>
            </w:tcBorders>
            <w:vAlign w:val="center"/>
          </w:tcPr>
          <w:p w14:paraId="483556A7">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32</w:t>
            </w:r>
          </w:p>
        </w:tc>
        <w:tc>
          <w:tcPr>
            <w:tcW w:w="915" w:type="dxa"/>
            <w:tcBorders>
              <w:top w:val="single" w:color="000000" w:sz="4" w:space="0"/>
              <w:left w:val="single" w:color="000000" w:sz="4" w:space="0"/>
              <w:bottom w:val="single" w:color="000000" w:sz="4" w:space="0"/>
              <w:right w:val="single" w:color="000000" w:sz="4" w:space="0"/>
            </w:tcBorders>
            <w:vAlign w:val="center"/>
          </w:tcPr>
          <w:p w14:paraId="2EF3E4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28D077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4CFD39CF">
            <w:pPr>
              <w:jc w:val="center"/>
              <w:rPr>
                <w:rFonts w:hint="eastAsia" w:ascii="宋体" w:hAnsi="宋体" w:eastAsia="宋体" w:cs="宋体"/>
                <w:i w:val="0"/>
                <w:iCs w:val="0"/>
                <w:color w:val="FF0000"/>
                <w:sz w:val="20"/>
                <w:szCs w:val="20"/>
                <w:highlight w:val="none"/>
                <w:u w:val="none"/>
              </w:rPr>
            </w:pPr>
          </w:p>
        </w:tc>
      </w:tr>
      <w:tr w14:paraId="33FE9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85" w:type="dxa"/>
            <w:tcBorders>
              <w:top w:val="single" w:color="000000" w:sz="4" w:space="0"/>
              <w:left w:val="single" w:color="000000" w:sz="4" w:space="0"/>
              <w:bottom w:val="single" w:color="000000" w:sz="4" w:space="0"/>
              <w:right w:val="single" w:color="000000" w:sz="4" w:space="0"/>
            </w:tcBorders>
            <w:vAlign w:val="center"/>
          </w:tcPr>
          <w:p w14:paraId="47E3CF2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p>
        </w:tc>
        <w:tc>
          <w:tcPr>
            <w:tcW w:w="2460" w:type="dxa"/>
            <w:tcBorders>
              <w:top w:val="single" w:color="000000" w:sz="4" w:space="0"/>
              <w:left w:val="single" w:color="000000" w:sz="4" w:space="0"/>
              <w:bottom w:val="single" w:color="000000" w:sz="4" w:space="0"/>
              <w:right w:val="nil"/>
            </w:tcBorders>
            <w:vAlign w:val="center"/>
          </w:tcPr>
          <w:p w14:paraId="27CA9907">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单桩竖向抗拔静载试验</w:t>
            </w:r>
          </w:p>
        </w:tc>
        <w:tc>
          <w:tcPr>
            <w:tcW w:w="1800" w:type="dxa"/>
            <w:tcBorders>
              <w:top w:val="single" w:color="000000" w:sz="4" w:space="0"/>
              <w:left w:val="single" w:color="000000" w:sz="4" w:space="0"/>
              <w:bottom w:val="single" w:color="000000" w:sz="4" w:space="0"/>
              <w:right w:val="nil"/>
            </w:tcBorders>
            <w:vAlign w:val="center"/>
          </w:tcPr>
          <w:p w14:paraId="560106E4">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Φ500预应力混凝土管桩、单桩抗拔承载力特征值110kN，试验抗拔极限值为230kN，位置：地块二地下室</w:t>
            </w:r>
          </w:p>
        </w:tc>
        <w:tc>
          <w:tcPr>
            <w:tcW w:w="630" w:type="dxa"/>
            <w:tcBorders>
              <w:top w:val="single" w:color="000000" w:sz="4" w:space="0"/>
              <w:left w:val="single" w:color="000000" w:sz="4" w:space="0"/>
              <w:bottom w:val="single" w:color="000000" w:sz="4" w:space="0"/>
              <w:right w:val="single" w:color="000000" w:sz="4" w:space="0"/>
            </w:tcBorders>
            <w:vAlign w:val="center"/>
          </w:tcPr>
          <w:p w14:paraId="04FEE8F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根</w:t>
            </w:r>
          </w:p>
        </w:tc>
        <w:tc>
          <w:tcPr>
            <w:tcW w:w="1035" w:type="dxa"/>
            <w:tcBorders>
              <w:top w:val="single" w:color="000000" w:sz="4" w:space="0"/>
              <w:left w:val="single" w:color="000000" w:sz="4" w:space="0"/>
              <w:bottom w:val="single" w:color="000000" w:sz="4" w:space="0"/>
              <w:right w:val="single" w:color="000000" w:sz="4" w:space="0"/>
            </w:tcBorders>
            <w:vAlign w:val="center"/>
          </w:tcPr>
          <w:p w14:paraId="036200FC">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5</w:t>
            </w:r>
          </w:p>
        </w:tc>
        <w:tc>
          <w:tcPr>
            <w:tcW w:w="915" w:type="dxa"/>
            <w:tcBorders>
              <w:top w:val="single" w:color="000000" w:sz="4" w:space="0"/>
              <w:left w:val="single" w:color="000000" w:sz="4" w:space="0"/>
              <w:bottom w:val="single" w:color="000000" w:sz="4" w:space="0"/>
              <w:right w:val="single" w:color="000000" w:sz="4" w:space="0"/>
            </w:tcBorders>
            <w:vAlign w:val="center"/>
          </w:tcPr>
          <w:p w14:paraId="01A154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6A954A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077A2DE7">
            <w:pPr>
              <w:jc w:val="center"/>
              <w:rPr>
                <w:rFonts w:hint="eastAsia" w:ascii="宋体" w:hAnsi="宋体" w:eastAsia="宋体" w:cs="宋体"/>
                <w:i w:val="0"/>
                <w:iCs w:val="0"/>
                <w:color w:val="FF0000"/>
                <w:sz w:val="20"/>
                <w:szCs w:val="20"/>
                <w:highlight w:val="none"/>
                <w:u w:val="none"/>
              </w:rPr>
            </w:pPr>
          </w:p>
        </w:tc>
      </w:tr>
      <w:tr w14:paraId="50D2D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85" w:type="dxa"/>
            <w:tcBorders>
              <w:top w:val="single" w:color="000000" w:sz="4" w:space="0"/>
              <w:left w:val="single" w:color="000000" w:sz="4" w:space="0"/>
              <w:bottom w:val="single" w:color="000000" w:sz="4" w:space="0"/>
              <w:right w:val="single" w:color="000000" w:sz="4" w:space="0"/>
            </w:tcBorders>
            <w:vAlign w:val="center"/>
          </w:tcPr>
          <w:p w14:paraId="486D901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p>
        </w:tc>
        <w:tc>
          <w:tcPr>
            <w:tcW w:w="2460" w:type="dxa"/>
            <w:tcBorders>
              <w:top w:val="single" w:color="000000" w:sz="4" w:space="0"/>
              <w:left w:val="single" w:color="000000" w:sz="4" w:space="0"/>
              <w:bottom w:val="single" w:color="000000" w:sz="4" w:space="0"/>
              <w:right w:val="nil"/>
            </w:tcBorders>
            <w:vAlign w:val="center"/>
          </w:tcPr>
          <w:p w14:paraId="5B7893F8">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低应变</w:t>
            </w:r>
          </w:p>
        </w:tc>
        <w:tc>
          <w:tcPr>
            <w:tcW w:w="1800" w:type="dxa"/>
            <w:tcBorders>
              <w:top w:val="single" w:color="000000" w:sz="4" w:space="0"/>
              <w:left w:val="single" w:color="000000" w:sz="4" w:space="0"/>
              <w:bottom w:val="single" w:color="000000" w:sz="4" w:space="0"/>
              <w:right w:val="nil"/>
            </w:tcBorders>
            <w:vAlign w:val="center"/>
          </w:tcPr>
          <w:p w14:paraId="035375A0">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低应变检测，位置：地块二地下室</w:t>
            </w:r>
          </w:p>
        </w:tc>
        <w:tc>
          <w:tcPr>
            <w:tcW w:w="630" w:type="dxa"/>
            <w:tcBorders>
              <w:top w:val="single" w:color="000000" w:sz="4" w:space="0"/>
              <w:left w:val="single" w:color="000000" w:sz="4" w:space="0"/>
              <w:bottom w:val="single" w:color="000000" w:sz="4" w:space="0"/>
              <w:right w:val="single" w:color="000000" w:sz="4" w:space="0"/>
            </w:tcBorders>
            <w:vAlign w:val="center"/>
          </w:tcPr>
          <w:p w14:paraId="5AF6EF7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根</w:t>
            </w:r>
          </w:p>
        </w:tc>
        <w:tc>
          <w:tcPr>
            <w:tcW w:w="1035" w:type="dxa"/>
            <w:tcBorders>
              <w:top w:val="single" w:color="000000" w:sz="4" w:space="0"/>
              <w:left w:val="single" w:color="000000" w:sz="4" w:space="0"/>
              <w:bottom w:val="single" w:color="000000" w:sz="4" w:space="0"/>
              <w:right w:val="single" w:color="000000" w:sz="4" w:space="0"/>
            </w:tcBorders>
            <w:vAlign w:val="center"/>
          </w:tcPr>
          <w:p w14:paraId="6FE166A5">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3153</w:t>
            </w:r>
          </w:p>
        </w:tc>
        <w:tc>
          <w:tcPr>
            <w:tcW w:w="915" w:type="dxa"/>
            <w:tcBorders>
              <w:top w:val="single" w:color="000000" w:sz="4" w:space="0"/>
              <w:left w:val="single" w:color="000000" w:sz="4" w:space="0"/>
              <w:bottom w:val="single" w:color="000000" w:sz="4" w:space="0"/>
              <w:right w:val="single" w:color="000000" w:sz="4" w:space="0"/>
            </w:tcBorders>
            <w:vAlign w:val="center"/>
          </w:tcPr>
          <w:p w14:paraId="5E4B43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6CAF4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04FC3F10">
            <w:pPr>
              <w:jc w:val="center"/>
              <w:rPr>
                <w:rFonts w:hint="eastAsia" w:ascii="宋体" w:hAnsi="宋体" w:eastAsia="宋体" w:cs="宋体"/>
                <w:i w:val="0"/>
                <w:iCs w:val="0"/>
                <w:color w:val="FF0000"/>
                <w:sz w:val="20"/>
                <w:szCs w:val="20"/>
                <w:highlight w:val="none"/>
                <w:u w:val="none"/>
              </w:rPr>
            </w:pPr>
          </w:p>
        </w:tc>
      </w:tr>
      <w:tr w14:paraId="12B72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85" w:type="dxa"/>
            <w:tcBorders>
              <w:top w:val="single" w:color="000000" w:sz="4" w:space="0"/>
              <w:left w:val="single" w:color="000000" w:sz="4" w:space="0"/>
              <w:bottom w:val="single" w:color="000000" w:sz="4" w:space="0"/>
              <w:right w:val="single" w:color="000000" w:sz="4" w:space="0"/>
            </w:tcBorders>
            <w:vAlign w:val="center"/>
          </w:tcPr>
          <w:p w14:paraId="58BB2A3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p>
        </w:tc>
        <w:tc>
          <w:tcPr>
            <w:tcW w:w="2460" w:type="dxa"/>
            <w:tcBorders>
              <w:top w:val="single" w:color="000000" w:sz="4" w:space="0"/>
              <w:left w:val="single" w:color="000000" w:sz="4" w:space="0"/>
              <w:bottom w:val="single" w:color="000000" w:sz="4" w:space="0"/>
              <w:right w:val="nil"/>
            </w:tcBorders>
            <w:vAlign w:val="center"/>
          </w:tcPr>
          <w:p w14:paraId="6750E3F2">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单桩竖向抗压静载试验</w:t>
            </w:r>
          </w:p>
        </w:tc>
        <w:tc>
          <w:tcPr>
            <w:tcW w:w="1800" w:type="dxa"/>
            <w:tcBorders>
              <w:top w:val="single" w:color="000000" w:sz="4" w:space="0"/>
              <w:left w:val="single" w:color="000000" w:sz="4" w:space="0"/>
              <w:bottom w:val="single" w:color="000000" w:sz="4" w:space="0"/>
              <w:right w:val="nil"/>
            </w:tcBorders>
            <w:vAlign w:val="center"/>
          </w:tcPr>
          <w:p w14:paraId="385817F3">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Φ500预应力混凝土管桩、单桩竖向抗压承载力特征值900kN，静载试验抗压极限值为1900kN，位置：地块三地下室</w:t>
            </w:r>
          </w:p>
        </w:tc>
        <w:tc>
          <w:tcPr>
            <w:tcW w:w="630" w:type="dxa"/>
            <w:tcBorders>
              <w:top w:val="single" w:color="000000" w:sz="4" w:space="0"/>
              <w:left w:val="single" w:color="000000" w:sz="4" w:space="0"/>
              <w:bottom w:val="single" w:color="000000" w:sz="4" w:space="0"/>
              <w:right w:val="single" w:color="000000" w:sz="4" w:space="0"/>
            </w:tcBorders>
            <w:vAlign w:val="center"/>
          </w:tcPr>
          <w:p w14:paraId="4968311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根</w:t>
            </w:r>
          </w:p>
        </w:tc>
        <w:tc>
          <w:tcPr>
            <w:tcW w:w="1035" w:type="dxa"/>
            <w:tcBorders>
              <w:top w:val="single" w:color="000000" w:sz="4" w:space="0"/>
              <w:left w:val="single" w:color="000000" w:sz="4" w:space="0"/>
              <w:bottom w:val="single" w:color="000000" w:sz="4" w:space="0"/>
              <w:right w:val="single" w:color="000000" w:sz="4" w:space="0"/>
            </w:tcBorders>
            <w:vAlign w:val="center"/>
          </w:tcPr>
          <w:p w14:paraId="56D1A207">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34</w:t>
            </w:r>
          </w:p>
        </w:tc>
        <w:tc>
          <w:tcPr>
            <w:tcW w:w="915" w:type="dxa"/>
            <w:tcBorders>
              <w:top w:val="single" w:color="000000" w:sz="4" w:space="0"/>
              <w:left w:val="single" w:color="000000" w:sz="4" w:space="0"/>
              <w:bottom w:val="single" w:color="000000" w:sz="4" w:space="0"/>
              <w:right w:val="single" w:color="000000" w:sz="4" w:space="0"/>
            </w:tcBorders>
            <w:vAlign w:val="center"/>
          </w:tcPr>
          <w:p w14:paraId="6DCDC5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610F30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3AA832C1">
            <w:pPr>
              <w:jc w:val="center"/>
              <w:rPr>
                <w:rFonts w:hint="eastAsia" w:ascii="宋体" w:hAnsi="宋体" w:eastAsia="宋体" w:cs="宋体"/>
                <w:i w:val="0"/>
                <w:iCs w:val="0"/>
                <w:color w:val="FF0000"/>
                <w:sz w:val="20"/>
                <w:szCs w:val="20"/>
                <w:highlight w:val="none"/>
                <w:u w:val="none"/>
              </w:rPr>
            </w:pPr>
          </w:p>
        </w:tc>
      </w:tr>
      <w:tr w14:paraId="1E1CF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85" w:type="dxa"/>
            <w:tcBorders>
              <w:top w:val="single" w:color="000000" w:sz="4" w:space="0"/>
              <w:left w:val="single" w:color="000000" w:sz="4" w:space="0"/>
              <w:bottom w:val="single" w:color="000000" w:sz="4" w:space="0"/>
              <w:right w:val="single" w:color="000000" w:sz="4" w:space="0"/>
            </w:tcBorders>
            <w:vAlign w:val="center"/>
          </w:tcPr>
          <w:p w14:paraId="7AF2A4A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p>
        </w:tc>
        <w:tc>
          <w:tcPr>
            <w:tcW w:w="2460" w:type="dxa"/>
            <w:tcBorders>
              <w:top w:val="single" w:color="000000" w:sz="4" w:space="0"/>
              <w:left w:val="single" w:color="000000" w:sz="4" w:space="0"/>
              <w:bottom w:val="single" w:color="000000" w:sz="4" w:space="0"/>
              <w:right w:val="nil"/>
            </w:tcBorders>
            <w:vAlign w:val="center"/>
          </w:tcPr>
          <w:p w14:paraId="66D42F87">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单桩竖向抗拔静载试验</w:t>
            </w:r>
          </w:p>
        </w:tc>
        <w:tc>
          <w:tcPr>
            <w:tcW w:w="1800" w:type="dxa"/>
            <w:tcBorders>
              <w:top w:val="single" w:color="000000" w:sz="4" w:space="0"/>
              <w:left w:val="single" w:color="000000" w:sz="4" w:space="0"/>
              <w:bottom w:val="single" w:color="000000" w:sz="4" w:space="0"/>
              <w:right w:val="nil"/>
            </w:tcBorders>
            <w:vAlign w:val="center"/>
          </w:tcPr>
          <w:p w14:paraId="22242EE5">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Φ500预应力混凝土管桩、单桩抗拔承载力特征值110kN，试验抗拔极限值为230kN，位置：地块三地下室</w:t>
            </w:r>
          </w:p>
        </w:tc>
        <w:tc>
          <w:tcPr>
            <w:tcW w:w="630" w:type="dxa"/>
            <w:tcBorders>
              <w:top w:val="single" w:color="000000" w:sz="4" w:space="0"/>
              <w:left w:val="single" w:color="000000" w:sz="4" w:space="0"/>
              <w:bottom w:val="single" w:color="000000" w:sz="4" w:space="0"/>
              <w:right w:val="single" w:color="000000" w:sz="4" w:space="0"/>
            </w:tcBorders>
            <w:vAlign w:val="center"/>
          </w:tcPr>
          <w:p w14:paraId="04C4B7D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根</w:t>
            </w:r>
          </w:p>
        </w:tc>
        <w:tc>
          <w:tcPr>
            <w:tcW w:w="1035" w:type="dxa"/>
            <w:tcBorders>
              <w:top w:val="single" w:color="000000" w:sz="4" w:space="0"/>
              <w:left w:val="single" w:color="000000" w:sz="4" w:space="0"/>
              <w:bottom w:val="single" w:color="000000" w:sz="4" w:space="0"/>
              <w:right w:val="single" w:color="000000" w:sz="4" w:space="0"/>
            </w:tcBorders>
            <w:vAlign w:val="center"/>
          </w:tcPr>
          <w:p w14:paraId="4958415A">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5</w:t>
            </w:r>
          </w:p>
        </w:tc>
        <w:tc>
          <w:tcPr>
            <w:tcW w:w="915" w:type="dxa"/>
            <w:tcBorders>
              <w:top w:val="single" w:color="000000" w:sz="4" w:space="0"/>
              <w:left w:val="single" w:color="000000" w:sz="4" w:space="0"/>
              <w:bottom w:val="single" w:color="000000" w:sz="4" w:space="0"/>
              <w:right w:val="single" w:color="000000" w:sz="4" w:space="0"/>
            </w:tcBorders>
            <w:vAlign w:val="center"/>
          </w:tcPr>
          <w:p w14:paraId="6F7C05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03CCEC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02301D3B">
            <w:pPr>
              <w:jc w:val="center"/>
              <w:rPr>
                <w:rFonts w:hint="eastAsia" w:ascii="宋体" w:hAnsi="宋体" w:eastAsia="宋体" w:cs="宋体"/>
                <w:i w:val="0"/>
                <w:iCs w:val="0"/>
                <w:color w:val="FF0000"/>
                <w:sz w:val="20"/>
                <w:szCs w:val="20"/>
                <w:highlight w:val="none"/>
                <w:u w:val="none"/>
              </w:rPr>
            </w:pPr>
          </w:p>
        </w:tc>
      </w:tr>
      <w:tr w14:paraId="4E958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85" w:type="dxa"/>
            <w:tcBorders>
              <w:top w:val="single" w:color="000000" w:sz="4" w:space="0"/>
              <w:left w:val="single" w:color="000000" w:sz="4" w:space="0"/>
              <w:bottom w:val="single" w:color="000000" w:sz="4" w:space="0"/>
              <w:right w:val="single" w:color="000000" w:sz="4" w:space="0"/>
            </w:tcBorders>
            <w:vAlign w:val="center"/>
          </w:tcPr>
          <w:p w14:paraId="3C4C991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p>
        </w:tc>
        <w:tc>
          <w:tcPr>
            <w:tcW w:w="2460" w:type="dxa"/>
            <w:tcBorders>
              <w:top w:val="single" w:color="000000" w:sz="4" w:space="0"/>
              <w:left w:val="single" w:color="000000" w:sz="4" w:space="0"/>
              <w:bottom w:val="single" w:color="000000" w:sz="4" w:space="0"/>
              <w:right w:val="nil"/>
            </w:tcBorders>
            <w:vAlign w:val="center"/>
          </w:tcPr>
          <w:p w14:paraId="2C0AFDBB">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低应变</w:t>
            </w:r>
          </w:p>
        </w:tc>
        <w:tc>
          <w:tcPr>
            <w:tcW w:w="1800" w:type="dxa"/>
            <w:tcBorders>
              <w:top w:val="single" w:color="000000" w:sz="4" w:space="0"/>
              <w:left w:val="single" w:color="000000" w:sz="4" w:space="0"/>
              <w:bottom w:val="single" w:color="000000" w:sz="4" w:space="0"/>
              <w:right w:val="nil"/>
            </w:tcBorders>
            <w:vAlign w:val="center"/>
          </w:tcPr>
          <w:p w14:paraId="3E026BB2">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低应变检测，位置：地块三地下室</w:t>
            </w:r>
          </w:p>
        </w:tc>
        <w:tc>
          <w:tcPr>
            <w:tcW w:w="630" w:type="dxa"/>
            <w:tcBorders>
              <w:top w:val="single" w:color="000000" w:sz="4" w:space="0"/>
              <w:left w:val="single" w:color="000000" w:sz="4" w:space="0"/>
              <w:bottom w:val="single" w:color="000000" w:sz="4" w:space="0"/>
              <w:right w:val="single" w:color="000000" w:sz="4" w:space="0"/>
            </w:tcBorders>
            <w:vAlign w:val="center"/>
          </w:tcPr>
          <w:p w14:paraId="6383EB7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根</w:t>
            </w:r>
          </w:p>
        </w:tc>
        <w:tc>
          <w:tcPr>
            <w:tcW w:w="1035" w:type="dxa"/>
            <w:tcBorders>
              <w:top w:val="single" w:color="000000" w:sz="4" w:space="0"/>
              <w:left w:val="single" w:color="000000" w:sz="4" w:space="0"/>
              <w:bottom w:val="single" w:color="000000" w:sz="4" w:space="0"/>
              <w:right w:val="single" w:color="000000" w:sz="4" w:space="0"/>
            </w:tcBorders>
            <w:vAlign w:val="center"/>
          </w:tcPr>
          <w:p w14:paraId="2E71B784">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rPr>
              <w:t>3313</w:t>
            </w:r>
          </w:p>
        </w:tc>
        <w:tc>
          <w:tcPr>
            <w:tcW w:w="915" w:type="dxa"/>
            <w:tcBorders>
              <w:top w:val="single" w:color="000000" w:sz="4" w:space="0"/>
              <w:left w:val="single" w:color="000000" w:sz="4" w:space="0"/>
              <w:bottom w:val="single" w:color="000000" w:sz="4" w:space="0"/>
              <w:right w:val="single" w:color="000000" w:sz="4" w:space="0"/>
            </w:tcBorders>
            <w:vAlign w:val="center"/>
          </w:tcPr>
          <w:p w14:paraId="32EF6F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73F8EF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79788571">
            <w:pPr>
              <w:jc w:val="center"/>
              <w:rPr>
                <w:rFonts w:hint="eastAsia" w:ascii="宋体" w:hAnsi="宋体" w:eastAsia="宋体" w:cs="宋体"/>
                <w:i w:val="0"/>
                <w:iCs w:val="0"/>
                <w:color w:val="FF0000"/>
                <w:sz w:val="20"/>
                <w:szCs w:val="20"/>
                <w:highlight w:val="none"/>
                <w:u w:val="none"/>
              </w:rPr>
            </w:pPr>
          </w:p>
        </w:tc>
      </w:tr>
      <w:tr w14:paraId="5AF56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63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二</w:t>
            </w:r>
          </w:p>
        </w:tc>
        <w:tc>
          <w:tcPr>
            <w:tcW w:w="2460" w:type="dxa"/>
            <w:tcBorders>
              <w:top w:val="single" w:color="000000" w:sz="4" w:space="0"/>
              <w:left w:val="single" w:color="000000" w:sz="4" w:space="0"/>
              <w:bottom w:val="single" w:color="000000" w:sz="4" w:space="0"/>
              <w:right w:val="single" w:color="000000" w:sz="4" w:space="0"/>
            </w:tcBorders>
            <w:shd w:val="clear" w:color="auto" w:fill="FFF2CC"/>
            <w:vAlign w:val="center"/>
          </w:tcPr>
          <w:p w14:paraId="352E3B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基坑监测</w:t>
            </w:r>
          </w:p>
        </w:tc>
        <w:tc>
          <w:tcPr>
            <w:tcW w:w="1800" w:type="dxa"/>
            <w:tcBorders>
              <w:top w:val="single" w:color="000000" w:sz="4" w:space="0"/>
              <w:left w:val="single" w:color="000000" w:sz="4" w:space="0"/>
              <w:bottom w:val="single" w:color="000000" w:sz="4" w:space="0"/>
              <w:right w:val="single" w:color="000000" w:sz="4" w:space="0"/>
            </w:tcBorders>
            <w:vAlign w:val="center"/>
          </w:tcPr>
          <w:p w14:paraId="51AD654A">
            <w:pPr>
              <w:jc w:val="center"/>
              <w:rPr>
                <w:rFonts w:hint="eastAsia" w:ascii="宋体" w:hAnsi="宋体" w:eastAsia="宋体" w:cs="宋体"/>
                <w:i w:val="0"/>
                <w:iCs w:val="0"/>
                <w:color w:val="000000"/>
                <w:sz w:val="20"/>
                <w:szCs w:val="20"/>
                <w:highlight w:val="none"/>
                <w:u w:val="none"/>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56AA4DD4">
            <w:pPr>
              <w:jc w:val="center"/>
              <w:rPr>
                <w:rFonts w:hint="eastAsia" w:ascii="宋体" w:hAnsi="宋体" w:eastAsia="宋体" w:cs="宋体"/>
                <w:i w:val="0"/>
                <w:iCs w:val="0"/>
                <w:color w:val="000000"/>
                <w:sz w:val="20"/>
                <w:szCs w:val="20"/>
                <w:highlight w:val="none"/>
                <w:u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14:paraId="69F7F99D">
            <w:pPr>
              <w:jc w:val="center"/>
              <w:rPr>
                <w:rFonts w:hint="eastAsia" w:ascii="宋体" w:hAnsi="宋体" w:eastAsia="宋体" w:cs="宋体"/>
                <w:i w:val="0"/>
                <w:iCs w:val="0"/>
                <w:color w:val="000000"/>
                <w:sz w:val="20"/>
                <w:szCs w:val="20"/>
                <w:highlight w:val="none"/>
                <w:u w:val="none"/>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524FC202">
            <w:pPr>
              <w:jc w:val="center"/>
              <w:rPr>
                <w:rFonts w:hint="eastAsia" w:ascii="宋体" w:hAnsi="宋体" w:eastAsia="宋体" w:cs="宋体"/>
                <w:i w:val="0"/>
                <w:iCs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4BEA7F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579D0EB5">
            <w:pPr>
              <w:jc w:val="center"/>
              <w:rPr>
                <w:rFonts w:hint="eastAsia" w:ascii="宋体" w:hAnsi="宋体" w:eastAsia="宋体" w:cs="宋体"/>
                <w:i w:val="0"/>
                <w:iCs w:val="0"/>
                <w:color w:val="FF0000"/>
                <w:sz w:val="20"/>
                <w:szCs w:val="20"/>
                <w:highlight w:val="none"/>
                <w:u w:val="none"/>
              </w:rPr>
            </w:pPr>
          </w:p>
        </w:tc>
      </w:tr>
      <w:tr w14:paraId="54119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E8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ACA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深层土体水平位移监测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3AB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0"/>
                <w:szCs w:val="20"/>
                <w:highlight w:val="none"/>
                <w:u w:val="none"/>
                <w:lang w:val="en-US" w:eastAsia="zh-CN"/>
              </w:rPr>
              <w:t>自动化监测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35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孔</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D756">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43</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3C4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538D0C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1AAE70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全部采用自动化监测</w:t>
            </w:r>
          </w:p>
        </w:tc>
      </w:tr>
      <w:tr w14:paraId="35680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24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343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地下水位监测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65B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0"/>
                <w:szCs w:val="20"/>
                <w:highlight w:val="none"/>
                <w:u w:val="none"/>
                <w:lang w:val="en-US" w:eastAsia="zh-CN"/>
              </w:rPr>
              <w:t>自动化监测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E5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孔</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6A70">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22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1DE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70A2A2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7D1251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全部采用自动化监测</w:t>
            </w:r>
          </w:p>
        </w:tc>
      </w:tr>
      <w:tr w14:paraId="3A375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6F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C0B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基坑周边地表/建筑沉降监测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B46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0"/>
                <w:szCs w:val="20"/>
                <w:highlight w:val="none"/>
                <w:u w:val="none"/>
                <w:lang w:val="en-US" w:eastAsia="zh-CN"/>
              </w:rPr>
              <w:t>自动化监测</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CF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A1E7">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76</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85C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4EBFFF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645F25BC">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rPr>
              <w:t>人工监测</w:t>
            </w:r>
          </w:p>
        </w:tc>
      </w:tr>
      <w:tr w14:paraId="6E0B5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34A0">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rPr>
            </w:pPr>
            <w:r>
              <w:rPr>
                <w:rFonts w:hint="eastAsia" w:ascii="宋体" w:hAnsi="宋体" w:cs="宋体"/>
                <w:i w:val="0"/>
                <w:iCs w:val="0"/>
                <w:color w:val="000000"/>
                <w:kern w:val="0"/>
                <w:sz w:val="20"/>
                <w:szCs w:val="20"/>
                <w:highlight w:val="none"/>
                <w:u w:val="none"/>
                <w:lang w:val="en-US" w:eastAsia="zh-CN"/>
              </w:rPr>
              <w:t>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6DFE">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措施费</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37E5">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多次进出场费、运输费、场地临时便道及场地内协调费等投标人检测和监测过程中可能产生的所有费用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3D8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A91D">
            <w:pPr>
              <w:keepNext w:val="0"/>
              <w:keepLines w:val="0"/>
              <w:widowControl/>
              <w:suppressLineNumbers w:val="0"/>
              <w:jc w:val="right"/>
              <w:textAlignment w:val="center"/>
              <w:rPr>
                <w:rFonts w:hint="eastAsia" w:ascii="宋体" w:hAnsi="宋体" w:eastAsia="宋体" w:cs="宋体"/>
                <w:i w:val="0"/>
                <w:iCs w:val="0"/>
                <w:color w:val="000000"/>
                <w:kern w:val="0"/>
                <w:sz w:val="20"/>
                <w:szCs w:val="20"/>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rPr>
              <w:t>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26A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60DD93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735CBD9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rPr>
            </w:pPr>
          </w:p>
        </w:tc>
      </w:tr>
      <w:tr w14:paraId="7911C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85" w:type="dxa"/>
            <w:tcBorders>
              <w:top w:val="single" w:color="000000" w:sz="4" w:space="0"/>
              <w:left w:val="single" w:color="000000" w:sz="4" w:space="0"/>
              <w:bottom w:val="single" w:color="000000" w:sz="4" w:space="0"/>
              <w:right w:val="single" w:color="000000" w:sz="4" w:space="0"/>
            </w:tcBorders>
            <w:vAlign w:val="center"/>
          </w:tcPr>
          <w:p w14:paraId="141627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四</w:t>
            </w:r>
          </w:p>
        </w:tc>
        <w:tc>
          <w:tcPr>
            <w:tcW w:w="2460" w:type="dxa"/>
            <w:tcBorders>
              <w:top w:val="single" w:color="000000" w:sz="4" w:space="0"/>
              <w:left w:val="single" w:color="000000" w:sz="4" w:space="0"/>
              <w:bottom w:val="single" w:color="000000" w:sz="4" w:space="0"/>
              <w:right w:val="single" w:color="000000" w:sz="4" w:space="0"/>
            </w:tcBorders>
            <w:vAlign w:val="center"/>
          </w:tcPr>
          <w:p w14:paraId="4F2191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合计</w:t>
            </w:r>
          </w:p>
        </w:tc>
        <w:tc>
          <w:tcPr>
            <w:tcW w:w="1800" w:type="dxa"/>
            <w:tcBorders>
              <w:top w:val="single" w:color="000000" w:sz="4" w:space="0"/>
              <w:left w:val="single" w:color="000000" w:sz="4" w:space="0"/>
              <w:bottom w:val="single" w:color="000000" w:sz="4" w:space="0"/>
              <w:right w:val="single" w:color="000000" w:sz="4" w:space="0"/>
            </w:tcBorders>
            <w:vAlign w:val="center"/>
          </w:tcPr>
          <w:p w14:paraId="01AC626A">
            <w:pPr>
              <w:jc w:val="center"/>
              <w:rPr>
                <w:rFonts w:hint="eastAsia" w:ascii="宋体" w:hAnsi="宋体" w:eastAsia="宋体" w:cs="宋体"/>
                <w:i w:val="0"/>
                <w:iCs w:val="0"/>
                <w:color w:val="000000"/>
                <w:sz w:val="20"/>
                <w:szCs w:val="20"/>
                <w:highlight w:val="none"/>
                <w:u w:val="none"/>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4F2A0514">
            <w:pPr>
              <w:jc w:val="center"/>
              <w:rPr>
                <w:rFonts w:hint="eastAsia" w:ascii="宋体" w:hAnsi="宋体" w:eastAsia="宋体" w:cs="宋体"/>
                <w:i w:val="0"/>
                <w:iCs w:val="0"/>
                <w:color w:val="000000"/>
                <w:sz w:val="20"/>
                <w:szCs w:val="20"/>
                <w:highlight w:val="none"/>
                <w:u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14:paraId="6B390AB4">
            <w:pPr>
              <w:jc w:val="center"/>
              <w:rPr>
                <w:rFonts w:hint="eastAsia" w:ascii="宋体" w:hAnsi="宋体" w:eastAsia="宋体" w:cs="宋体"/>
                <w:i w:val="0"/>
                <w:iCs w:val="0"/>
                <w:color w:val="000000"/>
                <w:sz w:val="20"/>
                <w:szCs w:val="20"/>
                <w:highlight w:val="none"/>
                <w:u w:val="none"/>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5A9382F8">
            <w:pPr>
              <w:jc w:val="center"/>
              <w:rPr>
                <w:rFonts w:hint="eastAsia" w:ascii="宋体" w:hAnsi="宋体" w:eastAsia="宋体" w:cs="宋体"/>
                <w:i w:val="0"/>
                <w:iCs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0940BD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7CEF9C41">
            <w:pPr>
              <w:jc w:val="center"/>
              <w:rPr>
                <w:rFonts w:hint="eastAsia" w:ascii="宋体" w:hAnsi="宋体" w:eastAsia="宋体" w:cs="宋体"/>
                <w:i w:val="0"/>
                <w:iCs w:val="0"/>
                <w:color w:val="000000"/>
                <w:sz w:val="20"/>
                <w:szCs w:val="20"/>
                <w:highlight w:val="none"/>
                <w:u w:val="none"/>
              </w:rPr>
            </w:pPr>
          </w:p>
        </w:tc>
      </w:tr>
      <w:tr w14:paraId="1B0EC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0" w:hRule="atLeast"/>
        </w:trPr>
        <w:tc>
          <w:tcPr>
            <w:tcW w:w="9348" w:type="dxa"/>
            <w:gridSpan w:val="8"/>
            <w:tcBorders>
              <w:top w:val="single" w:color="000000" w:sz="4" w:space="0"/>
              <w:left w:val="single" w:color="000000" w:sz="4" w:space="0"/>
              <w:bottom w:val="single" w:color="000000" w:sz="4" w:space="0"/>
              <w:right w:val="single" w:color="000000" w:sz="4" w:space="0"/>
            </w:tcBorders>
            <w:vAlign w:val="center"/>
          </w:tcPr>
          <w:p w14:paraId="39AE6DD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rPr>
              <w:t>注：1、桩基检测综合单价指完成工程量清单中一个规定计量单位项目所需的人工费、材料费、机械使用费、管理费、风险费用、利润和税金、保险、配合费、点位费、监测费、运输费等全部费用；</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2、桩基检测要求符合《建筑基桩检测技术规范》（JGJ106-2014）要求；</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3、本工程因施工进度有先后造成桩基检测不在同一时间段内完成，要求投标单位报价时考虑多次进出场费用、场地内搁置、协调等相关费用列入相应综合单价中；</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4、本检测符合余建(2013)46号文《余杭区地基基础桩检测办法》的规定，一律采用水泥试块配置做静载试验；</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5、本检测工程量暂定工程量，具体以投标人结合现场实际检测工程量结算；</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 xml:space="preserve">6、其中试桩桩身完整性的检测，试验前、后均需做低应变法检测；                                                                                                                                                                                                                                                                                                                                                                                                                                                                                                                                                                                                                                                                                                                                                                                                                                                     </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7、本工程汽车吊车及平板车进出道路、置放场地及地基处理，电源连接等投标人检测过程中可能产生的所有费用，投标人结合现场踏勘进行综合报价计入各综合单价内。</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8、基坑监测全费用单价指完成工程量清单中一个规定计量单位项目所需的人工费、材料费、机械使用费、管理费、风险费用、利润和税金、保险、配合费、点位费、监测费、进出场费、运输费、场地内协调、安全保护费等全部费用；</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9、监测要求符合《建筑基坑工程监测技术规范》（GB50497-2019）、设计要求，采用自动化监测的项目需满足地方主管部门关于深基坑智慧监测系统的要求；因工程特殊部分监测点位会造破坏，投标单位需充分考虑，相关费用计入各相应清单全费用单价；</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10、监测工期应按规范满足从基坑围护施工开始至基坑围护施工完成且基坑周边回填土全部回填完成为止，监测数据需每天提供一次给建设单位及设计单位；</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11、清单所示监测项目及数量依据基坑围护图纸工程量确定，实际数量以建设单位委托按实际发生为准，工程结算最终按实结算。</w:t>
            </w:r>
            <w:r>
              <w:rPr>
                <w:rFonts w:hint="eastAsia" w:ascii="宋体" w:hAnsi="宋体" w:eastAsia="宋体" w:cs="宋体"/>
                <w:i w:val="0"/>
                <w:iCs w:val="0"/>
                <w:color w:val="000000"/>
                <w:kern w:val="0"/>
                <w:sz w:val="20"/>
                <w:szCs w:val="20"/>
                <w:highlight w:val="none"/>
                <w:u w:val="none"/>
                <w:lang w:val="en-US" w:eastAsia="zh-CN"/>
              </w:rPr>
              <w:br w:type="textWrapping"/>
            </w:r>
            <w:r>
              <w:rPr>
                <w:rFonts w:hint="eastAsia" w:ascii="宋体" w:hAnsi="宋体" w:eastAsia="宋体" w:cs="宋体"/>
                <w:i w:val="0"/>
                <w:iCs w:val="0"/>
                <w:color w:val="000000"/>
                <w:kern w:val="0"/>
                <w:sz w:val="20"/>
                <w:szCs w:val="20"/>
                <w:highlight w:val="none"/>
                <w:u w:val="none"/>
                <w:lang w:val="en-US" w:eastAsia="zh-CN"/>
              </w:rPr>
              <w:t>12、监测频率满足设计图纸要求。</w:t>
            </w:r>
          </w:p>
        </w:tc>
      </w:tr>
    </w:tbl>
    <w:p w14:paraId="24450AD0">
      <w:pPr>
        <w:rPr>
          <w:rFonts w:hint="eastAsia" w:ascii="宋体" w:hAnsi="宋体" w:eastAsia="宋体" w:cs="宋体"/>
          <w:color w:val="auto"/>
          <w:kern w:val="2"/>
          <w:sz w:val="32"/>
          <w:szCs w:val="32"/>
          <w:highlight w:val="none"/>
          <w:lang w:val="en-US" w:eastAsia="zh-CN"/>
        </w:rPr>
      </w:pPr>
    </w:p>
    <w:p w14:paraId="1D5A31BD">
      <w:pPr>
        <w:rPr>
          <w:rFonts w:hint="eastAsia"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br w:type="page"/>
      </w:r>
    </w:p>
    <w:p w14:paraId="5C65C95F">
      <w:pPr>
        <w:pStyle w:val="690"/>
        <w:keepNext w:val="0"/>
        <w:pageBreakBefore w:val="0"/>
        <w:numPr>
          <w:ilvl w:val="-1"/>
          <w:numId w:val="0"/>
        </w:numPr>
        <w:tabs>
          <w:tab w:val="clear" w:pos="720"/>
        </w:tabs>
        <w:snapToGrid w:val="0"/>
        <w:spacing w:before="120" w:after="120"/>
        <w:ind w:firstLine="0"/>
        <w:outlineLvl w:val="9"/>
        <w:rPr>
          <w:rFonts w:hint="eastAsia"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二、报价情况说明（如果有）</w:t>
      </w:r>
    </w:p>
    <w:p w14:paraId="659C3543">
      <w:pPr>
        <w:pStyle w:val="690"/>
        <w:keepNext w:val="0"/>
        <w:pageBreakBefore w:val="0"/>
        <w:tabs>
          <w:tab w:val="clear" w:pos="720"/>
        </w:tabs>
        <w:snapToGrid w:val="0"/>
        <w:spacing w:before="120" w:after="120"/>
        <w:ind w:firstLine="643"/>
        <w:jc w:val="left"/>
        <w:outlineLvl w:val="9"/>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（如供应商报价低于项目预算50%的，应当提交本文档，详细阐述不影响产品质量或者诚信履约的具体原因</w:t>
      </w:r>
      <w:r>
        <w:rPr>
          <w:rFonts w:hint="eastAsia" w:ascii="宋体" w:hAnsi="宋体" w:eastAsia="宋体" w:cs="宋体"/>
          <w:b/>
          <w:color w:val="auto"/>
          <w:kern w:val="2"/>
          <w:sz w:val="24"/>
          <w:szCs w:val="24"/>
          <w:highlight w:val="none"/>
        </w:rPr>
        <w:t>，否则投标无效</w:t>
      </w:r>
      <w:r>
        <w:rPr>
          <w:rFonts w:hint="eastAsia" w:ascii="宋体" w:hAnsi="宋体" w:eastAsia="宋体" w:cs="宋体"/>
          <w:b/>
          <w:bCs w:val="0"/>
          <w:color w:val="auto"/>
          <w:kern w:val="2"/>
          <w:sz w:val="24"/>
          <w:szCs w:val="24"/>
          <w:highlight w:val="none"/>
          <w:lang w:val="en-US" w:eastAsia="zh-CN"/>
        </w:rPr>
        <w:t>。</w:t>
      </w:r>
      <w:r>
        <w:rPr>
          <w:rFonts w:hint="eastAsia" w:ascii="宋体" w:hAnsi="宋体" w:eastAsia="宋体" w:cs="宋体"/>
          <w:b w:val="0"/>
          <w:bCs w:val="0"/>
          <w:color w:val="auto"/>
          <w:sz w:val="24"/>
          <w:szCs w:val="24"/>
          <w:highlight w:val="none"/>
          <w:lang w:val="en-US"/>
        </w:rPr>
        <w:t>）</w:t>
      </w:r>
    </w:p>
    <w:p w14:paraId="5B567F7C">
      <w:pPr>
        <w:pStyle w:val="690"/>
        <w:keepNext w:val="0"/>
        <w:pageBreakBefore w:val="0"/>
        <w:tabs>
          <w:tab w:val="clear" w:pos="720"/>
        </w:tabs>
        <w:snapToGrid w:val="0"/>
        <w:spacing w:before="120" w:after="120"/>
        <w:jc w:val="center"/>
        <w:outlineLvl w:val="9"/>
        <w:rPr>
          <w:rFonts w:hint="eastAsia" w:ascii="宋体" w:hAnsi="宋体" w:eastAsia="宋体" w:cs="宋体"/>
          <w:color w:val="auto"/>
          <w:kern w:val="2"/>
          <w:sz w:val="32"/>
          <w:szCs w:val="32"/>
          <w:highlight w:val="none"/>
        </w:rPr>
      </w:pPr>
    </w:p>
    <w:p w14:paraId="43AEA471">
      <w:pPr>
        <w:pStyle w:val="690"/>
        <w:keepNext w:val="0"/>
        <w:pageBreakBefore w:val="0"/>
        <w:tabs>
          <w:tab w:val="clear" w:pos="720"/>
        </w:tabs>
        <w:snapToGrid w:val="0"/>
        <w:spacing w:before="120" w:after="120"/>
        <w:jc w:val="center"/>
        <w:outlineLvl w:val="9"/>
        <w:rPr>
          <w:rFonts w:hint="eastAsia" w:ascii="宋体" w:hAnsi="宋体" w:eastAsia="宋体" w:cs="宋体"/>
          <w:color w:val="auto"/>
          <w:sz w:val="32"/>
          <w:szCs w:val="32"/>
          <w:highlight w:val="none"/>
        </w:rPr>
      </w:pPr>
      <w:r>
        <w:rPr>
          <w:rFonts w:hint="eastAsia" w:ascii="宋体" w:hAnsi="宋体" w:eastAsia="宋体" w:cs="宋体"/>
          <w:color w:val="auto"/>
          <w:kern w:val="2"/>
          <w:sz w:val="32"/>
          <w:szCs w:val="32"/>
          <w:highlight w:val="none"/>
          <w:lang w:eastAsia="zh-CN"/>
        </w:rPr>
        <w:t>三</w:t>
      </w:r>
      <w:r>
        <w:rPr>
          <w:rFonts w:hint="eastAsia" w:ascii="宋体" w:hAnsi="宋体" w:eastAsia="宋体" w:cs="宋体"/>
          <w:color w:val="auto"/>
          <w:kern w:val="2"/>
          <w:sz w:val="32"/>
          <w:szCs w:val="32"/>
          <w:highlight w:val="none"/>
        </w:rPr>
        <w:t>、</w:t>
      </w:r>
      <w:r>
        <w:rPr>
          <w:rFonts w:hint="eastAsia" w:ascii="宋体" w:hAnsi="宋体" w:eastAsia="宋体" w:cs="宋体"/>
          <w:color w:val="auto"/>
          <w:sz w:val="32"/>
          <w:szCs w:val="32"/>
          <w:highlight w:val="none"/>
        </w:rPr>
        <w:t>中小企业声明函</w:t>
      </w:r>
      <w:bookmarkStart w:id="496" w:name="_Hlk101259491"/>
      <w:r>
        <w:rPr>
          <w:rFonts w:hint="eastAsia" w:ascii="宋体" w:hAnsi="宋体" w:eastAsia="宋体" w:cs="宋体"/>
          <w:color w:val="auto"/>
          <w:sz w:val="32"/>
          <w:szCs w:val="32"/>
          <w:highlight w:val="none"/>
        </w:rPr>
        <w:t>（如果有）</w:t>
      </w:r>
      <w:bookmarkEnd w:id="496"/>
    </w:p>
    <w:p w14:paraId="24A494E5">
      <w:pPr>
        <w:widowControl/>
        <w:spacing w:line="360" w:lineRule="auto"/>
        <w:ind w:firstLine="120" w:firstLineChars="5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7）。]</w:t>
      </w:r>
    </w:p>
    <w:p w14:paraId="7B8789F7">
      <w:pPr>
        <w:rPr>
          <w:rFonts w:hint="eastAsia" w:ascii="宋体" w:hAnsi="宋体" w:eastAsia="宋体" w:cs="宋体"/>
          <w:color w:val="auto"/>
          <w:highlight w:val="none"/>
        </w:rPr>
      </w:pPr>
      <w:r>
        <w:rPr>
          <w:rFonts w:hint="eastAsia" w:ascii="宋体" w:hAnsi="宋体" w:eastAsia="宋体" w:cs="宋体"/>
          <w:b/>
          <w:color w:val="auto"/>
          <w:sz w:val="24"/>
          <w:highlight w:val="none"/>
        </w:rPr>
        <w:br w:type="page"/>
      </w:r>
    </w:p>
    <w:p w14:paraId="710F1B82">
      <w:pPr>
        <w:pStyle w:val="2"/>
        <w:keepNext w:val="0"/>
        <w:keepLines w:val="0"/>
        <w:pageBreakBefore/>
        <w:widowControl/>
        <w:spacing w:before="100" w:beforeAutospacing="1" w:after="100" w:afterAutospacing="1"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p>
    <w:p w14:paraId="104C473F">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附件1：</w:t>
      </w:r>
    </w:p>
    <w:p w14:paraId="1C31C5A9">
      <w:pPr>
        <w:spacing w:line="360" w:lineRule="auto"/>
        <w:jc w:val="center"/>
        <w:rPr>
          <w:rFonts w:hint="eastAsia" w:ascii="宋体" w:hAnsi="宋体" w:eastAsia="宋体" w:cs="宋体"/>
          <w:b/>
          <w:color w:val="auto"/>
          <w:spacing w:val="6"/>
          <w:sz w:val="32"/>
          <w:szCs w:val="32"/>
          <w:highlight w:val="none"/>
        </w:rPr>
      </w:pPr>
      <w:bookmarkStart w:id="497" w:name="OLE_LINK14"/>
      <w:bookmarkStart w:id="498" w:name="OLE_LINK13"/>
      <w:r>
        <w:rPr>
          <w:rFonts w:hint="eastAsia" w:ascii="宋体" w:hAnsi="宋体" w:eastAsia="宋体" w:cs="宋体"/>
          <w:b/>
          <w:color w:val="auto"/>
          <w:spacing w:val="6"/>
          <w:sz w:val="32"/>
          <w:szCs w:val="32"/>
          <w:highlight w:val="none"/>
        </w:rPr>
        <w:t>残疾人福利性单位声明函</w:t>
      </w:r>
    </w:p>
    <w:bookmarkEnd w:id="497"/>
    <w:bookmarkEnd w:id="498"/>
    <w:p w14:paraId="395B4EE0">
      <w:pPr>
        <w:spacing w:line="360" w:lineRule="auto"/>
        <w:rPr>
          <w:rFonts w:hint="eastAsia" w:ascii="宋体" w:hAnsi="宋体" w:eastAsia="宋体" w:cs="宋体"/>
          <w:b/>
          <w:color w:val="auto"/>
          <w:spacing w:val="6"/>
          <w:sz w:val="30"/>
          <w:szCs w:val="30"/>
          <w:highlight w:val="none"/>
        </w:rPr>
      </w:pPr>
    </w:p>
    <w:p w14:paraId="74AE30F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eastAsia="宋体" w:cs="宋体"/>
          <w:color w:val="auto"/>
          <w:sz w:val="24"/>
          <w:highlight w:val="none"/>
          <w:u w:val="single"/>
        </w:rPr>
        <w:t>(采购人)</w:t>
      </w:r>
      <w:r>
        <w:rPr>
          <w:rFonts w:hint="eastAsia" w:ascii="宋体" w:hAnsi="宋体" w:eastAsia="宋体" w:cs="宋体"/>
          <w:color w:val="auto"/>
          <w:sz w:val="24"/>
          <w:highlight w:val="none"/>
        </w:rPr>
        <w:t>_单位的_</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045C69A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098D748E">
      <w:pPr>
        <w:spacing w:line="360" w:lineRule="auto"/>
        <w:ind w:firstLine="480" w:firstLineChars="200"/>
        <w:rPr>
          <w:rFonts w:hint="eastAsia" w:ascii="宋体" w:hAnsi="宋体" w:eastAsia="宋体" w:cs="宋体"/>
          <w:color w:val="auto"/>
          <w:sz w:val="24"/>
          <w:highlight w:val="none"/>
        </w:rPr>
      </w:pPr>
    </w:p>
    <w:p w14:paraId="1C63D86B">
      <w:pPr>
        <w:spacing w:line="360" w:lineRule="auto"/>
        <w:ind w:firstLine="480" w:firstLineChars="200"/>
        <w:rPr>
          <w:rFonts w:hint="eastAsia" w:ascii="宋体" w:hAnsi="宋体" w:eastAsia="宋体" w:cs="宋体"/>
          <w:color w:val="auto"/>
          <w:sz w:val="24"/>
          <w:highlight w:val="none"/>
        </w:rPr>
      </w:pPr>
    </w:p>
    <w:p w14:paraId="4FD8588B">
      <w:pPr>
        <w:tabs>
          <w:tab w:val="left" w:pos="4860"/>
        </w:tabs>
        <w:spacing w:line="360" w:lineRule="auto"/>
        <w:ind w:right="1560"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zh-CN"/>
        </w:rPr>
        <w:t>投标人名称（电子签名）</w:t>
      </w:r>
      <w:r>
        <w:rPr>
          <w:rFonts w:hint="eastAsia" w:ascii="宋体" w:hAnsi="宋体" w:eastAsia="宋体" w:cs="宋体"/>
          <w:color w:val="auto"/>
          <w:sz w:val="24"/>
          <w:highlight w:val="none"/>
        </w:rPr>
        <w:t>：</w:t>
      </w:r>
    </w:p>
    <w:p w14:paraId="113966DE">
      <w:pPr>
        <w:tabs>
          <w:tab w:val="left" w:pos="4860"/>
        </w:tabs>
        <w:spacing w:line="360" w:lineRule="auto"/>
        <w:ind w:right="1560"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p>
    <w:p w14:paraId="15B1947D">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2EB493EC">
      <w:pPr>
        <w:spacing w:line="360" w:lineRule="auto"/>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附件2：质疑函范本及制作说明</w:t>
      </w:r>
    </w:p>
    <w:p w14:paraId="35852FA4">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质疑函范本</w:t>
      </w:r>
    </w:p>
    <w:p w14:paraId="0A24E499">
      <w:pPr>
        <w:snapToGrid w:val="0"/>
        <w:spacing w:before="240" w:beforeLines="100"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一、质疑供应商基本信息</w:t>
      </w:r>
    </w:p>
    <w:p w14:paraId="04438EA7">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质疑供应商：</w:t>
      </w:r>
      <w:r>
        <w:rPr>
          <w:rFonts w:hint="eastAsia" w:ascii="宋体" w:hAnsi="宋体" w:eastAsia="宋体" w:cs="宋体"/>
          <w:color w:val="auto"/>
          <w:sz w:val="24"/>
          <w:highlight w:val="none"/>
          <w:u w:val="dotted"/>
        </w:rPr>
        <w:t xml:space="preserve">                                        </w:t>
      </w:r>
    </w:p>
    <w:p w14:paraId="0930AAA3">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4DEF085A">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p>
    <w:p w14:paraId="3A848ABE">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786A5D3E">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775CCD56">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二、质疑项目基本情况</w:t>
      </w:r>
    </w:p>
    <w:p w14:paraId="3EE74A09">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质疑项目的名称：</w:t>
      </w:r>
      <w:r>
        <w:rPr>
          <w:rFonts w:hint="eastAsia" w:ascii="宋体" w:hAnsi="宋体" w:eastAsia="宋体" w:cs="宋体"/>
          <w:color w:val="auto"/>
          <w:sz w:val="24"/>
          <w:highlight w:val="none"/>
          <w:u w:val="dotted"/>
        </w:rPr>
        <w:t xml:space="preserve">                                      </w:t>
      </w:r>
    </w:p>
    <w:p w14:paraId="5EFE4B85">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358807ED">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p>
    <w:p w14:paraId="5B6B02DE">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采购文件获取日期：</w:t>
      </w:r>
      <w:r>
        <w:rPr>
          <w:rFonts w:hint="eastAsia" w:ascii="宋体" w:hAnsi="宋体" w:eastAsia="宋体" w:cs="宋体"/>
          <w:color w:val="auto"/>
          <w:sz w:val="24"/>
          <w:highlight w:val="none"/>
          <w:u w:val="dotted"/>
        </w:rPr>
        <w:t xml:space="preserve">                                           </w:t>
      </w:r>
    </w:p>
    <w:p w14:paraId="3C9ECDB8">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三、质疑事项具体内容</w:t>
      </w:r>
    </w:p>
    <w:p w14:paraId="1C046B5A">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质疑事项1：</w:t>
      </w:r>
      <w:r>
        <w:rPr>
          <w:rFonts w:hint="eastAsia" w:ascii="宋体" w:hAnsi="宋体" w:eastAsia="宋体" w:cs="宋体"/>
          <w:color w:val="auto"/>
          <w:sz w:val="24"/>
          <w:highlight w:val="none"/>
          <w:u w:val="dotted"/>
        </w:rPr>
        <w:t xml:space="preserve">                                         </w:t>
      </w:r>
    </w:p>
    <w:p w14:paraId="5C16FADB">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44E3057D">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 xml:space="preserve">                                                       </w:t>
      </w:r>
    </w:p>
    <w:p w14:paraId="50C54B6C">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77B34C9E">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48131509">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质疑事项2</w:t>
      </w:r>
    </w:p>
    <w:p w14:paraId="254C270B">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49952B98">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四、与质疑事项相关的质疑请求</w:t>
      </w:r>
    </w:p>
    <w:p w14:paraId="05F42405">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p>
    <w:p w14:paraId="110CE97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16AB2B6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63D4A6C9">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质疑函制作说明：</w:t>
      </w:r>
    </w:p>
    <w:p w14:paraId="64B9C6E2">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1C793B3A">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highlight w:val="none"/>
        </w:rPr>
        <w:t>供应商签署的授权委托书。授权委托书应载明代理人的姓名或者名称、代理事项、具体权限、期限和相关事项。</w:t>
      </w:r>
    </w:p>
    <w:p w14:paraId="4311A880">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5AF5E76C">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348D017A">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0DAB90BE">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200096A3">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0063400F">
      <w:pPr>
        <w:spacing w:line="360" w:lineRule="auto"/>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附件3：投诉书范本及制作说明</w:t>
      </w:r>
    </w:p>
    <w:p w14:paraId="0D18E4B4">
      <w:pPr>
        <w:spacing w:line="360" w:lineRule="auto"/>
        <w:jc w:val="center"/>
        <w:rPr>
          <w:rFonts w:hint="eastAsia" w:ascii="宋体" w:hAnsi="宋体" w:eastAsia="宋体" w:cs="宋体"/>
          <w:b/>
          <w:color w:val="auto"/>
          <w:sz w:val="24"/>
          <w:highlight w:val="none"/>
        </w:rPr>
      </w:pPr>
    </w:p>
    <w:p w14:paraId="53C92849">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投诉书范本</w:t>
      </w:r>
    </w:p>
    <w:p w14:paraId="4572382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一、投诉相关主体基本情况</w:t>
      </w:r>
    </w:p>
    <w:p w14:paraId="16CC8C70">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w:t>
      </w:r>
      <w:r>
        <w:rPr>
          <w:rFonts w:hint="eastAsia" w:ascii="宋体" w:hAnsi="宋体" w:eastAsia="宋体" w:cs="宋体"/>
          <w:color w:val="auto"/>
          <w:sz w:val="24"/>
          <w:highlight w:val="none"/>
          <w:u w:val="dotted"/>
        </w:rPr>
        <w:t xml:space="preserve">                                               </w:t>
      </w:r>
    </w:p>
    <w:p w14:paraId="5C56E162">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66398464">
      <w:pPr>
        <w:tabs>
          <w:tab w:val="left" w:pos="6510"/>
        </w:tabs>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法定代表人/主要负责人：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216DD7F7">
      <w:pPr>
        <w:tabs>
          <w:tab w:val="left" w:pos="6510"/>
        </w:tabs>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018ACC79">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33F531C9">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dotted"/>
        </w:rPr>
        <w:t xml:space="preserve">                   </w:t>
      </w:r>
    </w:p>
    <w:p w14:paraId="65A87138">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被投诉人1：</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15231AF6">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213F164D">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569D7C5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被投诉人2</w:t>
      </w:r>
    </w:p>
    <w:p w14:paraId="16390DCC">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22125D9A">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相关供应商：</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1836961C">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3CFD70CA">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704544F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二、投诉项目基本情况</w:t>
      </w:r>
    </w:p>
    <w:p w14:paraId="3C677218">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dotted"/>
        </w:rPr>
        <w:t xml:space="preserve">                                        </w:t>
      </w:r>
    </w:p>
    <w:p w14:paraId="6B8FBF1A">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0132084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2A17E1CB">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代理机构名称：</w:t>
      </w:r>
      <w:r>
        <w:rPr>
          <w:rFonts w:hint="eastAsia" w:ascii="宋体" w:hAnsi="宋体" w:eastAsia="宋体" w:cs="宋体"/>
          <w:color w:val="auto"/>
          <w:sz w:val="24"/>
          <w:highlight w:val="none"/>
          <w:u w:val="dotted"/>
        </w:rPr>
        <w:t xml:space="preserve">                                         </w:t>
      </w:r>
    </w:p>
    <w:p w14:paraId="66BC1255">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采购文件公告:</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4B56EB71">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采购结果公告:</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69D62D3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三、质疑基本情况</w:t>
      </w:r>
    </w:p>
    <w:p w14:paraId="338E8556">
      <w:pPr>
        <w:spacing w:line="360" w:lineRule="auto"/>
        <w:ind w:firstLine="480" w:firstLineChars="200"/>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日,向</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提出质疑，质疑事项为：</w:t>
      </w:r>
      <w:r>
        <w:rPr>
          <w:rFonts w:hint="eastAsia" w:ascii="宋体" w:hAnsi="宋体" w:eastAsia="宋体" w:cs="宋体"/>
          <w:color w:val="auto"/>
          <w:sz w:val="24"/>
          <w:highlight w:val="none"/>
          <w:u w:val="dotted"/>
        </w:rPr>
        <w:t xml:space="preserve">       </w:t>
      </w:r>
    </w:p>
    <w:p w14:paraId="2E219784">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采购人/代理机构</w:t>
      </w:r>
      <w:r>
        <w:rPr>
          <w:rFonts w:hint="eastAsia" w:ascii="宋体" w:hAnsi="宋体" w:eastAsia="宋体" w:cs="宋体"/>
          <w:color w:val="auto"/>
          <w:sz w:val="24"/>
          <w:highlight w:val="none"/>
        </w:rPr>
        <w:t>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日,就质疑事项作出了答复/没有在法定期限内作出答复。</w:t>
      </w:r>
    </w:p>
    <w:p w14:paraId="5E3CB3B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四、投诉事项具体内容</w:t>
      </w:r>
    </w:p>
    <w:p w14:paraId="6FACEEE5">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投诉事项 1：</w:t>
      </w:r>
      <w:r>
        <w:rPr>
          <w:rFonts w:hint="eastAsia" w:ascii="宋体" w:hAnsi="宋体" w:eastAsia="宋体" w:cs="宋体"/>
          <w:color w:val="auto"/>
          <w:sz w:val="24"/>
          <w:highlight w:val="none"/>
          <w:u w:val="dotted"/>
        </w:rPr>
        <w:t xml:space="preserve">                                       </w:t>
      </w:r>
    </w:p>
    <w:p w14:paraId="274D74F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6996260A">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58667F79">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05D68E3C">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6AEC156D">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投诉事项2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14:paraId="2235EFC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五、与投诉事项相关的投诉请求</w:t>
      </w:r>
    </w:p>
    <w:p w14:paraId="45E0D9C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2C6F2320">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p>
    <w:p w14:paraId="0AB2EB8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71E4E707">
      <w:pPr>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日期：    </w:t>
      </w:r>
    </w:p>
    <w:p w14:paraId="6DABAA00">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投诉书制作说明：</w:t>
      </w:r>
    </w:p>
    <w:p w14:paraId="4D9A145C">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1.投诉人提起投诉时，应当提交投诉书和必要的证明材料，并按照被投诉人和与投诉事项有关的供应商数量提供投诉书副本。</w:t>
      </w:r>
    </w:p>
    <w:p w14:paraId="353AE740">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highlight w:val="none"/>
        </w:rPr>
        <w:t>投诉人签署的授权委托书。授权委托书应当载明代理人的姓名或者名称、代理事项、具体权限、期限和相关事项。</w:t>
      </w:r>
    </w:p>
    <w:p w14:paraId="0D47D5CC">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3.投诉人若对项目的某一分包进行投诉，投诉书应列明具体分包号。</w:t>
      </w:r>
    </w:p>
    <w:p w14:paraId="1D21EF91">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4.投诉书应简要列明质疑事项，质疑函、质疑答复等作为附件材料提供。</w:t>
      </w:r>
    </w:p>
    <w:p w14:paraId="238B9B3E">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5.投诉书的投诉事项应具体、明确，并有必要的事实依据和法律依据。</w:t>
      </w:r>
    </w:p>
    <w:p w14:paraId="27ECDF2E">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6.投诉书的投诉请求应与投诉事项相关。</w:t>
      </w:r>
    </w:p>
    <w:p w14:paraId="6EB13BA2">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05D44DC2">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26B6E7C5">
      <w:pPr>
        <w:autoSpaceDE w:val="0"/>
        <w:autoSpaceDN w:val="0"/>
        <w:jc w:val="center"/>
        <w:rPr>
          <w:rFonts w:hint="eastAsia" w:ascii="宋体" w:hAnsi="宋体" w:eastAsia="宋体" w:cs="宋体"/>
          <w:b/>
          <w:bCs/>
          <w:color w:val="auto"/>
          <w:sz w:val="32"/>
          <w:szCs w:val="32"/>
          <w:highlight w:val="none"/>
        </w:rPr>
      </w:pPr>
      <w:r>
        <w:rPr>
          <w:rFonts w:hint="eastAsia" w:ascii="宋体" w:hAnsi="宋体" w:eastAsia="宋体" w:cs="宋体"/>
          <w:b/>
          <w:color w:val="auto"/>
          <w:spacing w:val="6"/>
          <w:sz w:val="32"/>
          <w:szCs w:val="32"/>
          <w:highlight w:val="none"/>
        </w:rPr>
        <w:t>附件4：</w:t>
      </w:r>
      <w:r>
        <w:rPr>
          <w:rFonts w:hint="eastAsia" w:ascii="宋体" w:hAnsi="宋体" w:eastAsia="宋体" w:cs="宋体"/>
          <w:b/>
          <w:bCs/>
          <w:color w:val="auto"/>
          <w:sz w:val="32"/>
          <w:szCs w:val="32"/>
          <w:highlight w:val="none"/>
        </w:rPr>
        <w:t>业务专用章使用说明函</w:t>
      </w:r>
    </w:p>
    <w:p w14:paraId="128723AA">
      <w:pPr>
        <w:spacing w:line="360" w:lineRule="auto"/>
        <w:rPr>
          <w:rFonts w:hint="eastAsia" w:ascii="宋体" w:hAnsi="宋体" w:eastAsia="宋体" w:cs="宋体"/>
          <w:color w:val="auto"/>
          <w:sz w:val="24"/>
          <w:highlight w:val="none"/>
          <w:u w:val="single"/>
        </w:rPr>
      </w:pPr>
    </w:p>
    <w:p w14:paraId="69BF02B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（采购人）、（采购代理机构）：</w:t>
      </w:r>
    </w:p>
    <w:p w14:paraId="4158EA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我方</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sz w:val="24"/>
          <w:highlight w:val="none"/>
        </w:rPr>
        <w:t>(投标人全称)是中华人民共和国依法登记注册的合法企业，</w:t>
      </w:r>
      <w:r>
        <w:rPr>
          <w:rFonts w:hint="eastAsia" w:ascii="宋体" w:hAnsi="宋体" w:eastAsia="宋体" w:cs="宋体"/>
          <w:bCs/>
          <w:color w:val="auto"/>
          <w:sz w:val="24"/>
          <w:highlight w:val="none"/>
        </w:rPr>
        <w:t>在参加</w:t>
      </w:r>
      <w:r>
        <w:rPr>
          <w:rFonts w:hint="eastAsia" w:ascii="宋体" w:hAnsi="宋体" w:eastAsia="宋体" w:cs="宋体"/>
          <w:color w:val="auto"/>
          <w:sz w:val="24"/>
          <w:highlight w:val="none"/>
        </w:rPr>
        <w:t>你方组织的（项目名称）【招标编号：（采购编号）】</w:t>
      </w:r>
      <w:r>
        <w:rPr>
          <w:rFonts w:hint="eastAsia" w:ascii="宋体" w:hAnsi="宋体" w:eastAsia="宋体" w:cs="宋体"/>
          <w:bCs/>
          <w:color w:val="auto"/>
          <w:sz w:val="24"/>
          <w:highlight w:val="none"/>
        </w:rPr>
        <w:t>投标活动中作如下说明：</w:t>
      </w:r>
      <w:r>
        <w:rPr>
          <w:rFonts w:hint="eastAsia" w:ascii="宋体" w:hAnsi="宋体" w:eastAsia="宋体" w:cs="宋体"/>
          <w:color w:val="auto"/>
          <w:sz w:val="24"/>
          <w:highlight w:val="none"/>
        </w:rPr>
        <w:t xml:space="preserve">我方所使用的“XX专用章”与法定名称章具有同等的法律效力，对使用“XX专用章”的行为予以完全承认，并愿意承担相应责任。   </w:t>
      </w:r>
    </w:p>
    <w:p w14:paraId="7318CF3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特此说明。</w:t>
      </w:r>
    </w:p>
    <w:p w14:paraId="0B1E9982">
      <w:pPr>
        <w:spacing w:line="360" w:lineRule="auto"/>
        <w:ind w:firstLine="494"/>
        <w:rPr>
          <w:rFonts w:hint="eastAsia" w:ascii="宋体" w:hAnsi="宋体" w:eastAsia="宋体" w:cs="宋体"/>
          <w:color w:val="auto"/>
          <w:sz w:val="24"/>
          <w:highlight w:val="none"/>
        </w:rPr>
      </w:pPr>
    </w:p>
    <w:p w14:paraId="58C4F437">
      <w:pPr>
        <w:spacing w:line="360" w:lineRule="auto"/>
        <w:ind w:firstLine="494"/>
        <w:rPr>
          <w:rFonts w:hint="eastAsia" w:ascii="宋体" w:hAnsi="宋体" w:eastAsia="宋体" w:cs="宋体"/>
          <w:color w:val="auto"/>
          <w:sz w:val="24"/>
          <w:highlight w:val="none"/>
        </w:rPr>
      </w:pPr>
    </w:p>
    <w:p w14:paraId="5C45FA0C">
      <w:pPr>
        <w:spacing w:line="360" w:lineRule="auto"/>
        <w:rPr>
          <w:rFonts w:hint="eastAsia" w:ascii="宋体" w:hAnsi="宋体" w:eastAsia="宋体" w:cs="宋体"/>
          <w:color w:val="auto"/>
          <w:sz w:val="24"/>
          <w:highlight w:val="none"/>
        </w:rPr>
      </w:pPr>
    </w:p>
    <w:p w14:paraId="057D72DE">
      <w:pPr>
        <w:spacing w:line="360" w:lineRule="auto"/>
        <w:ind w:right="480" w:firstLine="4080" w:firstLineChars="17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投标单位（法定名称章）：</w:t>
      </w:r>
    </w:p>
    <w:p w14:paraId="6A1E2011">
      <w:pPr>
        <w:ind w:right="1440" w:firstLine="49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08E66F7A">
      <w:pP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w:t>
      </w:r>
    </w:p>
    <w:p w14:paraId="35CAA8B2">
      <w:pPr>
        <w:spacing w:line="360" w:lineRule="auto"/>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mc:AlternateContent>
          <mc:Choice Requires="wps">
            <w:drawing>
              <wp:anchor distT="0" distB="0" distL="0" distR="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4" r="9525" b="9525"/>
                <wp:wrapNone/>
                <wp:docPr id="1026" name="Rectangle 17"/>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ln>
                      </wps:spPr>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&#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xz/jB2AAAAAoBAAAPAAAAAAAAAAEAIAAAACIAAABk&#10;cnMvZG93bnJldi54bWxQSwECFAAUAAAACACHTuJAC9UheM0BAADGAwAADgAAAAAAAAABACAAAAAn&#10;AQAAZHJzL2Uyb0RvYy54bWxQSwUGAAAAAAYABgBZAQAAZgUAAAAA&#10;">
                <v:fill on="t" focussize="0,0"/>
                <v:stroke color="#000000" joinstyle="miter"/>
                <v:imagedata o:title=""/>
                <o:lock v:ext="edit" aspectratio="f"/>
              </v:rect>
            </w:pict>
          </mc:Fallback>
        </mc:AlternateContent>
      </w:r>
      <w:r>
        <w:rPr>
          <w:rFonts w:hint="eastAsia" w:ascii="宋体" w:hAnsi="宋体" w:eastAsia="宋体" w:cs="宋体"/>
          <w:b/>
          <w:bCs/>
          <w:color w:val="auto"/>
          <w:sz w:val="24"/>
          <w:highlight w:val="none"/>
        </w:rPr>
        <mc:AlternateContent>
          <mc:Choice Requires="wps">
            <w:drawing>
              <wp:anchor distT="0" distB="0" distL="0" distR="0" simplePos="0" relativeHeight="251659264" behindDoc="1" locked="0" layoutInCell="1" allowOverlap="1">
                <wp:simplePos x="0" y="0"/>
                <wp:positionH relativeFrom="column">
                  <wp:posOffset>-91440</wp:posOffset>
                </wp:positionH>
                <wp:positionV relativeFrom="paragraph">
                  <wp:posOffset>384810</wp:posOffset>
                </wp:positionV>
                <wp:extent cx="2647950" cy="2253615"/>
                <wp:effectExtent l="8890" t="13334" r="10160" b="9525"/>
                <wp:wrapNone/>
                <wp:docPr id="1027" name="Rectangle 16"/>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ln>
                      </wps:spPr>
                      <wps:bodyPr/>
                    </wps:wsp>
                  </a:graphicData>
                </a:graphic>
              </wp:anchor>
            </w:drawing>
          </mc:Choice>
          <mc:Fallback>
            <w:pict>
              <v:rect id="Rectangle 16" o:spid="_x0000_s1026" o:spt="1" style="position:absolute;left:0pt;margin-left:-7.2pt;margin-top:30.3pt;height:177.45pt;width:208.5pt;z-index:-251657216;mso-width-relative:page;mso-height-relative:page;" fillcolor="#FFFFFF" filled="t" stroked="t" coordsize="21600,21600" o:gfxdata="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d07BY2AAAAAoBAAAPAAAAAAAAAAEAIAAAACIAAABk&#10;cnMvZG93bnJldi54bWxQSwECFAAUAAAACACHTuJAD8HNp80BAADGAwAADgAAAAAAAAABACAAAAAn&#10;AQAAZHJzL2Uyb0RvYy54bWxQSwUGAAAAAAYABgBZAQAAZgUAAAAA&#10;">
                <v:fill on="t" focussize="0,0"/>
                <v:stroke color="#000000" joinstyle="miter"/>
                <v:imagedata o:title=""/>
                <o:lock v:ext="edit" aspectratio="f"/>
              </v:rect>
            </w:pict>
          </mc:Fallback>
        </mc:AlternateContent>
      </w:r>
      <w:r>
        <w:rPr>
          <w:rFonts w:hint="eastAsia" w:ascii="宋体" w:hAnsi="宋体" w:eastAsia="宋体" w:cs="宋体"/>
          <w:color w:val="auto"/>
          <w:sz w:val="24"/>
          <w:highlight w:val="none"/>
        </w:rPr>
        <w:t>投标单位法定名称章（印模）                投标单位“XX专用章”（印模）</w:t>
      </w:r>
    </w:p>
    <w:p w14:paraId="0F2DA869">
      <w:pPr>
        <w:autoSpaceDE w:val="0"/>
        <w:autoSpaceDN w:val="0"/>
        <w:jc w:val="center"/>
        <w:rPr>
          <w:rFonts w:hint="eastAsia" w:ascii="宋体" w:hAnsi="宋体" w:eastAsia="宋体" w:cs="宋体"/>
          <w:b/>
          <w:color w:val="auto"/>
          <w:spacing w:val="6"/>
          <w:sz w:val="32"/>
          <w:szCs w:val="32"/>
          <w:highlight w:val="none"/>
        </w:rPr>
      </w:pPr>
    </w:p>
    <w:p w14:paraId="4FD31774">
      <w:pPr>
        <w:autoSpaceDE w:val="0"/>
        <w:autoSpaceDN w:val="0"/>
        <w:jc w:val="center"/>
        <w:rPr>
          <w:rFonts w:hint="eastAsia" w:ascii="宋体" w:hAnsi="宋体" w:eastAsia="宋体" w:cs="宋体"/>
          <w:b/>
          <w:color w:val="auto"/>
          <w:spacing w:val="6"/>
          <w:sz w:val="32"/>
          <w:szCs w:val="32"/>
          <w:highlight w:val="none"/>
        </w:rPr>
      </w:pPr>
    </w:p>
    <w:p w14:paraId="4B18303B">
      <w:pPr>
        <w:autoSpaceDE w:val="0"/>
        <w:autoSpaceDN w:val="0"/>
        <w:jc w:val="center"/>
        <w:rPr>
          <w:rFonts w:hint="eastAsia" w:ascii="宋体" w:hAnsi="宋体" w:eastAsia="宋体" w:cs="宋体"/>
          <w:b/>
          <w:color w:val="auto"/>
          <w:spacing w:val="6"/>
          <w:sz w:val="32"/>
          <w:szCs w:val="32"/>
          <w:highlight w:val="none"/>
        </w:rPr>
      </w:pPr>
    </w:p>
    <w:p w14:paraId="5000AC33">
      <w:pPr>
        <w:autoSpaceDE w:val="0"/>
        <w:autoSpaceDN w:val="0"/>
        <w:jc w:val="center"/>
        <w:rPr>
          <w:rFonts w:hint="eastAsia" w:ascii="宋体" w:hAnsi="宋体" w:eastAsia="宋体" w:cs="宋体"/>
          <w:b/>
          <w:color w:val="auto"/>
          <w:spacing w:val="6"/>
          <w:sz w:val="32"/>
          <w:szCs w:val="32"/>
          <w:highlight w:val="none"/>
        </w:rPr>
      </w:pPr>
    </w:p>
    <w:p w14:paraId="7DEE0E25">
      <w:pPr>
        <w:autoSpaceDE w:val="0"/>
        <w:autoSpaceDN w:val="0"/>
        <w:jc w:val="center"/>
        <w:rPr>
          <w:rFonts w:hint="eastAsia" w:ascii="宋体" w:hAnsi="宋体" w:eastAsia="宋体" w:cs="宋体"/>
          <w:b/>
          <w:color w:val="auto"/>
          <w:spacing w:val="6"/>
          <w:sz w:val="32"/>
          <w:szCs w:val="32"/>
          <w:highlight w:val="none"/>
        </w:rPr>
      </w:pPr>
    </w:p>
    <w:p w14:paraId="14DA2EC5">
      <w:pPr>
        <w:autoSpaceDE w:val="0"/>
        <w:autoSpaceDN w:val="0"/>
        <w:jc w:val="center"/>
        <w:rPr>
          <w:rFonts w:hint="eastAsia" w:ascii="宋体" w:hAnsi="宋体" w:eastAsia="宋体" w:cs="宋体"/>
          <w:b/>
          <w:color w:val="auto"/>
          <w:spacing w:val="6"/>
          <w:sz w:val="32"/>
          <w:szCs w:val="32"/>
          <w:highlight w:val="none"/>
        </w:rPr>
      </w:pPr>
    </w:p>
    <w:p w14:paraId="2CE83CFB">
      <w:pPr>
        <w:autoSpaceDE w:val="0"/>
        <w:autoSpaceDN w:val="0"/>
        <w:jc w:val="center"/>
        <w:rPr>
          <w:rFonts w:hint="eastAsia" w:ascii="宋体" w:hAnsi="宋体" w:eastAsia="宋体" w:cs="宋体"/>
          <w:b/>
          <w:color w:val="auto"/>
          <w:spacing w:val="6"/>
          <w:sz w:val="32"/>
          <w:szCs w:val="32"/>
          <w:highlight w:val="none"/>
        </w:rPr>
      </w:pPr>
    </w:p>
    <w:p w14:paraId="73DB4955">
      <w:pPr>
        <w:autoSpaceDE w:val="0"/>
        <w:autoSpaceDN w:val="0"/>
        <w:jc w:val="center"/>
        <w:rPr>
          <w:rFonts w:hint="eastAsia" w:ascii="宋体" w:hAnsi="宋体" w:eastAsia="宋体" w:cs="宋体"/>
          <w:b/>
          <w:color w:val="auto"/>
          <w:spacing w:val="6"/>
          <w:sz w:val="32"/>
          <w:szCs w:val="32"/>
          <w:highlight w:val="none"/>
        </w:rPr>
      </w:pPr>
    </w:p>
    <w:p w14:paraId="3125AF2E">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504D3F33">
      <w:pPr>
        <w:autoSpaceDE w:val="0"/>
        <w:autoSpaceDN w:val="0"/>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spacing w:val="6"/>
          <w:sz w:val="32"/>
          <w:szCs w:val="32"/>
          <w:highlight w:val="none"/>
        </w:rPr>
        <w:t>附件5：</w:t>
      </w:r>
      <w:r>
        <w:rPr>
          <w:rFonts w:hint="eastAsia" w:ascii="宋体" w:hAnsi="宋体" w:eastAsia="宋体" w:cs="宋体"/>
          <w:b/>
          <w:color w:val="auto"/>
          <w:kern w:val="0"/>
          <w:sz w:val="32"/>
          <w:szCs w:val="32"/>
          <w:highlight w:val="none"/>
          <w:lang w:val="zh-CN"/>
        </w:rPr>
        <w:t>联合协议</w:t>
      </w:r>
    </w:p>
    <w:p w14:paraId="3F13624D">
      <w:pPr>
        <w:widowControl/>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（以联合体形式投标的，提供联合协议；本项目不接受联合体投标或者投标人不以联合体形式投标的，则不需要提供）</w:t>
      </w:r>
    </w:p>
    <w:p w14:paraId="526B8F88">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（联合体所有成员名称）</w:t>
      </w:r>
      <w:r>
        <w:rPr>
          <w:rFonts w:hint="eastAsia" w:ascii="宋体" w:hAnsi="宋体" w:eastAsia="宋体" w:cs="宋体"/>
          <w:color w:val="auto"/>
          <w:kern w:val="0"/>
          <w:sz w:val="24"/>
          <w:highlight w:val="none"/>
        </w:rPr>
        <w:t>自愿</w:t>
      </w:r>
      <w:r>
        <w:rPr>
          <w:rFonts w:hint="eastAsia" w:ascii="宋体" w:hAnsi="宋体" w:eastAsia="宋体" w:cs="宋体"/>
          <w:color w:val="auto"/>
          <w:kern w:val="0"/>
          <w:sz w:val="24"/>
          <w:highlight w:val="none"/>
          <w:lang w:val="zh-CN"/>
        </w:rPr>
        <w:t>组成一个联合体，以一个投标人的身份</w:t>
      </w:r>
      <w:r>
        <w:rPr>
          <w:rFonts w:hint="eastAsia" w:ascii="宋体" w:hAnsi="宋体" w:eastAsia="宋体" w:cs="宋体"/>
          <w:color w:val="auto"/>
          <w:kern w:val="0"/>
          <w:sz w:val="24"/>
          <w:highlight w:val="none"/>
        </w:rPr>
        <w:t>参加</w:t>
      </w:r>
      <w:r>
        <w:rPr>
          <w:rFonts w:hint="eastAsia" w:ascii="宋体" w:hAnsi="宋体" w:eastAsia="宋体" w:cs="宋体"/>
          <w:color w:val="auto"/>
          <w:sz w:val="24"/>
          <w:highlight w:val="none"/>
        </w:rPr>
        <w:t>（项目名称）【招标编号：（采购编号）】</w:t>
      </w:r>
      <w:r>
        <w:rPr>
          <w:rFonts w:hint="eastAsia" w:ascii="宋体" w:hAnsi="宋体" w:eastAsia="宋体" w:cs="宋体"/>
          <w:color w:val="auto"/>
          <w:kern w:val="0"/>
          <w:sz w:val="24"/>
          <w:highlight w:val="none"/>
          <w:lang w:val="zh-CN"/>
        </w:rPr>
        <w:t xml:space="preserve">投标。 </w:t>
      </w:r>
    </w:p>
    <w:p w14:paraId="7E1DA05D">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一、各方一致决定，</w:t>
      </w:r>
      <w:r>
        <w:rPr>
          <w:rFonts w:hint="eastAsia" w:ascii="宋体" w:hAnsi="宋体" w:eastAsia="宋体" w:cs="宋体"/>
          <w:color w:val="auto"/>
          <w:kern w:val="0"/>
          <w:sz w:val="24"/>
          <w:highlight w:val="none"/>
          <w:u w:val="single"/>
        </w:rPr>
        <w:t>（某联合体成员名称）</w:t>
      </w:r>
      <w:r>
        <w:rPr>
          <w:rFonts w:hint="eastAsia" w:ascii="宋体" w:hAnsi="宋体" w:eastAsia="宋体" w:cs="宋体"/>
          <w:color w:val="auto"/>
          <w:kern w:val="0"/>
          <w:sz w:val="24"/>
          <w:highlight w:val="none"/>
        </w:rPr>
        <w:t>为联合体</w:t>
      </w:r>
      <w:r>
        <w:rPr>
          <w:rFonts w:hint="eastAsia" w:ascii="宋体" w:hAnsi="宋体" w:eastAsia="宋体" w:cs="宋体"/>
          <w:color w:val="auto"/>
          <w:kern w:val="0"/>
          <w:sz w:val="24"/>
          <w:highlight w:val="none"/>
          <w:lang w:val="zh-CN"/>
        </w:rPr>
        <w:t>牵头人</w:t>
      </w:r>
      <w:r>
        <w:rPr>
          <w:rFonts w:hint="eastAsia" w:ascii="宋体" w:hAnsi="宋体" w:eastAsia="宋体" w:cs="宋体"/>
          <w:color w:val="auto"/>
          <w:sz w:val="24"/>
          <w:highlight w:val="none"/>
        </w:rPr>
        <w:t>，代表所有联合体成员负责投标和合同实施阶段的主办、协调工作</w:t>
      </w:r>
      <w:r>
        <w:rPr>
          <w:rFonts w:hint="eastAsia" w:ascii="宋体" w:hAnsi="宋体" w:eastAsia="宋体" w:cs="宋体"/>
          <w:color w:val="auto"/>
          <w:kern w:val="0"/>
          <w:sz w:val="24"/>
          <w:highlight w:val="none"/>
          <w:lang w:val="zh-CN"/>
        </w:rPr>
        <w:t>。</w:t>
      </w:r>
    </w:p>
    <w:p w14:paraId="18E9EB64">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w:t>
      </w:r>
      <w:r>
        <w:rPr>
          <w:rFonts w:hint="eastAsia" w:ascii="宋体" w:hAnsi="宋体" w:eastAsia="宋体" w:cs="宋体"/>
          <w:color w:val="auto"/>
          <w:sz w:val="24"/>
          <w:highlight w:val="none"/>
        </w:rPr>
        <w:t>所有联合体成员各方签署授权书，授权书载明的</w:t>
      </w:r>
      <w:r>
        <w:rPr>
          <w:rFonts w:hint="eastAsia" w:ascii="宋体" w:hAnsi="宋体" w:eastAsia="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610F0CED">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三、本次联合投标中，分工如下：</w:t>
      </w:r>
    </w:p>
    <w:p w14:paraId="19860AEB">
      <w:pPr>
        <w:snapToGrid w:val="0"/>
        <w:spacing w:line="360" w:lineRule="auto"/>
        <w:ind w:firstLine="576"/>
        <w:rPr>
          <w:rFonts w:hint="eastAsia" w:ascii="宋体" w:hAnsi="宋体" w:eastAsia="宋体" w:cs="宋体"/>
          <w:color w:val="auto"/>
          <w:kern w:val="0"/>
          <w:sz w:val="24"/>
          <w:highlight w:val="none"/>
          <w:lang w:val="zh-CN"/>
        </w:rPr>
      </w:pPr>
      <w:bookmarkStart w:id="499" w:name="_Hlk101134295"/>
      <w:r>
        <w:rPr>
          <w:rFonts w:hint="eastAsia" w:ascii="宋体" w:hAnsi="宋体" w:eastAsia="宋体" w:cs="宋体"/>
          <w:color w:val="auto"/>
          <w:kern w:val="0"/>
          <w:sz w:val="24"/>
          <w:highlight w:val="none"/>
          <w:u w:val="single"/>
        </w:rPr>
        <w:t>（联合体成员1）</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5F931A0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（联合体成员2）</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0161643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w:t>
      </w:r>
    </w:p>
    <w:bookmarkEnd w:id="499"/>
    <w:p w14:paraId="1C977F9F">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四、联合体成员中小企业合同份额。（</w:t>
      </w:r>
      <w:r>
        <w:rPr>
          <w:rFonts w:hint="eastAsia" w:ascii="宋体" w:hAnsi="宋体" w:eastAsia="宋体" w:cs="宋体"/>
          <w:color w:val="auto"/>
          <w:kern w:val="0"/>
          <w:sz w:val="24"/>
          <w:highlight w:val="none"/>
          <w:lang w:val="en-US" w:eastAsia="zh-CN"/>
        </w:rPr>
        <w:t>根据项目具体情况二选一填写）</w:t>
      </w:r>
      <w:r>
        <w:rPr>
          <w:rFonts w:hint="eastAsia" w:ascii="宋体" w:hAnsi="宋体" w:eastAsia="宋体" w:cs="宋体"/>
          <w:color w:val="auto"/>
          <w:kern w:val="0"/>
          <w:sz w:val="24"/>
          <w:highlight w:val="none"/>
          <w:lang w:val="zh-CN"/>
        </w:rPr>
        <w:t>。</w:t>
      </w:r>
    </w:p>
    <w:p w14:paraId="7905BCB8">
      <w:pPr>
        <w:snapToGrid w:val="0"/>
        <w:spacing w:line="360" w:lineRule="auto"/>
        <w:ind w:firstLine="576"/>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highlight w:val="none"/>
          <w:u w:val="single"/>
        </w:rPr>
        <w:t>（联合体成员X,……）</w:t>
      </w:r>
      <w:r>
        <w:rPr>
          <w:rFonts w:hint="eastAsia" w:ascii="宋体" w:hAnsi="宋体" w:eastAsia="宋体" w:cs="宋体"/>
          <w:color w:val="auto"/>
          <w:kern w:val="0"/>
          <w:sz w:val="24"/>
          <w:highlight w:val="none"/>
        </w:rPr>
        <w:t>提供的全部货物由小微企业制造，其合同份额占到合同总金额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kern w:val="0"/>
          <w:sz w:val="24"/>
          <w:highlight w:val="none"/>
          <w:lang w:val="zh-CN"/>
        </w:rPr>
        <w:t>……。</w:t>
      </w:r>
      <w:r>
        <w:rPr>
          <w:rFonts w:hint="eastAsia" w:ascii="宋体" w:hAnsi="宋体" w:eastAsia="宋体" w:cs="宋体"/>
          <w:b/>
          <w:color w:val="auto"/>
          <w:kern w:val="0"/>
          <w:sz w:val="24"/>
          <w:highlight w:val="none"/>
          <w:lang w:val="zh-CN"/>
        </w:rPr>
        <w:t>（未预留份额专门面向中小企业采购的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eastAsia="宋体" w:cs="宋体"/>
          <w:b/>
          <w:color w:val="auto"/>
          <w:sz w:val="24"/>
          <w:highlight w:val="none"/>
        </w:rPr>
        <w:t>拟享受以上价格扣除政策的，填写有关内容。</w:t>
      </w:r>
      <w:r>
        <w:rPr>
          <w:rFonts w:hint="eastAsia" w:ascii="宋体" w:hAnsi="宋体" w:eastAsia="宋体" w:cs="宋体"/>
          <w:b/>
          <w:color w:val="auto"/>
          <w:kern w:val="0"/>
          <w:sz w:val="24"/>
          <w:highlight w:val="none"/>
          <w:lang w:val="zh-CN"/>
        </w:rPr>
        <w:t>）</w:t>
      </w:r>
    </w:p>
    <w:p w14:paraId="2D02DFB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color w:val="auto"/>
          <w:sz w:val="24"/>
          <w:highlight w:val="none"/>
        </w:rPr>
        <w:t>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%，其中小微企业合同金额达到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eastAsia="宋体" w:cs="宋体"/>
          <w:b/>
          <w:bCs/>
          <w:color w:val="auto"/>
          <w:kern w:val="0"/>
          <w:sz w:val="24"/>
          <w:highlight w:val="none"/>
          <w:lang w:val="zh-CN"/>
        </w:rPr>
        <w:t>）</w:t>
      </w:r>
    </w:p>
    <w:p w14:paraId="1FF0D23D">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五、如果中标，</w:t>
      </w:r>
      <w:r>
        <w:rPr>
          <w:rFonts w:hint="eastAsia" w:ascii="宋体" w:hAnsi="宋体" w:eastAsia="宋体" w:cs="宋体"/>
          <w:color w:val="auto"/>
          <w:sz w:val="24"/>
          <w:highlight w:val="none"/>
        </w:rPr>
        <w:t>联合体各成员方共同与采购人签订合同，并就采购合同约定的事项对采购人承担连带责任。</w:t>
      </w:r>
    </w:p>
    <w:p w14:paraId="2A44404D">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六、有关本次联合投标的其他事宜：</w:t>
      </w:r>
    </w:p>
    <w:p w14:paraId="764D789A">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1、联合体各方不再单独参加或者与其他供应商另外组成联合体参加同一合同项下的政府采购活动。</w:t>
      </w:r>
    </w:p>
    <w:p w14:paraId="149C831D">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2、联合体中有同类资质的各方按照联合体分工承担相同工作的，按照资质等级较低的供应商确定资质等级。</w:t>
      </w:r>
    </w:p>
    <w:p w14:paraId="154838BD">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3、本协议提交采购人、采购代理机构后，联合体各方不得以任何形式对上述内容进行修改或撤销。</w:t>
      </w:r>
    </w:p>
    <w:p w14:paraId="30E439D8">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联合体成员名称(电子签名/公章)：</w:t>
      </w:r>
    </w:p>
    <w:p w14:paraId="3F146039">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联合体成员名称(电子签名/公章)：</w:t>
      </w:r>
    </w:p>
    <w:p w14:paraId="13A659DC">
      <w:pPr>
        <w:snapToGrid w:val="0"/>
        <w:spacing w:line="360" w:lineRule="auto"/>
        <w:ind w:right="960"/>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59EFEA00">
      <w:pPr>
        <w:snapToGrid w:val="0"/>
        <w:spacing w:line="360" w:lineRule="auto"/>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45DB4DC">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48D4C1D8">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62D80C6E">
      <w:pPr>
        <w:snapToGrid w:val="0"/>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spacing w:val="6"/>
          <w:sz w:val="32"/>
          <w:szCs w:val="32"/>
          <w:highlight w:val="none"/>
        </w:rPr>
        <w:t>附件6：</w:t>
      </w:r>
      <w:r>
        <w:rPr>
          <w:rFonts w:hint="eastAsia" w:ascii="宋体" w:hAnsi="宋体" w:eastAsia="宋体" w:cs="宋体"/>
          <w:b/>
          <w:color w:val="auto"/>
          <w:kern w:val="0"/>
          <w:sz w:val="32"/>
          <w:szCs w:val="32"/>
          <w:highlight w:val="none"/>
        </w:rPr>
        <w:t>分包意向协议</w:t>
      </w:r>
    </w:p>
    <w:p w14:paraId="77A880D9">
      <w:pPr>
        <w:widowControl/>
        <w:spacing w:line="360" w:lineRule="auto"/>
        <w:ind w:firstLine="120" w:firstLine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eastAsia="宋体" w:cs="宋体"/>
          <w:color w:val="auto"/>
          <w:sz w:val="24"/>
          <w:highlight w:val="none"/>
        </w:rPr>
        <w:t>）</w:t>
      </w:r>
    </w:p>
    <w:p w14:paraId="0CCFE97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lang w:val="zh-CN"/>
        </w:rPr>
        <w:t>若成为</w:t>
      </w:r>
      <w:r>
        <w:rPr>
          <w:rFonts w:hint="eastAsia" w:ascii="宋体" w:hAnsi="宋体" w:eastAsia="宋体" w:cs="宋体"/>
          <w:color w:val="auto"/>
          <w:sz w:val="24"/>
          <w:highlight w:val="none"/>
        </w:rPr>
        <w:t>（项目名称）【招标编号：（采购编号）】</w:t>
      </w:r>
      <w:r>
        <w:rPr>
          <w:rFonts w:hint="eastAsia" w:ascii="宋体" w:hAnsi="宋体" w:eastAsia="宋体" w:cs="宋体"/>
          <w:color w:val="auto"/>
          <w:kern w:val="0"/>
          <w:sz w:val="24"/>
          <w:highlight w:val="none"/>
          <w:lang w:val="zh-CN"/>
        </w:rPr>
        <w:t>的中标供应商，将依法采取分包方式履行合同。</w:t>
      </w: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rPr>
        <w:t>与</w:t>
      </w:r>
      <w:r>
        <w:rPr>
          <w:rFonts w:hint="eastAsia" w:ascii="宋体" w:hAnsi="宋体" w:eastAsia="宋体" w:cs="宋体"/>
          <w:color w:val="auto"/>
          <w:kern w:val="0"/>
          <w:sz w:val="24"/>
          <w:highlight w:val="none"/>
          <w:u w:val="single"/>
        </w:rPr>
        <w:t>（所有分包供应商名称）</w:t>
      </w:r>
      <w:r>
        <w:rPr>
          <w:rFonts w:hint="eastAsia" w:ascii="宋体" w:hAnsi="宋体" w:eastAsia="宋体" w:cs="宋体"/>
          <w:color w:val="auto"/>
          <w:kern w:val="0"/>
          <w:sz w:val="24"/>
          <w:highlight w:val="none"/>
        </w:rPr>
        <w:t>达成分包意向协议</w:t>
      </w:r>
      <w:r>
        <w:rPr>
          <w:rFonts w:hint="eastAsia" w:ascii="宋体" w:hAnsi="宋体" w:eastAsia="宋体" w:cs="宋体"/>
          <w:color w:val="auto"/>
          <w:kern w:val="0"/>
          <w:sz w:val="24"/>
          <w:highlight w:val="none"/>
          <w:lang w:val="zh-CN"/>
        </w:rPr>
        <w:t xml:space="preserve">。 </w:t>
      </w:r>
    </w:p>
    <w:p w14:paraId="3FB79A9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w:t>
      </w:r>
      <w:r>
        <w:rPr>
          <w:rFonts w:hint="eastAsia" w:ascii="宋体" w:hAnsi="宋体" w:eastAsia="宋体" w:cs="宋体"/>
          <w:color w:val="auto"/>
          <w:kern w:val="0"/>
          <w:sz w:val="24"/>
          <w:highlight w:val="none"/>
          <w:u w:val="single"/>
          <w:lang w:val="zh-CN"/>
        </w:rPr>
        <w:t>（投标人名称）</w:t>
      </w:r>
      <w:r>
        <w:rPr>
          <w:rFonts w:hint="eastAsia" w:ascii="宋体" w:hAnsi="宋体" w:eastAsia="宋体" w:cs="宋体"/>
          <w:color w:val="auto"/>
          <w:kern w:val="0"/>
          <w:sz w:val="24"/>
          <w:highlight w:val="none"/>
          <w:u w:val="none"/>
          <w:lang w:val="zh-CN"/>
        </w:rPr>
        <w:t>将工作</w:t>
      </w:r>
      <w:r>
        <w:rPr>
          <w:rFonts w:hint="eastAsia" w:ascii="宋体" w:hAnsi="宋体" w:eastAsia="宋体" w:cs="宋体"/>
          <w:color w:val="auto"/>
          <w:kern w:val="0"/>
          <w:sz w:val="24"/>
          <w:highlight w:val="none"/>
          <w:lang w:val="zh-CN"/>
        </w:rPr>
        <w:t>分包如下：</w:t>
      </w:r>
      <w:r>
        <w:rPr>
          <w:rFonts w:hint="eastAsia" w:ascii="宋体" w:hAnsi="宋体" w:eastAsia="宋体" w:cs="宋体"/>
          <w:b/>
          <w:bCs/>
          <w:i/>
          <w:iCs/>
          <w:color w:val="auto"/>
          <w:kern w:val="0"/>
          <w:sz w:val="24"/>
          <w:szCs w:val="24"/>
          <w:highlight w:val="none"/>
          <w:lang w:val="zh-CN"/>
        </w:rPr>
        <w:t>（注：投标人只能将招标文件第二部分中“前附表”的“分包”规定的工作进行分包）</w:t>
      </w:r>
    </w:p>
    <w:p w14:paraId="2566BEC1">
      <w:pPr>
        <w:snapToGrid w:val="0"/>
        <w:spacing w:line="360" w:lineRule="auto"/>
        <w:ind w:firstLine="576"/>
        <w:rPr>
          <w:rFonts w:hint="eastAsia" w:ascii="宋体" w:hAnsi="宋体" w:eastAsia="宋体" w:cs="宋体"/>
          <w:color w:val="auto"/>
          <w:kern w:val="0"/>
          <w:sz w:val="24"/>
          <w:highlight w:val="none"/>
          <w:lang w:val="zh-CN" w:eastAsia="zh-CN"/>
        </w:rPr>
      </w:pPr>
      <w:r>
        <w:rPr>
          <w:rFonts w:hint="eastAsia" w:ascii="宋体" w:hAnsi="宋体" w:eastAsia="宋体" w:cs="宋体"/>
          <w:color w:val="auto"/>
          <w:kern w:val="0"/>
          <w:sz w:val="24"/>
          <w:highlight w:val="none"/>
          <w:lang w:val="zh-CN"/>
        </w:rPr>
        <w:t>将</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u w:val="single"/>
        </w:rPr>
        <w:t xml:space="preserve"> XX工作内容   </w:t>
      </w:r>
      <w:r>
        <w:rPr>
          <w:rFonts w:hint="eastAsia" w:ascii="宋体" w:hAnsi="宋体" w:eastAsia="宋体" w:cs="宋体"/>
          <w:color w:val="auto"/>
          <w:sz w:val="24"/>
          <w:highlight w:val="none"/>
        </w:rPr>
        <w:t>分包给</w:t>
      </w:r>
      <w:r>
        <w:rPr>
          <w:rFonts w:hint="eastAsia" w:ascii="宋体" w:hAnsi="宋体" w:eastAsia="宋体" w:cs="宋体"/>
          <w:color w:val="auto"/>
          <w:kern w:val="0"/>
          <w:sz w:val="24"/>
          <w:highlight w:val="none"/>
          <w:u w:val="single"/>
        </w:rPr>
        <w:t>（分包供应商1名称）</w:t>
      </w:r>
      <w:r>
        <w:rPr>
          <w:rFonts w:hint="eastAsia" w:ascii="宋体" w:hAnsi="宋体" w:eastAsia="宋体" w:cs="宋体"/>
          <w:color w:val="auto"/>
          <w:kern w:val="0"/>
          <w:sz w:val="24"/>
          <w:highlight w:val="none"/>
          <w:u w:val="single"/>
          <w:lang w:eastAsia="zh-CN"/>
        </w:rPr>
        <w:t>；</w:t>
      </w:r>
    </w:p>
    <w:p w14:paraId="14768EB1">
      <w:pPr>
        <w:snapToGrid w:val="0"/>
        <w:spacing w:line="360" w:lineRule="auto"/>
        <w:ind w:firstLine="576"/>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zh-CN"/>
        </w:rPr>
        <w:t>将</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u w:val="single"/>
        </w:rPr>
        <w:t xml:space="preserve"> XX工作内容   </w:t>
      </w:r>
      <w:r>
        <w:rPr>
          <w:rFonts w:hint="eastAsia" w:ascii="宋体" w:hAnsi="宋体" w:eastAsia="宋体" w:cs="宋体"/>
          <w:color w:val="auto"/>
          <w:sz w:val="24"/>
          <w:highlight w:val="none"/>
        </w:rPr>
        <w:t>分包给</w:t>
      </w:r>
      <w:r>
        <w:rPr>
          <w:rFonts w:hint="eastAsia" w:ascii="宋体" w:hAnsi="宋体" w:eastAsia="宋体" w:cs="宋体"/>
          <w:color w:val="auto"/>
          <w:kern w:val="0"/>
          <w:sz w:val="24"/>
          <w:highlight w:val="none"/>
          <w:u w:val="single"/>
        </w:rPr>
        <w:t>（分包供应商</w:t>
      </w:r>
      <w:r>
        <w:rPr>
          <w:rFonts w:hint="eastAsia" w:ascii="宋体" w:hAnsi="宋体" w:eastAsia="宋体" w:cs="宋体"/>
          <w:color w:val="auto"/>
          <w:kern w:val="0"/>
          <w:sz w:val="24"/>
          <w:highlight w:val="none"/>
          <w:u w:val="single"/>
          <w:lang w:val="en-US" w:eastAsia="zh-CN"/>
        </w:rPr>
        <w:t>2</w:t>
      </w:r>
      <w:r>
        <w:rPr>
          <w:rFonts w:hint="eastAsia" w:ascii="宋体" w:hAnsi="宋体" w:eastAsia="宋体" w:cs="宋体"/>
          <w:color w:val="auto"/>
          <w:kern w:val="0"/>
          <w:sz w:val="24"/>
          <w:highlight w:val="none"/>
          <w:u w:val="single"/>
        </w:rPr>
        <w:t>名称）</w:t>
      </w:r>
      <w:r>
        <w:rPr>
          <w:rFonts w:hint="eastAsia" w:ascii="宋体" w:hAnsi="宋体" w:eastAsia="宋体" w:cs="宋体"/>
          <w:color w:val="auto"/>
          <w:kern w:val="0"/>
          <w:sz w:val="24"/>
          <w:highlight w:val="none"/>
          <w:u w:val="single"/>
          <w:lang w:eastAsia="zh-CN"/>
        </w:rPr>
        <w:t>；</w:t>
      </w:r>
    </w:p>
    <w:p w14:paraId="0E935ABD">
      <w:pPr>
        <w:pStyle w:val="3"/>
        <w:spacing w:line="360" w:lineRule="auto"/>
        <w:ind w:left="664" w:leftChars="316" w:firstLine="229" w:firstLineChars="9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5205D7F6">
      <w:pPr>
        <w:pStyle w:val="3"/>
        <w:ind w:left="664" w:leftChars="316" w:firstLine="229" w:firstLineChars="9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highlight w:val="none"/>
          <w:u w:val="none"/>
          <w:lang w:eastAsia="zh-CN"/>
        </w:rPr>
        <w:t>以上分包供应商</w:t>
      </w:r>
      <w:r>
        <w:rPr>
          <w:rFonts w:hint="eastAsia" w:ascii="宋体" w:hAnsi="宋体" w:eastAsia="宋体" w:cs="宋体"/>
          <w:color w:val="auto"/>
          <w:kern w:val="0"/>
          <w:sz w:val="24"/>
          <w:highlight w:val="none"/>
          <w:u w:val="none"/>
          <w:lang w:val="zh-CN"/>
        </w:rPr>
        <w:t>具备所承</w:t>
      </w:r>
      <w:r>
        <w:rPr>
          <w:rFonts w:hint="eastAsia" w:ascii="宋体" w:hAnsi="宋体" w:eastAsia="宋体" w:cs="宋体"/>
          <w:color w:val="auto"/>
          <w:kern w:val="0"/>
          <w:sz w:val="24"/>
          <w:highlight w:val="none"/>
          <w:u w:val="none"/>
        </w:rPr>
        <w:t>担</w:t>
      </w:r>
      <w:r>
        <w:rPr>
          <w:rFonts w:hint="eastAsia" w:ascii="宋体" w:hAnsi="宋体" w:eastAsia="宋体" w:cs="宋体"/>
          <w:color w:val="auto"/>
          <w:kern w:val="0"/>
          <w:sz w:val="24"/>
          <w:highlight w:val="none"/>
          <w:u w:val="none"/>
          <w:lang w:val="zh-CN"/>
        </w:rPr>
        <w:t>分包工作内容相应的资质条件且不得再次分包。</w:t>
      </w:r>
    </w:p>
    <w:p w14:paraId="67249268">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二、分包供应商中小企业合同份额（</w:t>
      </w:r>
      <w:r>
        <w:rPr>
          <w:rFonts w:hint="eastAsia" w:ascii="宋体" w:hAnsi="宋体" w:eastAsia="宋体" w:cs="宋体"/>
          <w:color w:val="auto"/>
          <w:kern w:val="0"/>
          <w:sz w:val="24"/>
          <w:highlight w:val="none"/>
          <w:lang w:val="en-US" w:eastAsia="zh-CN"/>
        </w:rPr>
        <w:t>根据项目具体情况二选一填写）。</w:t>
      </w:r>
    </w:p>
    <w:p w14:paraId="4F99E08E">
      <w:pPr>
        <w:snapToGrid w:val="0"/>
        <w:spacing w:line="360" w:lineRule="auto"/>
        <w:ind w:firstLine="576"/>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u w:val="single"/>
        </w:rPr>
        <w:t>（分包供应商X,……）提供的货物全部由小微企业制造，</w:t>
      </w:r>
      <w:r>
        <w:rPr>
          <w:rFonts w:hint="eastAsia" w:ascii="宋体" w:hAnsi="宋体" w:eastAsia="宋体" w:cs="宋体"/>
          <w:color w:val="auto"/>
          <w:kern w:val="0"/>
          <w:sz w:val="24"/>
          <w:highlight w:val="none"/>
        </w:rPr>
        <w:t>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highlight w:val="none"/>
        </w:rPr>
        <w:t>。</w:t>
      </w:r>
      <w:r>
        <w:rPr>
          <w:rFonts w:hint="eastAsia" w:ascii="宋体" w:hAnsi="宋体" w:eastAsia="宋体" w:cs="宋体"/>
          <w:b/>
          <w:color w:val="auto"/>
          <w:kern w:val="0"/>
          <w:sz w:val="24"/>
          <w:highlight w:val="none"/>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eastAsia="宋体" w:cs="宋体"/>
          <w:b/>
          <w:color w:val="auto"/>
          <w:sz w:val="24"/>
          <w:highlight w:val="none"/>
        </w:rPr>
        <w:t>拟享受以上价格扣除政策的，填写有关内容。</w:t>
      </w:r>
      <w:r>
        <w:rPr>
          <w:rFonts w:hint="eastAsia" w:ascii="宋体" w:hAnsi="宋体" w:eastAsia="宋体" w:cs="宋体"/>
          <w:b/>
          <w:color w:val="auto"/>
          <w:kern w:val="0"/>
          <w:sz w:val="24"/>
          <w:highlight w:val="none"/>
          <w:lang w:val="zh-CN"/>
        </w:rPr>
        <w:t>）</w:t>
      </w:r>
    </w:p>
    <w:p w14:paraId="26649946">
      <w:pPr>
        <w:spacing w:line="360" w:lineRule="auto"/>
        <w:ind w:firstLine="480" w:firstLineChars="200"/>
        <w:rPr>
          <w:rFonts w:hint="eastAsia" w:ascii="宋体" w:hAnsi="宋体" w:eastAsia="宋体" w:cs="宋体"/>
          <w:b/>
          <w:bCs/>
          <w:color w:val="auto"/>
          <w:kern w:val="0"/>
          <w:sz w:val="24"/>
          <w:highlight w:val="none"/>
          <w:lang w:val="zh-CN"/>
        </w:rPr>
      </w:pP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highlight w:val="none"/>
          <w:lang w:val="en-US" w:eastAsia="zh-CN"/>
        </w:rPr>
        <w:t xml:space="preserve"> </w:t>
      </w:r>
      <w:bookmarkStart w:id="500" w:name="_Hlk101133173"/>
      <w:r>
        <w:rPr>
          <w:rFonts w:hint="eastAsia" w:ascii="宋体" w:hAnsi="宋体" w:eastAsia="宋体" w:cs="宋体"/>
          <w:color w:val="auto"/>
          <w:sz w:val="24"/>
          <w:highlight w:val="none"/>
        </w:rPr>
        <w:t>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其中</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要求合同分包形式参加的项目或采购包，供应商按招标文件第一部分招标公告申请人的资格要求中规定的</w:t>
      </w:r>
      <w:r>
        <w:rPr>
          <w:rFonts w:hint="eastAsia" w:ascii="宋体" w:hAnsi="宋体" w:eastAsia="宋体" w:cs="宋体"/>
          <w:b/>
          <w:color w:val="auto"/>
          <w:kern w:val="0"/>
          <w:sz w:val="24"/>
          <w:highlight w:val="none"/>
          <w:lang w:val="zh-CN"/>
        </w:rPr>
        <w:t>分包意向协议</w:t>
      </w:r>
      <w:r>
        <w:rPr>
          <w:rFonts w:hint="eastAsia" w:ascii="宋体" w:hAnsi="宋体" w:eastAsia="宋体" w:cs="宋体"/>
          <w:b/>
          <w:bCs/>
          <w:color w:val="auto"/>
          <w:sz w:val="24"/>
          <w:highlight w:val="none"/>
        </w:rPr>
        <w:t>中中小企业、其中小微企业合同金额应当达到的比例要求填写。</w:t>
      </w:r>
      <w:r>
        <w:rPr>
          <w:rFonts w:hint="eastAsia" w:ascii="宋体" w:hAnsi="宋体" w:eastAsia="宋体" w:cs="宋体"/>
          <w:b/>
          <w:bCs/>
          <w:color w:val="auto"/>
          <w:kern w:val="0"/>
          <w:sz w:val="24"/>
          <w:highlight w:val="none"/>
          <w:lang w:val="zh-CN"/>
        </w:rPr>
        <w:t>）</w:t>
      </w:r>
      <w:bookmarkEnd w:id="500"/>
    </w:p>
    <w:p w14:paraId="71011D0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三、分包工作履行期限、地点、方式</w:t>
      </w:r>
    </w:p>
    <w:p w14:paraId="2D8F239E">
      <w:pPr>
        <w:snapToGrid w:val="0"/>
        <w:spacing w:line="360" w:lineRule="auto"/>
        <w:ind w:firstLine="576"/>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2E0D4D12">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四、质量</w:t>
      </w:r>
    </w:p>
    <w:p w14:paraId="5F26E8E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6F380BE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五、价款或者报酬</w:t>
      </w:r>
    </w:p>
    <w:p w14:paraId="5797E327">
      <w:pPr>
        <w:snapToGrid w:val="0"/>
        <w:spacing w:line="360" w:lineRule="auto"/>
        <w:ind w:left="573" w:leftChars="273"/>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12BC8C11">
      <w:pPr>
        <w:snapToGrid w:val="0"/>
        <w:spacing w:line="360" w:lineRule="auto"/>
        <w:ind w:left="573" w:leftChars="273"/>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六、违约责任</w:t>
      </w:r>
    </w:p>
    <w:p w14:paraId="4FC8C08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23B61D8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七、争议解决的办法</w:t>
      </w:r>
    </w:p>
    <w:p w14:paraId="2ABD416E">
      <w:pPr>
        <w:snapToGrid w:val="0"/>
        <w:spacing w:line="360" w:lineRule="auto"/>
        <w:ind w:left="770" w:leftChars="342" w:hanging="52" w:hangingChars="25"/>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八、其他</w:t>
      </w:r>
    </w:p>
    <w:p w14:paraId="5E51CF24">
      <w:pPr>
        <w:snapToGrid w:val="0"/>
        <w:spacing w:line="360" w:lineRule="auto"/>
        <w:ind w:left="5128" w:leftChars="342" w:hanging="4410" w:hangingChars="2100"/>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 xml:space="preserve"> 投标人名称(电子签名)：</w:t>
      </w:r>
    </w:p>
    <w:p w14:paraId="2B15CBE3">
      <w:pPr>
        <w:snapToGrid w:val="0"/>
        <w:spacing w:line="360" w:lineRule="auto"/>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分包供应商名称(电子签名/公章)：</w:t>
      </w:r>
    </w:p>
    <w:p w14:paraId="6ED2405D">
      <w:pPr>
        <w:snapToGrid w:val="0"/>
        <w:spacing w:line="360" w:lineRule="auto"/>
        <w:ind w:firstLine="5760" w:firstLineChars="2400"/>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w:t>
      </w:r>
    </w:p>
    <w:p w14:paraId="31CBD89E">
      <w:pPr>
        <w:spacing w:line="360" w:lineRule="auto"/>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3E635D7E">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10A45D90">
      <w:pPr>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br w:type="page"/>
      </w:r>
    </w:p>
    <w:p w14:paraId="4ED2BF60">
      <w:pPr>
        <w:spacing w:line="360" w:lineRule="auto"/>
        <w:jc w:val="left"/>
        <w:outlineLvl w:val="0"/>
        <w:rPr>
          <w:rFonts w:hint="eastAsia" w:ascii="宋体" w:hAnsi="宋体" w:eastAsia="宋体" w:cs="宋体"/>
          <w:b/>
          <w:color w:val="auto"/>
          <w:sz w:val="32"/>
          <w:szCs w:val="18"/>
          <w:highlight w:val="none"/>
        </w:rPr>
      </w:pPr>
      <w:r>
        <w:rPr>
          <w:rFonts w:hint="eastAsia" w:ascii="宋体" w:hAnsi="宋体" w:eastAsia="宋体" w:cs="宋体"/>
          <w:b/>
          <w:color w:val="auto"/>
          <w:sz w:val="32"/>
          <w:szCs w:val="18"/>
          <w:highlight w:val="none"/>
        </w:rPr>
        <w:t>附件7：中小企业声明函</w:t>
      </w:r>
    </w:p>
    <w:p w14:paraId="69F4DFC4">
      <w:pPr>
        <w:spacing w:line="360" w:lineRule="auto"/>
        <w:jc w:val="center"/>
        <w:rPr>
          <w:rFonts w:hint="eastAsia" w:ascii="宋体" w:hAnsi="宋体" w:eastAsia="宋体" w:cs="宋体"/>
          <w:color w:val="auto"/>
          <w:sz w:val="24"/>
          <w:highlight w:val="none"/>
          <w:u w:val="single"/>
        </w:rPr>
      </w:pPr>
    </w:p>
    <w:p w14:paraId="0CF29F26">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中小企业声明函（服务）</w:t>
      </w:r>
    </w:p>
    <w:p w14:paraId="376E3069">
      <w:pPr>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eastAsia="宋体" w:cs="宋体"/>
          <w:color w:val="auto"/>
          <w:sz w:val="24"/>
          <w:highlight w:val="none"/>
          <w:u w:val="single"/>
        </w:rPr>
        <w:t xml:space="preserve">（采购人）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263A8A8">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 xml:space="preserve"> （采购文件中明确的所属行业）</w:t>
      </w:r>
      <w:r>
        <w:rPr>
          <w:rFonts w:hint="eastAsia" w:ascii="宋体" w:hAnsi="宋体" w:eastAsia="宋体" w:cs="宋体"/>
          <w:color w:val="auto"/>
          <w:sz w:val="24"/>
          <w:highlight w:val="none"/>
        </w:rPr>
        <w:t xml:space="preserve"> ；承建（承接）企业为</w:t>
      </w:r>
      <w:r>
        <w:rPr>
          <w:rFonts w:hint="eastAsia" w:ascii="宋体" w:hAnsi="宋体" w:eastAsia="宋体" w:cs="宋体"/>
          <w:color w:val="auto"/>
          <w:sz w:val="24"/>
          <w:highlight w:val="none"/>
          <w:u w:val="single"/>
        </w:rPr>
        <w:t xml:space="preserve">   ①  （企业名称）</w:t>
      </w:r>
      <w:r>
        <w:rPr>
          <w:rFonts w:hint="eastAsia" w:ascii="宋体" w:hAnsi="宋体" w:eastAsia="宋体" w:cs="宋体"/>
          <w:color w:val="auto"/>
          <w:sz w:val="24"/>
          <w:highlight w:val="none"/>
        </w:rPr>
        <w:t xml:space="preserve"> ，从业人员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 xml:space="preserve">  ② （中型企业、小型企业、微型企业） </w:t>
      </w:r>
      <w:r>
        <w:rPr>
          <w:rFonts w:hint="eastAsia" w:ascii="宋体" w:hAnsi="宋体" w:eastAsia="宋体" w:cs="宋体"/>
          <w:color w:val="auto"/>
          <w:sz w:val="24"/>
          <w:highlight w:val="none"/>
        </w:rPr>
        <w:t>；</w:t>
      </w:r>
    </w:p>
    <w:p w14:paraId="2852870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 xml:space="preserve"> （标的名称），</w:t>
      </w:r>
      <w:r>
        <w:rPr>
          <w:rFonts w:hint="eastAsia" w:ascii="宋体" w:hAnsi="宋体" w:eastAsia="宋体" w:cs="宋体"/>
          <w:color w:val="auto"/>
          <w:sz w:val="24"/>
          <w:highlight w:val="none"/>
        </w:rPr>
        <w:t xml:space="preserve">属于 </w:t>
      </w:r>
      <w:r>
        <w:rPr>
          <w:rFonts w:hint="eastAsia" w:ascii="宋体" w:hAnsi="宋体" w:eastAsia="宋体" w:cs="宋体"/>
          <w:color w:val="auto"/>
          <w:sz w:val="24"/>
          <w:highlight w:val="none"/>
          <w:u w:val="single"/>
        </w:rPr>
        <w:t xml:space="preserve">（采购文件中明确的所属行业） </w:t>
      </w:r>
      <w:r>
        <w:rPr>
          <w:rFonts w:hint="eastAsia" w:ascii="宋体" w:hAnsi="宋体" w:eastAsia="宋体" w:cs="宋体"/>
          <w:color w:val="auto"/>
          <w:sz w:val="24"/>
          <w:highlight w:val="none"/>
        </w:rPr>
        <w:t>；承建（承接）企业为</w:t>
      </w:r>
      <w:r>
        <w:rPr>
          <w:rFonts w:hint="eastAsia" w:ascii="宋体" w:hAnsi="宋体" w:eastAsia="宋体" w:cs="宋体"/>
          <w:color w:val="auto"/>
          <w:sz w:val="24"/>
          <w:highlight w:val="none"/>
          <w:u w:val="single"/>
        </w:rPr>
        <w:t xml:space="preserve">   ①  （企业名称）</w:t>
      </w:r>
      <w:r>
        <w:rPr>
          <w:rFonts w:hint="eastAsia" w:ascii="宋体" w:hAnsi="宋体" w:eastAsia="宋体" w:cs="宋体"/>
          <w:color w:val="auto"/>
          <w:sz w:val="24"/>
          <w:highlight w:val="none"/>
        </w:rPr>
        <w:t xml:space="preserve"> ，从业人员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 xml:space="preserve">  ② （中型企业、小型企业、微型企业） </w:t>
      </w:r>
      <w:r>
        <w:rPr>
          <w:rFonts w:hint="eastAsia" w:ascii="宋体" w:hAnsi="宋体" w:eastAsia="宋体" w:cs="宋体"/>
          <w:color w:val="auto"/>
          <w:sz w:val="24"/>
          <w:highlight w:val="none"/>
        </w:rPr>
        <w:t>；</w:t>
      </w:r>
    </w:p>
    <w:p w14:paraId="47C0C65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6F5D2E2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4094464E">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79AC8BF9">
      <w:pPr>
        <w:spacing w:line="360" w:lineRule="auto"/>
        <w:ind w:right="176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投标人名称（电子签名）：</w:t>
      </w:r>
    </w:p>
    <w:p w14:paraId="63ADDBEF">
      <w:pPr>
        <w:spacing w:line="360" w:lineRule="auto"/>
        <w:ind w:right="1120" w:firstLine="4680" w:firstLineChars="195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6DD3E057">
      <w:pPr>
        <w:spacing w:line="360" w:lineRule="auto"/>
        <w:ind w:firstLine="310" w:firstLineChars="147"/>
        <w:jc w:val="left"/>
        <w:rPr>
          <w:rFonts w:hint="eastAsia" w:ascii="宋体" w:hAnsi="宋体" w:eastAsia="宋体" w:cs="宋体"/>
          <w:color w:val="auto"/>
          <w:sz w:val="24"/>
          <w:highlight w:val="none"/>
        </w:rPr>
      </w:pPr>
      <w:r>
        <w:rPr>
          <w:rFonts w:hint="eastAsia" w:ascii="宋体" w:hAnsi="宋体" w:eastAsia="宋体" w:cs="宋体"/>
          <w:b/>
          <w:color w:val="auto"/>
          <w:szCs w:val="21"/>
          <w:highlight w:val="none"/>
        </w:rPr>
        <w:t>从业人员、营业收入、资产总额填报上一年度数据，无上一年度数据的新成立企业可不填报。</w:t>
      </w:r>
    </w:p>
    <w:p w14:paraId="67291C38">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注：</w:t>
      </w:r>
    </w:p>
    <w:p w14:paraId="380D636E">
      <w:pPr>
        <w:numPr>
          <w:ilvl w:val="0"/>
          <w:numId w:val="0"/>
        </w:numPr>
        <w:spacing w:line="360" w:lineRule="auto"/>
        <w:ind w:right="420" w:rightChars="0" w:firstLine="42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1、应</w:t>
      </w:r>
      <w:r>
        <w:rPr>
          <w:rFonts w:hint="eastAsia" w:ascii="宋体" w:hAnsi="宋体" w:eastAsia="宋体" w:cs="宋体"/>
          <w:color w:val="auto"/>
          <w:sz w:val="24"/>
          <w:highlight w:val="none"/>
        </w:rPr>
        <w:t>按本格式</w:t>
      </w:r>
      <w:r>
        <w:rPr>
          <w:rFonts w:hint="eastAsia" w:ascii="宋体" w:hAnsi="宋体" w:eastAsia="宋体" w:cs="宋体"/>
          <w:color w:val="auto"/>
          <w:sz w:val="24"/>
          <w:highlight w:val="none"/>
          <w:lang w:eastAsia="zh-CN"/>
        </w:rPr>
        <w:t>和</w:t>
      </w:r>
      <w:r>
        <w:rPr>
          <w:rFonts w:hint="eastAsia" w:ascii="宋体" w:hAnsi="宋体" w:eastAsia="宋体" w:cs="宋体"/>
          <w:color w:val="auto"/>
          <w:sz w:val="24"/>
          <w:highlight w:val="none"/>
        </w:rPr>
        <w:t>要求填写</w:t>
      </w:r>
      <w:r>
        <w:rPr>
          <w:rFonts w:hint="eastAsia" w:ascii="宋体" w:hAnsi="宋体" w:eastAsia="宋体" w:cs="宋体"/>
          <w:color w:val="auto"/>
          <w:sz w:val="24"/>
          <w:highlight w:val="none"/>
          <w:lang w:eastAsia="zh-CN"/>
        </w:rPr>
        <w:t>。其中，</w:t>
      </w:r>
      <w:r>
        <w:rPr>
          <w:rFonts w:hint="eastAsia" w:ascii="宋体" w:hAnsi="宋体" w:eastAsia="宋体" w:cs="宋体"/>
          <w:color w:val="auto"/>
          <w:sz w:val="24"/>
          <w:highlight w:val="none"/>
        </w:rPr>
        <w:t>标的名称</w:t>
      </w:r>
      <w:r>
        <w:rPr>
          <w:rFonts w:hint="eastAsia" w:ascii="宋体" w:hAnsi="宋体" w:eastAsia="宋体" w:cs="宋体"/>
          <w:color w:val="auto"/>
          <w:sz w:val="24"/>
          <w:highlight w:val="none"/>
          <w:lang w:eastAsia="zh-CN"/>
        </w:rPr>
        <w:t>和</w:t>
      </w:r>
      <w:r>
        <w:rPr>
          <w:rFonts w:hint="eastAsia" w:ascii="宋体" w:hAnsi="宋体" w:eastAsia="宋体" w:cs="宋体"/>
          <w:color w:val="auto"/>
          <w:sz w:val="24"/>
          <w:highlight w:val="none"/>
        </w:rPr>
        <w:t>所属行业依据招标文件第二部分投标人须知前附表中“采购标的及其对应的中小企业划分标准所属行业”</w:t>
      </w:r>
      <w:r>
        <w:rPr>
          <w:rFonts w:hint="eastAsia" w:ascii="宋体" w:hAnsi="宋体" w:eastAsia="宋体" w:cs="宋体"/>
          <w:color w:val="auto"/>
          <w:sz w:val="24"/>
          <w:highlight w:val="none"/>
          <w:lang w:eastAsia="zh-CN"/>
        </w:rPr>
        <w:t>规定的要求</w:t>
      </w:r>
      <w:r>
        <w:rPr>
          <w:rFonts w:hint="eastAsia" w:ascii="宋体" w:hAnsi="宋体" w:eastAsia="宋体" w:cs="宋体"/>
          <w:color w:val="auto"/>
          <w:sz w:val="24"/>
          <w:highlight w:val="none"/>
        </w:rPr>
        <w:t>填写，不得缺漏</w:t>
      </w:r>
      <w:r>
        <w:rPr>
          <w:rFonts w:hint="eastAsia" w:ascii="宋体" w:hAnsi="宋体" w:eastAsia="宋体" w:cs="宋体"/>
          <w:color w:val="auto"/>
          <w:sz w:val="24"/>
          <w:highlight w:val="none"/>
          <w:lang w:eastAsia="zh-CN"/>
        </w:rPr>
        <w:t>（声明函格式内容中已填写的，无需改动）；标记“</w:t>
      </w:r>
      <w:r>
        <w:rPr>
          <w:rFonts w:hint="eastAsia" w:ascii="宋体" w:hAnsi="宋体" w:eastAsia="宋体" w:cs="宋体"/>
          <w:color w:val="auto"/>
          <w:sz w:val="24"/>
          <w:highlight w:val="none"/>
        </w:rPr>
        <w:t>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处填写企业名称；</w:t>
      </w:r>
      <w:r>
        <w:rPr>
          <w:rFonts w:hint="eastAsia" w:ascii="宋体" w:hAnsi="宋体" w:eastAsia="宋体" w:cs="宋体"/>
          <w:color w:val="auto"/>
          <w:sz w:val="24"/>
          <w:highlight w:val="none"/>
        </w:rPr>
        <w:t>从业人员、营业收入、资产总额填报上一年度数据，无上一年度数据的新成立企业可不填报；结合</w:t>
      </w:r>
      <w:r>
        <w:rPr>
          <w:rFonts w:hint="eastAsia" w:ascii="宋体" w:hAnsi="宋体" w:eastAsia="宋体" w:cs="宋体"/>
          <w:color w:val="auto"/>
          <w:sz w:val="24"/>
          <w:highlight w:val="none"/>
          <w:lang w:eastAsia="zh-CN"/>
        </w:rPr>
        <w:t>所填</w:t>
      </w:r>
      <w:r>
        <w:rPr>
          <w:rFonts w:hint="eastAsia" w:ascii="宋体" w:hAnsi="宋体" w:eastAsia="宋体" w:cs="宋体"/>
          <w:color w:val="auto"/>
          <w:sz w:val="24"/>
          <w:highlight w:val="none"/>
        </w:rPr>
        <w:t>数据</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依据《中小企业划型标准规定》（工信部联企业〔2011〕300号）</w:t>
      </w:r>
      <w:r>
        <w:rPr>
          <w:rFonts w:hint="eastAsia" w:ascii="宋体" w:hAnsi="宋体" w:eastAsia="宋体" w:cs="宋体"/>
          <w:color w:val="auto"/>
          <w:sz w:val="24"/>
          <w:highlight w:val="none"/>
          <w:lang w:eastAsia="zh-CN"/>
        </w:rPr>
        <w:t>规定</w:t>
      </w:r>
      <w:r>
        <w:rPr>
          <w:rFonts w:hint="eastAsia" w:ascii="宋体" w:hAnsi="宋体" w:eastAsia="宋体" w:cs="宋体"/>
          <w:color w:val="auto"/>
          <w:sz w:val="24"/>
          <w:highlight w:val="none"/>
        </w:rPr>
        <w:t>，确定中型企业、小型企业、微型企业</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种企业类型中</w:t>
      </w:r>
      <w:r>
        <w:rPr>
          <w:rFonts w:hint="eastAsia" w:ascii="宋体" w:hAnsi="宋体" w:eastAsia="宋体" w:cs="宋体"/>
          <w:color w:val="auto"/>
          <w:sz w:val="24"/>
          <w:highlight w:val="none"/>
          <w:lang w:eastAsia="zh-CN"/>
        </w:rPr>
        <w:t>的其中一</w:t>
      </w:r>
      <w:r>
        <w:rPr>
          <w:rFonts w:hint="eastAsia" w:ascii="宋体" w:hAnsi="宋体" w:eastAsia="宋体" w:cs="宋体"/>
          <w:color w:val="auto"/>
          <w:sz w:val="24"/>
          <w:highlight w:val="none"/>
        </w:rPr>
        <w:t>种</w:t>
      </w:r>
      <w:r>
        <w:rPr>
          <w:rFonts w:hint="eastAsia" w:ascii="宋体" w:hAnsi="宋体" w:eastAsia="宋体" w:cs="宋体"/>
          <w:color w:val="auto"/>
          <w:sz w:val="24"/>
          <w:highlight w:val="none"/>
          <w:lang w:eastAsia="zh-CN"/>
        </w:rPr>
        <w:t>在标记“②”处</w:t>
      </w:r>
      <w:r>
        <w:rPr>
          <w:rFonts w:hint="eastAsia" w:ascii="宋体" w:hAnsi="宋体" w:eastAsia="宋体" w:cs="宋体"/>
          <w:color w:val="auto"/>
          <w:sz w:val="24"/>
          <w:highlight w:val="none"/>
        </w:rPr>
        <w:t>填写。</w:t>
      </w:r>
    </w:p>
    <w:p w14:paraId="57A6B38D">
      <w:pPr>
        <w:spacing w:line="360" w:lineRule="auto"/>
        <w:ind w:right="420"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78FF559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2D289C">
      <w:pPr>
        <w:pStyle w:val="3"/>
        <w:rPr>
          <w:rFonts w:hint="eastAsia" w:ascii="宋体" w:hAnsi="宋体" w:eastAsia="宋体" w:cs="宋体"/>
          <w:b/>
          <w:bCs w:val="0"/>
          <w:color w:val="auto"/>
          <w:sz w:val="32"/>
          <w:szCs w:val="18"/>
          <w:highlight w:val="none"/>
          <w:lang w:val="en-US" w:eastAsia="zh-CN"/>
        </w:rPr>
      </w:pPr>
      <w:r>
        <w:rPr>
          <w:rFonts w:hint="eastAsia" w:ascii="宋体" w:hAnsi="宋体" w:eastAsia="宋体" w:cs="宋体"/>
          <w:b/>
          <w:bCs w:val="0"/>
          <w:color w:val="auto"/>
          <w:sz w:val="32"/>
          <w:szCs w:val="18"/>
          <w:highlight w:val="none"/>
          <w:lang w:val="en-US"/>
        </w:rPr>
        <w:t>附件</w:t>
      </w:r>
      <w:r>
        <w:rPr>
          <w:rFonts w:hint="eastAsia" w:ascii="宋体" w:hAnsi="宋体" w:eastAsia="宋体" w:cs="宋体"/>
          <w:b/>
          <w:bCs w:val="0"/>
          <w:color w:val="auto"/>
          <w:sz w:val="32"/>
          <w:szCs w:val="18"/>
          <w:highlight w:val="none"/>
          <w:lang w:val="en-US" w:eastAsia="zh-CN"/>
        </w:rPr>
        <w:t>8</w:t>
      </w:r>
      <w:r>
        <w:rPr>
          <w:rFonts w:hint="eastAsia" w:ascii="宋体" w:hAnsi="宋体" w:eastAsia="宋体" w:cs="宋体"/>
          <w:b/>
          <w:bCs w:val="0"/>
          <w:color w:val="auto"/>
          <w:sz w:val="32"/>
          <w:szCs w:val="18"/>
          <w:highlight w:val="none"/>
          <w:lang w:val="en-US"/>
        </w:rPr>
        <w:t>：中小企业</w:t>
      </w:r>
      <w:r>
        <w:rPr>
          <w:rFonts w:hint="eastAsia" w:ascii="宋体" w:hAnsi="宋体" w:eastAsia="宋体" w:cs="宋体"/>
          <w:b/>
          <w:bCs w:val="0"/>
          <w:color w:val="auto"/>
          <w:sz w:val="32"/>
          <w:szCs w:val="18"/>
          <w:highlight w:val="none"/>
          <w:lang w:val="en-US" w:eastAsia="zh-CN"/>
        </w:rPr>
        <w:t>划型标准</w:t>
      </w:r>
    </w:p>
    <w:p w14:paraId="7934D5F8">
      <w:pPr>
        <w:spacing w:line="360" w:lineRule="auto"/>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各行业划型标准为：</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（十六）其他未列明行业。从业人员300人以下的为中小微型企业。其中，从业人员100人及以上的为中型企业；从业人员10人及以上的为小型企业；从业人员10人以下的为微型企业。</w:t>
      </w:r>
    </w:p>
    <w:p w14:paraId="71E37184">
      <w:pPr>
        <w:pStyle w:val="3"/>
        <w:jc w:val="center"/>
        <w:rPr>
          <w:rFonts w:hint="eastAsia" w:ascii="宋体" w:hAnsi="宋体" w:eastAsia="宋体" w:cs="宋体"/>
          <w:color w:val="auto"/>
          <w:sz w:val="24"/>
          <w:highlight w:val="none"/>
        </w:rPr>
      </w:pPr>
      <w:r>
        <w:rPr>
          <w:rFonts w:hint="eastAsia" w:ascii="宋体" w:hAnsi="宋体" w:eastAsia="宋体" w:cs="宋体"/>
          <w:color w:val="auto"/>
          <w:highlight w:val="none"/>
        </w:rPr>
        <w:t>附件</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样品（演示）授权委托书</w:t>
      </w:r>
    </w:p>
    <w:p w14:paraId="1777E4A2">
      <w:pPr>
        <w:jc w:val="center"/>
        <w:rPr>
          <w:rFonts w:hint="eastAsia" w:ascii="宋体" w:hAnsi="宋体" w:eastAsia="宋体" w:cs="宋体"/>
          <w:color w:val="auto"/>
          <w:sz w:val="40"/>
          <w:highlight w:val="none"/>
        </w:rPr>
      </w:pPr>
      <w:r>
        <w:rPr>
          <w:rFonts w:hint="eastAsia" w:ascii="宋体" w:hAnsi="宋体" w:eastAsia="宋体" w:cs="宋体"/>
          <w:color w:val="auto"/>
          <w:sz w:val="40"/>
          <w:highlight w:val="none"/>
        </w:rPr>
        <w:t>样品（演示）授权委托书</w:t>
      </w:r>
    </w:p>
    <w:p w14:paraId="7FEE4827">
      <w:pPr>
        <w:jc w:val="center"/>
        <w:rPr>
          <w:rFonts w:hint="eastAsia" w:ascii="宋体" w:hAnsi="宋体" w:eastAsia="宋体" w:cs="宋体"/>
          <w:color w:val="auto"/>
          <w:sz w:val="40"/>
          <w:highlight w:val="none"/>
        </w:rPr>
      </w:pPr>
    </w:p>
    <w:p w14:paraId="40A3075C">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XXX（单位名称或采购机构名称）</w:t>
      </w:r>
      <w:r>
        <w:rPr>
          <w:rFonts w:hint="eastAsia" w:ascii="宋体" w:hAnsi="宋体" w:eastAsia="宋体" w:cs="宋体"/>
          <w:color w:val="auto"/>
          <w:highlight w:val="none"/>
          <w:lang w:val="zh-CN"/>
        </w:rPr>
        <w:t>：</w:t>
      </w:r>
    </w:p>
    <w:p w14:paraId="3D5A20CF">
      <w:pPr>
        <w:snapToGrid w:val="0"/>
        <w:spacing w:line="360" w:lineRule="auto"/>
        <w:ind w:left="254" w:leftChars="121" w:firstLine="420" w:firstLineChars="200"/>
        <w:rPr>
          <w:rFonts w:hint="eastAsia" w:ascii="宋体" w:hAnsi="宋体" w:eastAsia="宋体" w:cs="宋体"/>
          <w:color w:val="auto"/>
          <w:highlight w:val="none"/>
          <w:u w:val="single"/>
          <w:lang w:val="zh-CN"/>
        </w:rPr>
      </w:pPr>
      <w:r>
        <w:rPr>
          <w:rFonts w:hint="eastAsia" w:ascii="宋体" w:hAnsi="宋体" w:eastAsia="宋体" w:cs="宋体"/>
          <w:color w:val="auto"/>
          <w:highlight w:val="none"/>
          <w:lang w:val="zh-CN"/>
        </w:rPr>
        <w:t>兹委派</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先生/女士，身份证号：</w:t>
      </w:r>
      <w:r>
        <w:rPr>
          <w:rFonts w:hint="eastAsia" w:ascii="宋体" w:hAnsi="宋体" w:eastAsia="宋体" w:cs="宋体"/>
          <w:color w:val="auto"/>
          <w:highlight w:val="none"/>
          <w:u w:val="single"/>
          <w:lang w:val="zh-CN"/>
        </w:rPr>
        <w:t xml:space="preserve">                   </w:t>
      </w:r>
    </w:p>
    <w:p w14:paraId="7C61A3AD">
      <w:pPr>
        <w:snapToGrid w:val="0"/>
        <w:spacing w:line="360" w:lineRule="auto"/>
        <w:ind w:left="254" w:leftChars="121"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zh-CN"/>
        </w:rPr>
        <w:t>手机：</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，代表我公司前来递交</w:t>
      </w:r>
      <w:r>
        <w:rPr>
          <w:rFonts w:hint="eastAsia" w:ascii="宋体" w:hAnsi="宋体" w:eastAsia="宋体" w:cs="宋体"/>
          <w:color w:val="auto"/>
          <w:highlight w:val="none"/>
          <w:u w:val="single"/>
          <w:lang w:val="zh-CN"/>
        </w:rPr>
        <w:t xml:space="preserve">                           采购项目</w:t>
      </w:r>
      <w:r>
        <w:rPr>
          <w:rFonts w:hint="eastAsia" w:ascii="宋体" w:hAnsi="宋体" w:eastAsia="宋体" w:cs="宋体"/>
          <w:color w:val="auto"/>
          <w:highlight w:val="none"/>
          <w:lang w:val="zh-CN"/>
        </w:rPr>
        <w:t>【项目编号：              】（标项号：  ）投标样品或参加演示，并全权负责标后取回样品等其他处理事宜。</w:t>
      </w:r>
    </w:p>
    <w:p w14:paraId="062DF59D">
      <w:pPr>
        <w:snapToGrid w:val="0"/>
        <w:spacing w:line="360" w:lineRule="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 xml:space="preserve">  </w:t>
      </w:r>
    </w:p>
    <w:p w14:paraId="7C5F5DFD">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zh-CN"/>
        </w:rPr>
        <w:t xml:space="preserve">    特此告知。</w:t>
      </w:r>
    </w:p>
    <w:p w14:paraId="29CFB301">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zh-CN"/>
        </w:rPr>
        <w:t xml:space="preserve">                                                  投标人名称(公章)：</w:t>
      </w:r>
    </w:p>
    <w:p w14:paraId="75FAF70D">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zh-CN"/>
        </w:rPr>
        <w:t xml:space="preserve">                                                  </w:t>
      </w:r>
    </w:p>
    <w:p w14:paraId="7E9523E8">
      <w:pPr>
        <w:snapToGrid w:val="0"/>
        <w:spacing w:line="360" w:lineRule="auto"/>
        <w:ind w:right="240"/>
        <w:jc w:val="righ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签发日期：  年  月   日</w:t>
      </w:r>
    </w:p>
    <w:p w14:paraId="56E197A7">
      <w:pPr>
        <w:snapToGrid w:val="0"/>
        <w:spacing w:line="360" w:lineRule="auto"/>
        <w:ind w:right="240"/>
        <w:jc w:val="right"/>
        <w:rPr>
          <w:rFonts w:hint="eastAsia" w:ascii="宋体" w:hAnsi="宋体" w:eastAsia="宋体" w:cs="宋体"/>
          <w:color w:val="auto"/>
          <w:highlight w:val="none"/>
          <w:lang w:val="zh-CN"/>
        </w:rPr>
      </w:pPr>
    </w:p>
    <w:p w14:paraId="2AFAB7A9">
      <w:pPr>
        <w:snapToGrid w:val="0"/>
        <w:spacing w:line="360" w:lineRule="auto"/>
        <w:ind w:right="1920"/>
        <w:rPr>
          <w:rFonts w:hint="eastAsia" w:ascii="宋体" w:hAnsi="宋体" w:eastAsia="宋体" w:cs="宋体"/>
          <w:color w:val="auto"/>
          <w:highlight w:val="none"/>
          <w:lang w:val="zh-CN"/>
        </w:rPr>
      </w:pPr>
    </w:p>
    <w:p w14:paraId="74C39F76">
      <w:pPr>
        <w:snapToGrid w:val="0"/>
        <w:spacing w:line="360" w:lineRule="auto"/>
        <w:ind w:right="240"/>
        <w:jc w:val="right"/>
        <w:rPr>
          <w:rFonts w:hint="eastAsia" w:ascii="宋体" w:hAnsi="宋体" w:eastAsia="宋体" w:cs="宋体"/>
          <w:color w:val="auto"/>
          <w:highlight w:val="none"/>
          <w:lang w:val="zh-CN"/>
        </w:rPr>
      </w:pPr>
    </w:p>
    <w:p w14:paraId="66C949BE">
      <w:pPr>
        <w:snapToGrid w:val="0"/>
        <w:spacing w:line="360" w:lineRule="auto"/>
        <w:ind w:right="240"/>
        <w:rPr>
          <w:rFonts w:hint="eastAsia" w:ascii="宋体" w:hAnsi="宋体" w:eastAsia="宋体" w:cs="宋体"/>
          <w:color w:val="auto"/>
          <w:highlight w:val="none"/>
          <w:lang w:val="zh-CN"/>
        </w:rPr>
      </w:pPr>
      <w:r>
        <w:rPr>
          <w:rFonts w:hint="eastAsia" w:ascii="宋体" w:hAnsi="宋体" w:eastAsia="宋体" w:cs="宋体"/>
          <w:color w:val="auto"/>
          <w:highlight w:val="none"/>
        </w:rPr>
        <w:t>受委托人</w:t>
      </w:r>
      <w:r>
        <w:rPr>
          <w:rFonts w:hint="eastAsia" w:ascii="宋体" w:hAnsi="宋体" w:eastAsia="宋体" w:cs="宋体"/>
          <w:color w:val="auto"/>
          <w:highlight w:val="none"/>
          <w:lang w:val="zh-CN"/>
        </w:rPr>
        <w:t>身份证复印件：</w:t>
      </w:r>
    </w:p>
    <w:p w14:paraId="6DE6EB8E">
      <w:pPr>
        <w:snapToGrid w:val="0"/>
        <w:spacing w:line="360" w:lineRule="auto"/>
        <w:ind w:right="24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说明：本委托书在有样品或演示时由受委托人携带至指定地点。</w:t>
      </w:r>
    </w:p>
    <w:p w14:paraId="40BA6A32">
      <w:pPr>
        <w:spacing w:line="360" w:lineRule="auto"/>
        <w:rPr>
          <w:rFonts w:hint="eastAsia" w:ascii="宋体" w:hAnsi="宋体" w:eastAsia="宋体" w:cs="宋体"/>
          <w:bCs/>
          <w:color w:val="auto"/>
          <w:sz w:val="24"/>
          <w:highlight w:val="none"/>
        </w:rPr>
      </w:pPr>
      <w:r>
        <w:rPr>
          <w:rFonts w:hint="eastAsia" w:ascii="宋体" w:hAnsi="宋体" w:eastAsia="宋体" w:cs="宋体"/>
          <w:b/>
          <w:color w:val="auto"/>
          <w:highlight w:val="none"/>
        </w:rPr>
        <w:t>同时有样品和演示的，可委托不同人员。</w:t>
      </w:r>
    </w:p>
    <w:p w14:paraId="47D3E459">
      <w:pPr>
        <w:spacing w:line="360" w:lineRule="auto"/>
        <w:rPr>
          <w:rFonts w:hint="eastAsia" w:ascii="宋体" w:hAnsi="宋体" w:eastAsia="宋体" w:cs="宋体"/>
          <w:bCs/>
          <w:color w:val="auto"/>
          <w:sz w:val="24"/>
          <w:highlight w:val="none"/>
        </w:rPr>
      </w:pPr>
    </w:p>
    <w:sectPr>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Arial"/>
    <w:panose1 w:val="00000000000000000000"/>
    <w:charset w:val="00"/>
    <w:family w:val="swiss"/>
    <w:pitch w:val="default"/>
    <w:sig w:usb0="00000000" w:usb1="00000000" w:usb2="00000000" w:usb3="00000000" w:csb0="0000001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20B05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504020002030204"/>
    <w:charset w:val="00"/>
    <w:family w:val="swiss"/>
    <w:pitch w:val="default"/>
    <w:sig w:usb0="00000000" w:usb1="00000000" w:usb2="00000000" w:usb3="00000000" w:csb0="00000093"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Arial"/>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Arial"/>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Arial"/>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MS Gothic">
    <w:panose1 w:val="020B0609070205080204"/>
    <w:charset w:val="80"/>
    <w:family w:val="auto"/>
    <w:pitch w:val="default"/>
    <w:sig w:usb0="E00002FF" w:usb1="6AC7FDFB" w:usb2="08000012" w:usb3="00000000" w:csb0="4002009F" w:csb1="DFD70000"/>
  </w:font>
  <w:font w:name="Wingdings 2">
    <w:panose1 w:val="05020102010507070707"/>
    <w:charset w:val="00"/>
    <w:family w:val="auto"/>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161CA">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74</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74</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DB98F">
    <w:pPr>
      <w:pStyle w:val="39"/>
      <w:framePr w:wrap="around" w:vAnchor="text" w:hAnchor="margin" w:xAlign="right" w:y="1"/>
      <w:rPr>
        <w:rStyle w:val="72"/>
      </w:rPr>
    </w:pPr>
    <w:r>
      <w:fldChar w:fldCharType="begin"/>
    </w:r>
    <w:r>
      <w:rPr>
        <w:rStyle w:val="72"/>
      </w:rPr>
      <w:instrText xml:space="preserve">PAGE  </w:instrText>
    </w:r>
    <w:r>
      <w:fldChar w:fldCharType="end"/>
    </w:r>
  </w:p>
  <w:p w14:paraId="7C1432F8">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C60B">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73</w:t>
    </w:r>
    <w:r>
      <w:rPr>
        <w:rFonts w:hint="eastAsia" w:ascii="仿宋_GB2312" w:eastAsia="仿宋_GB2312"/>
        <w:kern w:val="0"/>
        <w:szCs w:val="21"/>
      </w:rPr>
      <w:fldChar w:fldCharType="end"/>
    </w:r>
    <w:bookmarkStart w:id="501" w:name="_Toc131845147"/>
    <w:bookmarkStart w:id="502" w:name="_Toc164085800"/>
    <w:bookmarkStart w:id="503" w:name="_Toc36110187"/>
    <w:bookmarkStart w:id="504" w:name="_Toc91899912"/>
    <w:r>
      <w:rPr>
        <w:rFonts w:hint="eastAsia" w:ascii="仿宋_GB2312" w:eastAsia="仿宋_GB2312"/>
        <w:kern w:val="0"/>
        <w:szCs w:val="21"/>
      </w:rPr>
      <w:t xml:space="preserve"> 页</w:t>
    </w:r>
    <w:bookmarkEnd w:id="501"/>
    <w:bookmarkEnd w:id="502"/>
    <w:bookmarkEnd w:id="503"/>
    <w:bookmarkEnd w:id="50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03FAB">
    <w:pPr>
      <w:pStyle w:val="40"/>
      <w:jc w:val="right"/>
      <w:rPr>
        <w:rFonts w:ascii="仿宋_GB2312" w:eastAsia="仿宋_GB2312"/>
        <w:b/>
        <w:i/>
        <w:iCs/>
        <w:u w:val="single"/>
      </w:rPr>
    </w:pP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C3036">
    <w:pPr>
      <w:pStyle w:val="40"/>
    </w:pPr>
    <w:r>
      <w:t></w:t>
    </w:r>
    <w:r>
      <w:rPr>
        <w:rFonts w:hint="eastAsia"/>
      </w:rPr>
      <w:t xml:space="preserve">                                             </w:t>
    </w: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0560D"/>
    <w:multiLevelType w:val="singleLevel"/>
    <w:tmpl w:val="E8E0560D"/>
    <w:lvl w:ilvl="0" w:tentative="0">
      <w:start w:val="2"/>
      <w:numFmt w:val="decimal"/>
      <w:suff w:val="nothing"/>
      <w:lvlText w:val="%1、"/>
      <w:lvlJc w:val="left"/>
    </w:lvl>
  </w:abstractNum>
  <w:abstractNum w:abstractNumId="1">
    <w:nsid w:val="00000000"/>
    <w:multiLevelType w:val="singleLevel"/>
    <w:tmpl w:val="00000000"/>
    <w:lvl w:ilvl="0" w:tentative="0">
      <w:start w:val="19"/>
      <w:numFmt w:val="decimal"/>
      <w:suff w:val="space"/>
      <w:lvlText w:val="%1."/>
      <w:lvlJc w:val="left"/>
    </w:lvl>
  </w:abstractNum>
  <w:abstractNum w:abstractNumId="2">
    <w:nsid w:val="00000001"/>
    <w:multiLevelType w:val="singleLevel"/>
    <w:tmpl w:val="00000001"/>
    <w:lvl w:ilvl="0" w:tentative="0">
      <w:start w:val="5"/>
      <w:numFmt w:val="decimal"/>
      <w:suff w:val="nothing"/>
      <w:lvlText w:val="%1、"/>
      <w:lvlJc w:val="left"/>
    </w:lvl>
  </w:abstractNum>
  <w:abstractNum w:abstractNumId="3">
    <w:nsid w:val="00000002"/>
    <w:multiLevelType w:val="singleLevel"/>
    <w:tmpl w:val="00000002"/>
    <w:lvl w:ilvl="0" w:tentative="0">
      <w:start w:val="2"/>
      <w:numFmt w:val="decimal"/>
      <w:suff w:val="space"/>
      <w:lvlText w:val="%1."/>
      <w:lvlJc w:val="left"/>
    </w:lvl>
  </w:abstractNum>
  <w:abstractNum w:abstractNumId="4">
    <w:nsid w:val="00000003"/>
    <w:multiLevelType w:val="singleLevel"/>
    <w:tmpl w:val="00000003"/>
    <w:lvl w:ilvl="0" w:tentative="0">
      <w:start w:val="5"/>
      <w:numFmt w:val="chineseCounting"/>
      <w:suff w:val="space"/>
      <w:lvlText w:val="第%1部分"/>
      <w:lvlJc w:val="left"/>
      <w:rPr>
        <w:rFonts w:hint="eastAsia"/>
      </w:rPr>
    </w:lvl>
  </w:abstractNum>
  <w:abstractNum w:abstractNumId="5">
    <w:nsid w:val="00000004"/>
    <w:multiLevelType w:val="singleLevel"/>
    <w:tmpl w:val="00000004"/>
    <w:lvl w:ilvl="0" w:tentative="0">
      <w:start w:val="16"/>
      <w:numFmt w:val="decimal"/>
      <w:suff w:val="space"/>
      <w:lvlText w:val="%1."/>
      <w:lvlJc w:val="left"/>
    </w:lvl>
  </w:abstractNum>
  <w:abstractNum w:abstractNumId="6">
    <w:nsid w:val="00000005"/>
    <w:multiLevelType w:val="singleLevel"/>
    <w:tmpl w:val="00000005"/>
    <w:lvl w:ilvl="0" w:tentative="0">
      <w:start w:val="13"/>
      <w:numFmt w:val="decimal"/>
      <w:suff w:val="space"/>
      <w:lvlText w:val="%1."/>
      <w:lvlJc w:val="left"/>
    </w:lvl>
  </w:abstractNum>
  <w:abstractNum w:abstractNumId="7">
    <w:nsid w:val="00000006"/>
    <w:multiLevelType w:val="singleLevel"/>
    <w:tmpl w:val="00000006"/>
    <w:lvl w:ilvl="0" w:tentative="0">
      <w:start w:val="8"/>
      <w:numFmt w:val="decimal"/>
      <w:suff w:val="space"/>
      <w:lvlText w:val="%1."/>
      <w:lvlJc w:val="left"/>
    </w:lvl>
  </w:abstractNum>
  <w:abstractNum w:abstractNumId="8">
    <w:nsid w:val="00000007"/>
    <w:multiLevelType w:val="singleLevel"/>
    <w:tmpl w:val="00000007"/>
    <w:lvl w:ilvl="0" w:tentative="0">
      <w:start w:val="3"/>
      <w:numFmt w:val="decimal"/>
      <w:suff w:val="nothing"/>
      <w:lvlText w:val="%1、"/>
      <w:lvlJc w:val="left"/>
    </w:lvl>
  </w:abstractNum>
  <w:abstractNum w:abstractNumId="9">
    <w:nsid w:val="00000008"/>
    <w:multiLevelType w:val="singleLevel"/>
    <w:tmpl w:val="00000008"/>
    <w:lvl w:ilvl="0" w:tentative="0">
      <w:start w:val="15"/>
      <w:numFmt w:val="decimal"/>
      <w:suff w:val="space"/>
      <w:lvlText w:val="%1."/>
      <w:lvlJc w:val="left"/>
    </w:lvl>
  </w:abstractNum>
  <w:num w:numId="1">
    <w:abstractNumId w:val="3"/>
  </w:num>
  <w:num w:numId="2">
    <w:abstractNumId w:val="7"/>
  </w:num>
  <w:num w:numId="3">
    <w:abstractNumId w:val="6"/>
  </w:num>
  <w:num w:numId="4">
    <w:abstractNumId w:val="9"/>
  </w:num>
  <w:num w:numId="5">
    <w:abstractNumId w:val="5"/>
  </w:num>
  <w:num w:numId="6">
    <w:abstractNumId w:val="1"/>
  </w:num>
  <w:num w:numId="7">
    <w:abstractNumId w:val="0"/>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3"/>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2"/>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213EF9"/>
    <w:rsid w:val="2DC75FFD"/>
    <w:rsid w:val="2E6B7CB1"/>
    <w:rsid w:val="342933C0"/>
    <w:rsid w:val="35065440"/>
    <w:rsid w:val="45DB70B5"/>
    <w:rsid w:val="5CF05086"/>
    <w:rsid w:val="5E3E476C"/>
    <w:rsid w:val="61612100"/>
    <w:rsid w:val="680848B9"/>
    <w:rsid w:val="71F235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qFormat="1" w:unhideWhenUsed="0" w:uiPriority="0" w:semiHidden="0" w:name="Table Grid 5"/>
    <w:lsdException w:unhideWhenUsed="0" w:uiPriority="0" w:semiHidden="0" w:name="Table Grid 6"/>
    <w:lsdException w:unhideWhenUsed="0" w:uiPriority="0" w:semiHidden="0" w:name="Table Grid 7"/>
    <w:lsdException w:qFormat="1"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qFormat="1"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0"/>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4"/>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0"/>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4"/>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4"/>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5"/>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79"/>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qFormat/>
    <w:uiPriority w:val="1"/>
  </w:style>
  <w:style w:type="table" w:default="1" w:styleId="62">
    <w:name w:val="Normal Table"/>
    <w:qFormat/>
    <w:uiPriority w:val="99"/>
    <w:tblPr>
      <w:tblCellMar>
        <w:top w:w="0" w:type="dxa"/>
        <w:left w:w="108" w:type="dxa"/>
        <w:bottom w:w="0" w:type="dxa"/>
        <w:right w:w="108" w:type="dxa"/>
      </w:tblCellMar>
    </w:tblPr>
  </w:style>
  <w:style w:type="paragraph" w:styleId="5">
    <w:name w:val="Normal Indent"/>
    <w:basedOn w:val="1"/>
    <w:link w:val="190"/>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6"/>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199"/>
    <w:qFormat/>
    <w:uiPriority w:val="0"/>
    <w:pPr>
      <w:shd w:val="clear" w:color="auto" w:fill="000080"/>
    </w:pPr>
  </w:style>
  <w:style w:type="paragraph" w:styleId="19">
    <w:name w:val="annotation text"/>
    <w:basedOn w:val="1"/>
    <w:link w:val="341"/>
    <w:qFormat/>
    <w:uiPriority w:val="99"/>
    <w:pPr>
      <w:jc w:val="left"/>
    </w:pPr>
  </w:style>
  <w:style w:type="paragraph" w:styleId="20">
    <w:name w:val="Salutation"/>
    <w:basedOn w:val="1"/>
    <w:next w:val="1"/>
    <w:link w:val="295"/>
    <w:qFormat/>
    <w:uiPriority w:val="0"/>
    <w:rPr>
      <w:rFonts w:ascii="仿宋_GB2312" w:eastAsia="仿宋_GB2312"/>
      <w:sz w:val="28"/>
      <w:szCs w:val="20"/>
    </w:rPr>
  </w:style>
  <w:style w:type="paragraph" w:styleId="21">
    <w:name w:val="Body Text 3"/>
    <w:basedOn w:val="1"/>
    <w:link w:val="327"/>
    <w:qFormat/>
    <w:uiPriority w:val="0"/>
    <w:pPr>
      <w:jc w:val="center"/>
    </w:pPr>
    <w:rPr>
      <w:szCs w:val="20"/>
    </w:rPr>
  </w:style>
  <w:style w:type="paragraph" w:styleId="22">
    <w:name w:val="List Bullet 3"/>
    <w:basedOn w:val="1"/>
    <w:qFormat/>
    <w:uiPriority w:val="0"/>
    <w:pPr>
      <w:snapToGrid w:val="0"/>
      <w:spacing w:line="360" w:lineRule="auto"/>
      <w:ind w:left="360" w:right="238" w:hanging="360"/>
      <w:contextualSpacing/>
    </w:pPr>
    <w:rPr>
      <w:sz w:val="24"/>
    </w:rPr>
  </w:style>
  <w:style w:type="paragraph" w:styleId="23">
    <w:name w:val="Body Text"/>
    <w:basedOn w:val="1"/>
    <w:next w:val="1"/>
    <w:link w:val="427"/>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2"/>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6"/>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2"/>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78"/>
    <w:qFormat/>
    <w:uiPriority w:val="0"/>
    <w:pPr>
      <w:ind w:left="100" w:leftChars="2500"/>
    </w:pPr>
    <w:rPr>
      <w:rFonts w:ascii="宋体"/>
      <w:sz w:val="24"/>
      <w:szCs w:val="21"/>
      <w:lang w:val="zh-CN"/>
    </w:rPr>
  </w:style>
  <w:style w:type="paragraph" w:styleId="36">
    <w:name w:val="Body Text Indent 2"/>
    <w:basedOn w:val="1"/>
    <w:link w:val="305"/>
    <w:qFormat/>
    <w:uiPriority w:val="0"/>
    <w:pPr>
      <w:spacing w:line="360" w:lineRule="auto"/>
      <w:ind w:firstLine="601"/>
      <w:textAlignment w:val="baseline"/>
    </w:pPr>
    <w:rPr>
      <w:rFonts w:ascii="宋体"/>
      <w:kern w:val="0"/>
      <w:sz w:val="28"/>
      <w:szCs w:val="20"/>
    </w:rPr>
  </w:style>
  <w:style w:type="paragraph" w:styleId="37">
    <w:name w:val="endnote text"/>
    <w:basedOn w:val="1"/>
    <w:link w:val="929"/>
    <w:qFormat/>
    <w:uiPriority w:val="0"/>
    <w:rPr>
      <w:lang w:val="zh-CN"/>
    </w:rPr>
  </w:style>
  <w:style w:type="paragraph" w:styleId="38">
    <w:name w:val="Balloon Text"/>
    <w:basedOn w:val="1"/>
    <w:link w:val="185"/>
    <w:qFormat/>
    <w:uiPriority w:val="0"/>
    <w:rPr>
      <w:sz w:val="18"/>
      <w:szCs w:val="18"/>
    </w:rPr>
  </w:style>
  <w:style w:type="paragraph" w:styleId="39">
    <w:name w:val="footer"/>
    <w:basedOn w:val="1"/>
    <w:link w:val="380"/>
    <w:qFormat/>
    <w:uiPriority w:val="99"/>
    <w:pPr>
      <w:tabs>
        <w:tab w:val="center" w:pos="4153"/>
        <w:tab w:val="right" w:pos="8306"/>
      </w:tabs>
      <w:snapToGrid w:val="0"/>
      <w:jc w:val="left"/>
    </w:pPr>
    <w:rPr>
      <w:sz w:val="18"/>
      <w:szCs w:val="18"/>
    </w:rPr>
  </w:style>
  <w:style w:type="paragraph" w:styleId="40">
    <w:name w:val="header"/>
    <w:basedOn w:val="1"/>
    <w:link w:val="389"/>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2"/>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0"/>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5"/>
    <w:link w:val="307"/>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2"/>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299"/>
    <w:qFormat/>
    <w:uiPriority w:val="0"/>
    <w:pPr>
      <w:spacing w:after="120" w:line="480" w:lineRule="auto"/>
    </w:pPr>
  </w:style>
  <w:style w:type="paragraph" w:styleId="56">
    <w:name w:val="HTML Preformatted"/>
    <w:basedOn w:val="1"/>
    <w:link w:val="2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3"/>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3"/>
    <w:qFormat/>
    <w:uiPriority w:val="0"/>
    <w:rPr>
      <w:b/>
      <w:bCs/>
    </w:rPr>
  </w:style>
  <w:style w:type="paragraph" w:styleId="60">
    <w:name w:val="Body Text First Indent"/>
    <w:basedOn w:val="23"/>
    <w:next w:val="50"/>
    <w:link w:val="318"/>
    <w:qFormat/>
    <w:uiPriority w:val="0"/>
    <w:pPr>
      <w:ind w:firstLine="420"/>
    </w:pPr>
    <w:rPr>
      <w:rFonts w:hAnsi="Calibri" w:cs="Times New Roman"/>
      <w:snapToGrid/>
      <w:szCs w:val="20"/>
    </w:rPr>
  </w:style>
  <w:style w:type="paragraph" w:styleId="61">
    <w:name w:val="Body Text First Indent 2"/>
    <w:basedOn w:val="24"/>
    <w:link w:val="118"/>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character" w:customStyle="1" w:styleId="79">
    <w:name w:val="表格非标题文字 Char"/>
    <w:link w:val="80"/>
    <w:qFormat/>
    <w:uiPriority w:val="0"/>
    <w:rPr>
      <w:rFonts w:ascii="Futura Bk" w:hAnsi="Futura Bk"/>
      <w:kern w:val="2"/>
      <w:sz w:val="18"/>
      <w:szCs w:val="21"/>
      <w:lang w:val="en-US" w:eastAsia="zh-CN" w:bidi="ar-SA"/>
    </w:rPr>
  </w:style>
  <w:style w:type="paragraph" w:customStyle="1" w:styleId="80">
    <w:name w:val="表格非标题文字"/>
    <w:link w:val="79"/>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1">
    <w:name w:val="*正文 Char"/>
    <w:link w:val="82"/>
    <w:qFormat/>
    <w:uiPriority w:val="0"/>
    <w:rPr>
      <w:rFonts w:ascii="宋体" w:hAnsi="宋体"/>
      <w:sz w:val="24"/>
    </w:rPr>
  </w:style>
  <w:style w:type="paragraph" w:customStyle="1" w:styleId="82">
    <w:name w:val="*正文"/>
    <w:basedOn w:val="1"/>
    <w:link w:val="81"/>
    <w:qFormat/>
    <w:uiPriority w:val="0"/>
    <w:pPr>
      <w:snapToGrid w:val="0"/>
      <w:spacing w:line="360" w:lineRule="auto"/>
      <w:ind w:firstLine="482"/>
      <w:jc w:val="left"/>
    </w:pPr>
    <w:rPr>
      <w:rFonts w:ascii="宋体" w:hAnsi="宋体"/>
      <w:kern w:val="0"/>
      <w:sz w:val="24"/>
      <w:szCs w:val="20"/>
    </w:rPr>
  </w:style>
  <w:style w:type="character" w:customStyle="1" w:styleId="83">
    <w:name w:val="Char Char71"/>
    <w:qFormat/>
    <w:uiPriority w:val="0"/>
    <w:rPr>
      <w:rFonts w:eastAsia="宋体"/>
      <w:kern w:val="2"/>
      <w:sz w:val="21"/>
      <w:szCs w:val="24"/>
      <w:lang w:val="en-US" w:eastAsia="zh-CN" w:bidi="ar-SA"/>
    </w:rPr>
  </w:style>
  <w:style w:type="character" w:customStyle="1" w:styleId="84">
    <w:name w:val="Char Char6"/>
    <w:qFormat/>
    <w:uiPriority w:val="0"/>
    <w:rPr>
      <w:rFonts w:eastAsia="宋体"/>
      <w:kern w:val="2"/>
      <w:sz w:val="21"/>
      <w:szCs w:val="24"/>
      <w:lang w:val="en-US" w:eastAsia="zh-CN" w:bidi="ar-SA"/>
    </w:rPr>
  </w:style>
  <w:style w:type="character" w:customStyle="1" w:styleId="85">
    <w:name w:val="正文缩进 Char"/>
    <w:qFormat/>
    <w:uiPriority w:val="0"/>
    <w:rPr>
      <w:rFonts w:eastAsia="宋体"/>
      <w:kern w:val="2"/>
      <w:sz w:val="21"/>
      <w:lang w:val="en-US" w:eastAsia="zh-CN"/>
    </w:rPr>
  </w:style>
  <w:style w:type="character" w:customStyle="1" w:styleId="86">
    <w:name w:val="正文首行缩进 Char1"/>
    <w:qFormat/>
    <w:uiPriority w:val="0"/>
    <w:rPr>
      <w:rFonts w:ascii="宋体" w:hAnsi="Times New Roman" w:eastAsia="宋体" w:cs="Times New Roman"/>
      <w:snapToGrid w:val="0"/>
      <w:kern w:val="2"/>
      <w:sz w:val="24"/>
      <w:szCs w:val="21"/>
      <w:lang w:val="zh-CN"/>
    </w:rPr>
  </w:style>
  <w:style w:type="character" w:customStyle="1" w:styleId="87">
    <w:name w:val="Char Char28"/>
    <w:qFormat/>
    <w:uiPriority w:val="6"/>
    <w:rPr>
      <w:rFonts w:ascii="仿宋_GB2312" w:hAnsi="仿宋_GB2312" w:eastAsia="仿宋_GB2312"/>
      <w:kern w:val="1"/>
      <w:sz w:val="28"/>
    </w:rPr>
  </w:style>
  <w:style w:type="character" w:customStyle="1" w:styleId="88">
    <w:name w:val="标题 3 Char1"/>
    <w:qFormat/>
    <w:uiPriority w:val="0"/>
    <w:rPr>
      <w:rFonts w:hint="eastAsia" w:ascii="华文中宋" w:hAnsi="华文中宋" w:eastAsia="华文中宋"/>
      <w:b/>
      <w:bCs/>
      <w:kern w:val="2"/>
      <w:sz w:val="32"/>
      <w:szCs w:val="32"/>
      <w:lang w:val="en-US" w:eastAsia="zh-CN" w:bidi="ar-SA"/>
    </w:rPr>
  </w:style>
  <w:style w:type="character" w:customStyle="1" w:styleId="89">
    <w:name w:val="Heading 1 Char_4b8715cb-c19e-4467-a057-e1a943114f5e"/>
    <w:qFormat/>
    <w:uiPriority w:val="6"/>
    <w:rPr>
      <w:rFonts w:ascii="Times New Roman" w:hAnsi="Times New Roman" w:eastAsia="黑体" w:cs="Times New Roman"/>
      <w:b/>
      <w:kern w:val="0"/>
      <w:sz w:val="24"/>
      <w:szCs w:val="24"/>
    </w:rPr>
  </w:style>
  <w:style w:type="character" w:customStyle="1" w:styleId="90">
    <w:name w:val="U_正文 Char"/>
    <w:link w:val="91"/>
    <w:qFormat/>
    <w:uiPriority w:val="0"/>
    <w:rPr>
      <w:sz w:val="24"/>
      <w:szCs w:val="24"/>
    </w:rPr>
  </w:style>
  <w:style w:type="paragraph" w:customStyle="1" w:styleId="91">
    <w:name w:val="U_正文"/>
    <w:basedOn w:val="1"/>
    <w:link w:val="90"/>
    <w:qFormat/>
    <w:uiPriority w:val="0"/>
    <w:pPr>
      <w:adjustRightInd/>
      <w:spacing w:beforeLines="20" w:afterLines="20" w:line="300" w:lineRule="auto"/>
      <w:ind w:firstLine="200" w:firstLineChars="200"/>
    </w:pPr>
    <w:rPr>
      <w:kern w:val="0"/>
      <w:sz w:val="24"/>
    </w:rPr>
  </w:style>
  <w:style w:type="character" w:customStyle="1" w:styleId="92">
    <w:name w:val="HTML 地址 Char1"/>
    <w:qFormat/>
    <w:uiPriority w:val="0"/>
    <w:rPr>
      <w:rFonts w:ascii="Times New Roman" w:hAnsi="Times New Roman" w:eastAsia="宋体" w:cs="Times New Roman"/>
      <w:i/>
      <w:iCs/>
      <w:szCs w:val="24"/>
    </w:rPr>
  </w:style>
  <w:style w:type="character" w:customStyle="1" w:styleId="93">
    <w:name w:val="批注主题 字符"/>
    <w:link w:val="59"/>
    <w:qFormat/>
    <w:uiPriority w:val="0"/>
    <w:rPr>
      <w:b/>
      <w:bCs/>
      <w:kern w:val="2"/>
      <w:sz w:val="21"/>
      <w:szCs w:val="24"/>
    </w:rPr>
  </w:style>
  <w:style w:type="character" w:customStyle="1" w:styleId="94">
    <w:name w:val="Char Char51"/>
    <w:qFormat/>
    <w:uiPriority w:val="0"/>
    <w:rPr>
      <w:rFonts w:ascii="宋体" w:hAnsi="Courier New" w:eastAsia="宋体"/>
      <w:kern w:val="2"/>
      <w:sz w:val="21"/>
      <w:lang w:val="en-US" w:eastAsia="zh-CN"/>
    </w:rPr>
  </w:style>
  <w:style w:type="character" w:customStyle="1" w:styleId="95">
    <w:name w:val="表正文 Char"/>
    <w:qFormat/>
    <w:uiPriority w:val="0"/>
    <w:rPr>
      <w:rFonts w:ascii="宋体" w:eastAsia="宋体"/>
      <w:snapToGrid w:val="0"/>
      <w:color w:val="000000"/>
      <w:kern w:val="28"/>
      <w:sz w:val="28"/>
      <w:lang w:val="en-US" w:eastAsia="zh-CN" w:bidi="ar-SA"/>
    </w:rPr>
  </w:style>
  <w:style w:type="character" w:customStyle="1" w:styleId="96">
    <w:name w:val="Char Char34"/>
    <w:qFormat/>
    <w:uiPriority w:val="6"/>
    <w:rPr>
      <w:b/>
      <w:kern w:val="1"/>
      <w:sz w:val="28"/>
      <w:szCs w:val="28"/>
    </w:rPr>
  </w:style>
  <w:style w:type="character" w:customStyle="1" w:styleId="97">
    <w:name w:val="Normal Indent Char"/>
    <w:qFormat/>
    <w:uiPriority w:val="0"/>
    <w:rPr>
      <w:rFonts w:ascii="Calibri" w:hAnsi="Calibri" w:eastAsia="宋体" w:cs="黑体"/>
      <w:snapToGrid w:val="0"/>
      <w:kern w:val="2"/>
      <w:sz w:val="24"/>
      <w:szCs w:val="22"/>
      <w:lang w:val="en-US" w:eastAsia="zh-CN" w:bidi="ar-SA"/>
    </w:rPr>
  </w:style>
  <w:style w:type="character" w:customStyle="1" w:styleId="98">
    <w:name w:val="哈哈正文 Char"/>
    <w:link w:val="99"/>
    <w:qFormat/>
    <w:uiPriority w:val="0"/>
    <w:rPr>
      <w:rFonts w:ascii="宋体" w:hAnsi="宋体" w:eastAsia="宋体"/>
      <w:kern w:val="2"/>
      <w:sz w:val="24"/>
      <w:lang w:bidi="ar-SA"/>
    </w:rPr>
  </w:style>
  <w:style w:type="paragraph" w:customStyle="1" w:styleId="99">
    <w:name w:val="哈哈正文"/>
    <w:basedOn w:val="1"/>
    <w:link w:val="98"/>
    <w:qFormat/>
    <w:uiPriority w:val="0"/>
    <w:pPr>
      <w:adjustRightInd/>
      <w:spacing w:line="360" w:lineRule="auto"/>
      <w:ind w:firstLine="200" w:firstLineChars="200"/>
    </w:pPr>
    <w:rPr>
      <w:rFonts w:ascii="宋体" w:hAnsi="宋体"/>
      <w:sz w:val="24"/>
      <w:szCs w:val="20"/>
    </w:rPr>
  </w:style>
  <w:style w:type="character" w:customStyle="1" w:styleId="100">
    <w:name w:val="未处理的提及1"/>
    <w:qFormat/>
    <w:uiPriority w:val="0"/>
    <w:rPr>
      <w:color w:val="808080"/>
      <w:shd w:val="clear" w:color="auto" w:fill="E6E6E6"/>
    </w:rPr>
  </w:style>
  <w:style w:type="character" w:customStyle="1" w:styleId="101">
    <w:name w:val="txt"/>
    <w:qFormat/>
    <w:uiPriority w:val="0"/>
    <w:rPr>
      <w:rFonts w:ascii="仿宋_GB2312" w:eastAsia="微软雅黑"/>
      <w:b/>
      <w:kern w:val="2"/>
      <w:sz w:val="32"/>
      <w:szCs w:val="32"/>
      <w:lang w:val="en-US" w:eastAsia="zh-CN" w:bidi="ar-SA"/>
    </w:rPr>
  </w:style>
  <w:style w:type="character" w:customStyle="1" w:styleId="102">
    <w:name w:val="二级标题 Char Char"/>
    <w:qFormat/>
    <w:uiPriority w:val="0"/>
    <w:rPr>
      <w:rFonts w:ascii="宋体" w:hAnsi="宋体" w:eastAsia="宋体"/>
      <w:b/>
      <w:snapToGrid w:val="0"/>
      <w:kern w:val="2"/>
      <w:sz w:val="24"/>
      <w:szCs w:val="24"/>
      <w:lang w:val="en-US" w:eastAsia="zh-CN" w:bidi="ar-SA"/>
    </w:rPr>
  </w:style>
  <w:style w:type="character" w:customStyle="1" w:styleId="103">
    <w:name w:val="Char Char32"/>
    <w:qFormat/>
    <w:uiPriority w:val="6"/>
    <w:rPr>
      <w:b/>
      <w:kern w:val="1"/>
      <w:sz w:val="24"/>
      <w:szCs w:val="24"/>
    </w:rPr>
  </w:style>
  <w:style w:type="character" w:customStyle="1" w:styleId="104">
    <w:name w:val="PI Char1"/>
    <w:qFormat/>
    <w:uiPriority w:val="0"/>
    <w:rPr>
      <w:rFonts w:ascii="宋体" w:hAnsi="宋体"/>
      <w:kern w:val="2"/>
      <w:sz w:val="24"/>
      <w:szCs w:val="24"/>
    </w:rPr>
  </w:style>
  <w:style w:type="character" w:customStyle="1" w:styleId="105">
    <w:name w:val="tw4winTerm"/>
    <w:qFormat/>
    <w:uiPriority w:val="0"/>
    <w:rPr>
      <w:color w:val="0000FF"/>
    </w:rPr>
  </w:style>
  <w:style w:type="character" w:customStyle="1" w:styleId="106">
    <w:name w:val="Footer Char_78488e64-c1e5-4395-9754-1d5ed44c91a8"/>
    <w:qFormat/>
    <w:uiPriority w:val="0"/>
    <w:rPr>
      <w:rFonts w:eastAsia="宋体"/>
      <w:kern w:val="2"/>
      <w:sz w:val="18"/>
      <w:lang w:val="en-US" w:eastAsia="zh-CN" w:bidi="ar-SA"/>
    </w:rPr>
  </w:style>
  <w:style w:type="character" w:customStyle="1" w:styleId="107">
    <w:name w:val="普通文字 Char Char1"/>
    <w:qFormat/>
    <w:uiPriority w:val="0"/>
    <w:rPr>
      <w:rFonts w:ascii="宋体" w:hAnsi="Courier New"/>
      <w:kern w:val="2"/>
      <w:sz w:val="21"/>
    </w:rPr>
  </w:style>
  <w:style w:type="character" w:customStyle="1" w:styleId="108">
    <w:name w:val="Char Char101"/>
    <w:qFormat/>
    <w:uiPriority w:val="6"/>
    <w:rPr>
      <w:rFonts w:ascii="宋体" w:hAnsi="宋体"/>
      <w:kern w:val="2"/>
      <w:sz w:val="21"/>
      <w:szCs w:val="24"/>
      <w:lang w:val="en-US" w:eastAsia="zh-CN"/>
    </w:rPr>
  </w:style>
  <w:style w:type="character" w:customStyle="1" w:styleId="109">
    <w:name w:val="标题 4 Char"/>
    <w:qFormat/>
    <w:uiPriority w:val="0"/>
    <w:rPr>
      <w:rFonts w:ascii="Arial" w:hAnsi="Arial" w:eastAsia="黑体"/>
      <w:b/>
      <w:kern w:val="2"/>
      <w:sz w:val="28"/>
    </w:rPr>
  </w:style>
  <w:style w:type="character" w:customStyle="1" w:styleId="110">
    <w:name w:val="链接"/>
    <w:qFormat/>
    <w:uiPriority w:val="0"/>
    <w:rPr>
      <w:color w:val="0000FF"/>
      <w:sz w:val="21"/>
      <w:szCs w:val="21"/>
      <w:u w:val="single"/>
    </w:rPr>
  </w:style>
  <w:style w:type="character" w:customStyle="1" w:styleId="111">
    <w:name w:val="h4 Char"/>
    <w:qFormat/>
    <w:uiPriority w:val="0"/>
    <w:rPr>
      <w:rFonts w:ascii="Arial" w:hAnsi="Arial" w:eastAsia="黑体"/>
      <w:b/>
      <w:bCs/>
      <w:kern w:val="2"/>
      <w:sz w:val="28"/>
      <w:szCs w:val="28"/>
      <w:lang w:val="zh-CN" w:eastAsia="zh-CN" w:bidi="ar-SA"/>
    </w:rPr>
  </w:style>
  <w:style w:type="character" w:customStyle="1" w:styleId="112">
    <w:name w:val="5正文 Char"/>
    <w:link w:val="113"/>
    <w:qFormat/>
    <w:uiPriority w:val="0"/>
    <w:rPr>
      <w:rFonts w:ascii="仿宋_GB2312" w:hAnsi="微软雅黑" w:eastAsia="仿宋_GB2312"/>
      <w:sz w:val="28"/>
      <w:szCs w:val="21"/>
    </w:rPr>
  </w:style>
  <w:style w:type="paragraph" w:customStyle="1" w:styleId="113">
    <w:name w:val="5正文"/>
    <w:basedOn w:val="1"/>
    <w:link w:val="112"/>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4">
    <w:name w:val="标题 3 字符"/>
    <w:qFormat/>
    <w:uiPriority w:val="9"/>
    <w:rPr>
      <w:b/>
      <w:bCs/>
      <w:kern w:val="2"/>
      <w:sz w:val="32"/>
      <w:szCs w:val="32"/>
    </w:rPr>
  </w:style>
  <w:style w:type="character" w:customStyle="1" w:styleId="115">
    <w:name w:val="样式6 Char"/>
    <w:qFormat/>
    <w:uiPriority w:val="0"/>
    <w:rPr>
      <w:rFonts w:ascii="仿宋_GB2312" w:hAnsi="宋体" w:eastAsia="仿宋_GB2312"/>
      <w:b/>
      <w:bCs/>
      <w:kern w:val="2"/>
      <w:sz w:val="24"/>
      <w:szCs w:val="24"/>
      <w:lang w:val="en-US" w:eastAsia="zh-CN" w:bidi="ar-SA"/>
    </w:rPr>
  </w:style>
  <w:style w:type="character" w:customStyle="1" w:styleId="116">
    <w:name w:val="Char Char14"/>
    <w:qFormat/>
    <w:uiPriority w:val="6"/>
    <w:rPr>
      <w:rFonts w:ascii="黑体" w:hAnsi="黑体" w:eastAsia="黑体"/>
    </w:rPr>
  </w:style>
  <w:style w:type="character" w:customStyle="1" w:styleId="117">
    <w:name w:val="Heading 2 Hidden Char"/>
    <w:qFormat/>
    <w:uiPriority w:val="0"/>
    <w:rPr>
      <w:rFonts w:ascii="仿宋_GB2312" w:eastAsia="仿宋_GB2312"/>
      <w:b/>
      <w:bCs/>
      <w:kern w:val="2"/>
      <w:sz w:val="24"/>
      <w:szCs w:val="24"/>
      <w:lang w:val="zh-CN" w:eastAsia="zh-CN" w:bidi="ar-SA"/>
    </w:rPr>
  </w:style>
  <w:style w:type="character" w:customStyle="1" w:styleId="118">
    <w:name w:val="正文首行缩进 2 字符"/>
    <w:link w:val="61"/>
    <w:qFormat/>
    <w:uiPriority w:val="0"/>
    <w:rPr>
      <w:rFonts w:ascii="宋体" w:hAnsi="宋体"/>
      <w:kern w:val="2"/>
      <w:sz w:val="21"/>
      <w:szCs w:val="24"/>
    </w:rPr>
  </w:style>
  <w:style w:type="character" w:customStyle="1" w:styleId="119">
    <w:name w:val="font11"/>
    <w:qFormat/>
    <w:uiPriority w:val="0"/>
    <w:rPr>
      <w:rFonts w:hint="default" w:ascii="Times New Roman" w:hAnsi="Times New Roman" w:cs="Times New Roman"/>
      <w:color w:val="000000"/>
      <w:sz w:val="22"/>
      <w:szCs w:val="22"/>
      <w:u w:val="none"/>
    </w:rPr>
  </w:style>
  <w:style w:type="character" w:customStyle="1" w:styleId="120">
    <w:name w:val="表正文 Char1"/>
    <w:qFormat/>
    <w:uiPriority w:val="0"/>
    <w:rPr>
      <w:rFonts w:ascii="宋体" w:eastAsia="宋体"/>
      <w:snapToGrid w:val="0"/>
      <w:color w:val="000000"/>
      <w:kern w:val="28"/>
      <w:sz w:val="28"/>
    </w:rPr>
  </w:style>
  <w:style w:type="character" w:customStyle="1" w:styleId="121">
    <w:name w:val="blue1"/>
    <w:basedOn w:val="69"/>
    <w:qFormat/>
    <w:uiPriority w:val="0"/>
    <w:rPr>
      <w:rFonts w:ascii="Arial" w:hAnsi="Arial" w:eastAsia="黑体" w:cs="Arial"/>
      <w:snapToGrid w:val="0"/>
      <w:kern w:val="0"/>
      <w:szCs w:val="21"/>
    </w:rPr>
  </w:style>
  <w:style w:type="character" w:customStyle="1" w:styleId="122">
    <w:name w:val="纯文本 字符1"/>
    <w:link w:val="32"/>
    <w:qFormat/>
    <w:uiPriority w:val="0"/>
    <w:rPr>
      <w:rFonts w:ascii="宋体" w:hAnsi="Courier New" w:eastAsia="宋体" w:cs="Arial"/>
      <w:snapToGrid w:val="0"/>
      <w:kern w:val="2"/>
      <w:sz w:val="21"/>
      <w:szCs w:val="21"/>
      <w:lang w:val="en-US" w:eastAsia="zh-CN" w:bidi="ar-SA"/>
    </w:rPr>
  </w:style>
  <w:style w:type="character" w:customStyle="1" w:styleId="123">
    <w:name w:val="标书1 Char"/>
    <w:qFormat/>
    <w:uiPriority w:val="0"/>
    <w:rPr>
      <w:rFonts w:eastAsia="宋体"/>
      <w:b/>
      <w:bCs/>
      <w:kern w:val="44"/>
      <w:sz w:val="44"/>
      <w:szCs w:val="44"/>
      <w:lang w:val="en-US" w:eastAsia="zh-CN" w:bidi="ar-SA"/>
    </w:rPr>
  </w:style>
  <w:style w:type="character" w:customStyle="1" w:styleId="124">
    <w:name w:val="样式5 Char"/>
    <w:qFormat/>
    <w:uiPriority w:val="0"/>
    <w:rPr>
      <w:rFonts w:ascii="仿宋_GB2312" w:hAnsi="仿宋" w:eastAsia="仿宋_GB2312"/>
      <w:kern w:val="2"/>
      <w:sz w:val="24"/>
      <w:szCs w:val="24"/>
    </w:rPr>
  </w:style>
  <w:style w:type="character" w:customStyle="1" w:styleId="125">
    <w:name w:val="样式4 Char"/>
    <w:qFormat/>
    <w:uiPriority w:val="0"/>
    <w:rPr>
      <w:rFonts w:ascii="仿宋_GB2312" w:hAnsi="仿宋" w:eastAsia="仿宋_GB2312"/>
      <w:b/>
      <w:kern w:val="2"/>
      <w:sz w:val="32"/>
      <w:szCs w:val="32"/>
      <w:lang w:bidi="ar-SA"/>
    </w:rPr>
  </w:style>
  <w:style w:type="character" w:customStyle="1" w:styleId="126">
    <w:name w:val="插图说明 Char"/>
    <w:qFormat/>
    <w:uiPriority w:val="0"/>
    <w:rPr>
      <w:rFonts w:eastAsia="黑体"/>
      <w:sz w:val="24"/>
      <w:lang w:val="en-US" w:eastAsia="zh-CN"/>
    </w:rPr>
  </w:style>
  <w:style w:type="character" w:customStyle="1" w:styleId="127">
    <w:name w:val="正文2 Char Char"/>
    <w:link w:val="128"/>
    <w:qFormat/>
    <w:uiPriority w:val="0"/>
    <w:rPr>
      <w:rFonts w:eastAsia="宋体"/>
      <w:kern w:val="2"/>
      <w:sz w:val="24"/>
      <w:lang w:val="en-US" w:eastAsia="zh-CN" w:bidi="ar-SA"/>
    </w:rPr>
  </w:style>
  <w:style w:type="paragraph" w:customStyle="1" w:styleId="128">
    <w:name w:val="正文2"/>
    <w:basedOn w:val="1"/>
    <w:link w:val="127"/>
    <w:qFormat/>
    <w:uiPriority w:val="0"/>
    <w:pPr>
      <w:spacing w:before="156" w:line="360" w:lineRule="auto"/>
      <w:ind w:firstLine="510" w:firstLineChars="200"/>
    </w:pPr>
    <w:rPr>
      <w:sz w:val="24"/>
      <w:szCs w:val="20"/>
    </w:rPr>
  </w:style>
  <w:style w:type="character" w:customStyle="1" w:styleId="129">
    <w:name w:val="Char Char24"/>
    <w:qFormat/>
    <w:uiPriority w:val="6"/>
    <w:rPr>
      <w:kern w:val="1"/>
      <w:sz w:val="21"/>
    </w:rPr>
  </w:style>
  <w:style w:type="character" w:customStyle="1" w:styleId="130">
    <w:name w:val="副标题 字符"/>
    <w:link w:val="46"/>
    <w:qFormat/>
    <w:uiPriority w:val="0"/>
    <w:rPr>
      <w:rFonts w:ascii="Arial" w:hAnsi="Arial" w:eastAsia="隶书"/>
      <w:b/>
      <w:bCs/>
      <w:kern w:val="28"/>
      <w:sz w:val="44"/>
      <w:szCs w:val="32"/>
      <w:lang w:val="en-US" w:eastAsia="zh-CN" w:bidi="ar-SA"/>
    </w:rPr>
  </w:style>
  <w:style w:type="character" w:customStyle="1" w:styleId="131">
    <w:name w:val="普通文字 Char1 Char"/>
    <w:qFormat/>
    <w:uiPriority w:val="0"/>
    <w:rPr>
      <w:rFonts w:ascii="宋体" w:hAnsi="Courier New" w:eastAsia="宋体"/>
      <w:kern w:val="2"/>
      <w:sz w:val="21"/>
      <w:szCs w:val="24"/>
      <w:lang w:val="en-US" w:eastAsia="zh-CN" w:bidi="ar-SA"/>
    </w:rPr>
  </w:style>
  <w:style w:type="character" w:customStyle="1" w:styleId="132">
    <w:name w:val="h3 Char1"/>
    <w:qFormat/>
    <w:uiPriority w:val="0"/>
    <w:rPr>
      <w:rFonts w:eastAsia="宋体"/>
      <w:b/>
      <w:bCs/>
      <w:kern w:val="2"/>
      <w:sz w:val="32"/>
      <w:szCs w:val="32"/>
      <w:lang w:bidi="ar-SA"/>
    </w:rPr>
  </w:style>
  <w:style w:type="character" w:customStyle="1" w:styleId="133">
    <w:name w:val="标题 Char1"/>
    <w:qFormat/>
    <w:uiPriority w:val="0"/>
    <w:rPr>
      <w:rFonts w:ascii="Cambria" w:hAnsi="Cambria" w:eastAsia="宋体" w:cs="Times New Roman"/>
      <w:b/>
      <w:bCs/>
      <w:sz w:val="32"/>
      <w:szCs w:val="32"/>
      <w:lang w:bidi="ar-SA"/>
    </w:rPr>
  </w:style>
  <w:style w:type="character" w:customStyle="1" w:styleId="134">
    <w:name w:val="gf正文1 Char"/>
    <w:qFormat/>
    <w:uiPriority w:val="0"/>
    <w:rPr>
      <w:rFonts w:ascii="宋体" w:hAnsi="宋体" w:eastAsia="宋体" w:cs="宋体"/>
      <w:kern w:val="2"/>
      <w:sz w:val="24"/>
      <w:szCs w:val="24"/>
      <w:lang w:val="en-US" w:eastAsia="zh-CN" w:bidi="ar-SA"/>
    </w:rPr>
  </w:style>
  <w:style w:type="character" w:customStyle="1" w:styleId="135">
    <w:name w:val="正文文本缩进 Char1"/>
    <w:qFormat/>
    <w:uiPriority w:val="0"/>
    <w:rPr>
      <w:rFonts w:ascii="Calibri" w:hAnsi="Calibri"/>
      <w:sz w:val="28"/>
    </w:rPr>
  </w:style>
  <w:style w:type="character" w:customStyle="1" w:styleId="136">
    <w:name w:val="No Spacing Char"/>
    <w:link w:val="137"/>
    <w:qFormat/>
    <w:uiPriority w:val="1"/>
    <w:rPr>
      <w:sz w:val="22"/>
      <w:szCs w:val="22"/>
      <w:lang w:val="en-US" w:eastAsia="zh-CN" w:bidi="ar-SA"/>
    </w:rPr>
  </w:style>
  <w:style w:type="paragraph" w:customStyle="1" w:styleId="137">
    <w:name w:val="无间隔1"/>
    <w:link w:val="136"/>
    <w:qFormat/>
    <w:uiPriority w:val="1"/>
    <w:rPr>
      <w:rFonts w:ascii="Times New Roman" w:hAnsi="Times New Roman" w:eastAsia="宋体" w:cs="Times New Roman"/>
      <w:sz w:val="22"/>
      <w:szCs w:val="22"/>
      <w:lang w:val="en-US" w:eastAsia="zh-CN" w:bidi="ar-SA"/>
    </w:rPr>
  </w:style>
  <w:style w:type="character" w:customStyle="1" w:styleId="138">
    <w:name w:val="样式7 Char"/>
    <w:qFormat/>
    <w:uiPriority w:val="0"/>
    <w:rPr>
      <w:rFonts w:ascii="仿宋_GB2312" w:hAnsi="仿宋" w:eastAsia="仿宋_GB2312"/>
      <w:b/>
      <w:kern w:val="2"/>
      <w:sz w:val="24"/>
      <w:szCs w:val="24"/>
    </w:rPr>
  </w:style>
  <w:style w:type="character" w:customStyle="1" w:styleId="139">
    <w:name w:val="font12gray1"/>
    <w:qFormat/>
    <w:uiPriority w:val="0"/>
    <w:rPr>
      <w:rFonts w:ascii="仿宋_GB2312" w:eastAsia="微软雅黑"/>
      <w:b/>
      <w:spacing w:val="300"/>
      <w:kern w:val="2"/>
      <w:sz w:val="18"/>
      <w:szCs w:val="18"/>
      <w:lang w:val="en-US" w:eastAsia="zh-CN" w:bidi="ar-SA"/>
    </w:rPr>
  </w:style>
  <w:style w:type="character" w:customStyle="1" w:styleId="140">
    <w:name w:val="Char Char7"/>
    <w:qFormat/>
    <w:uiPriority w:val="0"/>
    <w:rPr>
      <w:rFonts w:eastAsia="宋体"/>
      <w:kern w:val="2"/>
      <w:sz w:val="21"/>
      <w:szCs w:val="24"/>
      <w:lang w:val="en-US" w:eastAsia="zh-CN" w:bidi="ar-SA"/>
    </w:rPr>
  </w:style>
  <w:style w:type="character" w:customStyle="1" w:styleId="141">
    <w:name w:val="表名 Char"/>
    <w:qFormat/>
    <w:uiPriority w:val="0"/>
    <w:rPr>
      <w:rFonts w:eastAsia="宋体"/>
      <w:b/>
      <w:bCs/>
      <w:kern w:val="2"/>
      <w:sz w:val="24"/>
      <w:szCs w:val="24"/>
      <w:lang w:val="en-US" w:eastAsia="zh-CN" w:bidi="ar-SA"/>
    </w:rPr>
  </w:style>
  <w:style w:type="character" w:customStyle="1" w:styleId="142">
    <w:name w:val="Document Map Char"/>
    <w:qFormat/>
    <w:uiPriority w:val="0"/>
    <w:rPr>
      <w:rFonts w:eastAsia="宋体"/>
      <w:kern w:val="2"/>
      <w:sz w:val="21"/>
      <w:szCs w:val="24"/>
      <w:lang w:val="en-US" w:eastAsia="zh-CN" w:bidi="ar-SA"/>
    </w:rPr>
  </w:style>
  <w:style w:type="character" w:customStyle="1" w:styleId="143">
    <w:name w:val="font41"/>
    <w:qFormat/>
    <w:uiPriority w:val="0"/>
    <w:rPr>
      <w:rFonts w:hint="eastAsia" w:ascii="仿宋_GB2312" w:eastAsia="仿宋_GB2312" w:cs="仿宋_GB2312"/>
      <w:color w:val="000000"/>
      <w:sz w:val="22"/>
      <w:szCs w:val="22"/>
      <w:u w:val="none"/>
    </w:rPr>
  </w:style>
  <w:style w:type="character" w:customStyle="1" w:styleId="144">
    <w:name w:val="标题 6 字符"/>
    <w:link w:val="8"/>
    <w:qFormat/>
    <w:uiPriority w:val="0"/>
    <w:rPr>
      <w:rFonts w:ascii="Arial" w:hAnsi="Arial" w:eastAsia="黑体"/>
      <w:b/>
      <w:bCs/>
      <w:kern w:val="2"/>
      <w:sz w:val="24"/>
      <w:szCs w:val="24"/>
    </w:rPr>
  </w:style>
  <w:style w:type="character" w:customStyle="1" w:styleId="145">
    <w:name w:val="纯文本 Char_0"/>
    <w:link w:val="146"/>
    <w:qFormat/>
    <w:uiPriority w:val="0"/>
    <w:rPr>
      <w:rFonts w:ascii="宋体" w:hAnsi="Courier New"/>
      <w:kern w:val="2"/>
      <w:sz w:val="21"/>
      <w:szCs w:val="21"/>
      <w:lang w:val="en-US" w:eastAsia="zh-CN"/>
    </w:rPr>
  </w:style>
  <w:style w:type="paragraph" w:customStyle="1" w:styleId="146">
    <w:name w:val="纯文本_0_0"/>
    <w:basedOn w:val="147"/>
    <w:link w:val="145"/>
    <w:qFormat/>
    <w:uiPriority w:val="0"/>
    <w:rPr>
      <w:rFonts w:ascii="宋体" w:hAnsi="Courier New"/>
      <w:szCs w:val="21"/>
    </w:rPr>
  </w:style>
  <w:style w:type="paragraph" w:customStyle="1" w:styleId="14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8">
    <w:name w:val="Balloon Text Char"/>
    <w:qFormat/>
    <w:uiPriority w:val="0"/>
    <w:rPr>
      <w:rFonts w:eastAsia="宋体"/>
      <w:kern w:val="2"/>
      <w:sz w:val="18"/>
      <w:szCs w:val="18"/>
      <w:lang w:val="en-US" w:eastAsia="zh-CN" w:bidi="ar-SA"/>
    </w:rPr>
  </w:style>
  <w:style w:type="character" w:customStyle="1" w:styleId="149">
    <w:name w:val="正文 项目2 Char"/>
    <w:basedOn w:val="150"/>
    <w:qFormat/>
    <w:uiPriority w:val="0"/>
    <w:rPr>
      <w:rFonts w:ascii="仿宋_GB2312" w:hAnsi="仿宋_GB2312" w:eastAsia="仿宋_GB2312"/>
      <w:kern w:val="2"/>
      <w:sz w:val="24"/>
      <w:lang w:bidi="ar-SA"/>
    </w:rPr>
  </w:style>
  <w:style w:type="character" w:customStyle="1" w:styleId="150">
    <w:name w:val="正文 项目 Char"/>
    <w:qFormat/>
    <w:uiPriority w:val="0"/>
    <w:rPr>
      <w:rFonts w:ascii="仿宋_GB2312" w:hAnsi="仿宋_GB2312" w:eastAsia="仿宋_GB2312"/>
      <w:kern w:val="2"/>
      <w:sz w:val="24"/>
      <w:lang w:bidi="ar-SA"/>
    </w:rPr>
  </w:style>
  <w:style w:type="character" w:customStyle="1" w:styleId="151">
    <w:name w:val="h Char Char1"/>
    <w:qFormat/>
    <w:uiPriority w:val="0"/>
    <w:rPr>
      <w:rFonts w:eastAsia="宋体"/>
      <w:kern w:val="2"/>
      <w:sz w:val="18"/>
      <w:szCs w:val="18"/>
      <w:lang w:val="en-US" w:eastAsia="zh-CN" w:bidi="ar-SA"/>
    </w:rPr>
  </w:style>
  <w:style w:type="character" w:customStyle="1" w:styleId="152">
    <w:name w:val="Char Char27"/>
    <w:qFormat/>
    <w:uiPriority w:val="6"/>
    <w:rPr>
      <w:rFonts w:ascii="宋体" w:hAnsi="宋体" w:eastAsia="宋体"/>
      <w:color w:val="000000"/>
      <w:kern w:val="1"/>
      <w:sz w:val="28"/>
      <w:lang w:val="en-US" w:eastAsia="zh-CN" w:bidi="ar-SA"/>
    </w:rPr>
  </w:style>
  <w:style w:type="character" w:customStyle="1" w:styleId="153">
    <w:name w:val="px14"/>
    <w:qFormat/>
    <w:uiPriority w:val="0"/>
    <w:rPr>
      <w:rFonts w:ascii="仿宋_GB2312" w:eastAsia="微软雅黑" w:cs="Times New Roman"/>
      <w:b/>
      <w:kern w:val="2"/>
      <w:sz w:val="32"/>
      <w:szCs w:val="32"/>
      <w:lang w:val="en-US" w:eastAsia="zh-CN" w:bidi="ar-SA"/>
    </w:rPr>
  </w:style>
  <w:style w:type="character" w:customStyle="1" w:styleId="154">
    <w:name w:val="HTML 预设格式 Char1"/>
    <w:qFormat/>
    <w:uiPriority w:val="0"/>
    <w:rPr>
      <w:rFonts w:ascii="Courier New" w:hAnsi="Courier New" w:eastAsia="宋体" w:cs="Courier New"/>
      <w:sz w:val="20"/>
      <w:szCs w:val="20"/>
    </w:rPr>
  </w:style>
  <w:style w:type="character" w:customStyle="1" w:styleId="155">
    <w:name w:val="普通文字 Char1"/>
    <w:qFormat/>
    <w:uiPriority w:val="0"/>
    <w:rPr>
      <w:rFonts w:ascii="宋体" w:hAnsi="Courier New" w:eastAsia="宋体"/>
      <w:kern w:val="2"/>
      <w:sz w:val="21"/>
      <w:lang w:val="en-US" w:eastAsia="zh-CN"/>
    </w:rPr>
  </w:style>
  <w:style w:type="character" w:customStyle="1" w:styleId="156">
    <w:name w:val="hei16b1"/>
    <w:qFormat/>
    <w:uiPriority w:val="0"/>
    <w:rPr>
      <w:rFonts w:hint="default" w:ascii="Arial" w:hAnsi="Arial" w:cs="Arial"/>
      <w:b/>
      <w:bCs/>
      <w:color w:val="000000"/>
      <w:sz w:val="24"/>
      <w:szCs w:val="24"/>
    </w:rPr>
  </w:style>
  <w:style w:type="character" w:customStyle="1" w:styleId="157">
    <w:name w:val="正文（绿盟科技） Char"/>
    <w:link w:val="158"/>
    <w:qFormat/>
    <w:uiPriority w:val="0"/>
    <w:rPr>
      <w:rFonts w:ascii="Arial" w:hAnsi="Arial"/>
      <w:sz w:val="21"/>
      <w:szCs w:val="21"/>
    </w:rPr>
  </w:style>
  <w:style w:type="paragraph" w:customStyle="1" w:styleId="158">
    <w:name w:val="正文（绿盟科技）"/>
    <w:link w:val="157"/>
    <w:qFormat/>
    <w:uiPriority w:val="0"/>
    <w:pPr>
      <w:spacing w:line="300" w:lineRule="auto"/>
    </w:pPr>
    <w:rPr>
      <w:rFonts w:ascii="Arial" w:hAnsi="Arial" w:eastAsia="宋体" w:cs="Times New Roman"/>
      <w:sz w:val="21"/>
      <w:szCs w:val="21"/>
      <w:lang w:val="en-US" w:eastAsia="zh-CN" w:bidi="ar-SA"/>
    </w:rPr>
  </w:style>
  <w:style w:type="character" w:customStyle="1" w:styleId="159">
    <w:name w:val="Char Char19"/>
    <w:qFormat/>
    <w:uiPriority w:val="6"/>
    <w:rPr>
      <w:rFonts w:ascii="宋体" w:hAnsi="宋体"/>
      <w:i/>
      <w:sz w:val="24"/>
      <w:szCs w:val="24"/>
    </w:rPr>
  </w:style>
  <w:style w:type="character" w:customStyle="1" w:styleId="160">
    <w:name w:val="页脚 Char"/>
    <w:qFormat/>
    <w:uiPriority w:val="0"/>
    <w:rPr>
      <w:rFonts w:eastAsia="仿宋_GB2312"/>
      <w:kern w:val="2"/>
      <w:sz w:val="18"/>
      <w:lang w:val="en-US" w:eastAsia="zh-CN"/>
    </w:rPr>
  </w:style>
  <w:style w:type="character" w:customStyle="1" w:styleId="161">
    <w:name w:val="批注主题 Char"/>
    <w:qFormat/>
    <w:uiPriority w:val="0"/>
    <w:rPr>
      <w:rFonts w:eastAsia="宋体"/>
      <w:b/>
      <w:bCs/>
      <w:kern w:val="2"/>
      <w:sz w:val="21"/>
      <w:szCs w:val="24"/>
      <w:lang w:val="en-US" w:eastAsia="zh-CN" w:bidi="ar-SA"/>
    </w:rPr>
  </w:style>
  <w:style w:type="character" w:customStyle="1" w:styleId="162">
    <w:name w:val="Comment Text Char"/>
    <w:qFormat/>
    <w:uiPriority w:val="0"/>
    <w:rPr>
      <w:rFonts w:ascii="宋体" w:hAnsi="宋体" w:eastAsia="宋体"/>
      <w:kern w:val="2"/>
      <w:sz w:val="24"/>
      <w:lang w:val="en-US" w:eastAsia="zh-CN" w:bidi="ar-SA"/>
    </w:rPr>
  </w:style>
  <w:style w:type="character" w:customStyle="1" w:styleId="163">
    <w:name w:val="标题 2 字符"/>
    <w:qFormat/>
    <w:uiPriority w:val="1"/>
    <w:rPr>
      <w:rFonts w:ascii="仿宋_GB2312" w:hAnsi="Times New Roman" w:eastAsia="仿宋_GB2312" w:cs="Times New Roman"/>
      <w:b/>
      <w:kern w:val="2"/>
      <w:sz w:val="24"/>
      <w:lang w:val="zh-CN"/>
    </w:rPr>
  </w:style>
  <w:style w:type="character" w:customStyle="1" w:styleId="164">
    <w:name w:val="Char Char72"/>
    <w:qFormat/>
    <w:uiPriority w:val="0"/>
    <w:rPr>
      <w:rFonts w:eastAsia="宋体"/>
      <w:kern w:val="2"/>
      <w:sz w:val="21"/>
      <w:szCs w:val="24"/>
      <w:lang w:val="en-US" w:eastAsia="zh-CN" w:bidi="ar-SA"/>
    </w:rPr>
  </w:style>
  <w:style w:type="character" w:customStyle="1" w:styleId="165">
    <w:name w:val="正文文本缩进 Char2"/>
    <w:qFormat/>
    <w:uiPriority w:val="0"/>
    <w:rPr>
      <w:rFonts w:ascii="Times New Roman" w:hAnsi="Times New Roman" w:eastAsia="宋体" w:cs="Times New Roman"/>
      <w:snapToGrid w:val="0"/>
      <w:kern w:val="0"/>
      <w:szCs w:val="24"/>
    </w:rPr>
  </w:style>
  <w:style w:type="character" w:customStyle="1" w:styleId="166">
    <w:name w:val="样式2 Char"/>
    <w:qFormat/>
    <w:uiPriority w:val="0"/>
    <w:rPr>
      <w:rFonts w:ascii="仿宋_GB2312" w:hAnsi="仿宋" w:eastAsia="仿宋_GB2312" w:cs="仿宋_GB2312"/>
      <w:b/>
      <w:bCs/>
      <w:sz w:val="32"/>
      <w:szCs w:val="30"/>
      <w:lang w:val="zh-CN"/>
    </w:rPr>
  </w:style>
  <w:style w:type="character" w:customStyle="1" w:styleId="167">
    <w:name w:val="表格名称[858D7CFB-ED40-4347-BF05-701D383B685F]"/>
    <w:link w:val="168"/>
    <w:qFormat/>
    <w:uiPriority w:val="0"/>
    <w:rPr>
      <w:sz w:val="32"/>
    </w:rPr>
  </w:style>
  <w:style w:type="paragraph" w:customStyle="1" w:styleId="168">
    <w:name w:val="表格名称"/>
    <w:basedOn w:val="3"/>
    <w:link w:val="167"/>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69">
    <w:name w:val="Char Char4"/>
    <w:qFormat/>
    <w:uiPriority w:val="0"/>
    <w:rPr>
      <w:rFonts w:eastAsia="宋体"/>
      <w:b/>
      <w:sz w:val="24"/>
      <w:lang w:val="en-GB" w:eastAsia="zh-CN" w:bidi="ar-SA"/>
    </w:rPr>
  </w:style>
  <w:style w:type="character" w:customStyle="1" w:styleId="170">
    <w:name w:val="c7 style3"/>
    <w:qFormat/>
    <w:uiPriority w:val="0"/>
  </w:style>
  <w:style w:type="character" w:customStyle="1" w:styleId="171">
    <w:name w:val="正文文本 3 Char1"/>
    <w:qFormat/>
    <w:uiPriority w:val="99"/>
    <w:rPr>
      <w:rFonts w:ascii="Times New Roman" w:hAnsi="Times New Roman" w:eastAsia="宋体" w:cs="Times New Roman"/>
      <w:sz w:val="16"/>
      <w:szCs w:val="16"/>
    </w:rPr>
  </w:style>
  <w:style w:type="character" w:customStyle="1" w:styleId="172">
    <w:name w:val="tw4winInternal"/>
    <w:qFormat/>
    <w:uiPriority w:val="0"/>
    <w:rPr>
      <w:rFonts w:ascii="Courier New" w:hAnsi="Courier New" w:cs="Courier New"/>
      <w:color w:val="FF0000"/>
      <w:lang w:val="en-US" w:eastAsia="zh-CN"/>
    </w:rPr>
  </w:style>
  <w:style w:type="character" w:customStyle="1" w:styleId="173">
    <w:name w:val="Char Char10"/>
    <w:qFormat/>
    <w:uiPriority w:val="0"/>
    <w:rPr>
      <w:rFonts w:ascii="宋体" w:hAnsi="宋体"/>
      <w:kern w:val="2"/>
      <w:sz w:val="21"/>
      <w:szCs w:val="24"/>
      <w:lang w:val="en-US" w:eastAsia="zh-CN"/>
    </w:rPr>
  </w:style>
  <w:style w:type="character" w:customStyle="1" w:styleId="174">
    <w:name w:val="shadow11"/>
    <w:qFormat/>
    <w:uiPriority w:val="0"/>
    <w:rPr>
      <w:color w:val="000000"/>
      <w:sz w:val="21"/>
    </w:rPr>
  </w:style>
  <w:style w:type="character" w:customStyle="1" w:styleId="175">
    <w:name w:val="正文非缩进 Char3"/>
    <w:qFormat/>
    <w:uiPriority w:val="0"/>
    <w:rPr>
      <w:rFonts w:ascii="宋体" w:eastAsia="宋体"/>
      <w:snapToGrid w:val="0"/>
      <w:color w:val="000000"/>
      <w:kern w:val="28"/>
      <w:sz w:val="28"/>
      <w:lang w:val="en-US" w:eastAsia="zh-CN" w:bidi="ar-SA"/>
    </w:rPr>
  </w:style>
  <w:style w:type="character" w:customStyle="1" w:styleId="176">
    <w:name w:val="Char Char"/>
    <w:qFormat/>
    <w:uiPriority w:val="0"/>
    <w:rPr>
      <w:rFonts w:ascii="宋体" w:hAnsi="Courier New" w:eastAsia="宋体"/>
      <w:kern w:val="2"/>
      <w:sz w:val="21"/>
      <w:lang w:val="en-US" w:eastAsia="zh-CN" w:bidi="ar-SA"/>
    </w:rPr>
  </w:style>
  <w:style w:type="character" w:customStyle="1" w:styleId="177">
    <w:name w:val="签名 Char1"/>
    <w:qFormat/>
    <w:uiPriority w:val="0"/>
    <w:rPr>
      <w:rFonts w:ascii="Times New Roman" w:hAnsi="Times New Roman" w:eastAsia="宋体" w:cs="Times New Roman"/>
      <w:szCs w:val="24"/>
    </w:rPr>
  </w:style>
  <w:style w:type="character" w:customStyle="1" w:styleId="178">
    <w:name w:val="日期 字符"/>
    <w:link w:val="35"/>
    <w:qFormat/>
    <w:uiPriority w:val="0"/>
    <w:rPr>
      <w:rFonts w:ascii="宋体"/>
      <w:kern w:val="2"/>
      <w:sz w:val="24"/>
      <w:szCs w:val="21"/>
      <w:lang w:val="zh-CN"/>
    </w:rPr>
  </w:style>
  <w:style w:type="character" w:customStyle="1" w:styleId="179">
    <w:name w:val="标题 9 字符"/>
    <w:link w:val="11"/>
    <w:qFormat/>
    <w:uiPriority w:val="0"/>
    <w:rPr>
      <w:rFonts w:ascii="Arial" w:hAnsi="Arial" w:eastAsia="黑体"/>
      <w:kern w:val="2"/>
      <w:sz w:val="21"/>
      <w:szCs w:val="21"/>
    </w:rPr>
  </w:style>
  <w:style w:type="character" w:customStyle="1" w:styleId="180">
    <w:name w:val="Char Char18"/>
    <w:qFormat/>
    <w:uiPriority w:val="6"/>
    <w:rPr>
      <w:rFonts w:ascii="宋体" w:hAnsi="宋体"/>
      <w:sz w:val="28"/>
    </w:rPr>
  </w:style>
  <w:style w:type="character" w:customStyle="1" w:styleId="181">
    <w:name w:val="批注文字 Char"/>
    <w:qFormat/>
    <w:uiPriority w:val="99"/>
    <w:rPr>
      <w:kern w:val="2"/>
      <w:sz w:val="21"/>
      <w:szCs w:val="24"/>
    </w:rPr>
  </w:style>
  <w:style w:type="character" w:customStyle="1" w:styleId="182">
    <w:name w:val="Char Char22"/>
    <w:qFormat/>
    <w:uiPriority w:val="6"/>
    <w:rPr>
      <w:rFonts w:ascii="宋体" w:hAnsi="宋体"/>
      <w:kern w:val="1"/>
      <w:sz w:val="24"/>
      <w:szCs w:val="24"/>
    </w:rPr>
  </w:style>
  <w:style w:type="character" w:customStyle="1" w:styleId="183">
    <w:name w:val="pt141"/>
    <w:qFormat/>
    <w:uiPriority w:val="0"/>
    <w:rPr>
      <w:color w:val="330066"/>
      <w:sz w:val="22"/>
      <w:szCs w:val="22"/>
    </w:rPr>
  </w:style>
  <w:style w:type="character" w:customStyle="1" w:styleId="184">
    <w:name w:val="正文文本缩进 2 Char1"/>
    <w:qFormat/>
    <w:uiPriority w:val="99"/>
    <w:rPr>
      <w:rFonts w:ascii="Times New Roman" w:hAnsi="Times New Roman" w:eastAsia="宋体" w:cs="Times New Roman"/>
      <w:szCs w:val="24"/>
    </w:rPr>
  </w:style>
  <w:style w:type="character" w:customStyle="1" w:styleId="185">
    <w:name w:val="批注框文本 字符1"/>
    <w:link w:val="38"/>
    <w:qFormat/>
    <w:uiPriority w:val="0"/>
    <w:rPr>
      <w:kern w:val="2"/>
      <w:sz w:val="18"/>
      <w:szCs w:val="18"/>
    </w:rPr>
  </w:style>
  <w:style w:type="character" w:customStyle="1" w:styleId="186">
    <w:name w:val="Char Char611"/>
    <w:qFormat/>
    <w:uiPriority w:val="0"/>
    <w:rPr>
      <w:rFonts w:eastAsia="宋体"/>
      <w:kern w:val="2"/>
      <w:sz w:val="21"/>
      <w:szCs w:val="24"/>
      <w:lang w:val="en-US" w:eastAsia="zh-CN" w:bidi="ar-SA"/>
    </w:rPr>
  </w:style>
  <w:style w:type="character" w:customStyle="1" w:styleId="187">
    <w:name w:val="highlight1"/>
    <w:qFormat/>
    <w:uiPriority w:val="0"/>
    <w:rPr>
      <w:rFonts w:ascii="仿宋_GB2312" w:eastAsia="微软雅黑"/>
      <w:b/>
      <w:kern w:val="2"/>
      <w:sz w:val="23"/>
      <w:szCs w:val="23"/>
      <w:lang w:val="en-US" w:eastAsia="zh-CN" w:bidi="ar-SA"/>
    </w:rPr>
  </w:style>
  <w:style w:type="character" w:customStyle="1" w:styleId="188">
    <w:name w:val="my正文 Char"/>
    <w:link w:val="189"/>
    <w:qFormat/>
    <w:uiPriority w:val="0"/>
    <w:rPr>
      <w:rFonts w:ascii="Tahoma" w:hAnsi="Tahoma"/>
      <w:sz w:val="24"/>
      <w:szCs w:val="24"/>
    </w:rPr>
  </w:style>
  <w:style w:type="paragraph" w:customStyle="1" w:styleId="189">
    <w:name w:val="my正文"/>
    <w:basedOn w:val="1"/>
    <w:link w:val="188"/>
    <w:qFormat/>
    <w:uiPriority w:val="0"/>
    <w:pPr>
      <w:adjustRightInd/>
      <w:spacing w:line="360" w:lineRule="auto"/>
      <w:ind w:firstLine="480" w:firstLineChars="200"/>
    </w:pPr>
    <w:rPr>
      <w:rFonts w:ascii="Tahoma" w:hAnsi="Tahoma"/>
      <w:kern w:val="0"/>
      <w:sz w:val="24"/>
    </w:rPr>
  </w:style>
  <w:style w:type="character" w:customStyle="1" w:styleId="190">
    <w:name w:val="正文缩进 字符2"/>
    <w:link w:val="5"/>
    <w:qFormat/>
    <w:uiPriority w:val="0"/>
    <w:rPr>
      <w:rFonts w:ascii="宋体" w:eastAsia="宋体"/>
      <w:snapToGrid w:val="0"/>
      <w:color w:val="000000"/>
      <w:kern w:val="28"/>
      <w:sz w:val="28"/>
      <w:lang w:val="en-US" w:eastAsia="zh-CN" w:bidi="ar-SA"/>
    </w:rPr>
  </w:style>
  <w:style w:type="character" w:customStyle="1" w:styleId="191">
    <w:name w:val="Used by Word for text of Help footnotes Char Char1"/>
    <w:qFormat/>
    <w:uiPriority w:val="0"/>
    <w:rPr>
      <w:color w:val="0000FF"/>
      <w:sz w:val="21"/>
    </w:rPr>
  </w:style>
  <w:style w:type="character" w:customStyle="1" w:styleId="192">
    <w:name w:val="页眉 Char"/>
    <w:qFormat/>
    <w:uiPriority w:val="0"/>
    <w:rPr>
      <w:rFonts w:eastAsia="仿宋_GB2312"/>
      <w:kern w:val="2"/>
      <w:sz w:val="18"/>
      <w:lang w:val="en-US" w:eastAsia="zh-CN"/>
    </w:rPr>
  </w:style>
  <w:style w:type="character" w:customStyle="1" w:styleId="193">
    <w:name w:val="FA正文 Char Char"/>
    <w:qFormat/>
    <w:uiPriority w:val="0"/>
    <w:rPr>
      <w:rFonts w:hAnsi="宋体"/>
      <w:kern w:val="2"/>
      <w:sz w:val="24"/>
      <w:lang w:bidi="ar-SA"/>
    </w:rPr>
  </w:style>
  <w:style w:type="character" w:customStyle="1" w:styleId="194">
    <w:name w:val="纯文本 字符"/>
    <w:qFormat/>
    <w:uiPriority w:val="0"/>
    <w:rPr>
      <w:rFonts w:ascii="宋体" w:hAnsi="Courier New" w:eastAsia="宋体" w:cs="Arial"/>
      <w:snapToGrid w:val="0"/>
      <w:kern w:val="2"/>
      <w:sz w:val="21"/>
      <w:szCs w:val="21"/>
      <w:lang w:val="en-US" w:eastAsia="zh-CN" w:bidi="ar-SA"/>
    </w:rPr>
  </w:style>
  <w:style w:type="character" w:customStyle="1" w:styleId="195">
    <w:name w:val="3级 Char"/>
    <w:link w:val="196"/>
    <w:qFormat/>
    <w:uiPriority w:val="0"/>
    <w:rPr>
      <w:rFonts w:ascii="宋体" w:hAnsi="宋体"/>
      <w:b/>
      <w:bCs/>
      <w:snapToGrid/>
      <w:sz w:val="28"/>
    </w:rPr>
  </w:style>
  <w:style w:type="paragraph" w:customStyle="1" w:styleId="196">
    <w:name w:val="3级"/>
    <w:basedOn w:val="197"/>
    <w:link w:val="195"/>
    <w:qFormat/>
    <w:uiPriority w:val="0"/>
    <w:pPr>
      <w:ind w:left="0" w:right="466" w:firstLine="288"/>
    </w:pPr>
    <w:rPr>
      <w:rFonts w:hAnsi="宋体"/>
      <w:snapToGrid/>
    </w:rPr>
  </w:style>
  <w:style w:type="paragraph" w:customStyle="1" w:styleId="197">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8">
    <w:name w:val="myp11"/>
    <w:qFormat/>
    <w:uiPriority w:val="0"/>
    <w:rPr>
      <w:rFonts w:ascii="仿宋_GB2312" w:eastAsia="微软雅黑"/>
      <w:b/>
      <w:kern w:val="2"/>
      <w:sz w:val="32"/>
      <w:szCs w:val="32"/>
      <w:lang w:val="en-US" w:eastAsia="zh-CN" w:bidi="ar-SA"/>
    </w:rPr>
  </w:style>
  <w:style w:type="character" w:customStyle="1" w:styleId="199">
    <w:name w:val="文档结构图 字符"/>
    <w:link w:val="18"/>
    <w:qFormat/>
    <w:uiPriority w:val="0"/>
    <w:rPr>
      <w:kern w:val="2"/>
      <w:sz w:val="21"/>
      <w:szCs w:val="24"/>
      <w:shd w:val="clear" w:color="auto" w:fill="000080"/>
    </w:rPr>
  </w:style>
  <w:style w:type="character" w:customStyle="1" w:styleId="200">
    <w:name w:val="H6 Char"/>
    <w:qFormat/>
    <w:uiPriority w:val="0"/>
    <w:rPr>
      <w:rFonts w:ascii="Arial" w:hAnsi="Arial" w:eastAsia="黑体"/>
      <w:b/>
      <w:bCs/>
      <w:kern w:val="2"/>
      <w:sz w:val="24"/>
      <w:szCs w:val="24"/>
    </w:rPr>
  </w:style>
  <w:style w:type="character" w:customStyle="1" w:styleId="201">
    <w:name w:val="Char Char91"/>
    <w:qFormat/>
    <w:uiPriority w:val="0"/>
    <w:rPr>
      <w:rFonts w:eastAsia="宋体"/>
      <w:kern w:val="2"/>
      <w:sz w:val="18"/>
      <w:szCs w:val="18"/>
      <w:lang w:val="en-US" w:eastAsia="zh-CN" w:bidi="ar-SA"/>
    </w:rPr>
  </w:style>
  <w:style w:type="character" w:customStyle="1" w:styleId="202">
    <w:name w:val="副标题 Char1"/>
    <w:qFormat/>
    <w:uiPriority w:val="0"/>
    <w:rPr>
      <w:rFonts w:ascii="Cambria" w:hAnsi="Cambria" w:eastAsia="宋体" w:cs="Times New Roman"/>
      <w:b/>
      <w:bCs/>
      <w:snapToGrid w:val="0"/>
      <w:kern w:val="28"/>
      <w:sz w:val="32"/>
      <w:szCs w:val="32"/>
    </w:rPr>
  </w:style>
  <w:style w:type="character" w:customStyle="1" w:styleId="203">
    <w:name w:val="font61"/>
    <w:qFormat/>
    <w:uiPriority w:val="0"/>
    <w:rPr>
      <w:rFonts w:hint="eastAsia" w:ascii="仿宋" w:hAnsi="仿宋" w:eastAsia="仿宋" w:cs="仿宋"/>
      <w:color w:val="000000"/>
      <w:sz w:val="20"/>
      <w:szCs w:val="20"/>
      <w:u w:val="none"/>
    </w:rPr>
  </w:style>
  <w:style w:type="character" w:customStyle="1" w:styleId="204">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5">
    <w:name w:val="Char Char211"/>
    <w:qFormat/>
    <w:uiPriority w:val="0"/>
    <w:rPr>
      <w:rFonts w:eastAsia="宋体"/>
      <w:b/>
      <w:bCs/>
      <w:kern w:val="2"/>
      <w:sz w:val="21"/>
      <w:szCs w:val="24"/>
      <w:lang w:val="en-US" w:eastAsia="zh-CN" w:bidi="ar-SA"/>
    </w:rPr>
  </w:style>
  <w:style w:type="character" w:customStyle="1" w:styleId="206">
    <w:name w:val="标题 2 Char"/>
    <w:qFormat/>
    <w:uiPriority w:val="0"/>
    <w:rPr>
      <w:rFonts w:ascii="Arial" w:hAnsi="Arial" w:eastAsia="黑体"/>
      <w:b/>
      <w:kern w:val="2"/>
      <w:sz w:val="32"/>
      <w:lang w:val="en-US" w:eastAsia="zh-CN"/>
    </w:rPr>
  </w:style>
  <w:style w:type="character" w:customStyle="1" w:styleId="207">
    <w:name w:val="maywed421"/>
    <w:qFormat/>
    <w:uiPriority w:val="0"/>
    <w:rPr>
      <w:color w:val="366FB6"/>
      <w:u w:val="none"/>
    </w:rPr>
  </w:style>
  <w:style w:type="character" w:customStyle="1" w:styleId="208">
    <w:name w:val="正文文本缩进 Char"/>
    <w:qFormat/>
    <w:uiPriority w:val="0"/>
    <w:rPr>
      <w:rFonts w:ascii="宋体" w:hAnsi="宋体"/>
      <w:kern w:val="2"/>
      <w:sz w:val="24"/>
      <w:szCs w:val="24"/>
    </w:rPr>
  </w:style>
  <w:style w:type="character" w:customStyle="1" w:styleId="209">
    <w:name w:val="Char Char102"/>
    <w:qFormat/>
    <w:uiPriority w:val="0"/>
    <w:rPr>
      <w:rFonts w:ascii="宋体" w:hAnsi="宋体"/>
      <w:kern w:val="2"/>
      <w:sz w:val="21"/>
      <w:szCs w:val="24"/>
      <w:lang w:val="en-US" w:eastAsia="zh-CN"/>
    </w:rPr>
  </w:style>
  <w:style w:type="character" w:customStyle="1" w:styleId="210">
    <w:name w:val="页眉 Char1"/>
    <w:qFormat/>
    <w:uiPriority w:val="0"/>
    <w:rPr>
      <w:rFonts w:eastAsia="宋体"/>
      <w:kern w:val="2"/>
      <w:sz w:val="18"/>
      <w:szCs w:val="18"/>
      <w:lang w:val="en-US" w:eastAsia="zh-CN" w:bidi="ar-SA"/>
    </w:rPr>
  </w:style>
  <w:style w:type="character" w:customStyle="1" w:styleId="211">
    <w:name w:val="md"/>
    <w:basedOn w:val="69"/>
    <w:qFormat/>
    <w:uiPriority w:val="0"/>
    <w:rPr>
      <w:rFonts w:ascii="Arial" w:hAnsi="Arial" w:eastAsia="黑体" w:cs="Arial"/>
      <w:snapToGrid w:val="0"/>
      <w:kern w:val="0"/>
      <w:szCs w:val="21"/>
    </w:rPr>
  </w:style>
  <w:style w:type="character" w:customStyle="1" w:styleId="212">
    <w:name w:val="big1"/>
    <w:qFormat/>
    <w:uiPriority w:val="0"/>
    <w:rPr>
      <w:rFonts w:hint="eastAsia" w:ascii="宋体" w:hAnsi="宋体" w:eastAsia="宋体"/>
      <w:color w:val="333333"/>
      <w:sz w:val="22"/>
      <w:szCs w:val="22"/>
    </w:rPr>
  </w:style>
  <w:style w:type="character" w:customStyle="1" w:styleId="213">
    <w:name w:val="Char Char311"/>
    <w:qFormat/>
    <w:uiPriority w:val="0"/>
    <w:rPr>
      <w:rFonts w:eastAsia="宋体"/>
      <w:kern w:val="2"/>
      <w:sz w:val="21"/>
      <w:szCs w:val="24"/>
      <w:lang w:val="en-US" w:eastAsia="zh-CN" w:bidi="ar-SA"/>
    </w:rPr>
  </w:style>
  <w:style w:type="character" w:customStyle="1" w:styleId="214">
    <w:name w:val="Char Char81"/>
    <w:qFormat/>
    <w:uiPriority w:val="6"/>
    <w:rPr>
      <w:rFonts w:eastAsia="宋体"/>
      <w:b/>
      <w:sz w:val="24"/>
      <w:lang w:val="en-GB" w:eastAsia="zh-CN"/>
    </w:rPr>
  </w:style>
  <w:style w:type="character" w:customStyle="1" w:styleId="215">
    <w:name w:val="样式3 Char"/>
    <w:basedOn w:val="166"/>
    <w:qFormat/>
    <w:uiPriority w:val="0"/>
    <w:rPr>
      <w:rFonts w:ascii="仿宋_GB2312" w:hAnsi="仿宋" w:eastAsia="仿宋_GB2312" w:cs="仿宋_GB2312"/>
      <w:sz w:val="32"/>
      <w:szCs w:val="30"/>
      <w:lang w:val="zh-CN"/>
    </w:rPr>
  </w:style>
  <w:style w:type="character" w:customStyle="1" w:styleId="216">
    <w:name w:val="HTML 地址 字符"/>
    <w:link w:val="29"/>
    <w:qFormat/>
    <w:uiPriority w:val="0"/>
    <w:rPr>
      <w:rFonts w:ascii="宋体" w:hAnsi="宋体"/>
      <w:i/>
      <w:iCs/>
      <w:sz w:val="24"/>
      <w:szCs w:val="24"/>
    </w:rPr>
  </w:style>
  <w:style w:type="character" w:customStyle="1" w:styleId="217">
    <w:name w:val="正文首行缩进 2 Char1"/>
    <w:qFormat/>
    <w:uiPriority w:val="0"/>
    <w:rPr>
      <w:rFonts w:ascii="Times New Roman" w:hAnsi="Times New Roman" w:eastAsia="宋体" w:cs="Times New Roman"/>
      <w:kern w:val="2"/>
      <w:sz w:val="24"/>
      <w:szCs w:val="24"/>
    </w:rPr>
  </w:style>
  <w:style w:type="character" w:customStyle="1" w:styleId="218">
    <w:name w:val="副标题 Char2"/>
    <w:qFormat/>
    <w:uiPriority w:val="0"/>
    <w:rPr>
      <w:rFonts w:ascii="Cambria" w:hAnsi="Cambria" w:eastAsia="宋体" w:cs="Times New Roman"/>
      <w:b/>
      <w:bCs/>
      <w:snapToGrid w:val="0"/>
      <w:kern w:val="28"/>
      <w:sz w:val="32"/>
      <w:szCs w:val="32"/>
    </w:rPr>
  </w:style>
  <w:style w:type="character" w:customStyle="1" w:styleId="219">
    <w:name w:val="标题4-dyf Char"/>
    <w:link w:val="220"/>
    <w:qFormat/>
    <w:uiPriority w:val="0"/>
    <w:rPr>
      <w:rFonts w:ascii="Cambria" w:hAnsi="Cambria"/>
      <w:b/>
      <w:bCs/>
      <w:color w:val="000000"/>
      <w:kern w:val="2"/>
      <w:sz w:val="21"/>
      <w:szCs w:val="21"/>
    </w:rPr>
  </w:style>
  <w:style w:type="paragraph" w:customStyle="1" w:styleId="220">
    <w:name w:val="标题4-dyf"/>
    <w:basedOn w:val="6"/>
    <w:link w:val="219"/>
    <w:qFormat/>
    <w:uiPriority w:val="0"/>
    <w:pPr>
      <w:tabs>
        <w:tab w:val="clear" w:pos="864"/>
      </w:tabs>
      <w:adjustRightInd/>
      <w:spacing w:line="376" w:lineRule="atLeast"/>
      <w:ind w:left="851" w:hanging="851"/>
    </w:pPr>
    <w:rPr>
      <w:rFonts w:ascii="Cambria" w:hAnsi="Cambria" w:eastAsia="宋体"/>
      <w:color w:val="000000"/>
      <w:sz w:val="21"/>
      <w:szCs w:val="21"/>
    </w:rPr>
  </w:style>
  <w:style w:type="character" w:customStyle="1" w:styleId="221">
    <w:name w:val="dectext1"/>
    <w:qFormat/>
    <w:uiPriority w:val="0"/>
    <w:rPr>
      <w:rFonts w:ascii="宋体" w:hAnsi="宋体" w:eastAsia="宋体"/>
      <w:color w:val="333333"/>
      <w:sz w:val="21"/>
      <w:szCs w:val="21"/>
      <w:u w:val="none"/>
    </w:rPr>
  </w:style>
  <w:style w:type="character" w:customStyle="1" w:styleId="222">
    <w:name w:val="冯 Char"/>
    <w:link w:val="223"/>
    <w:qFormat/>
    <w:uiPriority w:val="0"/>
    <w:rPr>
      <w:rFonts w:ascii="宋体" w:hAnsi="宋体"/>
      <w:color w:val="000000"/>
      <w:sz w:val="24"/>
      <w:szCs w:val="24"/>
    </w:rPr>
  </w:style>
  <w:style w:type="paragraph" w:customStyle="1" w:styleId="223">
    <w:name w:val="冯"/>
    <w:basedOn w:val="1"/>
    <w:link w:val="222"/>
    <w:qFormat/>
    <w:uiPriority w:val="0"/>
    <w:pPr>
      <w:widowControl/>
      <w:adjustRightInd/>
      <w:spacing w:line="360" w:lineRule="auto"/>
      <w:ind w:firstLine="480" w:firstLineChars="200"/>
    </w:pPr>
    <w:rPr>
      <w:rFonts w:ascii="宋体" w:hAnsi="宋体"/>
      <w:color w:val="000000"/>
      <w:kern w:val="0"/>
      <w:sz w:val="24"/>
    </w:rPr>
  </w:style>
  <w:style w:type="character" w:customStyle="1" w:styleId="224">
    <w:name w:val="Header Char_d05e2543-e3bd-4624-b0a0-09f5ab959a46"/>
    <w:qFormat/>
    <w:uiPriority w:val="0"/>
    <w:rPr>
      <w:rFonts w:eastAsia="宋体"/>
      <w:kern w:val="2"/>
      <w:sz w:val="18"/>
      <w:szCs w:val="18"/>
      <w:lang w:val="en-US" w:eastAsia="zh-CN" w:bidi="ar-SA"/>
    </w:rPr>
  </w:style>
  <w:style w:type="character" w:customStyle="1" w:styleId="225">
    <w:name w:val="Char Char12"/>
    <w:qFormat/>
    <w:uiPriority w:val="0"/>
    <w:rPr>
      <w:rFonts w:ascii="仿宋_GB2312" w:eastAsia="仿宋_GB2312"/>
      <w:b/>
      <w:bCs/>
      <w:kern w:val="2"/>
      <w:sz w:val="24"/>
      <w:szCs w:val="24"/>
      <w:lang w:val="zh-CN" w:eastAsia="zh-CN" w:bidi="ar-SA"/>
    </w:rPr>
  </w:style>
  <w:style w:type="character" w:customStyle="1" w:styleId="226">
    <w:name w:val="题注 字符"/>
    <w:link w:val="16"/>
    <w:qFormat/>
    <w:uiPriority w:val="0"/>
    <w:rPr>
      <w:b/>
      <w:kern w:val="2"/>
      <w:sz w:val="28"/>
    </w:rPr>
  </w:style>
  <w:style w:type="character" w:customStyle="1" w:styleId="227">
    <w:name w:val="普通文字 Char3"/>
    <w:qFormat/>
    <w:uiPriority w:val="0"/>
    <w:rPr>
      <w:rFonts w:ascii="宋体" w:hAnsi="Courier New" w:eastAsia="宋体"/>
      <w:kern w:val="2"/>
      <w:sz w:val="21"/>
      <w:lang w:val="en-US" w:eastAsia="zh-CN" w:bidi="ar-SA"/>
    </w:rPr>
  </w:style>
  <w:style w:type="character" w:customStyle="1" w:styleId="228">
    <w:name w:val="公文正文 Char"/>
    <w:qFormat/>
    <w:uiPriority w:val="0"/>
    <w:rPr>
      <w:rFonts w:ascii="仿宋_GB2312" w:eastAsia="仿宋_GB2312"/>
      <w:kern w:val="2"/>
      <w:sz w:val="24"/>
      <w:szCs w:val="24"/>
      <w:lang w:val="en-US" w:eastAsia="zh-CN" w:bidi="ar-SA"/>
    </w:rPr>
  </w:style>
  <w:style w:type="character" w:customStyle="1" w:styleId="229">
    <w:name w:val="正文首行缩进 Char Char Char Char Char"/>
    <w:qFormat/>
    <w:uiPriority w:val="0"/>
    <w:rPr>
      <w:rFonts w:ascii="宋体"/>
      <w:kern w:val="2"/>
      <w:sz w:val="24"/>
      <w:lang w:val="zh-CN"/>
    </w:rPr>
  </w:style>
  <w:style w:type="character" w:customStyle="1" w:styleId="230">
    <w:name w:val="PI Char"/>
    <w:qFormat/>
    <w:uiPriority w:val="0"/>
    <w:rPr>
      <w:rFonts w:ascii="宋体" w:hAnsi="宋体" w:eastAsia="宋体"/>
      <w:kern w:val="2"/>
      <w:sz w:val="24"/>
      <w:szCs w:val="24"/>
      <w:lang w:val="en-US" w:eastAsia="zh-CN" w:bidi="ar-SA"/>
    </w:rPr>
  </w:style>
  <w:style w:type="character" w:customStyle="1" w:styleId="231">
    <w:name w:val="Default Char"/>
    <w:link w:val="232"/>
    <w:qFormat/>
    <w:uiPriority w:val="0"/>
    <w:rPr>
      <w:rFonts w:ascii="仿宋_GB2312" w:eastAsia="仿宋_GB2312" w:cs="仿宋_GB2312"/>
      <w:color w:val="000000"/>
      <w:sz w:val="24"/>
      <w:szCs w:val="24"/>
      <w:lang w:val="en-US" w:eastAsia="zh-CN" w:bidi="ar-SA"/>
    </w:rPr>
  </w:style>
  <w:style w:type="paragraph" w:customStyle="1" w:styleId="232">
    <w:name w:val="Default"/>
    <w:link w:val="23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3">
    <w:name w:val="style91"/>
    <w:qFormat/>
    <w:uiPriority w:val="0"/>
    <w:rPr>
      <w:color w:val="333333"/>
    </w:rPr>
  </w:style>
  <w:style w:type="character" w:customStyle="1" w:styleId="234">
    <w:name w:val="列出段落 Char2"/>
    <w:qFormat/>
    <w:uiPriority w:val="34"/>
    <w:rPr>
      <w:rFonts w:ascii="Calibri" w:hAnsi="Calibri"/>
      <w:kern w:val="2"/>
      <w:sz w:val="28"/>
    </w:rPr>
  </w:style>
  <w:style w:type="character" w:customStyle="1" w:styleId="235">
    <w:name w:val="mdeck"/>
    <w:qFormat/>
    <w:uiPriority w:val="0"/>
    <w:rPr>
      <w:rFonts w:ascii="仿宋_GB2312" w:eastAsia="微软雅黑"/>
      <w:b/>
      <w:kern w:val="2"/>
      <w:sz w:val="32"/>
      <w:szCs w:val="32"/>
      <w:lang w:val="en-US" w:eastAsia="zh-CN" w:bidi="ar-SA"/>
    </w:rPr>
  </w:style>
  <w:style w:type="character" w:customStyle="1" w:styleId="236">
    <w:name w:val="unnamed11"/>
    <w:qFormat/>
    <w:uiPriority w:val="0"/>
    <w:rPr>
      <w:sz w:val="20"/>
      <w:szCs w:val="20"/>
    </w:rPr>
  </w:style>
  <w:style w:type="character" w:customStyle="1" w:styleId="237">
    <w:name w:val="正文文本 Char2"/>
    <w:qFormat/>
    <w:uiPriority w:val="99"/>
    <w:rPr>
      <w:rFonts w:ascii="Times New Roman" w:hAnsi="Times New Roman" w:eastAsia="宋体" w:cs="Times New Roman"/>
      <w:snapToGrid w:val="0"/>
      <w:kern w:val="0"/>
      <w:szCs w:val="24"/>
    </w:rPr>
  </w:style>
  <w:style w:type="character" w:customStyle="1" w:styleId="238">
    <w:name w:val="标书正文格式 Char"/>
    <w:qFormat/>
    <w:uiPriority w:val="0"/>
    <w:rPr>
      <w:rFonts w:eastAsia="楷体_GB2312"/>
      <w:kern w:val="2"/>
      <w:sz w:val="24"/>
      <w:szCs w:val="24"/>
      <w:lang w:bidi="ar-SA"/>
    </w:rPr>
  </w:style>
  <w:style w:type="character" w:customStyle="1" w:styleId="239">
    <w:name w:val="Char Char11"/>
    <w:qFormat/>
    <w:uiPriority w:val="0"/>
    <w:rPr>
      <w:rFonts w:ascii="宋体" w:hAnsi="宋体" w:eastAsia="宋体"/>
      <w:b/>
      <w:kern w:val="2"/>
      <w:sz w:val="24"/>
      <w:szCs w:val="24"/>
      <w:lang w:val="en-US" w:eastAsia="zh-CN" w:bidi="ar-SA"/>
    </w:rPr>
  </w:style>
  <w:style w:type="character" w:customStyle="1" w:styleId="240">
    <w:name w:val="ca-131"/>
    <w:qFormat/>
    <w:uiPriority w:val="0"/>
    <w:rPr>
      <w:rFonts w:hint="eastAsia" w:ascii="仿宋_GB2312" w:eastAsia="仿宋_GB2312"/>
      <w:b/>
      <w:bCs/>
      <w:color w:val="000000"/>
      <w:spacing w:val="-20"/>
      <w:sz w:val="24"/>
      <w:szCs w:val="24"/>
    </w:rPr>
  </w:style>
  <w:style w:type="character" w:customStyle="1" w:styleId="241">
    <w:name w:val="tw4winMark"/>
    <w:qFormat/>
    <w:uiPriority w:val="0"/>
    <w:rPr>
      <w:rFonts w:ascii="Courier New" w:hAnsi="Courier New" w:cs="Courier New"/>
      <w:vanish/>
      <w:color w:val="800080"/>
      <w:sz w:val="24"/>
      <w:szCs w:val="24"/>
      <w:vertAlign w:val="subscript"/>
    </w:rPr>
  </w:style>
  <w:style w:type="character" w:customStyle="1" w:styleId="242">
    <w:name w:val="正文样式 Char"/>
    <w:link w:val="243"/>
    <w:qFormat/>
    <w:uiPriority w:val="0"/>
    <w:rPr>
      <w:rFonts w:ascii="Calibri" w:hAnsi="Calibri"/>
      <w:sz w:val="24"/>
      <w:szCs w:val="24"/>
    </w:rPr>
  </w:style>
  <w:style w:type="paragraph" w:customStyle="1" w:styleId="243">
    <w:name w:val="正文样式"/>
    <w:basedOn w:val="1"/>
    <w:link w:val="242"/>
    <w:qFormat/>
    <w:uiPriority w:val="0"/>
    <w:pPr>
      <w:adjustRightInd/>
      <w:spacing w:line="360" w:lineRule="auto"/>
      <w:ind w:firstLine="480" w:firstLineChars="200"/>
    </w:pPr>
    <w:rPr>
      <w:kern w:val="0"/>
      <w:sz w:val="24"/>
    </w:rPr>
  </w:style>
  <w:style w:type="character" w:customStyle="1" w:styleId="244">
    <w:name w:val="表正文 Char3"/>
    <w:qFormat/>
    <w:uiPriority w:val="0"/>
    <w:rPr>
      <w:rFonts w:eastAsia="宋体"/>
    </w:rPr>
  </w:style>
  <w:style w:type="character" w:customStyle="1" w:styleId="245">
    <w:name w:val="H5 Char"/>
    <w:qFormat/>
    <w:uiPriority w:val="0"/>
    <w:rPr>
      <w:b/>
      <w:bCs/>
      <w:kern w:val="2"/>
      <w:sz w:val="28"/>
      <w:szCs w:val="28"/>
    </w:rPr>
  </w:style>
  <w:style w:type="character" w:customStyle="1" w:styleId="246">
    <w:name w:val="Char Char3"/>
    <w:qFormat/>
    <w:uiPriority w:val="0"/>
    <w:rPr>
      <w:rFonts w:eastAsia="宋体"/>
      <w:kern w:val="2"/>
      <w:sz w:val="21"/>
      <w:szCs w:val="24"/>
      <w:lang w:val="en-US" w:eastAsia="zh-CN" w:bidi="ar-SA"/>
    </w:rPr>
  </w:style>
  <w:style w:type="character" w:customStyle="1" w:styleId="247">
    <w:name w:val="正文 编号 Char"/>
    <w:qFormat/>
    <w:uiPriority w:val="0"/>
    <w:rPr>
      <w:rFonts w:ascii="仿宋_GB2312" w:hAnsi="仿宋_GB2312" w:eastAsia="仿宋_GB2312"/>
      <w:kern w:val="2"/>
      <w:sz w:val="24"/>
      <w:lang w:bidi="ar-SA"/>
    </w:rPr>
  </w:style>
  <w:style w:type="character" w:customStyle="1" w:styleId="248">
    <w:name w:val="question-title2"/>
    <w:qFormat/>
    <w:uiPriority w:val="6"/>
    <w:rPr>
      <w:rFonts w:ascii="Arial" w:hAnsi="Arial" w:eastAsia="黑体" w:cs="Arial"/>
      <w:snapToGrid w:val="0"/>
      <w:kern w:val="0"/>
      <w:szCs w:val="21"/>
    </w:rPr>
  </w:style>
  <w:style w:type="character" w:customStyle="1" w:styleId="249">
    <w:name w:val="gf正文1 Char Char"/>
    <w:link w:val="250"/>
    <w:qFormat/>
    <w:uiPriority w:val="0"/>
    <w:rPr>
      <w:rFonts w:ascii="宋体" w:hAnsi="宋体" w:cs="宋体"/>
      <w:kern w:val="2"/>
      <w:sz w:val="24"/>
      <w:szCs w:val="24"/>
    </w:rPr>
  </w:style>
  <w:style w:type="paragraph" w:customStyle="1" w:styleId="250">
    <w:name w:val="gf正文1"/>
    <w:basedOn w:val="1"/>
    <w:link w:val="249"/>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1">
    <w:name w:val="Char Char15"/>
    <w:qFormat/>
    <w:uiPriority w:val="6"/>
    <w:rPr>
      <w:rFonts w:ascii="宋体" w:hAnsi="宋体"/>
      <w:kern w:val="1"/>
      <w:sz w:val="21"/>
    </w:rPr>
  </w:style>
  <w:style w:type="character" w:customStyle="1" w:styleId="252">
    <w:name w:val="正文缩进 Char3"/>
    <w:qFormat/>
    <w:uiPriority w:val="0"/>
    <w:rPr>
      <w:rFonts w:ascii="宋体" w:eastAsia="宋体"/>
      <w:snapToGrid w:val="0"/>
      <w:color w:val="000000"/>
      <w:kern w:val="28"/>
      <w:sz w:val="28"/>
      <w:lang w:val="en-US" w:eastAsia="zh-CN" w:bidi="ar-SA"/>
    </w:rPr>
  </w:style>
  <w:style w:type="character" w:customStyle="1" w:styleId="253">
    <w:name w:val="列出段落 Char1"/>
    <w:link w:val="254"/>
    <w:qFormat/>
    <w:uiPriority w:val="0"/>
    <w:rPr>
      <w:rFonts w:ascii="Calibri" w:hAnsi="Calibri"/>
      <w:sz w:val="24"/>
      <w:lang w:eastAsia="en-US"/>
    </w:rPr>
  </w:style>
  <w:style w:type="paragraph" w:customStyle="1" w:styleId="254">
    <w:name w:val="列表1"/>
    <w:basedOn w:val="1"/>
    <w:next w:val="255"/>
    <w:link w:val="253"/>
    <w:qFormat/>
    <w:uiPriority w:val="0"/>
    <w:pPr>
      <w:widowControl/>
      <w:adjustRightInd/>
      <w:spacing w:after="200" w:line="360" w:lineRule="auto"/>
      <w:ind w:left="720" w:firstLine="200" w:firstLineChars="200"/>
      <w:jc w:val="left"/>
    </w:pPr>
    <w:rPr>
      <w:kern w:val="0"/>
      <w:sz w:val="24"/>
      <w:szCs w:val="20"/>
      <w:lang w:eastAsia="en-US"/>
    </w:rPr>
  </w:style>
  <w:style w:type="paragraph" w:styleId="255">
    <w:name w:val="List Paragraph"/>
    <w:basedOn w:val="1"/>
    <w:qFormat/>
    <w:uiPriority w:val="34"/>
    <w:pPr>
      <w:spacing w:line="360" w:lineRule="auto"/>
      <w:ind w:firstLine="200" w:firstLineChars="200"/>
    </w:pPr>
    <w:rPr>
      <w:rFonts w:eastAsia="楷体_GB2312" w:cs="Lucida Sans"/>
      <w:sz w:val="24"/>
    </w:rPr>
  </w:style>
  <w:style w:type="character" w:customStyle="1" w:styleId="256">
    <w:name w:val="Char Char8"/>
    <w:qFormat/>
    <w:uiPriority w:val="0"/>
    <w:rPr>
      <w:rFonts w:eastAsia="宋体"/>
      <w:b/>
      <w:sz w:val="24"/>
      <w:lang w:val="en-GB" w:eastAsia="zh-CN"/>
    </w:rPr>
  </w:style>
  <w:style w:type="character" w:customStyle="1" w:styleId="257">
    <w:name w:val="Normal Indent Char Char"/>
    <w:qFormat/>
    <w:uiPriority w:val="0"/>
    <w:rPr>
      <w:rFonts w:eastAsia="宋体"/>
      <w:kern w:val="2"/>
      <w:sz w:val="21"/>
      <w:lang w:val="en-US" w:eastAsia="zh-CN" w:bidi="ar-SA"/>
    </w:rPr>
  </w:style>
  <w:style w:type="character" w:customStyle="1" w:styleId="258">
    <w:name w:val="列表段落 字符"/>
    <w:qFormat/>
    <w:uiPriority w:val="99"/>
  </w:style>
  <w:style w:type="character" w:customStyle="1" w:styleId="259">
    <w:name w:val="Ò³Ã¼ Char Char1"/>
    <w:qFormat/>
    <w:uiPriority w:val="0"/>
    <w:rPr>
      <w:rFonts w:eastAsia="宋体"/>
      <w:kern w:val="2"/>
      <w:sz w:val="18"/>
      <w:szCs w:val="18"/>
      <w:lang w:val="en-US" w:eastAsia="zh-CN" w:bidi="ar-SA"/>
    </w:rPr>
  </w:style>
  <w:style w:type="character" w:customStyle="1" w:styleId="260">
    <w:name w:val="方案正文 Char"/>
    <w:qFormat/>
    <w:uiPriority w:val="0"/>
    <w:rPr>
      <w:rFonts w:ascii="仿宋_GB2312" w:eastAsia="仿宋_GB2312"/>
      <w:b/>
      <w:color w:val="000000"/>
      <w:kern w:val="2"/>
      <w:sz w:val="24"/>
      <w:lang w:val="en-US" w:eastAsia="zh-CN" w:bidi="ar-SA"/>
    </w:rPr>
  </w:style>
  <w:style w:type="character" w:customStyle="1" w:styleId="261">
    <w:name w:val="Char Char30"/>
    <w:qFormat/>
    <w:uiPriority w:val="6"/>
    <w:rPr>
      <w:rFonts w:ascii="Arial" w:hAnsi="Arial" w:eastAsia="黑体"/>
      <w:kern w:val="1"/>
      <w:sz w:val="21"/>
      <w:szCs w:val="21"/>
    </w:rPr>
  </w:style>
  <w:style w:type="character" w:customStyle="1" w:styleId="262">
    <w:name w:val="正文文本缩进 字符1"/>
    <w:link w:val="24"/>
    <w:qFormat/>
    <w:uiPriority w:val="0"/>
    <w:rPr>
      <w:rFonts w:ascii="宋体" w:hAnsi="宋体"/>
      <w:kern w:val="2"/>
      <w:sz w:val="24"/>
      <w:szCs w:val="24"/>
    </w:rPr>
  </w:style>
  <w:style w:type="character" w:customStyle="1" w:styleId="263">
    <w:name w:val="font01"/>
    <w:qFormat/>
    <w:uiPriority w:val="0"/>
    <w:rPr>
      <w:rFonts w:hint="eastAsia" w:ascii="微软雅黑" w:hAnsi="微软雅黑" w:eastAsia="微软雅黑" w:cs="微软雅黑"/>
      <w:color w:val="000000"/>
      <w:sz w:val="20"/>
      <w:szCs w:val="20"/>
      <w:u w:val="none"/>
    </w:rPr>
  </w:style>
  <w:style w:type="character" w:customStyle="1" w:styleId="264">
    <w:name w:val="Char Char20"/>
    <w:qFormat/>
    <w:uiPriority w:val="6"/>
    <w:rPr>
      <w:kern w:val="1"/>
      <w:sz w:val="24"/>
    </w:rPr>
  </w:style>
  <w:style w:type="character" w:customStyle="1" w:styleId="265">
    <w:name w:val="tw4winExternal"/>
    <w:qFormat/>
    <w:uiPriority w:val="0"/>
    <w:rPr>
      <w:rFonts w:ascii="Courier New" w:hAnsi="Courier New" w:cs="Courier New"/>
      <w:color w:val="808080"/>
      <w:lang w:val="en-US" w:eastAsia="zh-CN"/>
    </w:rPr>
  </w:style>
  <w:style w:type="character" w:customStyle="1" w:styleId="266">
    <w:name w:val="标题 4 Char1"/>
    <w:qFormat/>
    <w:uiPriority w:val="9"/>
    <w:rPr>
      <w:rFonts w:ascii="Cambria" w:hAnsi="Cambria" w:eastAsia="宋体" w:cs="Times New Roman"/>
      <w:b/>
      <w:bCs/>
      <w:kern w:val="2"/>
      <w:sz w:val="28"/>
      <w:szCs w:val="28"/>
    </w:rPr>
  </w:style>
  <w:style w:type="character" w:customStyle="1" w:styleId="267">
    <w:name w:val="批注文字 Char2"/>
    <w:qFormat/>
    <w:uiPriority w:val="99"/>
    <w:rPr>
      <w:rFonts w:ascii="Times New Roman" w:hAnsi="Times New Roman" w:eastAsia="宋体" w:cs="Times New Roman"/>
      <w:snapToGrid w:val="0"/>
      <w:kern w:val="0"/>
      <w:szCs w:val="24"/>
    </w:rPr>
  </w:style>
  <w:style w:type="character" w:customStyle="1" w:styleId="268">
    <w:name w:val="正文文本 2 Char"/>
    <w:qFormat/>
    <w:uiPriority w:val="0"/>
    <w:rPr>
      <w:rFonts w:eastAsia="宋体"/>
      <w:kern w:val="2"/>
      <w:sz w:val="21"/>
      <w:szCs w:val="24"/>
      <w:lang w:val="en-US" w:eastAsia="zh-CN" w:bidi="ar-SA"/>
    </w:rPr>
  </w:style>
  <w:style w:type="character" w:customStyle="1" w:styleId="269">
    <w:name w:val="Ò³Ã¼ Char Char"/>
    <w:qFormat/>
    <w:uiPriority w:val="0"/>
    <w:rPr>
      <w:rFonts w:eastAsia="宋体"/>
      <w:kern w:val="2"/>
      <w:sz w:val="18"/>
      <w:lang w:val="en-US" w:eastAsia="zh-CN" w:bidi="ar-SA"/>
    </w:rPr>
  </w:style>
  <w:style w:type="character" w:customStyle="1" w:styleId="270">
    <w:name w:val="message1"/>
    <w:qFormat/>
    <w:uiPriority w:val="0"/>
    <w:rPr>
      <w:rFonts w:hint="default" w:ascii="Tahoma" w:hAnsi="Tahoma" w:cs="Tahoma"/>
      <w:sz w:val="18"/>
      <w:szCs w:val="18"/>
    </w:rPr>
  </w:style>
  <w:style w:type="character" w:customStyle="1" w:styleId="271">
    <w:name w:val="Char Char23"/>
    <w:qFormat/>
    <w:uiPriority w:val="6"/>
    <w:rPr>
      <w:color w:val="0000FF"/>
      <w:sz w:val="21"/>
    </w:rPr>
  </w:style>
  <w:style w:type="character" w:customStyle="1" w:styleId="272">
    <w:name w:val="批注框文本 字符"/>
    <w:qFormat/>
    <w:uiPriority w:val="0"/>
    <w:rPr>
      <w:rFonts w:ascii="Arial" w:hAnsi="Arial" w:eastAsia="黑体" w:cs="Arial"/>
      <w:snapToGrid w:val="0"/>
      <w:kern w:val="0"/>
      <w:sz w:val="18"/>
      <w:szCs w:val="18"/>
    </w:rPr>
  </w:style>
  <w:style w:type="character" w:customStyle="1" w:styleId="273">
    <w:name w:val="纯文本 Char2"/>
    <w:qFormat/>
    <w:uiPriority w:val="99"/>
    <w:rPr>
      <w:rFonts w:ascii="宋体" w:hAnsi="Courier New" w:eastAsia="宋体" w:cs="Courier New"/>
    </w:rPr>
  </w:style>
  <w:style w:type="character" w:customStyle="1" w:styleId="274">
    <w:name w:val="Char Char25"/>
    <w:qFormat/>
    <w:uiPriority w:val="6"/>
    <w:rPr>
      <w:rFonts w:ascii="宋体" w:hAnsi="宋体"/>
      <w:kern w:val="1"/>
      <w:sz w:val="24"/>
      <w:lang w:val="zh-CN"/>
    </w:rPr>
  </w:style>
  <w:style w:type="character" w:customStyle="1" w:styleId="275">
    <w:name w:val="Char Char411"/>
    <w:qFormat/>
    <w:uiPriority w:val="0"/>
    <w:rPr>
      <w:rFonts w:eastAsia="宋体"/>
      <w:b/>
      <w:sz w:val="24"/>
      <w:lang w:val="en-GB" w:eastAsia="zh-CN" w:bidi="ar-SA"/>
    </w:rPr>
  </w:style>
  <w:style w:type="character" w:customStyle="1" w:styleId="276">
    <w:name w:val="Heading 7 Char_c716bdc4-dc0b-4d84-a36f-97e5f55dbd96"/>
    <w:qFormat/>
    <w:uiPriority w:val="0"/>
    <w:rPr>
      <w:rFonts w:ascii="宋体" w:hAnsi="宋体" w:eastAsia="宋体"/>
      <w:b/>
      <w:bCs/>
      <w:kern w:val="2"/>
      <w:sz w:val="24"/>
      <w:szCs w:val="24"/>
      <w:lang w:val="en-US" w:eastAsia="zh-CN" w:bidi="ar-SA"/>
    </w:rPr>
  </w:style>
  <w:style w:type="character" w:customStyle="1" w:styleId="277">
    <w:name w:val="此正文 Char"/>
    <w:link w:val="278"/>
    <w:qFormat/>
    <w:uiPriority w:val="0"/>
    <w:rPr>
      <w:kern w:val="2"/>
      <w:sz w:val="24"/>
      <w:szCs w:val="24"/>
    </w:rPr>
  </w:style>
  <w:style w:type="paragraph" w:customStyle="1" w:styleId="278">
    <w:name w:val="此正文"/>
    <w:basedOn w:val="1"/>
    <w:link w:val="277"/>
    <w:qFormat/>
    <w:uiPriority w:val="0"/>
    <w:pPr>
      <w:adjustRightInd/>
      <w:spacing w:line="360" w:lineRule="auto"/>
      <w:ind w:firstLine="200" w:firstLineChars="200"/>
    </w:pPr>
    <w:rPr>
      <w:sz w:val="24"/>
    </w:rPr>
  </w:style>
  <w:style w:type="character" w:customStyle="1" w:styleId="279">
    <w:name w:val="Char Char2"/>
    <w:qFormat/>
    <w:uiPriority w:val="0"/>
    <w:rPr>
      <w:rFonts w:eastAsia="宋体"/>
      <w:b/>
      <w:bCs/>
      <w:kern w:val="2"/>
      <w:sz w:val="21"/>
      <w:szCs w:val="24"/>
      <w:lang w:val="en-US" w:eastAsia="zh-CN" w:bidi="ar-SA"/>
    </w:rPr>
  </w:style>
  <w:style w:type="character" w:customStyle="1" w:styleId="280">
    <w:name w:val="标题 1 字符1"/>
    <w:link w:val="2"/>
    <w:qFormat/>
    <w:uiPriority w:val="9"/>
    <w:rPr>
      <w:b/>
      <w:bCs/>
      <w:kern w:val="44"/>
      <w:sz w:val="44"/>
      <w:szCs w:val="44"/>
    </w:rPr>
  </w:style>
  <w:style w:type="character" w:customStyle="1" w:styleId="281">
    <w:name w:val="Footer-Even Char1"/>
    <w:qFormat/>
    <w:uiPriority w:val="0"/>
    <w:rPr>
      <w:rFonts w:eastAsia="宋体"/>
      <w:kern w:val="2"/>
      <w:sz w:val="18"/>
      <w:szCs w:val="18"/>
      <w:lang w:val="en-US" w:eastAsia="zh-CN" w:bidi="ar-SA"/>
    </w:rPr>
  </w:style>
  <w:style w:type="character" w:customStyle="1" w:styleId="282">
    <w:name w:val="Char Char29"/>
    <w:qFormat/>
    <w:uiPriority w:val="6"/>
    <w:rPr>
      <w:rFonts w:ascii="Arial" w:hAnsi="Arial" w:eastAsia="微软雅黑"/>
      <w:b/>
      <w:kern w:val="1"/>
      <w:sz w:val="44"/>
      <w:szCs w:val="32"/>
      <w:lang w:val="en-US" w:eastAsia="zh-CN" w:bidi="ar-SA"/>
    </w:rPr>
  </w:style>
  <w:style w:type="character" w:customStyle="1" w:styleId="283">
    <w:name w:val="标题 字符"/>
    <w:link w:val="58"/>
    <w:qFormat/>
    <w:uiPriority w:val="10"/>
    <w:rPr>
      <w:b/>
      <w:sz w:val="24"/>
      <w:lang w:val="en-GB"/>
    </w:rPr>
  </w:style>
  <w:style w:type="character" w:customStyle="1" w:styleId="284">
    <w:name w:val="font81"/>
    <w:qFormat/>
    <w:uiPriority w:val="0"/>
    <w:rPr>
      <w:rFonts w:ascii="微软雅黑" w:hAnsi="微软雅黑" w:eastAsia="微软雅黑" w:cs="微软雅黑"/>
      <w:color w:val="000000"/>
      <w:sz w:val="20"/>
      <w:szCs w:val="20"/>
      <w:u w:val="none"/>
    </w:rPr>
  </w:style>
  <w:style w:type="character" w:customStyle="1" w:styleId="285">
    <w:name w:val="Char Char312"/>
    <w:qFormat/>
    <w:uiPriority w:val="0"/>
    <w:rPr>
      <w:rFonts w:ascii="Times New Roman" w:hAnsi="Times New Roman" w:eastAsia="宋体" w:cs="Times New Roman"/>
      <w:b/>
      <w:kern w:val="2"/>
      <w:sz w:val="32"/>
      <w:szCs w:val="24"/>
      <w:lang w:val="en-US" w:eastAsia="zh-CN" w:bidi="ar-SA"/>
    </w:rPr>
  </w:style>
  <w:style w:type="character" w:customStyle="1" w:styleId="286">
    <w:name w:val="t21"/>
    <w:qFormat/>
    <w:uiPriority w:val="0"/>
    <w:rPr>
      <w:rFonts w:ascii="仿宋_GB2312" w:eastAsia="微软雅黑"/>
      <w:b/>
      <w:kern w:val="2"/>
      <w:sz w:val="23"/>
      <w:szCs w:val="23"/>
      <w:lang w:val="en-US" w:eastAsia="zh-CN" w:bidi="ar-SA"/>
    </w:rPr>
  </w:style>
  <w:style w:type="character" w:customStyle="1" w:styleId="287">
    <w:name w:val="样式8 Char"/>
    <w:qFormat/>
    <w:uiPriority w:val="0"/>
    <w:rPr>
      <w:rFonts w:ascii="仿宋_GB2312" w:hAnsi="宋体" w:eastAsia="仿宋_GB2312"/>
      <w:b/>
      <w:bCs/>
      <w:kern w:val="2"/>
      <w:sz w:val="24"/>
      <w:szCs w:val="24"/>
    </w:rPr>
  </w:style>
  <w:style w:type="character" w:customStyle="1" w:styleId="288">
    <w:name w:val="表格 Char Char"/>
    <w:qFormat/>
    <w:uiPriority w:val="0"/>
    <w:rPr>
      <w:rFonts w:ascii="宋体" w:hAnsi="宋体" w:eastAsia="宋体"/>
      <w:lang w:bidi="ar-SA"/>
    </w:rPr>
  </w:style>
  <w:style w:type="character" w:customStyle="1" w:styleId="289">
    <w:name w:val="正文文本 字符1"/>
    <w:qFormat/>
    <w:uiPriority w:val="0"/>
    <w:rPr>
      <w:rFonts w:ascii="Calibri" w:hAnsi="Calibri" w:eastAsia="黑体" w:cs="Arial"/>
      <w:snapToGrid w:val="0"/>
      <w:kern w:val="2"/>
      <w:sz w:val="28"/>
      <w:szCs w:val="21"/>
    </w:rPr>
  </w:style>
  <w:style w:type="character" w:customStyle="1" w:styleId="290">
    <w:name w:val="标题 5 字符"/>
    <w:link w:val="7"/>
    <w:qFormat/>
    <w:uiPriority w:val="9"/>
    <w:rPr>
      <w:b/>
      <w:bCs/>
      <w:kern w:val="2"/>
      <w:sz w:val="28"/>
      <w:szCs w:val="28"/>
    </w:rPr>
  </w:style>
  <w:style w:type="character" w:customStyle="1" w:styleId="291">
    <w:name w:val="标题 6 Char1"/>
    <w:qFormat/>
    <w:uiPriority w:val="0"/>
    <w:rPr>
      <w:rFonts w:ascii="Arial" w:hAnsi="Arial" w:eastAsia="黑体" w:cs="Times New Roman"/>
      <w:b/>
      <w:sz w:val="24"/>
      <w:szCs w:val="20"/>
      <w:lang w:bidi="ar-SA"/>
    </w:rPr>
  </w:style>
  <w:style w:type="character" w:customStyle="1" w:styleId="292">
    <w:name w:val="带编号样式 Char"/>
    <w:qFormat/>
    <w:uiPriority w:val="0"/>
    <w:rPr>
      <w:rFonts w:ascii="仿宋_GB2312" w:eastAsia="仿宋_GB2312"/>
      <w:color w:val="000000"/>
      <w:sz w:val="24"/>
      <w:lang w:bidi="ar-SA"/>
    </w:rPr>
  </w:style>
  <w:style w:type="character" w:customStyle="1" w:styleId="293">
    <w:name w:val="unnamed31"/>
    <w:qFormat/>
    <w:uiPriority w:val="0"/>
    <w:rPr>
      <w:rFonts w:ascii="Tahoma" w:hAnsi="Tahoma" w:eastAsia="宋体"/>
      <w:b/>
      <w:kern w:val="2"/>
      <w:sz w:val="24"/>
      <w:szCs w:val="32"/>
      <w:u w:val="none"/>
      <w:lang w:val="en-US" w:eastAsia="zh-CN" w:bidi="ar-SA"/>
    </w:rPr>
  </w:style>
  <w:style w:type="character" w:customStyle="1" w:styleId="294">
    <w:name w:val="正文首行缩进 Char Char Char Char Char Char1"/>
    <w:qFormat/>
    <w:uiPriority w:val="0"/>
    <w:rPr>
      <w:rFonts w:ascii="宋体" w:eastAsia="宋体"/>
      <w:kern w:val="2"/>
      <w:sz w:val="24"/>
      <w:szCs w:val="24"/>
      <w:lang w:val="zh-CN" w:bidi="ar-SA"/>
    </w:rPr>
  </w:style>
  <w:style w:type="character" w:customStyle="1" w:styleId="295">
    <w:name w:val="称呼 字符"/>
    <w:link w:val="20"/>
    <w:qFormat/>
    <w:uiPriority w:val="0"/>
    <w:rPr>
      <w:rFonts w:ascii="仿宋_GB2312" w:eastAsia="仿宋_GB2312"/>
      <w:kern w:val="2"/>
      <w:sz w:val="28"/>
    </w:rPr>
  </w:style>
  <w:style w:type="character" w:customStyle="1" w:styleId="296">
    <w:name w:val="文本正文 Char Char"/>
    <w:qFormat/>
    <w:uiPriority w:val="0"/>
    <w:rPr>
      <w:sz w:val="24"/>
      <w:lang w:bidi="ar-SA"/>
    </w:rPr>
  </w:style>
  <w:style w:type="character" w:customStyle="1" w:styleId="297">
    <w:name w:val="正文缩进 字符"/>
    <w:qFormat/>
    <w:uiPriority w:val="0"/>
    <w:rPr>
      <w:rFonts w:ascii="宋体" w:eastAsia="宋体"/>
      <w:snapToGrid w:val="0"/>
      <w:color w:val="000000"/>
      <w:kern w:val="28"/>
      <w:sz w:val="28"/>
      <w:lang w:val="en-US" w:eastAsia="zh-CN" w:bidi="ar-SA"/>
    </w:rPr>
  </w:style>
  <w:style w:type="character" w:customStyle="1" w:styleId="298">
    <w:name w:val="HTML 预设格式 字符"/>
    <w:link w:val="56"/>
    <w:qFormat/>
    <w:uiPriority w:val="0"/>
    <w:rPr>
      <w:rFonts w:ascii="黑体" w:hAnsi="Courier New" w:eastAsia="黑体"/>
    </w:rPr>
  </w:style>
  <w:style w:type="character" w:customStyle="1" w:styleId="299">
    <w:name w:val="正文文本 2 字符1"/>
    <w:link w:val="55"/>
    <w:qFormat/>
    <w:uiPriority w:val="0"/>
    <w:rPr>
      <w:kern w:val="2"/>
      <w:sz w:val="21"/>
      <w:szCs w:val="24"/>
    </w:rPr>
  </w:style>
  <w:style w:type="character" w:customStyle="1" w:styleId="300">
    <w:name w:val="样式 样式 标题 4h4H4Fab-4T5Ref Heading 1rh1Heading sqlsect 1.2.3.... +... Char"/>
    <w:link w:val="301"/>
    <w:qFormat/>
    <w:uiPriority w:val="0"/>
    <w:rPr>
      <w:rFonts w:ascii="微软雅黑" w:hAnsi="微软雅黑" w:eastAsia="微软雅黑"/>
      <w:b/>
      <w:bCs/>
      <w:kern w:val="2"/>
      <w:sz w:val="24"/>
      <w:szCs w:val="28"/>
    </w:rPr>
  </w:style>
  <w:style w:type="paragraph" w:customStyle="1" w:styleId="301">
    <w:name w:val="样式 样式 标题 4h4H4Fab-4T5Ref Heading 1rh1Heading sqlsect 1.2.3.... +..."/>
    <w:basedOn w:val="302"/>
    <w:link w:val="300"/>
    <w:qFormat/>
    <w:uiPriority w:val="0"/>
    <w:pPr>
      <w:tabs>
        <w:tab w:val="left" w:pos="2356"/>
      </w:tabs>
    </w:pPr>
  </w:style>
  <w:style w:type="paragraph" w:customStyle="1" w:styleId="302">
    <w:name w:val="样式 标题 4h4H4Fab-4T5Ref Heading 1rh1Heading sqlsect 1.2.3...."/>
    <w:basedOn w:val="6"/>
    <w:link w:val="410"/>
    <w:qFormat/>
    <w:uiPriority w:val="0"/>
    <w:pPr>
      <w:tabs>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3">
    <w:name w:val="正文非缩进 Char"/>
    <w:qFormat/>
    <w:uiPriority w:val="0"/>
    <w:rPr>
      <w:rFonts w:ascii="宋体" w:eastAsia="宋体"/>
      <w:snapToGrid w:val="0"/>
      <w:color w:val="000000"/>
      <w:kern w:val="28"/>
      <w:sz w:val="28"/>
      <w:lang w:val="en-US" w:eastAsia="zh-CN" w:bidi="ar-SA"/>
    </w:rPr>
  </w:style>
  <w:style w:type="character" w:customStyle="1" w:styleId="304">
    <w:name w:val="标题 7 字符"/>
    <w:link w:val="9"/>
    <w:qFormat/>
    <w:uiPriority w:val="0"/>
    <w:rPr>
      <w:b/>
      <w:bCs/>
      <w:kern w:val="2"/>
      <w:sz w:val="24"/>
      <w:szCs w:val="24"/>
    </w:rPr>
  </w:style>
  <w:style w:type="character" w:customStyle="1" w:styleId="305">
    <w:name w:val="正文文本缩进 2 字符"/>
    <w:link w:val="36"/>
    <w:qFormat/>
    <w:uiPriority w:val="0"/>
    <w:rPr>
      <w:rFonts w:ascii="宋体"/>
      <w:sz w:val="28"/>
    </w:rPr>
  </w:style>
  <w:style w:type="character" w:customStyle="1" w:styleId="306">
    <w:name w:val="Char Char5"/>
    <w:qFormat/>
    <w:uiPriority w:val="0"/>
    <w:rPr>
      <w:rFonts w:ascii="宋体" w:hAnsi="Courier New" w:eastAsia="宋体"/>
      <w:kern w:val="2"/>
      <w:sz w:val="21"/>
      <w:lang w:val="en-US" w:eastAsia="zh-CN"/>
    </w:rPr>
  </w:style>
  <w:style w:type="character" w:customStyle="1" w:styleId="307">
    <w:name w:val="脚注文本 字符"/>
    <w:link w:val="49"/>
    <w:qFormat/>
    <w:uiPriority w:val="0"/>
    <w:rPr>
      <w:color w:val="0000FF"/>
      <w:sz w:val="21"/>
    </w:rPr>
  </w:style>
  <w:style w:type="character" w:customStyle="1" w:styleId="308">
    <w:name w:val="称呼 Char1"/>
    <w:qFormat/>
    <w:uiPriority w:val="0"/>
    <w:rPr>
      <w:rFonts w:ascii="Times New Roman" w:hAnsi="Times New Roman" w:eastAsia="宋体" w:cs="Times New Roman"/>
      <w:szCs w:val="24"/>
    </w:rPr>
  </w:style>
  <w:style w:type="character" w:customStyle="1" w:styleId="309">
    <w:name w:val="正文1 Char"/>
    <w:qFormat/>
    <w:uiPriority w:val="0"/>
    <w:rPr>
      <w:rFonts w:ascii="宋体" w:eastAsia="宋体"/>
      <w:snapToGrid w:val="0"/>
      <w:color w:val="000000"/>
      <w:kern w:val="28"/>
      <w:sz w:val="28"/>
      <w:lang w:val="en-US" w:eastAsia="zh-CN" w:bidi="ar-SA"/>
    </w:rPr>
  </w:style>
  <w:style w:type="character" w:customStyle="1" w:styleId="310">
    <w:name w:val="正文缩进 Char1"/>
    <w:qFormat/>
    <w:uiPriority w:val="0"/>
    <w:rPr>
      <w:rFonts w:ascii="宋体" w:eastAsia="宋体"/>
      <w:snapToGrid w:val="0"/>
      <w:color w:val="000000"/>
      <w:kern w:val="28"/>
      <w:sz w:val="28"/>
      <w:lang w:val="en-US" w:eastAsia="zh-CN" w:bidi="ar-SA"/>
    </w:rPr>
  </w:style>
  <w:style w:type="character" w:customStyle="1" w:styleId="311">
    <w:name w:val="font21"/>
    <w:qFormat/>
    <w:uiPriority w:val="0"/>
    <w:rPr>
      <w:rFonts w:hint="eastAsia" w:ascii="宋体" w:hAnsi="宋体" w:eastAsia="宋体"/>
      <w:kern w:val="2"/>
      <w:sz w:val="28"/>
      <w:szCs w:val="28"/>
      <w:lang w:val="en-US" w:eastAsia="zh-CN" w:bidi="ar-SA"/>
    </w:rPr>
  </w:style>
  <w:style w:type="character" w:customStyle="1" w:styleId="312">
    <w:name w:val="Char Char26"/>
    <w:qFormat/>
    <w:uiPriority w:val="6"/>
    <w:rPr>
      <w:kern w:val="1"/>
      <w:sz w:val="21"/>
      <w:szCs w:val="24"/>
    </w:rPr>
  </w:style>
  <w:style w:type="character" w:customStyle="1" w:styleId="313">
    <w:name w:val="Item List Char"/>
    <w:link w:val="314"/>
    <w:qFormat/>
    <w:uiPriority w:val="0"/>
    <w:rPr>
      <w:rFonts w:ascii="Arial"/>
      <w:bCs/>
      <w:sz w:val="21"/>
      <w:szCs w:val="21"/>
      <w:lang w:val="en-US" w:eastAsia="zh-CN" w:bidi="ar-SA"/>
    </w:rPr>
  </w:style>
  <w:style w:type="paragraph" w:customStyle="1" w:styleId="314">
    <w:name w:val="Item List"/>
    <w:link w:val="313"/>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5">
    <w:name w:val="批注框文本 Char1"/>
    <w:qFormat/>
    <w:uiPriority w:val="0"/>
    <w:rPr>
      <w:rFonts w:ascii="Times New Roman" w:hAnsi="Times New Roman" w:eastAsia="宋体" w:cs="Times New Roman"/>
      <w:sz w:val="18"/>
      <w:szCs w:val="18"/>
    </w:rPr>
  </w:style>
  <w:style w:type="character" w:customStyle="1" w:styleId="316">
    <w:name w:val="纯文本 Char1"/>
    <w:link w:val="317"/>
    <w:qFormat/>
    <w:uiPriority w:val="0"/>
    <w:rPr>
      <w:rFonts w:ascii="宋体" w:hAnsi="Courier New"/>
    </w:rPr>
  </w:style>
  <w:style w:type="paragraph" w:customStyle="1" w:styleId="317">
    <w:name w:val="纯文本1"/>
    <w:basedOn w:val="1"/>
    <w:link w:val="316"/>
    <w:qFormat/>
    <w:uiPriority w:val="0"/>
    <w:pPr>
      <w:adjustRightInd/>
    </w:pPr>
    <w:rPr>
      <w:rFonts w:ascii="宋体" w:hAnsi="Courier New"/>
      <w:kern w:val="0"/>
      <w:sz w:val="20"/>
      <w:szCs w:val="20"/>
    </w:rPr>
  </w:style>
  <w:style w:type="character" w:customStyle="1" w:styleId="318">
    <w:name w:val="正文首行缩进 字符"/>
    <w:link w:val="60"/>
    <w:qFormat/>
    <w:uiPriority w:val="0"/>
    <w:rPr>
      <w:rFonts w:ascii="宋体"/>
      <w:kern w:val="2"/>
      <w:sz w:val="24"/>
      <w:lang w:val="zh-CN"/>
    </w:rPr>
  </w:style>
  <w:style w:type="character" w:customStyle="1" w:styleId="319">
    <w:name w:val="h3 Char"/>
    <w:qFormat/>
    <w:uiPriority w:val="0"/>
    <w:rPr>
      <w:rFonts w:eastAsia="宋体"/>
      <w:b/>
      <w:kern w:val="2"/>
      <w:sz w:val="32"/>
      <w:lang w:val="en-US" w:eastAsia="zh-CN" w:bidi="ar-SA"/>
    </w:rPr>
  </w:style>
  <w:style w:type="character" w:customStyle="1" w:styleId="320">
    <w:name w:val="dandyren_title1"/>
    <w:qFormat/>
    <w:uiPriority w:val="0"/>
    <w:rPr>
      <w:b/>
      <w:bCs/>
      <w:color w:val="FF6633"/>
      <w:sz w:val="18"/>
      <w:szCs w:val="18"/>
    </w:rPr>
  </w:style>
  <w:style w:type="character" w:customStyle="1" w:styleId="321">
    <w:name w:val="Char Char31"/>
    <w:qFormat/>
    <w:uiPriority w:val="6"/>
    <w:rPr>
      <w:rFonts w:ascii="Arial" w:hAnsi="Arial" w:eastAsia="黑体"/>
      <w:kern w:val="1"/>
      <w:sz w:val="24"/>
      <w:szCs w:val="24"/>
    </w:rPr>
  </w:style>
  <w:style w:type="character" w:customStyle="1" w:styleId="322">
    <w:name w:val="h Char1"/>
    <w:qFormat/>
    <w:uiPriority w:val="0"/>
    <w:rPr>
      <w:sz w:val="18"/>
      <w:szCs w:val="18"/>
    </w:rPr>
  </w:style>
  <w:style w:type="character" w:customStyle="1" w:styleId="323">
    <w:name w:val="solutionfonts"/>
    <w:qFormat/>
    <w:uiPriority w:val="0"/>
  </w:style>
  <w:style w:type="character" w:customStyle="1" w:styleId="324">
    <w:name w:val="标题 4 字符1"/>
    <w:link w:val="6"/>
    <w:qFormat/>
    <w:uiPriority w:val="9"/>
    <w:rPr>
      <w:rFonts w:ascii="Arial" w:hAnsi="Arial" w:eastAsia="黑体"/>
      <w:b/>
      <w:bCs/>
      <w:kern w:val="2"/>
      <w:sz w:val="28"/>
      <w:szCs w:val="28"/>
      <w:lang w:val="zh-CN"/>
    </w:rPr>
  </w:style>
  <w:style w:type="character" w:customStyle="1" w:styleId="325">
    <w:name w:val="首行缩进 Char"/>
    <w:qFormat/>
    <w:uiPriority w:val="0"/>
    <w:rPr>
      <w:rFonts w:ascii="宋体" w:eastAsia="宋体"/>
      <w:kern w:val="2"/>
      <w:sz w:val="24"/>
      <w:lang w:val="en-US" w:eastAsia="zh-CN" w:bidi="ar-SA"/>
    </w:rPr>
  </w:style>
  <w:style w:type="character" w:customStyle="1" w:styleId="326">
    <w:name w:val="Char Char52"/>
    <w:qFormat/>
    <w:uiPriority w:val="0"/>
    <w:rPr>
      <w:rFonts w:ascii="宋体" w:hAnsi="Courier New" w:eastAsia="宋体"/>
      <w:kern w:val="2"/>
      <w:sz w:val="21"/>
      <w:lang w:val="en-US" w:eastAsia="zh-CN"/>
    </w:rPr>
  </w:style>
  <w:style w:type="character" w:customStyle="1" w:styleId="327">
    <w:name w:val="正文文本 3 字符"/>
    <w:link w:val="21"/>
    <w:qFormat/>
    <w:uiPriority w:val="0"/>
    <w:rPr>
      <w:kern w:val="2"/>
      <w:sz w:val="21"/>
    </w:rPr>
  </w:style>
  <w:style w:type="character" w:customStyle="1" w:styleId="328">
    <w:name w:val="font31"/>
    <w:qFormat/>
    <w:uiPriority w:val="0"/>
    <w:rPr>
      <w:rFonts w:hint="eastAsia" w:ascii="仿宋" w:hAnsi="仿宋" w:eastAsia="仿宋" w:cs="仿宋"/>
      <w:color w:val="000000"/>
      <w:sz w:val="20"/>
      <w:szCs w:val="20"/>
      <w:u w:val="none"/>
    </w:rPr>
  </w:style>
  <w:style w:type="character" w:customStyle="1" w:styleId="329">
    <w:name w:val="正文说明 Char"/>
    <w:link w:val="330"/>
    <w:qFormat/>
    <w:uiPriority w:val="0"/>
    <w:rPr>
      <w:sz w:val="24"/>
      <w:szCs w:val="24"/>
    </w:rPr>
  </w:style>
  <w:style w:type="paragraph" w:customStyle="1" w:styleId="330">
    <w:name w:val="正文说明"/>
    <w:basedOn w:val="1"/>
    <w:link w:val="329"/>
    <w:qFormat/>
    <w:uiPriority w:val="0"/>
    <w:pPr>
      <w:adjustRightInd/>
      <w:spacing w:line="360" w:lineRule="auto"/>
    </w:pPr>
    <w:rPr>
      <w:kern w:val="0"/>
      <w:sz w:val="24"/>
    </w:rPr>
  </w:style>
  <w:style w:type="character" w:customStyle="1" w:styleId="331">
    <w:name w:val="脚注文本 Char1"/>
    <w:qFormat/>
    <w:uiPriority w:val="0"/>
    <w:rPr>
      <w:rFonts w:ascii="Times New Roman" w:hAnsi="Times New Roman" w:eastAsia="宋体" w:cs="Times New Roman"/>
      <w:sz w:val="18"/>
      <w:szCs w:val="18"/>
    </w:rPr>
  </w:style>
  <w:style w:type="character" w:customStyle="1" w:styleId="332">
    <w:name w:val="Char Char1211"/>
    <w:qFormat/>
    <w:uiPriority w:val="0"/>
    <w:rPr>
      <w:rFonts w:ascii="仿宋_GB2312" w:eastAsia="仿宋_GB2312"/>
      <w:b/>
      <w:bCs/>
      <w:kern w:val="2"/>
      <w:sz w:val="24"/>
      <w:szCs w:val="24"/>
      <w:lang w:val="zh-CN" w:eastAsia="zh-CN" w:bidi="ar-SA"/>
    </w:rPr>
  </w:style>
  <w:style w:type="character" w:customStyle="1" w:styleId="333">
    <w:name w:val="标题 Char"/>
    <w:qFormat/>
    <w:uiPriority w:val="0"/>
    <w:rPr>
      <w:rFonts w:eastAsia="宋体"/>
      <w:b/>
      <w:sz w:val="24"/>
      <w:lang w:val="en-GB" w:eastAsia="zh-CN" w:bidi="ar-SA"/>
    </w:rPr>
  </w:style>
  <w:style w:type="character" w:customStyle="1" w:styleId="334">
    <w:name w:val="Char Char35"/>
    <w:qFormat/>
    <w:uiPriority w:val="6"/>
    <w:rPr>
      <w:rFonts w:ascii="Arial" w:hAnsi="Arial" w:eastAsia="黑体"/>
      <w:b/>
      <w:kern w:val="1"/>
      <w:sz w:val="28"/>
      <w:szCs w:val="28"/>
      <w:lang w:val="zh-CN"/>
    </w:rPr>
  </w:style>
  <w:style w:type="character" w:customStyle="1" w:styleId="335">
    <w:name w:val="纯文本 Char Char Char"/>
    <w:qFormat/>
    <w:uiPriority w:val="0"/>
    <w:rPr>
      <w:rFonts w:ascii="宋体" w:hAnsi="Courier New" w:eastAsia="宋体"/>
      <w:kern w:val="2"/>
      <w:sz w:val="21"/>
      <w:lang w:val="en-US" w:eastAsia="zh-CN" w:bidi="ar-SA"/>
    </w:rPr>
  </w:style>
  <w:style w:type="character" w:customStyle="1" w:styleId="336">
    <w:name w:val="Table Text Char"/>
    <w:link w:val="337"/>
    <w:qFormat/>
    <w:uiPriority w:val="0"/>
    <w:rPr>
      <w:sz w:val="24"/>
      <w:szCs w:val="24"/>
    </w:rPr>
  </w:style>
  <w:style w:type="paragraph" w:customStyle="1" w:styleId="337">
    <w:name w:val="Table Text"/>
    <w:basedOn w:val="1"/>
    <w:link w:val="336"/>
    <w:qFormat/>
    <w:uiPriority w:val="0"/>
    <w:pPr>
      <w:widowControl/>
      <w:spacing w:before="60" w:after="60"/>
      <w:jc w:val="left"/>
    </w:pPr>
    <w:rPr>
      <w:kern w:val="0"/>
      <w:sz w:val="24"/>
    </w:rPr>
  </w:style>
  <w:style w:type="character" w:customStyle="1" w:styleId="338">
    <w:name w:val="正文1 Char1"/>
    <w:qFormat/>
    <w:uiPriority w:val="0"/>
    <w:rPr>
      <w:rFonts w:ascii="仿宋_GB2312" w:hAnsi="Courier New" w:eastAsia="仿宋_GB2312"/>
      <w:kern w:val="28"/>
      <w:sz w:val="24"/>
      <w:szCs w:val="24"/>
      <w:lang w:val="en-US" w:eastAsia="zh-CN"/>
    </w:rPr>
  </w:style>
  <w:style w:type="character" w:customStyle="1" w:styleId="339">
    <w:name w:val="页脚 Char1"/>
    <w:qFormat/>
    <w:uiPriority w:val="0"/>
    <w:rPr>
      <w:rFonts w:eastAsia="宋体"/>
      <w:kern w:val="2"/>
      <w:sz w:val="18"/>
      <w:szCs w:val="18"/>
      <w:lang w:val="en-US" w:eastAsia="zh-CN" w:bidi="ar-SA"/>
    </w:rPr>
  </w:style>
  <w:style w:type="character" w:customStyle="1" w:styleId="340">
    <w:name w:val="Bold"/>
    <w:qFormat/>
    <w:uiPriority w:val="0"/>
    <w:rPr>
      <w:rFonts w:ascii="Arial" w:hAnsi="Arial" w:eastAsia="黑体" w:cs="Times New Roman"/>
      <w:b/>
      <w:kern w:val="2"/>
      <w:sz w:val="32"/>
      <w:szCs w:val="32"/>
      <w:lang w:val="en-US" w:eastAsia="zh-CN" w:bidi="ar-SA"/>
    </w:rPr>
  </w:style>
  <w:style w:type="character" w:customStyle="1" w:styleId="341">
    <w:name w:val="批注文字 字符1"/>
    <w:link w:val="19"/>
    <w:qFormat/>
    <w:uiPriority w:val="99"/>
    <w:rPr>
      <w:kern w:val="2"/>
      <w:sz w:val="21"/>
      <w:szCs w:val="24"/>
    </w:rPr>
  </w:style>
  <w:style w:type="character" w:customStyle="1" w:styleId="342">
    <w:name w:val="签名 字符"/>
    <w:link w:val="41"/>
    <w:qFormat/>
    <w:uiPriority w:val="0"/>
    <w:rPr>
      <w:rFonts w:eastAsia="仿宋_GB2312"/>
      <w:sz w:val="24"/>
    </w:rPr>
  </w:style>
  <w:style w:type="character" w:customStyle="1" w:styleId="343">
    <w:name w:val="hui3"/>
    <w:qFormat/>
    <w:uiPriority w:val="0"/>
    <w:rPr>
      <w:color w:val="333333"/>
    </w:rPr>
  </w:style>
  <w:style w:type="character" w:customStyle="1" w:styleId="344">
    <w:name w:val="Char Char17"/>
    <w:qFormat/>
    <w:uiPriority w:val="6"/>
    <w:rPr>
      <w:rFonts w:eastAsia="仿宋_GB2312"/>
      <w:sz w:val="24"/>
    </w:rPr>
  </w:style>
  <w:style w:type="character" w:customStyle="1" w:styleId="345">
    <w:name w:val="标题 4 字符"/>
    <w:qFormat/>
    <w:uiPriority w:val="9"/>
    <w:rPr>
      <w:rFonts w:ascii="等线 Light" w:hAnsi="等线 Light" w:eastAsia="等线 Light" w:cs="Times New Roman"/>
      <w:b/>
      <w:bCs/>
      <w:snapToGrid w:val="0"/>
      <w:kern w:val="0"/>
      <w:sz w:val="28"/>
      <w:szCs w:val="28"/>
    </w:rPr>
  </w:style>
  <w:style w:type="character" w:customStyle="1" w:styleId="346">
    <w:name w:val="Char Char37"/>
    <w:qFormat/>
    <w:uiPriority w:val="6"/>
    <w:rPr>
      <w:b/>
      <w:kern w:val="1"/>
      <w:sz w:val="44"/>
      <w:szCs w:val="44"/>
    </w:rPr>
  </w:style>
  <w:style w:type="character" w:customStyle="1" w:styleId="347">
    <w:name w:val="列出段落 Char"/>
    <w:qFormat/>
    <w:uiPriority w:val="0"/>
    <w:rPr>
      <w:rFonts w:eastAsia="楷体_GB2312" w:cs="Lucida Sans"/>
      <w:kern w:val="2"/>
      <w:sz w:val="24"/>
      <w:szCs w:val="24"/>
      <w:lang w:val="en-US" w:eastAsia="zh-CN" w:bidi="ar-SA"/>
    </w:rPr>
  </w:style>
  <w:style w:type="character" w:customStyle="1" w:styleId="348">
    <w:name w:val="正文文本缩进 3 Char1"/>
    <w:qFormat/>
    <w:uiPriority w:val="99"/>
    <w:rPr>
      <w:rFonts w:ascii="Times New Roman" w:hAnsi="Times New Roman" w:eastAsia="宋体" w:cs="Times New Roman"/>
      <w:sz w:val="16"/>
      <w:szCs w:val="16"/>
    </w:rPr>
  </w:style>
  <w:style w:type="character" w:customStyle="1" w:styleId="349">
    <w:name w:val="公文正文 Char Char"/>
    <w:link w:val="350"/>
    <w:qFormat/>
    <w:uiPriority w:val="0"/>
    <w:rPr>
      <w:rFonts w:ascii="仿宋_GB2312" w:eastAsia="仿宋_GB2312"/>
      <w:kern w:val="2"/>
      <w:sz w:val="24"/>
      <w:szCs w:val="24"/>
    </w:rPr>
  </w:style>
  <w:style w:type="paragraph" w:customStyle="1" w:styleId="350">
    <w:name w:val="公文正文"/>
    <w:basedOn w:val="1"/>
    <w:link w:val="349"/>
    <w:qFormat/>
    <w:uiPriority w:val="0"/>
    <w:pPr>
      <w:adjustRightInd/>
      <w:spacing w:before="156" w:line="360" w:lineRule="auto"/>
      <w:ind w:firstLine="360" w:firstLineChars="200"/>
    </w:pPr>
    <w:rPr>
      <w:rFonts w:ascii="仿宋_GB2312" w:eastAsia="仿宋_GB2312"/>
      <w:sz w:val="24"/>
    </w:rPr>
  </w:style>
  <w:style w:type="character" w:customStyle="1" w:styleId="351">
    <w:name w:val="Table Text Char1"/>
    <w:qFormat/>
    <w:uiPriority w:val="0"/>
    <w:rPr>
      <w:rFonts w:eastAsia="宋体"/>
      <w:sz w:val="24"/>
      <w:szCs w:val="24"/>
      <w:lang w:val="en-US" w:eastAsia="zh-CN" w:bidi="ar-SA"/>
    </w:rPr>
  </w:style>
  <w:style w:type="character" w:customStyle="1" w:styleId="352">
    <w:name w:val="标题 1 Char Char"/>
    <w:qFormat/>
    <w:uiPriority w:val="0"/>
    <w:rPr>
      <w:rFonts w:hint="eastAsia" w:ascii="宋体" w:hAnsi="宋体" w:eastAsia="宋体"/>
      <w:b/>
      <w:spacing w:val="-2"/>
      <w:sz w:val="24"/>
      <w:lang w:val="en-US" w:eastAsia="zh-CN" w:bidi="ar-SA"/>
    </w:rPr>
  </w:style>
  <w:style w:type="character" w:customStyle="1" w:styleId="353">
    <w:name w:val="正文（缩进2汉字） Char"/>
    <w:link w:val="354"/>
    <w:qFormat/>
    <w:uiPriority w:val="0"/>
    <w:rPr>
      <w:rFonts w:ascii="宋体"/>
    </w:rPr>
  </w:style>
  <w:style w:type="paragraph" w:customStyle="1" w:styleId="354">
    <w:name w:val="正文（缩进2汉字）"/>
    <w:basedOn w:val="1"/>
    <w:link w:val="353"/>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5">
    <w:name w:val="标题 8 字符"/>
    <w:link w:val="10"/>
    <w:qFormat/>
    <w:uiPriority w:val="0"/>
    <w:rPr>
      <w:rFonts w:ascii="Arial" w:hAnsi="Arial" w:eastAsia="黑体"/>
      <w:kern w:val="2"/>
      <w:sz w:val="24"/>
      <w:szCs w:val="24"/>
    </w:rPr>
  </w:style>
  <w:style w:type="character" w:customStyle="1" w:styleId="356">
    <w:name w:val="标书表格字体格式 Char"/>
    <w:qFormat/>
    <w:uiPriority w:val="0"/>
    <w:rPr>
      <w:kern w:val="2"/>
      <w:sz w:val="21"/>
      <w:szCs w:val="24"/>
      <w:lang w:bidi="ar-SA"/>
    </w:rPr>
  </w:style>
  <w:style w:type="character" w:customStyle="1" w:styleId="357">
    <w:name w:val="tw4winError"/>
    <w:qFormat/>
    <w:uiPriority w:val="0"/>
    <w:rPr>
      <w:rFonts w:ascii="Courier New" w:hAnsi="Courier New" w:cs="Courier New"/>
      <w:color w:val="00FF00"/>
      <w:sz w:val="40"/>
      <w:szCs w:val="40"/>
    </w:rPr>
  </w:style>
  <w:style w:type="character" w:customStyle="1" w:styleId="358">
    <w:name w:val="Body Text(ch) Char Char"/>
    <w:qFormat/>
    <w:uiPriority w:val="0"/>
    <w:rPr>
      <w:rFonts w:ascii="宋体"/>
      <w:kern w:val="2"/>
      <w:sz w:val="24"/>
      <w:szCs w:val="21"/>
      <w:lang w:val="zh-CN"/>
    </w:rPr>
  </w:style>
  <w:style w:type="character" w:customStyle="1" w:styleId="359">
    <w:name w:val="正文首行缩进两字 Char"/>
    <w:qFormat/>
    <w:uiPriority w:val="0"/>
    <w:rPr>
      <w:sz w:val="24"/>
      <w:szCs w:val="24"/>
      <w:lang w:val="en-US" w:eastAsia="zh-CN" w:bidi="ar-SA"/>
    </w:rPr>
  </w:style>
  <w:style w:type="character" w:customStyle="1" w:styleId="360">
    <w:name w:val="正文文本 Char"/>
    <w:qFormat/>
    <w:uiPriority w:val="0"/>
    <w:rPr>
      <w:rFonts w:eastAsia="宋体"/>
      <w:kern w:val="2"/>
      <w:sz w:val="24"/>
      <w:szCs w:val="24"/>
      <w:lang w:val="en-US" w:eastAsia="zh-CN" w:bidi="ar-SA"/>
    </w:rPr>
  </w:style>
  <w:style w:type="character" w:customStyle="1" w:styleId="361">
    <w:name w:val="文档结构图 字符1"/>
    <w:qFormat/>
    <w:uiPriority w:val="0"/>
    <w:rPr>
      <w:rFonts w:ascii="宋体" w:hAnsi="Calibri" w:eastAsia="黑体" w:cs="Arial"/>
      <w:snapToGrid w:val="0"/>
      <w:kern w:val="2"/>
      <w:sz w:val="18"/>
      <w:szCs w:val="18"/>
    </w:rPr>
  </w:style>
  <w:style w:type="character" w:customStyle="1" w:styleId="362">
    <w:name w:val="content"/>
    <w:qFormat/>
    <w:uiPriority w:val="0"/>
  </w:style>
  <w:style w:type="character" w:customStyle="1" w:styleId="363">
    <w:name w:val="tw4winPopup"/>
    <w:qFormat/>
    <w:uiPriority w:val="0"/>
    <w:rPr>
      <w:rFonts w:ascii="Courier New" w:hAnsi="Courier New" w:cs="Courier New"/>
      <w:color w:val="008000"/>
      <w:lang w:val="en-US" w:eastAsia="zh-CN"/>
    </w:rPr>
  </w:style>
  <w:style w:type="character" w:customStyle="1" w:styleId="364">
    <w:name w:val="param-name"/>
    <w:qFormat/>
    <w:uiPriority w:val="99"/>
    <w:rPr>
      <w:rFonts w:ascii="Arial" w:hAnsi="Arial" w:eastAsia="黑体" w:cs="Arial"/>
      <w:snapToGrid w:val="0"/>
      <w:kern w:val="0"/>
      <w:szCs w:val="21"/>
    </w:rPr>
  </w:style>
  <w:style w:type="character" w:customStyle="1" w:styleId="365">
    <w:name w:val="标准正文格式 Char"/>
    <w:qFormat/>
    <w:uiPriority w:val="0"/>
    <w:rPr>
      <w:rFonts w:ascii="宋体" w:eastAsia="仿宋_GB2312" w:cs="宋体"/>
      <w:color w:val="000000"/>
      <w:sz w:val="24"/>
      <w:lang w:val="en-US" w:eastAsia="zh-CN" w:bidi="ar-SA"/>
    </w:rPr>
  </w:style>
  <w:style w:type="character" w:customStyle="1" w:styleId="366">
    <w:name w:val="Char Char212"/>
    <w:qFormat/>
    <w:uiPriority w:val="0"/>
    <w:rPr>
      <w:rFonts w:eastAsia="宋体"/>
      <w:b/>
      <w:bCs/>
      <w:kern w:val="2"/>
      <w:sz w:val="21"/>
      <w:szCs w:val="24"/>
      <w:lang w:val="en-US" w:eastAsia="zh-CN" w:bidi="ar-SA"/>
    </w:rPr>
  </w:style>
  <w:style w:type="character" w:customStyle="1" w:styleId="367">
    <w:name w:val="文档结构图 Char"/>
    <w:qFormat/>
    <w:uiPriority w:val="0"/>
    <w:rPr>
      <w:rFonts w:eastAsia="宋体"/>
      <w:kern w:val="2"/>
      <w:sz w:val="21"/>
      <w:szCs w:val="24"/>
      <w:lang w:val="en-US" w:eastAsia="zh-CN" w:bidi="ar-SA"/>
    </w:rPr>
  </w:style>
  <w:style w:type="character" w:customStyle="1" w:styleId="368">
    <w:name w:val="zbggmain style9"/>
    <w:qFormat/>
    <w:uiPriority w:val="0"/>
  </w:style>
  <w:style w:type="character" w:customStyle="1" w:styleId="369">
    <w:name w:val="Char Char16"/>
    <w:qFormat/>
    <w:uiPriority w:val="6"/>
    <w:rPr>
      <w:kern w:val="1"/>
      <w:sz w:val="18"/>
      <w:szCs w:val="18"/>
    </w:rPr>
  </w:style>
  <w:style w:type="character" w:customStyle="1" w:styleId="370">
    <w:name w:val="font51"/>
    <w:qFormat/>
    <w:uiPriority w:val="0"/>
    <w:rPr>
      <w:rFonts w:hint="eastAsia" w:ascii="仿宋" w:hAnsi="仿宋" w:eastAsia="仿宋" w:cs="仿宋"/>
      <w:color w:val="000000"/>
      <w:sz w:val="20"/>
      <w:szCs w:val="20"/>
      <w:u w:val="none"/>
    </w:rPr>
  </w:style>
  <w:style w:type="character" w:customStyle="1" w:styleId="371">
    <w:name w:val="Char Char82"/>
    <w:qFormat/>
    <w:uiPriority w:val="0"/>
    <w:rPr>
      <w:rFonts w:eastAsia="宋体"/>
      <w:b/>
      <w:sz w:val="24"/>
      <w:lang w:val="en-GB" w:eastAsia="zh-CN"/>
    </w:rPr>
  </w:style>
  <w:style w:type="character" w:customStyle="1" w:styleId="372">
    <w:name w:val="正文文本缩进 3 字符"/>
    <w:link w:val="52"/>
    <w:qFormat/>
    <w:uiPriority w:val="0"/>
    <w:rPr>
      <w:kern w:val="2"/>
      <w:sz w:val="24"/>
    </w:rPr>
  </w:style>
  <w:style w:type="character" w:customStyle="1" w:styleId="373">
    <w:name w:val="日期 Char1"/>
    <w:qFormat/>
    <w:uiPriority w:val="99"/>
    <w:rPr>
      <w:rFonts w:ascii="Times New Roman" w:hAnsi="Times New Roman" w:eastAsia="宋体" w:cs="Times New Roman"/>
      <w:szCs w:val="24"/>
    </w:rPr>
  </w:style>
  <w:style w:type="character" w:customStyle="1" w:styleId="374">
    <w:name w:val="页眉 字符"/>
    <w:qFormat/>
    <w:uiPriority w:val="99"/>
    <w:rPr>
      <w:kern w:val="2"/>
      <w:sz w:val="18"/>
      <w:szCs w:val="18"/>
    </w:rPr>
  </w:style>
  <w:style w:type="character" w:customStyle="1" w:styleId="375">
    <w:name w:val="Char Char33"/>
    <w:qFormat/>
    <w:uiPriority w:val="6"/>
    <w:rPr>
      <w:rFonts w:ascii="Arial" w:hAnsi="Arial" w:eastAsia="黑体"/>
      <w:b/>
      <w:kern w:val="1"/>
      <w:sz w:val="24"/>
      <w:szCs w:val="24"/>
    </w:rPr>
  </w:style>
  <w:style w:type="character" w:customStyle="1" w:styleId="376">
    <w:name w:val="b11_01b Char"/>
    <w:link w:val="377"/>
    <w:qFormat/>
    <w:uiPriority w:val="0"/>
    <w:rPr>
      <w:rFonts w:ascii="Verdana" w:hAnsi="Verdana"/>
      <w:b/>
      <w:bCs/>
      <w:color w:val="4A82CA"/>
      <w:sz w:val="17"/>
      <w:szCs w:val="17"/>
    </w:rPr>
  </w:style>
  <w:style w:type="paragraph" w:customStyle="1" w:styleId="377">
    <w:name w:val="b11_01b"/>
    <w:basedOn w:val="1"/>
    <w:next w:val="1"/>
    <w:link w:val="376"/>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8">
    <w:name w:val="Char Char121"/>
    <w:qFormat/>
    <w:uiPriority w:val="6"/>
    <w:rPr>
      <w:rFonts w:ascii="仿宋_GB2312" w:eastAsia="仿宋_GB2312"/>
      <w:b/>
      <w:bCs/>
      <w:kern w:val="2"/>
      <w:sz w:val="24"/>
      <w:szCs w:val="24"/>
      <w:lang w:val="zh-CN" w:eastAsia="zh-CN" w:bidi="ar-SA"/>
    </w:rPr>
  </w:style>
  <w:style w:type="character" w:customStyle="1" w:styleId="379">
    <w:name w:val="Footer-Even Char"/>
    <w:qFormat/>
    <w:uiPriority w:val="0"/>
    <w:rPr>
      <w:rFonts w:eastAsia="宋体"/>
      <w:kern w:val="2"/>
      <w:sz w:val="18"/>
      <w:lang w:val="en-US" w:eastAsia="zh-CN" w:bidi="ar-SA"/>
    </w:rPr>
  </w:style>
  <w:style w:type="character" w:customStyle="1" w:styleId="380">
    <w:name w:val="页脚 字符2"/>
    <w:link w:val="39"/>
    <w:qFormat/>
    <w:uiPriority w:val="99"/>
    <w:rPr>
      <w:kern w:val="2"/>
      <w:sz w:val="18"/>
      <w:szCs w:val="18"/>
    </w:rPr>
  </w:style>
  <w:style w:type="character" w:customStyle="1" w:styleId="381">
    <w:name w:val="Char Char36"/>
    <w:qFormat/>
    <w:uiPriority w:val="6"/>
    <w:rPr>
      <w:rFonts w:ascii="仿宋_GB2312" w:hAnsi="仿宋_GB2312" w:eastAsia="仿宋_GB2312" w:cs="Arial"/>
      <w:b/>
      <w:kern w:val="1"/>
      <w:sz w:val="32"/>
      <w:szCs w:val="32"/>
      <w:lang w:val="zh-CN" w:eastAsia="zh-CN" w:bidi="ar-SA"/>
    </w:rPr>
  </w:style>
  <w:style w:type="character" w:customStyle="1" w:styleId="382">
    <w:name w:val="Char Char61"/>
    <w:qFormat/>
    <w:uiPriority w:val="6"/>
    <w:rPr>
      <w:rFonts w:eastAsia="宋体"/>
      <w:kern w:val="2"/>
      <w:sz w:val="21"/>
      <w:szCs w:val="24"/>
      <w:lang w:val="en-US" w:eastAsia="zh-CN" w:bidi="ar-SA"/>
    </w:rPr>
  </w:style>
  <w:style w:type="character" w:customStyle="1" w:styleId="383">
    <w:name w:val="正文文字缩进 2 Char Char"/>
    <w:qFormat/>
    <w:uiPriority w:val="0"/>
    <w:rPr>
      <w:rFonts w:ascii="宋体"/>
      <w:sz w:val="28"/>
    </w:rPr>
  </w:style>
  <w:style w:type="character" w:customStyle="1" w:styleId="384">
    <w:name w:val="f141"/>
    <w:qFormat/>
    <w:uiPriority w:val="0"/>
    <w:rPr>
      <w:rFonts w:ascii="Tahoma" w:hAnsi="Tahoma" w:eastAsia="宋体"/>
      <w:b/>
      <w:kern w:val="2"/>
      <w:sz w:val="21"/>
      <w:szCs w:val="21"/>
      <w:lang w:val="en-US" w:eastAsia="zh-CN" w:bidi="ar-SA"/>
    </w:rPr>
  </w:style>
  <w:style w:type="character" w:customStyle="1" w:styleId="385">
    <w:name w:val="段落 Char Char"/>
    <w:link w:val="386"/>
    <w:qFormat/>
    <w:uiPriority w:val="0"/>
    <w:rPr>
      <w:rFonts w:ascii="宋体" w:hAnsi="宋体"/>
      <w:sz w:val="24"/>
    </w:rPr>
  </w:style>
  <w:style w:type="paragraph" w:customStyle="1" w:styleId="386">
    <w:name w:val="段落"/>
    <w:basedOn w:val="1"/>
    <w:link w:val="385"/>
    <w:qFormat/>
    <w:uiPriority w:val="0"/>
    <w:pPr>
      <w:adjustRightInd/>
      <w:spacing w:line="360" w:lineRule="auto"/>
      <w:ind w:firstLine="480" w:firstLineChars="200"/>
    </w:pPr>
    <w:rPr>
      <w:rFonts w:ascii="宋体" w:hAnsi="宋体"/>
      <w:kern w:val="0"/>
      <w:sz w:val="24"/>
      <w:szCs w:val="20"/>
    </w:rPr>
  </w:style>
  <w:style w:type="character" w:customStyle="1" w:styleId="387">
    <w:name w:val="标题 3 Char2"/>
    <w:qFormat/>
    <w:uiPriority w:val="0"/>
    <w:rPr>
      <w:rFonts w:eastAsia="宋体"/>
      <w:b/>
      <w:bCs/>
      <w:kern w:val="2"/>
      <w:sz w:val="32"/>
      <w:szCs w:val="32"/>
      <w:lang w:val="en-US" w:eastAsia="zh-CN" w:bidi="ar-SA"/>
    </w:rPr>
  </w:style>
  <w:style w:type="character" w:customStyle="1" w:styleId="388">
    <w:name w:val="apple-converted-space"/>
    <w:qFormat/>
    <w:uiPriority w:val="0"/>
  </w:style>
  <w:style w:type="character" w:customStyle="1" w:styleId="389">
    <w:name w:val="页眉 字符2"/>
    <w:link w:val="40"/>
    <w:qFormat/>
    <w:uiPriority w:val="99"/>
    <w:rPr>
      <w:kern w:val="2"/>
      <w:sz w:val="18"/>
      <w:szCs w:val="18"/>
    </w:rPr>
  </w:style>
  <w:style w:type="character" w:customStyle="1" w:styleId="390">
    <w:name w:val="Char Char9"/>
    <w:qFormat/>
    <w:uiPriority w:val="0"/>
    <w:rPr>
      <w:rFonts w:eastAsia="宋体"/>
      <w:kern w:val="2"/>
      <w:sz w:val="18"/>
      <w:szCs w:val="18"/>
      <w:lang w:val="en-US" w:eastAsia="zh-CN" w:bidi="ar-SA"/>
    </w:rPr>
  </w:style>
  <w:style w:type="character" w:customStyle="1" w:styleId="391">
    <w:name w:val="Char Char41"/>
    <w:qFormat/>
    <w:uiPriority w:val="0"/>
    <w:rPr>
      <w:rFonts w:eastAsia="宋体"/>
      <w:b/>
      <w:sz w:val="24"/>
      <w:lang w:val="en-GB" w:eastAsia="zh-CN" w:bidi="ar-SA"/>
    </w:rPr>
  </w:style>
  <w:style w:type="character" w:customStyle="1" w:styleId="392">
    <w:name w:val="large1"/>
    <w:qFormat/>
    <w:uiPriority w:val="0"/>
    <w:rPr>
      <w:rFonts w:hint="eastAsia" w:ascii="宋体" w:hAnsi="宋体" w:eastAsia="宋体"/>
      <w:sz w:val="21"/>
      <w:szCs w:val="21"/>
    </w:rPr>
  </w:style>
  <w:style w:type="character" w:customStyle="1" w:styleId="393">
    <w:name w:val="正文段 Char"/>
    <w:link w:val="394"/>
    <w:qFormat/>
    <w:uiPriority w:val="0"/>
    <w:rPr>
      <w:sz w:val="24"/>
    </w:rPr>
  </w:style>
  <w:style w:type="paragraph" w:customStyle="1" w:styleId="394">
    <w:name w:val="正文段"/>
    <w:basedOn w:val="1"/>
    <w:link w:val="393"/>
    <w:qFormat/>
    <w:uiPriority w:val="0"/>
    <w:pPr>
      <w:widowControl/>
      <w:snapToGrid w:val="0"/>
      <w:spacing w:after="156" w:afterLines="50"/>
      <w:ind w:firstLine="200" w:firstLineChars="200"/>
    </w:pPr>
    <w:rPr>
      <w:kern w:val="0"/>
      <w:sz w:val="24"/>
      <w:szCs w:val="20"/>
    </w:rPr>
  </w:style>
  <w:style w:type="character" w:customStyle="1" w:styleId="395">
    <w:name w:val="Char Char13"/>
    <w:qFormat/>
    <w:uiPriority w:val="6"/>
    <w:rPr>
      <w:rFonts w:ascii="宋体" w:hAnsi="宋体"/>
      <w:kern w:val="1"/>
      <w:sz w:val="21"/>
      <w:szCs w:val="24"/>
    </w:rPr>
  </w:style>
  <w:style w:type="character" w:customStyle="1" w:styleId="396">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7">
    <w:name w:val="冯广丽 Char"/>
    <w:link w:val="398"/>
    <w:qFormat/>
    <w:uiPriority w:val="0"/>
    <w:rPr>
      <w:rFonts w:ascii="宋体" w:hAnsi="宋体"/>
      <w:kern w:val="2"/>
      <w:sz w:val="24"/>
      <w:szCs w:val="22"/>
    </w:rPr>
  </w:style>
  <w:style w:type="paragraph" w:customStyle="1" w:styleId="398">
    <w:name w:val="冯广丽"/>
    <w:basedOn w:val="1"/>
    <w:link w:val="397"/>
    <w:qFormat/>
    <w:uiPriority w:val="0"/>
    <w:pPr>
      <w:adjustRightInd/>
      <w:spacing w:line="360" w:lineRule="auto"/>
      <w:ind w:firstLine="480" w:firstLineChars="200"/>
    </w:pPr>
    <w:rPr>
      <w:rFonts w:ascii="宋体" w:hAnsi="宋体"/>
      <w:sz w:val="24"/>
      <w:szCs w:val="22"/>
    </w:rPr>
  </w:style>
  <w:style w:type="character" w:customStyle="1" w:styleId="399">
    <w:name w:val="批注文字 字符"/>
    <w:qFormat/>
    <w:uiPriority w:val="0"/>
    <w:rPr>
      <w:rFonts w:ascii="Arial" w:hAnsi="Arial" w:eastAsia="黑体" w:cs="Arial"/>
      <w:snapToGrid w:val="0"/>
      <w:kern w:val="0"/>
      <w:szCs w:val="21"/>
    </w:rPr>
  </w:style>
  <w:style w:type="character" w:customStyle="1" w:styleId="400">
    <w:name w:val="Char Char161"/>
    <w:qFormat/>
    <w:uiPriority w:val="0"/>
    <w:rPr>
      <w:rFonts w:eastAsia="宋体"/>
      <w:b/>
      <w:kern w:val="2"/>
      <w:sz w:val="32"/>
      <w:lang w:val="en-US" w:eastAsia="zh-CN"/>
    </w:rPr>
  </w:style>
  <w:style w:type="character" w:customStyle="1" w:styleId="401">
    <w:name w:val="javascript"/>
    <w:qFormat/>
    <w:uiPriority w:val="0"/>
  </w:style>
  <w:style w:type="character" w:customStyle="1" w:styleId="402">
    <w:name w:val="图名 Char"/>
    <w:qFormat/>
    <w:uiPriority w:val="0"/>
    <w:rPr>
      <w:rFonts w:ascii="Arial" w:hAnsi="Arial" w:eastAsia="黑体"/>
      <w:kern w:val="2"/>
      <w:sz w:val="24"/>
      <w:szCs w:val="24"/>
      <w:lang w:val="en-US" w:eastAsia="zh-CN" w:bidi="ar-SA"/>
    </w:rPr>
  </w:style>
  <w:style w:type="character" w:customStyle="1" w:styleId="403">
    <w:name w:val="Used by Word for text of Help footnotes Char Char"/>
    <w:qFormat/>
    <w:uiPriority w:val="0"/>
    <w:rPr>
      <w:rFonts w:ascii="Times New Roman" w:hAnsi="Times New Roman" w:eastAsia="宋体" w:cs="Times New Roman"/>
      <w:sz w:val="20"/>
      <w:szCs w:val="20"/>
    </w:rPr>
  </w:style>
  <w:style w:type="character" w:customStyle="1" w:styleId="404">
    <w:name w:val="编号，小四 Char"/>
    <w:link w:val="405"/>
    <w:qFormat/>
    <w:uiPriority w:val="0"/>
    <w:rPr>
      <w:rFonts w:ascii="Arial" w:hAnsi="Arial"/>
      <w:sz w:val="24"/>
    </w:rPr>
  </w:style>
  <w:style w:type="paragraph" w:customStyle="1" w:styleId="405">
    <w:name w:val="编号，小四"/>
    <w:basedOn w:val="1"/>
    <w:link w:val="404"/>
    <w:qFormat/>
    <w:uiPriority w:val="0"/>
    <w:pPr>
      <w:tabs>
        <w:tab w:val="left" w:pos="432"/>
      </w:tabs>
      <w:adjustRightInd/>
      <w:spacing w:line="360" w:lineRule="auto"/>
      <w:ind w:left="432" w:hanging="432"/>
    </w:pPr>
    <w:rPr>
      <w:rFonts w:ascii="Arial" w:hAnsi="Arial"/>
      <w:kern w:val="0"/>
      <w:sz w:val="24"/>
      <w:szCs w:val="20"/>
    </w:rPr>
  </w:style>
  <w:style w:type="character" w:customStyle="1" w:styleId="406">
    <w:name w:val="Font Style82"/>
    <w:qFormat/>
    <w:uiPriority w:val="99"/>
    <w:rPr>
      <w:rFonts w:ascii="宋体" w:eastAsia="宋体" w:cs="宋体"/>
      <w:color w:val="000000"/>
      <w:sz w:val="14"/>
      <w:szCs w:val="14"/>
    </w:rPr>
  </w:style>
  <w:style w:type="character" w:customStyle="1" w:styleId="407">
    <w:name w:val="标题 2 Char Char"/>
    <w:qFormat/>
    <w:uiPriority w:val="0"/>
    <w:rPr>
      <w:rFonts w:ascii="楷体_GB2312" w:hAnsi="Arial" w:eastAsia="楷体_GB2312"/>
      <w:b/>
      <w:bCs/>
      <w:kern w:val="2"/>
      <w:sz w:val="24"/>
      <w:szCs w:val="32"/>
      <w:lang w:val="en-US" w:eastAsia="zh-CN" w:bidi="ar-SA"/>
    </w:rPr>
  </w:style>
  <w:style w:type="character" w:customStyle="1" w:styleId="408">
    <w:name w:val="未用 Char"/>
    <w:qFormat/>
    <w:uiPriority w:val="0"/>
    <w:rPr>
      <w:rFonts w:ascii="Arial" w:hAnsi="Arial" w:eastAsia="黑体"/>
      <w:kern w:val="2"/>
      <w:sz w:val="21"/>
      <w:szCs w:val="21"/>
      <w:lang w:val="en-US" w:eastAsia="zh-CN" w:bidi="ar-SA"/>
    </w:rPr>
  </w:style>
  <w:style w:type="character" w:customStyle="1" w:styleId="409">
    <w:name w:val="myp1111"/>
    <w:qFormat/>
    <w:uiPriority w:val="0"/>
    <w:rPr>
      <w:rFonts w:hint="default" w:ascii="ˎ̥" w:hAnsi="ˎ̥"/>
      <w:color w:val="000000"/>
      <w:sz w:val="20"/>
      <w:szCs w:val="20"/>
      <w:u w:val="none"/>
    </w:rPr>
  </w:style>
  <w:style w:type="character" w:customStyle="1" w:styleId="410">
    <w:name w:val="样式 标题 4h4H4Fab-4T5Ref Heading 1rh1Heading sqlsect 1.2.3.... Char"/>
    <w:link w:val="302"/>
    <w:qFormat/>
    <w:uiPriority w:val="0"/>
    <w:rPr>
      <w:rFonts w:ascii="微软雅黑" w:hAnsi="微软雅黑" w:eastAsia="微软雅黑"/>
      <w:b/>
      <w:bCs/>
      <w:kern w:val="2"/>
      <w:sz w:val="24"/>
      <w:szCs w:val="28"/>
    </w:rPr>
  </w:style>
  <w:style w:type="character" w:customStyle="1" w:styleId="411">
    <w:name w:val="h Char Char"/>
    <w:qFormat/>
    <w:uiPriority w:val="0"/>
    <w:rPr>
      <w:rFonts w:eastAsia="宋体"/>
      <w:kern w:val="2"/>
      <w:sz w:val="18"/>
      <w:lang w:val="en-US" w:eastAsia="zh-CN" w:bidi="ar-SA"/>
    </w:rPr>
  </w:style>
  <w:style w:type="character" w:customStyle="1" w:styleId="412">
    <w:name w:val="仿宋正文 Char"/>
    <w:link w:val="413"/>
    <w:qFormat/>
    <w:uiPriority w:val="0"/>
    <w:rPr>
      <w:rFonts w:ascii="仿宋_GB2312" w:eastAsia="仿宋_GB2312"/>
      <w:kern w:val="2"/>
      <w:sz w:val="24"/>
      <w:lang w:val="en-US" w:eastAsia="zh-CN" w:bidi="ar-SA"/>
    </w:rPr>
  </w:style>
  <w:style w:type="paragraph" w:customStyle="1" w:styleId="413">
    <w:name w:val="仿宋正文"/>
    <w:basedOn w:val="1"/>
    <w:link w:val="412"/>
    <w:qFormat/>
    <w:uiPriority w:val="0"/>
    <w:pPr>
      <w:adjustRightInd/>
      <w:spacing w:line="360" w:lineRule="auto"/>
      <w:ind w:firstLine="480" w:firstLineChars="200"/>
    </w:pPr>
    <w:rPr>
      <w:rFonts w:ascii="仿宋_GB2312" w:eastAsia="仿宋_GB2312"/>
      <w:sz w:val="24"/>
      <w:szCs w:val="20"/>
    </w:rPr>
  </w:style>
  <w:style w:type="character" w:customStyle="1" w:styleId="414">
    <w:name w:val="正文首行缩进 Char Char Char Char Char Char"/>
    <w:qFormat/>
    <w:uiPriority w:val="0"/>
    <w:rPr>
      <w:rFonts w:ascii="宋体" w:eastAsia="宋体"/>
      <w:kern w:val="2"/>
      <w:sz w:val="24"/>
      <w:lang w:val="zh-CN" w:bidi="ar-SA"/>
    </w:rPr>
  </w:style>
  <w:style w:type="character" w:customStyle="1" w:styleId="415">
    <w:name w:val="样式 宋体"/>
    <w:qFormat/>
    <w:uiPriority w:val="0"/>
    <w:rPr>
      <w:rFonts w:ascii="宋体" w:hAnsi="宋体"/>
      <w:sz w:val="24"/>
    </w:rPr>
  </w:style>
  <w:style w:type="character" w:customStyle="1" w:styleId="416">
    <w:name w:val="tw4winJump"/>
    <w:qFormat/>
    <w:uiPriority w:val="0"/>
    <w:rPr>
      <w:rFonts w:ascii="Courier New" w:hAnsi="Courier New" w:cs="Courier New"/>
      <w:color w:val="008080"/>
      <w:lang w:val="en-US" w:eastAsia="zh-CN"/>
    </w:rPr>
  </w:style>
  <w:style w:type="character" w:customStyle="1" w:styleId="417">
    <w:name w:val="标题 1 字符"/>
    <w:qFormat/>
    <w:uiPriority w:val="9"/>
    <w:rPr>
      <w:rFonts w:ascii="Arial" w:hAnsi="Arial" w:eastAsia="黑体" w:cs="Arial"/>
      <w:b/>
      <w:bCs/>
      <w:snapToGrid w:val="0"/>
      <w:kern w:val="44"/>
      <w:sz w:val="44"/>
      <w:szCs w:val="44"/>
    </w:rPr>
  </w:style>
  <w:style w:type="character" w:customStyle="1" w:styleId="418">
    <w:name w:val="style36"/>
    <w:basedOn w:val="69"/>
    <w:qFormat/>
    <w:uiPriority w:val="0"/>
    <w:rPr>
      <w:rFonts w:ascii="Arial" w:hAnsi="Arial" w:eastAsia="黑体" w:cs="Arial"/>
      <w:snapToGrid w:val="0"/>
      <w:kern w:val="0"/>
      <w:szCs w:val="21"/>
    </w:rPr>
  </w:style>
  <w:style w:type="character" w:customStyle="1" w:styleId="419">
    <w:name w:val="pt9"/>
    <w:qFormat/>
    <w:uiPriority w:val="0"/>
    <w:rPr>
      <w:rFonts w:ascii="仿宋_GB2312" w:eastAsia="微软雅黑"/>
      <w:b/>
      <w:kern w:val="2"/>
      <w:sz w:val="32"/>
      <w:szCs w:val="32"/>
      <w:lang w:val="en-US" w:eastAsia="zh-CN" w:bidi="ar-SA"/>
    </w:rPr>
  </w:style>
  <w:style w:type="character" w:customStyle="1" w:styleId="420">
    <w:name w:val="DO_NOT_TRANSLATE"/>
    <w:qFormat/>
    <w:uiPriority w:val="0"/>
    <w:rPr>
      <w:rFonts w:ascii="Courier New" w:hAnsi="Courier New" w:cs="Courier New"/>
      <w:color w:val="800000"/>
      <w:lang w:val="en-US" w:eastAsia="zh-CN"/>
    </w:rPr>
  </w:style>
  <w:style w:type="character" w:customStyle="1" w:styleId="421">
    <w:name w:val="标书1 Char1"/>
    <w:qFormat/>
    <w:uiPriority w:val="0"/>
    <w:rPr>
      <w:rFonts w:eastAsia="宋体"/>
      <w:b/>
      <w:bCs/>
      <w:kern w:val="44"/>
      <w:sz w:val="44"/>
      <w:szCs w:val="44"/>
      <w:lang w:val="en-US" w:eastAsia="zh-CN" w:bidi="ar-SA"/>
    </w:rPr>
  </w:style>
  <w:style w:type="character" w:customStyle="1" w:styleId="422">
    <w:name w:val="页脚 字符"/>
    <w:qFormat/>
    <w:uiPriority w:val="99"/>
    <w:rPr>
      <w:kern w:val="2"/>
      <w:sz w:val="18"/>
      <w:szCs w:val="18"/>
    </w:rPr>
  </w:style>
  <w:style w:type="character" w:customStyle="1" w:styleId="423">
    <w:name w:val="正文2 Char"/>
    <w:qFormat/>
    <w:uiPriority w:val="0"/>
    <w:rPr>
      <w:rFonts w:eastAsia="宋体"/>
      <w:kern w:val="2"/>
      <w:sz w:val="24"/>
      <w:lang w:val="en-US" w:eastAsia="zh-CN" w:bidi="ar-SA"/>
    </w:rPr>
  </w:style>
  <w:style w:type="character" w:customStyle="1" w:styleId="424">
    <w:name w:val="Char Char21"/>
    <w:qFormat/>
    <w:uiPriority w:val="6"/>
    <w:rPr>
      <w:rFonts w:ascii="宋体" w:hAnsi="宋体"/>
      <w:kern w:val="1"/>
      <w:sz w:val="24"/>
      <w:szCs w:val="21"/>
      <w:lang w:val="zh-CN"/>
    </w:rPr>
  </w:style>
  <w:style w:type="character" w:customStyle="1" w:styleId="425">
    <w:name w:val="样式 正文缩进 + 首行缩进:  2 字符 Char Char"/>
    <w:link w:val="426"/>
    <w:qFormat/>
    <w:uiPriority w:val="0"/>
    <w:rPr>
      <w:rFonts w:cs="宋体"/>
      <w:kern w:val="2"/>
      <w:sz w:val="24"/>
    </w:rPr>
  </w:style>
  <w:style w:type="paragraph" w:customStyle="1" w:styleId="426">
    <w:name w:val="样式 正文缩进 + 首行缩进:  2 字符"/>
    <w:basedOn w:val="5"/>
    <w:link w:val="425"/>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7">
    <w:name w:val="正文文本 字符"/>
    <w:link w:val="23"/>
    <w:qFormat/>
    <w:uiPriority w:val="0"/>
    <w:rPr>
      <w:rFonts w:ascii="宋体" w:hAnsi="Arial" w:eastAsia="宋体" w:cs="Arial"/>
      <w:snapToGrid w:val="0"/>
      <w:kern w:val="2"/>
      <w:sz w:val="24"/>
      <w:szCs w:val="21"/>
      <w:lang w:val="zh-CN" w:eastAsia="zh-CN" w:bidi="ar-SA"/>
    </w:rPr>
  </w:style>
  <w:style w:type="character" w:customStyle="1" w:styleId="428">
    <w:name w:val="gray6"/>
    <w:basedOn w:val="69"/>
    <w:qFormat/>
    <w:uiPriority w:val="0"/>
    <w:rPr>
      <w:rFonts w:ascii="Arial" w:hAnsi="Arial" w:eastAsia="黑体" w:cs="Arial"/>
      <w:snapToGrid w:val="0"/>
      <w:kern w:val="0"/>
      <w:szCs w:val="21"/>
    </w:rPr>
  </w:style>
  <w:style w:type="character" w:customStyle="1" w:styleId="429">
    <w:name w:val="hui"/>
    <w:basedOn w:val="69"/>
    <w:qFormat/>
    <w:uiPriority w:val="0"/>
    <w:rPr>
      <w:rFonts w:ascii="Arial" w:hAnsi="Arial" w:eastAsia="黑体" w:cs="Arial"/>
      <w:snapToGrid w:val="0"/>
      <w:kern w:val="0"/>
      <w:szCs w:val="21"/>
    </w:rPr>
  </w:style>
  <w:style w:type="character" w:customStyle="1" w:styleId="430">
    <w:name w:val="哈哈正文 Char Char"/>
    <w:qFormat/>
    <w:uiPriority w:val="0"/>
    <w:rPr>
      <w:rFonts w:ascii="宋体" w:hAnsi="宋体" w:eastAsia="宋体" w:cs="宋体"/>
      <w:kern w:val="2"/>
      <w:sz w:val="24"/>
      <w:lang w:val="en-US" w:eastAsia="zh-CN" w:bidi="ar-SA"/>
    </w:rPr>
  </w:style>
  <w:style w:type="paragraph" w:customStyle="1" w:styleId="431">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3">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7">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8">
    <w:name w:val="标题4_自定义"/>
    <w:basedOn w:val="6"/>
    <w:qFormat/>
    <w:uiPriority w:val="0"/>
    <w:pPr>
      <w:adjustRightInd/>
      <w:spacing w:before="0" w:after="0" w:line="360" w:lineRule="auto"/>
    </w:pPr>
    <w:rPr>
      <w:rFonts w:ascii="Verdana" w:eastAsia="Verdana"/>
      <w:sz w:val="21"/>
      <w:lang w:val="en-US"/>
    </w:rPr>
  </w:style>
  <w:style w:type="paragraph" w:customStyle="1" w:styleId="439">
    <w:name w:val="正文 内标 序号标"/>
    <w:basedOn w:val="440"/>
    <w:qFormat/>
    <w:uiPriority w:val="0"/>
    <w:pPr>
      <w:tabs>
        <w:tab w:val="left" w:pos="0"/>
      </w:tabs>
      <w:adjustRightInd/>
      <w:spacing w:before="0"/>
      <w:ind w:firstLine="482"/>
    </w:pPr>
    <w:rPr>
      <w:rFonts w:ascii="微软雅黑" w:hAnsi="微软雅黑"/>
      <w:sz w:val="24"/>
      <w:szCs w:val="24"/>
    </w:rPr>
  </w:style>
  <w:style w:type="paragraph" w:customStyle="1" w:styleId="440">
    <w:name w:val="My正文"/>
    <w:basedOn w:val="1"/>
    <w:qFormat/>
    <w:uiPriority w:val="0"/>
    <w:pPr>
      <w:spacing w:before="120" w:line="360" w:lineRule="auto"/>
      <w:ind w:firstLine="567"/>
    </w:pPr>
    <w:rPr>
      <w:rFonts w:ascii="Arial" w:hAnsi="Arial"/>
      <w:sz w:val="20"/>
      <w:szCs w:val="20"/>
    </w:rPr>
  </w:style>
  <w:style w:type="paragraph" w:customStyle="1" w:styleId="44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2">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4">
    <w:name w:val="修订2"/>
    <w:qFormat/>
    <w:uiPriority w:val="0"/>
    <w:rPr>
      <w:rFonts w:ascii="Times New Roman" w:hAnsi="Times New Roman" w:eastAsia="宋体" w:cs="Times New Roman"/>
      <w:kern w:val="2"/>
      <w:sz w:val="21"/>
      <w:lang w:val="en-US" w:eastAsia="zh-CN" w:bidi="ar-SA"/>
    </w:rPr>
  </w:style>
  <w:style w:type="paragraph" w:customStyle="1" w:styleId="445">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7">
    <w:name w:val="文章标题"/>
    <w:next w:val="448"/>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8">
    <w:name w:val="封面公司名"/>
    <w:qFormat/>
    <w:uiPriority w:val="0"/>
    <w:pPr>
      <w:jc w:val="center"/>
    </w:pPr>
    <w:rPr>
      <w:rFonts w:ascii="Arial" w:hAnsi="Arial" w:eastAsia="楷体_GB2312" w:cs="宋体"/>
      <w:bCs/>
      <w:kern w:val="2"/>
      <w:sz w:val="28"/>
      <w:lang w:val="en-US" w:eastAsia="zh-CN" w:bidi="ar-SA"/>
    </w:rPr>
  </w:style>
  <w:style w:type="paragraph" w:customStyle="1" w:styleId="449">
    <w:name w:val="Char1 Char Char Char5"/>
    <w:basedOn w:val="1"/>
    <w:qFormat/>
    <w:uiPriority w:val="0"/>
    <w:pPr>
      <w:adjustRightInd/>
      <w:ind w:firstLine="200" w:firstLineChars="200"/>
    </w:pPr>
    <w:rPr>
      <w:rFonts w:ascii="Tahoma" w:hAnsi="Tahoma"/>
      <w:sz w:val="24"/>
      <w:szCs w:val="20"/>
    </w:rPr>
  </w:style>
  <w:style w:type="paragraph" w:customStyle="1" w:styleId="450">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1">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2">
    <w:name w:val="Char Char Char Char Char Char Char Char"/>
    <w:basedOn w:val="1"/>
    <w:qFormat/>
    <w:uiPriority w:val="0"/>
    <w:pPr>
      <w:tabs>
        <w:tab w:val="left" w:pos="360"/>
      </w:tabs>
    </w:pPr>
    <w:rPr>
      <w:sz w:val="24"/>
      <w:szCs w:val="20"/>
    </w:rPr>
  </w:style>
  <w:style w:type="paragraph" w:customStyle="1" w:styleId="453">
    <w:name w:val="Char Char11 Char Char Char"/>
    <w:basedOn w:val="1"/>
    <w:qFormat/>
    <w:uiPriority w:val="0"/>
    <w:pPr>
      <w:spacing w:line="360" w:lineRule="auto"/>
    </w:pPr>
    <w:rPr>
      <w:szCs w:val="20"/>
    </w:rPr>
  </w:style>
  <w:style w:type="paragraph" w:customStyle="1" w:styleId="454">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5">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6">
    <w:name w:val="样式3"/>
    <w:basedOn w:val="457"/>
    <w:qFormat/>
    <w:uiPriority w:val="0"/>
    <w:pPr>
      <w:tabs>
        <w:tab w:val="left" w:pos="2790"/>
        <w:tab w:val="left" w:pos="4230"/>
      </w:tabs>
      <w:spacing w:before="312" w:beforeLines="100"/>
      <w:jc w:val="left"/>
    </w:pPr>
  </w:style>
  <w:style w:type="paragraph" w:customStyle="1" w:styleId="45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8">
    <w:name w:val="Char Char1 Char Char1 Char Char1"/>
    <w:basedOn w:val="1"/>
    <w:qFormat/>
    <w:uiPriority w:val="0"/>
    <w:pPr>
      <w:tabs>
        <w:tab w:val="left" w:pos="840"/>
      </w:tabs>
      <w:ind w:left="840" w:hanging="420"/>
    </w:pPr>
    <w:rPr>
      <w:rFonts w:ascii="Tahoma" w:hAnsi="Tahoma"/>
      <w:sz w:val="24"/>
    </w:rPr>
  </w:style>
  <w:style w:type="paragraph" w:customStyle="1" w:styleId="45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0">
    <w:name w:val="标书标题2"/>
    <w:basedOn w:val="3"/>
    <w:qFormat/>
    <w:uiPriority w:val="0"/>
    <w:pPr>
      <w:keepLines w:val="0"/>
      <w:widowControl/>
      <w:tabs>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1">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2">
    <w:name w:val="正文21"/>
    <w:basedOn w:val="1"/>
    <w:qFormat/>
    <w:uiPriority w:val="0"/>
    <w:pPr>
      <w:adjustRightInd/>
      <w:spacing w:before="156" w:line="360" w:lineRule="auto"/>
      <w:ind w:firstLine="510" w:firstLineChars="200"/>
    </w:pPr>
    <w:rPr>
      <w:sz w:val="24"/>
      <w:szCs w:val="20"/>
    </w:rPr>
  </w:style>
  <w:style w:type="paragraph" w:customStyle="1" w:styleId="463">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5">
    <w:name w:val="Char1"/>
    <w:basedOn w:val="1"/>
    <w:qFormat/>
    <w:uiPriority w:val="0"/>
    <w:rPr>
      <w:rFonts w:ascii="仿宋_GB2312" w:eastAsia="仿宋_GB2312"/>
      <w:b/>
      <w:sz w:val="32"/>
      <w:szCs w:val="32"/>
    </w:rPr>
  </w:style>
  <w:style w:type="paragraph" w:customStyle="1" w:styleId="46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7">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69">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0">
    <w:name w:val="6级标题"/>
    <w:basedOn w:val="471"/>
    <w:qFormat/>
    <w:uiPriority w:val="0"/>
    <w:pPr>
      <w:keepNext/>
      <w:tabs>
        <w:tab w:val="left" w:pos="360"/>
      </w:tabs>
      <w:spacing w:before="0" w:after="0"/>
      <w:outlineLvl w:val="5"/>
    </w:pPr>
  </w:style>
  <w:style w:type="paragraph" w:customStyle="1" w:styleId="471">
    <w:name w:val="5级标题"/>
    <w:basedOn w:val="472"/>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2">
    <w:name w:val="4级标题"/>
    <w:basedOn w:val="255"/>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3">
    <w:name w:val="样式 正文文本缩进 + 段前: 2 字符"/>
    <w:basedOn w:val="1"/>
    <w:qFormat/>
    <w:uiPriority w:val="0"/>
    <w:pPr>
      <w:adjustRightInd/>
      <w:ind w:left="420" w:leftChars="200"/>
      <w:jc w:val="left"/>
    </w:pPr>
    <w:rPr>
      <w:sz w:val="28"/>
      <w:szCs w:val="20"/>
      <w:lang w:eastAsia="zh-TW"/>
    </w:rPr>
  </w:style>
  <w:style w:type="paragraph" w:customStyle="1" w:styleId="474">
    <w:name w:val="Char2 Char Char"/>
    <w:basedOn w:val="1"/>
    <w:qFormat/>
    <w:uiPriority w:val="0"/>
    <w:pPr>
      <w:adjustRightInd/>
    </w:pPr>
    <w:rPr>
      <w:rFonts w:ascii="Tahoma" w:hAnsi="Tahoma"/>
      <w:sz w:val="24"/>
      <w:szCs w:val="20"/>
    </w:rPr>
  </w:style>
  <w:style w:type="paragraph" w:customStyle="1" w:styleId="475">
    <w:name w:val="_Style 11"/>
    <w:basedOn w:val="1"/>
    <w:qFormat/>
    <w:uiPriority w:val="34"/>
    <w:pPr>
      <w:adjustRightInd/>
      <w:ind w:firstLine="420" w:firstLineChars="200"/>
    </w:pPr>
    <w:rPr>
      <w:rFonts w:eastAsia="仿宋_GB2312"/>
      <w:sz w:val="28"/>
    </w:rPr>
  </w:style>
  <w:style w:type="paragraph" w:customStyle="1" w:styleId="476">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7">
    <w:name w:val="Char Char Char"/>
    <w:basedOn w:val="1"/>
    <w:qFormat/>
    <w:uiPriority w:val="0"/>
    <w:rPr>
      <w:rFonts w:ascii="Tahoma" w:hAnsi="Tahoma"/>
      <w:sz w:val="24"/>
      <w:szCs w:val="20"/>
    </w:rPr>
  </w:style>
  <w:style w:type="paragraph" w:customStyle="1" w:styleId="478">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7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0">
    <w:name w:val="No Spacing"/>
    <w:basedOn w:val="1"/>
    <w:link w:val="930"/>
    <w:qFormat/>
    <w:uiPriority w:val="99"/>
    <w:rPr>
      <w:szCs w:val="22"/>
    </w:rPr>
  </w:style>
  <w:style w:type="paragraph" w:customStyle="1" w:styleId="48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2">
    <w:name w:val="Char Char Char Char Char Char Char Char Char Char Char Char1 Char1"/>
    <w:basedOn w:val="1"/>
    <w:qFormat/>
    <w:uiPriority w:val="6"/>
    <w:rPr>
      <w:rFonts w:ascii="Tahoma" w:hAnsi="Tahoma" w:cs="仿宋_GB2312"/>
      <w:sz w:val="24"/>
      <w:szCs w:val="20"/>
    </w:rPr>
  </w:style>
  <w:style w:type="paragraph" w:customStyle="1" w:styleId="483">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4">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6">
    <w:name w:val="MM Topic 2"/>
    <w:basedOn w:val="3"/>
    <w:qFormat/>
    <w:uiPriority w:val="0"/>
    <w:pPr>
      <w:tabs>
        <w:tab w:val="left" w:pos="1260"/>
      </w:tabs>
      <w:ind w:left="1260" w:hanging="420"/>
    </w:pPr>
    <w:rPr>
      <w:rFonts w:ascii="Arial" w:hAnsi="Arial" w:eastAsia="黑体"/>
      <w:lang w:val="en-US"/>
    </w:rPr>
  </w:style>
  <w:style w:type="paragraph" w:customStyle="1" w:styleId="487">
    <w:name w:val="五级无标题条"/>
    <w:basedOn w:val="1"/>
    <w:qFormat/>
    <w:uiPriority w:val="0"/>
    <w:pPr>
      <w:adjustRightInd/>
    </w:pPr>
  </w:style>
  <w:style w:type="paragraph" w:customStyle="1" w:styleId="488">
    <w:name w:val="Char5"/>
    <w:basedOn w:val="1"/>
    <w:qFormat/>
    <w:uiPriority w:val="0"/>
    <w:rPr>
      <w:rFonts w:ascii="仿宋_GB2312" w:eastAsia="仿宋_GB2312"/>
      <w:b/>
      <w:sz w:val="32"/>
      <w:szCs w:val="32"/>
    </w:rPr>
  </w:style>
  <w:style w:type="paragraph" w:customStyle="1" w:styleId="489">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0">
    <w:name w:val="彩色列表 - 强调文字颜色 12"/>
    <w:basedOn w:val="1"/>
    <w:qFormat/>
    <w:uiPriority w:val="0"/>
    <w:pPr>
      <w:adjustRightInd/>
      <w:ind w:firstLine="420" w:firstLineChars="200"/>
    </w:pPr>
    <w:rPr>
      <w:rFonts w:ascii="Calibri" w:hAnsi="Calibri"/>
      <w:szCs w:val="22"/>
    </w:rPr>
  </w:style>
  <w:style w:type="paragraph" w:customStyle="1" w:styleId="491">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2">
    <w:name w:val="Char2"/>
    <w:basedOn w:val="1"/>
    <w:qFormat/>
    <w:uiPriority w:val="0"/>
    <w:rPr>
      <w:rFonts w:ascii="仿宋_GB2312" w:eastAsia="仿宋_GB2312"/>
      <w:b/>
      <w:sz w:val="32"/>
      <w:szCs w:val="32"/>
    </w:rPr>
  </w:style>
  <w:style w:type="paragraph" w:customStyle="1" w:styleId="493">
    <w:name w:val="数字标题3"/>
    <w:basedOn w:val="4"/>
    <w:next w:val="1"/>
    <w:qFormat/>
    <w:uiPriority w:val="0"/>
    <w:pPr>
      <w:spacing w:line="240" w:lineRule="auto"/>
    </w:pPr>
    <w:rPr>
      <w:sz w:val="28"/>
      <w:szCs w:val="28"/>
    </w:rPr>
  </w:style>
  <w:style w:type="paragraph" w:customStyle="1" w:styleId="494">
    <w:name w:val="FA正文"/>
    <w:basedOn w:val="1"/>
    <w:qFormat/>
    <w:uiPriority w:val="0"/>
    <w:pPr>
      <w:spacing w:line="360" w:lineRule="auto"/>
      <w:ind w:firstLine="480" w:firstLineChars="200"/>
    </w:pPr>
    <w:rPr>
      <w:rFonts w:hAnsi="宋体"/>
      <w:sz w:val="24"/>
      <w:szCs w:val="20"/>
    </w:rPr>
  </w:style>
  <w:style w:type="paragraph" w:customStyle="1" w:styleId="495">
    <w:name w:val="MM Topic 5"/>
    <w:basedOn w:val="7"/>
    <w:qFormat/>
    <w:uiPriority w:val="0"/>
    <w:pPr>
      <w:tabs>
        <w:tab w:val="left" w:pos="2520"/>
      </w:tabs>
      <w:adjustRightInd/>
      <w:ind w:left="2520" w:hanging="420"/>
    </w:pPr>
  </w:style>
  <w:style w:type="paragraph" w:customStyle="1" w:styleId="496">
    <w:name w:val="Char Char Char Char Char Char Char Char Char Char1"/>
    <w:basedOn w:val="1"/>
    <w:qFormat/>
    <w:uiPriority w:val="0"/>
    <w:rPr>
      <w:rFonts w:ascii="仿宋_GB2312" w:eastAsia="仿宋_GB2312"/>
      <w:b/>
      <w:sz w:val="32"/>
      <w:szCs w:val="32"/>
    </w:rPr>
  </w:style>
  <w:style w:type="paragraph" w:customStyle="1" w:styleId="497">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8">
    <w:name w:val="修订1"/>
    <w:qFormat/>
    <w:uiPriority w:val="3"/>
    <w:rPr>
      <w:rFonts w:ascii="Times New Roman" w:hAnsi="Times New Roman" w:eastAsia="宋体" w:cs="Times New Roman"/>
      <w:color w:val="000000"/>
      <w:kern w:val="1"/>
      <w:sz w:val="21"/>
      <w:lang w:val="en-US" w:eastAsia="zh-CN" w:bidi="ar-SA"/>
    </w:rPr>
  </w:style>
  <w:style w:type="paragraph" w:customStyle="1" w:styleId="499">
    <w:name w:val="Char2 Char Char Char"/>
    <w:basedOn w:val="1"/>
    <w:qFormat/>
    <w:uiPriority w:val="0"/>
    <w:rPr>
      <w:rFonts w:ascii="仿宋_GB2312" w:eastAsia="仿宋_GB2312"/>
      <w:b/>
      <w:sz w:val="32"/>
      <w:szCs w:val="32"/>
    </w:rPr>
  </w:style>
  <w:style w:type="paragraph" w:customStyle="1" w:styleId="500">
    <w:name w:val="Char2 Char Char Char1"/>
    <w:basedOn w:val="1"/>
    <w:qFormat/>
    <w:uiPriority w:val="6"/>
    <w:rPr>
      <w:rFonts w:ascii="仿宋_GB2312" w:eastAsia="仿宋_GB2312"/>
      <w:b/>
      <w:sz w:val="32"/>
      <w:szCs w:val="32"/>
    </w:rPr>
  </w:style>
  <w:style w:type="paragraph" w:customStyle="1" w:styleId="501">
    <w:name w:val="默认段落样式"/>
    <w:basedOn w:val="128"/>
    <w:qFormat/>
    <w:uiPriority w:val="0"/>
    <w:pPr>
      <w:spacing w:before="0"/>
      <w:ind w:firstLine="480"/>
      <w:outlineLvl w:val="2"/>
    </w:pPr>
    <w:rPr>
      <w:rFonts w:ascii="仿宋_GB2312" w:hAnsi="宋体" w:eastAsia="仿宋_GB2312"/>
      <w:color w:val="000000"/>
      <w:szCs w:val="24"/>
    </w:rPr>
  </w:style>
  <w:style w:type="paragraph" w:customStyle="1" w:styleId="502">
    <w:name w:val="图中文字"/>
    <w:basedOn w:val="1"/>
    <w:qFormat/>
    <w:uiPriority w:val="0"/>
    <w:pPr>
      <w:snapToGrid w:val="0"/>
      <w:spacing w:line="0" w:lineRule="atLeast"/>
      <w:ind w:firstLine="200" w:firstLineChars="200"/>
      <w:jc w:val="center"/>
    </w:pPr>
    <w:rPr>
      <w:sz w:val="24"/>
      <w:szCs w:val="20"/>
    </w:rPr>
  </w:style>
  <w:style w:type="paragraph" w:customStyle="1" w:styleId="503">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4">
    <w:name w:val="MM Topic 3"/>
    <w:basedOn w:val="4"/>
    <w:qFormat/>
    <w:uiPriority w:val="0"/>
    <w:pPr>
      <w:tabs>
        <w:tab w:val="left" w:pos="1680"/>
      </w:tabs>
      <w:adjustRightInd/>
      <w:ind w:left="1680" w:hanging="420"/>
    </w:pPr>
  </w:style>
  <w:style w:type="paragraph" w:customStyle="1" w:styleId="505">
    <w:name w:val="标准小四"/>
    <w:basedOn w:val="1"/>
    <w:qFormat/>
    <w:uiPriority w:val="0"/>
    <w:pPr>
      <w:spacing w:line="360" w:lineRule="auto"/>
      <w:ind w:firstLine="480" w:firstLineChars="200"/>
    </w:pPr>
    <w:rPr>
      <w:rFonts w:ascii="Arial" w:hAnsi="Arial"/>
      <w:sz w:val="24"/>
      <w:szCs w:val="21"/>
    </w:rPr>
  </w:style>
  <w:style w:type="paragraph" w:customStyle="1" w:styleId="506">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07">
    <w:name w:val="表格（小）"/>
    <w:basedOn w:val="1"/>
    <w:qFormat/>
    <w:uiPriority w:val="0"/>
    <w:pPr>
      <w:adjustRightInd/>
      <w:snapToGrid w:val="0"/>
      <w:spacing w:line="300" w:lineRule="auto"/>
    </w:pPr>
    <w:rPr>
      <w:rFonts w:eastAsia="仿宋"/>
      <w:szCs w:val="21"/>
    </w:rPr>
  </w:style>
  <w:style w:type="paragraph" w:customStyle="1" w:styleId="50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09">
    <w:name w:val="Char2 Char Char1"/>
    <w:basedOn w:val="1"/>
    <w:qFormat/>
    <w:uiPriority w:val="6"/>
    <w:pPr>
      <w:adjustRightInd/>
    </w:pPr>
    <w:rPr>
      <w:rFonts w:ascii="Tahoma" w:hAnsi="Tahoma"/>
      <w:sz w:val="24"/>
      <w:szCs w:val="20"/>
    </w:rPr>
  </w:style>
  <w:style w:type="paragraph" w:customStyle="1" w:styleId="510">
    <w:name w:val="列出段落5"/>
    <w:basedOn w:val="1"/>
    <w:qFormat/>
    <w:uiPriority w:val="0"/>
    <w:pPr>
      <w:spacing w:line="360" w:lineRule="auto"/>
      <w:ind w:firstLine="200" w:firstLineChars="200"/>
    </w:pPr>
    <w:rPr>
      <w:rFonts w:eastAsia="楷体_GB2312" w:cs="Lucida Sans"/>
      <w:sz w:val="24"/>
    </w:rPr>
  </w:style>
  <w:style w:type="paragraph" w:customStyle="1" w:styleId="511">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2">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4">
    <w:name w:val="TOC 标题11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8">
    <w:name w:val="_Style 3"/>
    <w:basedOn w:val="1"/>
    <w:qFormat/>
    <w:uiPriority w:val="0"/>
    <w:pPr>
      <w:adjustRightInd/>
      <w:ind w:firstLine="420" w:firstLineChars="200"/>
    </w:pPr>
    <w:rPr>
      <w:rFonts w:eastAsia="仿宋_GB2312"/>
      <w:sz w:val="28"/>
    </w:rPr>
  </w:style>
  <w:style w:type="paragraph" w:customStyle="1" w:styleId="51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1">
    <w:name w:val="左对齐表格文字"/>
    <w:basedOn w:val="1"/>
    <w:qFormat/>
    <w:uiPriority w:val="0"/>
    <w:pPr>
      <w:adjustRightInd/>
      <w:ind w:firstLine="200" w:firstLineChars="200"/>
      <w:jc w:val="right"/>
    </w:pPr>
  </w:style>
  <w:style w:type="paragraph" w:customStyle="1" w:styleId="522">
    <w:name w:val="Char Char11 Char Char Char Char Char Char Char Char Char"/>
    <w:basedOn w:val="1"/>
    <w:qFormat/>
    <w:uiPriority w:val="0"/>
    <w:pPr>
      <w:spacing w:line="360" w:lineRule="auto"/>
    </w:pPr>
    <w:rPr>
      <w:szCs w:val="20"/>
    </w:rPr>
  </w:style>
  <w:style w:type="paragraph" w:customStyle="1" w:styleId="523">
    <w:name w:val="正文1.25"/>
    <w:basedOn w:val="1"/>
    <w:qFormat/>
    <w:uiPriority w:val="0"/>
    <w:pPr>
      <w:adjustRightInd/>
      <w:spacing w:line="300" w:lineRule="auto"/>
      <w:ind w:firstLine="480" w:firstLineChars="200"/>
    </w:pPr>
    <w:rPr>
      <w:sz w:val="24"/>
      <w:szCs w:val="20"/>
    </w:rPr>
  </w:style>
  <w:style w:type="paragraph" w:customStyle="1" w:styleId="52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Char Char1 Char Char Char1"/>
    <w:basedOn w:val="1"/>
    <w:qFormat/>
    <w:uiPriority w:val="6"/>
    <w:rPr>
      <w:rFonts w:ascii="仿宋_GB2312" w:eastAsia="仿宋_GB2312"/>
      <w:b/>
      <w:sz w:val="32"/>
      <w:szCs w:val="20"/>
    </w:rPr>
  </w:style>
  <w:style w:type="paragraph" w:customStyle="1" w:styleId="528">
    <w:name w:val="列出段落2"/>
    <w:basedOn w:val="1"/>
    <w:qFormat/>
    <w:uiPriority w:val="0"/>
    <w:pPr>
      <w:adjustRightInd/>
      <w:ind w:firstLine="420" w:firstLineChars="200"/>
    </w:pPr>
    <w:rPr>
      <w:rFonts w:ascii="宋体" w:hAnsi="宋体"/>
      <w:sz w:val="24"/>
    </w:rPr>
  </w:style>
  <w:style w:type="paragraph" w:customStyle="1" w:styleId="529">
    <w:name w:val="默认段落字体 Para Char Char Char Char Char Char Char"/>
    <w:basedOn w:val="1"/>
    <w:qFormat/>
    <w:uiPriority w:val="0"/>
    <w:rPr>
      <w:rFonts w:eastAsia="仿宋_GB2312"/>
      <w:sz w:val="28"/>
      <w:szCs w:val="20"/>
    </w:rPr>
  </w:style>
  <w:style w:type="paragraph" w:customStyle="1" w:styleId="53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样式 标题 4PIM 4H4h4bulletblbbH41H42H43H44H45H46H47H48...1"/>
    <w:basedOn w:val="6"/>
    <w:qFormat/>
    <w:uiPriority w:val="0"/>
    <w:pPr>
      <w:widowControl/>
      <w:jc w:val="left"/>
    </w:pPr>
    <w:rPr>
      <w:rFonts w:cs="宋体"/>
      <w:sz w:val="24"/>
      <w:szCs w:val="20"/>
    </w:rPr>
  </w:style>
  <w:style w:type="paragraph" w:customStyle="1" w:styleId="532">
    <w:name w:val="彩色列表 - 强调文字颜色 11"/>
    <w:basedOn w:val="1"/>
    <w:qFormat/>
    <w:uiPriority w:val="0"/>
    <w:pPr>
      <w:adjustRightInd/>
      <w:ind w:firstLine="420" w:firstLineChars="200"/>
    </w:pPr>
    <w:rPr>
      <w:rFonts w:ascii="Calibri" w:hAnsi="Calibri"/>
      <w:szCs w:val="22"/>
    </w:rPr>
  </w:style>
  <w:style w:type="paragraph" w:customStyle="1" w:styleId="533">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6">
    <w:name w:val="Char Char Char1 Char1"/>
    <w:basedOn w:val="1"/>
    <w:qFormat/>
    <w:uiPriority w:val="6"/>
    <w:rPr>
      <w:szCs w:val="20"/>
    </w:rPr>
  </w:style>
  <w:style w:type="paragraph" w:customStyle="1" w:styleId="53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8">
    <w:name w:val="样式 标题 2 + 宋体 左侧:  1.76 厘米 首行缩进:  0 厘米"/>
    <w:basedOn w:val="3"/>
    <w:qFormat/>
    <w:uiPriority w:val="0"/>
    <w:pPr>
      <w:tabs>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3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2">
    <w:name w:val="CM14"/>
    <w:basedOn w:val="232"/>
    <w:next w:val="232"/>
    <w:qFormat/>
    <w:uiPriority w:val="0"/>
    <w:pPr>
      <w:spacing w:after="68"/>
    </w:pPr>
    <w:rPr>
      <w:rFonts w:ascii="FHLHE E+ Futura Bk" w:eastAsia="FHLHE E+ Futura Bk" w:cs="Times New Roman"/>
      <w:color w:val="auto"/>
    </w:rPr>
  </w:style>
  <w:style w:type="paragraph" w:customStyle="1" w:styleId="54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6">
    <w:name w:val="正文文字 2"/>
    <w:basedOn w:val="232"/>
    <w:next w:val="232"/>
    <w:qFormat/>
    <w:uiPriority w:val="0"/>
    <w:rPr>
      <w:rFonts w:ascii="宋体" w:eastAsia="宋体" w:cs="Times New Roman"/>
      <w:color w:val="auto"/>
    </w:rPr>
  </w:style>
  <w:style w:type="paragraph" w:customStyle="1" w:styleId="547">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8">
    <w:name w:val="Char Char1 Char"/>
    <w:basedOn w:val="1"/>
    <w:qFormat/>
    <w:uiPriority w:val="0"/>
    <w:rPr>
      <w:rFonts w:ascii="仿宋_GB2312" w:eastAsia="仿宋_GB2312"/>
      <w:b/>
      <w:sz w:val="32"/>
      <w:szCs w:val="32"/>
    </w:rPr>
  </w:style>
  <w:style w:type="paragraph" w:customStyle="1" w:styleId="54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1">
    <w:name w:val="Char Char111"/>
    <w:basedOn w:val="1"/>
    <w:qFormat/>
    <w:uiPriority w:val="0"/>
    <w:pPr>
      <w:spacing w:line="360" w:lineRule="auto"/>
    </w:pPr>
    <w:rPr>
      <w:szCs w:val="20"/>
    </w:rPr>
  </w:style>
  <w:style w:type="paragraph" w:customStyle="1" w:styleId="552">
    <w:name w:val="Char"/>
    <w:basedOn w:val="1"/>
    <w:qFormat/>
    <w:uiPriority w:val="0"/>
    <w:rPr>
      <w:rFonts w:ascii="仿宋_GB2312" w:eastAsia="仿宋_GB2312"/>
      <w:b/>
      <w:sz w:val="32"/>
      <w:szCs w:val="32"/>
    </w:rPr>
  </w:style>
  <w:style w:type="paragraph" w:customStyle="1" w:styleId="55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5">
    <w:name w:val="Char Char Char1 Char"/>
    <w:basedOn w:val="1"/>
    <w:qFormat/>
    <w:uiPriority w:val="0"/>
    <w:rPr>
      <w:szCs w:val="20"/>
    </w:rPr>
  </w:style>
  <w:style w:type="paragraph" w:customStyle="1" w:styleId="556">
    <w:name w:val="正文标准"/>
    <w:basedOn w:val="1"/>
    <w:qFormat/>
    <w:uiPriority w:val="0"/>
    <w:pPr>
      <w:adjustRightInd/>
      <w:spacing w:line="360" w:lineRule="auto"/>
      <w:ind w:firstLine="200" w:firstLineChars="200"/>
    </w:pPr>
    <w:rPr>
      <w:rFonts w:ascii="宋体" w:hAnsi="Calibri"/>
      <w:sz w:val="24"/>
    </w:rPr>
  </w:style>
  <w:style w:type="paragraph" w:customStyle="1" w:styleId="55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5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8">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69">
    <w:name w:val="Char Char Char Char Char Char Char Char Char Char"/>
    <w:basedOn w:val="1"/>
    <w:qFormat/>
    <w:uiPriority w:val="0"/>
    <w:rPr>
      <w:rFonts w:ascii="仿宋_GB2312" w:eastAsia="仿宋_GB2312"/>
      <w:b/>
      <w:sz w:val="32"/>
      <w:szCs w:val="32"/>
    </w:rPr>
  </w:style>
  <w:style w:type="paragraph" w:customStyle="1" w:styleId="57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1">
    <w:name w:val="_正文段落"/>
    <w:basedOn w:val="1"/>
    <w:qFormat/>
    <w:uiPriority w:val="0"/>
    <w:pPr>
      <w:adjustRightInd/>
      <w:ind w:firstLine="560"/>
    </w:pPr>
    <w:rPr>
      <w:rFonts w:ascii="仿宋_GB2312" w:hAnsi="仿宋" w:eastAsia="仿宋_GB2312"/>
      <w:kern w:val="0"/>
      <w:sz w:val="28"/>
      <w:szCs w:val="28"/>
    </w:rPr>
  </w:style>
  <w:style w:type="paragraph" w:customStyle="1" w:styleId="57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4">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8">
    <w:name w:val="Char Char Char1 Char2"/>
    <w:basedOn w:val="1"/>
    <w:qFormat/>
    <w:uiPriority w:val="0"/>
    <w:rPr>
      <w:szCs w:val="20"/>
    </w:rPr>
  </w:style>
  <w:style w:type="paragraph" w:customStyle="1" w:styleId="57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0">
    <w:name w:val="默认段落字体 Para Char"/>
    <w:basedOn w:val="1"/>
    <w:qFormat/>
    <w:uiPriority w:val="0"/>
    <w:rPr>
      <w:rFonts w:ascii="Tahoma" w:hAnsi="Tahoma"/>
      <w:sz w:val="24"/>
      <w:szCs w:val="20"/>
    </w:rPr>
  </w:style>
  <w:style w:type="paragraph" w:customStyle="1" w:styleId="581">
    <w:name w:val="标题五"/>
    <w:basedOn w:val="1"/>
    <w:qFormat/>
    <w:uiPriority w:val="0"/>
    <w:pPr>
      <w:adjustRightInd/>
      <w:spacing w:before="156" w:beforeLines="50" w:line="360" w:lineRule="auto"/>
    </w:pPr>
    <w:rPr>
      <w:b/>
      <w:sz w:val="24"/>
    </w:rPr>
  </w:style>
  <w:style w:type="paragraph" w:customStyle="1" w:styleId="582">
    <w:name w:val="Char Char1101"/>
    <w:basedOn w:val="1"/>
    <w:qFormat/>
    <w:uiPriority w:val="0"/>
    <w:pPr>
      <w:spacing w:line="360" w:lineRule="auto"/>
    </w:pPr>
    <w:rPr>
      <w:rFonts w:ascii="Tahoma" w:hAnsi="Tahoma"/>
      <w:sz w:val="24"/>
      <w:szCs w:val="20"/>
    </w:rPr>
  </w:style>
  <w:style w:type="paragraph" w:customStyle="1" w:styleId="583">
    <w:name w:val="Char Char Char Char Char Char Char Char1"/>
    <w:basedOn w:val="1"/>
    <w:qFormat/>
    <w:uiPriority w:val="0"/>
    <w:pPr>
      <w:tabs>
        <w:tab w:val="left" w:pos="360"/>
      </w:tabs>
    </w:pPr>
    <w:rPr>
      <w:sz w:val="24"/>
      <w:szCs w:val="20"/>
    </w:rPr>
  </w:style>
  <w:style w:type="paragraph" w:customStyle="1" w:styleId="584">
    <w:name w:val="Char Char Char 字元 字元"/>
    <w:basedOn w:val="1"/>
    <w:qFormat/>
    <w:uiPriority w:val="0"/>
    <w:pPr>
      <w:adjustRightInd/>
      <w:spacing w:line="360" w:lineRule="auto"/>
      <w:ind w:firstLine="200" w:firstLineChars="200"/>
    </w:pPr>
    <w:rPr>
      <w:szCs w:val="20"/>
    </w:rPr>
  </w:style>
  <w:style w:type="paragraph" w:customStyle="1" w:styleId="58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6">
    <w:name w:val="Char Char Char Char Char Char Char"/>
    <w:basedOn w:val="1"/>
    <w:qFormat/>
    <w:uiPriority w:val="0"/>
    <w:rPr>
      <w:rFonts w:ascii="仿宋_GB2312" w:eastAsia="仿宋_GB2312"/>
      <w:b/>
      <w:sz w:val="32"/>
      <w:szCs w:val="32"/>
    </w:rPr>
  </w:style>
  <w:style w:type="paragraph" w:customStyle="1" w:styleId="58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9">
    <w:name w:val="样式 标题 22h2L1 Heading 2H2sect 1.2H21sect 1.21H22sect 1.2..."/>
    <w:basedOn w:val="3"/>
    <w:next w:val="1"/>
    <w:qFormat/>
    <w:uiPriority w:val="0"/>
    <w:pPr>
      <w:tabs>
        <w:tab w:val="clear" w:pos="432"/>
      </w:tabs>
      <w:spacing w:before="260" w:after="260" w:line="415" w:lineRule="auto"/>
      <w:ind w:left="425" w:hanging="425"/>
    </w:pPr>
    <w:rPr>
      <w:rFonts w:ascii="微软雅黑" w:hAnsi="微软雅黑" w:eastAsia="微软雅黑"/>
      <w:lang w:val="en-US"/>
    </w:rPr>
  </w:style>
  <w:style w:type="paragraph" w:customStyle="1" w:styleId="590">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1">
    <w:name w:val="批注框文本 Char Char"/>
    <w:basedOn w:val="1"/>
    <w:qFormat/>
    <w:uiPriority w:val="0"/>
    <w:pPr>
      <w:adjustRightInd/>
    </w:pPr>
    <w:rPr>
      <w:sz w:val="18"/>
      <w:szCs w:val="20"/>
    </w:rPr>
  </w:style>
  <w:style w:type="paragraph" w:customStyle="1" w:styleId="59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5">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6">
    <w:name w:val="索引 11"/>
    <w:basedOn w:val="1"/>
    <w:next w:val="1"/>
    <w:qFormat/>
    <w:uiPriority w:val="99"/>
    <w:pPr>
      <w:adjustRightInd/>
      <w:spacing w:line="360" w:lineRule="auto"/>
    </w:pPr>
    <w:rPr>
      <w:rFonts w:ascii="仿宋_GB2312" w:eastAsia="仿宋_GB2312"/>
      <w:sz w:val="24"/>
      <w:szCs w:val="20"/>
    </w:rPr>
  </w:style>
  <w:style w:type="paragraph" w:customStyle="1" w:styleId="597">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599">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0">
    <w:name w:val="文档正文"/>
    <w:basedOn w:val="1"/>
    <w:qFormat/>
    <w:uiPriority w:val="0"/>
    <w:pPr>
      <w:spacing w:line="480" w:lineRule="atLeast"/>
      <w:ind w:firstLine="567"/>
      <w:textAlignment w:val="baseline"/>
    </w:pPr>
    <w:rPr>
      <w:kern w:val="0"/>
      <w:sz w:val="24"/>
      <w:szCs w:val="20"/>
    </w:rPr>
  </w:style>
  <w:style w:type="paragraph" w:customStyle="1" w:styleId="601">
    <w:name w:val="正文文字表格居中"/>
    <w:basedOn w:val="1"/>
    <w:next w:val="55"/>
    <w:qFormat/>
    <w:uiPriority w:val="0"/>
    <w:pPr>
      <w:snapToGrid w:val="0"/>
      <w:spacing w:line="360" w:lineRule="auto"/>
    </w:pPr>
    <w:rPr>
      <w:rFonts w:ascii="宋体"/>
      <w:b/>
      <w:sz w:val="24"/>
      <w:szCs w:val="20"/>
    </w:rPr>
  </w:style>
  <w:style w:type="paragraph" w:customStyle="1" w:styleId="60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3">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4">
    <w:name w:val="Plain Text1"/>
    <w:basedOn w:val="1"/>
    <w:qFormat/>
    <w:uiPriority w:val="7"/>
    <w:pPr>
      <w:adjustRightInd/>
    </w:pPr>
    <w:rPr>
      <w:rFonts w:ascii="宋体" w:hAnsi="Courier New"/>
    </w:rPr>
  </w:style>
  <w:style w:type="paragraph" w:customStyle="1" w:styleId="605">
    <w:name w:val="Char3"/>
    <w:basedOn w:val="1"/>
    <w:qFormat/>
    <w:uiPriority w:val="0"/>
    <w:pPr>
      <w:adjustRightInd/>
    </w:pPr>
    <w:rPr>
      <w:rFonts w:ascii="仿宋_GB2312" w:eastAsia="仿宋_GB2312"/>
      <w:b/>
      <w:sz w:val="32"/>
      <w:szCs w:val="32"/>
    </w:rPr>
  </w:style>
  <w:style w:type="paragraph" w:customStyle="1" w:styleId="60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8">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09">
    <w:name w:val="List Paragraph1"/>
    <w:basedOn w:val="1"/>
    <w:qFormat/>
    <w:uiPriority w:val="0"/>
    <w:pPr>
      <w:spacing w:line="360" w:lineRule="auto"/>
      <w:ind w:firstLine="200" w:firstLineChars="200"/>
    </w:pPr>
    <w:rPr>
      <w:rFonts w:eastAsia="楷体_GB2312" w:cs="Lucida Sans"/>
      <w:sz w:val="24"/>
    </w:rPr>
  </w:style>
  <w:style w:type="paragraph" w:customStyle="1" w:styleId="610">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3">
    <w:name w:val="Char3 Char Char Char"/>
    <w:basedOn w:val="1"/>
    <w:qFormat/>
    <w:uiPriority w:val="0"/>
    <w:pPr>
      <w:widowControl/>
      <w:adjustRightInd/>
      <w:spacing w:after="160" w:line="240" w:lineRule="exact"/>
      <w:jc w:val="left"/>
    </w:pPr>
    <w:rPr>
      <w:szCs w:val="20"/>
    </w:rPr>
  </w:style>
  <w:style w:type="paragraph" w:customStyle="1" w:styleId="614">
    <w:name w:val="表格标题2"/>
    <w:basedOn w:val="615"/>
    <w:qFormat/>
    <w:uiPriority w:val="0"/>
    <w:rPr>
      <w:b/>
    </w:rPr>
  </w:style>
  <w:style w:type="paragraph" w:customStyle="1" w:styleId="615">
    <w:name w:val="表格内文"/>
    <w:basedOn w:val="1"/>
    <w:qFormat/>
    <w:uiPriority w:val="0"/>
    <w:pPr>
      <w:adjustRightInd/>
      <w:spacing w:line="360" w:lineRule="auto"/>
    </w:pPr>
    <w:rPr>
      <w:rFonts w:ascii="宋体" w:hAnsi="宋体" w:cs="宋体"/>
      <w:color w:val="000000"/>
      <w:szCs w:val="20"/>
    </w:rPr>
  </w:style>
  <w:style w:type="paragraph" w:customStyle="1" w:styleId="616">
    <w:name w:val="Char Char Char Char Char Char Char Char Char Char2"/>
    <w:basedOn w:val="1"/>
    <w:qFormat/>
    <w:uiPriority w:val="0"/>
    <w:rPr>
      <w:rFonts w:ascii="仿宋_GB2312" w:eastAsia="仿宋_GB2312"/>
      <w:b/>
      <w:sz w:val="32"/>
      <w:szCs w:val="32"/>
    </w:rPr>
  </w:style>
  <w:style w:type="paragraph" w:customStyle="1" w:styleId="617">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Char Char11 Char Char Char Char Char Char Char Char Char11"/>
    <w:basedOn w:val="1"/>
    <w:qFormat/>
    <w:uiPriority w:val="0"/>
    <w:pPr>
      <w:spacing w:line="360" w:lineRule="auto"/>
    </w:pPr>
    <w:rPr>
      <w:szCs w:val="20"/>
    </w:rPr>
  </w:style>
  <w:style w:type="paragraph" w:customStyle="1" w:styleId="620">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1">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2">
    <w:name w:val="MM Topic 1"/>
    <w:basedOn w:val="2"/>
    <w:qFormat/>
    <w:uiPriority w:val="0"/>
    <w:pPr>
      <w:tabs>
        <w:tab w:val="left" w:pos="840"/>
      </w:tabs>
      <w:adjustRightInd/>
      <w:ind w:left="840" w:hanging="420"/>
    </w:pPr>
  </w:style>
  <w:style w:type="paragraph" w:customStyle="1" w:styleId="623">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4">
    <w:name w:val="文本正文 Char"/>
    <w:basedOn w:val="1"/>
    <w:qFormat/>
    <w:uiPriority w:val="0"/>
    <w:pPr>
      <w:spacing w:line="360" w:lineRule="auto"/>
      <w:ind w:firstLine="200" w:firstLineChars="200"/>
    </w:pPr>
    <w:rPr>
      <w:kern w:val="0"/>
      <w:sz w:val="24"/>
      <w:szCs w:val="20"/>
    </w:rPr>
  </w:style>
  <w:style w:type="paragraph" w:customStyle="1" w:styleId="625">
    <w:name w:val="表格"/>
    <w:basedOn w:val="1"/>
    <w:qFormat/>
    <w:uiPriority w:val="0"/>
    <w:pPr>
      <w:snapToGrid w:val="0"/>
      <w:ind w:firstLine="42" w:firstLineChars="21"/>
    </w:pPr>
    <w:rPr>
      <w:rFonts w:ascii="宋体" w:hAnsi="宋体"/>
      <w:kern w:val="0"/>
      <w:sz w:val="20"/>
      <w:szCs w:val="20"/>
    </w:rPr>
  </w:style>
  <w:style w:type="paragraph" w:customStyle="1" w:styleId="626">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7">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9">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0">
    <w:name w:val="EB_表格"/>
    <w:basedOn w:val="1"/>
    <w:qFormat/>
    <w:uiPriority w:val="0"/>
    <w:pPr>
      <w:adjustRightInd/>
      <w:spacing w:line="300" w:lineRule="auto"/>
      <w:jc w:val="center"/>
    </w:pPr>
  </w:style>
  <w:style w:type="paragraph" w:customStyle="1" w:styleId="631">
    <w:name w:val="_Style 6"/>
    <w:basedOn w:val="1"/>
    <w:qFormat/>
    <w:uiPriority w:val="34"/>
    <w:pPr>
      <w:adjustRightInd/>
      <w:ind w:firstLine="420" w:firstLineChars="200"/>
    </w:pPr>
    <w:rPr>
      <w:rFonts w:eastAsia="仿宋_GB2312"/>
      <w:sz w:val="28"/>
    </w:rPr>
  </w:style>
  <w:style w:type="paragraph" w:customStyle="1" w:styleId="63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4">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6">
    <w:name w:val="正文表标题"/>
    <w:next w:val="6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39">
    <w:name w:val="trademark"/>
    <w:qFormat/>
    <w:uiPriority w:val="0"/>
    <w:pPr>
      <w:spacing w:after="60"/>
    </w:pPr>
    <w:rPr>
      <w:rFonts w:ascii="Futura Bk" w:hAnsi="Futura Bk" w:eastAsia="宋体" w:cs="Times New Roman"/>
      <w:sz w:val="15"/>
      <w:lang w:val="en-US" w:eastAsia="en-US" w:bidi="ar-SA"/>
    </w:rPr>
  </w:style>
  <w:style w:type="paragraph" w:customStyle="1" w:styleId="64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1">
    <w:name w:val="Char Char1 Char Char Char Char Char Char1"/>
    <w:basedOn w:val="1"/>
    <w:qFormat/>
    <w:uiPriority w:val="0"/>
    <w:rPr>
      <w:rFonts w:ascii="仿宋_GB2312" w:eastAsia="仿宋_GB2312"/>
      <w:b/>
      <w:sz w:val="32"/>
      <w:szCs w:val="20"/>
    </w:rPr>
  </w:style>
  <w:style w:type="paragraph" w:customStyle="1" w:styleId="642">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3">
    <w:name w:val="Char1 Char Char Char1"/>
    <w:basedOn w:val="1"/>
    <w:qFormat/>
    <w:uiPriority w:val="0"/>
    <w:pPr>
      <w:adjustRightInd/>
      <w:ind w:firstLine="200" w:firstLineChars="200"/>
    </w:pPr>
    <w:rPr>
      <w:rFonts w:ascii="Tahoma" w:hAnsi="Tahoma"/>
      <w:sz w:val="24"/>
      <w:szCs w:val="20"/>
    </w:rPr>
  </w:style>
  <w:style w:type="paragraph" w:customStyle="1" w:styleId="644">
    <w:name w:val="a1"/>
    <w:basedOn w:val="1"/>
    <w:qFormat/>
    <w:uiPriority w:val="0"/>
    <w:pPr>
      <w:widowControl/>
      <w:spacing w:line="300" w:lineRule="atLeast"/>
      <w:jc w:val="left"/>
    </w:pPr>
    <w:rPr>
      <w:rFonts w:ascii="宋体" w:hAnsi="宋体"/>
      <w:kern w:val="0"/>
      <w:sz w:val="18"/>
      <w:szCs w:val="20"/>
    </w:rPr>
  </w:style>
  <w:style w:type="paragraph" w:customStyle="1" w:styleId="645">
    <w:name w:val="样式7"/>
    <w:basedOn w:val="646"/>
    <w:next w:val="1"/>
    <w:qFormat/>
    <w:uiPriority w:val="0"/>
    <w:pPr>
      <w:spacing w:after="156" w:afterLines="50"/>
      <w:jc w:val="left"/>
      <w:outlineLvl w:val="3"/>
    </w:pPr>
    <w:rPr>
      <w:sz w:val="24"/>
      <w:szCs w:val="24"/>
    </w:rPr>
  </w:style>
  <w:style w:type="paragraph" w:customStyle="1" w:styleId="64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8">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49">
    <w:name w:val="样式 样式2 + 左侧:  1 字符 右侧:  1 字符"/>
    <w:basedOn w:val="45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0">
    <w:name w:val="Char2 Char Char2"/>
    <w:basedOn w:val="1"/>
    <w:qFormat/>
    <w:uiPriority w:val="0"/>
    <w:pPr>
      <w:adjustRightInd/>
    </w:pPr>
    <w:rPr>
      <w:rFonts w:ascii="Tahoma" w:hAnsi="Tahoma"/>
      <w:sz w:val="24"/>
      <w:szCs w:val="20"/>
    </w:rPr>
  </w:style>
  <w:style w:type="paragraph" w:customStyle="1" w:styleId="651">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2">
    <w:name w:val="三级条标题"/>
    <w:basedOn w:val="653"/>
    <w:next w:val="637"/>
    <w:qFormat/>
    <w:uiPriority w:val="0"/>
    <w:pPr>
      <w:tabs>
        <w:tab w:val="left" w:pos="1260"/>
        <w:tab w:val="left" w:pos="1680"/>
        <w:tab w:val="left" w:pos="2100"/>
        <w:tab w:val="left" w:pos="2520"/>
      </w:tabs>
      <w:ind w:left="2520"/>
      <w:outlineLvl w:val="4"/>
    </w:pPr>
  </w:style>
  <w:style w:type="paragraph" w:customStyle="1" w:styleId="653">
    <w:name w:val="二级条标题"/>
    <w:basedOn w:val="654"/>
    <w:next w:val="637"/>
    <w:qFormat/>
    <w:uiPriority w:val="0"/>
    <w:pPr>
      <w:tabs>
        <w:tab w:val="left" w:pos="1260"/>
        <w:tab w:val="left" w:pos="1680"/>
        <w:tab w:val="left" w:pos="2100"/>
      </w:tabs>
      <w:ind w:left="0"/>
      <w:outlineLvl w:val="3"/>
    </w:pPr>
  </w:style>
  <w:style w:type="paragraph" w:customStyle="1" w:styleId="654">
    <w:name w:val="一级条标题"/>
    <w:basedOn w:val="655"/>
    <w:next w:val="637"/>
    <w:qFormat/>
    <w:uiPriority w:val="0"/>
    <w:pPr>
      <w:tabs>
        <w:tab w:val="left" w:pos="1260"/>
        <w:tab w:val="left" w:pos="1680"/>
      </w:tabs>
      <w:spacing w:before="0" w:after="0"/>
      <w:ind w:left="1680"/>
      <w:outlineLvl w:val="2"/>
    </w:pPr>
  </w:style>
  <w:style w:type="paragraph" w:customStyle="1" w:styleId="655">
    <w:name w:val="章标题"/>
    <w:next w:val="6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6">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5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8">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5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0">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1">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2">
    <w:name w:val="正文 项目2"/>
    <w:basedOn w:val="663"/>
    <w:qFormat/>
    <w:uiPriority w:val="0"/>
    <w:pPr>
      <w:tabs>
        <w:tab w:val="left" w:pos="840"/>
      </w:tabs>
      <w:spacing w:after="0"/>
      <w:ind w:left="900"/>
    </w:pPr>
  </w:style>
  <w:style w:type="paragraph" w:customStyle="1" w:styleId="66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4">
    <w:name w:val="Body Text 2*"/>
    <w:basedOn w:val="1"/>
    <w:qFormat/>
    <w:uiPriority w:val="6"/>
    <w:pPr>
      <w:widowControl/>
      <w:adjustRightInd/>
      <w:ind w:left="720" w:hanging="720"/>
    </w:pPr>
    <w:rPr>
      <w:color w:val="000000"/>
      <w:kern w:val="0"/>
      <w:sz w:val="24"/>
      <w:szCs w:val="20"/>
      <w:lang w:val="en-GB"/>
    </w:rPr>
  </w:style>
  <w:style w:type="paragraph" w:customStyle="1" w:styleId="665">
    <w:name w:val="表1"/>
    <w:basedOn w:val="1"/>
    <w:qFormat/>
    <w:uiPriority w:val="0"/>
    <w:pPr>
      <w:tabs>
        <w:tab w:val="left" w:pos="703"/>
      </w:tabs>
      <w:adjustRightInd/>
      <w:spacing w:line="360" w:lineRule="auto"/>
      <w:ind w:left="703"/>
      <w:jc w:val="center"/>
    </w:pPr>
  </w:style>
  <w:style w:type="paragraph" w:customStyle="1" w:styleId="666">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7">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69">
    <w:name w:val="2级标题"/>
    <w:basedOn w:val="670"/>
    <w:qFormat/>
    <w:uiPriority w:val="0"/>
    <w:pPr>
      <w:jc w:val="left"/>
      <w:outlineLvl w:val="1"/>
    </w:pPr>
    <w:rPr>
      <w:rFonts w:ascii="Times New Roman" w:hAnsi="Times New Roman" w:eastAsia="仿宋"/>
      <w:sz w:val="30"/>
    </w:rPr>
  </w:style>
  <w:style w:type="paragraph" w:customStyle="1" w:styleId="670">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1">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5">
    <w:name w:val="bullet"/>
    <w:basedOn w:val="1"/>
    <w:qFormat/>
    <w:uiPriority w:val="0"/>
    <w:pPr>
      <w:tabs>
        <w:tab w:val="left" w:pos="840"/>
      </w:tabs>
      <w:adjustRightInd/>
      <w:ind w:left="840" w:hanging="420"/>
    </w:pPr>
  </w:style>
  <w:style w:type="paragraph" w:customStyle="1" w:styleId="676">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79">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1">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2">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3">
    <w:name w:val="MM Topic 4"/>
    <w:basedOn w:val="6"/>
    <w:qFormat/>
    <w:uiPriority w:val="0"/>
    <w:pPr>
      <w:tabs>
        <w:tab w:val="left" w:pos="2100"/>
      </w:tabs>
      <w:adjustRightInd/>
      <w:ind w:left="2100" w:hanging="420"/>
    </w:pPr>
    <w:rPr>
      <w:lang w:val="en-US"/>
    </w:rPr>
  </w:style>
  <w:style w:type="paragraph" w:customStyle="1" w:styleId="684">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5">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6">
    <w:name w:val="Char Char11 Char Char Char Char Char Char Char Char Char1"/>
    <w:basedOn w:val="1"/>
    <w:qFormat/>
    <w:uiPriority w:val="6"/>
    <w:pPr>
      <w:spacing w:line="360" w:lineRule="auto"/>
    </w:pPr>
    <w:rPr>
      <w:szCs w:val="20"/>
    </w:rPr>
  </w:style>
  <w:style w:type="paragraph" w:customStyle="1" w:styleId="68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89">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1">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4">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5">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6">
    <w:name w:val="单元格居中"/>
    <w:basedOn w:val="1"/>
    <w:qFormat/>
    <w:uiPriority w:val="0"/>
    <w:pPr>
      <w:adjustRightInd/>
      <w:spacing w:line="360" w:lineRule="auto"/>
      <w:jc w:val="center"/>
    </w:pPr>
    <w:rPr>
      <w:sz w:val="24"/>
    </w:rPr>
  </w:style>
  <w:style w:type="paragraph" w:customStyle="1" w:styleId="697">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8">
    <w:name w:val="Char Char Char Char Char Char Char1"/>
    <w:basedOn w:val="1"/>
    <w:qFormat/>
    <w:uiPriority w:val="6"/>
    <w:rPr>
      <w:rFonts w:ascii="仿宋_GB2312" w:eastAsia="仿宋_GB2312"/>
      <w:b/>
      <w:sz w:val="32"/>
      <w:szCs w:val="32"/>
    </w:rPr>
  </w:style>
  <w:style w:type="paragraph" w:customStyle="1" w:styleId="699">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1">
    <w:name w:val="Char3 Char Char Char11"/>
    <w:basedOn w:val="1"/>
    <w:qFormat/>
    <w:uiPriority w:val="0"/>
    <w:pPr>
      <w:widowControl/>
      <w:adjustRightInd/>
      <w:spacing w:after="160" w:line="240" w:lineRule="exact"/>
      <w:jc w:val="left"/>
    </w:pPr>
    <w:rPr>
      <w:szCs w:val="20"/>
    </w:rPr>
  </w:style>
  <w:style w:type="paragraph" w:customStyle="1" w:styleId="702">
    <w:name w:val="Char Char1121"/>
    <w:basedOn w:val="1"/>
    <w:qFormat/>
    <w:uiPriority w:val="0"/>
    <w:pPr>
      <w:spacing w:line="360" w:lineRule="auto"/>
    </w:pPr>
    <w:rPr>
      <w:szCs w:val="20"/>
    </w:rPr>
  </w:style>
  <w:style w:type="paragraph" w:customStyle="1" w:styleId="703">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4">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5">
    <w:name w:val="Normal0"/>
    <w:qFormat/>
    <w:uiPriority w:val="0"/>
    <w:rPr>
      <w:rFonts w:ascii="Times New Roman" w:hAnsi="Times New Roman" w:eastAsia="宋体" w:cs="Times New Roman"/>
      <w:lang w:val="en-US" w:eastAsia="en-US" w:bidi="ar-SA"/>
    </w:rPr>
  </w:style>
  <w:style w:type="paragraph" w:customStyle="1" w:styleId="706">
    <w:name w:val="带编号样式"/>
    <w:basedOn w:val="624"/>
    <w:qFormat/>
    <w:uiPriority w:val="0"/>
    <w:pPr>
      <w:tabs>
        <w:tab w:val="left" w:pos="840"/>
      </w:tabs>
      <w:snapToGrid w:val="0"/>
      <w:ind w:left="840" w:hanging="420" w:firstLineChars="0"/>
    </w:pPr>
    <w:rPr>
      <w:rFonts w:ascii="仿宋_GB2312" w:eastAsia="仿宋_GB2312"/>
      <w:color w:val="000000"/>
    </w:rPr>
  </w:style>
  <w:style w:type="paragraph" w:customStyle="1" w:styleId="707">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8">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09">
    <w:name w:val="封面"/>
    <w:basedOn w:val="1"/>
    <w:qFormat/>
    <w:uiPriority w:val="0"/>
    <w:pPr>
      <w:spacing w:line="360" w:lineRule="atLeast"/>
      <w:jc w:val="right"/>
      <w:textAlignment w:val="baseline"/>
    </w:pPr>
    <w:rPr>
      <w:rFonts w:ascii="Symbol" w:hAnsi="Symbol"/>
      <w:kern w:val="0"/>
      <w:szCs w:val="20"/>
    </w:rPr>
  </w:style>
  <w:style w:type="paragraph" w:customStyle="1" w:styleId="710">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1">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2">
    <w:name w:val="默认段落字体 Para Char Char Char1 Char"/>
    <w:basedOn w:val="1"/>
    <w:qFormat/>
    <w:uiPriority w:val="0"/>
    <w:pPr>
      <w:spacing w:line="240" w:lineRule="atLeast"/>
      <w:ind w:left="420" w:firstLine="420"/>
    </w:pPr>
    <w:rPr>
      <w:sz w:val="24"/>
    </w:rPr>
  </w:style>
  <w:style w:type="paragraph" w:customStyle="1" w:styleId="713">
    <w:name w:val="WW-正文文字缩进 2"/>
    <w:basedOn w:val="1"/>
    <w:qFormat/>
    <w:uiPriority w:val="0"/>
    <w:pPr>
      <w:suppressAutoHyphens/>
      <w:adjustRightInd/>
      <w:ind w:firstLine="420"/>
    </w:pPr>
    <w:rPr>
      <w:kern w:val="1"/>
      <w:szCs w:val="20"/>
    </w:rPr>
  </w:style>
  <w:style w:type="paragraph" w:customStyle="1" w:styleId="71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5">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6">
    <w:name w:val="有符号正文"/>
    <w:basedOn w:val="1"/>
    <w:qFormat/>
    <w:uiPriority w:val="0"/>
    <w:pPr>
      <w:adjustRightInd/>
      <w:spacing w:line="400" w:lineRule="exact"/>
      <w:ind w:firstLine="200" w:firstLineChars="200"/>
    </w:pPr>
    <w:rPr>
      <w:rFonts w:ascii="Arial" w:hAnsi="Arial"/>
    </w:rPr>
  </w:style>
  <w:style w:type="paragraph" w:customStyle="1" w:styleId="717">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8">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19">
    <w:name w:val="4"/>
    <w:basedOn w:val="1"/>
    <w:next w:val="36"/>
    <w:qFormat/>
    <w:uiPriority w:val="0"/>
    <w:pPr>
      <w:spacing w:after="120" w:line="480" w:lineRule="auto"/>
      <w:ind w:left="420" w:leftChars="200"/>
    </w:pPr>
    <w:rPr>
      <w:sz w:val="24"/>
      <w:szCs w:val="20"/>
    </w:rPr>
  </w:style>
  <w:style w:type="paragraph" w:customStyle="1" w:styleId="72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2">
    <w:name w:val="样式 标题 3H3 + 两端对齐"/>
    <w:basedOn w:val="4"/>
    <w:qFormat/>
    <w:uiPriority w:val="0"/>
    <w:pPr>
      <w:keepLines w:val="0"/>
      <w:spacing w:before="0" w:after="0" w:line="240" w:lineRule="auto"/>
      <w:jc w:val="left"/>
    </w:pPr>
    <w:rPr>
      <w:rFonts w:cs="宋体"/>
      <w:sz w:val="21"/>
      <w:szCs w:val="20"/>
    </w:rPr>
  </w:style>
  <w:style w:type="paragraph" w:customStyle="1" w:styleId="723">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6">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7">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8">
    <w:name w:val="Char Char1 Char Char Char"/>
    <w:basedOn w:val="1"/>
    <w:qFormat/>
    <w:uiPriority w:val="0"/>
    <w:rPr>
      <w:rFonts w:ascii="仿宋_GB2312" w:eastAsia="仿宋_GB2312"/>
      <w:b/>
      <w:sz w:val="32"/>
      <w:szCs w:val="20"/>
    </w:rPr>
  </w:style>
  <w:style w:type="paragraph" w:customStyle="1" w:styleId="729">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1">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2">
    <w:name w:val="Char Char1 Char Char Char2"/>
    <w:basedOn w:val="1"/>
    <w:qFormat/>
    <w:uiPriority w:val="0"/>
    <w:rPr>
      <w:rFonts w:ascii="仿宋_GB2312" w:eastAsia="仿宋_GB2312"/>
      <w:b/>
      <w:sz w:val="32"/>
      <w:szCs w:val="32"/>
    </w:rPr>
  </w:style>
  <w:style w:type="paragraph" w:customStyle="1" w:styleId="733">
    <w:name w:val="Char3 Char Char Char1"/>
    <w:basedOn w:val="1"/>
    <w:qFormat/>
    <w:uiPriority w:val="6"/>
    <w:pPr>
      <w:widowControl/>
      <w:adjustRightInd/>
      <w:spacing w:after="160" w:line="240" w:lineRule="exact"/>
      <w:jc w:val="left"/>
    </w:pPr>
    <w:rPr>
      <w:szCs w:val="20"/>
    </w:rPr>
  </w:style>
  <w:style w:type="paragraph" w:customStyle="1" w:styleId="734">
    <w:name w:val="Char1 Char Char Char21"/>
    <w:basedOn w:val="1"/>
    <w:qFormat/>
    <w:uiPriority w:val="0"/>
    <w:rPr>
      <w:rFonts w:ascii="Tahoma" w:hAnsi="Tahoma"/>
      <w:sz w:val="24"/>
      <w:szCs w:val="20"/>
    </w:rPr>
  </w:style>
  <w:style w:type="paragraph" w:customStyle="1" w:styleId="735">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6">
    <w:name w:val="正文（标题三）"/>
    <w:basedOn w:val="1"/>
    <w:qFormat/>
    <w:uiPriority w:val="0"/>
    <w:pPr>
      <w:spacing w:line="360" w:lineRule="auto"/>
      <w:ind w:firstLine="200" w:firstLineChars="200"/>
    </w:pPr>
    <w:rPr>
      <w:sz w:val="24"/>
    </w:rPr>
  </w:style>
  <w:style w:type="paragraph" w:customStyle="1" w:styleId="737">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8">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9">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0">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2">
    <w:name w:val="Char1 Char Char Char4"/>
    <w:basedOn w:val="1"/>
    <w:qFormat/>
    <w:uiPriority w:val="0"/>
    <w:pPr>
      <w:adjustRightInd/>
      <w:ind w:firstLine="200" w:firstLineChars="200"/>
    </w:pPr>
    <w:rPr>
      <w:rFonts w:ascii="Tahoma" w:hAnsi="Tahoma"/>
      <w:sz w:val="24"/>
      <w:szCs w:val="20"/>
    </w:rPr>
  </w:style>
  <w:style w:type="paragraph" w:customStyle="1" w:styleId="743">
    <w:name w:val="_标题2"/>
    <w:basedOn w:val="710"/>
    <w:next w:val="710"/>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4">
    <w:name w:val="样式1 + (中宋体"/>
    <w:basedOn w:val="721"/>
    <w:qFormat/>
    <w:uiPriority w:val="0"/>
    <w:pPr>
      <w:widowControl w:val="0"/>
      <w:tabs>
        <w:tab w:val="clear" w:pos="1212"/>
        <w:tab w:val="clear" w:pos="3888"/>
      </w:tabs>
      <w:adjustRightInd/>
      <w:snapToGrid/>
      <w:spacing w:line="360" w:lineRule="auto"/>
      <w:ind w:left="1200" w:hanging="360" w:firstLineChars="200"/>
      <w:jc w:val="both"/>
    </w:pPr>
    <w:rPr>
      <w:kern w:val="2"/>
      <w:szCs w:val="24"/>
    </w:rPr>
  </w:style>
  <w:style w:type="paragraph" w:customStyle="1" w:styleId="745">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7">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8">
    <w:name w:val="四号　首行缩进"/>
    <w:basedOn w:val="1"/>
    <w:qFormat/>
    <w:uiPriority w:val="0"/>
    <w:pPr>
      <w:adjustRightInd/>
      <w:spacing w:line="360" w:lineRule="auto"/>
    </w:pPr>
    <w:rPr>
      <w:rFonts w:ascii="宋体" w:hAnsi="宋体"/>
      <w:szCs w:val="20"/>
    </w:rPr>
  </w:style>
  <w:style w:type="paragraph" w:customStyle="1" w:styleId="74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0">
    <w:name w:val="Char Char Char Char Char Char Char Char Char Char Char1 Char"/>
    <w:basedOn w:val="1"/>
    <w:qFormat/>
    <w:uiPriority w:val="0"/>
    <w:pPr>
      <w:adjustRightInd/>
    </w:pPr>
    <w:rPr>
      <w:rFonts w:ascii="Tahoma" w:hAnsi="Tahoma"/>
      <w:sz w:val="24"/>
    </w:rPr>
  </w:style>
  <w:style w:type="paragraph" w:customStyle="1" w:styleId="751">
    <w:name w:val="Char Char Char Char11"/>
    <w:basedOn w:val="1"/>
    <w:qFormat/>
    <w:uiPriority w:val="0"/>
    <w:rPr>
      <w:rFonts w:ascii="Tahoma" w:hAnsi="Tahoma"/>
      <w:sz w:val="24"/>
      <w:szCs w:val="20"/>
    </w:rPr>
  </w:style>
  <w:style w:type="paragraph" w:customStyle="1" w:styleId="752">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3">
    <w:name w:val="Char Char Char Char"/>
    <w:basedOn w:val="1"/>
    <w:qFormat/>
    <w:uiPriority w:val="0"/>
    <w:rPr>
      <w:rFonts w:ascii="Tahoma" w:hAnsi="Tahoma"/>
      <w:sz w:val="24"/>
      <w:szCs w:val="20"/>
    </w:rPr>
  </w:style>
  <w:style w:type="paragraph" w:customStyle="1" w:styleId="754">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5">
    <w:name w:val="Char19"/>
    <w:basedOn w:val="1"/>
    <w:qFormat/>
    <w:uiPriority w:val="0"/>
    <w:pPr>
      <w:adjustRightInd/>
    </w:pPr>
    <w:rPr>
      <w:szCs w:val="20"/>
    </w:rPr>
  </w:style>
  <w:style w:type="paragraph" w:customStyle="1" w:styleId="7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7">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8">
    <w:name w:val="_Style 5"/>
    <w:basedOn w:val="1"/>
    <w:qFormat/>
    <w:uiPriority w:val="34"/>
    <w:pPr>
      <w:adjustRightInd/>
      <w:ind w:firstLine="420" w:firstLineChars="200"/>
    </w:pPr>
    <w:rPr>
      <w:rFonts w:eastAsia="仿宋_GB2312"/>
      <w:sz w:val="28"/>
    </w:rPr>
  </w:style>
  <w:style w:type="paragraph" w:customStyle="1" w:styleId="75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0">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2">
    <w:name w:val="标书表格字体格式"/>
    <w:next w:val="756"/>
    <w:qFormat/>
    <w:uiPriority w:val="0"/>
    <w:rPr>
      <w:rFonts w:ascii="Times New Roman" w:hAnsi="Times New Roman" w:eastAsia="宋体" w:cs="Times New Roman"/>
      <w:kern w:val="2"/>
      <w:sz w:val="21"/>
      <w:szCs w:val="24"/>
      <w:lang w:val="en-US" w:eastAsia="zh-CN" w:bidi="ar-SA"/>
    </w:rPr>
  </w:style>
  <w:style w:type="paragraph" w:customStyle="1" w:styleId="76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4">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5">
    <w:name w:val="修订3"/>
    <w:qFormat/>
    <w:uiPriority w:val="0"/>
    <w:rPr>
      <w:rFonts w:ascii="Times New Roman" w:hAnsi="Times New Roman" w:eastAsia="宋体" w:cs="Times New Roman"/>
      <w:kern w:val="2"/>
      <w:sz w:val="21"/>
      <w:lang w:val="en-US" w:eastAsia="zh-CN" w:bidi="ar-SA"/>
    </w:rPr>
  </w:style>
  <w:style w:type="paragraph" w:customStyle="1" w:styleId="766">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6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8">
    <w:name w:val="表文字"/>
    <w:qFormat/>
    <w:uiPriority w:val="0"/>
    <w:rPr>
      <w:rFonts w:ascii="宋体" w:hAnsi="Times New Roman" w:eastAsia="宋体" w:cs="Times New Roman"/>
      <w:kern w:val="2"/>
      <w:lang w:val="en-US" w:eastAsia="zh-CN" w:bidi="ar-SA"/>
    </w:rPr>
  </w:style>
  <w:style w:type="paragraph" w:customStyle="1" w:styleId="769">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2">
    <w:name w:val="Char Char Char Char Char Char Char Char2"/>
    <w:basedOn w:val="1"/>
    <w:qFormat/>
    <w:uiPriority w:val="0"/>
    <w:pPr>
      <w:tabs>
        <w:tab w:val="left" w:pos="360"/>
      </w:tabs>
    </w:pPr>
    <w:rPr>
      <w:sz w:val="24"/>
      <w:szCs w:val="20"/>
    </w:rPr>
  </w:style>
  <w:style w:type="paragraph" w:customStyle="1" w:styleId="773">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4">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5">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8">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79">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0">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1">
    <w:name w:val="p0"/>
    <w:basedOn w:val="1"/>
    <w:qFormat/>
    <w:uiPriority w:val="0"/>
    <w:pPr>
      <w:widowControl/>
      <w:adjustRightInd/>
    </w:pPr>
    <w:rPr>
      <w:kern w:val="0"/>
      <w:szCs w:val="21"/>
    </w:rPr>
  </w:style>
  <w:style w:type="paragraph" w:customStyle="1" w:styleId="782">
    <w:name w:val="Char6"/>
    <w:basedOn w:val="1"/>
    <w:qFormat/>
    <w:uiPriority w:val="0"/>
    <w:rPr>
      <w:rFonts w:ascii="仿宋_GB2312" w:eastAsia="仿宋_GB2312"/>
      <w:b/>
      <w:sz w:val="32"/>
      <w:szCs w:val="32"/>
    </w:rPr>
  </w:style>
  <w:style w:type="paragraph" w:customStyle="1" w:styleId="783">
    <w:name w:val="Char111"/>
    <w:basedOn w:val="1"/>
    <w:qFormat/>
    <w:uiPriority w:val="0"/>
    <w:rPr>
      <w:rFonts w:ascii="仿宋_GB2312" w:eastAsia="仿宋_GB2312"/>
      <w:b/>
      <w:sz w:val="32"/>
      <w:szCs w:val="32"/>
    </w:rPr>
  </w:style>
  <w:style w:type="paragraph" w:customStyle="1" w:styleId="784">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8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6">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7">
    <w:name w:val="Char1 Char Char Char2"/>
    <w:basedOn w:val="1"/>
    <w:qFormat/>
    <w:uiPriority w:val="0"/>
    <w:pPr>
      <w:adjustRightInd/>
      <w:ind w:firstLine="200" w:firstLineChars="200"/>
    </w:pPr>
    <w:rPr>
      <w:rFonts w:ascii="Tahoma" w:hAnsi="Tahoma"/>
      <w:sz w:val="24"/>
      <w:szCs w:val="20"/>
    </w:rPr>
  </w:style>
  <w:style w:type="paragraph" w:customStyle="1" w:styleId="788">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89">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0">
    <w:name w:val="Char Char Char Char Char Char Char2"/>
    <w:basedOn w:val="1"/>
    <w:qFormat/>
    <w:uiPriority w:val="0"/>
    <w:rPr>
      <w:rFonts w:ascii="仿宋_GB2312" w:eastAsia="仿宋_GB2312"/>
      <w:b/>
      <w:sz w:val="32"/>
      <w:szCs w:val="32"/>
    </w:rPr>
  </w:style>
  <w:style w:type="paragraph" w:customStyle="1" w:styleId="791">
    <w:name w:val="五级条标题"/>
    <w:basedOn w:val="792"/>
    <w:next w:val="637"/>
    <w:qFormat/>
    <w:uiPriority w:val="0"/>
    <w:pPr>
      <w:tabs>
        <w:tab w:val="left" w:pos="1260"/>
        <w:tab w:val="left" w:pos="1680"/>
        <w:tab w:val="left" w:pos="2100"/>
        <w:tab w:val="left" w:pos="2940"/>
        <w:tab w:val="left" w:pos="3360"/>
      </w:tabs>
      <w:ind w:left="3360"/>
      <w:outlineLvl w:val="6"/>
    </w:pPr>
  </w:style>
  <w:style w:type="paragraph" w:customStyle="1" w:styleId="792">
    <w:name w:val="四级条标题"/>
    <w:basedOn w:val="652"/>
    <w:next w:val="637"/>
    <w:qFormat/>
    <w:uiPriority w:val="0"/>
    <w:pPr>
      <w:tabs>
        <w:tab w:val="clear" w:pos="2520"/>
      </w:tabs>
      <w:ind w:left="2940"/>
      <w:outlineLvl w:val="5"/>
    </w:pPr>
  </w:style>
  <w:style w:type="paragraph" w:customStyle="1" w:styleId="79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4">
    <w:name w:val="Char23"/>
    <w:basedOn w:val="1"/>
    <w:qFormat/>
    <w:uiPriority w:val="0"/>
    <w:rPr>
      <w:rFonts w:ascii="仿宋_GB2312" w:eastAsia="仿宋_GB2312"/>
      <w:b/>
      <w:sz w:val="32"/>
      <w:szCs w:val="32"/>
    </w:rPr>
  </w:style>
  <w:style w:type="paragraph" w:customStyle="1" w:styleId="795">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6">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7">
    <w:name w:val="首行缩进"/>
    <w:basedOn w:val="1"/>
    <w:qFormat/>
    <w:uiPriority w:val="0"/>
    <w:pPr>
      <w:spacing w:line="360" w:lineRule="auto"/>
      <w:ind w:firstLine="480" w:firstLineChars="200"/>
    </w:pPr>
    <w:rPr>
      <w:rFonts w:ascii="宋体"/>
      <w:sz w:val="24"/>
      <w:szCs w:val="20"/>
    </w:rPr>
  </w:style>
  <w:style w:type="paragraph" w:customStyle="1" w:styleId="79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799">
    <w:name w:val="单元格左对齐"/>
    <w:basedOn w:val="1"/>
    <w:qFormat/>
    <w:uiPriority w:val="0"/>
    <w:pPr>
      <w:adjustRightInd/>
      <w:spacing w:line="360" w:lineRule="auto"/>
    </w:pPr>
    <w:rPr>
      <w:sz w:val="24"/>
    </w:rPr>
  </w:style>
  <w:style w:type="paragraph" w:customStyle="1" w:styleId="800">
    <w:name w:val="正文主体"/>
    <w:basedOn w:val="621"/>
    <w:qFormat/>
    <w:uiPriority w:val="0"/>
  </w:style>
  <w:style w:type="paragraph" w:customStyle="1" w:styleId="801">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2">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3">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4">
    <w:name w:val="正文（首行缩进2字符）"/>
    <w:basedOn w:val="1"/>
    <w:qFormat/>
    <w:uiPriority w:val="0"/>
    <w:pPr>
      <w:adjustRightInd/>
      <w:spacing w:line="360" w:lineRule="auto"/>
      <w:ind w:firstLine="480" w:firstLineChars="200"/>
    </w:pPr>
    <w:rPr>
      <w:sz w:val="24"/>
      <w:szCs w:val="20"/>
    </w:rPr>
  </w:style>
  <w:style w:type="paragraph" w:customStyle="1" w:styleId="805">
    <w:name w:val="P1"/>
    <w:basedOn w:val="1"/>
    <w:qFormat/>
    <w:uiPriority w:val="0"/>
    <w:pPr>
      <w:adjustRightInd/>
      <w:spacing w:line="288" w:lineRule="auto"/>
      <w:ind w:firstLine="425" w:firstLineChars="200"/>
    </w:pPr>
  </w:style>
  <w:style w:type="paragraph" w:customStyle="1" w:styleId="806">
    <w:name w:val="列表内容"/>
    <w:basedOn w:val="1"/>
    <w:next w:val="1"/>
    <w:qFormat/>
    <w:uiPriority w:val="0"/>
    <w:pPr>
      <w:widowControl/>
      <w:tabs>
        <w:tab w:val="left" w:pos="840"/>
      </w:tabs>
      <w:ind w:left="840" w:hanging="420"/>
      <w:jc w:val="left"/>
    </w:pPr>
    <w:rPr>
      <w:kern w:val="0"/>
      <w:sz w:val="18"/>
    </w:rPr>
  </w:style>
  <w:style w:type="paragraph" w:customStyle="1" w:styleId="807">
    <w:name w:val="Char Char11 Char Char Char1"/>
    <w:basedOn w:val="1"/>
    <w:qFormat/>
    <w:uiPriority w:val="6"/>
    <w:pPr>
      <w:spacing w:line="360" w:lineRule="auto"/>
    </w:pPr>
    <w:rPr>
      <w:szCs w:val="20"/>
    </w:rPr>
  </w:style>
  <w:style w:type="paragraph" w:customStyle="1" w:styleId="808">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09">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0">
    <w:name w:val="标题 41"/>
    <w:basedOn w:val="1"/>
    <w:next w:val="1"/>
    <w:qFormat/>
    <w:uiPriority w:val="9"/>
    <w:pPr>
      <w:keepNext/>
      <w:keepLines/>
      <w:adjustRightInd/>
      <w:spacing w:before="280" w:after="290" w:line="376" w:lineRule="auto"/>
      <w:outlineLvl w:val="3"/>
    </w:pPr>
    <w:rPr>
      <w:rFonts w:ascii="Cambria" w:hAnsi="Cambria"/>
      <w:b/>
      <w:bCs/>
      <w:sz w:val="28"/>
      <w:szCs w:val="28"/>
    </w:rPr>
  </w:style>
  <w:style w:type="paragraph" w:customStyle="1" w:styleId="81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2">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3">
    <w:name w:val="默认段落字体 Para Char Char Char Char"/>
    <w:basedOn w:val="1"/>
    <w:qFormat/>
    <w:uiPriority w:val="0"/>
    <w:pPr>
      <w:spacing w:line="360" w:lineRule="auto"/>
    </w:pPr>
    <w:rPr>
      <w:szCs w:val="20"/>
    </w:rPr>
  </w:style>
  <w:style w:type="paragraph" w:customStyle="1" w:styleId="814">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6">
    <w:name w:val="Char2 Char Char Char2"/>
    <w:basedOn w:val="1"/>
    <w:qFormat/>
    <w:uiPriority w:val="0"/>
    <w:rPr>
      <w:rFonts w:ascii="仿宋_GB2312" w:eastAsia="仿宋_GB2312"/>
      <w:b/>
      <w:sz w:val="32"/>
      <w:szCs w:val="32"/>
    </w:rPr>
  </w:style>
  <w:style w:type="paragraph" w:customStyle="1" w:styleId="817">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8">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19">
    <w:name w:val="正文 首行缩进:  2 字符 Char"/>
    <w:basedOn w:val="1"/>
    <w:qFormat/>
    <w:uiPriority w:val="0"/>
    <w:pPr>
      <w:adjustRightInd/>
      <w:spacing w:line="360" w:lineRule="auto"/>
      <w:ind w:firstLine="480"/>
    </w:pPr>
    <w:rPr>
      <w:rFonts w:cs="宋体"/>
      <w:sz w:val="24"/>
      <w:szCs w:val="20"/>
    </w:rPr>
  </w:style>
  <w:style w:type="paragraph" w:customStyle="1" w:styleId="820">
    <w:name w:val="Char Char4 Char Char"/>
    <w:basedOn w:val="1"/>
    <w:qFormat/>
    <w:uiPriority w:val="0"/>
    <w:pPr>
      <w:widowControl/>
      <w:adjustRightInd/>
      <w:spacing w:after="160" w:line="240" w:lineRule="exact"/>
      <w:jc w:val="left"/>
    </w:pPr>
  </w:style>
  <w:style w:type="paragraph" w:customStyle="1" w:styleId="82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2">
    <w:name w:val="Char Char11 Char Char Char2"/>
    <w:basedOn w:val="1"/>
    <w:qFormat/>
    <w:uiPriority w:val="0"/>
    <w:pPr>
      <w:spacing w:line="360" w:lineRule="auto"/>
    </w:pPr>
    <w:rPr>
      <w:szCs w:val="20"/>
    </w:rPr>
  </w:style>
  <w:style w:type="paragraph" w:customStyle="1" w:styleId="82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4">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5">
    <w:name w:val="数字标题4"/>
    <w:basedOn w:val="6"/>
    <w:qFormat/>
    <w:uiPriority w:val="0"/>
    <w:pPr>
      <w:tabs>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6">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8">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29">
    <w:name w:val="Char311"/>
    <w:basedOn w:val="1"/>
    <w:qFormat/>
    <w:uiPriority w:val="0"/>
    <w:pPr>
      <w:adjustRightInd/>
      <w:ind w:firstLine="200" w:firstLineChars="200"/>
    </w:pPr>
    <w:rPr>
      <w:rFonts w:ascii="Tahoma" w:hAnsi="Tahoma"/>
      <w:sz w:val="24"/>
      <w:szCs w:val="20"/>
    </w:rPr>
  </w:style>
  <w:style w:type="paragraph" w:customStyle="1" w:styleId="830">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2">
    <w:name w:val="正文 内标"/>
    <w:basedOn w:val="747"/>
    <w:qFormat/>
    <w:uiPriority w:val="0"/>
    <w:pPr>
      <w:tabs>
        <w:tab w:val="left" w:pos="0"/>
      </w:tabs>
      <w:ind w:left="900" w:firstLine="0" w:firstLineChars="0"/>
    </w:pPr>
  </w:style>
  <w:style w:type="paragraph" w:customStyle="1" w:styleId="833">
    <w:name w:val="Bulleted List"/>
    <w:basedOn w:val="1"/>
    <w:qFormat/>
    <w:uiPriority w:val="0"/>
    <w:pPr>
      <w:tabs>
        <w:tab w:val="left" w:pos="1260"/>
      </w:tabs>
      <w:adjustRightInd/>
      <w:ind w:left="1260" w:hanging="420"/>
    </w:pPr>
  </w:style>
  <w:style w:type="paragraph" w:customStyle="1" w:styleId="834">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5">
    <w:name w:val="样式 左侧:  0.85 厘米"/>
    <w:basedOn w:val="1"/>
    <w:qFormat/>
    <w:uiPriority w:val="2"/>
    <w:pPr>
      <w:adjustRightInd/>
      <w:spacing w:line="360" w:lineRule="auto"/>
    </w:pPr>
    <w:rPr>
      <w:rFonts w:cs="宋体"/>
      <w:sz w:val="24"/>
      <w:szCs w:val="20"/>
    </w:rPr>
  </w:style>
  <w:style w:type="paragraph" w:customStyle="1" w:styleId="836">
    <w:name w:val="Char Char Char Char Char Char Char Char Char Char Char Char1 Char"/>
    <w:basedOn w:val="1"/>
    <w:qFormat/>
    <w:uiPriority w:val="0"/>
    <w:rPr>
      <w:rFonts w:ascii="Tahoma" w:hAnsi="Tahoma" w:cs="仿宋_GB2312"/>
      <w:sz w:val="24"/>
      <w:szCs w:val="20"/>
    </w:rPr>
  </w:style>
  <w:style w:type="paragraph" w:customStyle="1" w:styleId="837">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38">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39">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0">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1">
    <w:name w:val="Char Char1 Char Char Char Char Char Char"/>
    <w:basedOn w:val="1"/>
    <w:qFormat/>
    <w:uiPriority w:val="0"/>
    <w:rPr>
      <w:rFonts w:ascii="仿宋_GB2312" w:eastAsia="仿宋_GB2312"/>
      <w:b/>
      <w:sz w:val="32"/>
      <w:szCs w:val="20"/>
    </w:rPr>
  </w:style>
  <w:style w:type="paragraph" w:customStyle="1" w:styleId="842">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3">
    <w:name w:val="Char Char1 Char Char Char Char Char Char2"/>
    <w:basedOn w:val="1"/>
    <w:qFormat/>
    <w:uiPriority w:val="0"/>
    <w:rPr>
      <w:rFonts w:ascii="仿宋_GB2312" w:eastAsia="仿宋_GB2312"/>
      <w:b/>
      <w:sz w:val="32"/>
      <w:szCs w:val="20"/>
    </w:rPr>
  </w:style>
  <w:style w:type="paragraph" w:customStyle="1" w:styleId="844">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8">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49">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0">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1">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3">
    <w:name w:val="Char31"/>
    <w:basedOn w:val="1"/>
    <w:qFormat/>
    <w:uiPriority w:val="0"/>
    <w:pPr>
      <w:adjustRightInd/>
    </w:pPr>
    <w:rPr>
      <w:rFonts w:ascii="仿宋_GB2312" w:eastAsia="仿宋_GB2312"/>
      <w:b/>
      <w:sz w:val="32"/>
      <w:szCs w:val="32"/>
    </w:rPr>
  </w:style>
  <w:style w:type="paragraph" w:customStyle="1" w:styleId="854">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5">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7">
    <w:name w:val="Char Char1"/>
    <w:basedOn w:val="1"/>
    <w:qFormat/>
    <w:uiPriority w:val="0"/>
    <w:pPr>
      <w:widowControl/>
      <w:spacing w:after="160" w:line="240" w:lineRule="exact"/>
      <w:jc w:val="left"/>
    </w:pPr>
    <w:rPr>
      <w:rFonts w:eastAsia="仿宋_GB2312"/>
      <w:sz w:val="28"/>
    </w:rPr>
  </w:style>
  <w:style w:type="paragraph" w:customStyle="1" w:styleId="858">
    <w:name w:val="Char21"/>
    <w:basedOn w:val="1"/>
    <w:qFormat/>
    <w:uiPriority w:val="0"/>
    <w:pPr>
      <w:adjustRightInd/>
      <w:ind w:firstLine="200" w:firstLineChars="200"/>
    </w:pPr>
    <w:rPr>
      <w:rFonts w:ascii="仿宋_GB2312" w:eastAsia="仿宋_GB2312"/>
      <w:b/>
      <w:sz w:val="32"/>
      <w:szCs w:val="32"/>
    </w:rPr>
  </w:style>
  <w:style w:type="paragraph" w:customStyle="1" w:styleId="859">
    <w:name w:val="列表段落1"/>
    <w:basedOn w:val="1"/>
    <w:qFormat/>
    <w:uiPriority w:val="34"/>
    <w:pPr>
      <w:adjustRightInd/>
      <w:ind w:right="238" w:firstLine="420"/>
    </w:pPr>
    <w:rPr>
      <w:rFonts w:ascii="Calibri" w:hAnsi="Calibri"/>
      <w:sz w:val="24"/>
    </w:rPr>
  </w:style>
  <w:style w:type="paragraph" w:customStyle="1" w:styleId="860">
    <w:name w:val="Char Char110"/>
    <w:basedOn w:val="1"/>
    <w:qFormat/>
    <w:uiPriority w:val="6"/>
    <w:pPr>
      <w:spacing w:line="360" w:lineRule="auto"/>
    </w:pPr>
    <w:rPr>
      <w:rFonts w:ascii="Tahoma" w:hAnsi="Tahoma"/>
      <w:sz w:val="24"/>
      <w:szCs w:val="20"/>
    </w:rPr>
  </w:style>
  <w:style w:type="paragraph" w:customStyle="1" w:styleId="861">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2">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3">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4">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5">
    <w:name w:val="Char Char Char Char Char Char Char Char Char Char Char Char1 Char2"/>
    <w:basedOn w:val="1"/>
    <w:qFormat/>
    <w:uiPriority w:val="0"/>
    <w:rPr>
      <w:rFonts w:ascii="Tahoma" w:hAnsi="Tahoma" w:cs="仿宋_GB2312"/>
      <w:sz w:val="24"/>
      <w:szCs w:val="20"/>
    </w:rPr>
  </w:style>
  <w:style w:type="paragraph" w:customStyle="1" w:styleId="866">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7">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8">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69">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0">
    <w:name w:val="_Style 12"/>
    <w:basedOn w:val="18"/>
    <w:qFormat/>
    <w:uiPriority w:val="0"/>
    <w:pPr>
      <w:snapToGrid w:val="0"/>
      <w:spacing w:line="360" w:lineRule="auto"/>
    </w:pPr>
  </w:style>
  <w:style w:type="paragraph" w:customStyle="1" w:styleId="871">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2">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3">
    <w:name w:val="_Style 94"/>
    <w:basedOn w:val="1"/>
    <w:next w:val="255"/>
    <w:qFormat/>
    <w:uiPriority w:val="34"/>
    <w:pPr>
      <w:adjustRightInd/>
      <w:spacing w:line="360" w:lineRule="auto"/>
      <w:ind w:firstLine="200" w:firstLineChars="200"/>
    </w:pPr>
    <w:rPr>
      <w:rFonts w:ascii="Calibri" w:hAnsi="Calibri"/>
      <w:sz w:val="28"/>
      <w:szCs w:val="20"/>
    </w:rPr>
  </w:style>
  <w:style w:type="paragraph" w:customStyle="1" w:styleId="87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6">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7">
    <w:name w:val="3级标题"/>
    <w:basedOn w:val="669"/>
    <w:qFormat/>
    <w:uiPriority w:val="0"/>
    <w:pPr>
      <w:outlineLvl w:val="2"/>
    </w:pPr>
  </w:style>
  <w:style w:type="paragraph" w:customStyle="1" w:styleId="878">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79">
    <w:name w:val="Char1 Char Char Char3"/>
    <w:basedOn w:val="1"/>
    <w:qFormat/>
    <w:uiPriority w:val="0"/>
    <w:pPr>
      <w:adjustRightInd/>
      <w:ind w:firstLine="200" w:firstLineChars="200"/>
    </w:pPr>
    <w:rPr>
      <w:rFonts w:ascii="Tahoma" w:hAnsi="Tahoma"/>
      <w:sz w:val="24"/>
      <w:szCs w:val="20"/>
    </w:rPr>
  </w:style>
  <w:style w:type="paragraph" w:customStyle="1" w:styleId="880">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1">
    <w:name w:val="MM Empty"/>
    <w:basedOn w:val="1"/>
    <w:qFormat/>
    <w:uiPriority w:val="0"/>
    <w:pPr>
      <w:adjustRightInd/>
    </w:pPr>
  </w:style>
  <w:style w:type="paragraph" w:customStyle="1" w:styleId="882">
    <w:name w:val="Char24"/>
    <w:basedOn w:val="1"/>
    <w:qFormat/>
    <w:uiPriority w:val="0"/>
    <w:rPr>
      <w:rFonts w:ascii="仿宋_GB2312" w:eastAsia="仿宋_GB2312"/>
      <w:b/>
      <w:sz w:val="32"/>
      <w:szCs w:val="32"/>
    </w:rPr>
  </w:style>
  <w:style w:type="paragraph" w:customStyle="1" w:styleId="883">
    <w:name w:val="正文箭头"/>
    <w:basedOn w:val="535"/>
    <w:qFormat/>
    <w:uiPriority w:val="0"/>
  </w:style>
  <w:style w:type="paragraph" w:customStyle="1" w:styleId="884">
    <w:name w:val="U_编号2"/>
    <w:basedOn w:val="1"/>
    <w:qFormat/>
    <w:uiPriority w:val="0"/>
    <w:pPr>
      <w:tabs>
        <w:tab w:val="left" w:pos="785"/>
      </w:tabs>
      <w:adjustRightInd/>
      <w:spacing w:beforeLines="10" w:afterLines="10" w:line="300" w:lineRule="auto"/>
    </w:pPr>
    <w:rPr>
      <w:sz w:val="24"/>
    </w:rPr>
  </w:style>
  <w:style w:type="paragraph" w:customStyle="1" w:styleId="885">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7">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8">
    <w:name w:val="TOC 标题11"/>
    <w:basedOn w:val="2"/>
    <w:next w:val="1"/>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89">
    <w:name w:val="_Style 1"/>
    <w:basedOn w:val="1"/>
    <w:qFormat/>
    <w:uiPriority w:val="34"/>
    <w:pPr>
      <w:adjustRightInd/>
      <w:ind w:firstLine="420" w:firstLineChars="200"/>
    </w:pPr>
    <w:rPr>
      <w:rFonts w:eastAsia="仿宋_GB2312"/>
      <w:sz w:val="28"/>
    </w:rPr>
  </w:style>
  <w:style w:type="paragraph" w:customStyle="1" w:styleId="890">
    <w:name w:val="表格 内容"/>
    <w:basedOn w:val="726"/>
    <w:qFormat/>
    <w:uiPriority w:val="0"/>
    <w:rPr>
      <w:b w:val="0"/>
      <w:sz w:val="20"/>
    </w:rPr>
  </w:style>
  <w:style w:type="paragraph" w:customStyle="1" w:styleId="891">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3">
    <w:name w:val="数字标题5"/>
    <w:basedOn w:val="7"/>
    <w:next w:val="1"/>
    <w:qFormat/>
    <w:uiPriority w:val="0"/>
    <w:pPr>
      <w:tabs>
        <w:tab w:val="left" w:pos="1080"/>
      </w:tabs>
      <w:ind w:left="1080" w:hanging="1080"/>
    </w:pPr>
  </w:style>
  <w:style w:type="paragraph" w:customStyle="1" w:styleId="894">
    <w:name w:val="数字标题1"/>
    <w:basedOn w:val="2"/>
    <w:next w:val="1"/>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qFormat/>
    <w:uiPriority w:val="0"/>
    <w:pPr>
      <w:widowControl/>
    </w:pPr>
    <w:rPr>
      <w:kern w:val="0"/>
      <w:sz w:val="24"/>
      <w:szCs w:val="20"/>
    </w:rPr>
  </w:style>
  <w:style w:type="paragraph" w:customStyle="1" w:styleId="902">
    <w:name w:val="Char Char113"/>
    <w:basedOn w:val="1"/>
    <w:qFormat/>
    <w:uiPriority w:val="0"/>
    <w:pPr>
      <w:widowControl/>
      <w:spacing w:after="160" w:line="240" w:lineRule="exact"/>
      <w:jc w:val="left"/>
    </w:pPr>
    <w:rPr>
      <w:rFonts w:eastAsia="仿宋_GB2312"/>
      <w:sz w:val="28"/>
    </w:rPr>
  </w:style>
  <w:style w:type="paragraph" w:customStyle="1" w:styleId="90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qFormat/>
    <w:uiPriority w:val="34"/>
    <w:pPr>
      <w:adjustRightInd/>
      <w:ind w:firstLine="420" w:firstLineChars="200"/>
    </w:pPr>
    <w:rPr>
      <w:rFonts w:eastAsia="仿宋_GB2312"/>
      <w:sz w:val="28"/>
    </w:rPr>
  </w:style>
  <w:style w:type="paragraph" w:customStyle="1" w:styleId="90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qFormat/>
    <w:uiPriority w:val="6"/>
    <w:pPr>
      <w:widowControl/>
      <w:spacing w:after="160" w:line="240" w:lineRule="exact"/>
      <w:jc w:val="left"/>
    </w:pPr>
    <w:rPr>
      <w:rFonts w:eastAsia="仿宋_GB2312"/>
      <w:sz w:val="28"/>
    </w:rPr>
  </w:style>
  <w:style w:type="paragraph" w:customStyle="1" w:styleId="911">
    <w:name w:val="正文 图"/>
    <w:basedOn w:val="440"/>
    <w:qFormat/>
    <w:uiPriority w:val="0"/>
    <w:pPr>
      <w:adjustRightInd/>
      <w:spacing w:before="0"/>
      <w:ind w:firstLine="0"/>
      <w:jc w:val="center"/>
    </w:pPr>
    <w:rPr>
      <w:rFonts w:ascii="微软雅黑" w:hAnsi="微软雅黑"/>
    </w:rPr>
  </w:style>
  <w:style w:type="paragraph" w:customStyle="1" w:styleId="91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59"/>
    <w:qFormat/>
    <w:uiPriority w:val="0"/>
    <w:pPr>
      <w:ind w:left="0"/>
    </w:pPr>
  </w:style>
  <w:style w:type="paragraph" w:customStyle="1" w:styleId="91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qFormat/>
    <w:uiPriority w:val="0"/>
    <w:pPr>
      <w:adjustRightInd/>
      <w:spacing w:line="360" w:lineRule="auto"/>
      <w:ind w:firstLine="480"/>
    </w:pPr>
    <w:rPr>
      <w:sz w:val="24"/>
    </w:rPr>
  </w:style>
  <w:style w:type="table" w:customStyle="1" w:styleId="918">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9">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0">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1">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4">
    <w:name w:val="列出段落111"/>
    <w:basedOn w:val="1"/>
    <w:qFormat/>
    <w:uiPriority w:val="34"/>
    <w:pPr>
      <w:ind w:firstLine="420" w:firstLineChars="200"/>
    </w:pPr>
  </w:style>
  <w:style w:type="character" w:customStyle="1" w:styleId="925">
    <w:name w:val="交叉引用"/>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qFormat/>
    <w:uiPriority w:val="0"/>
    <w:rPr>
      <w:rFonts w:ascii="宋体" w:eastAsia="宋体"/>
      <w:snapToGrid w:val="0"/>
      <w:color w:val="000000"/>
      <w:kern w:val="28"/>
      <w:sz w:val="28"/>
      <w:lang w:val="en-US" w:eastAsia="zh-CN" w:bidi="ar-SA"/>
    </w:rPr>
  </w:style>
  <w:style w:type="character" w:customStyle="1" w:styleId="927">
    <w:name w:val="页脚 字符1"/>
    <w:qFormat/>
    <w:uiPriority w:val="99"/>
    <w:rPr>
      <w:kern w:val="2"/>
      <w:sz w:val="18"/>
      <w:szCs w:val="18"/>
    </w:rPr>
  </w:style>
  <w:style w:type="character" w:customStyle="1" w:styleId="928">
    <w:name w:val="页眉 字符1"/>
    <w:qFormat/>
    <w:uiPriority w:val="99"/>
    <w:rPr>
      <w:kern w:val="2"/>
      <w:sz w:val="18"/>
      <w:szCs w:val="18"/>
    </w:rPr>
  </w:style>
  <w:style w:type="character" w:customStyle="1" w:styleId="929">
    <w:name w:val="尾注文本 字符"/>
    <w:link w:val="37"/>
    <w:qFormat/>
    <w:uiPriority w:val="0"/>
    <w:rPr>
      <w:kern w:val="2"/>
      <w:sz w:val="21"/>
      <w:szCs w:val="24"/>
      <w:lang w:val="zh-CN"/>
    </w:rPr>
  </w:style>
  <w:style w:type="character" w:customStyle="1" w:styleId="930">
    <w:name w:val="无间隔 字符"/>
    <w:link w:val="480"/>
    <w:qFormat/>
    <w:uiPriority w:val="99"/>
    <w:rPr>
      <w:kern w:val="2"/>
      <w:sz w:val="21"/>
      <w:szCs w:val="22"/>
    </w:rPr>
  </w:style>
  <w:style w:type="character" w:customStyle="1" w:styleId="931">
    <w:name w:val="标准文本 Char Char"/>
    <w:link w:val="932"/>
    <w:qFormat/>
    <w:uiPriority w:val="0"/>
    <w:rPr>
      <w:rFonts w:cs="宋体"/>
      <w:kern w:val="2"/>
      <w:sz w:val="24"/>
    </w:rPr>
  </w:style>
  <w:style w:type="paragraph" w:customStyle="1" w:styleId="932">
    <w:name w:val="标准文本"/>
    <w:basedOn w:val="1"/>
    <w:link w:val="931"/>
    <w:qFormat/>
    <w:uiPriority w:val="0"/>
    <w:pPr>
      <w:adjustRightInd/>
      <w:spacing w:line="360" w:lineRule="auto"/>
      <w:ind w:firstLine="480" w:firstLineChars="200"/>
    </w:pPr>
    <w:rPr>
      <w:rFonts w:cs="宋体"/>
      <w:sz w:val="24"/>
      <w:szCs w:val="20"/>
    </w:rPr>
  </w:style>
  <w:style w:type="character" w:customStyle="1" w:styleId="933">
    <w:name w:val="Char Char213"/>
    <w:qFormat/>
    <w:uiPriority w:val="0"/>
    <w:rPr>
      <w:rFonts w:eastAsia="Century Gothic"/>
      <w:b/>
      <w:bCs/>
      <w:kern w:val="44"/>
      <w:sz w:val="32"/>
      <w:szCs w:val="44"/>
      <w:lang w:val="en-US" w:eastAsia="zh-CN" w:bidi="ar-SA"/>
    </w:rPr>
  </w:style>
  <w:style w:type="character" w:customStyle="1" w:styleId="934">
    <w:name w:val="apple-style-span"/>
    <w:qFormat/>
    <w:uiPriority w:val="0"/>
    <w:rPr>
      <w:rFonts w:ascii="Arial" w:hAnsi="Arial" w:eastAsia="黑体" w:cs="Arial"/>
      <w:snapToGrid w:val="0"/>
      <w:kern w:val="0"/>
      <w:szCs w:val="21"/>
    </w:rPr>
  </w:style>
  <w:style w:type="character" w:customStyle="1" w:styleId="935">
    <w:name w:val="15"/>
    <w:qFormat/>
    <w:uiPriority w:val="0"/>
    <w:rPr>
      <w:rFonts w:hint="default" w:ascii="Calibri" w:hAnsi="Calibri"/>
      <w:color w:val="0000FF"/>
      <w:u w:val="single"/>
    </w:rPr>
  </w:style>
  <w:style w:type="character" w:customStyle="1" w:styleId="936">
    <w:name w:val="16"/>
    <w:qFormat/>
    <w:uiPriority w:val="0"/>
    <w:rPr>
      <w:rFonts w:hint="eastAsia" w:ascii="宋体" w:hAnsi="宋体" w:eastAsia="宋体"/>
      <w:color w:val="000000"/>
      <w:sz w:val="20"/>
      <w:szCs w:val="20"/>
    </w:rPr>
  </w:style>
  <w:style w:type="character" w:customStyle="1" w:styleId="937">
    <w:name w:val="edui-unclickable"/>
    <w:qFormat/>
    <w:uiPriority w:val="0"/>
    <w:rPr>
      <w:color w:val="808080"/>
    </w:rPr>
  </w:style>
  <w:style w:type="character" w:customStyle="1" w:styleId="938">
    <w:name w:val="tpc_content1"/>
    <w:qFormat/>
    <w:uiPriority w:val="0"/>
    <w:rPr>
      <w:sz w:val="20"/>
      <w:szCs w:val="20"/>
    </w:rPr>
  </w:style>
  <w:style w:type="character" w:customStyle="1" w:styleId="939">
    <w:name w:val="正文文本缩进 字符"/>
    <w:qFormat/>
    <w:uiPriority w:val="0"/>
    <w:rPr>
      <w:rFonts w:ascii="Century Gothic" w:hAnsi="Century Gothic" w:eastAsia="Century Gothic"/>
      <w:kern w:val="2"/>
      <w:sz w:val="24"/>
      <w:lang w:val="en-US" w:eastAsia="zh-CN" w:bidi="ar-SA"/>
    </w:rPr>
  </w:style>
  <w:style w:type="character" w:customStyle="1" w:styleId="940">
    <w:name w:val="正文文本 2 字符"/>
    <w:qFormat/>
    <w:uiPriority w:val="0"/>
    <w:rPr>
      <w:rFonts w:ascii="Arial" w:hAnsi="Arial" w:eastAsia="宋体"/>
      <w:kern w:val="2"/>
      <w:sz w:val="24"/>
      <w:szCs w:val="24"/>
      <w:lang w:val="en-US" w:eastAsia="zh-CN" w:bidi="ar-SA"/>
    </w:rPr>
  </w:style>
  <w:style w:type="character" w:customStyle="1" w:styleId="941">
    <w:name w:val="edui-clickable2"/>
    <w:qFormat/>
    <w:uiPriority w:val="0"/>
    <w:rPr>
      <w:color w:val="0000FF"/>
      <w:u w:val="single"/>
    </w:rPr>
  </w:style>
  <w:style w:type="character" w:customStyle="1" w:styleId="942">
    <w:name w:val="style1"/>
    <w:qFormat/>
    <w:uiPriority w:val="0"/>
    <w:rPr>
      <w:rFonts w:ascii="Arial" w:hAnsi="Arial" w:eastAsia="黑体" w:cs="Arial"/>
      <w:snapToGrid w:val="0"/>
      <w:kern w:val="0"/>
      <w:szCs w:val="21"/>
    </w:rPr>
  </w:style>
  <w:style w:type="character" w:customStyle="1" w:styleId="943">
    <w:name w:val="zbggtop11 style5"/>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5">
    <w:name w:val="bulletintext1"/>
    <w:qFormat/>
    <w:uiPriority w:val="0"/>
    <w:rPr>
      <w:color w:val="000000"/>
      <w:sz w:val="18"/>
    </w:rPr>
  </w:style>
  <w:style w:type="paragraph" w:customStyle="1" w:styleId="946">
    <w:name w:val="_Style 947"/>
    <w:basedOn w:val="1"/>
    <w:next w:val="255"/>
    <w:qFormat/>
    <w:uiPriority w:val="34"/>
    <w:pPr>
      <w:adjustRightInd/>
      <w:ind w:firstLine="420" w:firstLineChars="200"/>
    </w:pPr>
  </w:style>
  <w:style w:type="paragraph" w:customStyle="1" w:styleId="947">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qFormat/>
    <w:uiPriority w:val="0"/>
    <w:pPr>
      <w:adjustRightInd/>
      <w:snapToGrid w:val="0"/>
      <w:jc w:val="left"/>
    </w:pPr>
    <w:rPr>
      <w:rFonts w:ascii="Century Gothic" w:hAnsi="楷体_GB2312" w:eastAsia="Century Gothic"/>
      <w:szCs w:val="20"/>
    </w:rPr>
  </w:style>
  <w:style w:type="paragraph" w:customStyle="1" w:styleId="949">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qFormat/>
    <w:uiPriority w:val="0"/>
    <w:pPr>
      <w:autoSpaceDE w:val="0"/>
      <w:autoSpaceDN w:val="0"/>
      <w:spacing w:before="100" w:after="100"/>
      <w:ind w:left="360" w:right="360"/>
      <w:jc w:val="left"/>
    </w:pPr>
    <w:rPr>
      <w:kern w:val="0"/>
      <w:sz w:val="24"/>
      <w:szCs w:val="20"/>
    </w:rPr>
  </w:style>
  <w:style w:type="paragraph" w:customStyle="1" w:styleId="953">
    <w:name w:val="p1"/>
    <w:basedOn w:val="1"/>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qFormat/>
    <w:uiPriority w:val="0"/>
    <w:pPr>
      <w:adjustRightInd/>
      <w:jc w:val="left"/>
    </w:pPr>
    <w:rPr>
      <w:rFonts w:ascii="Calibri" w:hAnsi="Calibri"/>
      <w:kern w:val="0"/>
      <w:sz w:val="22"/>
      <w:szCs w:val="22"/>
      <w:lang w:eastAsia="en-US"/>
    </w:rPr>
  </w:style>
  <w:style w:type="paragraph" w:customStyle="1" w:styleId="9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qFormat/>
    <w:uiPriority w:val="0"/>
    <w:rPr>
      <w:color w:val="000000"/>
      <w:shd w:val="clear" w:color="auto" w:fill="EFD200"/>
    </w:rPr>
  </w:style>
  <w:style w:type="character" w:customStyle="1" w:styleId="959">
    <w:name w:val="font71"/>
    <w:qFormat/>
    <w:uiPriority w:val="0"/>
    <w:rPr>
      <w:rFonts w:hint="eastAsia" w:ascii="宋体" w:hAnsi="宋体" w:eastAsia="宋体" w:cs="宋体"/>
      <w:color w:val="000000"/>
      <w:sz w:val="22"/>
      <w:szCs w:val="22"/>
      <w:u w:val="none"/>
    </w:rPr>
  </w:style>
  <w:style w:type="character" w:customStyle="1" w:styleId="960">
    <w:name w:val="font91"/>
    <w:qFormat/>
    <w:uiPriority w:val="0"/>
    <w:rPr>
      <w:rFonts w:hint="eastAsia" w:ascii="仿宋" w:hAnsi="仿宋" w:eastAsia="仿宋" w:cs="仿宋"/>
      <w:color w:val="000000"/>
      <w:sz w:val="22"/>
      <w:szCs w:val="22"/>
      <w:u w:val="none"/>
    </w:rPr>
  </w:style>
  <w:style w:type="paragraph" w:customStyle="1" w:styleId="961">
    <w:name w:val="修订4"/>
    <w:qFormat/>
    <w:uiPriority w:val="99"/>
    <w:rPr>
      <w:rFonts w:ascii="Times New Roman" w:hAnsi="Times New Roman" w:eastAsia="宋体" w:cs="Times New Roman"/>
      <w:kern w:val="2"/>
      <w:sz w:val="21"/>
      <w:szCs w:val="24"/>
      <w:lang w:val="en-US" w:eastAsia="zh-CN" w:bidi="ar-SA"/>
    </w:rPr>
  </w:style>
  <w:style w:type="character" w:customStyle="1" w:styleId="962">
    <w:name w:val="不明显强调1"/>
    <w:qFormat/>
    <w:uiPriority w:val="19"/>
    <w:rPr>
      <w:i/>
      <w:iCs/>
    </w:rPr>
  </w:style>
  <w:style w:type="paragraph" w:customStyle="1" w:styleId="9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64">
    <w:name w:val="正文空2字"/>
    <w:basedOn w:val="965"/>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965">
    <w:name w:val="左对齐正文"/>
    <w:qFormat/>
    <w:uiPriority w:val="99"/>
    <w:rPr>
      <w:rFonts w:ascii="Calibri" w:hAnsi="Calibri" w:eastAsia="仿宋_GB2312" w:cs="Calibri"/>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杭州市国内经济合作办公室</Company>
  <Pages>80</Pages>
  <Words>23331</Words>
  <Characters>24931</Characters>
  <Lines>1</Lines>
  <Paragraphs>1</Paragraphs>
  <TotalTime>29</TotalTime>
  <ScaleCrop>false</ScaleCrop>
  <LinksUpToDate>false</LinksUpToDate>
  <CharactersWithSpaces>25589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2021-08-07T00:22:00Z</dcterms:created>
  <dc:creator>玥</dc:creator>
  <cp:lastModifiedBy>sdyfcgvj</cp:lastModifiedBy>
  <cp:lastPrinted>2022-01-04T03:06:00Z</cp:lastPrinted>
  <dcterms:modified xsi:type="dcterms:W3CDTF">2026-04-03T03:07:18Z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207D0FDB0C3F430B8B60B553706FB8F4_13</vt:lpwstr>
  </property>
  <property fmtid="{D5CDD505-2E9C-101B-9397-08002B2CF9AE}" pid="5" name="KSOTemplateDocerSaveRecord">
    <vt:lpwstr>eyJoZGlkIjoiMDQ1MTczNDg5YTk5Y2UyY2JhYTkyMjU2OWNkNmQ1NGMiLCJ1c2VySWQiOiI0MDg0ODU4NzUifQ==</vt:lpwstr>
  </property>
</Properties>
</file>