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DF6D4">
      <w:pPr>
        <w:pStyle w:val="44"/>
        <w:rPr>
          <w:rFonts w:hint="eastAsia" w:ascii="宋体" w:hAnsi="宋体" w:eastAsia="宋体" w:cs="宋体"/>
          <w:color w:val="auto"/>
          <w:highlight w:val="none"/>
          <w:lang w:val="en-US"/>
        </w:rPr>
      </w:pPr>
      <w:r>
        <w:rPr>
          <w:rFonts w:hint="eastAsia" w:ascii="宋体" w:hAnsi="宋体" w:eastAsia="宋体" w:cs="宋体"/>
          <w:b/>
          <w:bCs/>
          <w:color w:val="auto"/>
          <w:sz w:val="36"/>
          <w:szCs w:val="36"/>
          <w:highlight w:val="none"/>
          <w:lang w:val="en-US" w:eastAsia="zh-CN"/>
        </w:rPr>
        <w:drawing>
          <wp:inline distT="0" distB="0" distL="114300" distR="114300">
            <wp:extent cx="1879600" cy="591185"/>
            <wp:effectExtent l="0" t="0" r="6350" b="8890"/>
            <wp:docPr id="1" name="图片 2" descr="和顺致祥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和顺致祥3(1)"/>
                    <pic:cNvPicPr>
                      <a:picLocks noChangeAspect="1"/>
                    </pic:cNvPicPr>
                  </pic:nvPicPr>
                  <pic:blipFill>
                    <a:blip r:embed="rId14"/>
                    <a:stretch>
                      <a:fillRect/>
                    </a:stretch>
                  </pic:blipFill>
                  <pic:spPr>
                    <a:xfrm>
                      <a:off x="0" y="0"/>
                      <a:ext cx="1879600" cy="591185"/>
                    </a:xfrm>
                    <a:prstGeom prst="rect">
                      <a:avLst/>
                    </a:prstGeom>
                    <a:noFill/>
                    <a:ln>
                      <a:noFill/>
                    </a:ln>
                  </pic:spPr>
                </pic:pic>
              </a:graphicData>
            </a:graphic>
          </wp:inline>
        </w:drawing>
      </w:r>
    </w:p>
    <w:p w14:paraId="50BF6DEB">
      <w:pPr>
        <w:pStyle w:val="44"/>
        <w:rPr>
          <w:rFonts w:hint="eastAsia" w:ascii="宋体" w:hAnsi="宋体" w:eastAsia="宋体" w:cs="宋体"/>
          <w:color w:val="auto"/>
          <w:highlight w:val="none"/>
          <w:lang w:val="en-US"/>
        </w:rPr>
      </w:pPr>
    </w:p>
    <w:p w14:paraId="63647A32">
      <w:pPr>
        <w:pStyle w:val="44"/>
        <w:keepNext w:val="0"/>
        <w:keepLines w:val="0"/>
        <w:pageBreakBefore w:val="0"/>
        <w:widowControl w:val="0"/>
        <w:kinsoku/>
        <w:wordWrap/>
        <w:overflowPunct/>
        <w:topLinePunct w:val="0"/>
        <w:autoSpaceDE w:val="0"/>
        <w:autoSpaceDN w:val="0"/>
        <w:bidi w:val="0"/>
        <w:adjustRightInd w:val="0"/>
        <w:snapToGrid w:val="0"/>
        <w:textAlignment w:val="auto"/>
        <w:rPr>
          <w:rFonts w:hint="eastAsia" w:ascii="宋体" w:hAnsi="宋体" w:eastAsia="宋体" w:cs="宋体"/>
          <w:color w:val="auto"/>
          <w:sz w:val="32"/>
          <w:szCs w:val="32"/>
          <w:highlight w:val="none"/>
          <w:lang w:val="en-US"/>
        </w:rPr>
      </w:pPr>
    </w:p>
    <w:p w14:paraId="592953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新疆维吾尔自治区广播电视局八四一台10KW发射机同轴开关更新项目</w:t>
      </w:r>
    </w:p>
    <w:p w14:paraId="7F884CB5">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lang w:val="en-US" w:eastAsia="zh-CN"/>
        </w:rPr>
        <w:t>XJZN-2026-04240</w:t>
      </w:r>
      <w:r>
        <w:rPr>
          <w:rFonts w:hint="eastAsia" w:ascii="宋体" w:hAnsi="宋体" w:eastAsia="宋体" w:cs="宋体"/>
          <w:b/>
          <w:bCs w:val="0"/>
          <w:color w:val="auto"/>
          <w:sz w:val="28"/>
          <w:szCs w:val="28"/>
          <w:highlight w:val="none"/>
          <w:lang w:eastAsia="zh-CN"/>
        </w:rPr>
        <w:t>）</w:t>
      </w:r>
    </w:p>
    <w:p w14:paraId="5CF7D6BA">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sz w:val="28"/>
          <w:szCs w:val="28"/>
          <w:highlight w:val="none"/>
        </w:rPr>
      </w:pPr>
    </w:p>
    <w:p w14:paraId="6AA44F00">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sz w:val="28"/>
          <w:szCs w:val="28"/>
          <w:highlight w:val="none"/>
        </w:rPr>
      </w:pPr>
    </w:p>
    <w:p w14:paraId="2B58A191">
      <w:pPr>
        <w:tabs>
          <w:tab w:val="left" w:pos="1960"/>
          <w:tab w:val="left" w:pos="3480"/>
          <w:tab w:val="left" w:pos="4980"/>
        </w:tabs>
        <w:spacing w:line="0" w:lineRule="atLeast"/>
        <w:jc w:val="center"/>
        <w:rPr>
          <w:rFonts w:hint="eastAsia" w:ascii="宋体" w:hAnsi="宋体" w:eastAsia="宋体" w:cs="宋体"/>
          <w:b/>
          <w:color w:val="auto"/>
          <w:sz w:val="72"/>
          <w:szCs w:val="18"/>
          <w:highlight w:val="none"/>
        </w:rPr>
      </w:pPr>
      <w:r>
        <w:rPr>
          <w:rFonts w:hint="eastAsia" w:ascii="宋体" w:hAnsi="宋体" w:eastAsia="宋体" w:cs="宋体"/>
          <w:b/>
          <w:color w:val="auto"/>
          <w:sz w:val="72"/>
          <w:szCs w:val="18"/>
          <w:highlight w:val="none"/>
        </w:rPr>
        <w:t>招标文件</w:t>
      </w:r>
    </w:p>
    <w:p w14:paraId="0AB8A4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（货物类）</w:t>
      </w:r>
    </w:p>
    <w:p w14:paraId="4F98B4F4">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color w:val="auto"/>
          <w:sz w:val="28"/>
          <w:szCs w:val="28"/>
          <w:highlight w:val="none"/>
        </w:rPr>
      </w:pPr>
    </w:p>
    <w:p w14:paraId="5C855CD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8"/>
          <w:szCs w:val="28"/>
          <w:highlight w:val="none"/>
        </w:rPr>
      </w:pPr>
    </w:p>
    <w:p w14:paraId="47A2228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8"/>
          <w:szCs w:val="28"/>
          <w:highlight w:val="none"/>
        </w:rPr>
      </w:pPr>
    </w:p>
    <w:p w14:paraId="4C55D43D">
      <w:pPr>
        <w:pStyle w:val="15"/>
        <w:keepNext w:val="0"/>
        <w:keepLines w:val="0"/>
        <w:pageBreakBefore w:val="0"/>
        <w:widowControl w:val="0"/>
        <w:kinsoku/>
        <w:wordWrap/>
        <w:overflowPunct/>
        <w:topLinePunct w:val="0"/>
        <w:bidi w:val="0"/>
        <w:adjustRightInd/>
        <w:snapToGrid w:val="0"/>
        <w:spacing w:after="0" w:line="440" w:lineRule="exact"/>
        <w:jc w:val="center"/>
        <w:textAlignment w:val="auto"/>
        <w:rPr>
          <w:rFonts w:hint="eastAsia" w:ascii="宋体" w:hAnsi="宋体" w:eastAsia="宋体" w:cs="宋体"/>
          <w:color w:val="auto"/>
          <w:sz w:val="28"/>
          <w:szCs w:val="28"/>
          <w:highlight w:val="none"/>
        </w:rPr>
      </w:pPr>
    </w:p>
    <w:p w14:paraId="79C59168">
      <w:pPr>
        <w:pStyle w:val="44"/>
        <w:keepNext w:val="0"/>
        <w:keepLines w:val="0"/>
        <w:pageBreakBefore w:val="0"/>
        <w:widowControl w:val="0"/>
        <w:kinsoku/>
        <w:wordWrap/>
        <w:overflowPunct/>
        <w:topLinePunct w:val="0"/>
        <w:bidi w:val="0"/>
        <w:adjustRightInd/>
        <w:snapToGrid w:val="0"/>
        <w:spacing w:line="440" w:lineRule="exact"/>
        <w:jc w:val="center"/>
        <w:textAlignment w:val="auto"/>
        <w:rPr>
          <w:rFonts w:hint="eastAsia" w:ascii="宋体" w:hAnsi="宋体" w:eastAsia="宋体" w:cs="宋体"/>
          <w:color w:val="auto"/>
          <w:sz w:val="28"/>
          <w:szCs w:val="28"/>
          <w:highlight w:val="none"/>
        </w:rPr>
      </w:pPr>
    </w:p>
    <w:p w14:paraId="57E76C6C">
      <w:pPr>
        <w:pStyle w:val="44"/>
        <w:keepNext w:val="0"/>
        <w:keepLines w:val="0"/>
        <w:pageBreakBefore w:val="0"/>
        <w:widowControl w:val="0"/>
        <w:kinsoku/>
        <w:wordWrap/>
        <w:overflowPunct/>
        <w:topLinePunct w:val="0"/>
        <w:bidi w:val="0"/>
        <w:adjustRightInd/>
        <w:snapToGrid w:val="0"/>
        <w:spacing w:line="440" w:lineRule="exact"/>
        <w:jc w:val="center"/>
        <w:textAlignment w:val="auto"/>
        <w:rPr>
          <w:rFonts w:hint="eastAsia" w:ascii="宋体" w:hAnsi="宋体" w:eastAsia="宋体" w:cs="宋体"/>
          <w:color w:val="auto"/>
          <w:sz w:val="28"/>
          <w:szCs w:val="28"/>
          <w:highlight w:val="none"/>
        </w:rPr>
      </w:pPr>
    </w:p>
    <w:p w14:paraId="061C66C8">
      <w:pPr>
        <w:pStyle w:val="45"/>
        <w:rPr>
          <w:rFonts w:hint="eastAsia" w:ascii="宋体" w:hAnsi="宋体" w:eastAsia="宋体" w:cs="宋体"/>
          <w:color w:val="auto"/>
          <w:highlight w:val="none"/>
        </w:rPr>
      </w:pPr>
    </w:p>
    <w:p w14:paraId="26822428">
      <w:pPr>
        <w:pStyle w:val="44"/>
        <w:keepNext w:val="0"/>
        <w:keepLines w:val="0"/>
        <w:pageBreakBefore w:val="0"/>
        <w:widowControl w:val="0"/>
        <w:kinsoku/>
        <w:wordWrap/>
        <w:overflowPunct/>
        <w:topLinePunct w:val="0"/>
        <w:bidi w:val="0"/>
        <w:adjustRightInd/>
        <w:snapToGrid w:val="0"/>
        <w:spacing w:line="440" w:lineRule="exact"/>
        <w:jc w:val="center"/>
        <w:textAlignment w:val="auto"/>
        <w:rPr>
          <w:rFonts w:hint="eastAsia" w:ascii="宋体" w:hAnsi="宋体" w:eastAsia="宋体" w:cs="宋体"/>
          <w:color w:val="auto"/>
          <w:sz w:val="28"/>
          <w:szCs w:val="28"/>
          <w:highlight w:val="none"/>
        </w:rPr>
      </w:pPr>
    </w:p>
    <w:tbl>
      <w:tblPr>
        <w:tblStyle w:val="3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4"/>
        <w:gridCol w:w="3960"/>
      </w:tblGrid>
      <w:tr w14:paraId="2F52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2" w:hRule="atLeast"/>
          <w:jc w:val="center"/>
        </w:trPr>
        <w:tc>
          <w:tcPr>
            <w:tcW w:w="2164" w:type="dxa"/>
            <w:noWrap w:val="0"/>
            <w:vAlign w:val="center"/>
          </w:tcPr>
          <w:p w14:paraId="6F73168B">
            <w:pPr>
              <w:tabs>
                <w:tab w:val="left" w:pos="2431"/>
                <w:tab w:val="left" w:pos="2943"/>
              </w:tabs>
              <w:adjustRightInd w:val="0"/>
              <w:snapToGrid w:val="0"/>
              <w:spacing w:line="36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8"/>
                <w:szCs w:val="28"/>
                <w:highlight w:val="none"/>
              </w:rPr>
              <w:t>采</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购</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eastAsia="宋体" w:cs="宋体"/>
                <w:bCs/>
                <w:color w:val="auto"/>
                <w:sz w:val="28"/>
                <w:szCs w:val="28"/>
                <w:highlight w:val="none"/>
                <w:lang w:val="en-US" w:eastAsia="zh-CN"/>
              </w:rPr>
              <w:t>：</w:t>
            </w:r>
          </w:p>
          <w:p w14:paraId="6D4FDCD1">
            <w:pPr>
              <w:tabs>
                <w:tab w:val="left" w:pos="2431"/>
                <w:tab w:val="left" w:pos="2943"/>
              </w:tabs>
              <w:adjustRightInd w:val="0"/>
              <w:snapToGrid w:val="0"/>
              <w:spacing w:line="360" w:lineRule="exact"/>
              <w:jc w:val="center"/>
              <w:rPr>
                <w:rFonts w:hint="eastAsia" w:ascii="宋体" w:hAnsi="宋体" w:eastAsia="宋体" w:cs="宋体"/>
                <w:bCs/>
                <w:color w:val="auto"/>
                <w:sz w:val="28"/>
                <w:szCs w:val="28"/>
                <w:highlight w:val="none"/>
                <w:lang w:val="en-US" w:eastAsia="zh-CN"/>
              </w:rPr>
            </w:pPr>
          </w:p>
        </w:tc>
        <w:tc>
          <w:tcPr>
            <w:tcW w:w="3960" w:type="dxa"/>
            <w:noWrap w:val="0"/>
            <w:vAlign w:val="center"/>
          </w:tcPr>
          <w:p w14:paraId="09017364">
            <w:pPr>
              <w:tabs>
                <w:tab w:val="left" w:pos="2431"/>
                <w:tab w:val="left" w:pos="2943"/>
              </w:tabs>
              <w:adjustRightInd w:val="0"/>
              <w:snapToGrid w:val="0"/>
              <w:spacing w:line="360" w:lineRule="exact"/>
              <w:jc w:val="both"/>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新疆维吾尔自治区广播电视局八四一台</w:t>
            </w:r>
          </w:p>
        </w:tc>
      </w:tr>
      <w:tr w14:paraId="0785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2164" w:type="dxa"/>
            <w:noWrap w:val="0"/>
            <w:vAlign w:val="center"/>
          </w:tcPr>
          <w:p w14:paraId="27CE4D5B">
            <w:pPr>
              <w:tabs>
                <w:tab w:val="left" w:pos="2431"/>
                <w:tab w:val="left" w:pos="2943"/>
              </w:tabs>
              <w:adjustRightInd w:val="0"/>
              <w:snapToGrid w:val="0"/>
              <w:spacing w:line="36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采购</w:t>
            </w:r>
            <w:r>
              <w:rPr>
                <w:rFonts w:hint="eastAsia" w:ascii="宋体" w:hAnsi="宋体" w:eastAsia="宋体" w:cs="宋体"/>
                <w:bCs/>
                <w:color w:val="auto"/>
                <w:sz w:val="28"/>
                <w:szCs w:val="28"/>
                <w:highlight w:val="none"/>
              </w:rPr>
              <w:t>代理机构</w:t>
            </w:r>
            <w:r>
              <w:rPr>
                <w:rFonts w:hint="eastAsia" w:ascii="宋体" w:hAnsi="宋体" w:eastAsia="宋体" w:cs="宋体"/>
                <w:bCs/>
                <w:color w:val="auto"/>
                <w:sz w:val="28"/>
                <w:szCs w:val="28"/>
                <w:highlight w:val="none"/>
                <w:lang w:eastAsia="zh-CN"/>
              </w:rPr>
              <w:t>：</w:t>
            </w:r>
          </w:p>
        </w:tc>
        <w:tc>
          <w:tcPr>
            <w:tcW w:w="3960" w:type="dxa"/>
            <w:noWrap w:val="0"/>
            <w:vAlign w:val="center"/>
          </w:tcPr>
          <w:p w14:paraId="1F3D9FD8">
            <w:pPr>
              <w:tabs>
                <w:tab w:val="left" w:pos="2431"/>
                <w:tab w:val="left" w:pos="2943"/>
              </w:tabs>
              <w:adjustRightInd w:val="0"/>
              <w:snapToGrid w:val="0"/>
              <w:spacing w:line="360" w:lineRule="exact"/>
              <w:jc w:val="both"/>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eastAsia="zh-CN"/>
              </w:rPr>
              <w:t>新疆中诺项目管理有限公司</w:t>
            </w:r>
          </w:p>
        </w:tc>
      </w:tr>
      <w:tr w14:paraId="0552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2164" w:type="dxa"/>
            <w:noWrap w:val="0"/>
            <w:vAlign w:val="center"/>
          </w:tcPr>
          <w:p w14:paraId="6D3D7BA4">
            <w:pPr>
              <w:tabs>
                <w:tab w:val="left" w:pos="2431"/>
                <w:tab w:val="left" w:pos="2943"/>
              </w:tabs>
              <w:adjustRightInd w:val="0"/>
              <w:snapToGrid w:val="0"/>
              <w:spacing w:line="36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日        期</w:t>
            </w:r>
            <w:r>
              <w:rPr>
                <w:rFonts w:hint="eastAsia" w:ascii="宋体" w:hAnsi="宋体" w:eastAsia="宋体" w:cs="宋体"/>
                <w:bCs/>
                <w:color w:val="auto"/>
                <w:sz w:val="28"/>
                <w:szCs w:val="28"/>
                <w:highlight w:val="none"/>
                <w:lang w:eastAsia="zh-CN"/>
              </w:rPr>
              <w:t>：</w:t>
            </w:r>
          </w:p>
        </w:tc>
        <w:tc>
          <w:tcPr>
            <w:tcW w:w="3960" w:type="dxa"/>
            <w:noWrap w:val="0"/>
            <w:vAlign w:val="center"/>
          </w:tcPr>
          <w:p w14:paraId="2467ADD5">
            <w:pPr>
              <w:tabs>
                <w:tab w:val="left" w:pos="2431"/>
                <w:tab w:val="left" w:pos="2943"/>
              </w:tabs>
              <w:adjustRightInd w:val="0"/>
              <w:snapToGrid w:val="0"/>
              <w:spacing w:line="360" w:lineRule="exact"/>
              <w:jc w:val="both"/>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202</w:t>
            </w:r>
            <w:r>
              <w:rPr>
                <w:rFonts w:hint="eastAsia" w:ascii="宋体"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lang w:eastAsia="zh-CN"/>
              </w:rPr>
              <w:t>年</w:t>
            </w:r>
            <w:r>
              <w:rPr>
                <w:rFonts w:hint="eastAsia" w:ascii="宋体" w:hAnsi="宋体" w:cs="宋体"/>
                <w:bCs/>
                <w:color w:val="auto"/>
                <w:sz w:val="28"/>
                <w:szCs w:val="28"/>
                <w:highlight w:val="none"/>
                <w:lang w:val="en-US" w:eastAsia="zh-CN"/>
              </w:rPr>
              <w:t>04</w:t>
            </w:r>
            <w:r>
              <w:rPr>
                <w:rFonts w:hint="eastAsia" w:ascii="宋体" w:hAnsi="宋体" w:eastAsia="宋体" w:cs="宋体"/>
                <w:bCs/>
                <w:color w:val="auto"/>
                <w:sz w:val="28"/>
                <w:szCs w:val="28"/>
                <w:highlight w:val="none"/>
                <w:lang w:eastAsia="zh-CN"/>
              </w:rPr>
              <w:t>月</w:t>
            </w:r>
          </w:p>
        </w:tc>
      </w:tr>
    </w:tbl>
    <w:p w14:paraId="76D4EA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p>
    <w:p w14:paraId="5DAA1FBB">
      <w:pPr>
        <w:rPr>
          <w:rFonts w:hint="eastAsia" w:ascii="宋体" w:hAnsi="宋体" w:eastAsia="宋体" w:cs="宋体"/>
          <w:b/>
          <w:color w:val="auto"/>
          <w:sz w:val="24"/>
          <w:szCs w:val="24"/>
          <w:highlight w:val="none"/>
        </w:rPr>
      </w:pPr>
    </w:p>
    <w:p w14:paraId="324F2D64">
      <w:pPr>
        <w:spacing w:line="400" w:lineRule="atLeast"/>
        <w:jc w:val="center"/>
        <w:rPr>
          <w:rFonts w:hint="eastAsia" w:ascii="宋体" w:hAnsi="宋体" w:eastAsia="宋体" w:cs="宋体"/>
          <w:b/>
          <w:color w:val="auto"/>
          <w:sz w:val="24"/>
          <w:szCs w:val="24"/>
          <w:highlight w:val="none"/>
        </w:rPr>
        <w:sectPr>
          <w:footerReference r:id="rId5" w:type="first"/>
          <w:headerReference r:id="rId3" w:type="default"/>
          <w:footerReference r:id="rId4" w:type="default"/>
          <w:pgSz w:w="11905" w:h="16838"/>
          <w:pgMar w:top="1134" w:right="1134" w:bottom="1134" w:left="1134" w:header="737" w:footer="737" w:gutter="0"/>
          <w:pgNumType w:fmt="numberInDash"/>
          <w:cols w:space="0" w:num="1"/>
          <w:rtlGutter w:val="0"/>
          <w:docGrid w:linePitch="0" w:charSpace="0"/>
        </w:sectPr>
      </w:pPr>
    </w:p>
    <w:p w14:paraId="1F1DA1A3">
      <w:pPr>
        <w:spacing w:line="40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录</w:t>
      </w:r>
    </w:p>
    <w:p w14:paraId="3A04FBFA">
      <w:pPr>
        <w:pStyle w:val="27"/>
        <w:tabs>
          <w:tab w:val="right" w:leader="dot" w:pos="9637"/>
        </w:tabs>
        <w:rPr>
          <w:color w:val="auto"/>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TOC \o "1-3" \h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_Toc24544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第一</w:t>
      </w:r>
      <w:r>
        <w:rPr>
          <w:rFonts w:hint="eastAsia" w:ascii="宋体" w:hAnsi="宋体" w:eastAsia="宋体" w:cs="宋体"/>
          <w:color w:val="auto"/>
          <w:szCs w:val="32"/>
          <w:highlight w:val="none"/>
          <w:lang w:val="en-US" w:eastAsia="zh-CN"/>
        </w:rPr>
        <w:t>章</w:t>
      </w:r>
      <w:r>
        <w:rPr>
          <w:rFonts w:hint="eastAsia" w:ascii="宋体" w:hAnsi="宋体" w:eastAsia="宋体" w:cs="宋体"/>
          <w:color w:val="auto"/>
          <w:szCs w:val="32"/>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_Toc24544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eastAsia="宋体" w:cs="宋体"/>
          <w:color w:val="auto"/>
          <w:szCs w:val="21"/>
          <w:highlight w:val="none"/>
        </w:rPr>
        <w:fldChar w:fldCharType="end"/>
      </w:r>
    </w:p>
    <w:p w14:paraId="4DFD62BC">
      <w:pPr>
        <w:pStyle w:val="27"/>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_Toc17111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第二</w:t>
      </w:r>
      <w:r>
        <w:rPr>
          <w:rFonts w:hint="eastAsia" w:ascii="宋体" w:hAnsi="宋体" w:eastAsia="宋体" w:cs="宋体"/>
          <w:color w:val="auto"/>
          <w:szCs w:val="32"/>
          <w:highlight w:val="none"/>
          <w:lang w:val="en-US" w:eastAsia="zh-CN"/>
        </w:rPr>
        <w:t>章</w:t>
      </w:r>
      <w:r>
        <w:rPr>
          <w:rFonts w:hint="eastAsia" w:ascii="宋体" w:hAnsi="宋体" w:eastAsia="宋体" w:cs="宋体"/>
          <w:color w:val="auto"/>
          <w:szCs w:val="32"/>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_Toc17111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color w:val="auto"/>
          <w:szCs w:val="21"/>
          <w:highlight w:val="none"/>
        </w:rPr>
        <w:fldChar w:fldCharType="end"/>
      </w:r>
    </w:p>
    <w:p w14:paraId="4F1226B5">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_Toc30495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rPr>
        <w:t>一、投标人须知前附表</w:t>
      </w:r>
      <w:r>
        <w:rPr>
          <w:color w:val="auto"/>
          <w:highlight w:val="none"/>
        </w:rPr>
        <w:tab/>
      </w:r>
      <w:r>
        <w:rPr>
          <w:color w:val="auto"/>
          <w:highlight w:val="none"/>
        </w:rPr>
        <w:fldChar w:fldCharType="begin"/>
      </w:r>
      <w:r>
        <w:rPr>
          <w:color w:val="auto"/>
          <w:highlight w:val="none"/>
        </w:rPr>
        <w:instrText xml:space="preserve"> PAGEREF _Toc30495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color w:val="auto"/>
          <w:szCs w:val="21"/>
          <w:highlight w:val="none"/>
        </w:rPr>
        <w:fldChar w:fldCharType="end"/>
      </w:r>
    </w:p>
    <w:p w14:paraId="182C23FD">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_Toc3312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rPr>
        <w:t>二、</w:t>
      </w:r>
      <w:r>
        <w:rPr>
          <w:rFonts w:hint="eastAsia" w:ascii="宋体" w:hAnsi="宋体" w:cs="宋体"/>
          <w:bCs/>
          <w:color w:val="auto"/>
          <w:spacing w:val="-4"/>
          <w:szCs w:val="28"/>
          <w:highlight w:val="none"/>
          <w:lang w:val="en-US" w:eastAsia="zh-CN"/>
        </w:rPr>
        <w:t>投标人须知</w:t>
      </w:r>
      <w:r>
        <w:rPr>
          <w:color w:val="auto"/>
          <w:highlight w:val="none"/>
        </w:rPr>
        <w:tab/>
      </w:r>
      <w:r>
        <w:rPr>
          <w:color w:val="auto"/>
          <w:highlight w:val="none"/>
        </w:rPr>
        <w:fldChar w:fldCharType="begin"/>
      </w:r>
      <w:r>
        <w:rPr>
          <w:color w:val="auto"/>
          <w:highlight w:val="none"/>
        </w:rPr>
        <w:instrText xml:space="preserve"> PAGEREF _Toc3312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color w:val="auto"/>
          <w:szCs w:val="21"/>
          <w:highlight w:val="none"/>
        </w:rPr>
        <w:fldChar w:fldCharType="end"/>
      </w:r>
    </w:p>
    <w:p w14:paraId="012DD9CF">
      <w:pPr>
        <w:pStyle w:val="27"/>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_Toc15956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 xml:space="preserve">第三部分 </w:t>
      </w:r>
      <w:r>
        <w:rPr>
          <w:rFonts w:hint="eastAsia" w:ascii="宋体" w:hAnsi="宋体" w:eastAsia="宋体" w:cs="宋体"/>
          <w:color w:val="auto"/>
          <w:szCs w:val="32"/>
          <w:highlight w:val="none"/>
          <w:lang w:eastAsia="zh-CN"/>
        </w:rPr>
        <w:t>采购需求</w:t>
      </w:r>
      <w:r>
        <w:rPr>
          <w:color w:val="auto"/>
          <w:highlight w:val="none"/>
        </w:rPr>
        <w:tab/>
      </w:r>
      <w:r>
        <w:rPr>
          <w:color w:val="auto"/>
          <w:highlight w:val="none"/>
        </w:rPr>
        <w:fldChar w:fldCharType="begin"/>
      </w:r>
      <w:r>
        <w:rPr>
          <w:color w:val="auto"/>
          <w:highlight w:val="none"/>
        </w:rPr>
        <w:instrText xml:space="preserve"> PAGEREF _Toc15956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color w:val="auto"/>
          <w:szCs w:val="21"/>
          <w:highlight w:val="none"/>
        </w:rPr>
        <w:fldChar w:fldCharType="end"/>
      </w:r>
    </w:p>
    <w:p w14:paraId="3D32F3AC">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_Toc20512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rPr>
        <w:t>一、</w:t>
      </w:r>
      <w:r>
        <w:rPr>
          <w:rFonts w:hint="eastAsia" w:ascii="宋体" w:hAnsi="宋体" w:eastAsia="宋体" w:cs="宋体"/>
          <w:bCs/>
          <w:color w:val="auto"/>
          <w:spacing w:val="-4"/>
          <w:szCs w:val="28"/>
          <w:highlight w:val="none"/>
          <w:lang w:val="en-US" w:eastAsia="zh-CN"/>
        </w:rPr>
        <w:t>采购标的</w:t>
      </w:r>
      <w:r>
        <w:rPr>
          <w:color w:val="auto"/>
          <w:highlight w:val="none"/>
        </w:rPr>
        <w:tab/>
      </w:r>
      <w:r>
        <w:rPr>
          <w:color w:val="auto"/>
          <w:highlight w:val="none"/>
        </w:rPr>
        <w:fldChar w:fldCharType="begin"/>
      </w:r>
      <w:r>
        <w:rPr>
          <w:color w:val="auto"/>
          <w:highlight w:val="none"/>
        </w:rPr>
        <w:instrText xml:space="preserve"> PAGEREF _Toc20512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color w:val="auto"/>
          <w:szCs w:val="21"/>
          <w:highlight w:val="none"/>
        </w:rPr>
        <w:fldChar w:fldCharType="end"/>
      </w:r>
    </w:p>
    <w:p w14:paraId="47FBD8D0">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_Toc4591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rPr>
        <w:t>二、技术</w:t>
      </w:r>
      <w:r>
        <w:rPr>
          <w:rFonts w:hint="eastAsia" w:ascii="宋体" w:hAnsi="宋体" w:eastAsia="宋体" w:cs="宋体"/>
          <w:bCs/>
          <w:color w:val="auto"/>
          <w:spacing w:val="-4"/>
          <w:szCs w:val="28"/>
          <w:highlight w:val="none"/>
          <w:lang w:eastAsia="zh-CN"/>
        </w:rPr>
        <w:t>要求</w:t>
      </w:r>
      <w:r>
        <w:rPr>
          <w:color w:val="auto"/>
          <w:highlight w:val="none"/>
        </w:rPr>
        <w:tab/>
      </w:r>
      <w:r>
        <w:rPr>
          <w:color w:val="auto"/>
          <w:highlight w:val="none"/>
        </w:rPr>
        <w:fldChar w:fldCharType="begin"/>
      </w:r>
      <w:r>
        <w:rPr>
          <w:color w:val="auto"/>
          <w:highlight w:val="none"/>
        </w:rPr>
        <w:instrText xml:space="preserve"> PAGEREF _Toc4591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color w:val="auto"/>
          <w:szCs w:val="21"/>
          <w:highlight w:val="none"/>
        </w:rPr>
        <w:fldChar w:fldCharType="end"/>
      </w:r>
    </w:p>
    <w:p w14:paraId="58A514B4">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_Toc16029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lang w:val="en-US" w:eastAsia="zh-CN"/>
        </w:rPr>
        <w:t>三</w:t>
      </w:r>
      <w:r>
        <w:rPr>
          <w:rFonts w:hint="eastAsia" w:ascii="宋体" w:hAnsi="宋体" w:eastAsia="宋体" w:cs="宋体"/>
          <w:bCs/>
          <w:color w:val="auto"/>
          <w:spacing w:val="-4"/>
          <w:szCs w:val="28"/>
          <w:highlight w:val="none"/>
          <w:lang w:eastAsia="zh-CN"/>
        </w:rPr>
        <w:t>、商务要求</w:t>
      </w:r>
      <w:r>
        <w:rPr>
          <w:color w:val="auto"/>
          <w:highlight w:val="none"/>
        </w:rPr>
        <w:tab/>
      </w:r>
      <w:r>
        <w:rPr>
          <w:color w:val="auto"/>
          <w:highlight w:val="none"/>
        </w:rPr>
        <w:fldChar w:fldCharType="begin"/>
      </w:r>
      <w:r>
        <w:rPr>
          <w:color w:val="auto"/>
          <w:highlight w:val="none"/>
        </w:rPr>
        <w:instrText xml:space="preserve"> PAGEREF _Toc16029 \h </w:instrText>
      </w:r>
      <w:r>
        <w:rPr>
          <w:color w:val="auto"/>
          <w:highlight w:val="none"/>
        </w:rPr>
        <w:fldChar w:fldCharType="separate"/>
      </w:r>
      <w:r>
        <w:rPr>
          <w:color w:val="auto"/>
          <w:highlight w:val="none"/>
        </w:rPr>
        <w:t>- 36 -</w:t>
      </w:r>
      <w:r>
        <w:rPr>
          <w:color w:val="auto"/>
          <w:highlight w:val="none"/>
        </w:rPr>
        <w:fldChar w:fldCharType="end"/>
      </w:r>
      <w:r>
        <w:rPr>
          <w:rFonts w:hint="eastAsia" w:ascii="宋体" w:hAnsi="宋体" w:eastAsia="宋体" w:cs="宋体"/>
          <w:color w:val="auto"/>
          <w:szCs w:val="21"/>
          <w:highlight w:val="none"/>
        </w:rPr>
        <w:fldChar w:fldCharType="end"/>
      </w:r>
    </w:p>
    <w:p w14:paraId="441003C2">
      <w:pPr>
        <w:pStyle w:val="27"/>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_Toc6965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w:t>
      </w:r>
      <w:r>
        <w:rPr>
          <w:rFonts w:hint="eastAsia" w:ascii="宋体" w:hAnsi="宋体" w:eastAsia="宋体" w:cs="宋体"/>
          <w:color w:val="auto"/>
          <w:szCs w:val="32"/>
          <w:highlight w:val="none"/>
          <w:lang w:eastAsia="zh-CN"/>
        </w:rPr>
        <w:t>四</w:t>
      </w:r>
      <w:r>
        <w:rPr>
          <w:rFonts w:hint="eastAsia" w:ascii="宋体" w:hAnsi="宋体" w:eastAsia="宋体" w:cs="宋体"/>
          <w:color w:val="auto"/>
          <w:szCs w:val="32"/>
          <w:highlight w:val="none"/>
          <w:lang w:val="en-US" w:eastAsia="zh-CN"/>
        </w:rPr>
        <w:t>章</w:t>
      </w:r>
      <w:r>
        <w:rPr>
          <w:rFonts w:hint="eastAsia" w:ascii="宋体" w:hAnsi="宋体" w:eastAsia="宋体" w:cs="宋体"/>
          <w:color w:val="auto"/>
          <w:szCs w:val="32"/>
          <w:highlight w:val="none"/>
        </w:rPr>
        <w:t xml:space="preserve"> </w:t>
      </w:r>
      <w:r>
        <w:rPr>
          <w:rFonts w:hint="eastAsia" w:ascii="宋体" w:hAnsi="宋体" w:eastAsia="宋体" w:cs="宋体"/>
          <w:color w:val="auto"/>
          <w:szCs w:val="32"/>
          <w:highlight w:val="none"/>
          <w:lang w:val="en-US" w:eastAsia="zh-CN"/>
        </w:rPr>
        <w:t>资格审查</w:t>
      </w:r>
      <w:r>
        <w:rPr>
          <w:color w:val="auto"/>
          <w:highlight w:val="none"/>
        </w:rPr>
        <w:tab/>
      </w:r>
      <w:r>
        <w:rPr>
          <w:color w:val="auto"/>
          <w:highlight w:val="none"/>
        </w:rPr>
        <w:fldChar w:fldCharType="begin"/>
      </w:r>
      <w:r>
        <w:rPr>
          <w:color w:val="auto"/>
          <w:highlight w:val="none"/>
        </w:rPr>
        <w:instrText xml:space="preserve"> PAGEREF _Toc6965 \h </w:instrText>
      </w:r>
      <w:r>
        <w:rPr>
          <w:color w:val="auto"/>
          <w:highlight w:val="none"/>
        </w:rPr>
        <w:fldChar w:fldCharType="separate"/>
      </w:r>
      <w:r>
        <w:rPr>
          <w:color w:val="auto"/>
          <w:highlight w:val="none"/>
        </w:rPr>
        <w:t>- 38 -</w:t>
      </w:r>
      <w:r>
        <w:rPr>
          <w:color w:val="auto"/>
          <w:highlight w:val="none"/>
        </w:rPr>
        <w:fldChar w:fldCharType="end"/>
      </w:r>
      <w:r>
        <w:rPr>
          <w:rFonts w:hint="eastAsia" w:ascii="宋体" w:hAnsi="宋体" w:eastAsia="宋体" w:cs="宋体"/>
          <w:color w:val="auto"/>
          <w:szCs w:val="21"/>
          <w:highlight w:val="none"/>
        </w:rPr>
        <w:fldChar w:fldCharType="end"/>
      </w:r>
    </w:p>
    <w:p w14:paraId="41636770">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_Toc29361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rPr>
        <w:t>一、资格审查程序</w:t>
      </w:r>
      <w:r>
        <w:rPr>
          <w:color w:val="auto"/>
          <w:highlight w:val="none"/>
        </w:rPr>
        <w:tab/>
      </w:r>
      <w:r>
        <w:rPr>
          <w:color w:val="auto"/>
          <w:highlight w:val="none"/>
        </w:rPr>
        <w:fldChar w:fldCharType="begin"/>
      </w:r>
      <w:r>
        <w:rPr>
          <w:color w:val="auto"/>
          <w:highlight w:val="none"/>
        </w:rPr>
        <w:instrText xml:space="preserve"> PAGEREF _Toc29361 \h </w:instrText>
      </w:r>
      <w:r>
        <w:rPr>
          <w:color w:val="auto"/>
          <w:highlight w:val="none"/>
        </w:rPr>
        <w:fldChar w:fldCharType="separate"/>
      </w:r>
      <w:r>
        <w:rPr>
          <w:color w:val="auto"/>
          <w:highlight w:val="none"/>
        </w:rPr>
        <w:t>- 38 -</w:t>
      </w:r>
      <w:r>
        <w:rPr>
          <w:color w:val="auto"/>
          <w:highlight w:val="none"/>
        </w:rPr>
        <w:fldChar w:fldCharType="end"/>
      </w:r>
      <w:r>
        <w:rPr>
          <w:rFonts w:hint="eastAsia" w:ascii="宋体" w:hAnsi="宋体" w:eastAsia="宋体" w:cs="宋体"/>
          <w:color w:val="auto"/>
          <w:szCs w:val="21"/>
          <w:highlight w:val="none"/>
        </w:rPr>
        <w:fldChar w:fldCharType="end"/>
      </w:r>
    </w:p>
    <w:p w14:paraId="1473A7AE">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_Toc9438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rPr>
        <w:t>二、资格审查要求</w:t>
      </w:r>
      <w:r>
        <w:rPr>
          <w:color w:val="auto"/>
          <w:highlight w:val="none"/>
        </w:rPr>
        <w:tab/>
      </w:r>
      <w:r>
        <w:rPr>
          <w:color w:val="auto"/>
          <w:highlight w:val="none"/>
        </w:rPr>
        <w:fldChar w:fldCharType="begin"/>
      </w:r>
      <w:r>
        <w:rPr>
          <w:color w:val="auto"/>
          <w:highlight w:val="none"/>
        </w:rPr>
        <w:instrText xml:space="preserve"> PAGEREF _Toc9438 \h </w:instrText>
      </w:r>
      <w:r>
        <w:rPr>
          <w:color w:val="auto"/>
          <w:highlight w:val="none"/>
        </w:rPr>
        <w:fldChar w:fldCharType="separate"/>
      </w:r>
      <w:r>
        <w:rPr>
          <w:color w:val="auto"/>
          <w:highlight w:val="none"/>
        </w:rPr>
        <w:t>- 38 -</w:t>
      </w:r>
      <w:r>
        <w:rPr>
          <w:color w:val="auto"/>
          <w:highlight w:val="none"/>
        </w:rPr>
        <w:fldChar w:fldCharType="end"/>
      </w:r>
      <w:r>
        <w:rPr>
          <w:rFonts w:hint="eastAsia" w:ascii="宋体" w:hAnsi="宋体" w:eastAsia="宋体" w:cs="宋体"/>
          <w:color w:val="auto"/>
          <w:szCs w:val="21"/>
          <w:highlight w:val="none"/>
        </w:rPr>
        <w:fldChar w:fldCharType="end"/>
      </w:r>
    </w:p>
    <w:p w14:paraId="7A15801A">
      <w:pPr>
        <w:pStyle w:val="27"/>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_Toc9001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第五章 评标方法及标准</w:t>
      </w:r>
      <w:r>
        <w:rPr>
          <w:color w:val="auto"/>
          <w:highlight w:val="none"/>
        </w:rPr>
        <w:tab/>
      </w:r>
      <w:r>
        <w:rPr>
          <w:color w:val="auto"/>
          <w:highlight w:val="none"/>
        </w:rPr>
        <w:fldChar w:fldCharType="begin"/>
      </w:r>
      <w:r>
        <w:rPr>
          <w:color w:val="auto"/>
          <w:highlight w:val="none"/>
        </w:rPr>
        <w:instrText xml:space="preserve"> PAGEREF _Toc9001 \h </w:instrText>
      </w:r>
      <w:r>
        <w:rPr>
          <w:color w:val="auto"/>
          <w:highlight w:val="none"/>
        </w:rPr>
        <w:fldChar w:fldCharType="separate"/>
      </w:r>
      <w:r>
        <w:rPr>
          <w:color w:val="auto"/>
          <w:highlight w:val="none"/>
        </w:rPr>
        <w:t>- 40 -</w:t>
      </w:r>
      <w:r>
        <w:rPr>
          <w:color w:val="auto"/>
          <w:highlight w:val="none"/>
        </w:rPr>
        <w:fldChar w:fldCharType="end"/>
      </w:r>
      <w:r>
        <w:rPr>
          <w:rFonts w:hint="eastAsia" w:ascii="宋体" w:hAnsi="宋体" w:eastAsia="宋体" w:cs="宋体"/>
          <w:color w:val="auto"/>
          <w:szCs w:val="21"/>
          <w:highlight w:val="none"/>
        </w:rPr>
        <w:fldChar w:fldCharType="end"/>
      </w:r>
    </w:p>
    <w:p w14:paraId="5D2A18A1">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_Toc28101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5"/>
          <w:szCs w:val="28"/>
          <w:highlight w:val="none"/>
        </w:rPr>
        <w:t>一、评标方法</w:t>
      </w:r>
      <w:r>
        <w:rPr>
          <w:color w:val="auto"/>
          <w:highlight w:val="none"/>
        </w:rPr>
        <w:tab/>
      </w:r>
      <w:r>
        <w:rPr>
          <w:color w:val="auto"/>
          <w:highlight w:val="none"/>
        </w:rPr>
        <w:fldChar w:fldCharType="begin"/>
      </w:r>
      <w:r>
        <w:rPr>
          <w:color w:val="auto"/>
          <w:highlight w:val="none"/>
        </w:rPr>
        <w:instrText xml:space="preserve"> PAGEREF _Toc28101 \h </w:instrText>
      </w:r>
      <w:r>
        <w:rPr>
          <w:color w:val="auto"/>
          <w:highlight w:val="none"/>
        </w:rPr>
        <w:fldChar w:fldCharType="separate"/>
      </w:r>
      <w:r>
        <w:rPr>
          <w:color w:val="auto"/>
          <w:highlight w:val="none"/>
        </w:rPr>
        <w:t>- 40 -</w:t>
      </w:r>
      <w:r>
        <w:rPr>
          <w:color w:val="auto"/>
          <w:highlight w:val="none"/>
        </w:rPr>
        <w:fldChar w:fldCharType="end"/>
      </w:r>
      <w:r>
        <w:rPr>
          <w:rFonts w:hint="eastAsia" w:ascii="宋体" w:hAnsi="宋体" w:eastAsia="宋体" w:cs="宋体"/>
          <w:color w:val="auto"/>
          <w:szCs w:val="21"/>
          <w:highlight w:val="none"/>
        </w:rPr>
        <w:fldChar w:fldCharType="end"/>
      </w:r>
    </w:p>
    <w:p w14:paraId="3FD70853">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_Toc29092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5"/>
          <w:szCs w:val="28"/>
          <w:highlight w:val="none"/>
        </w:rPr>
        <w:t>二、评标程序</w:t>
      </w:r>
      <w:r>
        <w:rPr>
          <w:color w:val="auto"/>
          <w:highlight w:val="none"/>
        </w:rPr>
        <w:tab/>
      </w:r>
      <w:r>
        <w:rPr>
          <w:color w:val="auto"/>
          <w:highlight w:val="none"/>
        </w:rPr>
        <w:fldChar w:fldCharType="begin"/>
      </w:r>
      <w:r>
        <w:rPr>
          <w:color w:val="auto"/>
          <w:highlight w:val="none"/>
        </w:rPr>
        <w:instrText xml:space="preserve"> PAGEREF _Toc29092 \h </w:instrText>
      </w:r>
      <w:r>
        <w:rPr>
          <w:color w:val="auto"/>
          <w:highlight w:val="none"/>
        </w:rPr>
        <w:fldChar w:fldCharType="separate"/>
      </w:r>
      <w:r>
        <w:rPr>
          <w:color w:val="auto"/>
          <w:highlight w:val="none"/>
        </w:rPr>
        <w:t>- 40 -</w:t>
      </w:r>
      <w:r>
        <w:rPr>
          <w:color w:val="auto"/>
          <w:highlight w:val="none"/>
        </w:rPr>
        <w:fldChar w:fldCharType="end"/>
      </w:r>
      <w:r>
        <w:rPr>
          <w:rFonts w:hint="eastAsia" w:ascii="宋体" w:hAnsi="宋体" w:eastAsia="宋体" w:cs="宋体"/>
          <w:color w:val="auto"/>
          <w:szCs w:val="21"/>
          <w:highlight w:val="none"/>
        </w:rPr>
        <w:fldChar w:fldCharType="end"/>
      </w:r>
    </w:p>
    <w:p w14:paraId="7C296E80">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_Toc24902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rPr>
        <w:t>三、评标其他要求</w:t>
      </w:r>
      <w:r>
        <w:rPr>
          <w:color w:val="auto"/>
          <w:highlight w:val="none"/>
        </w:rPr>
        <w:tab/>
      </w:r>
      <w:r>
        <w:rPr>
          <w:color w:val="auto"/>
          <w:highlight w:val="none"/>
        </w:rPr>
        <w:fldChar w:fldCharType="begin"/>
      </w:r>
      <w:r>
        <w:rPr>
          <w:color w:val="auto"/>
          <w:highlight w:val="none"/>
        </w:rPr>
        <w:instrText xml:space="preserve"> PAGEREF _Toc24902 \h </w:instrText>
      </w:r>
      <w:r>
        <w:rPr>
          <w:color w:val="auto"/>
          <w:highlight w:val="none"/>
        </w:rPr>
        <w:fldChar w:fldCharType="separate"/>
      </w:r>
      <w:r>
        <w:rPr>
          <w:color w:val="auto"/>
          <w:highlight w:val="none"/>
        </w:rPr>
        <w:t>- 45 -</w:t>
      </w:r>
      <w:r>
        <w:rPr>
          <w:color w:val="auto"/>
          <w:highlight w:val="none"/>
        </w:rPr>
        <w:fldChar w:fldCharType="end"/>
      </w:r>
      <w:r>
        <w:rPr>
          <w:rFonts w:hint="eastAsia" w:ascii="宋体" w:hAnsi="宋体" w:eastAsia="宋体" w:cs="宋体"/>
          <w:color w:val="auto"/>
          <w:szCs w:val="21"/>
          <w:highlight w:val="none"/>
        </w:rPr>
        <w:fldChar w:fldCharType="end"/>
      </w:r>
    </w:p>
    <w:p w14:paraId="0E9A58D7">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_Toc18741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9"/>
          <w:szCs w:val="28"/>
          <w:highlight w:val="none"/>
        </w:rPr>
        <w:t>四、评标标准</w:t>
      </w:r>
      <w:r>
        <w:rPr>
          <w:color w:val="auto"/>
          <w:highlight w:val="none"/>
        </w:rPr>
        <w:tab/>
      </w:r>
      <w:r>
        <w:rPr>
          <w:color w:val="auto"/>
          <w:highlight w:val="none"/>
        </w:rPr>
        <w:fldChar w:fldCharType="begin"/>
      </w:r>
      <w:r>
        <w:rPr>
          <w:color w:val="auto"/>
          <w:highlight w:val="none"/>
        </w:rPr>
        <w:instrText xml:space="preserve"> PAGEREF _Toc18741 \h </w:instrText>
      </w:r>
      <w:r>
        <w:rPr>
          <w:color w:val="auto"/>
          <w:highlight w:val="none"/>
        </w:rPr>
        <w:fldChar w:fldCharType="separate"/>
      </w:r>
      <w:r>
        <w:rPr>
          <w:color w:val="auto"/>
          <w:highlight w:val="none"/>
        </w:rPr>
        <w:t>- 46 -</w:t>
      </w:r>
      <w:r>
        <w:rPr>
          <w:color w:val="auto"/>
          <w:highlight w:val="none"/>
        </w:rPr>
        <w:fldChar w:fldCharType="end"/>
      </w:r>
      <w:r>
        <w:rPr>
          <w:rFonts w:hint="eastAsia" w:ascii="宋体" w:hAnsi="宋体" w:eastAsia="宋体" w:cs="宋体"/>
          <w:color w:val="auto"/>
          <w:szCs w:val="21"/>
          <w:highlight w:val="none"/>
        </w:rPr>
        <w:fldChar w:fldCharType="end"/>
      </w:r>
    </w:p>
    <w:p w14:paraId="2A7A5CB4">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_Toc18485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5"/>
          <w:szCs w:val="24"/>
          <w:highlight w:val="none"/>
        </w:rPr>
        <w:t>（一）符合性审查表</w:t>
      </w:r>
      <w:r>
        <w:rPr>
          <w:color w:val="auto"/>
          <w:highlight w:val="none"/>
        </w:rPr>
        <w:tab/>
      </w:r>
      <w:r>
        <w:rPr>
          <w:color w:val="auto"/>
          <w:highlight w:val="none"/>
        </w:rPr>
        <w:fldChar w:fldCharType="begin"/>
      </w:r>
      <w:r>
        <w:rPr>
          <w:color w:val="auto"/>
          <w:highlight w:val="none"/>
        </w:rPr>
        <w:instrText xml:space="preserve"> PAGEREF _Toc18485 \h </w:instrText>
      </w:r>
      <w:r>
        <w:rPr>
          <w:color w:val="auto"/>
          <w:highlight w:val="none"/>
        </w:rPr>
        <w:fldChar w:fldCharType="separate"/>
      </w:r>
      <w:r>
        <w:rPr>
          <w:color w:val="auto"/>
          <w:highlight w:val="none"/>
        </w:rPr>
        <w:t>- 46 -</w:t>
      </w:r>
      <w:r>
        <w:rPr>
          <w:color w:val="auto"/>
          <w:highlight w:val="none"/>
        </w:rPr>
        <w:fldChar w:fldCharType="end"/>
      </w:r>
      <w:r>
        <w:rPr>
          <w:rFonts w:hint="eastAsia" w:ascii="宋体" w:hAnsi="宋体" w:eastAsia="宋体" w:cs="宋体"/>
          <w:color w:val="auto"/>
          <w:szCs w:val="21"/>
          <w:highlight w:val="none"/>
        </w:rPr>
        <w:fldChar w:fldCharType="end"/>
      </w:r>
    </w:p>
    <w:p w14:paraId="5C8F6B3C">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_Toc24953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5"/>
          <w:szCs w:val="28"/>
          <w:highlight w:val="none"/>
        </w:rPr>
        <w:t>实质性响应一览表</w:t>
      </w:r>
      <w:r>
        <w:rPr>
          <w:color w:val="auto"/>
          <w:highlight w:val="none"/>
        </w:rPr>
        <w:tab/>
      </w:r>
      <w:r>
        <w:rPr>
          <w:color w:val="auto"/>
          <w:highlight w:val="none"/>
        </w:rPr>
        <w:fldChar w:fldCharType="begin"/>
      </w:r>
      <w:r>
        <w:rPr>
          <w:color w:val="auto"/>
          <w:highlight w:val="none"/>
        </w:rPr>
        <w:instrText xml:space="preserve"> PAGEREF _Toc24953 \h </w:instrText>
      </w:r>
      <w:r>
        <w:rPr>
          <w:color w:val="auto"/>
          <w:highlight w:val="none"/>
        </w:rPr>
        <w:fldChar w:fldCharType="separate"/>
      </w:r>
      <w:r>
        <w:rPr>
          <w:color w:val="auto"/>
          <w:highlight w:val="none"/>
        </w:rPr>
        <w:t>- 47 -</w:t>
      </w:r>
      <w:r>
        <w:rPr>
          <w:color w:val="auto"/>
          <w:highlight w:val="none"/>
        </w:rPr>
        <w:fldChar w:fldCharType="end"/>
      </w:r>
      <w:r>
        <w:rPr>
          <w:rFonts w:hint="eastAsia" w:ascii="宋体" w:hAnsi="宋体" w:eastAsia="宋体" w:cs="宋体"/>
          <w:color w:val="auto"/>
          <w:szCs w:val="21"/>
          <w:highlight w:val="none"/>
        </w:rPr>
        <w:fldChar w:fldCharType="end"/>
      </w:r>
    </w:p>
    <w:p w14:paraId="193E8969">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_Toc25300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5"/>
          <w:szCs w:val="24"/>
          <w:highlight w:val="none"/>
        </w:rPr>
        <w:t>（二）评分标准</w:t>
      </w:r>
      <w:r>
        <w:rPr>
          <w:color w:val="auto"/>
          <w:highlight w:val="none"/>
        </w:rPr>
        <w:tab/>
      </w:r>
      <w:r>
        <w:rPr>
          <w:color w:val="auto"/>
          <w:highlight w:val="none"/>
        </w:rPr>
        <w:fldChar w:fldCharType="begin"/>
      </w:r>
      <w:r>
        <w:rPr>
          <w:color w:val="auto"/>
          <w:highlight w:val="none"/>
        </w:rPr>
        <w:instrText xml:space="preserve"> PAGEREF _Toc25300 \h </w:instrText>
      </w:r>
      <w:r>
        <w:rPr>
          <w:color w:val="auto"/>
          <w:highlight w:val="none"/>
        </w:rPr>
        <w:fldChar w:fldCharType="separate"/>
      </w:r>
      <w:r>
        <w:rPr>
          <w:color w:val="auto"/>
          <w:highlight w:val="none"/>
        </w:rPr>
        <w:t>- 48 -</w:t>
      </w:r>
      <w:r>
        <w:rPr>
          <w:color w:val="auto"/>
          <w:highlight w:val="none"/>
        </w:rPr>
        <w:fldChar w:fldCharType="end"/>
      </w:r>
      <w:r>
        <w:rPr>
          <w:rFonts w:hint="eastAsia" w:ascii="宋体" w:hAnsi="宋体" w:eastAsia="宋体" w:cs="宋体"/>
          <w:color w:val="auto"/>
          <w:szCs w:val="21"/>
          <w:highlight w:val="none"/>
        </w:rPr>
        <w:fldChar w:fldCharType="end"/>
      </w:r>
    </w:p>
    <w:p w14:paraId="1C8369FA">
      <w:pPr>
        <w:pStyle w:val="27"/>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_Toc1919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w:t>
      </w:r>
      <w:r>
        <w:rPr>
          <w:rFonts w:hint="eastAsia" w:ascii="宋体" w:hAnsi="宋体" w:eastAsia="宋体" w:cs="宋体"/>
          <w:color w:val="auto"/>
          <w:szCs w:val="32"/>
          <w:highlight w:val="none"/>
          <w:lang w:val="en-US" w:eastAsia="zh-CN"/>
        </w:rPr>
        <w:t>六章</w:t>
      </w:r>
      <w:r>
        <w:rPr>
          <w:rFonts w:hint="eastAsia" w:ascii="宋体" w:hAnsi="宋体" w:eastAsia="宋体" w:cs="宋体"/>
          <w:color w:val="auto"/>
          <w:szCs w:val="32"/>
          <w:highlight w:val="none"/>
        </w:rPr>
        <w:t xml:space="preserve"> 政府采购合同</w:t>
      </w:r>
      <w:r>
        <w:rPr>
          <w:color w:val="auto"/>
          <w:highlight w:val="none"/>
        </w:rPr>
        <w:tab/>
      </w:r>
      <w:r>
        <w:rPr>
          <w:color w:val="auto"/>
          <w:highlight w:val="none"/>
        </w:rPr>
        <w:fldChar w:fldCharType="begin"/>
      </w:r>
      <w:r>
        <w:rPr>
          <w:color w:val="auto"/>
          <w:highlight w:val="none"/>
        </w:rPr>
        <w:instrText xml:space="preserve"> PAGEREF _Toc1919 \h </w:instrText>
      </w:r>
      <w:r>
        <w:rPr>
          <w:color w:val="auto"/>
          <w:highlight w:val="none"/>
        </w:rPr>
        <w:fldChar w:fldCharType="separate"/>
      </w:r>
      <w:r>
        <w:rPr>
          <w:color w:val="auto"/>
          <w:highlight w:val="none"/>
        </w:rPr>
        <w:t>- 50 -</w:t>
      </w:r>
      <w:r>
        <w:rPr>
          <w:color w:val="auto"/>
          <w:highlight w:val="none"/>
        </w:rPr>
        <w:fldChar w:fldCharType="end"/>
      </w:r>
      <w:r>
        <w:rPr>
          <w:rFonts w:hint="eastAsia" w:ascii="宋体" w:hAnsi="宋体" w:eastAsia="宋体" w:cs="宋体"/>
          <w:color w:val="auto"/>
          <w:szCs w:val="21"/>
          <w:highlight w:val="none"/>
        </w:rPr>
        <w:fldChar w:fldCharType="end"/>
      </w:r>
    </w:p>
    <w:p w14:paraId="6C9C76C0">
      <w:pPr>
        <w:pStyle w:val="27"/>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_Toc11959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w:t>
      </w:r>
      <w:r>
        <w:rPr>
          <w:rFonts w:hint="eastAsia" w:ascii="宋体" w:hAnsi="宋体" w:eastAsia="宋体" w:cs="宋体"/>
          <w:color w:val="auto"/>
          <w:szCs w:val="32"/>
          <w:highlight w:val="none"/>
          <w:lang w:val="en-US" w:eastAsia="zh-CN"/>
        </w:rPr>
        <w:t xml:space="preserve">七章 </w:t>
      </w:r>
      <w:r>
        <w:rPr>
          <w:rFonts w:hint="eastAsia" w:ascii="宋体" w:hAnsi="宋体" w:eastAsia="宋体" w:cs="宋体"/>
          <w:color w:val="auto"/>
          <w:szCs w:val="32"/>
          <w:highlight w:val="none"/>
        </w:rPr>
        <w:t>投标文件格式</w:t>
      </w:r>
      <w:r>
        <w:rPr>
          <w:color w:val="auto"/>
          <w:highlight w:val="none"/>
        </w:rPr>
        <w:tab/>
      </w:r>
      <w:r>
        <w:rPr>
          <w:color w:val="auto"/>
          <w:highlight w:val="none"/>
        </w:rPr>
        <w:fldChar w:fldCharType="begin"/>
      </w:r>
      <w:r>
        <w:rPr>
          <w:color w:val="auto"/>
          <w:highlight w:val="none"/>
        </w:rPr>
        <w:instrText xml:space="preserve"> PAGEREF _Toc11959 \h </w:instrText>
      </w:r>
      <w:r>
        <w:rPr>
          <w:color w:val="auto"/>
          <w:highlight w:val="none"/>
        </w:rPr>
        <w:fldChar w:fldCharType="separate"/>
      </w:r>
      <w:r>
        <w:rPr>
          <w:color w:val="auto"/>
          <w:highlight w:val="none"/>
        </w:rPr>
        <w:t>- 67 -</w:t>
      </w:r>
      <w:r>
        <w:rPr>
          <w:color w:val="auto"/>
          <w:highlight w:val="none"/>
        </w:rPr>
        <w:fldChar w:fldCharType="end"/>
      </w:r>
      <w:r>
        <w:rPr>
          <w:rFonts w:hint="eastAsia" w:ascii="宋体" w:hAnsi="宋体" w:eastAsia="宋体" w:cs="宋体"/>
          <w:color w:val="auto"/>
          <w:szCs w:val="21"/>
          <w:highlight w:val="none"/>
        </w:rPr>
        <w:fldChar w:fldCharType="end"/>
      </w:r>
    </w:p>
    <w:p w14:paraId="4E3AB97F">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_Toc2836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投标</w:t>
      </w:r>
      <w:r>
        <w:rPr>
          <w:rFonts w:hint="eastAsia" w:ascii="宋体" w:hAnsi="宋体" w:eastAsia="宋体" w:cs="宋体"/>
          <w:color w:val="auto"/>
          <w:szCs w:val="24"/>
          <w:highlight w:val="none"/>
          <w:lang w:eastAsia="zh-CN"/>
        </w:rPr>
        <w:t>文件封面</w:t>
      </w:r>
      <w:r>
        <w:rPr>
          <w:color w:val="auto"/>
          <w:highlight w:val="none"/>
        </w:rPr>
        <w:tab/>
      </w:r>
      <w:r>
        <w:rPr>
          <w:color w:val="auto"/>
          <w:highlight w:val="none"/>
        </w:rPr>
        <w:fldChar w:fldCharType="begin"/>
      </w:r>
      <w:r>
        <w:rPr>
          <w:color w:val="auto"/>
          <w:highlight w:val="none"/>
        </w:rPr>
        <w:instrText xml:space="preserve"> PAGEREF _Toc2836 \h </w:instrText>
      </w:r>
      <w:r>
        <w:rPr>
          <w:color w:val="auto"/>
          <w:highlight w:val="none"/>
        </w:rPr>
        <w:fldChar w:fldCharType="separate"/>
      </w:r>
      <w:r>
        <w:rPr>
          <w:color w:val="auto"/>
          <w:highlight w:val="none"/>
        </w:rPr>
        <w:t>- 67 -</w:t>
      </w:r>
      <w:r>
        <w:rPr>
          <w:color w:val="auto"/>
          <w:highlight w:val="none"/>
        </w:rPr>
        <w:fldChar w:fldCharType="end"/>
      </w:r>
      <w:r>
        <w:rPr>
          <w:rFonts w:hint="eastAsia" w:ascii="宋体" w:hAnsi="宋体" w:eastAsia="宋体" w:cs="宋体"/>
          <w:color w:val="auto"/>
          <w:szCs w:val="21"/>
          <w:highlight w:val="none"/>
        </w:rPr>
        <w:fldChar w:fldCharType="end"/>
      </w:r>
    </w:p>
    <w:p w14:paraId="54CC1831">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_Toc2780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eastAsia="zh-CN"/>
        </w:rPr>
        <w:t>一</w:t>
      </w:r>
      <w:r>
        <w:rPr>
          <w:rFonts w:hint="eastAsia" w:ascii="宋体" w:hAnsi="宋体" w:eastAsia="宋体" w:cs="宋体"/>
          <w:color w:val="auto"/>
          <w:szCs w:val="30"/>
          <w:highlight w:val="none"/>
        </w:rPr>
        <w:t>、资</w:t>
      </w:r>
      <w:r>
        <w:rPr>
          <w:rFonts w:hint="eastAsia" w:ascii="宋体" w:hAnsi="宋体" w:eastAsia="宋体" w:cs="宋体"/>
          <w:color w:val="auto"/>
          <w:szCs w:val="30"/>
          <w:highlight w:val="none"/>
          <w:lang w:eastAsia="zh-CN"/>
        </w:rPr>
        <w:t>格</w:t>
      </w:r>
      <w:r>
        <w:rPr>
          <w:rFonts w:hint="eastAsia" w:ascii="宋体" w:hAnsi="宋体" w:eastAsia="宋体" w:cs="宋体"/>
          <w:color w:val="auto"/>
          <w:szCs w:val="30"/>
          <w:highlight w:val="none"/>
          <w:lang w:val="en-US" w:eastAsia="zh-CN"/>
        </w:rPr>
        <w:t>证明</w:t>
      </w:r>
      <w:r>
        <w:rPr>
          <w:rFonts w:hint="eastAsia" w:ascii="宋体" w:hAnsi="宋体" w:eastAsia="宋体" w:cs="宋体"/>
          <w:color w:val="auto"/>
          <w:szCs w:val="30"/>
          <w:highlight w:val="none"/>
        </w:rPr>
        <w:t>文件</w:t>
      </w:r>
      <w:r>
        <w:rPr>
          <w:color w:val="auto"/>
          <w:highlight w:val="none"/>
        </w:rPr>
        <w:tab/>
      </w:r>
      <w:r>
        <w:rPr>
          <w:color w:val="auto"/>
          <w:highlight w:val="none"/>
        </w:rPr>
        <w:fldChar w:fldCharType="begin"/>
      </w:r>
      <w:r>
        <w:rPr>
          <w:color w:val="auto"/>
          <w:highlight w:val="none"/>
        </w:rPr>
        <w:instrText xml:space="preserve"> PAGEREF _Toc2780 \h </w:instrText>
      </w:r>
      <w:r>
        <w:rPr>
          <w:color w:val="auto"/>
          <w:highlight w:val="none"/>
        </w:rPr>
        <w:fldChar w:fldCharType="separate"/>
      </w:r>
      <w:r>
        <w:rPr>
          <w:color w:val="auto"/>
          <w:highlight w:val="none"/>
        </w:rPr>
        <w:t>- 72 -</w:t>
      </w:r>
      <w:r>
        <w:rPr>
          <w:color w:val="auto"/>
          <w:highlight w:val="none"/>
        </w:rPr>
        <w:fldChar w:fldCharType="end"/>
      </w:r>
      <w:r>
        <w:rPr>
          <w:rFonts w:hint="eastAsia" w:ascii="宋体" w:hAnsi="宋体" w:eastAsia="宋体" w:cs="宋体"/>
          <w:color w:val="auto"/>
          <w:szCs w:val="21"/>
          <w:highlight w:val="none"/>
        </w:rPr>
        <w:fldChar w:fldCharType="end"/>
      </w:r>
    </w:p>
    <w:p w14:paraId="74BC4EDB">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_Toc27674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（一）满足《中华人民共和国政府采购法》第二十二条规定</w:t>
      </w:r>
      <w:r>
        <w:rPr>
          <w:color w:val="auto"/>
          <w:highlight w:val="none"/>
        </w:rPr>
        <w:tab/>
      </w:r>
      <w:r>
        <w:rPr>
          <w:color w:val="auto"/>
          <w:highlight w:val="none"/>
        </w:rPr>
        <w:fldChar w:fldCharType="begin"/>
      </w:r>
      <w:r>
        <w:rPr>
          <w:color w:val="auto"/>
          <w:highlight w:val="none"/>
        </w:rPr>
        <w:instrText xml:space="preserve"> PAGEREF _Toc27674 \h </w:instrText>
      </w:r>
      <w:r>
        <w:rPr>
          <w:color w:val="auto"/>
          <w:highlight w:val="none"/>
        </w:rPr>
        <w:fldChar w:fldCharType="separate"/>
      </w:r>
      <w:r>
        <w:rPr>
          <w:color w:val="auto"/>
          <w:highlight w:val="none"/>
        </w:rPr>
        <w:t>- 72 -</w:t>
      </w:r>
      <w:r>
        <w:rPr>
          <w:color w:val="auto"/>
          <w:highlight w:val="none"/>
        </w:rPr>
        <w:fldChar w:fldCharType="end"/>
      </w:r>
      <w:r>
        <w:rPr>
          <w:rFonts w:hint="eastAsia" w:ascii="宋体" w:hAnsi="宋体" w:eastAsia="宋体" w:cs="宋体"/>
          <w:color w:val="auto"/>
          <w:szCs w:val="21"/>
          <w:highlight w:val="none"/>
        </w:rPr>
        <w:fldChar w:fldCharType="end"/>
      </w:r>
    </w:p>
    <w:p w14:paraId="05A8009D">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_Toc10340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（二）</w:t>
      </w:r>
      <w:r>
        <w:rPr>
          <w:rFonts w:hint="eastAsia"/>
          <w:color w:val="auto"/>
          <w:szCs w:val="28"/>
          <w:highlight w:val="none"/>
          <w:lang w:val="en-US" w:eastAsia="zh-CN"/>
        </w:rPr>
        <w:t>落实政府采购政策相关证明文件</w:t>
      </w:r>
      <w:r>
        <w:rPr>
          <w:color w:val="auto"/>
          <w:highlight w:val="none"/>
        </w:rPr>
        <w:tab/>
      </w:r>
      <w:r>
        <w:rPr>
          <w:color w:val="auto"/>
          <w:highlight w:val="none"/>
        </w:rPr>
        <w:fldChar w:fldCharType="begin"/>
      </w:r>
      <w:r>
        <w:rPr>
          <w:color w:val="auto"/>
          <w:highlight w:val="none"/>
        </w:rPr>
        <w:instrText xml:space="preserve"> PAGEREF _Toc10340 \h </w:instrText>
      </w:r>
      <w:r>
        <w:rPr>
          <w:color w:val="auto"/>
          <w:highlight w:val="none"/>
        </w:rPr>
        <w:fldChar w:fldCharType="separate"/>
      </w:r>
      <w:r>
        <w:rPr>
          <w:color w:val="auto"/>
          <w:highlight w:val="none"/>
        </w:rPr>
        <w:t>- 78 -</w:t>
      </w:r>
      <w:r>
        <w:rPr>
          <w:color w:val="auto"/>
          <w:highlight w:val="none"/>
        </w:rPr>
        <w:fldChar w:fldCharType="end"/>
      </w:r>
      <w:r>
        <w:rPr>
          <w:rFonts w:hint="eastAsia" w:ascii="宋体" w:hAnsi="宋体" w:eastAsia="宋体" w:cs="宋体"/>
          <w:color w:val="auto"/>
          <w:szCs w:val="21"/>
          <w:highlight w:val="none"/>
        </w:rPr>
        <w:fldChar w:fldCharType="end"/>
      </w:r>
    </w:p>
    <w:p w14:paraId="3808B7C2">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_Toc19257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（三）本项目特定资格资质</w:t>
      </w:r>
      <w:r>
        <w:rPr>
          <w:color w:val="auto"/>
          <w:highlight w:val="none"/>
        </w:rPr>
        <w:tab/>
      </w:r>
      <w:r>
        <w:rPr>
          <w:color w:val="auto"/>
          <w:highlight w:val="none"/>
        </w:rPr>
        <w:fldChar w:fldCharType="begin"/>
      </w:r>
      <w:r>
        <w:rPr>
          <w:color w:val="auto"/>
          <w:highlight w:val="none"/>
        </w:rPr>
        <w:instrText xml:space="preserve"> PAGEREF _Toc19257 \h </w:instrText>
      </w:r>
      <w:r>
        <w:rPr>
          <w:color w:val="auto"/>
          <w:highlight w:val="none"/>
        </w:rPr>
        <w:fldChar w:fldCharType="separate"/>
      </w:r>
      <w:r>
        <w:rPr>
          <w:color w:val="auto"/>
          <w:highlight w:val="none"/>
        </w:rPr>
        <w:t>- 82 -</w:t>
      </w:r>
      <w:r>
        <w:rPr>
          <w:color w:val="auto"/>
          <w:highlight w:val="none"/>
        </w:rPr>
        <w:fldChar w:fldCharType="end"/>
      </w:r>
      <w:r>
        <w:rPr>
          <w:rFonts w:hint="eastAsia" w:ascii="宋体" w:hAnsi="宋体" w:eastAsia="宋体" w:cs="宋体"/>
          <w:color w:val="auto"/>
          <w:szCs w:val="21"/>
          <w:highlight w:val="none"/>
        </w:rPr>
        <w:fldChar w:fldCharType="end"/>
      </w:r>
    </w:p>
    <w:p w14:paraId="315545C7">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_Toc5537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w:t>
      </w:r>
      <w:r>
        <w:rPr>
          <w:rFonts w:hint="eastAsia" w:ascii="宋体" w:hAnsi="宋体" w:cs="宋体"/>
          <w:color w:val="auto"/>
          <w:szCs w:val="28"/>
          <w:highlight w:val="none"/>
          <w:lang w:val="en-US" w:eastAsia="zh-CN"/>
        </w:rPr>
        <w:t>四</w:t>
      </w:r>
      <w:r>
        <w:rPr>
          <w:rFonts w:hint="eastAsia" w:ascii="宋体" w:hAnsi="宋体" w:eastAsia="宋体" w:cs="宋体"/>
          <w:color w:val="auto"/>
          <w:szCs w:val="28"/>
          <w:highlight w:val="none"/>
          <w:lang w:val="en-US" w:eastAsia="zh-CN"/>
        </w:rPr>
        <w:t>）</w:t>
      </w:r>
      <w:r>
        <w:rPr>
          <w:rFonts w:hint="eastAsia" w:ascii="宋体" w:hAnsi="宋体" w:eastAsia="宋体" w:cs="宋体"/>
          <w:color w:val="auto"/>
          <w:szCs w:val="28"/>
          <w:highlight w:val="none"/>
          <w:lang w:val="zh-CN" w:eastAsia="zh-CN"/>
        </w:rPr>
        <w:t>联合体协议书【如适用】</w:t>
      </w:r>
      <w:r>
        <w:rPr>
          <w:color w:val="auto"/>
          <w:highlight w:val="none"/>
        </w:rPr>
        <w:tab/>
      </w:r>
      <w:r>
        <w:rPr>
          <w:color w:val="auto"/>
          <w:highlight w:val="none"/>
        </w:rPr>
        <w:fldChar w:fldCharType="begin"/>
      </w:r>
      <w:r>
        <w:rPr>
          <w:color w:val="auto"/>
          <w:highlight w:val="none"/>
        </w:rPr>
        <w:instrText xml:space="preserve"> PAGEREF _Toc5537 \h </w:instrText>
      </w:r>
      <w:r>
        <w:rPr>
          <w:color w:val="auto"/>
          <w:highlight w:val="none"/>
        </w:rPr>
        <w:fldChar w:fldCharType="separate"/>
      </w:r>
      <w:r>
        <w:rPr>
          <w:color w:val="auto"/>
          <w:highlight w:val="none"/>
        </w:rPr>
        <w:t>- 83 -</w:t>
      </w:r>
      <w:r>
        <w:rPr>
          <w:color w:val="auto"/>
          <w:highlight w:val="none"/>
        </w:rPr>
        <w:fldChar w:fldCharType="end"/>
      </w:r>
      <w:r>
        <w:rPr>
          <w:rFonts w:hint="eastAsia" w:ascii="宋体" w:hAnsi="宋体" w:eastAsia="宋体" w:cs="宋体"/>
          <w:color w:val="auto"/>
          <w:szCs w:val="21"/>
          <w:highlight w:val="none"/>
        </w:rPr>
        <w:fldChar w:fldCharType="end"/>
      </w:r>
    </w:p>
    <w:p w14:paraId="7710B4C8">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_Toc25585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w:t>
      </w:r>
      <w:r>
        <w:rPr>
          <w:rFonts w:hint="eastAsia" w:ascii="宋体" w:hAnsi="宋体" w:cs="宋体"/>
          <w:color w:val="auto"/>
          <w:szCs w:val="28"/>
          <w:highlight w:val="none"/>
          <w:lang w:val="en-US" w:eastAsia="zh-CN"/>
        </w:rPr>
        <w:t>五</w:t>
      </w:r>
      <w:r>
        <w:rPr>
          <w:rFonts w:hint="eastAsia" w:ascii="宋体" w:hAnsi="宋体" w:eastAsia="宋体" w:cs="宋体"/>
          <w:color w:val="auto"/>
          <w:szCs w:val="28"/>
          <w:highlight w:val="none"/>
          <w:lang w:val="en-US" w:eastAsia="zh-CN"/>
        </w:rPr>
        <w:t>）</w:t>
      </w:r>
      <w:r>
        <w:rPr>
          <w:rFonts w:hint="eastAsia" w:ascii="宋体" w:hAnsi="宋体" w:eastAsia="宋体" w:cs="宋体"/>
          <w:color w:val="auto"/>
          <w:szCs w:val="28"/>
          <w:highlight w:val="none"/>
          <w:lang w:val="zh-CN" w:eastAsia="zh-CN"/>
        </w:rPr>
        <w:t>分包意向协议书【如适用】</w:t>
      </w:r>
      <w:r>
        <w:rPr>
          <w:color w:val="auto"/>
          <w:highlight w:val="none"/>
        </w:rPr>
        <w:tab/>
      </w:r>
      <w:r>
        <w:rPr>
          <w:color w:val="auto"/>
          <w:highlight w:val="none"/>
        </w:rPr>
        <w:fldChar w:fldCharType="begin"/>
      </w:r>
      <w:r>
        <w:rPr>
          <w:color w:val="auto"/>
          <w:highlight w:val="none"/>
        </w:rPr>
        <w:instrText xml:space="preserve"> PAGEREF _Toc25585 \h </w:instrText>
      </w:r>
      <w:r>
        <w:rPr>
          <w:color w:val="auto"/>
          <w:highlight w:val="none"/>
        </w:rPr>
        <w:fldChar w:fldCharType="separate"/>
      </w:r>
      <w:r>
        <w:rPr>
          <w:color w:val="auto"/>
          <w:highlight w:val="none"/>
        </w:rPr>
        <w:t>- 85 -</w:t>
      </w:r>
      <w:r>
        <w:rPr>
          <w:color w:val="auto"/>
          <w:highlight w:val="none"/>
        </w:rPr>
        <w:fldChar w:fldCharType="end"/>
      </w:r>
      <w:r>
        <w:rPr>
          <w:rFonts w:hint="eastAsia" w:ascii="宋体" w:hAnsi="宋体" w:eastAsia="宋体" w:cs="宋体"/>
          <w:color w:val="auto"/>
          <w:szCs w:val="21"/>
          <w:highlight w:val="none"/>
        </w:rPr>
        <w:fldChar w:fldCharType="end"/>
      </w:r>
    </w:p>
    <w:p w14:paraId="54540469">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_Toc27610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（六）不参与围标串标承诺书</w:t>
      </w:r>
      <w:r>
        <w:rPr>
          <w:color w:val="auto"/>
          <w:highlight w:val="none"/>
        </w:rPr>
        <w:tab/>
      </w:r>
      <w:r>
        <w:rPr>
          <w:color w:val="auto"/>
          <w:highlight w:val="none"/>
        </w:rPr>
        <w:fldChar w:fldCharType="begin"/>
      </w:r>
      <w:r>
        <w:rPr>
          <w:color w:val="auto"/>
          <w:highlight w:val="none"/>
        </w:rPr>
        <w:instrText xml:space="preserve"> PAGEREF _Toc27610 \h </w:instrText>
      </w:r>
      <w:r>
        <w:rPr>
          <w:color w:val="auto"/>
          <w:highlight w:val="none"/>
        </w:rPr>
        <w:fldChar w:fldCharType="separate"/>
      </w:r>
      <w:r>
        <w:rPr>
          <w:color w:val="auto"/>
          <w:highlight w:val="none"/>
        </w:rPr>
        <w:t>- 86 -</w:t>
      </w:r>
      <w:r>
        <w:rPr>
          <w:color w:val="auto"/>
          <w:highlight w:val="none"/>
        </w:rPr>
        <w:fldChar w:fldCharType="end"/>
      </w:r>
      <w:r>
        <w:rPr>
          <w:rFonts w:hint="eastAsia" w:ascii="宋体" w:hAnsi="宋体" w:eastAsia="宋体" w:cs="宋体"/>
          <w:color w:val="auto"/>
          <w:szCs w:val="21"/>
          <w:highlight w:val="none"/>
        </w:rPr>
        <w:fldChar w:fldCharType="end"/>
      </w:r>
    </w:p>
    <w:p w14:paraId="4E91E44D">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_Toc18760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（七）不提供虚假材料谋取中标承诺书</w:t>
      </w:r>
      <w:r>
        <w:rPr>
          <w:color w:val="auto"/>
          <w:highlight w:val="none"/>
        </w:rPr>
        <w:tab/>
      </w:r>
      <w:r>
        <w:rPr>
          <w:color w:val="auto"/>
          <w:highlight w:val="none"/>
        </w:rPr>
        <w:fldChar w:fldCharType="begin"/>
      </w:r>
      <w:r>
        <w:rPr>
          <w:color w:val="auto"/>
          <w:highlight w:val="none"/>
        </w:rPr>
        <w:instrText xml:space="preserve"> PAGEREF _Toc18760 \h </w:instrText>
      </w:r>
      <w:r>
        <w:rPr>
          <w:color w:val="auto"/>
          <w:highlight w:val="none"/>
        </w:rPr>
        <w:fldChar w:fldCharType="separate"/>
      </w:r>
      <w:r>
        <w:rPr>
          <w:color w:val="auto"/>
          <w:highlight w:val="none"/>
        </w:rPr>
        <w:t>- 87 -</w:t>
      </w:r>
      <w:r>
        <w:rPr>
          <w:color w:val="auto"/>
          <w:highlight w:val="none"/>
        </w:rPr>
        <w:fldChar w:fldCharType="end"/>
      </w:r>
      <w:r>
        <w:rPr>
          <w:rFonts w:hint="eastAsia" w:ascii="宋体" w:hAnsi="宋体" w:eastAsia="宋体" w:cs="宋体"/>
          <w:color w:val="auto"/>
          <w:szCs w:val="21"/>
          <w:highlight w:val="none"/>
        </w:rPr>
        <w:fldChar w:fldCharType="end"/>
      </w:r>
    </w:p>
    <w:p w14:paraId="072EC93E">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_Toc10354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w:t>
      </w:r>
      <w:r>
        <w:rPr>
          <w:rFonts w:hint="eastAsia" w:ascii="宋体" w:hAnsi="宋体" w:cs="宋体"/>
          <w:color w:val="auto"/>
          <w:szCs w:val="28"/>
          <w:highlight w:val="none"/>
          <w:lang w:val="en-US" w:eastAsia="zh-CN"/>
        </w:rPr>
        <w:t>八</w:t>
      </w:r>
      <w:r>
        <w:rPr>
          <w:rFonts w:hint="eastAsia" w:ascii="宋体" w:hAnsi="宋体" w:eastAsia="宋体" w:cs="宋体"/>
          <w:color w:val="auto"/>
          <w:szCs w:val="28"/>
          <w:highlight w:val="none"/>
          <w:lang w:val="en-US" w:eastAsia="zh-CN"/>
        </w:rPr>
        <w:t>）其他资格证明文件</w:t>
      </w:r>
      <w:r>
        <w:rPr>
          <w:color w:val="auto"/>
          <w:highlight w:val="none"/>
        </w:rPr>
        <w:tab/>
      </w:r>
      <w:r>
        <w:rPr>
          <w:color w:val="auto"/>
          <w:highlight w:val="none"/>
        </w:rPr>
        <w:fldChar w:fldCharType="begin"/>
      </w:r>
      <w:r>
        <w:rPr>
          <w:color w:val="auto"/>
          <w:highlight w:val="none"/>
        </w:rPr>
        <w:instrText xml:space="preserve"> PAGEREF _Toc10354 \h </w:instrText>
      </w:r>
      <w:r>
        <w:rPr>
          <w:color w:val="auto"/>
          <w:highlight w:val="none"/>
        </w:rPr>
        <w:fldChar w:fldCharType="separate"/>
      </w:r>
      <w:r>
        <w:rPr>
          <w:color w:val="auto"/>
          <w:highlight w:val="none"/>
        </w:rPr>
        <w:t>- 88 -</w:t>
      </w:r>
      <w:r>
        <w:rPr>
          <w:color w:val="auto"/>
          <w:highlight w:val="none"/>
        </w:rPr>
        <w:fldChar w:fldCharType="end"/>
      </w:r>
      <w:r>
        <w:rPr>
          <w:rFonts w:hint="eastAsia" w:ascii="宋体" w:hAnsi="宋体" w:eastAsia="宋体" w:cs="宋体"/>
          <w:color w:val="auto"/>
          <w:szCs w:val="21"/>
          <w:highlight w:val="none"/>
        </w:rPr>
        <w:fldChar w:fldCharType="end"/>
      </w:r>
    </w:p>
    <w:p w14:paraId="6208C76A">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_Toc24517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二</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投标</w:t>
      </w:r>
      <w:r>
        <w:rPr>
          <w:rFonts w:hint="eastAsia" w:ascii="宋体" w:hAnsi="宋体" w:eastAsia="宋体" w:cs="宋体"/>
          <w:color w:val="auto"/>
          <w:szCs w:val="24"/>
          <w:highlight w:val="none"/>
          <w:lang w:eastAsia="zh-CN"/>
        </w:rPr>
        <w:t>报价文件</w:t>
      </w:r>
      <w:r>
        <w:rPr>
          <w:color w:val="auto"/>
          <w:highlight w:val="none"/>
        </w:rPr>
        <w:tab/>
      </w:r>
      <w:r>
        <w:rPr>
          <w:color w:val="auto"/>
          <w:highlight w:val="none"/>
        </w:rPr>
        <w:fldChar w:fldCharType="begin"/>
      </w:r>
      <w:r>
        <w:rPr>
          <w:color w:val="auto"/>
          <w:highlight w:val="none"/>
        </w:rPr>
        <w:instrText xml:space="preserve"> PAGEREF _Toc24517 \h </w:instrText>
      </w:r>
      <w:r>
        <w:rPr>
          <w:color w:val="auto"/>
          <w:highlight w:val="none"/>
        </w:rPr>
        <w:fldChar w:fldCharType="separate"/>
      </w:r>
      <w:r>
        <w:rPr>
          <w:color w:val="auto"/>
          <w:highlight w:val="none"/>
        </w:rPr>
        <w:t>- 89 -</w:t>
      </w:r>
      <w:r>
        <w:rPr>
          <w:color w:val="auto"/>
          <w:highlight w:val="none"/>
        </w:rPr>
        <w:fldChar w:fldCharType="end"/>
      </w:r>
      <w:r>
        <w:rPr>
          <w:rFonts w:hint="eastAsia" w:ascii="宋体" w:hAnsi="宋体" w:eastAsia="宋体" w:cs="宋体"/>
          <w:color w:val="auto"/>
          <w:szCs w:val="21"/>
          <w:highlight w:val="none"/>
        </w:rPr>
        <w:fldChar w:fldCharType="end"/>
      </w:r>
    </w:p>
    <w:p w14:paraId="0050075F">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_Toc18889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（一）开标一览表</w:t>
      </w:r>
      <w:r>
        <w:rPr>
          <w:color w:val="auto"/>
          <w:highlight w:val="none"/>
        </w:rPr>
        <w:tab/>
      </w:r>
      <w:r>
        <w:rPr>
          <w:color w:val="auto"/>
          <w:highlight w:val="none"/>
        </w:rPr>
        <w:fldChar w:fldCharType="begin"/>
      </w:r>
      <w:r>
        <w:rPr>
          <w:color w:val="auto"/>
          <w:highlight w:val="none"/>
        </w:rPr>
        <w:instrText xml:space="preserve"> PAGEREF _Toc18889 \h </w:instrText>
      </w:r>
      <w:r>
        <w:rPr>
          <w:color w:val="auto"/>
          <w:highlight w:val="none"/>
        </w:rPr>
        <w:fldChar w:fldCharType="separate"/>
      </w:r>
      <w:r>
        <w:rPr>
          <w:color w:val="auto"/>
          <w:highlight w:val="none"/>
        </w:rPr>
        <w:t>- 89 -</w:t>
      </w:r>
      <w:r>
        <w:rPr>
          <w:color w:val="auto"/>
          <w:highlight w:val="none"/>
        </w:rPr>
        <w:fldChar w:fldCharType="end"/>
      </w:r>
      <w:r>
        <w:rPr>
          <w:rFonts w:hint="eastAsia" w:ascii="宋体" w:hAnsi="宋体" w:eastAsia="宋体" w:cs="宋体"/>
          <w:color w:val="auto"/>
          <w:szCs w:val="21"/>
          <w:highlight w:val="none"/>
        </w:rPr>
        <w:fldChar w:fldCharType="end"/>
      </w:r>
    </w:p>
    <w:p w14:paraId="68ABD6DC">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_Toc28789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（二）报价明细表</w:t>
      </w:r>
      <w:r>
        <w:rPr>
          <w:color w:val="auto"/>
          <w:highlight w:val="none"/>
        </w:rPr>
        <w:tab/>
      </w:r>
      <w:r>
        <w:rPr>
          <w:color w:val="auto"/>
          <w:highlight w:val="none"/>
        </w:rPr>
        <w:fldChar w:fldCharType="begin"/>
      </w:r>
      <w:r>
        <w:rPr>
          <w:color w:val="auto"/>
          <w:highlight w:val="none"/>
        </w:rPr>
        <w:instrText xml:space="preserve"> PAGEREF _Toc28789 \h </w:instrText>
      </w:r>
      <w:r>
        <w:rPr>
          <w:color w:val="auto"/>
          <w:highlight w:val="none"/>
        </w:rPr>
        <w:fldChar w:fldCharType="separate"/>
      </w:r>
      <w:r>
        <w:rPr>
          <w:color w:val="auto"/>
          <w:highlight w:val="none"/>
        </w:rPr>
        <w:t>- 90 -</w:t>
      </w:r>
      <w:r>
        <w:rPr>
          <w:color w:val="auto"/>
          <w:highlight w:val="none"/>
        </w:rPr>
        <w:fldChar w:fldCharType="end"/>
      </w:r>
      <w:r>
        <w:rPr>
          <w:rFonts w:hint="eastAsia" w:ascii="宋体" w:hAnsi="宋体" w:eastAsia="宋体" w:cs="宋体"/>
          <w:color w:val="auto"/>
          <w:szCs w:val="21"/>
          <w:highlight w:val="none"/>
        </w:rPr>
        <w:fldChar w:fldCharType="end"/>
      </w:r>
    </w:p>
    <w:p w14:paraId="52383291">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_Toc20538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三</w:t>
      </w:r>
      <w:r>
        <w:rPr>
          <w:rFonts w:hint="eastAsia" w:ascii="宋体" w:hAnsi="宋体" w:eastAsia="宋体" w:cs="宋体"/>
          <w:color w:val="auto"/>
          <w:szCs w:val="24"/>
          <w:highlight w:val="none"/>
          <w:lang w:eastAsia="zh-CN"/>
        </w:rPr>
        <w:t>）</w:t>
      </w:r>
      <w:r>
        <w:rPr>
          <w:rFonts w:hint="eastAsia" w:ascii="Times New Roman" w:hAnsi="Times New Roman" w:eastAsia="宋体" w:cs="Times New Roman"/>
          <w:color w:val="auto"/>
          <w:szCs w:val="24"/>
          <w:highlight w:val="none"/>
          <w:lang w:val="en-US" w:eastAsia="zh-CN"/>
        </w:rPr>
        <w:t>关于符合本国产品标准的声明函或财政部规定的其他证明文件</w:t>
      </w:r>
      <w:r>
        <w:rPr>
          <w:color w:val="auto"/>
          <w:highlight w:val="none"/>
        </w:rPr>
        <w:tab/>
      </w:r>
      <w:r>
        <w:rPr>
          <w:color w:val="auto"/>
          <w:highlight w:val="none"/>
        </w:rPr>
        <w:fldChar w:fldCharType="begin"/>
      </w:r>
      <w:r>
        <w:rPr>
          <w:color w:val="auto"/>
          <w:highlight w:val="none"/>
        </w:rPr>
        <w:instrText xml:space="preserve"> PAGEREF _Toc20538 \h </w:instrText>
      </w:r>
      <w:r>
        <w:rPr>
          <w:color w:val="auto"/>
          <w:highlight w:val="none"/>
        </w:rPr>
        <w:fldChar w:fldCharType="separate"/>
      </w:r>
      <w:r>
        <w:rPr>
          <w:color w:val="auto"/>
          <w:highlight w:val="none"/>
        </w:rPr>
        <w:t>- 91 -</w:t>
      </w:r>
      <w:r>
        <w:rPr>
          <w:color w:val="auto"/>
          <w:highlight w:val="none"/>
        </w:rPr>
        <w:fldChar w:fldCharType="end"/>
      </w:r>
      <w:r>
        <w:rPr>
          <w:rFonts w:hint="eastAsia" w:ascii="宋体" w:hAnsi="宋体" w:eastAsia="宋体" w:cs="宋体"/>
          <w:color w:val="auto"/>
          <w:szCs w:val="21"/>
          <w:highlight w:val="none"/>
        </w:rPr>
        <w:fldChar w:fldCharType="end"/>
      </w:r>
    </w:p>
    <w:p w14:paraId="7074E162">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_Toc28608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三</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商务技术文件</w:t>
      </w:r>
      <w:r>
        <w:rPr>
          <w:color w:val="auto"/>
          <w:highlight w:val="none"/>
        </w:rPr>
        <w:tab/>
      </w:r>
      <w:r>
        <w:rPr>
          <w:color w:val="auto"/>
          <w:highlight w:val="none"/>
        </w:rPr>
        <w:fldChar w:fldCharType="begin"/>
      </w:r>
      <w:r>
        <w:rPr>
          <w:color w:val="auto"/>
          <w:highlight w:val="none"/>
        </w:rPr>
        <w:instrText xml:space="preserve"> PAGEREF _Toc28608 \h </w:instrText>
      </w:r>
      <w:r>
        <w:rPr>
          <w:color w:val="auto"/>
          <w:highlight w:val="none"/>
        </w:rPr>
        <w:fldChar w:fldCharType="separate"/>
      </w:r>
      <w:r>
        <w:rPr>
          <w:color w:val="auto"/>
          <w:highlight w:val="none"/>
        </w:rPr>
        <w:t>- 93 -</w:t>
      </w:r>
      <w:r>
        <w:rPr>
          <w:color w:val="auto"/>
          <w:highlight w:val="none"/>
        </w:rPr>
        <w:fldChar w:fldCharType="end"/>
      </w:r>
      <w:r>
        <w:rPr>
          <w:rFonts w:hint="eastAsia" w:ascii="宋体" w:hAnsi="宋体" w:eastAsia="宋体" w:cs="宋体"/>
          <w:color w:val="auto"/>
          <w:szCs w:val="21"/>
          <w:highlight w:val="none"/>
        </w:rPr>
        <w:fldChar w:fldCharType="end"/>
      </w:r>
    </w:p>
    <w:p w14:paraId="1D8789D0">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_Toc26141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（一）</w:t>
      </w:r>
      <w:r>
        <w:rPr>
          <w:rFonts w:hint="eastAsia" w:ascii="宋体" w:hAnsi="宋体" w:eastAsia="宋体" w:cs="宋体"/>
          <w:color w:val="auto"/>
          <w:szCs w:val="24"/>
          <w:highlight w:val="none"/>
        </w:rPr>
        <w:t>投标函</w:t>
      </w:r>
      <w:r>
        <w:rPr>
          <w:color w:val="auto"/>
          <w:highlight w:val="none"/>
        </w:rPr>
        <w:tab/>
      </w:r>
      <w:r>
        <w:rPr>
          <w:color w:val="auto"/>
          <w:highlight w:val="none"/>
        </w:rPr>
        <w:fldChar w:fldCharType="begin"/>
      </w:r>
      <w:r>
        <w:rPr>
          <w:color w:val="auto"/>
          <w:highlight w:val="none"/>
        </w:rPr>
        <w:instrText xml:space="preserve"> PAGEREF _Toc26141 \h </w:instrText>
      </w:r>
      <w:r>
        <w:rPr>
          <w:color w:val="auto"/>
          <w:highlight w:val="none"/>
        </w:rPr>
        <w:fldChar w:fldCharType="separate"/>
      </w:r>
      <w:r>
        <w:rPr>
          <w:color w:val="auto"/>
          <w:highlight w:val="none"/>
        </w:rPr>
        <w:t>- 93 -</w:t>
      </w:r>
      <w:r>
        <w:rPr>
          <w:color w:val="auto"/>
          <w:highlight w:val="none"/>
        </w:rPr>
        <w:fldChar w:fldCharType="end"/>
      </w:r>
      <w:r>
        <w:rPr>
          <w:rFonts w:hint="eastAsia" w:ascii="宋体" w:hAnsi="宋体" w:eastAsia="宋体" w:cs="宋体"/>
          <w:color w:val="auto"/>
          <w:szCs w:val="21"/>
          <w:highlight w:val="none"/>
        </w:rPr>
        <w:fldChar w:fldCharType="end"/>
      </w:r>
    </w:p>
    <w:p w14:paraId="07C5EC71">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_Toc4074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二</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法定代表人（单位负责人）身份证明</w:t>
      </w:r>
      <w:r>
        <w:rPr>
          <w:color w:val="auto"/>
          <w:highlight w:val="none"/>
        </w:rPr>
        <w:tab/>
      </w:r>
      <w:r>
        <w:rPr>
          <w:color w:val="auto"/>
          <w:highlight w:val="none"/>
        </w:rPr>
        <w:fldChar w:fldCharType="begin"/>
      </w:r>
      <w:r>
        <w:rPr>
          <w:color w:val="auto"/>
          <w:highlight w:val="none"/>
        </w:rPr>
        <w:instrText xml:space="preserve"> PAGEREF _Toc4074 \h </w:instrText>
      </w:r>
      <w:r>
        <w:rPr>
          <w:color w:val="auto"/>
          <w:highlight w:val="none"/>
        </w:rPr>
        <w:fldChar w:fldCharType="separate"/>
      </w:r>
      <w:r>
        <w:rPr>
          <w:color w:val="auto"/>
          <w:highlight w:val="none"/>
        </w:rPr>
        <w:t>- 95 -</w:t>
      </w:r>
      <w:r>
        <w:rPr>
          <w:color w:val="auto"/>
          <w:highlight w:val="none"/>
        </w:rPr>
        <w:fldChar w:fldCharType="end"/>
      </w:r>
      <w:r>
        <w:rPr>
          <w:rFonts w:hint="eastAsia" w:ascii="宋体" w:hAnsi="宋体" w:eastAsia="宋体" w:cs="宋体"/>
          <w:color w:val="auto"/>
          <w:szCs w:val="21"/>
          <w:highlight w:val="none"/>
        </w:rPr>
        <w:fldChar w:fldCharType="end"/>
      </w:r>
    </w:p>
    <w:p w14:paraId="2E5AABDA">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_Toc2251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三</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授权委托书</w:t>
      </w:r>
      <w:r>
        <w:rPr>
          <w:color w:val="auto"/>
          <w:highlight w:val="none"/>
        </w:rPr>
        <w:tab/>
      </w:r>
      <w:r>
        <w:rPr>
          <w:color w:val="auto"/>
          <w:highlight w:val="none"/>
        </w:rPr>
        <w:fldChar w:fldCharType="begin"/>
      </w:r>
      <w:r>
        <w:rPr>
          <w:color w:val="auto"/>
          <w:highlight w:val="none"/>
        </w:rPr>
        <w:instrText xml:space="preserve"> PAGEREF _Toc2251 \h </w:instrText>
      </w:r>
      <w:r>
        <w:rPr>
          <w:color w:val="auto"/>
          <w:highlight w:val="none"/>
        </w:rPr>
        <w:fldChar w:fldCharType="separate"/>
      </w:r>
      <w:r>
        <w:rPr>
          <w:color w:val="auto"/>
          <w:highlight w:val="none"/>
        </w:rPr>
        <w:t>- 96 -</w:t>
      </w:r>
      <w:r>
        <w:rPr>
          <w:color w:val="auto"/>
          <w:highlight w:val="none"/>
        </w:rPr>
        <w:fldChar w:fldCharType="end"/>
      </w:r>
      <w:r>
        <w:rPr>
          <w:rFonts w:hint="eastAsia" w:ascii="宋体" w:hAnsi="宋体" w:eastAsia="宋体" w:cs="宋体"/>
          <w:color w:val="auto"/>
          <w:szCs w:val="21"/>
          <w:highlight w:val="none"/>
        </w:rPr>
        <w:fldChar w:fldCharType="end"/>
      </w:r>
    </w:p>
    <w:p w14:paraId="510D1F3A">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_Toc9341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四</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政府采购投标人廉洁自律承诺书</w:t>
      </w:r>
      <w:r>
        <w:rPr>
          <w:color w:val="auto"/>
          <w:highlight w:val="none"/>
        </w:rPr>
        <w:tab/>
      </w:r>
      <w:r>
        <w:rPr>
          <w:color w:val="auto"/>
          <w:highlight w:val="none"/>
        </w:rPr>
        <w:fldChar w:fldCharType="begin"/>
      </w:r>
      <w:r>
        <w:rPr>
          <w:color w:val="auto"/>
          <w:highlight w:val="none"/>
        </w:rPr>
        <w:instrText xml:space="preserve"> PAGEREF _Toc9341 \h </w:instrText>
      </w:r>
      <w:r>
        <w:rPr>
          <w:color w:val="auto"/>
          <w:highlight w:val="none"/>
        </w:rPr>
        <w:fldChar w:fldCharType="separate"/>
      </w:r>
      <w:r>
        <w:rPr>
          <w:color w:val="auto"/>
          <w:highlight w:val="none"/>
        </w:rPr>
        <w:t>- 97 -</w:t>
      </w:r>
      <w:r>
        <w:rPr>
          <w:color w:val="auto"/>
          <w:highlight w:val="none"/>
        </w:rPr>
        <w:fldChar w:fldCharType="end"/>
      </w:r>
      <w:r>
        <w:rPr>
          <w:rFonts w:hint="eastAsia" w:ascii="宋体" w:hAnsi="宋体" w:eastAsia="宋体" w:cs="宋体"/>
          <w:color w:val="auto"/>
          <w:szCs w:val="21"/>
          <w:highlight w:val="none"/>
        </w:rPr>
        <w:fldChar w:fldCharType="end"/>
      </w:r>
    </w:p>
    <w:p w14:paraId="3D6042A7">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_Toc17109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五</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实质性响应一览表</w:t>
      </w:r>
      <w:r>
        <w:rPr>
          <w:color w:val="auto"/>
          <w:highlight w:val="none"/>
        </w:rPr>
        <w:tab/>
      </w:r>
      <w:r>
        <w:rPr>
          <w:color w:val="auto"/>
          <w:highlight w:val="none"/>
        </w:rPr>
        <w:fldChar w:fldCharType="begin"/>
      </w:r>
      <w:r>
        <w:rPr>
          <w:color w:val="auto"/>
          <w:highlight w:val="none"/>
        </w:rPr>
        <w:instrText xml:space="preserve"> PAGEREF _Toc17109 \h </w:instrText>
      </w:r>
      <w:r>
        <w:rPr>
          <w:color w:val="auto"/>
          <w:highlight w:val="none"/>
        </w:rPr>
        <w:fldChar w:fldCharType="separate"/>
      </w:r>
      <w:r>
        <w:rPr>
          <w:color w:val="auto"/>
          <w:highlight w:val="none"/>
        </w:rPr>
        <w:t>- 98 -</w:t>
      </w:r>
      <w:r>
        <w:rPr>
          <w:color w:val="auto"/>
          <w:highlight w:val="none"/>
        </w:rPr>
        <w:fldChar w:fldCharType="end"/>
      </w:r>
      <w:r>
        <w:rPr>
          <w:rFonts w:hint="eastAsia" w:ascii="宋体" w:hAnsi="宋体" w:eastAsia="宋体" w:cs="宋体"/>
          <w:color w:val="auto"/>
          <w:szCs w:val="21"/>
          <w:highlight w:val="none"/>
        </w:rPr>
        <w:fldChar w:fldCharType="end"/>
      </w:r>
    </w:p>
    <w:p w14:paraId="270979B8">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_Toc17975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六</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商务响应偏离表</w:t>
      </w:r>
      <w:r>
        <w:rPr>
          <w:color w:val="auto"/>
          <w:highlight w:val="none"/>
        </w:rPr>
        <w:tab/>
      </w:r>
      <w:r>
        <w:rPr>
          <w:color w:val="auto"/>
          <w:highlight w:val="none"/>
        </w:rPr>
        <w:fldChar w:fldCharType="begin"/>
      </w:r>
      <w:r>
        <w:rPr>
          <w:color w:val="auto"/>
          <w:highlight w:val="none"/>
        </w:rPr>
        <w:instrText xml:space="preserve"> PAGEREF _Toc17975 \h </w:instrText>
      </w:r>
      <w:r>
        <w:rPr>
          <w:color w:val="auto"/>
          <w:highlight w:val="none"/>
        </w:rPr>
        <w:fldChar w:fldCharType="separate"/>
      </w:r>
      <w:r>
        <w:rPr>
          <w:color w:val="auto"/>
          <w:highlight w:val="none"/>
        </w:rPr>
        <w:t>- 99 -</w:t>
      </w:r>
      <w:r>
        <w:rPr>
          <w:color w:val="auto"/>
          <w:highlight w:val="none"/>
        </w:rPr>
        <w:fldChar w:fldCharType="end"/>
      </w:r>
      <w:r>
        <w:rPr>
          <w:rFonts w:hint="eastAsia" w:ascii="宋体" w:hAnsi="宋体" w:eastAsia="宋体" w:cs="宋体"/>
          <w:color w:val="auto"/>
          <w:szCs w:val="21"/>
          <w:highlight w:val="none"/>
        </w:rPr>
        <w:fldChar w:fldCharType="end"/>
      </w:r>
    </w:p>
    <w:p w14:paraId="6107D849">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_Toc18629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七</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业绩证明文件</w:t>
      </w:r>
      <w:r>
        <w:rPr>
          <w:color w:val="auto"/>
          <w:highlight w:val="none"/>
        </w:rPr>
        <w:tab/>
      </w:r>
      <w:r>
        <w:rPr>
          <w:color w:val="auto"/>
          <w:highlight w:val="none"/>
        </w:rPr>
        <w:fldChar w:fldCharType="begin"/>
      </w:r>
      <w:r>
        <w:rPr>
          <w:color w:val="auto"/>
          <w:highlight w:val="none"/>
        </w:rPr>
        <w:instrText xml:space="preserve"> PAGEREF _Toc18629 \h </w:instrText>
      </w:r>
      <w:r>
        <w:rPr>
          <w:color w:val="auto"/>
          <w:highlight w:val="none"/>
        </w:rPr>
        <w:fldChar w:fldCharType="separate"/>
      </w:r>
      <w:r>
        <w:rPr>
          <w:color w:val="auto"/>
          <w:highlight w:val="none"/>
        </w:rPr>
        <w:t>- 100 -</w:t>
      </w:r>
      <w:r>
        <w:rPr>
          <w:color w:val="auto"/>
          <w:highlight w:val="none"/>
        </w:rPr>
        <w:fldChar w:fldCharType="end"/>
      </w:r>
      <w:r>
        <w:rPr>
          <w:rFonts w:hint="eastAsia" w:ascii="宋体" w:hAnsi="宋体" w:eastAsia="宋体" w:cs="宋体"/>
          <w:color w:val="auto"/>
          <w:szCs w:val="21"/>
          <w:highlight w:val="none"/>
        </w:rPr>
        <w:fldChar w:fldCharType="end"/>
      </w:r>
    </w:p>
    <w:p w14:paraId="71724D08">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_Toc25390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八</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拟派项目团队</w:t>
      </w:r>
      <w:r>
        <w:rPr>
          <w:color w:val="auto"/>
          <w:highlight w:val="none"/>
        </w:rPr>
        <w:tab/>
      </w:r>
      <w:r>
        <w:rPr>
          <w:color w:val="auto"/>
          <w:highlight w:val="none"/>
        </w:rPr>
        <w:fldChar w:fldCharType="begin"/>
      </w:r>
      <w:r>
        <w:rPr>
          <w:color w:val="auto"/>
          <w:highlight w:val="none"/>
        </w:rPr>
        <w:instrText xml:space="preserve"> PAGEREF _Toc25390 \h </w:instrText>
      </w:r>
      <w:r>
        <w:rPr>
          <w:color w:val="auto"/>
          <w:highlight w:val="none"/>
        </w:rPr>
        <w:fldChar w:fldCharType="separate"/>
      </w:r>
      <w:r>
        <w:rPr>
          <w:color w:val="auto"/>
          <w:highlight w:val="none"/>
        </w:rPr>
        <w:t>- 101 -</w:t>
      </w:r>
      <w:r>
        <w:rPr>
          <w:color w:val="auto"/>
          <w:highlight w:val="none"/>
        </w:rPr>
        <w:fldChar w:fldCharType="end"/>
      </w:r>
      <w:r>
        <w:rPr>
          <w:rFonts w:hint="eastAsia" w:ascii="宋体" w:hAnsi="宋体" w:eastAsia="宋体" w:cs="宋体"/>
          <w:color w:val="auto"/>
          <w:szCs w:val="21"/>
          <w:highlight w:val="none"/>
        </w:rPr>
        <w:fldChar w:fldCharType="end"/>
      </w:r>
    </w:p>
    <w:p w14:paraId="554CB68C">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_Toc5416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w:t>
      </w:r>
      <w:r>
        <w:rPr>
          <w:rFonts w:hint="eastAsia" w:ascii="宋体" w:hAnsi="宋体" w:cs="宋体"/>
          <w:color w:val="auto"/>
          <w:szCs w:val="24"/>
          <w:highlight w:val="none"/>
          <w:lang w:val="en-US" w:eastAsia="zh-CN"/>
        </w:rPr>
        <w:t>九</w:t>
      </w:r>
      <w:r>
        <w:rPr>
          <w:rFonts w:hint="eastAsia" w:ascii="宋体" w:hAnsi="宋体" w:eastAsia="宋体" w:cs="宋体"/>
          <w:color w:val="auto"/>
          <w:szCs w:val="24"/>
          <w:highlight w:val="none"/>
          <w:lang w:eastAsia="zh-CN"/>
        </w:rPr>
        <w:t>）所投产品的相关技术、证明资料</w:t>
      </w:r>
      <w:r>
        <w:rPr>
          <w:color w:val="auto"/>
          <w:highlight w:val="none"/>
        </w:rPr>
        <w:tab/>
      </w:r>
      <w:r>
        <w:rPr>
          <w:color w:val="auto"/>
          <w:highlight w:val="none"/>
        </w:rPr>
        <w:fldChar w:fldCharType="begin"/>
      </w:r>
      <w:r>
        <w:rPr>
          <w:color w:val="auto"/>
          <w:highlight w:val="none"/>
        </w:rPr>
        <w:instrText xml:space="preserve"> PAGEREF _Toc5416 \h </w:instrText>
      </w:r>
      <w:r>
        <w:rPr>
          <w:color w:val="auto"/>
          <w:highlight w:val="none"/>
        </w:rPr>
        <w:fldChar w:fldCharType="separate"/>
      </w:r>
      <w:r>
        <w:rPr>
          <w:color w:val="auto"/>
          <w:highlight w:val="none"/>
        </w:rPr>
        <w:t>- 102 -</w:t>
      </w:r>
      <w:r>
        <w:rPr>
          <w:color w:val="auto"/>
          <w:highlight w:val="none"/>
        </w:rPr>
        <w:fldChar w:fldCharType="end"/>
      </w:r>
      <w:r>
        <w:rPr>
          <w:rFonts w:hint="eastAsia" w:ascii="宋体" w:hAnsi="宋体" w:eastAsia="宋体" w:cs="宋体"/>
          <w:color w:val="auto"/>
          <w:szCs w:val="21"/>
          <w:highlight w:val="none"/>
        </w:rPr>
        <w:fldChar w:fldCharType="end"/>
      </w:r>
    </w:p>
    <w:p w14:paraId="43FAD40F">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_Toc1351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十</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技术响应偏离表</w:t>
      </w:r>
      <w:r>
        <w:rPr>
          <w:color w:val="auto"/>
          <w:highlight w:val="none"/>
        </w:rPr>
        <w:tab/>
      </w:r>
      <w:r>
        <w:rPr>
          <w:color w:val="auto"/>
          <w:highlight w:val="none"/>
        </w:rPr>
        <w:fldChar w:fldCharType="begin"/>
      </w:r>
      <w:r>
        <w:rPr>
          <w:color w:val="auto"/>
          <w:highlight w:val="none"/>
        </w:rPr>
        <w:instrText xml:space="preserve"> PAGEREF _Toc1351 \h </w:instrText>
      </w:r>
      <w:r>
        <w:rPr>
          <w:color w:val="auto"/>
          <w:highlight w:val="none"/>
        </w:rPr>
        <w:fldChar w:fldCharType="separate"/>
      </w:r>
      <w:r>
        <w:rPr>
          <w:color w:val="auto"/>
          <w:highlight w:val="none"/>
        </w:rPr>
        <w:t>- 103 -</w:t>
      </w:r>
      <w:r>
        <w:rPr>
          <w:color w:val="auto"/>
          <w:highlight w:val="none"/>
        </w:rPr>
        <w:fldChar w:fldCharType="end"/>
      </w:r>
      <w:r>
        <w:rPr>
          <w:rFonts w:hint="eastAsia" w:ascii="宋体" w:hAnsi="宋体" w:eastAsia="宋体" w:cs="宋体"/>
          <w:color w:val="auto"/>
          <w:szCs w:val="21"/>
          <w:highlight w:val="none"/>
        </w:rPr>
        <w:fldChar w:fldCharType="end"/>
      </w:r>
    </w:p>
    <w:p w14:paraId="66D55862">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_Toc17846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十</w:t>
      </w:r>
      <w:r>
        <w:rPr>
          <w:rFonts w:hint="eastAsia" w:ascii="宋体" w:hAnsi="宋体" w:cs="宋体"/>
          <w:color w:val="auto"/>
          <w:szCs w:val="24"/>
          <w:highlight w:val="none"/>
          <w:lang w:val="en-US" w:eastAsia="zh-CN"/>
        </w:rPr>
        <w:t>一</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项目实施（服务）方案</w:t>
      </w:r>
      <w:r>
        <w:rPr>
          <w:color w:val="auto"/>
          <w:highlight w:val="none"/>
        </w:rPr>
        <w:tab/>
      </w:r>
      <w:r>
        <w:rPr>
          <w:color w:val="auto"/>
          <w:highlight w:val="none"/>
        </w:rPr>
        <w:fldChar w:fldCharType="begin"/>
      </w:r>
      <w:r>
        <w:rPr>
          <w:color w:val="auto"/>
          <w:highlight w:val="none"/>
        </w:rPr>
        <w:instrText xml:space="preserve"> PAGEREF _Toc17846 \h </w:instrText>
      </w:r>
      <w:r>
        <w:rPr>
          <w:color w:val="auto"/>
          <w:highlight w:val="none"/>
        </w:rPr>
        <w:fldChar w:fldCharType="separate"/>
      </w:r>
      <w:r>
        <w:rPr>
          <w:color w:val="auto"/>
          <w:highlight w:val="none"/>
        </w:rPr>
        <w:t>- 104 -</w:t>
      </w:r>
      <w:r>
        <w:rPr>
          <w:color w:val="auto"/>
          <w:highlight w:val="none"/>
        </w:rPr>
        <w:fldChar w:fldCharType="end"/>
      </w:r>
      <w:r>
        <w:rPr>
          <w:rFonts w:hint="eastAsia" w:ascii="宋体" w:hAnsi="宋体" w:eastAsia="宋体" w:cs="宋体"/>
          <w:color w:val="auto"/>
          <w:szCs w:val="21"/>
          <w:highlight w:val="none"/>
        </w:rPr>
        <w:fldChar w:fldCharType="end"/>
      </w:r>
    </w:p>
    <w:p w14:paraId="0B4BB871">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_Toc10547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十二</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投标保证金</w:t>
      </w:r>
      <w:r>
        <w:rPr>
          <w:color w:val="auto"/>
          <w:highlight w:val="none"/>
        </w:rPr>
        <w:tab/>
      </w:r>
      <w:r>
        <w:rPr>
          <w:color w:val="auto"/>
          <w:highlight w:val="none"/>
        </w:rPr>
        <w:fldChar w:fldCharType="begin"/>
      </w:r>
      <w:r>
        <w:rPr>
          <w:color w:val="auto"/>
          <w:highlight w:val="none"/>
        </w:rPr>
        <w:instrText xml:space="preserve"> PAGEREF _Toc10547 \h </w:instrText>
      </w:r>
      <w:r>
        <w:rPr>
          <w:color w:val="auto"/>
          <w:highlight w:val="none"/>
        </w:rPr>
        <w:fldChar w:fldCharType="separate"/>
      </w:r>
      <w:r>
        <w:rPr>
          <w:color w:val="auto"/>
          <w:highlight w:val="none"/>
        </w:rPr>
        <w:t>- 105 -</w:t>
      </w:r>
      <w:r>
        <w:rPr>
          <w:color w:val="auto"/>
          <w:highlight w:val="none"/>
        </w:rPr>
        <w:fldChar w:fldCharType="end"/>
      </w:r>
      <w:r>
        <w:rPr>
          <w:rFonts w:hint="eastAsia" w:ascii="宋体" w:hAnsi="宋体" w:eastAsia="宋体" w:cs="宋体"/>
          <w:color w:val="auto"/>
          <w:szCs w:val="21"/>
          <w:highlight w:val="none"/>
        </w:rPr>
        <w:fldChar w:fldCharType="end"/>
      </w:r>
    </w:p>
    <w:p w14:paraId="5995F40B">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_Toc19145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（十</w:t>
      </w:r>
      <w:r>
        <w:rPr>
          <w:rFonts w:hint="eastAsia" w:ascii="宋体" w:hAnsi="宋体" w:cs="宋体"/>
          <w:color w:val="auto"/>
          <w:szCs w:val="24"/>
          <w:highlight w:val="none"/>
          <w:lang w:val="en-US" w:eastAsia="zh-CN"/>
        </w:rPr>
        <w:t>三</w:t>
      </w:r>
      <w:r>
        <w:rPr>
          <w:rFonts w:hint="eastAsia" w:ascii="宋体" w:hAnsi="宋体" w:cs="宋体"/>
          <w:color w:val="auto"/>
          <w:szCs w:val="24"/>
          <w:highlight w:val="none"/>
          <w:lang w:eastAsia="zh-CN"/>
        </w:rPr>
        <w:t>）其他文件</w:t>
      </w:r>
      <w:r>
        <w:rPr>
          <w:color w:val="auto"/>
          <w:highlight w:val="none"/>
        </w:rPr>
        <w:tab/>
      </w:r>
      <w:r>
        <w:rPr>
          <w:color w:val="auto"/>
          <w:highlight w:val="none"/>
        </w:rPr>
        <w:fldChar w:fldCharType="begin"/>
      </w:r>
      <w:r>
        <w:rPr>
          <w:color w:val="auto"/>
          <w:highlight w:val="none"/>
        </w:rPr>
        <w:instrText xml:space="preserve"> PAGEREF _Toc19145 \h </w:instrText>
      </w:r>
      <w:r>
        <w:rPr>
          <w:color w:val="auto"/>
          <w:highlight w:val="none"/>
        </w:rPr>
        <w:fldChar w:fldCharType="separate"/>
      </w:r>
      <w:r>
        <w:rPr>
          <w:color w:val="auto"/>
          <w:highlight w:val="none"/>
        </w:rPr>
        <w:t>- 106 -</w:t>
      </w:r>
      <w:r>
        <w:rPr>
          <w:color w:val="auto"/>
          <w:highlight w:val="none"/>
        </w:rPr>
        <w:fldChar w:fldCharType="end"/>
      </w:r>
      <w:r>
        <w:rPr>
          <w:rFonts w:hint="eastAsia" w:ascii="宋体" w:hAnsi="宋体" w:eastAsia="宋体" w:cs="宋体"/>
          <w:color w:val="auto"/>
          <w:szCs w:val="21"/>
          <w:highlight w:val="none"/>
        </w:rPr>
        <w:fldChar w:fldCharType="end"/>
      </w:r>
    </w:p>
    <w:p w14:paraId="4BD71723">
      <w:pPr>
        <w:pStyle w:val="27"/>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_Toc4754 </w:instrText>
      </w:r>
      <w:r>
        <w:rPr>
          <w:rFonts w:hint="eastAsia" w:ascii="宋体" w:hAnsi="宋体" w:eastAsia="宋体" w:cs="宋体"/>
          <w:color w:val="auto"/>
          <w:szCs w:val="21"/>
          <w:highlight w:val="none"/>
        </w:rPr>
        <w:fldChar w:fldCharType="separate"/>
      </w:r>
      <w:r>
        <w:rPr>
          <w:rFonts w:hint="eastAsia" w:ascii="宋体" w:hAnsi="宋体" w:eastAsia="宋体" w:cs="宋体"/>
          <w:bCs w:val="0"/>
          <w:color w:val="auto"/>
          <w:szCs w:val="32"/>
          <w:highlight w:val="none"/>
        </w:rPr>
        <w:t>第</w:t>
      </w:r>
      <w:r>
        <w:rPr>
          <w:rFonts w:hint="eastAsia" w:ascii="宋体" w:hAnsi="宋体" w:eastAsia="宋体" w:cs="宋体"/>
          <w:bCs w:val="0"/>
          <w:color w:val="auto"/>
          <w:szCs w:val="32"/>
          <w:highlight w:val="none"/>
          <w:lang w:val="en-US" w:eastAsia="zh-CN"/>
        </w:rPr>
        <w:t>八章</w:t>
      </w:r>
      <w:r>
        <w:rPr>
          <w:rFonts w:hint="eastAsia" w:ascii="宋体" w:hAnsi="宋体" w:eastAsia="宋体" w:cs="宋体"/>
          <w:bCs w:val="0"/>
          <w:color w:val="auto"/>
          <w:szCs w:val="32"/>
          <w:highlight w:val="none"/>
        </w:rPr>
        <w:t xml:space="preserve"> 附件</w:t>
      </w:r>
      <w:r>
        <w:rPr>
          <w:color w:val="auto"/>
          <w:highlight w:val="none"/>
        </w:rPr>
        <w:tab/>
      </w:r>
      <w:r>
        <w:rPr>
          <w:color w:val="auto"/>
          <w:highlight w:val="none"/>
        </w:rPr>
        <w:fldChar w:fldCharType="begin"/>
      </w:r>
      <w:r>
        <w:rPr>
          <w:color w:val="auto"/>
          <w:highlight w:val="none"/>
        </w:rPr>
        <w:instrText xml:space="preserve"> PAGEREF _Toc4754 \h </w:instrText>
      </w:r>
      <w:r>
        <w:rPr>
          <w:color w:val="auto"/>
          <w:highlight w:val="none"/>
        </w:rPr>
        <w:fldChar w:fldCharType="separate"/>
      </w:r>
      <w:r>
        <w:rPr>
          <w:color w:val="auto"/>
          <w:highlight w:val="none"/>
        </w:rPr>
        <w:t>- 107 -</w:t>
      </w:r>
      <w:r>
        <w:rPr>
          <w:color w:val="auto"/>
          <w:highlight w:val="none"/>
        </w:rPr>
        <w:fldChar w:fldCharType="end"/>
      </w:r>
      <w:r>
        <w:rPr>
          <w:rFonts w:hint="eastAsia" w:ascii="宋体" w:hAnsi="宋体" w:eastAsia="宋体" w:cs="宋体"/>
          <w:color w:val="auto"/>
          <w:szCs w:val="21"/>
          <w:highlight w:val="none"/>
        </w:rPr>
        <w:fldChar w:fldCharType="end"/>
      </w:r>
    </w:p>
    <w:p w14:paraId="219E28E6">
      <w:pPr>
        <w:pStyle w:val="27"/>
        <w:tabs>
          <w:tab w:val="right" w:leader="dot" w:pos="9637"/>
        </w:tabs>
        <w:rPr>
          <w:rFonts w:hint="eastAsia" w:ascii="宋体" w:hAnsi="宋体" w:eastAsia="宋体" w:cs="宋体"/>
          <w:color w:val="auto"/>
          <w:szCs w:val="21"/>
          <w:highlight w:val="none"/>
        </w:rPr>
        <w:sectPr>
          <w:pgSz w:w="11905" w:h="16838"/>
          <w:pgMar w:top="1134" w:right="1134" w:bottom="1134" w:left="1134" w:header="737" w:footer="737" w:gutter="0"/>
          <w:pgNumType w:fmt="numberInDash"/>
          <w:cols w:space="0" w:num="1"/>
          <w:rtlGutter w:val="0"/>
          <w:docGrid w:linePitch="0" w:charSpace="0"/>
        </w:sectPr>
      </w:pPr>
      <w:r>
        <w:rPr>
          <w:rFonts w:hint="eastAsia" w:ascii="宋体" w:hAnsi="宋体" w:eastAsia="宋体" w:cs="宋体"/>
          <w:color w:val="auto"/>
          <w:szCs w:val="21"/>
          <w:highlight w:val="none"/>
        </w:rPr>
        <w:fldChar w:fldCharType="end"/>
      </w:r>
    </w:p>
    <w:p w14:paraId="6B57BC6F">
      <w:pPr>
        <w:pStyle w:val="2"/>
        <w:keepNext/>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32"/>
          <w:szCs w:val="32"/>
          <w:highlight w:val="none"/>
        </w:rPr>
      </w:pPr>
      <w:bookmarkStart w:id="0" w:name="_Toc298240402"/>
      <w:bookmarkStart w:id="1" w:name="_Toc349573118"/>
      <w:bookmarkStart w:id="2" w:name="_Toc19862"/>
      <w:bookmarkStart w:id="3" w:name="_Toc349637917"/>
      <w:bookmarkStart w:id="4" w:name="_Toc24544"/>
      <w:r>
        <w:rPr>
          <w:rFonts w:hint="eastAsia" w:ascii="宋体" w:hAnsi="宋体" w:eastAsia="宋体" w:cs="宋体"/>
          <w:color w:val="auto"/>
          <w:sz w:val="32"/>
          <w:szCs w:val="32"/>
          <w:highlight w:val="none"/>
        </w:rPr>
        <w:t>第一</w:t>
      </w:r>
      <w:r>
        <w:rPr>
          <w:rFonts w:hint="eastAsia" w:ascii="宋体" w:hAnsi="宋体" w:eastAsia="宋体" w:cs="宋体"/>
          <w:color w:val="auto"/>
          <w:sz w:val="32"/>
          <w:szCs w:val="32"/>
          <w:highlight w:val="none"/>
          <w:lang w:val="en-US" w:eastAsia="zh-CN"/>
        </w:rPr>
        <w:t>章</w:t>
      </w:r>
      <w:r>
        <w:rPr>
          <w:rFonts w:hint="eastAsia" w:ascii="宋体" w:hAnsi="宋体" w:eastAsia="宋体" w:cs="宋体"/>
          <w:color w:val="auto"/>
          <w:sz w:val="32"/>
          <w:szCs w:val="32"/>
          <w:highlight w:val="none"/>
        </w:rPr>
        <w:t xml:space="preserve"> 投标邀请</w:t>
      </w:r>
      <w:bookmarkEnd w:id="0"/>
      <w:bookmarkEnd w:id="1"/>
      <w:bookmarkEnd w:id="2"/>
      <w:bookmarkEnd w:id="3"/>
      <w:bookmarkEnd w:id="4"/>
    </w:p>
    <w:p w14:paraId="1CDAE50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4"/>
          <w:szCs w:val="24"/>
          <w:highlight w:val="none"/>
          <w:lang w:val="en-US" w:eastAsia="zh-CN"/>
        </w:rPr>
      </w:pPr>
      <w:bookmarkStart w:id="5" w:name="_Toc267301280"/>
    </w:p>
    <w:p w14:paraId="6478B11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新疆维吾尔自治区广播电视局八四一台10KW发射机同轴开关更新项目</w:t>
      </w:r>
    </w:p>
    <w:p w14:paraId="05524EE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公开招标公告</w:t>
      </w:r>
    </w:p>
    <w:p w14:paraId="76F2F57E">
      <w:pPr>
        <w:pStyle w:val="18"/>
        <w:keepNext w:val="0"/>
        <w:keepLines w:val="0"/>
        <w:pageBreakBefore w:val="0"/>
        <w:kinsoku/>
        <w:wordWrap/>
        <w:overflowPunct/>
        <w:topLinePunct w:val="0"/>
        <w:autoSpaceDE/>
        <w:autoSpaceDN/>
        <w:bidi w:val="0"/>
        <w:adjustRightInd/>
        <w:snapToGrid w:val="0"/>
        <w:spacing w:before="0" w:beforeAutospacing="0" w:after="0" w:afterAutospacing="0" w:line="400" w:lineRule="exact"/>
        <w:ind w:firstLine="480" w:firstLineChars="200"/>
        <w:textAlignment w:val="auto"/>
        <w:rPr>
          <w:rFonts w:hint="eastAsia" w:ascii="宋体" w:hAnsi="宋体" w:eastAsia="宋体" w:cs="宋体"/>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278B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center"/>
          </w:tcPr>
          <w:p w14:paraId="066228C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项目概况</w:t>
            </w:r>
          </w:p>
          <w:p w14:paraId="00F5D7A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新疆维吾尔自治区广播电视局八四一台10KW发射机同轴开关更新项目</w:t>
            </w:r>
            <w:r>
              <w:rPr>
                <w:rFonts w:hint="eastAsia" w:ascii="宋体" w:hAnsi="宋体" w:eastAsia="宋体" w:cs="宋体"/>
                <w:color w:val="auto"/>
                <w:sz w:val="24"/>
                <w:szCs w:val="24"/>
                <w:highlight w:val="none"/>
                <w:lang w:val="en-US"/>
              </w:rPr>
              <w:t>的潜在投标人应在</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获取招标文件</w:t>
            </w:r>
            <w:r>
              <w:rPr>
                <w:rFonts w:hint="eastAsia" w:ascii="宋体" w:hAnsi="宋体" w:eastAsia="宋体" w:cs="宋体"/>
                <w:color w:val="auto"/>
                <w:sz w:val="24"/>
                <w:szCs w:val="24"/>
                <w:highlight w:val="none"/>
                <w:lang w:val="en-US"/>
              </w:rPr>
              <w:t>，并于</w:t>
            </w:r>
            <w:r>
              <w:rPr>
                <w:rFonts w:hint="eastAsia" w:ascii="宋体" w:hAnsi="宋体" w:cs="宋体"/>
                <w:color w:val="auto"/>
                <w:sz w:val="24"/>
                <w:szCs w:val="24"/>
                <w:highlight w:val="none"/>
                <w:lang w:val="en-US" w:eastAsia="zh-CN"/>
              </w:rPr>
              <w:t>2026年05月11日11:00</w:t>
            </w:r>
            <w:r>
              <w:rPr>
                <w:rFonts w:hint="eastAsia" w:ascii="宋体" w:hAnsi="宋体" w:eastAsia="宋体" w:cs="宋体"/>
                <w:color w:val="auto"/>
                <w:sz w:val="24"/>
                <w:szCs w:val="24"/>
                <w:highlight w:val="none"/>
                <w:lang w:val="en-US"/>
              </w:rPr>
              <w:t>（北京时间）前</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lang w:val="en-US"/>
              </w:rPr>
              <w:t>投标文件</w:t>
            </w:r>
            <w:r>
              <w:rPr>
                <w:rFonts w:hint="eastAsia" w:ascii="宋体" w:hAnsi="宋体" w:eastAsia="宋体" w:cs="宋体"/>
                <w:color w:val="auto"/>
                <w:highlight w:val="none"/>
              </w:rPr>
              <w:t>。</w:t>
            </w:r>
          </w:p>
        </w:tc>
      </w:tr>
    </w:tbl>
    <w:p w14:paraId="40D026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13B169E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57D1E2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XJZN-2026-04240</w:t>
      </w:r>
    </w:p>
    <w:p w14:paraId="0EA616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新疆维吾尔自治区广播电视局八四一台10KW发射机同轴开关更新项目</w:t>
      </w:r>
    </w:p>
    <w:p w14:paraId="47C60E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采购方式：公开招标</w:t>
      </w:r>
    </w:p>
    <w:p w14:paraId="3457DE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224000.00</w:t>
      </w:r>
    </w:p>
    <w:p w14:paraId="2007D6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最高限价（元）：</w:t>
      </w:r>
      <w:r>
        <w:rPr>
          <w:rFonts w:hint="eastAsia" w:ascii="宋体" w:hAnsi="宋体" w:cs="宋体"/>
          <w:color w:val="auto"/>
          <w:sz w:val="24"/>
          <w:szCs w:val="24"/>
          <w:highlight w:val="none"/>
          <w:lang w:val="en-US" w:eastAsia="zh-CN"/>
        </w:rPr>
        <w:t>224000.00</w:t>
      </w:r>
    </w:p>
    <w:p w14:paraId="004AAC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w:t>
      </w:r>
    </w:p>
    <w:p w14:paraId="22ABA8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标项名称：</w:t>
      </w:r>
      <w:r>
        <w:rPr>
          <w:rFonts w:hint="eastAsia" w:ascii="宋体" w:hAnsi="宋体" w:cs="宋体"/>
          <w:color w:val="auto"/>
          <w:sz w:val="24"/>
          <w:szCs w:val="24"/>
          <w:highlight w:val="none"/>
          <w:lang w:val="en-US" w:eastAsia="zh-CN"/>
        </w:rPr>
        <w:t>新疆维吾尔自治区广播电视局八四一台10KW发射机同轴开关更新项目</w:t>
      </w:r>
    </w:p>
    <w:p w14:paraId="76A6BB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lang w:val="en-US" w:eastAsia="zh-CN"/>
        </w:rPr>
        <w:t>1批</w:t>
      </w:r>
    </w:p>
    <w:p w14:paraId="624285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224000.00</w:t>
      </w:r>
    </w:p>
    <w:p w14:paraId="2BC472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i w:val="0"/>
          <w:iCs w:val="0"/>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简要规格描述或项目基本概况介绍、用途：</w:t>
      </w:r>
      <w:r>
        <w:rPr>
          <w:rFonts w:hint="eastAsia" w:ascii="宋体" w:hAnsi="宋体" w:cs="宋体"/>
          <w:i w:val="0"/>
          <w:iCs w:val="0"/>
          <w:color w:val="auto"/>
          <w:sz w:val="24"/>
          <w:szCs w:val="24"/>
          <w:highlight w:val="none"/>
          <w:u w:val="none"/>
          <w:lang w:val="en-US" w:eastAsia="zh-CN"/>
        </w:rPr>
        <w:t>同轴开关1批</w:t>
      </w:r>
    </w:p>
    <w:p w14:paraId="7219DA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r>
        <w:rPr>
          <w:rFonts w:hint="eastAsia" w:ascii="宋体" w:hAnsi="宋体" w:eastAsia="宋体" w:cs="宋体"/>
          <w:color w:val="auto"/>
          <w:sz w:val="24"/>
          <w:szCs w:val="24"/>
          <w:highlight w:val="none"/>
        </w:rPr>
        <w:t>详见采购文件</w:t>
      </w:r>
    </w:p>
    <w:p w14:paraId="26F938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合同履约期限</w:t>
      </w:r>
      <w:r>
        <w:rPr>
          <w:rFonts w:hint="eastAsia" w:ascii="宋体" w:hAnsi="宋体" w:eastAsia="宋体" w:cs="宋体"/>
          <w:color w:val="auto"/>
          <w:sz w:val="24"/>
          <w:szCs w:val="24"/>
          <w:highlight w:val="none"/>
        </w:rPr>
        <w:t>：详见采购文件</w:t>
      </w:r>
    </w:p>
    <w:p w14:paraId="0BCCF7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3F27AC0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581FCD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047B5F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具有独立承担民事责任的能力的投标人；</w:t>
      </w:r>
    </w:p>
    <w:p w14:paraId="66EC3B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具有良好的商业信誉和健全的财务会计制度；</w:t>
      </w:r>
    </w:p>
    <w:p w14:paraId="49761A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具有履行合同所必需的设备和专业技术能力；</w:t>
      </w:r>
    </w:p>
    <w:p w14:paraId="2BC5E0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有依法缴纳税收和社会保障资金的良好记录；</w:t>
      </w:r>
    </w:p>
    <w:p w14:paraId="22DBD7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参加本次采购活动前三年内，在经营活动中没有重大违法记录；</w:t>
      </w:r>
    </w:p>
    <w:p w14:paraId="2E1F4B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法律、行政法规规定的其他条件。</w:t>
      </w:r>
    </w:p>
    <w:p w14:paraId="68080D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专门面向中小企业预留采购项目（含中型、小型、微型企业）。</w:t>
      </w:r>
    </w:p>
    <w:p w14:paraId="519C58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3.本项目的特定资格要求：</w:t>
      </w:r>
      <w:r>
        <w:rPr>
          <w:rFonts w:hint="eastAsia" w:ascii="宋体" w:hAnsi="宋体" w:cs="宋体"/>
          <w:color w:val="auto"/>
          <w:kern w:val="2"/>
          <w:sz w:val="24"/>
          <w:szCs w:val="24"/>
          <w:highlight w:val="none"/>
          <w:lang w:val="en-US" w:eastAsia="zh-CN" w:bidi="ar-SA"/>
        </w:rPr>
        <w:t>无</w:t>
      </w:r>
    </w:p>
    <w:p w14:paraId="6CBFF39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6A7AB1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日至2026年0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日，每天上午00:00至12:00，下午12:00至23:59（北京时间，法定节假日除外）</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平台线上</w:t>
      </w:r>
    </w:p>
    <w:p w14:paraId="37B589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BB880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w:t>
      </w:r>
    </w:p>
    <w:p w14:paraId="31D9ED7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四、提交投标文件截止时间、开标时间和地点</w:t>
      </w:r>
    </w:p>
    <w:p w14:paraId="35336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cs="宋体"/>
          <w:color w:val="auto"/>
          <w:sz w:val="24"/>
          <w:szCs w:val="24"/>
          <w:highlight w:val="none"/>
          <w:lang w:val="en-US" w:eastAsia="zh-CN"/>
        </w:rPr>
        <w:t>2026年05月11日11:00</w:t>
      </w:r>
      <w:r>
        <w:rPr>
          <w:rFonts w:hint="eastAsia" w:ascii="宋体" w:hAnsi="宋体" w:eastAsia="宋体" w:cs="宋体"/>
          <w:color w:val="auto"/>
          <w:sz w:val="24"/>
          <w:szCs w:val="24"/>
          <w:highlight w:val="none"/>
        </w:rPr>
        <w:t>（北京时间）</w:t>
      </w:r>
    </w:p>
    <w:p w14:paraId="63EA89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w:t>
      </w:r>
      <w:r>
        <w:rPr>
          <w:rFonts w:hint="eastAsia" w:ascii="宋体" w:hAnsi="宋体" w:eastAsia="宋体" w:cs="宋体"/>
          <w:color w:val="auto"/>
          <w:sz w:val="24"/>
          <w:szCs w:val="24"/>
          <w:highlight w:val="none"/>
          <w:lang w:val="en-US" w:eastAsia="zh-CN"/>
        </w:rPr>
        <w:t>请登录政采云投标客户端投标</w:t>
      </w:r>
    </w:p>
    <w:p w14:paraId="3E9032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cs="宋体"/>
          <w:color w:val="auto"/>
          <w:sz w:val="24"/>
          <w:szCs w:val="24"/>
          <w:highlight w:val="none"/>
          <w:lang w:val="en-US" w:eastAsia="zh-CN"/>
        </w:rPr>
        <w:t>2026年05月11日11:00</w:t>
      </w:r>
      <w:r>
        <w:rPr>
          <w:rFonts w:hint="eastAsia" w:ascii="宋体" w:hAnsi="宋体" w:eastAsia="宋体" w:cs="宋体"/>
          <w:color w:val="auto"/>
          <w:sz w:val="24"/>
          <w:szCs w:val="24"/>
          <w:highlight w:val="none"/>
        </w:rPr>
        <w:t>（北京时间）</w:t>
      </w:r>
    </w:p>
    <w:p w14:paraId="18975E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开标地点：投标人登录政采云平台https</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//www.zcygov.cn/，进入“项目采购-开标评标-右边选择对应项目点击“进入项目”进入开标大厅</w:t>
      </w:r>
    </w:p>
    <w:p w14:paraId="709E841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p>
    <w:p w14:paraId="7B005C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4B3C5A2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六、其他补充事宜</w:t>
      </w:r>
    </w:p>
    <w:p w14:paraId="71E7F6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本项目实行网上投标，采用电子投标文件。</w:t>
      </w:r>
    </w:p>
    <w:p w14:paraId="7900E7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35A6D3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供应商将政采云电子交易客户端下载、安装完成后，可通过账号密码或CA登录客户端进行投标文件的制作。在使用政采云投标客户端时，建议使用WIN7及以上操作系统。</w:t>
      </w:r>
    </w:p>
    <w:p w14:paraId="09BFFA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递交截止时间前，供应商须随时关注本项目招标公告发布网站（新疆政府采购网http://www.ccgp-xinjiang.gov.cn/）的最新的变更公告、更正公告、澄清公告等相关信息，并对上述查看行为自行承担责任。对于未查看最新的变更公告、更正公告、澄清公告等相关信息，而造成的一切后果，由供应商自行承担。如有问题可拨打政采云客户服务热线</w:t>
      </w:r>
      <w:r>
        <w:rPr>
          <w:rFonts w:hint="eastAsia" w:ascii="宋体" w:hAnsi="宋体" w:eastAsia="宋体" w:cs="宋体"/>
          <w:color w:val="auto"/>
          <w:sz w:val="24"/>
          <w:szCs w:val="24"/>
          <w:highlight w:val="none"/>
          <w:lang w:val="en-US"/>
        </w:rPr>
        <w:t>95763</w:t>
      </w:r>
      <w:r>
        <w:rPr>
          <w:rFonts w:hint="eastAsia" w:ascii="宋体" w:hAnsi="宋体" w:eastAsia="宋体" w:cs="宋体"/>
          <w:color w:val="auto"/>
          <w:sz w:val="24"/>
          <w:szCs w:val="24"/>
          <w:highlight w:val="none"/>
        </w:rPr>
        <w:t>进行咨询。如因供应商自身原因导致在规定时间内无法正常解密的（如：浏览器故障、未安装相关驱动、网络故障、加密CA与解密CA不一致等），采购代理机构不予异常处理，视为供应商自动弃标。</w:t>
      </w:r>
    </w:p>
    <w:p w14:paraId="5318300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七、对本次采购提出询问，请按以下方式联系</w:t>
      </w:r>
    </w:p>
    <w:p w14:paraId="2300A2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314E53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val="en-US" w:eastAsia="zh-CN"/>
        </w:rPr>
        <w:t>新疆维吾尔自治区广播电视局八四一台</w:t>
      </w:r>
    </w:p>
    <w:p w14:paraId="350E83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乌鲁木齐市沙依巴克区高山路841号</w:t>
      </w:r>
    </w:p>
    <w:p w14:paraId="32DC73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吕欣英0991-5112106</w:t>
      </w:r>
    </w:p>
    <w:p w14:paraId="46534A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A3727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新疆中诺项目管理有限公司</w:t>
      </w:r>
    </w:p>
    <w:p w14:paraId="5328D4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乌鲁木齐市克拉玛依西街880号安佳大厦717A</w:t>
      </w:r>
    </w:p>
    <w:p w14:paraId="5114AF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联系人方式：</w:t>
      </w:r>
      <w:r>
        <w:rPr>
          <w:rFonts w:hint="eastAsia" w:ascii="宋体" w:hAnsi="宋体" w:cs="宋体"/>
          <w:color w:val="auto"/>
          <w:sz w:val="24"/>
          <w:szCs w:val="24"/>
          <w:highlight w:val="none"/>
          <w:lang w:val="en-US" w:eastAsia="zh-CN"/>
        </w:rPr>
        <w:t>0991-6612071</w:t>
      </w:r>
    </w:p>
    <w:p w14:paraId="78D3DD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621925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杜澜、张丽丽</w:t>
      </w:r>
    </w:p>
    <w:p w14:paraId="3DA955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话：</w:t>
      </w:r>
      <w:r>
        <w:rPr>
          <w:rFonts w:hint="eastAsia" w:ascii="宋体" w:hAnsi="宋体" w:cs="宋体"/>
          <w:color w:val="auto"/>
          <w:sz w:val="24"/>
          <w:szCs w:val="24"/>
          <w:highlight w:val="none"/>
          <w:lang w:val="en-US" w:eastAsia="zh-CN"/>
        </w:rPr>
        <w:t>0991-6612071</w:t>
      </w:r>
    </w:p>
    <w:p w14:paraId="47D439C4">
      <w:pPr>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br w:type="page"/>
      </w:r>
    </w:p>
    <w:p w14:paraId="289F97A4">
      <w:pPr>
        <w:pStyle w:val="2"/>
        <w:keepNext/>
        <w:keepLines w:val="0"/>
        <w:pageBreakBefore w:val="0"/>
        <w:widowControl w:val="0"/>
        <w:numPr>
          <w:ilvl w:val="0"/>
          <w:numId w:val="0"/>
        </w:numPr>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color w:val="auto"/>
          <w:sz w:val="32"/>
          <w:szCs w:val="32"/>
          <w:highlight w:val="none"/>
        </w:rPr>
      </w:pPr>
      <w:bookmarkStart w:id="6" w:name="_Toc17111"/>
      <w:bookmarkStart w:id="7" w:name="_Toc349637918"/>
      <w:bookmarkStart w:id="8" w:name="_Toc298240403"/>
      <w:bookmarkStart w:id="9" w:name="_Toc2509"/>
      <w:bookmarkStart w:id="10" w:name="_Toc349573119"/>
      <w:r>
        <w:rPr>
          <w:rFonts w:hint="eastAsia" w:ascii="宋体" w:hAnsi="宋体" w:eastAsia="宋体" w:cs="宋体"/>
          <w:color w:val="auto"/>
          <w:sz w:val="32"/>
          <w:szCs w:val="32"/>
          <w:highlight w:val="none"/>
        </w:rPr>
        <w:t>第二</w:t>
      </w:r>
      <w:r>
        <w:rPr>
          <w:rFonts w:hint="eastAsia" w:ascii="宋体" w:hAnsi="宋体" w:eastAsia="宋体" w:cs="宋体"/>
          <w:color w:val="auto"/>
          <w:sz w:val="32"/>
          <w:szCs w:val="32"/>
          <w:highlight w:val="none"/>
          <w:lang w:val="en-US" w:eastAsia="zh-CN"/>
        </w:rPr>
        <w:t>章</w:t>
      </w:r>
      <w:r>
        <w:rPr>
          <w:rFonts w:hint="eastAsia" w:ascii="宋体" w:hAnsi="宋体" w:eastAsia="宋体" w:cs="宋体"/>
          <w:color w:val="auto"/>
          <w:sz w:val="32"/>
          <w:szCs w:val="32"/>
          <w:highlight w:val="none"/>
        </w:rPr>
        <w:t xml:space="preserve"> 投标人须知</w:t>
      </w:r>
      <w:bookmarkEnd w:id="5"/>
      <w:bookmarkEnd w:id="6"/>
      <w:bookmarkEnd w:id="7"/>
      <w:bookmarkEnd w:id="8"/>
      <w:bookmarkEnd w:id="9"/>
      <w:bookmarkEnd w:id="10"/>
    </w:p>
    <w:p w14:paraId="4364BD74">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firstLine="546" w:firstLineChars="200"/>
        <w:jc w:val="both"/>
        <w:textAlignment w:val="baseline"/>
        <w:outlineLvl w:val="1"/>
        <w:rPr>
          <w:rFonts w:hint="eastAsia" w:ascii="宋体" w:hAnsi="宋体" w:eastAsia="宋体" w:cs="宋体"/>
          <w:color w:val="auto"/>
          <w:sz w:val="28"/>
          <w:szCs w:val="28"/>
          <w:highlight w:val="none"/>
        </w:rPr>
      </w:pPr>
      <w:bookmarkStart w:id="11" w:name="_Toc726"/>
      <w:bookmarkStart w:id="12" w:name="_Toc11300"/>
      <w:bookmarkStart w:id="13" w:name="_Toc30495"/>
      <w:r>
        <w:rPr>
          <w:rFonts w:hint="eastAsia" w:ascii="宋体" w:hAnsi="宋体" w:eastAsia="宋体" w:cs="宋体"/>
          <w:b/>
          <w:bCs/>
          <w:color w:val="auto"/>
          <w:spacing w:val="-4"/>
          <w:sz w:val="28"/>
          <w:szCs w:val="28"/>
          <w:highlight w:val="none"/>
        </w:rPr>
        <w:t>一、投标人须知前附表</w:t>
      </w:r>
      <w:bookmarkEnd w:id="11"/>
      <w:bookmarkEnd w:id="12"/>
      <w:bookmarkEnd w:id="13"/>
    </w:p>
    <w:p w14:paraId="2F89D505">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人应仔细阅读本招标文件的第二章“投标人须知”，下面所列资料是对“投标人须知”的具体补充和说明，如有矛盾，应以本表为准。标记“☑”的选项意为适用于本项目，标记“□”的选项意为不适用于本项目。</w:t>
      </w:r>
    </w:p>
    <w:tbl>
      <w:tblPr>
        <w:tblStyle w:val="165"/>
        <w:tblW w:w="96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1737"/>
        <w:gridCol w:w="6929"/>
        <w:gridCol w:w="4"/>
        <w:gridCol w:w="3"/>
        <w:gridCol w:w="6"/>
      </w:tblGrid>
      <w:tr w14:paraId="0B1D0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jc w:val="center"/>
        </w:trPr>
        <w:tc>
          <w:tcPr>
            <w:tcW w:w="974" w:type="dxa"/>
            <w:shd w:val="clear" w:color="auto" w:fill="D8D8D8"/>
            <w:vAlign w:val="center"/>
          </w:tcPr>
          <w:p w14:paraId="628BBAC2">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highlight w:val="none"/>
              </w:rPr>
            </w:pPr>
            <w:r>
              <w:rPr>
                <w:rFonts w:hint="eastAsia" w:ascii="宋体" w:hAnsi="宋体" w:eastAsia="宋体" w:cs="宋体"/>
                <w:b/>
                <w:bCs/>
                <w:color w:val="auto"/>
                <w:spacing w:val="-6"/>
                <w:highlight w:val="none"/>
              </w:rPr>
              <w:t>条款号</w:t>
            </w:r>
          </w:p>
        </w:tc>
        <w:tc>
          <w:tcPr>
            <w:tcW w:w="1737" w:type="dxa"/>
            <w:shd w:val="clear" w:color="auto" w:fill="D8D8D8"/>
            <w:vAlign w:val="center"/>
          </w:tcPr>
          <w:p w14:paraId="6ECAD235">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highlight w:val="none"/>
              </w:rPr>
            </w:pPr>
            <w:r>
              <w:rPr>
                <w:rFonts w:hint="eastAsia" w:ascii="宋体" w:hAnsi="宋体" w:eastAsia="宋体" w:cs="宋体"/>
                <w:b/>
                <w:bCs/>
                <w:color w:val="auto"/>
                <w:spacing w:val="-5"/>
                <w:highlight w:val="none"/>
              </w:rPr>
              <w:t>条款名称</w:t>
            </w:r>
          </w:p>
        </w:tc>
        <w:tc>
          <w:tcPr>
            <w:tcW w:w="6942" w:type="dxa"/>
            <w:gridSpan w:val="4"/>
            <w:shd w:val="clear" w:color="auto" w:fill="D8D8D8"/>
            <w:vAlign w:val="center"/>
          </w:tcPr>
          <w:p w14:paraId="038033A2">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highlight w:val="none"/>
              </w:rPr>
            </w:pPr>
            <w:r>
              <w:rPr>
                <w:rFonts w:hint="eastAsia" w:ascii="宋体" w:hAnsi="宋体" w:eastAsia="宋体" w:cs="宋体"/>
                <w:b/>
                <w:bCs/>
                <w:color w:val="auto"/>
                <w:spacing w:val="-22"/>
                <w:highlight w:val="none"/>
              </w:rPr>
              <w:t>内</w:t>
            </w:r>
            <w:r>
              <w:rPr>
                <w:rFonts w:hint="eastAsia" w:ascii="宋体" w:hAnsi="宋体" w:eastAsia="宋体" w:cs="宋体"/>
                <w:color w:val="auto"/>
                <w:spacing w:val="6"/>
                <w:highlight w:val="none"/>
              </w:rPr>
              <w:t xml:space="preserve">  </w:t>
            </w:r>
            <w:r>
              <w:rPr>
                <w:rFonts w:hint="eastAsia" w:ascii="宋体" w:hAnsi="宋体" w:eastAsia="宋体" w:cs="宋体"/>
                <w:b/>
                <w:bCs/>
                <w:color w:val="auto"/>
                <w:spacing w:val="-22"/>
                <w:highlight w:val="none"/>
              </w:rPr>
              <w:t>容</w:t>
            </w:r>
          </w:p>
        </w:tc>
      </w:tr>
      <w:tr w14:paraId="1175E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jc w:val="center"/>
        </w:trPr>
        <w:tc>
          <w:tcPr>
            <w:tcW w:w="974" w:type="dxa"/>
            <w:vAlign w:val="center"/>
          </w:tcPr>
          <w:p w14:paraId="02C2C820">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5"/>
                <w:highlight w:val="none"/>
              </w:rPr>
              <w:t>2.5</w:t>
            </w:r>
          </w:p>
        </w:tc>
        <w:tc>
          <w:tcPr>
            <w:tcW w:w="1737" w:type="dxa"/>
            <w:vAlign w:val="center"/>
          </w:tcPr>
          <w:p w14:paraId="76A38F55">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spacing w:val="-2"/>
                <w:highlight w:val="none"/>
                <w:lang w:val="en-US" w:eastAsia="zh-CN"/>
              </w:rPr>
              <w:t>核心产品</w:t>
            </w:r>
          </w:p>
        </w:tc>
        <w:tc>
          <w:tcPr>
            <w:tcW w:w="6942" w:type="dxa"/>
            <w:gridSpan w:val="4"/>
            <w:vAlign w:val="center"/>
          </w:tcPr>
          <w:p w14:paraId="25C09DA4">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5"/>
                <w:highlight w:val="none"/>
              </w:rPr>
            </w:pPr>
            <w:r>
              <w:rPr>
                <w:rFonts w:hint="eastAsia" w:cs="宋体"/>
                <w:color w:val="auto"/>
                <w:spacing w:val="-5"/>
                <w:highlight w:val="none"/>
                <w:lang w:eastAsia="zh-CN"/>
              </w:rPr>
              <w:t>□</w:t>
            </w:r>
            <w:r>
              <w:rPr>
                <w:rFonts w:hint="eastAsia" w:ascii="宋体" w:hAnsi="宋体" w:eastAsia="宋体" w:cs="宋体"/>
                <w:color w:val="auto"/>
                <w:spacing w:val="-5"/>
                <w:highlight w:val="none"/>
              </w:rPr>
              <w:t>本项目不适用。</w:t>
            </w:r>
          </w:p>
          <w:p w14:paraId="4F4674FB">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5"/>
                <w:highlight w:val="none"/>
              </w:rPr>
            </w:pPr>
            <w:r>
              <w:rPr>
                <w:rFonts w:hint="eastAsia" w:cs="宋体"/>
                <w:color w:val="auto"/>
                <w:spacing w:val="-5"/>
                <w:highlight w:val="none"/>
                <w:lang w:eastAsia="zh-CN"/>
              </w:rPr>
              <w:t>☑</w:t>
            </w:r>
            <w:r>
              <w:rPr>
                <w:rFonts w:hint="eastAsia" w:ascii="宋体" w:hAnsi="宋体" w:eastAsia="宋体" w:cs="宋体"/>
                <w:color w:val="auto"/>
                <w:spacing w:val="-5"/>
                <w:highlight w:val="none"/>
              </w:rPr>
              <w:t>本项目为单一产品采购项目。</w:t>
            </w:r>
          </w:p>
          <w:p w14:paraId="37BD0538">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5"/>
                <w:highlight w:val="none"/>
                <w:lang w:eastAsia="zh-CN"/>
              </w:rPr>
            </w:pPr>
            <w:r>
              <w:rPr>
                <w:rFonts w:hint="eastAsia" w:cs="宋体"/>
                <w:color w:val="auto"/>
                <w:spacing w:val="-5"/>
                <w:highlight w:val="none"/>
                <w:lang w:eastAsia="zh-CN"/>
              </w:rPr>
              <w:t>□</w:t>
            </w:r>
            <w:r>
              <w:rPr>
                <w:rFonts w:hint="eastAsia" w:ascii="宋体" w:hAnsi="宋体" w:eastAsia="宋体" w:cs="宋体"/>
                <w:color w:val="auto"/>
                <w:spacing w:val="-5"/>
                <w:highlight w:val="none"/>
              </w:rPr>
              <w:t>本项目为非单一产品采购项目，其中</w:t>
            </w:r>
            <w:r>
              <w:rPr>
                <w:rFonts w:hint="eastAsia" w:ascii="宋体" w:hAnsi="宋体" w:eastAsia="宋体" w:cs="宋体"/>
                <w:color w:val="auto"/>
                <w:spacing w:val="-5"/>
                <w:highlight w:val="none"/>
                <w:lang w:eastAsia="zh-CN"/>
              </w:rPr>
              <w:t>：</w:t>
            </w:r>
          </w:p>
          <w:p w14:paraId="32AD52B1">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highlight w:val="none"/>
              </w:rPr>
            </w:pPr>
            <w:r>
              <w:rPr>
                <w:rFonts w:hint="eastAsia" w:ascii="宋体" w:hAnsi="宋体" w:eastAsia="宋体" w:cs="宋体"/>
                <w:color w:val="auto"/>
                <w:spacing w:val="-5"/>
                <w:highlight w:val="none"/>
              </w:rPr>
              <w:t>核心产品为：</w:t>
            </w:r>
            <w:r>
              <w:rPr>
                <w:rFonts w:hint="eastAsia" w:cs="宋体"/>
                <w:color w:val="auto"/>
                <w:position w:val="3"/>
                <w:highlight w:val="none"/>
                <w:u w:val="single"/>
                <w:lang w:val="en-US" w:eastAsia="zh-CN"/>
              </w:rPr>
              <w:t xml:space="preserve">        </w:t>
            </w:r>
            <w:r>
              <w:rPr>
                <w:rFonts w:hint="eastAsia" w:ascii="宋体" w:hAnsi="宋体" w:eastAsia="宋体" w:cs="宋体"/>
                <w:color w:val="auto"/>
                <w:position w:val="3"/>
                <w:highlight w:val="none"/>
              </w:rPr>
              <w:t>。</w:t>
            </w:r>
          </w:p>
        </w:tc>
      </w:tr>
      <w:tr w14:paraId="0431F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jc w:val="center"/>
        </w:trPr>
        <w:tc>
          <w:tcPr>
            <w:tcW w:w="974" w:type="dxa"/>
            <w:vAlign w:val="center"/>
          </w:tcPr>
          <w:p w14:paraId="452AD4CB">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highlight w:val="none"/>
                <w:lang w:val="en-US" w:eastAsia="zh-CN"/>
              </w:rPr>
            </w:pPr>
            <w:r>
              <w:rPr>
                <w:rFonts w:hint="eastAsia" w:ascii="宋体" w:hAnsi="宋体" w:eastAsia="宋体" w:cs="宋体"/>
                <w:color w:val="auto"/>
                <w:spacing w:val="-5"/>
                <w:highlight w:val="none"/>
                <w:lang w:val="en-US" w:eastAsia="zh-CN"/>
              </w:rPr>
              <w:t>2.6</w:t>
            </w:r>
          </w:p>
        </w:tc>
        <w:tc>
          <w:tcPr>
            <w:tcW w:w="1737" w:type="dxa"/>
            <w:vAlign w:val="center"/>
          </w:tcPr>
          <w:p w14:paraId="30E09DDA">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rPr>
              <w:t>科研仪器设备</w:t>
            </w:r>
          </w:p>
        </w:tc>
        <w:tc>
          <w:tcPr>
            <w:tcW w:w="6942" w:type="dxa"/>
            <w:gridSpan w:val="4"/>
            <w:vAlign w:val="center"/>
          </w:tcPr>
          <w:p w14:paraId="20CF70CB">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是否属于科研仪器设备采购项目：</w:t>
            </w:r>
          </w:p>
          <w:p w14:paraId="1114A277">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□是</w:t>
            </w:r>
          </w:p>
          <w:p w14:paraId="3A95ABD5">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5"/>
                <w:highlight w:val="none"/>
              </w:rPr>
            </w:pP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否</w:t>
            </w:r>
          </w:p>
        </w:tc>
      </w:tr>
      <w:tr w14:paraId="771E8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74" w:type="dxa"/>
            <w:vAlign w:val="center"/>
          </w:tcPr>
          <w:p w14:paraId="1CBC653A">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9.1</w:t>
            </w:r>
          </w:p>
        </w:tc>
        <w:tc>
          <w:tcPr>
            <w:tcW w:w="1737" w:type="dxa"/>
            <w:vAlign w:val="center"/>
          </w:tcPr>
          <w:p w14:paraId="147D8907">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highlight w:val="none"/>
              </w:rPr>
              <w:t>现场考察</w:t>
            </w:r>
          </w:p>
        </w:tc>
        <w:tc>
          <w:tcPr>
            <w:tcW w:w="6942" w:type="dxa"/>
            <w:gridSpan w:val="4"/>
            <w:vAlign w:val="center"/>
          </w:tcPr>
          <w:p w14:paraId="4ACC19E4">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5"/>
                <w:highlight w:val="none"/>
              </w:rPr>
            </w:pP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不组织</w:t>
            </w:r>
          </w:p>
          <w:p w14:paraId="077090CF">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highlight w:val="none"/>
              </w:rPr>
            </w:pPr>
            <w:r>
              <w:rPr>
                <w:rFonts w:hint="eastAsia" w:ascii="宋体" w:hAnsi="宋体" w:eastAsia="宋体" w:cs="宋体"/>
                <w:color w:val="auto"/>
                <w:spacing w:val="-5"/>
                <w:highlight w:val="none"/>
                <w:lang w:eastAsia="zh-CN"/>
              </w:rPr>
              <w:t>□</w:t>
            </w:r>
            <w:r>
              <w:rPr>
                <w:rFonts w:hint="eastAsia" w:ascii="宋体" w:hAnsi="宋体" w:eastAsia="宋体" w:cs="宋体"/>
                <w:color w:val="auto"/>
                <w:spacing w:val="-8"/>
                <w:highlight w:val="none"/>
              </w:rPr>
              <w:t>组织</w:t>
            </w:r>
          </w:p>
          <w:p w14:paraId="13DF05A5">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firstLine="228"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6"/>
                <w:highlight w:val="none"/>
              </w:rPr>
              <w:t>时间：</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6"/>
                <w:highlight w:val="none"/>
              </w:rPr>
              <w:t>。</w:t>
            </w:r>
          </w:p>
          <w:p w14:paraId="73363D81">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firstLine="238"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地点：</w:t>
            </w:r>
            <w:r>
              <w:rPr>
                <w:rFonts w:hint="eastAsia" w:ascii="宋体" w:hAnsi="宋体" w:eastAsia="宋体" w:cs="宋体"/>
                <w:color w:val="auto"/>
                <w:spacing w:val="-1"/>
                <w:highlight w:val="none"/>
                <w:u w:val="single" w:color="auto"/>
              </w:rPr>
              <w:t xml:space="preserve">                     </w:t>
            </w:r>
            <w:r>
              <w:rPr>
                <w:rFonts w:hint="eastAsia" w:ascii="宋体" w:hAnsi="宋体" w:eastAsia="宋体" w:cs="宋体"/>
                <w:color w:val="auto"/>
                <w:spacing w:val="-1"/>
                <w:highlight w:val="none"/>
              </w:rPr>
              <w:t>。</w:t>
            </w:r>
          </w:p>
        </w:tc>
      </w:tr>
      <w:tr w14:paraId="2B7C8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974" w:type="dxa"/>
            <w:vAlign w:val="center"/>
          </w:tcPr>
          <w:p w14:paraId="3519BD5B">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9.5</w:t>
            </w:r>
          </w:p>
        </w:tc>
        <w:tc>
          <w:tcPr>
            <w:tcW w:w="1737" w:type="dxa"/>
            <w:vAlign w:val="center"/>
          </w:tcPr>
          <w:p w14:paraId="7F929502">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答疑会</w:t>
            </w:r>
          </w:p>
        </w:tc>
        <w:tc>
          <w:tcPr>
            <w:tcW w:w="6942" w:type="dxa"/>
            <w:gridSpan w:val="4"/>
            <w:vAlign w:val="center"/>
          </w:tcPr>
          <w:p w14:paraId="3686AC50">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6"/>
                <w:highlight w:val="none"/>
              </w:rPr>
            </w:pPr>
            <w:r>
              <w:rPr>
                <w:rFonts w:hint="eastAsia" w:ascii="宋体" w:hAnsi="宋体" w:eastAsia="宋体" w:cs="宋体"/>
                <w:color w:val="auto"/>
                <w:spacing w:val="-5"/>
                <w:highlight w:val="none"/>
                <w:lang w:eastAsia="zh-CN"/>
              </w:rPr>
              <w:t>☑</w:t>
            </w:r>
            <w:r>
              <w:rPr>
                <w:rFonts w:hint="eastAsia" w:ascii="宋体" w:hAnsi="宋体" w:eastAsia="宋体" w:cs="宋体"/>
                <w:color w:val="auto"/>
                <w:spacing w:val="-6"/>
                <w:highlight w:val="none"/>
              </w:rPr>
              <w:t>不组织</w:t>
            </w:r>
          </w:p>
          <w:p w14:paraId="140D17E1">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highlight w:val="none"/>
              </w:rPr>
            </w:pPr>
            <w:r>
              <w:rPr>
                <w:rFonts w:hint="eastAsia" w:ascii="宋体" w:hAnsi="宋体" w:eastAsia="宋体" w:cs="宋体"/>
                <w:color w:val="auto"/>
                <w:spacing w:val="-5"/>
                <w:highlight w:val="none"/>
                <w:lang w:eastAsia="zh-CN"/>
              </w:rPr>
              <w:t>□</w:t>
            </w:r>
            <w:r>
              <w:rPr>
                <w:rFonts w:hint="eastAsia" w:ascii="宋体" w:hAnsi="宋体" w:eastAsia="宋体" w:cs="宋体"/>
                <w:color w:val="auto"/>
                <w:spacing w:val="-8"/>
                <w:highlight w:val="none"/>
              </w:rPr>
              <w:t>组织</w:t>
            </w:r>
          </w:p>
          <w:p w14:paraId="1A230E30">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firstLine="228"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6"/>
                <w:highlight w:val="none"/>
              </w:rPr>
              <w:t>时间：</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6"/>
                <w:highlight w:val="none"/>
              </w:rPr>
              <w:t>。</w:t>
            </w:r>
          </w:p>
          <w:p w14:paraId="462216F7">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firstLine="238"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地点：</w:t>
            </w:r>
            <w:r>
              <w:rPr>
                <w:rFonts w:hint="eastAsia" w:ascii="宋体" w:hAnsi="宋体" w:eastAsia="宋体" w:cs="宋体"/>
                <w:color w:val="auto"/>
                <w:spacing w:val="-1"/>
                <w:highlight w:val="none"/>
                <w:u w:val="single" w:color="auto"/>
              </w:rPr>
              <w:t xml:space="preserve">                     </w:t>
            </w:r>
            <w:r>
              <w:rPr>
                <w:rFonts w:hint="eastAsia" w:ascii="宋体" w:hAnsi="宋体" w:eastAsia="宋体" w:cs="宋体"/>
                <w:color w:val="auto"/>
                <w:spacing w:val="-1"/>
                <w:highlight w:val="none"/>
              </w:rPr>
              <w:t>。</w:t>
            </w:r>
          </w:p>
        </w:tc>
      </w:tr>
      <w:tr w14:paraId="31485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jc w:val="center"/>
        </w:trPr>
        <w:tc>
          <w:tcPr>
            <w:tcW w:w="974" w:type="dxa"/>
            <w:vAlign w:val="center"/>
          </w:tcPr>
          <w:p w14:paraId="1030359D">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12.1</w:t>
            </w:r>
          </w:p>
        </w:tc>
        <w:tc>
          <w:tcPr>
            <w:tcW w:w="1737" w:type="dxa"/>
            <w:vAlign w:val="center"/>
          </w:tcPr>
          <w:p w14:paraId="432E122F">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5"/>
                <w:highlight w:val="none"/>
              </w:rPr>
              <w:t>询问</w:t>
            </w:r>
          </w:p>
        </w:tc>
        <w:tc>
          <w:tcPr>
            <w:tcW w:w="6942" w:type="dxa"/>
            <w:gridSpan w:val="4"/>
            <w:vAlign w:val="center"/>
          </w:tcPr>
          <w:p w14:paraId="4A6320F6">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1.方式：</w:t>
            </w:r>
          </w:p>
          <w:p w14:paraId="31B78561">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在供应商客户端中按照格式填写询问函，并在生成询问函后加盖电子印章提交，提交后电话通知代理机构</w:t>
            </w:r>
            <w:r>
              <w:rPr>
                <w:rFonts w:hint="eastAsia" w:ascii="宋体" w:hAnsi="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eastAsia="zh-CN"/>
              </w:rPr>
              <w:t>；其他询问方式：</w:t>
            </w:r>
            <w:r>
              <w:rPr>
                <w:rFonts w:hint="eastAsia" w:ascii="宋体" w:hAnsi="宋体" w:cs="宋体"/>
                <w:color w:val="auto"/>
                <w:sz w:val="24"/>
                <w:szCs w:val="24"/>
                <w:highlight w:val="none"/>
                <w:lang w:val="en-US" w:eastAsia="zh-CN"/>
              </w:rPr>
              <w:t>0991-6612071</w:t>
            </w:r>
            <w:r>
              <w:rPr>
                <w:rFonts w:hint="eastAsia" w:ascii="宋体" w:hAnsi="宋体" w:eastAsia="宋体" w:cs="宋体"/>
                <w:color w:val="auto"/>
                <w:sz w:val="24"/>
                <w:szCs w:val="24"/>
                <w:highlight w:val="none"/>
                <w:lang w:eastAsia="zh-CN"/>
              </w:rPr>
              <w:t>。</w:t>
            </w:r>
          </w:p>
          <w:p w14:paraId="6EB2E3F3">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105" w:rightChars="50"/>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2.时间要求：提交首次</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文件截止时间5日前。</w:t>
            </w:r>
          </w:p>
        </w:tc>
      </w:tr>
      <w:tr w14:paraId="5DB98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74" w:type="dxa"/>
            <w:vAlign w:val="center"/>
          </w:tcPr>
          <w:p w14:paraId="1E904261">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15.1</w:t>
            </w:r>
          </w:p>
        </w:tc>
        <w:tc>
          <w:tcPr>
            <w:tcW w:w="1737" w:type="dxa"/>
            <w:vAlign w:val="center"/>
          </w:tcPr>
          <w:p w14:paraId="575C0E4C">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highlight w:val="none"/>
              </w:rPr>
              <w:t>投标有效期</w:t>
            </w:r>
          </w:p>
        </w:tc>
        <w:tc>
          <w:tcPr>
            <w:tcW w:w="6942" w:type="dxa"/>
            <w:gridSpan w:val="4"/>
            <w:vAlign w:val="center"/>
          </w:tcPr>
          <w:p w14:paraId="504E64D8">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投标截止时间后</w:t>
            </w:r>
            <w:r>
              <w:rPr>
                <w:rFonts w:hint="eastAsia" w:ascii="宋体" w:hAnsi="宋体" w:eastAsia="宋体" w:cs="宋体"/>
                <w:color w:val="auto"/>
                <w:spacing w:val="-1"/>
                <w:highlight w:val="none"/>
                <w:lang w:val="en-US" w:eastAsia="zh-CN"/>
              </w:rPr>
              <w:t>90</w:t>
            </w:r>
            <w:r>
              <w:rPr>
                <w:rFonts w:hint="eastAsia" w:ascii="宋体" w:hAnsi="宋体" w:eastAsia="宋体" w:cs="宋体"/>
                <w:color w:val="auto"/>
                <w:spacing w:val="-1"/>
                <w:highlight w:val="none"/>
              </w:rPr>
              <w:t>日历日。</w:t>
            </w:r>
          </w:p>
        </w:tc>
      </w:tr>
      <w:tr w14:paraId="16960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3" w:hRule="atLeast"/>
          <w:jc w:val="center"/>
        </w:trPr>
        <w:tc>
          <w:tcPr>
            <w:tcW w:w="974" w:type="dxa"/>
            <w:vAlign w:val="center"/>
          </w:tcPr>
          <w:p w14:paraId="310D2DE7">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17.1</w:t>
            </w:r>
          </w:p>
        </w:tc>
        <w:tc>
          <w:tcPr>
            <w:tcW w:w="1737" w:type="dxa"/>
            <w:vAlign w:val="center"/>
          </w:tcPr>
          <w:p w14:paraId="114E6EDE">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highlight w:val="none"/>
              </w:rPr>
              <w:t>投标保证金</w:t>
            </w:r>
          </w:p>
        </w:tc>
        <w:tc>
          <w:tcPr>
            <w:tcW w:w="6942" w:type="dxa"/>
            <w:gridSpan w:val="4"/>
            <w:vAlign w:val="center"/>
          </w:tcPr>
          <w:p w14:paraId="5B241450">
            <w:pPr>
              <w:keepNext w:val="0"/>
              <w:keepLines w:val="0"/>
              <w:pageBreakBefore w:val="0"/>
              <w:widowControl w:val="0"/>
              <w:kinsoku/>
              <w:wordWrap w:val="0"/>
              <w:overflowPunct/>
              <w:topLinePunct/>
              <w:autoSpaceDE/>
              <w:autoSpaceDN/>
              <w:bidi w:val="0"/>
              <w:adjustRightInd w:val="0"/>
              <w:snapToGrid w:val="0"/>
              <w:spacing w:line="240" w:lineRule="auto"/>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1.金额：</w:t>
            </w:r>
          </w:p>
          <w:p w14:paraId="7A941538">
            <w:pPr>
              <w:keepNext w:val="0"/>
              <w:keepLines w:val="0"/>
              <w:pageBreakBefore w:val="0"/>
              <w:widowControl w:val="0"/>
              <w:kinsoku/>
              <w:wordWrap w:val="0"/>
              <w:overflowPunct/>
              <w:topLinePunct/>
              <w:autoSpaceDE/>
              <w:autoSpaceDN/>
              <w:bidi w:val="0"/>
              <w:adjustRightInd w:val="0"/>
              <w:snapToGrid w:val="0"/>
              <w:spacing w:line="240" w:lineRule="auto"/>
              <w:ind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□免收</w:t>
            </w:r>
          </w:p>
          <w:p w14:paraId="58F15696">
            <w:pPr>
              <w:keepNext w:val="0"/>
              <w:keepLines w:val="0"/>
              <w:pageBreakBefore w:val="0"/>
              <w:widowControl w:val="0"/>
              <w:kinsoku/>
              <w:wordWrap w:val="0"/>
              <w:overflowPunct/>
              <w:topLinePunct/>
              <w:autoSpaceDE/>
              <w:autoSpaceDN/>
              <w:bidi w:val="0"/>
              <w:adjustRightInd w:val="0"/>
              <w:snapToGrid w:val="0"/>
              <w:spacing w:line="240" w:lineRule="auto"/>
              <w:ind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□预算金额的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5678BA29">
            <w:pPr>
              <w:keepNext w:val="0"/>
              <w:keepLines w:val="0"/>
              <w:pageBreakBefore w:val="0"/>
              <w:widowControl w:val="0"/>
              <w:kinsoku/>
              <w:wordWrap w:val="0"/>
              <w:overflowPunct/>
              <w:topLinePunct/>
              <w:autoSpaceDE/>
              <w:autoSpaceDN/>
              <w:bidi w:val="0"/>
              <w:adjustRightInd w:val="0"/>
              <w:snapToGrid w:val="0"/>
              <w:spacing w:line="240" w:lineRule="auto"/>
              <w:ind w:right="105" w:rightChars="50" w:firstLine="240" w:firstLineChars="100"/>
              <w:jc w:val="both"/>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☑定额收取：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人民币</w:t>
            </w:r>
            <w:r>
              <w:rPr>
                <w:rFonts w:hint="eastAsia" w:ascii="宋体" w:hAnsi="宋体" w:cs="宋体"/>
                <w:color w:val="auto"/>
                <w:sz w:val="24"/>
                <w:szCs w:val="24"/>
                <w:highlight w:val="none"/>
                <w:u w:val="single"/>
                <w:lang w:val="en-US" w:eastAsia="zh-CN"/>
              </w:rPr>
              <w:t xml:space="preserve">）2240元 </w:t>
            </w:r>
          </w:p>
          <w:p w14:paraId="4C2962A8">
            <w:pPr>
              <w:keepNext w:val="0"/>
              <w:keepLines w:val="0"/>
              <w:pageBreakBefore w:val="0"/>
              <w:widowControl w:val="0"/>
              <w:kinsoku/>
              <w:wordWrap w:val="0"/>
              <w:overflowPunct/>
              <w:topLinePunct/>
              <w:autoSpaceDE/>
              <w:autoSpaceDN/>
              <w:bidi w:val="0"/>
              <w:adjustRightInd w:val="0"/>
              <w:snapToGrid w:val="0"/>
              <w:spacing w:line="240" w:lineRule="auto"/>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2.支付方式：</w:t>
            </w:r>
          </w:p>
          <w:p w14:paraId="4E963EA8">
            <w:pPr>
              <w:keepNext w:val="0"/>
              <w:keepLines w:val="0"/>
              <w:pageBreakBefore w:val="0"/>
              <w:widowControl w:val="0"/>
              <w:kinsoku/>
              <w:wordWrap w:val="0"/>
              <w:overflowPunct/>
              <w:topLinePunct/>
              <w:autoSpaceDE/>
              <w:autoSpaceDN/>
              <w:bidi w:val="0"/>
              <w:adjustRightInd w:val="0"/>
              <w:snapToGrid w:val="0"/>
              <w:spacing w:line="240" w:lineRule="auto"/>
              <w:ind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供应商可自主选择以支票、汇票、本票、电汇、转账、网银、保函等非现金形式缴纳或提交保证金。</w:t>
            </w:r>
          </w:p>
          <w:p w14:paraId="7EAB3083">
            <w:pPr>
              <w:keepNext w:val="0"/>
              <w:keepLines w:val="0"/>
              <w:pageBreakBefore w:val="0"/>
              <w:widowControl w:val="0"/>
              <w:kinsoku/>
              <w:wordWrap w:val="0"/>
              <w:overflowPunct/>
              <w:topLinePunct/>
              <w:autoSpaceDE/>
              <w:autoSpaceDN/>
              <w:bidi w:val="0"/>
              <w:adjustRightInd w:val="0"/>
              <w:snapToGrid w:val="0"/>
              <w:spacing w:line="240" w:lineRule="auto"/>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3.收取单位：新疆中诺项目管理有限公司</w:t>
            </w:r>
          </w:p>
          <w:p w14:paraId="51FDAAAA">
            <w:pPr>
              <w:keepNext w:val="0"/>
              <w:keepLines w:val="0"/>
              <w:pageBreakBefore w:val="0"/>
              <w:widowControl w:val="0"/>
              <w:kinsoku/>
              <w:wordWrap w:val="0"/>
              <w:overflowPunct/>
              <w:topLinePunct/>
              <w:autoSpaceDE/>
              <w:autoSpaceDN/>
              <w:bidi w:val="0"/>
              <w:adjustRightInd w:val="0"/>
              <w:snapToGrid w:val="0"/>
              <w:spacing w:line="240" w:lineRule="auto"/>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4.开户银行</w:t>
            </w:r>
            <w:r>
              <w:rPr>
                <w:rFonts w:hint="eastAsia" w:ascii="宋体" w:hAnsi="宋体" w:eastAsia="宋体" w:cs="宋体"/>
                <w:color w:val="auto"/>
                <w:sz w:val="24"/>
                <w:szCs w:val="24"/>
                <w:highlight w:val="none"/>
                <w:lang w:val="en-US" w:eastAsia="zh-CN"/>
              </w:rPr>
              <w:t>及账号</w:t>
            </w:r>
            <w:r>
              <w:rPr>
                <w:rFonts w:hint="eastAsia" w:ascii="宋体" w:hAnsi="宋体" w:eastAsia="宋体" w:cs="宋体"/>
                <w:color w:val="auto"/>
                <w:sz w:val="24"/>
                <w:szCs w:val="24"/>
                <w:highlight w:val="none"/>
                <w:lang w:eastAsia="zh-CN"/>
              </w:rPr>
              <w:t>：</w:t>
            </w:r>
          </w:p>
          <w:p w14:paraId="30859777">
            <w:pPr>
              <w:keepNext w:val="0"/>
              <w:keepLines w:val="0"/>
              <w:pageBreakBefore w:val="0"/>
              <w:widowControl w:val="0"/>
              <w:kinsoku/>
              <w:wordWrap w:val="0"/>
              <w:overflowPunct/>
              <w:topLinePunct/>
              <w:autoSpaceDE/>
              <w:autoSpaceDN/>
              <w:bidi w:val="0"/>
              <w:adjustRightInd w:val="0"/>
              <w:snapToGrid w:val="0"/>
              <w:spacing w:line="240" w:lineRule="auto"/>
              <w:ind w:left="105" w:leftChars="50"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开户银行：交通银行乌鲁木齐明园西路支行</w:t>
            </w:r>
          </w:p>
          <w:p w14:paraId="004B056B">
            <w:pPr>
              <w:keepNext w:val="0"/>
              <w:keepLines w:val="0"/>
              <w:pageBreakBefore w:val="0"/>
              <w:widowControl w:val="0"/>
              <w:kinsoku/>
              <w:wordWrap w:val="0"/>
              <w:overflowPunct/>
              <w:topLinePunct/>
              <w:autoSpaceDE/>
              <w:autoSpaceDN/>
              <w:bidi w:val="0"/>
              <w:adjustRightInd w:val="0"/>
              <w:snapToGrid w:val="0"/>
              <w:spacing w:line="240" w:lineRule="auto"/>
              <w:ind w:left="105" w:leftChars="50"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号：651651023013000538609</w:t>
            </w:r>
          </w:p>
          <w:p w14:paraId="35DF5FBA">
            <w:pPr>
              <w:pStyle w:val="164"/>
              <w:keepNext w:val="0"/>
              <w:keepLines w:val="0"/>
              <w:pageBreakBefore w:val="0"/>
              <w:widowControl w:val="0"/>
              <w:kinsoku/>
              <w:wordWrap w:val="0"/>
              <w:overflowPunct/>
              <w:topLinePunct/>
              <w:autoSpaceDE/>
              <w:autoSpaceDN/>
              <w:bidi w:val="0"/>
              <w:adjustRightInd w:val="0"/>
              <w:snapToGrid w:val="0"/>
              <w:spacing w:before="52" w:line="240" w:lineRule="auto"/>
              <w:ind w:left="119" w:right="105" w:rightChars="50"/>
              <w:jc w:val="both"/>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5.退还时间：</w:t>
            </w:r>
          </w:p>
          <w:p w14:paraId="733BA46E">
            <w:pPr>
              <w:pStyle w:val="164"/>
              <w:keepNext w:val="0"/>
              <w:keepLines w:val="0"/>
              <w:pageBreakBefore w:val="0"/>
              <w:widowControl w:val="0"/>
              <w:kinsoku/>
              <w:wordWrap w:val="0"/>
              <w:overflowPunct/>
              <w:topLinePunct/>
              <w:autoSpaceDE/>
              <w:autoSpaceDN/>
              <w:bidi w:val="0"/>
              <w:adjustRightInd w:val="0"/>
              <w:snapToGrid w:val="0"/>
              <w:spacing w:before="52" w:line="240" w:lineRule="auto"/>
              <w:ind w:left="119" w:right="105" w:rightChars="50" w:firstLine="240"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未</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保证金在</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通知书发出后5个工作日内退还，</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保证金在采购合同签订后5个工作日内退还。</w:t>
            </w:r>
          </w:p>
          <w:p w14:paraId="733DC346">
            <w:pPr>
              <w:pStyle w:val="164"/>
              <w:keepNext w:val="0"/>
              <w:keepLines w:val="0"/>
              <w:pageBreakBefore w:val="0"/>
              <w:widowControl w:val="0"/>
              <w:kinsoku/>
              <w:wordWrap w:val="0"/>
              <w:overflowPunct/>
              <w:topLinePunct/>
              <w:autoSpaceDE/>
              <w:autoSpaceDN/>
              <w:bidi w:val="0"/>
              <w:adjustRightInd w:val="0"/>
              <w:snapToGrid w:val="0"/>
              <w:spacing w:before="52" w:line="240" w:lineRule="auto"/>
              <w:ind w:left="114" w:right="105" w:rightChars="50"/>
              <w:jc w:val="both"/>
              <w:textAlignment w:val="baseline"/>
              <w:rPr>
                <w:rFonts w:hint="eastAsia" w:ascii="宋体" w:hAnsi="宋体" w:eastAsia="宋体" w:cs="宋体"/>
                <w:b/>
                <w:bCs/>
                <w:color w:val="auto"/>
                <w:spacing w:val="-4"/>
                <w:highlight w:val="none"/>
              </w:rPr>
            </w:pPr>
            <w:r>
              <w:rPr>
                <w:rFonts w:hint="eastAsia" w:ascii="宋体" w:hAnsi="宋体" w:eastAsia="宋体" w:cs="宋体"/>
                <w:b/>
                <w:bCs/>
                <w:color w:val="auto"/>
                <w:spacing w:val="-4"/>
                <w:highlight w:val="none"/>
              </w:rPr>
              <w:t>注意事项：</w:t>
            </w:r>
          </w:p>
          <w:p w14:paraId="32E03F7E">
            <w:pPr>
              <w:pStyle w:val="164"/>
              <w:keepNext w:val="0"/>
              <w:keepLines w:val="0"/>
              <w:pageBreakBefore w:val="0"/>
              <w:widowControl w:val="0"/>
              <w:kinsoku/>
              <w:wordWrap w:val="0"/>
              <w:overflowPunct/>
              <w:topLinePunct/>
              <w:autoSpaceDE/>
              <w:autoSpaceDN/>
              <w:bidi w:val="0"/>
              <w:adjustRightInd w:val="0"/>
              <w:snapToGrid w:val="0"/>
              <w:spacing w:before="52" w:line="240" w:lineRule="auto"/>
              <w:ind w:left="114" w:right="105" w:rightChars="50" w:firstLine="238" w:firstLineChars="100"/>
              <w:jc w:val="both"/>
              <w:textAlignment w:val="baseline"/>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1.以上各类机构出具的以担保函、保证保险承担责任的方式均须满足无条件见索即付条件。</w:t>
            </w:r>
          </w:p>
          <w:p w14:paraId="52921E08">
            <w:pPr>
              <w:pStyle w:val="164"/>
              <w:keepNext w:val="0"/>
              <w:keepLines w:val="0"/>
              <w:pageBreakBefore w:val="0"/>
              <w:widowControl w:val="0"/>
              <w:kinsoku/>
              <w:wordWrap w:val="0"/>
              <w:overflowPunct/>
              <w:topLinePunct/>
              <w:autoSpaceDE/>
              <w:autoSpaceDN/>
              <w:bidi w:val="0"/>
              <w:adjustRightInd w:val="0"/>
              <w:snapToGrid w:val="0"/>
              <w:spacing w:before="52" w:line="240" w:lineRule="auto"/>
              <w:ind w:left="114" w:right="105" w:rightChars="50" w:firstLine="238"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2.以担保函、保证保险形式缴纳投标保证金的，受益人和收</w:t>
            </w:r>
            <w:r>
              <w:rPr>
                <w:rFonts w:hint="eastAsia" w:ascii="宋体" w:hAnsi="宋体" w:eastAsia="宋体" w:cs="宋体"/>
                <w:color w:val="auto"/>
                <w:spacing w:val="-2"/>
                <w:highlight w:val="none"/>
              </w:rPr>
              <w:t>取单位须为</w:t>
            </w:r>
            <w:r>
              <w:rPr>
                <w:rFonts w:hint="eastAsia" w:ascii="宋体" w:hAnsi="宋体" w:eastAsia="宋体" w:cs="宋体"/>
                <w:b/>
                <w:bCs/>
                <w:color w:val="auto"/>
                <w:spacing w:val="-2"/>
                <w:highlight w:val="none"/>
              </w:rPr>
              <w:t>采购人</w:t>
            </w:r>
            <w:r>
              <w:rPr>
                <w:rFonts w:hint="eastAsia" w:ascii="宋体" w:hAnsi="宋体" w:eastAsia="宋体" w:cs="宋体"/>
                <w:color w:val="auto"/>
                <w:spacing w:val="-2"/>
                <w:highlight w:val="none"/>
              </w:rPr>
              <w:t>。</w:t>
            </w:r>
          </w:p>
        </w:tc>
      </w:tr>
      <w:tr w14:paraId="2506A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4644" w:hRule="atLeast"/>
          <w:jc w:val="center"/>
        </w:trPr>
        <w:tc>
          <w:tcPr>
            <w:tcW w:w="974" w:type="dxa"/>
            <w:vAlign w:val="center"/>
          </w:tcPr>
          <w:p w14:paraId="1F1D77EC">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22</w:t>
            </w:r>
          </w:p>
        </w:tc>
        <w:tc>
          <w:tcPr>
            <w:tcW w:w="1737" w:type="dxa"/>
            <w:vAlign w:val="center"/>
          </w:tcPr>
          <w:p w14:paraId="233EC4B4">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实物样品</w:t>
            </w:r>
          </w:p>
        </w:tc>
        <w:tc>
          <w:tcPr>
            <w:tcW w:w="6936" w:type="dxa"/>
            <w:gridSpan w:val="3"/>
            <w:vAlign w:val="center"/>
          </w:tcPr>
          <w:p w14:paraId="528ACC93">
            <w:pPr>
              <w:pStyle w:val="164"/>
              <w:keepNext w:val="0"/>
              <w:keepLines w:val="0"/>
              <w:pageBreakBefore w:val="0"/>
              <w:widowControl/>
              <w:kinsoku/>
              <w:wordWrap w:val="0"/>
              <w:overflowPunct/>
              <w:topLinePunct/>
              <w:autoSpaceDE w:val="0"/>
              <w:autoSpaceDN w:val="0"/>
              <w:bidi w:val="0"/>
              <w:adjustRightInd w:val="0"/>
              <w:snapToGrid w:val="0"/>
              <w:spacing w:before="92" w:line="240" w:lineRule="auto"/>
              <w:ind w:left="117"/>
              <w:jc w:val="both"/>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投标样品递交：</w:t>
            </w:r>
          </w:p>
          <w:p w14:paraId="757E366C">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jc w:val="both"/>
              <w:textAlignment w:val="baseline"/>
              <w:rPr>
                <w:rFonts w:hint="eastAsia" w:ascii="宋体" w:hAnsi="宋体" w:eastAsia="宋体" w:cs="宋体"/>
                <w:color w:val="auto"/>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9"/>
                <w:highlight w:val="none"/>
              </w:rPr>
              <w:t>不需要</w:t>
            </w:r>
          </w:p>
          <w:p w14:paraId="796283B2">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jc w:val="both"/>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□需要，具体要求如下：</w:t>
            </w:r>
          </w:p>
          <w:p w14:paraId="3ACC3363">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firstLine="0" w:firstLineChars="0"/>
              <w:jc w:val="both"/>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1.样品制作的标准和要求：_________；</w:t>
            </w:r>
          </w:p>
          <w:p w14:paraId="71B7B550">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firstLine="0" w:firstLineChars="0"/>
              <w:jc w:val="both"/>
              <w:textAlignment w:val="baseline"/>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2.是否需要随样品提交相关检测报告：</w:t>
            </w:r>
          </w:p>
          <w:p w14:paraId="17AC3A48">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firstLine="0" w:firstLineChars="0"/>
              <w:jc w:val="both"/>
              <w:textAlignment w:val="baseline"/>
              <w:rPr>
                <w:rFonts w:hint="eastAsia" w:ascii="宋体" w:hAnsi="宋体" w:eastAsia="宋体" w:cs="宋体"/>
                <w:color w:val="auto"/>
                <w:spacing w:val="-9"/>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9"/>
                <w:highlight w:val="none"/>
              </w:rPr>
              <w:t>不需要</w:t>
            </w:r>
          </w:p>
          <w:p w14:paraId="498449B3">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firstLine="0" w:firstLineChars="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2"/>
                <w:highlight w:val="none"/>
              </w:rPr>
              <w:t>□需要</w:t>
            </w:r>
          </w:p>
          <w:p w14:paraId="01CB5B0B">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right="0" w:firstLine="0" w:firstLineChars="0"/>
              <w:jc w:val="both"/>
              <w:textAlignment w:val="baseline"/>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3.样品递交要求：</w:t>
            </w:r>
          </w:p>
          <w:p w14:paraId="138DA0C4">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right="0" w:firstLine="0" w:firstLineChars="0"/>
              <w:jc w:val="both"/>
              <w:textAlignment w:val="baseline"/>
              <w:rPr>
                <w:rFonts w:hint="eastAsia" w:ascii="宋体" w:hAnsi="宋体" w:eastAsia="宋体" w:cs="宋体"/>
                <w:color w:val="auto"/>
                <w:spacing w:val="-6"/>
                <w:highlight w:val="none"/>
                <w:lang w:val="en-US" w:eastAsia="zh-CN"/>
              </w:rPr>
            </w:pPr>
            <w:r>
              <w:rPr>
                <w:rFonts w:hint="eastAsia" w:ascii="宋体" w:hAnsi="宋体" w:eastAsia="宋体" w:cs="宋体"/>
                <w:color w:val="auto"/>
                <w:spacing w:val="-6"/>
                <w:highlight w:val="none"/>
              </w:rPr>
              <w:t>递交时间：</w:t>
            </w:r>
            <w:r>
              <w:rPr>
                <w:rFonts w:hint="eastAsia" w:ascii="宋体" w:hAnsi="宋体" w:eastAsia="宋体" w:cs="宋体"/>
                <w:color w:val="auto"/>
                <w:spacing w:val="-6"/>
                <w:highlight w:val="none"/>
                <w:u w:val="single"/>
              </w:rPr>
              <w:t xml:space="preserve">                       </w:t>
            </w:r>
            <w:r>
              <w:rPr>
                <w:rFonts w:hint="eastAsia" w:ascii="宋体" w:hAnsi="宋体" w:eastAsia="宋体" w:cs="宋体"/>
                <w:color w:val="auto"/>
                <w:spacing w:val="-6"/>
                <w:highlight w:val="none"/>
                <w:lang w:val="en-US" w:eastAsia="zh-CN"/>
              </w:rPr>
              <w:t>；</w:t>
            </w:r>
          </w:p>
          <w:p w14:paraId="6349A867">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right="0" w:firstLine="0" w:firstLineChars="0"/>
              <w:jc w:val="both"/>
              <w:textAlignment w:val="baseline"/>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递交地点</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u w:val="single"/>
              </w:rPr>
              <w:t xml:space="preserve">                       </w:t>
            </w:r>
            <w:r>
              <w:rPr>
                <w:rFonts w:hint="eastAsia" w:ascii="宋体" w:hAnsi="宋体" w:eastAsia="宋体" w:cs="宋体"/>
                <w:color w:val="auto"/>
                <w:spacing w:val="-6"/>
                <w:highlight w:val="none"/>
                <w:lang w:val="en-US" w:eastAsia="zh-CN"/>
              </w:rPr>
              <w:t>；</w:t>
            </w:r>
          </w:p>
          <w:p w14:paraId="141081D0">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right="0" w:firstLine="0" w:firstLineChars="0"/>
              <w:jc w:val="both"/>
              <w:textAlignment w:val="baseline"/>
              <w:rPr>
                <w:rFonts w:hint="eastAsia" w:ascii="宋体" w:hAnsi="宋体" w:eastAsia="宋体" w:cs="宋体"/>
                <w:color w:val="auto"/>
                <w:highlight w:val="none"/>
              </w:rPr>
            </w:pPr>
            <w:r>
              <w:rPr>
                <w:rFonts w:hint="eastAsia" w:ascii="宋体" w:hAnsi="宋体" w:eastAsia="宋体" w:cs="宋体"/>
                <w:color w:val="auto"/>
                <w:spacing w:val="-6"/>
                <w:highlight w:val="none"/>
              </w:rPr>
              <w:t>逾期</w:t>
            </w:r>
            <w:r>
              <w:rPr>
                <w:rFonts w:hint="eastAsia" w:ascii="宋体" w:hAnsi="宋体" w:eastAsia="宋体" w:cs="宋体"/>
                <w:color w:val="auto"/>
                <w:spacing w:val="-4"/>
                <w:highlight w:val="none"/>
              </w:rPr>
              <w:t>提供的样品将不予接受。</w:t>
            </w:r>
          </w:p>
          <w:p w14:paraId="5C562612">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right="0" w:firstLine="0" w:firstLineChars="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4.未中标人样品退还：</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1"/>
                <w:highlight w:val="none"/>
              </w:rPr>
              <w:t>；</w:t>
            </w:r>
          </w:p>
          <w:p w14:paraId="16D8D024">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right="0" w:firstLine="0" w:firstLineChars="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5.中标人样品保管、封存及退还：</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1"/>
                <w:highlight w:val="none"/>
              </w:rPr>
              <w:t>；</w:t>
            </w:r>
          </w:p>
          <w:p w14:paraId="72E10EAF">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right="0" w:firstLine="0" w:firstLineChars="0"/>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rPr>
              <w:t>6.其他要求（如有</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none" w:color="auto"/>
                <w:lang w:eastAsia="zh-CN"/>
              </w:rPr>
              <w:t>。</w:t>
            </w:r>
          </w:p>
        </w:tc>
      </w:tr>
      <w:tr w14:paraId="59840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167" w:hRule="atLeast"/>
          <w:jc w:val="center"/>
        </w:trPr>
        <w:tc>
          <w:tcPr>
            <w:tcW w:w="974" w:type="dxa"/>
            <w:vAlign w:val="center"/>
          </w:tcPr>
          <w:p w14:paraId="1F1AAFA0">
            <w:pPr>
              <w:bidi w:val="0"/>
              <w:jc w:val="center"/>
              <w:rPr>
                <w:rFonts w:hint="eastAsia" w:ascii="宋体" w:hAnsi="宋体" w:eastAsia="宋体" w:cs="宋体"/>
                <w:color w:val="auto"/>
                <w:spacing w:val="-4"/>
                <w:highlight w:val="none"/>
              </w:rPr>
            </w:pPr>
            <w:r>
              <w:rPr>
                <w:rFonts w:hint="eastAsia" w:ascii="宋体" w:hAnsi="宋体" w:eastAsia="宋体" w:cs="宋体"/>
                <w:color w:val="auto"/>
                <w:sz w:val="24"/>
                <w:szCs w:val="24"/>
                <w:highlight w:val="none"/>
                <w:lang w:eastAsia="zh-CN"/>
              </w:rPr>
              <w:t>23.1</w:t>
            </w:r>
          </w:p>
        </w:tc>
        <w:tc>
          <w:tcPr>
            <w:tcW w:w="1737" w:type="dxa"/>
            <w:vAlign w:val="center"/>
          </w:tcPr>
          <w:p w14:paraId="5E022D50">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演示</w:t>
            </w:r>
          </w:p>
        </w:tc>
        <w:tc>
          <w:tcPr>
            <w:tcW w:w="6936" w:type="dxa"/>
            <w:gridSpan w:val="3"/>
            <w:vAlign w:val="center"/>
          </w:tcPr>
          <w:p w14:paraId="577D2DED">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w:char="00FE"/>
            </w:r>
            <w:r>
              <w:rPr>
                <w:rFonts w:hint="eastAsia" w:ascii="宋体" w:hAnsi="宋体" w:eastAsia="宋体" w:cs="宋体"/>
                <w:color w:val="auto"/>
                <w:sz w:val="24"/>
                <w:szCs w:val="24"/>
                <w:highlight w:val="none"/>
                <w:lang w:eastAsia="zh-CN"/>
              </w:rPr>
              <w:t>不进行</w:t>
            </w:r>
          </w:p>
          <w:p w14:paraId="2DCFBAC4">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w:char="00A8"/>
            </w:r>
            <w:r>
              <w:rPr>
                <w:rFonts w:hint="eastAsia" w:ascii="宋体" w:hAnsi="宋体" w:eastAsia="宋体" w:cs="宋体"/>
                <w:color w:val="auto"/>
                <w:sz w:val="24"/>
                <w:szCs w:val="24"/>
                <w:highlight w:val="none"/>
                <w:lang w:eastAsia="zh-CN"/>
              </w:rPr>
              <w:t>进行，远程线上演示/现场演示</w:t>
            </w:r>
          </w:p>
          <w:p w14:paraId="1440EE2B">
            <w:pPr>
              <w:pStyle w:val="164"/>
              <w:keepNext w:val="0"/>
              <w:keepLines w:val="0"/>
              <w:pageBreakBefore w:val="0"/>
              <w:widowControl/>
              <w:kinsoku/>
              <w:wordWrap w:val="0"/>
              <w:overflowPunct/>
              <w:topLinePunct/>
              <w:autoSpaceDE w:val="0"/>
              <w:autoSpaceDN w:val="0"/>
              <w:bidi w:val="0"/>
              <w:adjustRightInd w:val="0"/>
              <w:snapToGrid w:val="0"/>
              <w:spacing w:before="52" w:line="240" w:lineRule="auto"/>
              <w:ind w:left="114" w:right="105" w:rightChars="50" w:firstLine="240" w:firstLineChars="100"/>
              <w:jc w:val="both"/>
              <w:textAlignment w:val="baseline"/>
              <w:rPr>
                <w:rFonts w:hint="eastAsia" w:ascii="宋体" w:hAnsi="宋体" w:eastAsia="宋体" w:cs="宋体"/>
                <w:color w:val="auto"/>
                <w:spacing w:val="-1"/>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pacing w:val="-1"/>
                <w:highlight w:val="none"/>
                <w:lang w:eastAsia="zh-CN"/>
              </w:rPr>
              <w:t>.演示时间不得超过</w:t>
            </w:r>
            <w:r>
              <w:rPr>
                <w:rFonts w:hint="eastAsia" w:ascii="宋体" w:hAnsi="宋体" w:eastAsia="宋体" w:cs="宋体"/>
                <w:color w:val="auto"/>
                <w:spacing w:val="-1"/>
                <w:highlight w:val="none"/>
                <w:u w:val="single"/>
                <w:lang w:eastAsia="zh-CN"/>
              </w:rPr>
              <w:t xml:space="preserve">  </w:t>
            </w:r>
            <w:r>
              <w:rPr>
                <w:rFonts w:hint="eastAsia" w:ascii="宋体" w:hAnsi="宋体" w:eastAsia="宋体" w:cs="宋体"/>
                <w:color w:val="auto"/>
                <w:spacing w:val="-1"/>
                <w:highlight w:val="none"/>
                <w:u w:val="single"/>
                <w:lang w:val="en-US" w:eastAsia="zh-CN"/>
              </w:rPr>
              <w:t>/</w:t>
            </w:r>
            <w:r>
              <w:rPr>
                <w:rFonts w:hint="eastAsia" w:ascii="宋体" w:hAnsi="宋体" w:eastAsia="宋体" w:cs="宋体"/>
                <w:color w:val="auto"/>
                <w:spacing w:val="-1"/>
                <w:highlight w:val="none"/>
                <w:u w:val="single"/>
                <w:lang w:eastAsia="zh-CN"/>
              </w:rPr>
              <w:t xml:space="preserve">  </w:t>
            </w:r>
            <w:r>
              <w:rPr>
                <w:rFonts w:hint="eastAsia" w:ascii="宋体" w:hAnsi="宋体" w:eastAsia="宋体" w:cs="宋体"/>
                <w:color w:val="auto"/>
                <w:spacing w:val="-1"/>
                <w:highlight w:val="none"/>
                <w:lang w:eastAsia="zh-CN"/>
              </w:rPr>
              <w:t>分钟。</w:t>
            </w:r>
          </w:p>
          <w:p w14:paraId="54F09A43">
            <w:pPr>
              <w:pStyle w:val="164"/>
              <w:keepNext w:val="0"/>
              <w:keepLines w:val="0"/>
              <w:pageBreakBefore w:val="0"/>
              <w:widowControl/>
              <w:kinsoku/>
              <w:wordWrap w:val="0"/>
              <w:overflowPunct/>
              <w:topLinePunct/>
              <w:autoSpaceDE w:val="0"/>
              <w:autoSpaceDN w:val="0"/>
              <w:bidi w:val="0"/>
              <w:adjustRightInd w:val="0"/>
              <w:snapToGrid w:val="0"/>
              <w:spacing w:before="52" w:line="240" w:lineRule="auto"/>
              <w:ind w:left="114" w:right="105" w:rightChars="50" w:firstLine="238" w:firstLineChars="100"/>
              <w:jc w:val="both"/>
              <w:textAlignment w:val="baseline"/>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2.进行远程线上演示的，供应商应提前自行准备好演示的软硬配置环境和网络环境，做好演示的各项准备工作。因供应商自身原因无法演示或者演示效果不理想的，导致的后果由供应商自行承担。</w:t>
            </w:r>
          </w:p>
          <w:p w14:paraId="2FAD01E1">
            <w:pPr>
              <w:pStyle w:val="164"/>
              <w:keepNext w:val="0"/>
              <w:keepLines w:val="0"/>
              <w:pageBreakBefore w:val="0"/>
              <w:widowControl/>
              <w:kinsoku/>
              <w:wordWrap w:val="0"/>
              <w:overflowPunct/>
              <w:topLinePunct/>
              <w:autoSpaceDE w:val="0"/>
              <w:autoSpaceDN w:val="0"/>
              <w:bidi w:val="0"/>
              <w:adjustRightInd w:val="0"/>
              <w:snapToGrid w:val="0"/>
              <w:spacing w:before="52" w:line="240" w:lineRule="auto"/>
              <w:ind w:left="114" w:right="105" w:rightChars="50" w:firstLine="238"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3.进</w:t>
            </w:r>
            <w:r>
              <w:rPr>
                <w:rFonts w:hint="eastAsia" w:ascii="宋体" w:hAnsi="宋体" w:eastAsia="宋体" w:cs="宋体"/>
                <w:color w:val="auto"/>
                <w:sz w:val="24"/>
                <w:szCs w:val="24"/>
                <w:highlight w:val="none"/>
                <w:lang w:eastAsia="zh-CN"/>
              </w:rPr>
              <w:t>行现场演示的，演示人员不得超过</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sz w:val="24"/>
                <w:szCs w:val="24"/>
                <w:highlight w:val="none"/>
                <w:lang w:eastAsia="zh-CN"/>
              </w:rPr>
              <w:t>人，演示</w:t>
            </w:r>
            <w:r>
              <w:rPr>
                <w:rFonts w:hint="eastAsia" w:ascii="宋体" w:hAnsi="宋体" w:eastAsia="宋体" w:cs="宋体"/>
                <w:color w:val="auto"/>
                <w:sz w:val="24"/>
                <w:szCs w:val="24"/>
                <w:highlight w:val="none"/>
                <w:lang w:val="en-US" w:eastAsia="zh-CN"/>
              </w:rPr>
              <w:t>时长</w:t>
            </w:r>
            <w:r>
              <w:rPr>
                <w:rFonts w:hint="eastAsia" w:ascii="宋体" w:hAnsi="宋体" w:eastAsia="宋体" w:cs="宋体"/>
                <w:color w:val="auto"/>
                <w:sz w:val="24"/>
                <w:szCs w:val="24"/>
                <w:highlight w:val="none"/>
                <w:lang w:eastAsia="zh-CN"/>
              </w:rPr>
              <w:t>不得超过</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lang w:eastAsia="zh-CN"/>
              </w:rPr>
              <w:t>，演示现场提供</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tc>
      </w:tr>
      <w:tr w14:paraId="37B1D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152" w:hRule="atLeast"/>
          <w:jc w:val="center"/>
        </w:trPr>
        <w:tc>
          <w:tcPr>
            <w:tcW w:w="974" w:type="dxa"/>
            <w:vAlign w:val="center"/>
          </w:tcPr>
          <w:p w14:paraId="1B32DD25">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25.3</w:t>
            </w:r>
          </w:p>
        </w:tc>
        <w:tc>
          <w:tcPr>
            <w:tcW w:w="1737" w:type="dxa"/>
            <w:vAlign w:val="center"/>
          </w:tcPr>
          <w:p w14:paraId="548AC63C">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解密投标文件的时限</w:t>
            </w:r>
          </w:p>
        </w:tc>
        <w:tc>
          <w:tcPr>
            <w:tcW w:w="6936" w:type="dxa"/>
            <w:gridSpan w:val="3"/>
            <w:vAlign w:val="center"/>
          </w:tcPr>
          <w:p w14:paraId="023D0135">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不见面开标默认解密时长：30分钟。</w:t>
            </w:r>
          </w:p>
          <w:p w14:paraId="02180F8E">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381F5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41" w:hRule="atLeast"/>
          <w:jc w:val="center"/>
        </w:trPr>
        <w:tc>
          <w:tcPr>
            <w:tcW w:w="974" w:type="dxa"/>
            <w:vAlign w:val="center"/>
          </w:tcPr>
          <w:p w14:paraId="4B76AF89">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29.1</w:t>
            </w:r>
          </w:p>
        </w:tc>
        <w:tc>
          <w:tcPr>
            <w:tcW w:w="1737" w:type="dxa"/>
            <w:vAlign w:val="center"/>
          </w:tcPr>
          <w:p w14:paraId="54BBF6C7">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评标方法</w:t>
            </w:r>
          </w:p>
        </w:tc>
        <w:tc>
          <w:tcPr>
            <w:tcW w:w="6936" w:type="dxa"/>
            <w:gridSpan w:val="3"/>
            <w:vAlign w:val="center"/>
          </w:tcPr>
          <w:p w14:paraId="0F96E0E4">
            <w:pPr>
              <w:pStyle w:val="164"/>
              <w:keepNext w:val="0"/>
              <w:keepLines w:val="0"/>
              <w:pageBreakBefore w:val="0"/>
              <w:widowControl/>
              <w:kinsoku/>
              <w:wordWrap w:val="0"/>
              <w:overflowPunct/>
              <w:topLinePunct/>
              <w:autoSpaceDE w:val="0"/>
              <w:autoSpaceDN w:val="0"/>
              <w:bidi w:val="0"/>
              <w:adjustRightInd w:val="0"/>
              <w:snapToGrid w:val="0"/>
              <w:spacing w:before="109"/>
              <w:ind w:left="125"/>
              <w:jc w:val="both"/>
              <w:textAlignment w:val="baseline"/>
              <w:rPr>
                <w:rFonts w:hint="eastAsia" w:ascii="宋体" w:hAnsi="宋体" w:eastAsia="宋体" w:cs="宋体"/>
                <w:color w:val="auto"/>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4"/>
                <w:highlight w:val="none"/>
              </w:rPr>
              <w:t>综合评分法</w:t>
            </w:r>
          </w:p>
          <w:p w14:paraId="620B9C0D">
            <w:pPr>
              <w:pStyle w:val="164"/>
              <w:keepNext w:val="0"/>
              <w:keepLines w:val="0"/>
              <w:pageBreakBefore w:val="0"/>
              <w:widowControl/>
              <w:kinsoku/>
              <w:wordWrap w:val="0"/>
              <w:overflowPunct/>
              <w:topLinePunct/>
              <w:autoSpaceDE w:val="0"/>
              <w:autoSpaceDN w:val="0"/>
              <w:bidi w:val="0"/>
              <w:adjustRightInd w:val="0"/>
              <w:snapToGrid w:val="0"/>
              <w:spacing w:line="238" w:lineRule="auto"/>
              <w:ind w:left="125"/>
              <w:jc w:val="both"/>
              <w:textAlignment w:val="baseline"/>
              <w:rPr>
                <w:rFonts w:hint="eastAsia" w:ascii="宋体" w:hAnsi="宋体" w:eastAsia="宋体" w:cs="宋体"/>
                <w:color w:val="auto"/>
                <w:highlight w:val="none"/>
              </w:rPr>
            </w:pPr>
            <w:r>
              <w:rPr>
                <w:rFonts w:hint="eastAsia" w:ascii="宋体" w:hAnsi="宋体" w:eastAsia="宋体" w:cs="宋体"/>
                <w:color w:val="auto"/>
                <w:spacing w:val="-9"/>
                <w:highlight w:val="none"/>
              </w:rPr>
              <w:t>□</w:t>
            </w:r>
            <w:r>
              <w:rPr>
                <w:rFonts w:hint="eastAsia" w:ascii="宋体" w:hAnsi="宋体" w:eastAsia="宋体" w:cs="宋体"/>
                <w:color w:val="auto"/>
                <w:spacing w:val="-4"/>
                <w:highlight w:val="none"/>
              </w:rPr>
              <w:t>最低评标价法</w:t>
            </w:r>
          </w:p>
        </w:tc>
      </w:tr>
      <w:tr w14:paraId="4CC70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41" w:hRule="atLeast"/>
          <w:jc w:val="center"/>
        </w:trPr>
        <w:tc>
          <w:tcPr>
            <w:tcW w:w="974" w:type="dxa"/>
            <w:shd w:val="clear" w:color="auto" w:fill="auto"/>
            <w:vAlign w:val="center"/>
          </w:tcPr>
          <w:p w14:paraId="7F8CD971">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leftChars="0"/>
              <w:jc w:val="center"/>
              <w:textAlignment w:val="baseline"/>
              <w:rPr>
                <w:rFonts w:hint="eastAsia" w:ascii="宋体" w:hAnsi="宋体" w:eastAsia="宋体" w:cs="宋体"/>
                <w:color w:val="auto"/>
                <w:spacing w:val="-3"/>
                <w:kern w:val="2"/>
                <w:sz w:val="24"/>
                <w:szCs w:val="24"/>
                <w:highlight w:val="none"/>
                <w:lang w:val="en-US" w:eastAsia="en-US" w:bidi="ar-SA"/>
              </w:rPr>
            </w:pPr>
            <w:r>
              <w:rPr>
                <w:rFonts w:hint="eastAsia" w:ascii="宋体" w:hAnsi="宋体" w:eastAsia="宋体" w:cs="宋体"/>
                <w:color w:val="auto"/>
                <w:spacing w:val="-3"/>
                <w:highlight w:val="none"/>
              </w:rPr>
              <w:t>29.3</w:t>
            </w:r>
          </w:p>
        </w:tc>
        <w:tc>
          <w:tcPr>
            <w:tcW w:w="1737" w:type="dxa"/>
            <w:shd w:val="clear" w:color="auto" w:fill="auto"/>
            <w:vAlign w:val="center"/>
          </w:tcPr>
          <w:p w14:paraId="5CF94124">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leftChars="0"/>
              <w:jc w:val="center"/>
              <w:textAlignment w:val="baseline"/>
              <w:rPr>
                <w:rFonts w:hint="eastAsia" w:ascii="宋体" w:hAnsi="宋体" w:eastAsia="宋体" w:cs="宋体"/>
                <w:color w:val="auto"/>
                <w:spacing w:val="-3"/>
                <w:kern w:val="2"/>
                <w:sz w:val="24"/>
                <w:szCs w:val="24"/>
                <w:highlight w:val="none"/>
                <w:lang w:val="en-US" w:eastAsia="en-US" w:bidi="ar-SA"/>
              </w:rPr>
            </w:pPr>
            <w:r>
              <w:rPr>
                <w:rFonts w:hint="eastAsia" w:ascii="宋体" w:hAnsi="宋体" w:eastAsia="宋体" w:cs="宋体"/>
                <w:color w:val="auto"/>
                <w:spacing w:val="-3"/>
                <w:highlight w:val="none"/>
              </w:rPr>
              <w:t>推荐中标候选人</w:t>
            </w:r>
          </w:p>
        </w:tc>
        <w:tc>
          <w:tcPr>
            <w:tcW w:w="6936" w:type="dxa"/>
            <w:gridSpan w:val="3"/>
            <w:shd w:val="clear" w:color="auto" w:fill="auto"/>
            <w:vAlign w:val="center"/>
          </w:tcPr>
          <w:p w14:paraId="42057950">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4"/>
                <w:highlight w:val="none"/>
              </w:rPr>
              <w:t>中标候选人数量</w:t>
            </w:r>
            <w:r>
              <w:rPr>
                <w:rFonts w:hint="eastAsia" w:cs="宋体"/>
                <w:color w:val="auto"/>
                <w:spacing w:val="-4"/>
                <w:highlight w:val="none"/>
                <w:lang w:eastAsia="zh-CN"/>
              </w:rPr>
              <w:t>：</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u w:val="single"/>
                <w:lang w:val="en-US" w:eastAsia="zh-CN"/>
              </w:rPr>
              <w:t>3</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家</w:t>
            </w:r>
          </w:p>
        </w:tc>
      </w:tr>
      <w:tr w14:paraId="25FC9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5205" w:hRule="atLeast"/>
          <w:jc w:val="center"/>
        </w:trPr>
        <w:tc>
          <w:tcPr>
            <w:tcW w:w="974" w:type="dxa"/>
            <w:vAlign w:val="center"/>
          </w:tcPr>
          <w:p w14:paraId="393CFFC5">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default" w:ascii="宋体" w:hAnsi="宋体" w:eastAsia="宋体" w:cs="宋体"/>
                <w:color w:val="auto"/>
                <w:spacing w:val="-3"/>
                <w:highlight w:val="none"/>
                <w:lang w:val="en-US" w:eastAsia="zh-CN"/>
              </w:rPr>
            </w:pPr>
            <w:r>
              <w:rPr>
                <w:rFonts w:hint="eastAsia" w:cs="宋体"/>
                <w:color w:val="auto"/>
                <w:spacing w:val="-3"/>
                <w:highlight w:val="none"/>
                <w:lang w:val="en-US" w:eastAsia="zh-CN"/>
              </w:rPr>
              <w:t>29.8</w:t>
            </w:r>
          </w:p>
        </w:tc>
        <w:tc>
          <w:tcPr>
            <w:tcW w:w="1737" w:type="dxa"/>
            <w:vAlign w:val="center"/>
          </w:tcPr>
          <w:p w14:paraId="0D335DA4">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1"/>
                <w:highlight w:val="none"/>
                <w:lang w:val="en-US" w:eastAsia="zh-CN"/>
              </w:rPr>
              <w:t>启</w:t>
            </w:r>
            <w:r>
              <w:rPr>
                <w:rFonts w:hint="eastAsia" w:ascii="宋体" w:hAnsi="宋体" w:eastAsia="宋体" w:cs="宋体"/>
                <w:color w:val="auto"/>
                <w:spacing w:val="-3"/>
                <w:highlight w:val="none"/>
                <w:lang w:val="en-US" w:eastAsia="zh-CN"/>
              </w:rPr>
              <w:t>动异常低价投标（响应）审查程序</w:t>
            </w:r>
          </w:p>
        </w:tc>
        <w:tc>
          <w:tcPr>
            <w:tcW w:w="6936" w:type="dxa"/>
            <w:gridSpan w:val="3"/>
            <w:vAlign w:val="center"/>
          </w:tcPr>
          <w:p w14:paraId="36EEA953">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在评审过程中，评审小组认为投标人的报价明显低于其他通过符合性审查投标人的报价，有可能影响产品质量或者不能诚信履约的，应当要求其在合理的时间</w:t>
            </w:r>
            <w:r>
              <w:rPr>
                <w:rFonts w:hint="eastAsia" w:ascii="宋体" w:hAnsi="宋体" w:cs="宋体"/>
                <w:b/>
                <w:bCs/>
                <w:color w:val="auto"/>
                <w:spacing w:val="-1"/>
                <w:sz w:val="24"/>
                <w:szCs w:val="24"/>
                <w:highlight w:val="none"/>
                <w:lang w:val="en-US" w:eastAsia="zh-CN"/>
              </w:rPr>
              <w:t>（30分钟）</w:t>
            </w:r>
            <w:r>
              <w:rPr>
                <w:rFonts w:hint="eastAsia" w:ascii="宋体" w:hAnsi="宋体" w:eastAsia="宋体" w:cs="宋体"/>
                <w:color w:val="auto"/>
                <w:sz w:val="24"/>
                <w:szCs w:val="24"/>
                <w:highlight w:val="none"/>
                <w:lang w:val="en-US" w:eastAsia="zh-CN"/>
              </w:rPr>
              <w:t>内提供书面说明，必要时提交相关证明材料；投标人不能证明其报价合理性的，评审小组应当将其作为无效投标处理。评审中出现下列情形之一的，评审委员会应当启动异常低价投标（响应）审查程序：</w:t>
            </w:r>
          </w:p>
          <w:p w14:paraId="4CDA7285">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情形一：</w:t>
            </w: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51A12068">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情形二：</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0A5E2D23">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情形三：</w:t>
            </w: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5D01D1EF">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情形四：</w:t>
            </w:r>
            <w:r>
              <w:rPr>
                <w:rFonts w:hint="eastAsia" w:ascii="宋体" w:hAnsi="宋体" w:eastAsia="宋体" w:cs="宋体"/>
                <w:color w:val="auto"/>
                <w:sz w:val="24"/>
                <w:szCs w:val="24"/>
                <w:highlight w:val="none"/>
                <w:lang w:val="en-US" w:eastAsia="zh-CN"/>
              </w:rPr>
              <w:t>评审委员会基于专业判断，认为供应商报价过低，有可能影响产品质量或者不能诚信履约的其他情形。</w:t>
            </w:r>
          </w:p>
        </w:tc>
      </w:tr>
      <w:tr w14:paraId="34D4A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81" w:hRule="atLeast"/>
          <w:jc w:val="center"/>
        </w:trPr>
        <w:tc>
          <w:tcPr>
            <w:tcW w:w="974" w:type="dxa"/>
            <w:vAlign w:val="center"/>
          </w:tcPr>
          <w:p w14:paraId="4348D674">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30.1</w:t>
            </w:r>
          </w:p>
        </w:tc>
        <w:tc>
          <w:tcPr>
            <w:tcW w:w="1737" w:type="dxa"/>
            <w:vAlign w:val="center"/>
          </w:tcPr>
          <w:p w14:paraId="25C33447">
            <w:pPr>
              <w:bidi w:val="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确定中标人</w:t>
            </w:r>
          </w:p>
        </w:tc>
        <w:tc>
          <w:tcPr>
            <w:tcW w:w="6936" w:type="dxa"/>
            <w:gridSpan w:val="3"/>
            <w:vAlign w:val="center"/>
          </w:tcPr>
          <w:p w14:paraId="6A1780D7">
            <w:pPr>
              <w:pStyle w:val="164"/>
              <w:keepNext w:val="0"/>
              <w:keepLines w:val="0"/>
              <w:pageBreakBefore w:val="0"/>
              <w:widowControl/>
              <w:kinsoku/>
              <w:wordWrap w:val="0"/>
              <w:overflowPunct/>
              <w:topLinePunct/>
              <w:autoSpaceDE w:val="0"/>
              <w:autoSpaceDN w:val="0"/>
              <w:bidi w:val="0"/>
              <w:adjustRightInd w:val="0"/>
              <w:snapToGrid w:val="0"/>
              <w:spacing w:before="83" w:line="238" w:lineRule="auto"/>
              <w:ind w:left="125"/>
              <w:jc w:val="both"/>
              <w:textAlignment w:val="baseline"/>
              <w:rPr>
                <w:rFonts w:hint="eastAsia" w:ascii="宋体" w:hAnsi="宋体" w:eastAsia="宋体" w:cs="宋体"/>
                <w:color w:val="auto"/>
                <w:highlight w:val="none"/>
              </w:rPr>
            </w:pPr>
            <w:r>
              <w:rPr>
                <w:rFonts w:hint="eastAsia" w:cs="宋体"/>
                <w:color w:val="auto"/>
                <w:spacing w:val="-9"/>
                <w:highlight w:val="none"/>
                <w:lang w:eastAsia="zh-CN"/>
              </w:rPr>
              <w:t>□</w:t>
            </w:r>
            <w:r>
              <w:rPr>
                <w:rFonts w:hint="eastAsia" w:ascii="宋体" w:hAnsi="宋体" w:eastAsia="宋体" w:cs="宋体"/>
                <w:color w:val="auto"/>
                <w:spacing w:val="-1"/>
                <w:highlight w:val="none"/>
              </w:rPr>
              <w:t>采购人按评审报告中推荐的中标候选人排序确定中标人。</w:t>
            </w:r>
          </w:p>
          <w:p w14:paraId="087E0540">
            <w:pPr>
              <w:pStyle w:val="164"/>
              <w:keepNext w:val="0"/>
              <w:keepLines w:val="0"/>
              <w:pageBreakBefore w:val="0"/>
              <w:widowControl/>
              <w:kinsoku/>
              <w:wordWrap w:val="0"/>
              <w:overflowPunct/>
              <w:topLinePunct/>
              <w:autoSpaceDE w:val="0"/>
              <w:autoSpaceDN w:val="0"/>
              <w:bidi w:val="0"/>
              <w:adjustRightInd w:val="0"/>
              <w:snapToGrid w:val="0"/>
              <w:spacing w:before="2" w:line="239" w:lineRule="auto"/>
              <w:ind w:left="125"/>
              <w:jc w:val="both"/>
              <w:textAlignment w:val="baseline"/>
              <w:rPr>
                <w:rFonts w:hint="eastAsia" w:ascii="宋体" w:hAnsi="宋体" w:eastAsia="宋体" w:cs="宋体"/>
                <w:color w:val="auto"/>
                <w:highlight w:val="none"/>
              </w:rPr>
            </w:pPr>
            <w:r>
              <w:rPr>
                <w:rFonts w:hint="eastAsia" w:cs="宋体"/>
                <w:color w:val="auto"/>
                <w:spacing w:val="-9"/>
                <w:highlight w:val="none"/>
                <w:lang w:eastAsia="zh-CN"/>
              </w:rPr>
              <w:t>☑</w:t>
            </w:r>
            <w:r>
              <w:rPr>
                <w:rFonts w:hint="eastAsia" w:ascii="宋体" w:hAnsi="宋体" w:eastAsia="宋体" w:cs="宋体"/>
                <w:color w:val="auto"/>
                <w:spacing w:val="-2"/>
                <w:highlight w:val="none"/>
              </w:rPr>
              <w:t>采购人委托评标委员会直接确定中标人。</w:t>
            </w:r>
          </w:p>
        </w:tc>
      </w:tr>
      <w:tr w14:paraId="3BE3E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088" w:hRule="atLeast"/>
          <w:jc w:val="center"/>
        </w:trPr>
        <w:tc>
          <w:tcPr>
            <w:tcW w:w="974" w:type="dxa"/>
            <w:vAlign w:val="center"/>
          </w:tcPr>
          <w:p w14:paraId="5D69D08C">
            <w:pPr>
              <w:pStyle w:val="164"/>
              <w:spacing w:before="78"/>
              <w:ind w:left="257"/>
              <w:rPr>
                <w:rFonts w:hint="eastAsia" w:ascii="宋体" w:hAnsi="宋体" w:eastAsia="宋体" w:cs="宋体"/>
                <w:color w:val="auto"/>
                <w:highlight w:val="none"/>
              </w:rPr>
            </w:pPr>
            <w:r>
              <w:rPr>
                <w:rFonts w:hint="eastAsia" w:ascii="宋体" w:hAnsi="宋体" w:eastAsia="宋体" w:cs="宋体"/>
                <w:color w:val="auto"/>
                <w:spacing w:val="-4"/>
                <w:highlight w:val="none"/>
              </w:rPr>
              <w:t>30.2</w:t>
            </w:r>
          </w:p>
          <w:p w14:paraId="6FD1A22F">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4"/>
                <w:highlight w:val="none"/>
              </w:rPr>
              <w:t>30.3</w:t>
            </w:r>
          </w:p>
        </w:tc>
        <w:tc>
          <w:tcPr>
            <w:tcW w:w="1737" w:type="dxa"/>
            <w:vAlign w:val="center"/>
          </w:tcPr>
          <w:p w14:paraId="0E09C604">
            <w:pPr>
              <w:bidi w:val="0"/>
              <w:jc w:val="center"/>
              <w:rPr>
                <w:rFonts w:hint="eastAsia" w:ascii="宋体" w:hAnsi="宋体" w:eastAsia="宋体" w:cs="宋体"/>
                <w:color w:val="auto"/>
                <w:spacing w:val="-3"/>
                <w:highlight w:val="none"/>
              </w:rPr>
            </w:pPr>
            <w:r>
              <w:rPr>
                <w:rFonts w:hint="eastAsia" w:ascii="宋体" w:hAnsi="宋体" w:eastAsia="宋体" w:cs="宋体"/>
                <w:color w:val="auto"/>
                <w:sz w:val="24"/>
                <w:szCs w:val="24"/>
                <w:highlight w:val="none"/>
              </w:rPr>
              <w:t>提供相同品牌产品的不同投标人确定中标候选人的规</w:t>
            </w:r>
            <w:r>
              <w:rPr>
                <w:rFonts w:hint="eastAsia" w:ascii="宋体" w:hAnsi="宋体" w:eastAsia="宋体" w:cs="宋体"/>
                <w:color w:val="auto"/>
                <w:spacing w:val="-2"/>
                <w:highlight w:val="none"/>
              </w:rPr>
              <w:t>定</w:t>
            </w:r>
          </w:p>
        </w:tc>
        <w:tc>
          <w:tcPr>
            <w:tcW w:w="6936" w:type="dxa"/>
            <w:gridSpan w:val="3"/>
            <w:vAlign w:val="center"/>
          </w:tcPr>
          <w:p w14:paraId="1764CA4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105" w:leftChars="50" w:right="105" w:rightChars="50"/>
              <w:jc w:val="both"/>
              <w:textAlignment w:val="auto"/>
              <w:rPr>
                <w:rFonts w:hint="eastAsia" w:ascii="宋体" w:hAnsi="宋体" w:eastAsia="宋体" w:cs="宋体"/>
                <w:color w:val="auto"/>
                <w:spacing w:val="-1"/>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1"/>
                <w:highlight w:val="none"/>
              </w:rPr>
              <w:t>综合评分法的采购项目，</w:t>
            </w:r>
            <w:r>
              <w:rPr>
                <w:rFonts w:hint="eastAsia" w:ascii="宋体" w:hAnsi="宋体" w:eastAsia="宋体" w:cs="宋体"/>
                <w:color w:val="auto"/>
                <w:spacing w:val="-1"/>
                <w:highlight w:val="none"/>
                <w:lang w:val="en-US" w:eastAsia="zh-CN"/>
              </w:rPr>
              <w:t>提供相同品牌产品且通过资格审查、符合性审查的不同投标人参加同一合同项下投标的，按一家投标人计算，评审后得分最高的同品牌投标人获得中标人推荐资格；评审得分相同的，</w:t>
            </w:r>
            <w:r>
              <w:rPr>
                <w:rFonts w:hint="eastAsia" w:ascii="宋体" w:hAnsi="宋体" w:eastAsia="宋体" w:cs="宋体"/>
                <w:color w:val="auto"/>
                <w:spacing w:val="-1"/>
                <w:highlight w:val="none"/>
              </w:rPr>
              <w:t>按照</w:t>
            </w:r>
            <w:r>
              <w:rPr>
                <w:rFonts w:hint="eastAsia" w:ascii="宋体" w:hAnsi="宋体" w:eastAsia="宋体" w:cs="宋体"/>
                <w:b w:val="0"/>
                <w:bCs w:val="0"/>
                <w:color w:val="auto"/>
                <w:spacing w:val="-1"/>
                <w:highlight w:val="none"/>
              </w:rPr>
              <w:t>报价最低</w:t>
            </w:r>
            <w:r>
              <w:rPr>
                <w:rFonts w:hint="eastAsia" w:ascii="宋体" w:hAnsi="宋体" w:eastAsia="宋体" w:cs="宋体"/>
                <w:color w:val="auto"/>
                <w:spacing w:val="-1"/>
                <w:highlight w:val="none"/>
              </w:rPr>
              <w:t>的方式确定一个投标人获得中标人推荐资格，其他同品牌投标人不作为中标候选人。</w:t>
            </w:r>
          </w:p>
          <w:p w14:paraId="7B137CA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105" w:leftChars="50" w:right="105" w:rightChars="50"/>
              <w:jc w:val="both"/>
              <w:textAlignment w:val="auto"/>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val="en-US" w:eastAsia="zh-CN"/>
              </w:rPr>
              <w:t>□最低评标价法的采购项目，提供相同品牌产品的不同投标人参加同一合同项下投标的，以其中通过资格审查、符合性审查且报价最低的参加评标；报价相同的，按照技术指标较优的方式确定一个参加评标的投标人，其他投标无效。</w:t>
            </w:r>
          </w:p>
        </w:tc>
      </w:tr>
      <w:tr w14:paraId="0F7B0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4373" w:hRule="atLeast"/>
          <w:jc w:val="center"/>
        </w:trPr>
        <w:tc>
          <w:tcPr>
            <w:tcW w:w="974" w:type="dxa"/>
            <w:vAlign w:val="center"/>
          </w:tcPr>
          <w:p w14:paraId="608C2AA2">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33.1</w:t>
            </w:r>
          </w:p>
        </w:tc>
        <w:tc>
          <w:tcPr>
            <w:tcW w:w="1737" w:type="dxa"/>
            <w:vAlign w:val="center"/>
          </w:tcPr>
          <w:p w14:paraId="1020BBDD">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履约保证金</w:t>
            </w:r>
          </w:p>
        </w:tc>
        <w:tc>
          <w:tcPr>
            <w:tcW w:w="6936" w:type="dxa"/>
            <w:gridSpan w:val="3"/>
            <w:vAlign w:val="center"/>
          </w:tcPr>
          <w:p w14:paraId="301C6181">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1.金额：</w:t>
            </w:r>
          </w:p>
          <w:p w14:paraId="01E42AED">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☑免收</w:t>
            </w:r>
          </w:p>
          <w:p w14:paraId="1AE0C4F1">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□合同价的：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255E9DFF">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□定额收取：人民币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元</w:t>
            </w:r>
          </w:p>
          <w:p w14:paraId="71DC895C">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2.支付方式：政采云电子保函（供应商可自主选择担保机构）</w:t>
            </w:r>
          </w:p>
          <w:p w14:paraId="3094F86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3.收取单位：</w:t>
            </w:r>
            <w:r>
              <w:rPr>
                <w:rFonts w:hint="eastAsia" w:ascii="宋体" w:hAnsi="宋体" w:eastAsia="宋体" w:cs="宋体"/>
                <w:color w:val="auto"/>
                <w:sz w:val="24"/>
                <w:szCs w:val="24"/>
                <w:highlight w:val="none"/>
                <w:u w:val="single"/>
                <w:lang w:val="en-US" w:eastAsia="zh-CN"/>
              </w:rPr>
              <w:t xml:space="preserve">           </w:t>
            </w:r>
          </w:p>
          <w:p w14:paraId="4ACD38CD">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4.收取账号：</w:t>
            </w:r>
            <w:r>
              <w:rPr>
                <w:rFonts w:hint="eastAsia" w:ascii="宋体" w:hAnsi="宋体" w:eastAsia="宋体" w:cs="宋体"/>
                <w:color w:val="auto"/>
                <w:sz w:val="24"/>
                <w:szCs w:val="24"/>
                <w:highlight w:val="none"/>
                <w:u w:val="single"/>
                <w:lang w:val="en-US" w:eastAsia="zh-CN"/>
              </w:rPr>
              <w:t xml:space="preserve">           </w:t>
            </w:r>
          </w:p>
          <w:p w14:paraId="0425F09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pacing w:val="-1"/>
                <w:highlight w:val="none"/>
                <w:lang w:eastAsia="zh-CN"/>
              </w:rPr>
            </w:pPr>
            <w:r>
              <w:rPr>
                <w:rFonts w:hint="eastAsia" w:ascii="宋体" w:hAnsi="宋体" w:eastAsia="宋体" w:cs="宋体"/>
                <w:color w:val="auto"/>
                <w:sz w:val="24"/>
                <w:szCs w:val="24"/>
                <w:highlight w:val="none"/>
                <w:lang w:eastAsia="zh-CN"/>
              </w:rPr>
              <w:t>5.退还时间：</w:t>
            </w:r>
            <w:r>
              <w:rPr>
                <w:rFonts w:hint="eastAsia" w:ascii="宋体" w:hAnsi="宋体" w:eastAsia="宋体" w:cs="宋体"/>
                <w:color w:val="auto"/>
                <w:sz w:val="24"/>
                <w:szCs w:val="24"/>
                <w:highlight w:val="none"/>
                <w:u w:val="single"/>
                <w:lang w:val="en-US" w:eastAsia="zh-CN"/>
              </w:rPr>
              <w:t xml:space="preserve"> 履约完成后保函自动失效 </w:t>
            </w:r>
          </w:p>
          <w:p w14:paraId="34AB01D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注意事项：</w:t>
            </w:r>
          </w:p>
          <w:p w14:paraId="48605E63">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1.以上各类机构出具的以担保函、保证保险承担责任的方式均须满足无条件见索即付条件。</w:t>
            </w:r>
          </w:p>
          <w:p w14:paraId="07BC8F55">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2.以担保函、保证保险形式缴纳履约保证金的，受益人和收取单位须为采购人。</w:t>
            </w:r>
          </w:p>
        </w:tc>
      </w:tr>
      <w:tr w14:paraId="3912D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9" w:type="dxa"/>
          <w:trHeight w:val="1943" w:hRule="atLeast"/>
          <w:jc w:val="center"/>
        </w:trPr>
        <w:tc>
          <w:tcPr>
            <w:tcW w:w="974" w:type="dxa"/>
            <w:vAlign w:val="center"/>
          </w:tcPr>
          <w:p w14:paraId="4F9D61D2">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34.5</w:t>
            </w:r>
          </w:p>
        </w:tc>
        <w:tc>
          <w:tcPr>
            <w:tcW w:w="1737" w:type="dxa"/>
            <w:vAlign w:val="center"/>
          </w:tcPr>
          <w:p w14:paraId="4BAC317A">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中标后分包</w:t>
            </w:r>
          </w:p>
        </w:tc>
        <w:tc>
          <w:tcPr>
            <w:tcW w:w="6933" w:type="dxa"/>
            <w:gridSpan w:val="2"/>
            <w:vAlign w:val="center"/>
          </w:tcPr>
          <w:p w14:paraId="06F52482">
            <w:pPr>
              <w:pStyle w:val="164"/>
              <w:keepNext w:val="0"/>
              <w:keepLines w:val="0"/>
              <w:pageBreakBefore w:val="0"/>
              <w:widowControl/>
              <w:kinsoku/>
              <w:wordWrap w:val="0"/>
              <w:overflowPunct/>
              <w:topLinePunct/>
              <w:autoSpaceDE/>
              <w:autoSpaceDN/>
              <w:bidi w:val="0"/>
              <w:adjustRightInd w:val="0"/>
              <w:snapToGrid w:val="0"/>
              <w:spacing w:line="240" w:lineRule="auto"/>
              <w:ind w:left="105" w:leftChars="5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本项目的非主体、非关键性工作是否允许分包：</w:t>
            </w:r>
          </w:p>
          <w:p w14:paraId="74803FF4">
            <w:pPr>
              <w:pStyle w:val="164"/>
              <w:keepNext w:val="0"/>
              <w:keepLines w:val="0"/>
              <w:pageBreakBefore w:val="0"/>
              <w:widowControl/>
              <w:kinsoku/>
              <w:wordWrap w:val="0"/>
              <w:overflowPunct/>
              <w:topLinePunct/>
              <w:autoSpaceDE/>
              <w:autoSpaceDN/>
              <w:bidi w:val="0"/>
              <w:adjustRightInd w:val="0"/>
              <w:snapToGrid w:val="0"/>
              <w:spacing w:line="240" w:lineRule="auto"/>
              <w:ind w:left="105" w:leftChars="50" w:firstLine="222"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9"/>
                <w:highlight w:val="none"/>
              </w:rPr>
              <w:t>不允许</w:t>
            </w:r>
          </w:p>
          <w:p w14:paraId="3B326083">
            <w:pPr>
              <w:pStyle w:val="164"/>
              <w:keepNext w:val="0"/>
              <w:keepLines w:val="0"/>
              <w:pageBreakBefore w:val="0"/>
              <w:widowControl/>
              <w:kinsoku/>
              <w:wordWrap w:val="0"/>
              <w:overflowPunct/>
              <w:topLinePunct/>
              <w:autoSpaceDE/>
              <w:autoSpaceDN/>
              <w:bidi w:val="0"/>
              <w:adjustRightInd w:val="0"/>
              <w:snapToGrid w:val="0"/>
              <w:spacing w:line="240" w:lineRule="auto"/>
              <w:ind w:left="105" w:leftChars="50" w:firstLine="232"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□允许，具体要求：</w:t>
            </w:r>
          </w:p>
          <w:p w14:paraId="47678753">
            <w:pPr>
              <w:pStyle w:val="164"/>
              <w:keepNext w:val="0"/>
              <w:keepLines w:val="0"/>
              <w:pageBreakBefore w:val="0"/>
              <w:widowControl/>
              <w:kinsoku/>
              <w:wordWrap w:val="0"/>
              <w:overflowPunct/>
              <w:topLinePunct/>
              <w:autoSpaceDE/>
              <w:autoSpaceDN/>
              <w:bidi w:val="0"/>
              <w:adjustRightInd w:val="0"/>
              <w:snapToGrid w:val="0"/>
              <w:spacing w:line="240" w:lineRule="auto"/>
              <w:ind w:left="105" w:leftChars="50"/>
              <w:jc w:val="both"/>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1.可以分包履行的具体内容：_____；</w:t>
            </w:r>
          </w:p>
          <w:p w14:paraId="17D6D98E">
            <w:pPr>
              <w:pStyle w:val="164"/>
              <w:keepNext w:val="0"/>
              <w:keepLines w:val="0"/>
              <w:pageBreakBefore w:val="0"/>
              <w:widowControl/>
              <w:kinsoku/>
              <w:wordWrap w:val="0"/>
              <w:overflowPunct/>
              <w:topLinePunct/>
              <w:autoSpaceDE/>
              <w:autoSpaceDN/>
              <w:bidi w:val="0"/>
              <w:adjustRightInd w:val="0"/>
              <w:snapToGrid w:val="0"/>
              <w:spacing w:line="240" w:lineRule="auto"/>
              <w:ind w:left="105" w:leftChars="5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2.允许分包的金额或者比例：_____；</w:t>
            </w:r>
          </w:p>
          <w:p w14:paraId="6F9F357F">
            <w:pPr>
              <w:pStyle w:val="164"/>
              <w:keepNext w:val="0"/>
              <w:keepLines w:val="0"/>
              <w:pageBreakBefore w:val="0"/>
              <w:widowControl/>
              <w:kinsoku/>
              <w:wordWrap w:val="0"/>
              <w:overflowPunct/>
              <w:topLinePunct/>
              <w:autoSpaceDE/>
              <w:autoSpaceDN/>
              <w:bidi w:val="0"/>
              <w:adjustRightInd w:val="0"/>
              <w:snapToGrid w:val="0"/>
              <w:spacing w:line="240" w:lineRule="auto"/>
              <w:ind w:left="105" w:leftChars="50"/>
              <w:jc w:val="both"/>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3.其他要求：_____。</w:t>
            </w:r>
          </w:p>
        </w:tc>
      </w:tr>
      <w:tr w14:paraId="1D31F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9" w:type="dxa"/>
          <w:trHeight w:val="1655" w:hRule="atLeast"/>
          <w:jc w:val="center"/>
        </w:trPr>
        <w:tc>
          <w:tcPr>
            <w:tcW w:w="974" w:type="dxa"/>
            <w:vAlign w:val="center"/>
          </w:tcPr>
          <w:p w14:paraId="4D5E6D83">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35.1</w:t>
            </w:r>
          </w:p>
        </w:tc>
        <w:tc>
          <w:tcPr>
            <w:tcW w:w="1737" w:type="dxa"/>
            <w:vAlign w:val="center"/>
          </w:tcPr>
          <w:p w14:paraId="4835C98E">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6"/>
                <w:highlight w:val="none"/>
              </w:rPr>
              <w:t>质疑</w:t>
            </w:r>
          </w:p>
        </w:tc>
        <w:tc>
          <w:tcPr>
            <w:tcW w:w="6933" w:type="dxa"/>
            <w:gridSpan w:val="2"/>
            <w:vAlign w:val="center"/>
          </w:tcPr>
          <w:p w14:paraId="3991963F">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递交方式：在供应商客户端中按照格式填写质疑函，生成质疑函后加盖电子印章提交，</w:t>
            </w:r>
            <w:r>
              <w:rPr>
                <w:rFonts w:hint="eastAsia" w:ascii="宋体" w:hAnsi="宋体" w:cs="宋体"/>
                <w:color w:val="auto"/>
                <w:sz w:val="24"/>
                <w:szCs w:val="24"/>
                <w:highlight w:val="none"/>
                <w:lang w:val="en-US" w:eastAsia="zh-CN"/>
              </w:rPr>
              <w:t>尔</w:t>
            </w:r>
            <w:r>
              <w:rPr>
                <w:rFonts w:hint="eastAsia" w:ascii="宋体" w:hAnsi="宋体" w:eastAsia="宋体" w:cs="宋体"/>
                <w:color w:val="auto"/>
                <w:sz w:val="24"/>
                <w:szCs w:val="24"/>
                <w:highlight w:val="none"/>
                <w:lang w:eastAsia="zh-CN"/>
              </w:rPr>
              <w:t>后电话通知代理机构</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eastAsia="zh-CN"/>
              </w:rPr>
              <w:t>。</w:t>
            </w:r>
          </w:p>
          <w:p w14:paraId="2749DA45">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接收部门：</w:t>
            </w:r>
            <w:r>
              <w:rPr>
                <w:rFonts w:hint="eastAsia" w:ascii="宋体" w:hAnsi="宋体" w:eastAsia="宋体" w:cs="宋体"/>
                <w:color w:val="auto"/>
                <w:sz w:val="24"/>
                <w:szCs w:val="24"/>
                <w:highlight w:val="none"/>
                <w:lang w:val="en-US" w:eastAsia="zh-CN"/>
              </w:rPr>
              <w:t>新疆中诺项目管理有限公司</w:t>
            </w:r>
          </w:p>
          <w:p w14:paraId="36F3BDBA">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lang w:val="en-US" w:eastAsia="zh-CN"/>
              </w:rPr>
              <w:t>0991-6612071</w:t>
            </w:r>
          </w:p>
          <w:p w14:paraId="7E2A213A">
            <w:pPr>
              <w:pStyle w:val="164"/>
              <w:keepNext w:val="0"/>
              <w:keepLines w:val="0"/>
              <w:pageBreakBefore w:val="0"/>
              <w:widowControl/>
              <w:kinsoku/>
              <w:wordWrap w:val="0"/>
              <w:overflowPunct/>
              <w:topLinePunct/>
              <w:autoSpaceDE w:val="0"/>
              <w:autoSpaceDN w:val="0"/>
              <w:bidi w:val="0"/>
              <w:adjustRightInd w:val="0"/>
              <w:snapToGrid w:val="0"/>
              <w:spacing w:before="23" w:line="227" w:lineRule="auto"/>
              <w:ind w:left="114"/>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通讯地址：</w:t>
            </w:r>
            <w:r>
              <w:rPr>
                <w:rFonts w:hint="eastAsia" w:ascii="宋体" w:hAnsi="宋体" w:eastAsia="宋体" w:cs="宋体"/>
                <w:color w:val="auto"/>
                <w:sz w:val="24"/>
                <w:szCs w:val="24"/>
                <w:highlight w:val="none"/>
                <w:lang w:val="en-US" w:eastAsia="zh-CN"/>
              </w:rPr>
              <w:t>乌鲁木齐市克拉玛依西街880号安佳大厦717A</w:t>
            </w:r>
          </w:p>
        </w:tc>
      </w:tr>
      <w:tr w14:paraId="3C273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9" w:type="dxa"/>
          <w:trHeight w:val="3504" w:hRule="atLeast"/>
          <w:jc w:val="center"/>
        </w:trPr>
        <w:tc>
          <w:tcPr>
            <w:tcW w:w="974" w:type="dxa"/>
            <w:vAlign w:val="center"/>
          </w:tcPr>
          <w:p w14:paraId="71F3E9BF">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38.1</w:t>
            </w:r>
          </w:p>
        </w:tc>
        <w:tc>
          <w:tcPr>
            <w:tcW w:w="1737" w:type="dxa"/>
            <w:vAlign w:val="center"/>
          </w:tcPr>
          <w:p w14:paraId="0566786F">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hanging="14"/>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采购代理服务</w:t>
            </w:r>
            <w:r>
              <w:rPr>
                <w:rFonts w:hint="eastAsia" w:ascii="宋体" w:hAnsi="宋体" w:eastAsia="宋体" w:cs="宋体"/>
                <w:color w:val="auto"/>
                <w:highlight w:val="none"/>
              </w:rPr>
              <w:t>费</w:t>
            </w:r>
          </w:p>
        </w:tc>
        <w:tc>
          <w:tcPr>
            <w:tcW w:w="6933" w:type="dxa"/>
            <w:gridSpan w:val="2"/>
            <w:vAlign w:val="center"/>
          </w:tcPr>
          <w:p w14:paraId="7555A29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1.收费对象：中标人支付</w:t>
            </w:r>
          </w:p>
          <w:p w14:paraId="70625BC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2.收费标准：按照差额定率累进法计算，标准如下：</w:t>
            </w:r>
          </w:p>
          <w:p w14:paraId="5180FA2C">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中标金额100万元以下的部分，货物类费率1.5%；</w:t>
            </w:r>
          </w:p>
          <w:p w14:paraId="6118831C">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中标金额100万元至500万元的部分，货物类费率</w:t>
            </w:r>
            <w:r>
              <w:rPr>
                <w:rFonts w:hint="eastAsia" w:ascii="宋体" w:hAnsi="宋体" w:eastAsia="宋体" w:cs="宋体"/>
                <w:color w:val="auto"/>
                <w:spacing w:val="8"/>
                <w:sz w:val="24"/>
                <w:highlight w:val="none"/>
                <w:shd w:val="clear" w:color="auto" w:fill="FFFFFF"/>
                <w:lang w:val="en-US" w:eastAsia="zh-CN"/>
              </w:rPr>
              <w:t>1.10%</w:t>
            </w:r>
            <w:r>
              <w:rPr>
                <w:rFonts w:hint="eastAsia" w:ascii="宋体" w:hAnsi="宋体" w:eastAsia="宋体" w:cs="宋体"/>
                <w:color w:val="auto"/>
                <w:sz w:val="24"/>
                <w:szCs w:val="24"/>
                <w:highlight w:val="none"/>
                <w:lang w:val="en-US" w:eastAsia="zh-CN"/>
              </w:rPr>
              <w:t>；</w:t>
            </w:r>
          </w:p>
          <w:p w14:paraId="4BA80AA4">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中标金额500万元至1000万元的部分，货物类费率0.80%；</w:t>
            </w:r>
          </w:p>
          <w:p w14:paraId="56F4BFED">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（单个标项不足3000元按3000元收取）</w:t>
            </w:r>
          </w:p>
          <w:p w14:paraId="5666580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3.收取时间：</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lang w:val="en-US" w:eastAsia="zh-CN"/>
              </w:rPr>
              <w:t>领取中标</w:t>
            </w:r>
            <w:r>
              <w:rPr>
                <w:rFonts w:hint="eastAsia" w:ascii="宋体" w:hAnsi="宋体" w:eastAsia="宋体" w:cs="宋体"/>
                <w:color w:val="auto"/>
                <w:sz w:val="24"/>
                <w:szCs w:val="24"/>
                <w:highlight w:val="none"/>
                <w:lang w:eastAsia="zh-CN"/>
              </w:rPr>
              <w:t>通知书</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lang w:eastAsia="zh-CN"/>
              </w:rPr>
              <w:t>向采购代理支付</w:t>
            </w:r>
          </w:p>
          <w:p w14:paraId="7B45FC9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4.收取方式：电汇、转账、网银等非现金形式缴纳</w:t>
            </w:r>
          </w:p>
          <w:p w14:paraId="3FA1F680">
            <w:pPr>
              <w:pStyle w:val="164"/>
              <w:keepNext w:val="0"/>
              <w:keepLines w:val="0"/>
              <w:pageBreakBefore w:val="0"/>
              <w:widowControl/>
              <w:kinsoku/>
              <w:wordWrap w:val="0"/>
              <w:overflowPunct/>
              <w:topLinePunct/>
              <w:autoSpaceDE w:val="0"/>
              <w:autoSpaceDN w:val="0"/>
              <w:bidi w:val="0"/>
              <w:adjustRightInd w:val="0"/>
              <w:snapToGrid w:val="0"/>
              <w:spacing w:before="25" w:line="220" w:lineRule="auto"/>
              <w:ind w:left="113"/>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5.开户名称：新疆中诺项目管理有限公司</w:t>
            </w:r>
          </w:p>
          <w:p w14:paraId="05D6960D">
            <w:pPr>
              <w:pStyle w:val="164"/>
              <w:keepNext w:val="0"/>
              <w:keepLines w:val="0"/>
              <w:pageBreakBefore w:val="0"/>
              <w:widowControl/>
              <w:kinsoku/>
              <w:wordWrap w:val="0"/>
              <w:overflowPunct/>
              <w:topLinePunct/>
              <w:autoSpaceDE w:val="0"/>
              <w:autoSpaceDN w:val="0"/>
              <w:bidi w:val="0"/>
              <w:adjustRightInd w:val="0"/>
              <w:snapToGrid w:val="0"/>
              <w:spacing w:before="25" w:line="220" w:lineRule="auto"/>
              <w:ind w:left="113"/>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6.开户银行：交通银行乌鲁木齐明园西路支行</w:t>
            </w:r>
          </w:p>
          <w:p w14:paraId="770A6B47">
            <w:pPr>
              <w:pStyle w:val="164"/>
              <w:keepNext w:val="0"/>
              <w:keepLines w:val="0"/>
              <w:pageBreakBefore w:val="0"/>
              <w:widowControl/>
              <w:kinsoku/>
              <w:wordWrap w:val="0"/>
              <w:overflowPunct/>
              <w:topLinePunct/>
              <w:autoSpaceDE w:val="0"/>
              <w:autoSpaceDN w:val="0"/>
              <w:bidi w:val="0"/>
              <w:adjustRightInd w:val="0"/>
              <w:snapToGrid w:val="0"/>
              <w:spacing w:before="25" w:line="220" w:lineRule="auto"/>
              <w:ind w:left="113"/>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7.账    号：651651023013000538609</w:t>
            </w:r>
          </w:p>
        </w:tc>
      </w:tr>
      <w:tr w14:paraId="1CBF0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9" w:type="dxa"/>
          <w:trHeight w:val="865" w:hRule="atLeast"/>
          <w:jc w:val="center"/>
        </w:trPr>
        <w:tc>
          <w:tcPr>
            <w:tcW w:w="974" w:type="dxa"/>
            <w:vAlign w:val="center"/>
          </w:tcPr>
          <w:p w14:paraId="6D73EC34">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highlight w:val="none"/>
              </w:rPr>
              <w:t>41.1</w:t>
            </w:r>
          </w:p>
        </w:tc>
        <w:tc>
          <w:tcPr>
            <w:tcW w:w="1737" w:type="dxa"/>
            <w:shd w:val="clear" w:color="auto" w:fill="auto"/>
            <w:vAlign w:val="center"/>
          </w:tcPr>
          <w:p w14:paraId="0C51022B">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1"/>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2"/>
                <w:highlight w:val="none"/>
                <w:lang w:eastAsia="zh-CN"/>
              </w:rPr>
              <w:t>支持本国产品政策</w:t>
            </w:r>
          </w:p>
        </w:tc>
        <w:tc>
          <w:tcPr>
            <w:tcW w:w="6933" w:type="dxa"/>
            <w:gridSpan w:val="2"/>
            <w:shd w:val="clear" w:color="auto" w:fill="auto"/>
            <w:vAlign w:val="center"/>
          </w:tcPr>
          <w:p w14:paraId="234BC3E7">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对符合本国产品标准的，依法对本国产品给予价格评审优惠，用扣除后的价格参与评审。</w:t>
            </w:r>
          </w:p>
        </w:tc>
      </w:tr>
      <w:tr w14:paraId="0D8FE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9" w:type="dxa"/>
          <w:trHeight w:val="865" w:hRule="atLeast"/>
          <w:jc w:val="center"/>
        </w:trPr>
        <w:tc>
          <w:tcPr>
            <w:tcW w:w="974" w:type="dxa"/>
            <w:vAlign w:val="center"/>
          </w:tcPr>
          <w:p w14:paraId="3AD7B5FE">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rPr>
              <w:t>41.</w:t>
            </w:r>
            <w:r>
              <w:rPr>
                <w:rFonts w:hint="eastAsia" w:cs="宋体"/>
                <w:color w:val="auto"/>
                <w:spacing w:val="-3"/>
                <w:highlight w:val="none"/>
                <w:lang w:val="en-US" w:eastAsia="zh-CN"/>
              </w:rPr>
              <w:t>2</w:t>
            </w:r>
          </w:p>
        </w:tc>
        <w:tc>
          <w:tcPr>
            <w:tcW w:w="1737" w:type="dxa"/>
            <w:shd w:val="clear" w:color="auto" w:fill="auto"/>
            <w:vAlign w:val="center"/>
          </w:tcPr>
          <w:p w14:paraId="1F6A2827">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leftChars="0" w:right="0" w:rightChars="0" w:firstLine="3" w:firstLineChars="0"/>
              <w:jc w:val="center"/>
              <w:textAlignment w:val="baseline"/>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3"/>
                <w:highlight w:val="none"/>
              </w:rPr>
              <w:t>是否接受进口</w:t>
            </w:r>
            <w:r>
              <w:rPr>
                <w:rFonts w:hint="eastAsia" w:ascii="宋体" w:hAnsi="宋体" w:eastAsia="宋体" w:cs="宋体"/>
                <w:color w:val="auto"/>
                <w:spacing w:val="-5"/>
                <w:highlight w:val="none"/>
              </w:rPr>
              <w:t>产品</w:t>
            </w:r>
          </w:p>
        </w:tc>
        <w:tc>
          <w:tcPr>
            <w:tcW w:w="6933" w:type="dxa"/>
            <w:gridSpan w:val="2"/>
            <w:shd w:val="clear" w:color="auto" w:fill="auto"/>
            <w:vAlign w:val="center"/>
          </w:tcPr>
          <w:p w14:paraId="0C47A703">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w:char="00FE"/>
            </w:r>
            <w:r>
              <w:rPr>
                <w:rFonts w:hint="eastAsia" w:ascii="宋体" w:hAnsi="宋体" w:eastAsia="宋体" w:cs="宋体"/>
                <w:color w:val="auto"/>
                <w:sz w:val="24"/>
                <w:szCs w:val="24"/>
                <w:highlight w:val="none"/>
                <w:lang w:eastAsia="zh-CN"/>
              </w:rPr>
              <w:t>不接受</w:t>
            </w:r>
          </w:p>
          <w:p w14:paraId="622A334F">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sz w:val="24"/>
                <w:szCs w:val="24"/>
                <w:highlight w:val="none"/>
                <w:lang w:eastAsia="zh-CN"/>
              </w:rPr>
              <w:sym w:font="Wingdings" w:char="00A8"/>
            </w:r>
            <w:r>
              <w:rPr>
                <w:rFonts w:hint="eastAsia" w:ascii="宋体" w:hAnsi="宋体" w:eastAsia="宋体" w:cs="宋体"/>
                <w:color w:val="auto"/>
                <w:sz w:val="24"/>
                <w:szCs w:val="24"/>
                <w:highlight w:val="none"/>
                <w:lang w:eastAsia="zh-CN"/>
              </w:rPr>
              <w:t>接受</w:t>
            </w:r>
          </w:p>
        </w:tc>
      </w:tr>
      <w:tr w14:paraId="73640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9" w:type="dxa"/>
          <w:trHeight w:val="2037" w:hRule="atLeast"/>
          <w:jc w:val="center"/>
        </w:trPr>
        <w:tc>
          <w:tcPr>
            <w:tcW w:w="974" w:type="dxa"/>
            <w:vAlign w:val="center"/>
          </w:tcPr>
          <w:p w14:paraId="15AEA861">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5"/>
                <w:highlight w:val="none"/>
              </w:rPr>
              <w:t>42</w:t>
            </w:r>
          </w:p>
        </w:tc>
        <w:tc>
          <w:tcPr>
            <w:tcW w:w="1737" w:type="dxa"/>
            <w:vAlign w:val="center"/>
          </w:tcPr>
          <w:p w14:paraId="0B9C434E">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1"/>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支持中小企业政策（非专门面向中小企业采购项目适</w:t>
            </w:r>
            <w:r>
              <w:rPr>
                <w:rFonts w:hint="eastAsia" w:ascii="宋体" w:hAnsi="宋体" w:eastAsia="宋体" w:cs="宋体"/>
                <w:color w:val="auto"/>
                <w:spacing w:val="-6"/>
                <w:highlight w:val="none"/>
              </w:rPr>
              <w:t>用）</w:t>
            </w:r>
          </w:p>
        </w:tc>
        <w:tc>
          <w:tcPr>
            <w:tcW w:w="6933" w:type="dxa"/>
            <w:gridSpan w:val="2"/>
            <w:vAlign w:val="center"/>
          </w:tcPr>
          <w:p w14:paraId="4E9E9C6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1.小型和微型企业价格扣除：</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309E7F45">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2.监狱企业价格扣除：同小型和微型企业。</w:t>
            </w:r>
          </w:p>
          <w:p w14:paraId="203ECB5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3.残疾人福利性单位价格扣除：同小型和微型企业。</w:t>
            </w:r>
          </w:p>
          <w:p w14:paraId="0B51794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4.符合条件的联合体价格扣除：</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0E3FFE21">
            <w:pPr>
              <w:pStyle w:val="164"/>
              <w:keepNext w:val="0"/>
              <w:keepLines w:val="0"/>
              <w:pageBreakBefore w:val="0"/>
              <w:widowControl/>
              <w:kinsoku/>
              <w:wordWrap w:val="0"/>
              <w:overflowPunct/>
              <w:topLinePunct/>
              <w:autoSpaceDE w:val="0"/>
              <w:autoSpaceDN w:val="0"/>
              <w:bidi w:val="0"/>
              <w:adjustRightInd w:val="0"/>
              <w:snapToGrid w:val="0"/>
              <w:spacing w:before="27" w:line="230" w:lineRule="auto"/>
              <w:ind w:left="128" w:right="8" w:hanging="9"/>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5.符合条件的向小微企业分包的大中型企业价格扣除：</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。（允许大中型企业向小微企业分包的项目适用）</w:t>
            </w:r>
          </w:p>
        </w:tc>
      </w:tr>
      <w:tr w14:paraId="3AB34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9" w:type="dxa"/>
          <w:trHeight w:val="3044" w:hRule="atLeast"/>
          <w:jc w:val="center"/>
        </w:trPr>
        <w:tc>
          <w:tcPr>
            <w:tcW w:w="974" w:type="dxa"/>
            <w:vAlign w:val="center"/>
          </w:tcPr>
          <w:p w14:paraId="5B613848">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42.5</w:t>
            </w:r>
          </w:p>
        </w:tc>
        <w:tc>
          <w:tcPr>
            <w:tcW w:w="1737" w:type="dxa"/>
            <w:vAlign w:val="center"/>
          </w:tcPr>
          <w:p w14:paraId="440E601B">
            <w:pPr>
              <w:keepNext w:val="0"/>
              <w:keepLines w:val="0"/>
              <w:pageBreakBefore w:val="0"/>
              <w:widowControl w:val="0"/>
              <w:kinsoku/>
              <w:wordWrap w:val="0"/>
              <w:overflowPunct/>
              <w:topLinePunct/>
              <w:autoSpaceDE/>
              <w:autoSpaceDN/>
              <w:bidi w:val="0"/>
              <w:adjustRightInd w:val="0"/>
              <w:snapToGrid w:val="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标的所属行业（参照后附《工信部联企业〔2011〕300号》）</w:t>
            </w:r>
          </w:p>
        </w:tc>
        <w:tc>
          <w:tcPr>
            <w:tcW w:w="6933" w:type="dxa"/>
            <w:gridSpan w:val="2"/>
            <w:vAlign w:val="top"/>
          </w:tcPr>
          <w:p w14:paraId="6E3A0936">
            <w:pPr>
              <w:pStyle w:val="164"/>
              <w:keepNext w:val="0"/>
              <w:keepLines w:val="0"/>
              <w:pageBreakBefore w:val="0"/>
              <w:widowControl/>
              <w:kinsoku/>
              <w:wordWrap/>
              <w:overflowPunct/>
              <w:topLinePunct w:val="0"/>
              <w:autoSpaceDE w:val="0"/>
              <w:autoSpaceDN w:val="0"/>
              <w:bidi w:val="0"/>
              <w:adjustRightInd w:val="0"/>
              <w:snapToGrid w:val="0"/>
              <w:spacing w:before="167" w:line="219" w:lineRule="auto"/>
              <w:ind w:left="105" w:leftChars="50" w:right="105" w:rightChars="50"/>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本项目采购标的对应的中小企业划分标准所属行业：</w:t>
            </w:r>
          </w:p>
          <w:p w14:paraId="6F0BAE95">
            <w:pPr>
              <w:keepNext w:val="0"/>
              <w:keepLines w:val="0"/>
              <w:pageBreakBefore w:val="0"/>
              <w:widowControl/>
              <w:kinsoku/>
              <w:wordWrap/>
              <w:overflowPunct/>
              <w:topLinePunct w:val="0"/>
              <w:autoSpaceDE w:val="0"/>
              <w:autoSpaceDN w:val="0"/>
              <w:bidi w:val="0"/>
              <w:adjustRightInd w:val="0"/>
              <w:snapToGrid w:val="0"/>
              <w:spacing w:line="69" w:lineRule="exact"/>
              <w:ind w:left="105" w:leftChars="50" w:right="105" w:rightChars="50"/>
              <w:jc w:val="both"/>
              <w:textAlignment w:val="baseline"/>
              <w:rPr>
                <w:rFonts w:hint="eastAsia" w:ascii="宋体" w:hAnsi="宋体" w:eastAsia="宋体" w:cs="宋体"/>
                <w:color w:val="auto"/>
                <w:highlight w:val="none"/>
                <w:lang w:eastAsia="zh-CN"/>
              </w:rPr>
            </w:pPr>
          </w:p>
          <w:tbl>
            <w:tblPr>
              <w:tblStyle w:val="165"/>
              <w:tblW w:w="66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3987"/>
              <w:gridCol w:w="1940"/>
            </w:tblGrid>
            <w:tr w14:paraId="1755C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769" w:type="dxa"/>
                  <w:vAlign w:val="center"/>
                </w:tcPr>
                <w:p w14:paraId="6A095212">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标项</w:t>
                  </w:r>
                </w:p>
              </w:tc>
              <w:tc>
                <w:tcPr>
                  <w:tcW w:w="3987" w:type="dxa"/>
                  <w:vAlign w:val="center"/>
                </w:tcPr>
                <w:p w14:paraId="6B05497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标的名称</w:t>
                  </w:r>
                </w:p>
              </w:tc>
              <w:tc>
                <w:tcPr>
                  <w:tcW w:w="1940" w:type="dxa"/>
                  <w:vAlign w:val="center"/>
                </w:tcPr>
                <w:p w14:paraId="0DD452A3">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中小企业划分标准所属行业</w:t>
                  </w:r>
                </w:p>
              </w:tc>
            </w:tr>
            <w:tr w14:paraId="56008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69" w:type="dxa"/>
                  <w:vAlign w:val="center"/>
                </w:tcPr>
                <w:p w14:paraId="417D563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标项1</w:t>
                  </w:r>
                </w:p>
              </w:tc>
              <w:tc>
                <w:tcPr>
                  <w:tcW w:w="3987" w:type="dxa"/>
                  <w:vAlign w:val="center"/>
                </w:tcPr>
                <w:p w14:paraId="514158CD">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同轴开关</w:t>
                  </w:r>
                </w:p>
              </w:tc>
              <w:tc>
                <w:tcPr>
                  <w:tcW w:w="1940" w:type="dxa"/>
                  <w:vAlign w:val="center"/>
                </w:tcPr>
                <w:p w14:paraId="7176DE89">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工业</w:t>
                  </w:r>
                </w:p>
              </w:tc>
            </w:tr>
          </w:tbl>
          <w:p w14:paraId="02A7D0F0">
            <w:pPr>
              <w:keepNext w:val="0"/>
              <w:keepLines w:val="0"/>
              <w:pageBreakBefore w:val="0"/>
              <w:widowControl/>
              <w:kinsoku/>
              <w:wordWrap w:val="0"/>
              <w:overflowPunct/>
              <w:topLinePunct/>
              <w:autoSpaceDE w:val="0"/>
              <w:autoSpaceDN w:val="0"/>
              <w:bidi w:val="0"/>
              <w:adjustRightInd w:val="0"/>
              <w:snapToGrid w:val="0"/>
              <w:spacing w:line="134" w:lineRule="exact"/>
              <w:jc w:val="both"/>
              <w:textAlignment w:val="baseline"/>
              <w:rPr>
                <w:rFonts w:hint="eastAsia" w:ascii="宋体" w:hAnsi="宋体" w:eastAsia="宋体" w:cs="宋体"/>
                <w:color w:val="auto"/>
                <w:sz w:val="11"/>
                <w:highlight w:val="none"/>
              </w:rPr>
            </w:pPr>
          </w:p>
          <w:p w14:paraId="7C3FB3F1">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sz w:val="11"/>
                <w:highlight w:val="none"/>
              </w:rPr>
            </w:pPr>
            <w:r>
              <w:rPr>
                <w:rFonts w:hint="eastAsia" w:ascii="宋体" w:hAnsi="宋体" w:eastAsia="宋体" w:cs="宋体"/>
                <w:b/>
                <w:bCs/>
                <w:color w:val="auto"/>
                <w:sz w:val="21"/>
                <w:szCs w:val="21"/>
                <w:highlight w:val="none"/>
                <w:lang w:eastAsia="zh-CN"/>
              </w:rPr>
              <w:t>工业：</w:t>
            </w:r>
            <w:r>
              <w:rPr>
                <w:rFonts w:hint="eastAsia" w:ascii="宋体" w:hAnsi="宋体" w:eastAsia="宋体" w:cs="宋体"/>
                <w:color w:val="auto"/>
                <w:sz w:val="21"/>
                <w:szCs w:val="21"/>
                <w:highlight w:val="none"/>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F021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13" w:type="dxa"/>
          <w:trHeight w:val="1094" w:hRule="atLeast"/>
          <w:jc w:val="center"/>
        </w:trPr>
        <w:tc>
          <w:tcPr>
            <w:tcW w:w="974" w:type="dxa"/>
            <w:vAlign w:val="center"/>
          </w:tcPr>
          <w:p w14:paraId="06C57478">
            <w:pPr>
              <w:bidi w:val="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43.5</w:t>
            </w:r>
          </w:p>
        </w:tc>
        <w:tc>
          <w:tcPr>
            <w:tcW w:w="1737" w:type="dxa"/>
            <w:vAlign w:val="center"/>
          </w:tcPr>
          <w:p w14:paraId="205B9057">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优先采购创新节能环保产品</w:t>
            </w:r>
          </w:p>
        </w:tc>
        <w:tc>
          <w:tcPr>
            <w:tcW w:w="6929" w:type="dxa"/>
            <w:vAlign w:val="center"/>
          </w:tcPr>
          <w:p w14:paraId="191CFD00">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所响应产品纳入创新产品应用示范推荐目录内企业、所响应产品获得节能产品或环境标志产品认证证书的供应商报价给予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的价格扣除。</w:t>
            </w:r>
          </w:p>
        </w:tc>
      </w:tr>
      <w:tr w14:paraId="7C4C2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13" w:type="dxa"/>
          <w:trHeight w:val="3285" w:hRule="atLeast"/>
          <w:jc w:val="center"/>
        </w:trPr>
        <w:tc>
          <w:tcPr>
            <w:tcW w:w="974" w:type="dxa"/>
            <w:vAlign w:val="center"/>
          </w:tcPr>
          <w:p w14:paraId="0F54FDC3">
            <w:pPr>
              <w:bidi w:val="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4</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.1</w:t>
            </w:r>
          </w:p>
        </w:tc>
        <w:tc>
          <w:tcPr>
            <w:tcW w:w="1737" w:type="dxa"/>
            <w:vAlign w:val="center"/>
          </w:tcPr>
          <w:p w14:paraId="7FA47B61">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政府采购合同融资政策</w:t>
            </w:r>
          </w:p>
        </w:tc>
        <w:tc>
          <w:tcPr>
            <w:tcW w:w="6929" w:type="dxa"/>
            <w:vAlign w:val="center"/>
          </w:tcPr>
          <w:p w14:paraId="5CBB47BE">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1.有融资需求的中标人在获得政府采购中标通知书后，即可向开展“政采贷”业务的金融机构提出申请，金融机构依据政府采购中标通知书和政府采购合同，为中小微企业提供融资服务。</w:t>
            </w:r>
          </w:p>
          <w:p w14:paraId="50AE36CC">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渠道和方式：查询新疆政府采购网。</w:t>
            </w:r>
          </w:p>
          <w:p w14:paraId="149FE1AA">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2.“政采贷”融资指引：在取得政府采购中标通知书后，可访问“新疆政采贷融资服务平台”，查看和联系第三方平台或者金融机构，商洽融资事项，确定融资意向。中标人签署政府采购中标合同后，登录“新疆政采贷融资服务平台”，选择意向产品进行申请，并填写相关信息，“新疆政采贷融资服务平台”将中标人融资申请信息推送第三方平台、意向金融机构。</w:t>
            </w:r>
          </w:p>
        </w:tc>
      </w:tr>
      <w:tr w14:paraId="290F0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13" w:type="dxa"/>
          <w:trHeight w:val="4565" w:hRule="atLeast"/>
          <w:jc w:val="center"/>
        </w:trPr>
        <w:tc>
          <w:tcPr>
            <w:tcW w:w="974" w:type="dxa"/>
            <w:vAlign w:val="center"/>
          </w:tcPr>
          <w:p w14:paraId="7C185674">
            <w:pPr>
              <w:bidi w:val="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4</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p>
        </w:tc>
        <w:tc>
          <w:tcPr>
            <w:tcW w:w="1737" w:type="dxa"/>
            <w:vAlign w:val="center"/>
          </w:tcPr>
          <w:p w14:paraId="22095DE4">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其他</w:t>
            </w:r>
            <w:r>
              <w:rPr>
                <w:rFonts w:hint="eastAsia" w:ascii="宋体" w:hAnsi="宋体" w:eastAsia="宋体" w:cs="宋体"/>
                <w:color w:val="auto"/>
                <w:sz w:val="24"/>
                <w:szCs w:val="24"/>
                <w:highlight w:val="none"/>
              </w:rPr>
              <w:t>需要补充的其他内容</w:t>
            </w:r>
          </w:p>
        </w:tc>
        <w:tc>
          <w:tcPr>
            <w:tcW w:w="6929" w:type="dxa"/>
            <w:vAlign w:val="center"/>
          </w:tcPr>
          <w:p w14:paraId="1932CF2B">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根据《财政部关于在政府采购活动中查询及使用信用记录有关问题的通知》财库〔2016〕125号的规定，以在文件开启日通过“信用中国”网站（www.creditchina.gov.cn）、中国政府采购网（www.ccgp.gov.cn）等渠道查询主体信用记录结果为准，并将信用信息查询</w:t>
            </w:r>
            <w:r>
              <w:rPr>
                <w:rFonts w:hint="eastAsia" w:ascii="宋体" w:hAnsi="宋体" w:eastAsia="宋体" w:cs="宋体"/>
                <w:color w:val="auto"/>
                <w:sz w:val="24"/>
                <w:szCs w:val="24"/>
                <w:highlight w:val="none"/>
                <w:lang w:val="en-US" w:eastAsia="zh-CN"/>
              </w:rPr>
              <w:t>结果</w:t>
            </w:r>
            <w:r>
              <w:rPr>
                <w:rFonts w:hint="default" w:ascii="宋体" w:hAnsi="宋体" w:eastAsia="宋体" w:cs="宋体"/>
                <w:color w:val="auto"/>
                <w:sz w:val="24"/>
                <w:szCs w:val="24"/>
                <w:highlight w:val="none"/>
                <w:lang w:val="en-US" w:eastAsia="zh-CN"/>
              </w:rPr>
              <w:t>网页打印页作为查询记录和证据，与其他采购文件一并保存</w:t>
            </w:r>
            <w:r>
              <w:rPr>
                <w:rFonts w:hint="eastAsia" w:ascii="宋体" w:hAnsi="宋体" w:eastAsia="宋体" w:cs="宋体"/>
                <w:color w:val="auto"/>
                <w:sz w:val="24"/>
                <w:szCs w:val="24"/>
                <w:highlight w:val="none"/>
                <w:lang w:val="en-US" w:eastAsia="zh-CN"/>
              </w:rPr>
              <w:t>。</w:t>
            </w:r>
          </w:p>
          <w:p w14:paraId="38E0CD60">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解释权：构成采购文件的各个组成文件应互为解释，互为说明；除采购文件中有特别规定外，按招标公告、投标人须知、投标文件格式的先后顺序解释；同一组成文件中就同一事项的规定或约定不一致的，以编排顺序在后者为准；按本款前述规定仍不能形成结论的，由采购代理机构和采购人负责解释。</w:t>
            </w:r>
          </w:p>
          <w:p w14:paraId="01C2C851">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highlight w:val="none"/>
                <w:lang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.纸质投标文件：3份（双面彩色打印，每本标书厚度不得超过5cm，如超过可进行分册</w:t>
            </w:r>
            <w:r>
              <w:rPr>
                <w:rFonts w:hint="eastAsia" w:ascii="宋体" w:hAnsi="宋体" w:cs="宋体"/>
                <w:b/>
                <w:bCs/>
                <w:color w:val="auto"/>
                <w:sz w:val="24"/>
                <w:szCs w:val="24"/>
                <w:highlight w:val="none"/>
                <w:lang w:val="en-US" w:eastAsia="zh-CN"/>
              </w:rPr>
              <w:t>胶</w:t>
            </w:r>
            <w:r>
              <w:rPr>
                <w:rFonts w:hint="eastAsia" w:ascii="宋体" w:hAnsi="宋体" w:eastAsia="宋体" w:cs="宋体"/>
                <w:b/>
                <w:bCs/>
                <w:color w:val="auto"/>
                <w:sz w:val="24"/>
                <w:szCs w:val="24"/>
                <w:highlight w:val="none"/>
                <w:lang w:val="en-US" w:eastAsia="zh-CN"/>
              </w:rPr>
              <w:t>装），中标结果公示期满由中标单位送到或寄至采购代理机构）。</w:t>
            </w:r>
          </w:p>
        </w:tc>
      </w:tr>
      <w:tr w14:paraId="01505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13" w:type="dxa"/>
          <w:trHeight w:val="2986" w:hRule="atLeast"/>
          <w:jc w:val="center"/>
        </w:trPr>
        <w:tc>
          <w:tcPr>
            <w:tcW w:w="974" w:type="dxa"/>
            <w:vAlign w:val="center"/>
          </w:tcPr>
          <w:p w14:paraId="1FEDE7DD">
            <w:pPr>
              <w:bidi w:val="0"/>
              <w:jc w:val="center"/>
              <w:rPr>
                <w:rFonts w:hint="eastAsia" w:ascii="宋体" w:hAnsi="宋体" w:eastAsia="宋体" w:cs="宋体"/>
                <w:color w:val="auto"/>
                <w:sz w:val="24"/>
                <w:szCs w:val="24"/>
                <w:highlight w:val="none"/>
                <w:lang w:eastAsia="zh-CN"/>
              </w:rPr>
            </w:pPr>
          </w:p>
        </w:tc>
        <w:tc>
          <w:tcPr>
            <w:tcW w:w="1737" w:type="dxa"/>
            <w:vAlign w:val="center"/>
          </w:tcPr>
          <w:p w14:paraId="06B884B7">
            <w:pPr>
              <w:bidi w:val="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注意事项</w:t>
            </w:r>
          </w:p>
        </w:tc>
        <w:tc>
          <w:tcPr>
            <w:tcW w:w="6929" w:type="dxa"/>
            <w:vAlign w:val="center"/>
          </w:tcPr>
          <w:p w14:paraId="2DA4FF50">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1.除本招标文件另有规定外，招标文件中出现的类似于“近三年”或“前三年”、“近五年”或“前五年”均指递交投标文件时间</w:t>
            </w:r>
            <w:r>
              <w:rPr>
                <w:rFonts w:hint="eastAsia" w:ascii="宋体" w:hAnsi="宋体" w:cs="宋体"/>
                <w:color w:val="auto"/>
                <w:sz w:val="24"/>
                <w:szCs w:val="24"/>
                <w:highlight w:val="none"/>
                <w:lang w:val="en-US" w:eastAsia="zh-CN"/>
              </w:rPr>
              <w:t>之</w:t>
            </w:r>
            <w:r>
              <w:rPr>
                <w:rFonts w:hint="eastAsia" w:ascii="宋体" w:hAnsi="宋体" w:eastAsia="宋体" w:cs="宋体"/>
                <w:color w:val="auto"/>
                <w:sz w:val="24"/>
                <w:szCs w:val="24"/>
                <w:highlight w:val="none"/>
                <w:lang w:val="en-US" w:eastAsia="zh-CN"/>
              </w:rPr>
              <w:t>前三年或前五年，以此类推。如：递交投标文件时间为2026年01月0</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日，则“近三年”是指2023年01月0</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日至2026年01月0</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日。投标截止时间在6月1日（不含）前，上年度</w:t>
            </w:r>
            <w:r>
              <w:rPr>
                <w:rFonts w:hint="eastAsia" w:ascii="宋体" w:hAnsi="宋体" w:cs="宋体"/>
                <w:color w:val="auto"/>
                <w:sz w:val="24"/>
                <w:szCs w:val="24"/>
                <w:highlight w:val="none"/>
                <w:lang w:val="en-US" w:eastAsia="zh-CN"/>
              </w:rPr>
              <w:t>财务审计报告</w:t>
            </w:r>
            <w:r>
              <w:rPr>
                <w:rFonts w:hint="eastAsia" w:ascii="宋体" w:hAnsi="宋体" w:eastAsia="宋体" w:cs="宋体"/>
                <w:color w:val="auto"/>
                <w:sz w:val="24"/>
                <w:szCs w:val="24"/>
                <w:highlight w:val="none"/>
                <w:lang w:val="en-US" w:eastAsia="zh-CN"/>
              </w:rPr>
              <w:t>是指本年度之前的</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年或</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lang w:val="en-US" w:eastAsia="zh-CN"/>
              </w:rPr>
              <w:t>年；投标截止时间在6月1日（含）后，上年度</w:t>
            </w:r>
            <w:r>
              <w:rPr>
                <w:rFonts w:hint="eastAsia" w:ascii="宋体" w:hAnsi="宋体" w:cs="宋体"/>
                <w:color w:val="auto"/>
                <w:sz w:val="24"/>
                <w:szCs w:val="24"/>
                <w:highlight w:val="none"/>
                <w:lang w:val="en-US" w:eastAsia="zh-CN"/>
              </w:rPr>
              <w:t>财务审计报告</w:t>
            </w:r>
            <w:r>
              <w:rPr>
                <w:rFonts w:hint="eastAsia" w:ascii="宋体" w:hAnsi="宋体" w:eastAsia="宋体" w:cs="宋体"/>
                <w:color w:val="auto"/>
                <w:sz w:val="24"/>
                <w:szCs w:val="24"/>
                <w:highlight w:val="none"/>
                <w:lang w:val="en-US" w:eastAsia="zh-CN"/>
              </w:rPr>
              <w:t>指本年度之前的</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年。</w:t>
            </w:r>
          </w:p>
          <w:p w14:paraId="5956660A">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文件所称的“以上”、“以下”、“内”、“以内”，包括本数；所称的“不足”，不包括本数。</w:t>
            </w:r>
          </w:p>
        </w:tc>
      </w:tr>
    </w:tbl>
    <w:p w14:paraId="4964A70B">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highlight w:val="none"/>
        </w:rPr>
      </w:pPr>
    </w:p>
    <w:p w14:paraId="5C5F0C12">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szCs w:val="21"/>
          <w:highlight w:val="none"/>
        </w:rPr>
        <w:sectPr>
          <w:footerReference r:id="rId6" w:type="default"/>
          <w:pgSz w:w="11905" w:h="16838"/>
          <w:pgMar w:top="1134" w:right="1134" w:bottom="1134" w:left="1134" w:header="737" w:footer="737" w:gutter="0"/>
          <w:pgNumType w:fmt="numberInDash" w:start="1"/>
          <w:cols w:space="0" w:num="1"/>
          <w:rtlGutter w:val="0"/>
          <w:docGrid w:linePitch="0" w:charSpace="0"/>
        </w:sectPr>
      </w:pPr>
    </w:p>
    <w:p w14:paraId="1777F241">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leftChars="0" w:firstLine="546" w:firstLineChars="200"/>
        <w:jc w:val="both"/>
        <w:textAlignment w:val="baseline"/>
        <w:outlineLvl w:val="1"/>
        <w:rPr>
          <w:rFonts w:hint="default" w:ascii="宋体" w:hAnsi="宋体" w:eastAsia="宋体" w:cs="宋体"/>
          <w:color w:val="auto"/>
          <w:sz w:val="28"/>
          <w:szCs w:val="28"/>
          <w:highlight w:val="none"/>
          <w:lang w:val="en-US" w:eastAsia="zh-CN"/>
        </w:rPr>
      </w:pPr>
      <w:bookmarkStart w:id="14" w:name="_Toc23132"/>
      <w:bookmarkStart w:id="15" w:name="_Toc24402"/>
      <w:bookmarkStart w:id="16" w:name="_Toc3312"/>
      <w:r>
        <w:rPr>
          <w:rFonts w:hint="eastAsia" w:ascii="宋体" w:hAnsi="宋体" w:eastAsia="宋体" w:cs="宋体"/>
          <w:b/>
          <w:bCs/>
          <w:color w:val="auto"/>
          <w:spacing w:val="-4"/>
          <w:sz w:val="28"/>
          <w:szCs w:val="28"/>
          <w:highlight w:val="none"/>
        </w:rPr>
        <w:t>二、</w:t>
      </w:r>
      <w:bookmarkEnd w:id="14"/>
      <w:bookmarkEnd w:id="15"/>
      <w:r>
        <w:rPr>
          <w:rFonts w:hint="eastAsia" w:ascii="宋体" w:hAnsi="宋体" w:cs="宋体"/>
          <w:b/>
          <w:bCs/>
          <w:color w:val="auto"/>
          <w:spacing w:val="-4"/>
          <w:sz w:val="28"/>
          <w:szCs w:val="28"/>
          <w:highlight w:val="none"/>
          <w:lang w:val="en-US" w:eastAsia="zh-CN"/>
        </w:rPr>
        <w:t>投标人须知</w:t>
      </w:r>
      <w:bookmarkEnd w:id="16"/>
    </w:p>
    <w:p w14:paraId="5139F63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2"/>
        <w:rPr>
          <w:rFonts w:hint="eastAsia" w:ascii="宋体" w:hAnsi="宋体" w:eastAsia="宋体" w:cs="宋体"/>
          <w:color w:val="auto"/>
          <w:sz w:val="24"/>
          <w:szCs w:val="24"/>
          <w:highlight w:val="none"/>
        </w:rPr>
      </w:pPr>
      <w:bookmarkStart w:id="17" w:name="_Toc8483"/>
      <w:bookmarkStart w:id="18" w:name="_Toc29286"/>
      <w:bookmarkStart w:id="19" w:name="_Toc920"/>
      <w:bookmarkStart w:id="20" w:name="_Toc5359"/>
      <w:bookmarkStart w:id="21" w:name="_Toc15708"/>
      <w:r>
        <w:rPr>
          <w:rFonts w:hint="eastAsia" w:ascii="宋体" w:hAnsi="宋体" w:eastAsia="宋体" w:cs="宋体"/>
          <w:b/>
          <w:bCs/>
          <w:color w:val="auto"/>
          <w:spacing w:val="-6"/>
          <w:sz w:val="24"/>
          <w:szCs w:val="24"/>
          <w:highlight w:val="none"/>
        </w:rPr>
        <w:t>（一）总则</w:t>
      </w:r>
      <w:bookmarkEnd w:id="17"/>
      <w:bookmarkEnd w:id="18"/>
      <w:bookmarkEnd w:id="19"/>
      <w:bookmarkEnd w:id="20"/>
      <w:bookmarkEnd w:id="21"/>
    </w:p>
    <w:p w14:paraId="16B4FA3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4"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1.适用范围</w:t>
      </w:r>
    </w:p>
    <w:p w14:paraId="1C7108C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1.1本招标文件仅适用于本项目的采购活动。</w:t>
      </w:r>
    </w:p>
    <w:p w14:paraId="5AB6251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2.基本定义</w:t>
      </w:r>
    </w:p>
    <w:p w14:paraId="733D095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2.1根据《中华人民共和国政府采购法》及其实施条例等有关法律、法规和</w:t>
      </w:r>
      <w:r>
        <w:rPr>
          <w:rFonts w:hint="eastAsia" w:ascii="宋体" w:hAnsi="宋体" w:eastAsia="宋体" w:cs="宋体"/>
          <w:color w:val="auto"/>
          <w:spacing w:val="-1"/>
          <w:sz w:val="24"/>
          <w:szCs w:val="24"/>
          <w:highlight w:val="none"/>
        </w:rPr>
        <w:t>规章的规定，制定本招标文件。</w:t>
      </w:r>
    </w:p>
    <w:p w14:paraId="17AB6CBD">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2.2采购人：指依法进行政府采购的国家机关、事业单位、团体组织。</w:t>
      </w:r>
    </w:p>
    <w:p w14:paraId="7646748A">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2.3采购代理机构：指依法进行政府采购的国家机关、事业单位、团体组织</w:t>
      </w:r>
      <w:r>
        <w:rPr>
          <w:rFonts w:hint="eastAsia" w:ascii="宋体" w:hAnsi="宋体" w:eastAsia="宋体" w:cs="宋体"/>
          <w:color w:val="auto"/>
          <w:spacing w:val="-1"/>
          <w:sz w:val="24"/>
          <w:szCs w:val="24"/>
          <w:highlight w:val="none"/>
        </w:rPr>
        <w:t>委托的采购代理机构。</w:t>
      </w:r>
    </w:p>
    <w:p w14:paraId="5B349D83">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2.4政府采购监督管理部门：各级人民政府财政部门是负责政府采购监督管</w:t>
      </w:r>
      <w:r>
        <w:rPr>
          <w:rFonts w:hint="eastAsia" w:ascii="宋体" w:hAnsi="宋体" w:eastAsia="宋体" w:cs="宋体"/>
          <w:color w:val="auto"/>
          <w:spacing w:val="-3"/>
          <w:sz w:val="24"/>
          <w:szCs w:val="24"/>
          <w:highlight w:val="none"/>
        </w:rPr>
        <w:t>理的部门，依法履行对政府采购活动的监督管理职责。各级人民政府其他有</w:t>
      </w:r>
      <w:r>
        <w:rPr>
          <w:rFonts w:hint="eastAsia" w:ascii="宋体" w:hAnsi="宋体" w:eastAsia="宋体" w:cs="宋体"/>
          <w:color w:val="auto"/>
          <w:spacing w:val="-4"/>
          <w:sz w:val="24"/>
          <w:szCs w:val="24"/>
          <w:highlight w:val="none"/>
        </w:rPr>
        <w:t>关部</w:t>
      </w:r>
      <w:r>
        <w:rPr>
          <w:rFonts w:hint="eastAsia" w:ascii="宋体" w:hAnsi="宋体" w:eastAsia="宋体" w:cs="宋体"/>
          <w:color w:val="auto"/>
          <w:spacing w:val="-1"/>
          <w:sz w:val="24"/>
          <w:szCs w:val="24"/>
          <w:highlight w:val="none"/>
        </w:rPr>
        <w:t>门依法履行与政府采购</w:t>
      </w:r>
      <w:r>
        <w:rPr>
          <w:rFonts w:hint="eastAsia" w:ascii="宋体" w:hAnsi="宋体" w:eastAsia="宋体" w:cs="宋体"/>
          <w:color w:val="auto"/>
          <w:spacing w:val="-2"/>
          <w:sz w:val="24"/>
          <w:szCs w:val="24"/>
          <w:highlight w:val="none"/>
        </w:rPr>
        <w:t>活动有关的监督管理职责。</w:t>
      </w:r>
    </w:p>
    <w:p w14:paraId="0ABDA7C9">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2.5</w:t>
      </w:r>
      <w:r>
        <w:rPr>
          <w:rFonts w:hint="eastAsia" w:ascii="宋体" w:hAnsi="宋体" w:eastAsia="宋体" w:cs="宋体"/>
          <w:color w:val="auto"/>
          <w:spacing w:val="-3"/>
          <w:sz w:val="24"/>
          <w:szCs w:val="24"/>
          <w:highlight w:val="none"/>
          <w:lang w:val="en-US" w:eastAsia="zh-CN"/>
        </w:rPr>
        <w:t>核心产品见“投标人须知前附表”。</w:t>
      </w:r>
    </w:p>
    <w:p w14:paraId="2506F418">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2.6是否属于科研仪器设备采购见“投标人须知前附表”。</w:t>
      </w:r>
    </w:p>
    <w:p w14:paraId="3AA41FF7">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投标人（也称“供应商”、“申请人”）：指向采购人提供货物、工程或者服务的法人、其他组织或者自然人。分支机构不得参加政府采购活动，但银行、保险、石油石化、电力、电信等有行业特殊情况的除外。本项目的投标人须满足以下条件：</w:t>
      </w:r>
    </w:p>
    <w:p w14:paraId="1835BA77">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.1具备《中华人民共和国政府采购法》第二十二条规定的条件，遵守本项目采购人本级和上级财政部门政府采购的有关规定。</w:t>
      </w:r>
    </w:p>
    <w:p w14:paraId="4A73476B">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.2以招标公告中发布的方式依法获得了本项目的招标文件。</w:t>
      </w:r>
    </w:p>
    <w:p w14:paraId="67F9FC6C">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.3符合本招标文件规定并参加投标的供应商。</w:t>
      </w:r>
    </w:p>
    <w:p w14:paraId="503A9FAA">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潜在投标人、潜在供应商：指符合本招标文件规定的供应商。</w:t>
      </w:r>
    </w:p>
    <w:p w14:paraId="259D152F">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3.资金来源</w:t>
      </w:r>
    </w:p>
    <w:p w14:paraId="32756ED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3.1资金来源：为财政性资金即纳入预算管理的资金。以财政性资金作为还款来源的借贷资金，视同财政性资金。财政性资金与非财政性资金无法分割采购的，统一适用《中华人民共和国政府采购法》及其实施条例。</w:t>
      </w:r>
    </w:p>
    <w:p w14:paraId="200F958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4.投标人资格要求</w:t>
      </w:r>
    </w:p>
    <w:p w14:paraId="07FB78B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4.1投标人资格要求：见“</w:t>
      </w:r>
      <w:r>
        <w:rPr>
          <w:rFonts w:hint="eastAsia" w:ascii="宋体" w:hAnsi="宋体" w:eastAsia="宋体" w:cs="宋体"/>
          <w:color w:val="auto"/>
          <w:spacing w:val="-2"/>
          <w:sz w:val="24"/>
          <w:szCs w:val="24"/>
          <w:highlight w:val="none"/>
          <w:lang w:eastAsia="zh-CN"/>
        </w:rPr>
        <w:t>第一章 投标邀请</w:t>
      </w:r>
      <w:r>
        <w:rPr>
          <w:rFonts w:hint="eastAsia" w:ascii="宋体" w:hAnsi="宋体" w:eastAsia="宋体" w:cs="宋体"/>
          <w:color w:val="auto"/>
          <w:spacing w:val="-2"/>
          <w:sz w:val="24"/>
          <w:szCs w:val="24"/>
          <w:highlight w:val="none"/>
        </w:rPr>
        <w:t>”；</w:t>
      </w:r>
    </w:p>
    <w:p w14:paraId="111AE9B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w:t>
      </w:r>
      <w:r>
        <w:rPr>
          <w:rFonts w:hint="eastAsia" w:ascii="宋体" w:hAnsi="宋体" w:eastAsia="宋体" w:cs="宋体"/>
          <w:color w:val="auto"/>
          <w:spacing w:val="-2"/>
          <w:sz w:val="24"/>
          <w:szCs w:val="24"/>
          <w:highlight w:val="none"/>
          <w:lang w:eastAsia="zh-CN"/>
        </w:rPr>
        <w:t>第一章 投标邀请</w:t>
      </w:r>
      <w:r>
        <w:rPr>
          <w:rFonts w:hint="eastAsia" w:ascii="宋体" w:hAnsi="宋体" w:eastAsia="宋体" w:cs="宋体"/>
          <w:color w:val="auto"/>
          <w:spacing w:val="-2"/>
          <w:sz w:val="24"/>
          <w:szCs w:val="24"/>
          <w:highlight w:val="none"/>
        </w:rPr>
        <w:t>”规定接受联合体投标的，还应遵守以下规定：</w:t>
      </w:r>
    </w:p>
    <w:p w14:paraId="2BC4E74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4.2.1两个以上的自然人、法人或者其他组织可以组成一个联合体，以一个投标人的身份共同参加政府采购。以联合体形式进行政府采购的，参加联合体的供应商均应当具备《中华人民共和国政府采购法》第二十二条规定的条件。</w:t>
      </w:r>
    </w:p>
    <w:p w14:paraId="00579FC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4.2.2联合体各方应按招标文件提供的格式签订联合体协议书，明确约定联合体各方承担的工作和相应的责任，并将联合体协议书作为投标文件的一部分提交，该协议书对联合体所有成员均具有法律约束力。</w:t>
      </w:r>
    </w:p>
    <w:p w14:paraId="729279B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4.2.3联合体中有同类资质的供应商按照联合体分工承担相同工作的，应当按照资质等级较低的供应商确定资质等级。</w:t>
      </w:r>
    </w:p>
    <w:p w14:paraId="6DD384AC">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4.2.4以联合体形式参加政府采购活动的，联合体各</w:t>
      </w:r>
      <w:r>
        <w:rPr>
          <w:rFonts w:hint="eastAsia" w:ascii="宋体" w:hAnsi="宋体" w:eastAsia="宋体" w:cs="宋体"/>
          <w:color w:val="auto"/>
          <w:spacing w:val="-3"/>
          <w:sz w:val="24"/>
          <w:szCs w:val="24"/>
          <w:highlight w:val="none"/>
        </w:rPr>
        <w:t>方不得再单独参加或者与其他供应商另外组成联合体参加同一合同项下的投标，否则相关投标将被</w:t>
      </w:r>
      <w:r>
        <w:rPr>
          <w:rFonts w:hint="eastAsia" w:ascii="宋体" w:hAnsi="宋体" w:eastAsia="宋体" w:cs="宋体"/>
          <w:color w:val="auto"/>
          <w:spacing w:val="-4"/>
          <w:sz w:val="24"/>
          <w:szCs w:val="24"/>
          <w:highlight w:val="none"/>
        </w:rPr>
        <w:t>认定为</w:t>
      </w:r>
      <w:r>
        <w:rPr>
          <w:rFonts w:hint="eastAsia" w:ascii="宋体" w:hAnsi="宋体" w:eastAsia="宋体" w:cs="宋体"/>
          <w:b/>
          <w:bCs/>
          <w:color w:val="auto"/>
          <w:spacing w:val="-4"/>
          <w:sz w:val="24"/>
          <w:szCs w:val="24"/>
          <w:highlight w:val="none"/>
        </w:rPr>
        <w:t>投标无效</w:t>
      </w:r>
      <w:r>
        <w:rPr>
          <w:rFonts w:hint="eastAsia" w:ascii="宋体" w:hAnsi="宋体" w:eastAsia="宋体" w:cs="宋体"/>
          <w:color w:val="auto"/>
          <w:spacing w:val="-4"/>
          <w:sz w:val="24"/>
          <w:szCs w:val="24"/>
          <w:highlight w:val="none"/>
        </w:rPr>
        <w:t>。</w:t>
      </w:r>
    </w:p>
    <w:p w14:paraId="2F5628D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4.2.5大中型企业、其他自然人、法人或者非法人组织与小型、微型企业组成联合体共同参加投标的，联合体协议书中应写明小型、微型企业的合同金额占到联合体投标合同总金额的比例。</w:t>
      </w:r>
    </w:p>
    <w:p w14:paraId="63560F1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4.2.6联合体中标的，采购合同应由联合体各成员的合法授权代表签字及加盖联合体各成员公章，并对联合体成员作为整体和他们各自作为独立体均具有法律约束力，但若该签字或公章不齐全或缺乏，该联合体的牵头人的签署或类似的 意思表示人具有代表该联合体的签署或意思表示的法律效力，并且据此各成员为履行合同应向采购人与采购代理机构承担连带责任。</w:t>
      </w:r>
    </w:p>
    <w:p w14:paraId="5439590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4.2.7联合体或其成员不得将其在合同项下的权利或义务全部或部分转让给第三人，有关分包事项须事先取得采购人书面同意并且须遵守相关法律、法规、本次招标的全部相关规定。</w:t>
      </w:r>
    </w:p>
    <w:p w14:paraId="410A242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4.2.8对联合体投标的其他资格要求见“</w:t>
      </w:r>
      <w:r>
        <w:rPr>
          <w:rFonts w:hint="eastAsia" w:ascii="宋体" w:hAnsi="宋体" w:eastAsia="宋体" w:cs="宋体"/>
          <w:color w:val="auto"/>
          <w:spacing w:val="-2"/>
          <w:sz w:val="24"/>
          <w:szCs w:val="24"/>
          <w:highlight w:val="none"/>
          <w:lang w:eastAsia="zh-CN"/>
        </w:rPr>
        <w:t>第一章 投标邀请</w:t>
      </w:r>
      <w:r>
        <w:rPr>
          <w:rFonts w:hint="eastAsia" w:ascii="宋体" w:hAnsi="宋体" w:eastAsia="宋体" w:cs="宋体"/>
          <w:color w:val="auto"/>
          <w:spacing w:val="-2"/>
          <w:sz w:val="24"/>
          <w:szCs w:val="24"/>
          <w:highlight w:val="none"/>
        </w:rPr>
        <w:t>”中的“二、申请人的资格要求”。</w:t>
      </w:r>
    </w:p>
    <w:p w14:paraId="375AAB9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5.费用承担</w:t>
      </w:r>
    </w:p>
    <w:p w14:paraId="6F235ED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5.1不论投标的结果如何，投标人应承担所有与准备和参加投标有关的费用。</w:t>
      </w:r>
    </w:p>
    <w:p w14:paraId="7F4E4ED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6.保密</w:t>
      </w:r>
    </w:p>
    <w:p w14:paraId="7A75E99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6.1参与招标投标活动的各方应对招标文件</w:t>
      </w:r>
      <w:r>
        <w:rPr>
          <w:rFonts w:hint="eastAsia" w:ascii="宋体" w:hAnsi="宋体" w:eastAsia="宋体" w:cs="宋体"/>
          <w:color w:val="auto"/>
          <w:spacing w:val="-1"/>
          <w:sz w:val="24"/>
          <w:szCs w:val="24"/>
          <w:highlight w:val="none"/>
        </w:rPr>
        <w:t>和投标文件中的商业和技术等秘密保密，否则应承担相应的法律责任。</w:t>
      </w:r>
    </w:p>
    <w:p w14:paraId="27FD28B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6.2投标人自领取招标文件之日起，须承担本招标项目保密义务，不得将因</w:t>
      </w:r>
      <w:r>
        <w:rPr>
          <w:rFonts w:hint="eastAsia" w:ascii="宋体" w:hAnsi="宋体" w:eastAsia="宋体" w:cs="宋体"/>
          <w:color w:val="auto"/>
          <w:spacing w:val="-1"/>
          <w:sz w:val="24"/>
          <w:szCs w:val="24"/>
          <w:highlight w:val="none"/>
        </w:rPr>
        <w:t>本次招标获得的信息向第三人外传。由采购人向投标人提供的图纸、详细资料、</w:t>
      </w:r>
      <w:r>
        <w:rPr>
          <w:rFonts w:hint="eastAsia" w:ascii="宋体" w:hAnsi="宋体" w:eastAsia="宋体" w:cs="宋体"/>
          <w:color w:val="auto"/>
          <w:spacing w:val="-7"/>
          <w:sz w:val="24"/>
          <w:szCs w:val="24"/>
          <w:highlight w:val="none"/>
        </w:rPr>
        <w:t>样品、模型、模件和所有其它资料，被视为保密资料，仅被</w:t>
      </w:r>
      <w:r>
        <w:rPr>
          <w:rFonts w:hint="eastAsia" w:ascii="宋体" w:hAnsi="宋体" w:eastAsia="宋体" w:cs="宋体"/>
          <w:color w:val="auto"/>
          <w:spacing w:val="-8"/>
          <w:sz w:val="24"/>
          <w:szCs w:val="24"/>
          <w:highlight w:val="none"/>
        </w:rPr>
        <w:t>用于它所规定的用途。</w:t>
      </w:r>
      <w:r>
        <w:rPr>
          <w:rFonts w:hint="eastAsia" w:ascii="宋体" w:hAnsi="宋体" w:eastAsia="宋体" w:cs="宋体"/>
          <w:color w:val="auto"/>
          <w:spacing w:val="-1"/>
          <w:sz w:val="24"/>
          <w:szCs w:val="24"/>
          <w:highlight w:val="none"/>
        </w:rPr>
        <w:t>除非得到采购人的同意，不能向任何第三方透露。开标结束后，应采购人要求，投标人应归还所有从采购人处获得的保密资料。</w:t>
      </w:r>
    </w:p>
    <w:p w14:paraId="40E2EB7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9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6.3采购代理机构有权将投标人提供的所有资料向有关政府部</w:t>
      </w:r>
      <w:r>
        <w:rPr>
          <w:rFonts w:hint="eastAsia" w:ascii="宋体" w:hAnsi="宋体" w:eastAsia="宋体" w:cs="宋体"/>
          <w:color w:val="auto"/>
          <w:spacing w:val="3"/>
          <w:sz w:val="24"/>
          <w:szCs w:val="24"/>
          <w:highlight w:val="none"/>
        </w:rPr>
        <w:t>门或评审投</w:t>
      </w:r>
      <w:r>
        <w:rPr>
          <w:rFonts w:hint="eastAsia" w:ascii="宋体" w:hAnsi="宋体" w:eastAsia="宋体" w:cs="宋体"/>
          <w:color w:val="auto"/>
          <w:spacing w:val="-1"/>
          <w:sz w:val="24"/>
          <w:szCs w:val="24"/>
          <w:highlight w:val="none"/>
        </w:rPr>
        <w:t>标文件的有关人员披露。</w:t>
      </w:r>
    </w:p>
    <w:p w14:paraId="3D97968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6.4各级人民政府财政部门对政府采购活动进行监督检查，有权查阅、复制</w:t>
      </w:r>
      <w:r>
        <w:rPr>
          <w:rFonts w:hint="eastAsia" w:ascii="宋体" w:hAnsi="宋体" w:eastAsia="宋体" w:cs="宋体"/>
          <w:color w:val="auto"/>
          <w:spacing w:val="-1"/>
          <w:sz w:val="24"/>
          <w:szCs w:val="24"/>
          <w:highlight w:val="none"/>
        </w:rPr>
        <w:t>有关文件、资料，相关单位和人员应当予以配合。</w:t>
      </w:r>
    </w:p>
    <w:p w14:paraId="0CB4C29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7.语言文字</w:t>
      </w:r>
    </w:p>
    <w:p w14:paraId="6056CDD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7.1招标投标过程文件使用的语言文字为中文。专用术语使用外文的，应附</w:t>
      </w:r>
      <w:r>
        <w:rPr>
          <w:rFonts w:hint="eastAsia" w:ascii="宋体" w:hAnsi="宋体" w:eastAsia="宋体" w:cs="宋体"/>
          <w:color w:val="auto"/>
          <w:spacing w:val="-3"/>
          <w:sz w:val="24"/>
          <w:szCs w:val="24"/>
          <w:highlight w:val="none"/>
        </w:rPr>
        <w:t>有中文注释。投标人提交的支持资料和已印制的文献可以用外文，但相应内容应附有中文翻译本，在解释投标文件时以中文翻译本为准。未附中文翻译本或翻译</w:t>
      </w:r>
      <w:r>
        <w:rPr>
          <w:rFonts w:hint="eastAsia" w:ascii="宋体" w:hAnsi="宋体" w:eastAsia="宋体" w:cs="宋体"/>
          <w:color w:val="auto"/>
          <w:sz w:val="24"/>
          <w:szCs w:val="24"/>
          <w:highlight w:val="none"/>
        </w:rPr>
        <w:t xml:space="preserve"> 本中文内容明显与外文内容不一致的，其不</w:t>
      </w:r>
      <w:r>
        <w:rPr>
          <w:rFonts w:hint="eastAsia" w:ascii="宋体" w:hAnsi="宋体" w:eastAsia="宋体" w:cs="宋体"/>
          <w:color w:val="auto"/>
          <w:spacing w:val="-1"/>
          <w:sz w:val="24"/>
          <w:szCs w:val="24"/>
          <w:highlight w:val="none"/>
        </w:rPr>
        <w:t>利后果由投标人自行承担。</w:t>
      </w:r>
    </w:p>
    <w:p w14:paraId="2DD6BB0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8.计量单位</w:t>
      </w:r>
    </w:p>
    <w:p w14:paraId="7A8D6A3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8.1所有计量均采用中华人民共和国法定计量单位。</w:t>
      </w:r>
    </w:p>
    <w:p w14:paraId="5FC6035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9.现场考察和答疑会</w:t>
      </w:r>
    </w:p>
    <w:p w14:paraId="2953D13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9.1“投标人须知前附表”规定组织现场考察的，采购代理机构按“投标人须知前附表”规定的时间、地点组织投标人项目现场考察。</w:t>
      </w:r>
    </w:p>
    <w:p w14:paraId="44003C5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9.2投标人现场考察发生的费用自理。</w:t>
      </w:r>
    </w:p>
    <w:p w14:paraId="36A08FA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9.3在现场考察中，因投标人自身原因发生的人员伤亡和财产损失，由投标人自行负责。</w:t>
      </w:r>
    </w:p>
    <w:p w14:paraId="7F181F1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9.4采购人在现场考察中介绍的项目场地</w:t>
      </w:r>
      <w:r>
        <w:rPr>
          <w:rFonts w:hint="eastAsia" w:ascii="宋体" w:hAnsi="宋体" w:eastAsia="宋体" w:cs="宋体"/>
          <w:color w:val="auto"/>
          <w:spacing w:val="-3"/>
          <w:sz w:val="24"/>
          <w:szCs w:val="24"/>
          <w:highlight w:val="none"/>
        </w:rPr>
        <w:t>和相关的周边环境情况，仅供投标人在编制投标文</w:t>
      </w:r>
      <w:r>
        <w:rPr>
          <w:rFonts w:hint="eastAsia" w:ascii="宋体" w:hAnsi="宋体" w:eastAsia="宋体" w:cs="宋体"/>
          <w:color w:val="auto"/>
          <w:spacing w:val="-1"/>
          <w:sz w:val="24"/>
          <w:szCs w:val="24"/>
          <w:highlight w:val="none"/>
        </w:rPr>
        <w:t>件时参考，采购人和采购代理机构不对投标人据此作出的判断和决策负责。</w:t>
      </w:r>
    </w:p>
    <w:p w14:paraId="21A73A5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9.5“投标人须知前附表”规定召开答疑会的，采购代理机构按“投标人须知前附表”规定的时间和地点召开答疑会，澄清投标人提出的问题。</w:t>
      </w:r>
    </w:p>
    <w:p w14:paraId="0FF503A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9.6由于未参加现场考察或未参加标前答疑会而导致对项目实际情况不了解，影响投标文件编制、投标报价准确性、综合因素响应不全面等问题的，由投标人自行承担不利评审后果。</w:t>
      </w:r>
    </w:p>
    <w:p w14:paraId="3765609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10.电子投标说明</w:t>
      </w:r>
    </w:p>
    <w:p w14:paraId="226A597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10.1本次采购采用电子交易方式，电子交易平台为</w:t>
      </w:r>
      <w:r>
        <w:rPr>
          <w:rFonts w:hint="eastAsia" w:ascii="宋体" w:hAnsi="宋体" w:eastAsia="宋体" w:cs="宋体"/>
          <w:color w:val="auto"/>
          <w:spacing w:val="-1"/>
          <w:sz w:val="24"/>
          <w:szCs w:val="24"/>
          <w:highlight w:val="none"/>
          <w:lang w:eastAsia="zh-CN"/>
        </w:rPr>
        <w:t>新疆政府采购电子交易云平台</w:t>
      </w:r>
      <w:r>
        <w:rPr>
          <w:rFonts w:hint="eastAsia" w:ascii="宋体" w:hAnsi="宋体" w:eastAsia="宋体" w:cs="宋体"/>
          <w:color w:val="auto"/>
          <w:spacing w:val="-1"/>
          <w:sz w:val="24"/>
          <w:szCs w:val="24"/>
          <w:highlight w:val="none"/>
        </w:rPr>
        <w:t>（网址：</w:t>
      </w: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"https://www.zcygov.cn/"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lang w:eastAsia="zh-CN"/>
        </w:rPr>
        <w:t>https://www.zcygov.cn/</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投标人参与本项目电子交易活动前，应在政采云平台上注册供应商账号。编制电子投标文件前还需申领CA证书并绑定帐号。投标人应充分考虑完成平台注册、申领CA证书等所需的时间。潜在投标人领取文件须提前完成注册、CA证书和电子签章申领和绑定、下载投标客户端。因未办理CA数字证书、CA证书故障、操作不当等原因造成无法投标或投标失败等后果由投标人自行承担。投标人登录</w:t>
      </w:r>
      <w:r>
        <w:rPr>
          <w:rFonts w:hint="eastAsia" w:ascii="宋体" w:hAnsi="宋体" w:eastAsia="宋体" w:cs="宋体"/>
          <w:color w:val="auto"/>
          <w:spacing w:val="-1"/>
          <w:sz w:val="24"/>
          <w:szCs w:val="24"/>
          <w:highlight w:val="none"/>
          <w:lang w:eastAsia="zh-CN"/>
        </w:rPr>
        <w:t>新疆政府采购网</w:t>
      </w:r>
      <w:r>
        <w:rPr>
          <w:rFonts w:hint="eastAsia" w:ascii="宋体" w:hAnsi="宋体" w:eastAsia="宋体" w:cs="宋体"/>
          <w:color w:val="auto"/>
          <w:spacing w:val="-1"/>
          <w:sz w:val="24"/>
          <w:szCs w:val="24"/>
          <w:highlight w:val="none"/>
        </w:rPr>
        <w:t>“供应商注册”—“</w:t>
      </w:r>
      <w:r>
        <w:rPr>
          <w:rFonts w:hint="eastAsia" w:ascii="宋体" w:hAnsi="宋体" w:eastAsia="宋体" w:cs="宋体"/>
          <w:color w:val="auto"/>
          <w:spacing w:val="-1"/>
          <w:sz w:val="24"/>
          <w:szCs w:val="24"/>
          <w:highlight w:val="none"/>
          <w:lang w:eastAsia="zh-CN"/>
        </w:rPr>
        <w:t>新疆政府采购供应商</w:t>
      </w:r>
      <w:r>
        <w:rPr>
          <w:rFonts w:hint="eastAsia" w:ascii="宋体" w:hAnsi="宋体" w:eastAsia="宋体" w:cs="宋体"/>
          <w:color w:val="auto"/>
          <w:spacing w:val="-1"/>
          <w:sz w:val="24"/>
          <w:szCs w:val="24"/>
          <w:highlight w:val="none"/>
        </w:rPr>
        <w:t>入驻登记”—“立即登记”进行自助注册绑定。</w:t>
      </w:r>
    </w:p>
    <w:p w14:paraId="73A9F75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10.2投标人将</w:t>
      </w:r>
      <w:r>
        <w:rPr>
          <w:rFonts w:hint="eastAsia" w:ascii="宋体" w:hAnsi="宋体" w:eastAsia="宋体" w:cs="宋体"/>
          <w:color w:val="auto"/>
          <w:spacing w:val="-1"/>
          <w:sz w:val="24"/>
          <w:szCs w:val="24"/>
          <w:highlight w:val="none"/>
          <w:lang w:eastAsia="zh-CN"/>
        </w:rPr>
        <w:t>新疆政府采购电子交易云平台</w:t>
      </w:r>
      <w:r>
        <w:rPr>
          <w:rFonts w:hint="eastAsia" w:ascii="宋体" w:hAnsi="宋体" w:eastAsia="宋体" w:cs="宋体"/>
          <w:color w:val="auto"/>
          <w:spacing w:val="-1"/>
          <w:sz w:val="24"/>
          <w:szCs w:val="24"/>
          <w:highlight w:val="none"/>
        </w:rPr>
        <w:t>电子交易客户端下载、安装完成后，可通过账号密码或CA登录客户端进行投标文件制作。在使用政采云投标客户端时，建议使用WIN7及以上操作系统。投标人登录</w:t>
      </w:r>
      <w:r>
        <w:rPr>
          <w:rFonts w:hint="eastAsia" w:ascii="宋体" w:hAnsi="宋体" w:eastAsia="宋体" w:cs="宋体"/>
          <w:color w:val="auto"/>
          <w:spacing w:val="-1"/>
          <w:sz w:val="24"/>
          <w:szCs w:val="24"/>
          <w:highlight w:val="none"/>
          <w:lang w:eastAsia="zh-CN"/>
        </w:rPr>
        <w:t>新疆政府采购网</w:t>
      </w:r>
      <w:r>
        <w:rPr>
          <w:rFonts w:hint="eastAsia" w:ascii="宋体" w:hAnsi="宋体" w:eastAsia="宋体" w:cs="宋体"/>
          <w:color w:val="auto"/>
          <w:spacing w:val="-1"/>
          <w:sz w:val="24"/>
          <w:szCs w:val="24"/>
          <w:highlight w:val="none"/>
        </w:rPr>
        <w:t>“下载专区”—“电子招投标客户端下载”下载相关客户端，如有问题可拨打政采云客户服务热线95763进行咨询。</w:t>
      </w:r>
    </w:p>
    <w:p w14:paraId="1ADB635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10.3加密的电子投标文件应在投标文件递交截止时间前通过政采云平台上传完成。逾期上传或者未上传指定地点的投标文件，不予受理。</w:t>
      </w:r>
    </w:p>
    <w:p w14:paraId="4014BBD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10.4投标人在开标前须提前配置好电脑及浏览器，开标时请使用制作加密电子投标文件的CA锁进行解密及报价确认。本项目投标文件解密时间详见“投标人须知前附表”，如因自身原因导致无法正常解密，后果由投标人自行承担。</w:t>
      </w:r>
    </w:p>
    <w:p w14:paraId="1266526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10.5如遇“</w:t>
      </w:r>
      <w:r>
        <w:rPr>
          <w:rFonts w:hint="eastAsia" w:ascii="宋体" w:hAnsi="宋体" w:eastAsia="宋体" w:cs="宋体"/>
          <w:color w:val="auto"/>
          <w:spacing w:val="-1"/>
          <w:sz w:val="24"/>
          <w:szCs w:val="24"/>
          <w:highlight w:val="none"/>
          <w:lang w:eastAsia="zh-CN"/>
        </w:rPr>
        <w:t>新疆政府采购电子交易云平台</w:t>
      </w:r>
      <w:r>
        <w:rPr>
          <w:rFonts w:hint="eastAsia" w:ascii="宋体" w:hAnsi="宋体" w:eastAsia="宋体" w:cs="宋体"/>
          <w:color w:val="auto"/>
          <w:spacing w:val="-1"/>
          <w:sz w:val="24"/>
          <w:szCs w:val="24"/>
          <w:highlight w:val="none"/>
        </w:rPr>
        <w:t>（网址：</w:t>
      </w: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"https://www.zcygov.c"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https://www.zcygov.c</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n/）”电子交易规则调整，以最新要求为准。</w:t>
      </w:r>
    </w:p>
    <w:p w14:paraId="770C9F6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10.6电子交易系统咨询：投标人应当充分考虑到电子投标可能会发生的各种问题和风险，特别是投标文件签署、提交等问题，可按照“</w:t>
      </w:r>
      <w:r>
        <w:rPr>
          <w:rFonts w:hint="eastAsia" w:ascii="宋体" w:hAnsi="宋体" w:eastAsia="宋体" w:cs="宋体"/>
          <w:color w:val="auto"/>
          <w:spacing w:val="-1"/>
          <w:sz w:val="24"/>
          <w:szCs w:val="24"/>
          <w:highlight w:val="none"/>
          <w:lang w:eastAsia="zh-CN"/>
        </w:rPr>
        <w:t>第一章 投标邀请</w:t>
      </w:r>
      <w:r>
        <w:rPr>
          <w:rFonts w:hint="eastAsia" w:ascii="宋体" w:hAnsi="宋体" w:eastAsia="宋体" w:cs="宋体"/>
          <w:color w:val="auto"/>
          <w:spacing w:val="-1"/>
          <w:sz w:val="24"/>
          <w:szCs w:val="24"/>
          <w:highlight w:val="none"/>
        </w:rPr>
        <w:t>”的联系方式咨询相关人员。</w:t>
      </w:r>
    </w:p>
    <w:p w14:paraId="215188A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10.7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68E413C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2"/>
        <w:rPr>
          <w:rFonts w:hint="eastAsia" w:ascii="宋体" w:hAnsi="宋体" w:eastAsia="宋体" w:cs="宋体"/>
          <w:color w:val="auto"/>
          <w:sz w:val="24"/>
          <w:szCs w:val="24"/>
          <w:highlight w:val="none"/>
        </w:rPr>
      </w:pPr>
      <w:bookmarkStart w:id="22" w:name="_Toc17445"/>
      <w:bookmarkStart w:id="23" w:name="_Toc9391"/>
      <w:bookmarkStart w:id="24" w:name="_Toc29103"/>
      <w:bookmarkStart w:id="25" w:name="_Toc15434"/>
      <w:bookmarkStart w:id="26" w:name="_Toc18064"/>
      <w:r>
        <w:rPr>
          <w:rFonts w:hint="eastAsia" w:ascii="宋体" w:hAnsi="宋体" w:eastAsia="宋体" w:cs="宋体"/>
          <w:b/>
          <w:bCs/>
          <w:color w:val="auto"/>
          <w:spacing w:val="-5"/>
          <w:sz w:val="24"/>
          <w:szCs w:val="24"/>
          <w:highlight w:val="none"/>
        </w:rPr>
        <w:t>（二）招标文件</w:t>
      </w:r>
      <w:bookmarkEnd w:id="22"/>
      <w:bookmarkEnd w:id="23"/>
      <w:bookmarkEnd w:id="24"/>
      <w:bookmarkEnd w:id="25"/>
      <w:bookmarkEnd w:id="26"/>
    </w:p>
    <w:p w14:paraId="29140CE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11.招标文件的组成</w:t>
      </w:r>
    </w:p>
    <w:p w14:paraId="08AF9B8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11.1本招标文件包括下列文件及根据本章第9款、第12款对招标文件所作的澄清或者修改。</w:t>
      </w:r>
    </w:p>
    <w:p w14:paraId="3E2F670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第一章 投标邀请</w:t>
      </w:r>
    </w:p>
    <w:p w14:paraId="78E30C5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第二章 投标人须知</w:t>
      </w:r>
    </w:p>
    <w:p w14:paraId="595D217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第三章 采购需求</w:t>
      </w:r>
    </w:p>
    <w:p w14:paraId="5E17C30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第四章</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5"/>
          <w:sz w:val="24"/>
          <w:szCs w:val="24"/>
          <w:highlight w:val="none"/>
        </w:rPr>
        <w:t>资格审查</w:t>
      </w:r>
    </w:p>
    <w:p w14:paraId="45A1F27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第五章 评标方法及标准</w:t>
      </w:r>
    </w:p>
    <w:p w14:paraId="6CBAA1E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 xml:space="preserve">第六章 </w:t>
      </w:r>
      <w:r>
        <w:rPr>
          <w:rFonts w:hint="eastAsia" w:ascii="宋体" w:hAnsi="宋体" w:eastAsia="宋体" w:cs="宋体"/>
          <w:color w:val="auto"/>
          <w:spacing w:val="-2"/>
          <w:sz w:val="24"/>
          <w:szCs w:val="24"/>
          <w:highlight w:val="none"/>
          <w:lang w:val="en-US" w:eastAsia="zh-CN"/>
        </w:rPr>
        <w:t>政府采购合同</w:t>
      </w:r>
    </w:p>
    <w:p w14:paraId="6BB1A7E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第七章 投标文件的格式</w:t>
      </w:r>
    </w:p>
    <w:p w14:paraId="562F647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第八章 附件</w:t>
      </w:r>
    </w:p>
    <w:p w14:paraId="475A8AF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12.招标文件的询问、澄清或者修改</w:t>
      </w:r>
    </w:p>
    <w:p w14:paraId="65ED525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12.1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答复中不包括问题的来源</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w:t>
      </w:r>
    </w:p>
    <w:p w14:paraId="21B8835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0F4839A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12.2采购人或者采购代理机构可以对已发出的招标文件进行必要的澄清或者修改。澄清或修改的内容为招标文件的组成部分，并对所有获取招标文件的潜在投标人具有约束力。</w:t>
      </w:r>
    </w:p>
    <w:p w14:paraId="6069C03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12.3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FDF159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12.4“投标人须知”所称“书面形式”包括系统消息、政府采购云平台发布的公告。</w:t>
      </w:r>
    </w:p>
    <w:p w14:paraId="4C47BCD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12.5采购代理机构一旦对招标文件作</w:t>
      </w:r>
      <w:r>
        <w:rPr>
          <w:rFonts w:hint="eastAsia" w:ascii="宋体" w:hAnsi="宋体" w:eastAsia="宋体" w:cs="宋体"/>
          <w:color w:val="auto"/>
          <w:spacing w:val="1"/>
          <w:sz w:val="24"/>
          <w:szCs w:val="24"/>
          <w:highlight w:val="none"/>
        </w:rPr>
        <w:t>出了澄清、修改，即刻发生效力，采</w:t>
      </w:r>
      <w:r>
        <w:rPr>
          <w:rFonts w:hint="eastAsia" w:ascii="宋体" w:hAnsi="宋体" w:eastAsia="宋体" w:cs="宋体"/>
          <w:color w:val="auto"/>
          <w:spacing w:val="-3"/>
          <w:sz w:val="24"/>
          <w:szCs w:val="24"/>
          <w:highlight w:val="none"/>
        </w:rPr>
        <w:t>购代理机构有关的澄清、修改文件，将作为招标文件的组成部分，对所有现实的或潜在的投标人均具有约束力，而无论是否已经实际收到上述文件。同时，采购</w:t>
      </w:r>
      <w:r>
        <w:rPr>
          <w:rFonts w:hint="eastAsia" w:ascii="宋体" w:hAnsi="宋体" w:eastAsia="宋体" w:cs="宋体"/>
          <w:color w:val="auto"/>
          <w:spacing w:val="-1"/>
          <w:sz w:val="24"/>
          <w:szCs w:val="24"/>
          <w:highlight w:val="none"/>
        </w:rPr>
        <w:t>代理机构和投标人的权利及义务将受到新的截止期的约束。</w:t>
      </w:r>
    </w:p>
    <w:p w14:paraId="347C745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12.6采购代理机构对招标文件作出的澄清、修改在平台内进行披露，请投</w:t>
      </w:r>
      <w:r>
        <w:rPr>
          <w:rFonts w:hint="eastAsia" w:ascii="宋体" w:hAnsi="宋体" w:eastAsia="宋体" w:cs="宋体"/>
          <w:color w:val="auto"/>
          <w:spacing w:val="-3"/>
          <w:sz w:val="24"/>
          <w:szCs w:val="24"/>
          <w:highlight w:val="none"/>
        </w:rPr>
        <w:t>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w:t>
      </w:r>
      <w:r>
        <w:rPr>
          <w:rFonts w:hint="eastAsia" w:ascii="宋体" w:hAnsi="宋体" w:eastAsia="宋体" w:cs="宋体"/>
          <w:color w:val="auto"/>
          <w:spacing w:val="-1"/>
          <w:sz w:val="24"/>
          <w:szCs w:val="24"/>
          <w:highlight w:val="none"/>
        </w:rPr>
        <w:t>不一致时，以最后发布的内容为准。</w:t>
      </w:r>
    </w:p>
    <w:p w14:paraId="03DA865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2"/>
        <w:rPr>
          <w:rFonts w:hint="eastAsia" w:ascii="宋体" w:hAnsi="宋体" w:eastAsia="宋体" w:cs="宋体"/>
          <w:color w:val="auto"/>
          <w:sz w:val="24"/>
          <w:szCs w:val="24"/>
          <w:highlight w:val="none"/>
        </w:rPr>
      </w:pPr>
      <w:bookmarkStart w:id="27" w:name="_Toc15995"/>
      <w:bookmarkStart w:id="28" w:name="_Toc29551"/>
      <w:bookmarkStart w:id="29" w:name="_Toc24280"/>
      <w:bookmarkStart w:id="30" w:name="_Toc29990"/>
      <w:bookmarkStart w:id="31" w:name="_Toc5179"/>
      <w:r>
        <w:rPr>
          <w:rFonts w:hint="eastAsia" w:ascii="宋体" w:hAnsi="宋体" w:eastAsia="宋体" w:cs="宋体"/>
          <w:b/>
          <w:bCs/>
          <w:color w:val="auto"/>
          <w:spacing w:val="-5"/>
          <w:sz w:val="24"/>
          <w:szCs w:val="24"/>
          <w:highlight w:val="none"/>
        </w:rPr>
        <w:t>（三）投标文件</w:t>
      </w:r>
      <w:bookmarkEnd w:id="27"/>
      <w:bookmarkEnd w:id="28"/>
      <w:bookmarkEnd w:id="29"/>
      <w:bookmarkEnd w:id="30"/>
      <w:bookmarkEnd w:id="31"/>
    </w:p>
    <w:p w14:paraId="03B714B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13.投标文件的组成</w:t>
      </w:r>
    </w:p>
    <w:p w14:paraId="50C49A6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13.1投标人应完整地按招标文件提供的投标文件格式及要求编写投标文件，具体内容详见“第七章 投标文件格式”的相关内容。</w:t>
      </w:r>
    </w:p>
    <w:p w14:paraId="7A3A98F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13.2投标人应提交招标文件要求的证明文件，证明其投标内容符合招标文</w:t>
      </w:r>
      <w:r>
        <w:rPr>
          <w:rFonts w:hint="eastAsia" w:ascii="宋体" w:hAnsi="宋体" w:eastAsia="宋体" w:cs="宋体"/>
          <w:color w:val="auto"/>
          <w:spacing w:val="-3"/>
          <w:sz w:val="24"/>
          <w:szCs w:val="24"/>
          <w:highlight w:val="none"/>
        </w:rPr>
        <w:t>件规定，该证明文件是投标文件的一部分。证明文件形式可以是文字资料、图纸</w:t>
      </w:r>
      <w:r>
        <w:rPr>
          <w:rFonts w:hint="eastAsia" w:ascii="宋体" w:hAnsi="宋体" w:eastAsia="宋体" w:cs="宋体"/>
          <w:color w:val="auto"/>
          <w:spacing w:val="-2"/>
          <w:sz w:val="24"/>
          <w:szCs w:val="24"/>
          <w:highlight w:val="none"/>
        </w:rPr>
        <w:t>和数据等。</w:t>
      </w:r>
    </w:p>
    <w:p w14:paraId="004A3CA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13.3为保证公平公正，除非本招标文件另有规定或说明，投标人对同一项</w:t>
      </w:r>
      <w:r>
        <w:rPr>
          <w:rFonts w:hint="eastAsia" w:ascii="宋体" w:hAnsi="宋体" w:eastAsia="宋体" w:cs="宋体"/>
          <w:color w:val="auto"/>
          <w:spacing w:val="-4"/>
          <w:sz w:val="24"/>
          <w:szCs w:val="24"/>
          <w:highlight w:val="none"/>
        </w:rPr>
        <w:t>目投标时，不得同时提供备选投标方案。</w:t>
      </w:r>
    </w:p>
    <w:p w14:paraId="7B9F5CD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14.投标报价</w:t>
      </w:r>
    </w:p>
    <w:p w14:paraId="0E2893E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14.1投标人的报价均应以人民币进行报价。</w:t>
      </w:r>
    </w:p>
    <w:p w14:paraId="4C3A8EF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14.2投标人应按照本招标文件规定的报价方式进行报价，投标报价中不得包含招标文件要求以外的内容，否则，在评标时不予核减。投标报价中也不得遗漏</w:t>
      </w:r>
      <w:r>
        <w:rPr>
          <w:rFonts w:hint="eastAsia" w:ascii="宋体" w:hAnsi="宋体" w:eastAsia="宋体" w:cs="宋体"/>
          <w:color w:val="auto"/>
          <w:spacing w:val="-1"/>
          <w:sz w:val="24"/>
          <w:szCs w:val="24"/>
          <w:highlight w:val="none"/>
        </w:rPr>
        <w:t>招标文件所要求的内容，否则其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26A2549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590C291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投标人的报价应包括但不限于下列内容：</w:t>
      </w:r>
    </w:p>
    <w:p w14:paraId="030AEA1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347CD6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14.2.2按照招标文件要求完成本项目的全部相关费用。</w:t>
      </w:r>
    </w:p>
    <w:p w14:paraId="6377DA7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14.</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投标人须严格按照分项报价表规定的内容填写服务单价以及其他事项。</w:t>
      </w:r>
      <w:r>
        <w:rPr>
          <w:rFonts w:hint="eastAsia" w:ascii="宋体" w:hAnsi="宋体" w:eastAsia="宋体" w:cs="宋体"/>
          <w:color w:val="auto"/>
          <w:spacing w:val="-3"/>
          <w:sz w:val="24"/>
          <w:szCs w:val="24"/>
          <w:highlight w:val="none"/>
        </w:rPr>
        <w:t>投标人应根据本招标文件的规定和要求、市场价格水平及其走势、投标人的管理水平、投标人的方案和由这些因素决定的投标人之于本项目的成本水平等提出自</w:t>
      </w:r>
      <w:r>
        <w:rPr>
          <w:rFonts w:hint="eastAsia" w:ascii="宋体" w:hAnsi="宋体" w:eastAsia="宋体" w:cs="宋体"/>
          <w:color w:val="auto"/>
          <w:sz w:val="24"/>
          <w:szCs w:val="24"/>
          <w:highlight w:val="none"/>
        </w:rPr>
        <w:t>己的报价。报价应合理，并包含完成本招标文件采购需求全部内容的所有费用，所有根据本招标文件或其它原因应由投标人支付的税</w:t>
      </w:r>
      <w:r>
        <w:rPr>
          <w:rFonts w:hint="eastAsia" w:ascii="宋体" w:hAnsi="宋体" w:eastAsia="宋体" w:cs="宋体"/>
          <w:color w:val="auto"/>
          <w:spacing w:val="-1"/>
          <w:sz w:val="24"/>
          <w:szCs w:val="24"/>
          <w:highlight w:val="none"/>
        </w:rPr>
        <w:t>款和其他应交纳的费用都应包括在投标人提交的投标报价中。</w:t>
      </w:r>
    </w:p>
    <w:p w14:paraId="1D6E53B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投标人在投标文件中注明免费的项目将视为包含在投标报价中。</w:t>
      </w:r>
    </w:p>
    <w:p w14:paraId="28B8450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每一种采购内容只允许有一个报价，否则其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。除非招标文件</w:t>
      </w:r>
      <w:r>
        <w:rPr>
          <w:rFonts w:hint="eastAsia" w:ascii="宋体" w:hAnsi="宋体" w:eastAsia="宋体" w:cs="宋体"/>
          <w:color w:val="auto"/>
          <w:spacing w:val="-3"/>
          <w:sz w:val="24"/>
          <w:szCs w:val="24"/>
          <w:highlight w:val="none"/>
        </w:rPr>
        <w:t>另有规定，不接受可选择或可调整的投标方案和报价，任何有选择的或可调</w:t>
      </w:r>
      <w:r>
        <w:rPr>
          <w:rFonts w:hint="eastAsia" w:ascii="宋体" w:hAnsi="宋体" w:eastAsia="宋体" w:cs="宋体"/>
          <w:color w:val="auto"/>
          <w:spacing w:val="-4"/>
          <w:sz w:val="24"/>
          <w:szCs w:val="24"/>
          <w:highlight w:val="none"/>
        </w:rPr>
        <w:t>整的</w:t>
      </w:r>
      <w:r>
        <w:rPr>
          <w:rFonts w:hint="eastAsia" w:ascii="宋体" w:hAnsi="宋体" w:eastAsia="宋体" w:cs="宋体"/>
          <w:color w:val="auto"/>
          <w:spacing w:val="-1"/>
          <w:sz w:val="24"/>
          <w:szCs w:val="24"/>
          <w:highlight w:val="none"/>
        </w:rPr>
        <w:t>投标方案和报价将被视为非实质性响应招标文件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0EE6FB5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eastAsia="zh-CN"/>
        </w:rPr>
        <w:t>第一章 投标邀请</w:t>
      </w:r>
      <w:r>
        <w:rPr>
          <w:rFonts w:hint="eastAsia" w:ascii="宋体" w:hAnsi="宋体" w:eastAsia="宋体" w:cs="宋体"/>
          <w:color w:val="auto"/>
          <w:sz w:val="24"/>
          <w:szCs w:val="24"/>
          <w:highlight w:val="none"/>
        </w:rPr>
        <w:t>”中规定的最</w:t>
      </w:r>
      <w:r>
        <w:rPr>
          <w:rFonts w:hint="eastAsia" w:ascii="宋体" w:hAnsi="宋体" w:eastAsia="宋体" w:cs="宋体"/>
          <w:color w:val="auto"/>
          <w:spacing w:val="-5"/>
          <w:sz w:val="24"/>
          <w:szCs w:val="24"/>
          <w:highlight w:val="none"/>
        </w:rPr>
        <w:t>高投标限价或者预</w:t>
      </w:r>
      <w:r>
        <w:rPr>
          <w:rFonts w:hint="eastAsia" w:ascii="宋体" w:hAnsi="宋体" w:eastAsia="宋体" w:cs="宋体"/>
          <w:color w:val="auto"/>
          <w:spacing w:val="-1"/>
          <w:sz w:val="24"/>
          <w:szCs w:val="24"/>
          <w:highlight w:val="none"/>
        </w:rPr>
        <w:t>算金额，否则评标委员会将对其作</w:t>
      </w:r>
      <w:r>
        <w:rPr>
          <w:rFonts w:hint="eastAsia" w:ascii="宋体" w:hAnsi="宋体" w:eastAsia="宋体" w:cs="宋体"/>
          <w:b/>
          <w:bCs/>
          <w:color w:val="auto"/>
          <w:spacing w:val="-1"/>
          <w:sz w:val="24"/>
          <w:szCs w:val="24"/>
          <w:highlight w:val="none"/>
        </w:rPr>
        <w:t>无效投</w:t>
      </w:r>
      <w:r>
        <w:rPr>
          <w:rFonts w:hint="eastAsia" w:ascii="宋体" w:hAnsi="宋体" w:eastAsia="宋体" w:cs="宋体"/>
          <w:b/>
          <w:bCs/>
          <w:color w:val="auto"/>
          <w:spacing w:val="-2"/>
          <w:sz w:val="24"/>
          <w:szCs w:val="24"/>
          <w:highlight w:val="none"/>
        </w:rPr>
        <w:t>标处理</w:t>
      </w:r>
      <w:r>
        <w:rPr>
          <w:rFonts w:hint="eastAsia" w:ascii="宋体" w:hAnsi="宋体" w:eastAsia="宋体" w:cs="宋体"/>
          <w:color w:val="auto"/>
          <w:spacing w:val="-2"/>
          <w:sz w:val="24"/>
          <w:szCs w:val="24"/>
          <w:highlight w:val="none"/>
        </w:rPr>
        <w:t>。</w:t>
      </w:r>
    </w:p>
    <w:p w14:paraId="67D265F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w:t>
      </w:r>
      <w:r>
        <w:rPr>
          <w:rFonts w:hint="eastAsia" w:ascii="宋体" w:hAnsi="宋体" w:eastAsia="宋体"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rPr>
        <w:t>投标人对投标报价若有说明应在投标文件中显著处注明。</w:t>
      </w:r>
    </w:p>
    <w:p w14:paraId="3EDAAA4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4"/>
          <w:sz w:val="24"/>
          <w:szCs w:val="24"/>
          <w:highlight w:val="none"/>
        </w:rPr>
        <w:t>除政策性文件规定以外，投标人所报价格在合同实施期间不因市场变化因素</w:t>
      </w:r>
      <w:r>
        <w:rPr>
          <w:rFonts w:hint="eastAsia" w:ascii="宋体" w:hAnsi="宋体" w:eastAsia="宋体" w:cs="宋体"/>
          <w:color w:val="auto"/>
          <w:spacing w:val="-3"/>
          <w:sz w:val="24"/>
          <w:szCs w:val="24"/>
          <w:highlight w:val="none"/>
        </w:rPr>
        <w:t>而变动。</w:t>
      </w:r>
    </w:p>
    <w:p w14:paraId="3877371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14.8对于有配件、耗材、选件、备件和特殊工具的货物，还应填报投标货物配件、耗材、选件表和备件及特殊工具清单，注明品牌、型号、产地、功能、</w:t>
      </w:r>
    </w:p>
    <w:p w14:paraId="05190B6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z w:val="24"/>
          <w:szCs w:val="24"/>
          <w:highlight w:val="none"/>
        </w:rPr>
        <w:t>单价、批量折扣等内容，该表格格式由投标人自行设计。投标人按照上述要求分类报价，其目的是便于评标，但在任何情况下并不限制采购人以其他条款签订合同的权利。</w:t>
      </w:r>
    </w:p>
    <w:p w14:paraId="50840BC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14.</w:t>
      </w:r>
      <w:r>
        <w:rPr>
          <w:rFonts w:hint="eastAsia" w:ascii="宋体" w:hAnsi="宋体" w:eastAsia="宋体"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rPr>
        <w:t>最低报价不能作为中标的保证。</w:t>
      </w:r>
    </w:p>
    <w:p w14:paraId="676C88B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采购人不得向投标人索要或者接受其给予的赠品、回扣或者与采</w:t>
      </w:r>
      <w:r>
        <w:rPr>
          <w:rFonts w:hint="eastAsia" w:ascii="宋体" w:hAnsi="宋体" w:eastAsia="宋体" w:cs="宋体"/>
          <w:color w:val="auto"/>
          <w:spacing w:val="-1"/>
          <w:sz w:val="24"/>
          <w:szCs w:val="24"/>
          <w:highlight w:val="none"/>
        </w:rPr>
        <w:t>购无</w:t>
      </w:r>
      <w:r>
        <w:rPr>
          <w:rFonts w:hint="eastAsia" w:ascii="宋体" w:hAnsi="宋体" w:eastAsia="宋体" w:cs="宋体"/>
          <w:color w:val="auto"/>
          <w:spacing w:val="-2"/>
          <w:sz w:val="24"/>
          <w:szCs w:val="24"/>
          <w:highlight w:val="none"/>
        </w:rPr>
        <w:t>关的其他商品、服务。</w:t>
      </w:r>
    </w:p>
    <w:p w14:paraId="6094991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15.投标有效期</w:t>
      </w:r>
    </w:p>
    <w:p w14:paraId="518BFD3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15.1投标有效期见“第二章 投标人须知前附</w:t>
      </w:r>
      <w:r>
        <w:rPr>
          <w:rFonts w:hint="eastAsia" w:ascii="宋体" w:hAnsi="宋体" w:eastAsia="宋体" w:cs="宋体"/>
          <w:color w:val="auto"/>
          <w:spacing w:val="-5"/>
          <w:sz w:val="24"/>
          <w:szCs w:val="24"/>
          <w:highlight w:val="none"/>
        </w:rPr>
        <w:t>表”，投标人承诺的投标有效</w:t>
      </w:r>
      <w:r>
        <w:rPr>
          <w:rFonts w:hint="eastAsia" w:ascii="宋体" w:hAnsi="宋体" w:eastAsia="宋体" w:cs="宋体"/>
          <w:color w:val="auto"/>
          <w:spacing w:val="-2"/>
          <w:sz w:val="24"/>
          <w:szCs w:val="24"/>
          <w:highlight w:val="none"/>
        </w:rPr>
        <w:t>期少于招标文件规定期限的，其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1833DF1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15.2投标有效期从提交投标文件的截止之日起算。投标文件中承诺的投标有效期应当不少于招标文件中载明的投标有效期。投标有效期内投标人撤销投标文件的，采购人或者采购代理机构可以不退还投标保证金。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28717DA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11F3E28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15.4投标人同意延长的，其投标保证金的有效期也相应延长，但不得要求或被允许修改或撤销其投标文件；投标人拒绝延长的，其投标文件在原投标有效期满后将不再有效，但其提交的投标保证金可予以退还。</w:t>
      </w:r>
    </w:p>
    <w:p w14:paraId="63C6F1E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16.投标文件的编制</w:t>
      </w:r>
    </w:p>
    <w:p w14:paraId="089C27D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16.1投标文件应在供应商客户端中进行编制，在投标文件中要求加盖印章的，除有特殊说明之外，可使用电子签章签署。</w:t>
      </w:r>
    </w:p>
    <w:p w14:paraId="45936A6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16.2投标人在供应商客户端中按照供应商客户端中的格式要求填写响应内容后，生成投标文件。投标人须按照招标文件的要求使用电子签章对要求加盖印章的部分逐一进行签章。</w:t>
      </w:r>
    </w:p>
    <w:p w14:paraId="48057E7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16.3投标人应详细阅读招</w:t>
      </w:r>
      <w:r>
        <w:rPr>
          <w:rFonts w:hint="eastAsia" w:ascii="宋体" w:hAnsi="宋体" w:eastAsia="宋体" w:cs="宋体"/>
          <w:color w:val="auto"/>
          <w:spacing w:val="-1"/>
          <w:sz w:val="24"/>
          <w:szCs w:val="24"/>
          <w:highlight w:val="none"/>
        </w:rPr>
        <w:t>标文件的全部内容。投标文件须</w:t>
      </w:r>
      <w:r>
        <w:rPr>
          <w:rFonts w:hint="eastAsia" w:ascii="宋体" w:hAnsi="宋体" w:eastAsia="宋体" w:cs="宋体"/>
          <w:color w:val="auto"/>
          <w:spacing w:val="-2"/>
          <w:sz w:val="24"/>
          <w:szCs w:val="24"/>
          <w:highlight w:val="none"/>
        </w:rPr>
        <w:t>对招标文件中的</w:t>
      </w:r>
      <w:r>
        <w:rPr>
          <w:rFonts w:hint="eastAsia" w:ascii="宋体" w:hAnsi="宋体" w:eastAsia="宋体" w:cs="宋体"/>
          <w:color w:val="auto"/>
          <w:spacing w:val="-3"/>
          <w:sz w:val="24"/>
          <w:szCs w:val="24"/>
          <w:highlight w:val="none"/>
        </w:rPr>
        <w:t>内容作出实质性和完整的响应，如果投标文件填报的内容不详，或没有提供招标</w:t>
      </w:r>
      <w:r>
        <w:rPr>
          <w:rFonts w:hint="eastAsia" w:ascii="宋体" w:hAnsi="宋体" w:eastAsia="宋体" w:cs="宋体"/>
          <w:color w:val="auto"/>
          <w:spacing w:val="-1"/>
          <w:sz w:val="24"/>
          <w:szCs w:val="24"/>
          <w:highlight w:val="none"/>
        </w:rPr>
        <w:t>文件中所要求的全部资料及数据，将可能</w:t>
      </w:r>
      <w:r>
        <w:rPr>
          <w:rFonts w:hint="eastAsia" w:ascii="宋体" w:hAnsi="宋体" w:eastAsia="宋体" w:cs="宋体"/>
          <w:b/>
          <w:bCs/>
          <w:color w:val="auto"/>
          <w:spacing w:val="-1"/>
          <w:sz w:val="24"/>
          <w:szCs w:val="24"/>
          <w:highlight w:val="none"/>
        </w:rPr>
        <w:t>导致其投标无效</w:t>
      </w:r>
      <w:r>
        <w:rPr>
          <w:rFonts w:hint="eastAsia" w:ascii="宋体" w:hAnsi="宋体" w:eastAsia="宋体" w:cs="宋体"/>
          <w:color w:val="auto"/>
          <w:spacing w:val="-1"/>
          <w:sz w:val="24"/>
          <w:szCs w:val="24"/>
          <w:highlight w:val="none"/>
        </w:rPr>
        <w:t>。</w:t>
      </w:r>
    </w:p>
    <w:p w14:paraId="0037C27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16.4投标文件须严格按照本招标文件第七章规定的格式提交，并按规定的统一格式逐项填写，不准有空项；无相应内容可填的项，应填写“无”、“未测试”、“没有相应指标”等明确的回答文字。由于编排混乱导致投标文件被误读或查找不到，其责任由投标人承担。</w:t>
      </w:r>
    </w:p>
    <w:p w14:paraId="297C1FC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宋体" w:hAnsi="宋体" w:eastAsia="宋体" w:cs="宋体"/>
          <w:b/>
          <w:bCs/>
          <w:color w:val="auto"/>
          <w:spacing w:val="-4"/>
          <w:sz w:val="24"/>
          <w:szCs w:val="24"/>
          <w:highlight w:val="none"/>
        </w:rPr>
        <w:t>视为未响应。</w:t>
      </w:r>
    </w:p>
    <w:p w14:paraId="44F18DF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开标一览表为在开标时唱标的内容，要求按格式统一填写，不得自行增减内容。</w:t>
      </w:r>
    </w:p>
    <w:p w14:paraId="0119FE2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w:t>
      </w:r>
      <w:r>
        <w:rPr>
          <w:rFonts w:hint="eastAsia" w:ascii="宋体" w:hAnsi="宋体" w:eastAsia="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rPr>
        <w:t>投标人须注意：为合理节约政府采购评审成本，提倡诚实信用的投标行为，特别要求投标人应本着诚信精神，在本次投标文件的</w:t>
      </w:r>
      <w:r>
        <w:rPr>
          <w:rFonts w:hint="eastAsia" w:ascii="宋体" w:hAnsi="宋体" w:eastAsia="宋体" w:cs="宋体"/>
          <w:color w:val="auto"/>
          <w:spacing w:val="-3"/>
          <w:sz w:val="24"/>
          <w:szCs w:val="24"/>
          <w:highlight w:val="none"/>
        </w:rPr>
        <w:t>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w:t>
      </w:r>
      <w:r>
        <w:rPr>
          <w:rFonts w:hint="eastAsia" w:ascii="宋体" w:hAnsi="宋体" w:eastAsia="宋体" w:cs="宋体"/>
          <w:color w:val="auto"/>
          <w:spacing w:val="-1"/>
          <w:sz w:val="24"/>
          <w:szCs w:val="24"/>
          <w:highlight w:val="none"/>
        </w:rPr>
        <w:t>被认定为属于偏离，则评标委员会有权视具体情形评审时按</w:t>
      </w:r>
      <w:r>
        <w:rPr>
          <w:rFonts w:hint="eastAsia" w:ascii="宋体" w:hAnsi="宋体" w:eastAsia="宋体" w:cs="宋体"/>
          <w:b/>
          <w:bCs/>
          <w:color w:val="auto"/>
          <w:spacing w:val="-1"/>
          <w:sz w:val="24"/>
          <w:szCs w:val="24"/>
          <w:highlight w:val="none"/>
        </w:rPr>
        <w:t>无效投标</w:t>
      </w:r>
      <w:r>
        <w:rPr>
          <w:rFonts w:hint="eastAsia" w:ascii="宋体" w:hAnsi="宋体" w:eastAsia="宋体" w:cs="宋体"/>
          <w:color w:val="auto"/>
          <w:spacing w:val="-1"/>
          <w:sz w:val="24"/>
          <w:szCs w:val="24"/>
          <w:highlight w:val="none"/>
        </w:rPr>
        <w:t>处理。</w:t>
      </w:r>
    </w:p>
    <w:p w14:paraId="6D06E77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16.</w:t>
      </w:r>
      <w:r>
        <w:rPr>
          <w:rFonts w:hint="eastAsia" w:ascii="宋体" w:hAnsi="宋体" w:eastAsia="宋体" w:cs="宋体"/>
          <w:color w:val="auto"/>
          <w:spacing w:val="-3"/>
          <w:sz w:val="24"/>
          <w:szCs w:val="24"/>
          <w:highlight w:val="none"/>
          <w:lang w:val="en-US" w:eastAsia="zh-CN"/>
        </w:rPr>
        <w:t>8</w:t>
      </w:r>
      <w:r>
        <w:rPr>
          <w:rFonts w:hint="eastAsia" w:ascii="宋体" w:hAnsi="宋体" w:eastAsia="宋体" w:cs="宋体"/>
          <w:color w:val="auto"/>
          <w:spacing w:val="-3"/>
          <w:sz w:val="24"/>
          <w:szCs w:val="24"/>
          <w:highlight w:val="none"/>
        </w:rPr>
        <w:t>投标人必须保证投标文件所提供的全部资料真实可</w:t>
      </w:r>
      <w:r>
        <w:rPr>
          <w:rFonts w:hint="eastAsia" w:ascii="宋体" w:hAnsi="宋体" w:eastAsia="宋体" w:cs="宋体"/>
          <w:color w:val="auto"/>
          <w:spacing w:val="-4"/>
          <w:sz w:val="24"/>
          <w:szCs w:val="24"/>
          <w:highlight w:val="none"/>
        </w:rPr>
        <w:t>靠，并接受采购人、</w:t>
      </w:r>
      <w:r>
        <w:rPr>
          <w:rFonts w:hint="eastAsia" w:ascii="宋体" w:hAnsi="宋体" w:eastAsia="宋体" w:cs="宋体"/>
          <w:color w:val="auto"/>
          <w:spacing w:val="-1"/>
          <w:sz w:val="24"/>
          <w:szCs w:val="24"/>
          <w:highlight w:val="none"/>
        </w:rPr>
        <w:t>采购代理机构或评标委员会对其中任何资料进一步审查的要求。</w:t>
      </w:r>
    </w:p>
    <w:p w14:paraId="1702252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3"/>
          <w:sz w:val="24"/>
          <w:szCs w:val="24"/>
          <w:highlight w:val="none"/>
        </w:rPr>
        <w:t>6.</w:t>
      </w:r>
      <w:r>
        <w:rPr>
          <w:rFonts w:hint="eastAsia" w:ascii="宋体" w:hAnsi="宋体" w:eastAsia="宋体" w:cs="宋体"/>
          <w:color w:val="auto"/>
          <w:spacing w:val="-3"/>
          <w:sz w:val="24"/>
          <w:szCs w:val="24"/>
          <w:highlight w:val="none"/>
          <w:lang w:val="en-US" w:eastAsia="zh-CN"/>
        </w:rPr>
        <w:t>9</w:t>
      </w:r>
      <w:r>
        <w:rPr>
          <w:rFonts w:hint="eastAsia" w:ascii="宋体" w:hAnsi="宋体" w:eastAsia="宋体" w:cs="宋体"/>
          <w:color w:val="auto"/>
          <w:spacing w:val="-3"/>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pacing w:val="-3"/>
          <w:sz w:val="24"/>
          <w:szCs w:val="24"/>
          <w:highlight w:val="none"/>
        </w:rPr>
        <w:t>无效投标</w:t>
      </w:r>
      <w:r>
        <w:rPr>
          <w:rFonts w:hint="eastAsia" w:ascii="宋体" w:hAnsi="宋体" w:eastAsia="宋体" w:cs="宋体"/>
          <w:color w:val="auto"/>
          <w:spacing w:val="-3"/>
          <w:sz w:val="24"/>
          <w:szCs w:val="24"/>
          <w:highlight w:val="none"/>
        </w:rPr>
        <w:t>处理。</w:t>
      </w:r>
    </w:p>
    <w:p w14:paraId="0F6CECC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16.</w:t>
      </w:r>
      <w:r>
        <w:rPr>
          <w:rFonts w:hint="eastAsia" w:ascii="宋体" w:hAnsi="宋体" w:eastAsia="宋体" w:cs="宋体"/>
          <w:color w:val="auto"/>
          <w:spacing w:val="-3"/>
          <w:sz w:val="24"/>
          <w:szCs w:val="24"/>
          <w:highlight w:val="none"/>
          <w:lang w:val="en-US" w:eastAsia="zh-CN"/>
        </w:rPr>
        <w:t>10</w:t>
      </w:r>
      <w:r>
        <w:rPr>
          <w:rFonts w:hint="eastAsia" w:ascii="宋体" w:hAnsi="宋体" w:eastAsia="宋体" w:cs="宋体"/>
          <w:color w:val="auto"/>
          <w:spacing w:val="-3"/>
          <w:sz w:val="24"/>
          <w:szCs w:val="24"/>
          <w:highlight w:val="none"/>
        </w:rPr>
        <w:t>电子投标文件的编制</w:t>
      </w:r>
    </w:p>
    <w:p w14:paraId="6AF1282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16.</w:t>
      </w:r>
      <w:r>
        <w:rPr>
          <w:rFonts w:hint="eastAsia" w:ascii="宋体" w:hAnsi="宋体" w:eastAsia="宋体" w:cs="宋体"/>
          <w:color w:val="auto"/>
          <w:spacing w:val="-3"/>
          <w:sz w:val="24"/>
          <w:szCs w:val="24"/>
          <w:highlight w:val="none"/>
          <w:lang w:val="en-US" w:eastAsia="zh-CN"/>
        </w:rPr>
        <w:t>10</w:t>
      </w:r>
      <w:r>
        <w:rPr>
          <w:rFonts w:hint="eastAsia" w:ascii="宋体" w:hAnsi="宋体" w:eastAsia="宋体" w:cs="宋体"/>
          <w:color w:val="auto"/>
          <w:spacing w:val="-3"/>
          <w:sz w:val="24"/>
          <w:szCs w:val="24"/>
          <w:highlight w:val="none"/>
        </w:rPr>
        <w:t>.1电子投标文件需按招标文件要求进行制作编制。投标文件制作时，不同内容按标签提示制作导入，按照招标文件中明确的投标文件目录和格式进行编制，保证目录清晰、内容完整；</w:t>
      </w:r>
    </w:p>
    <w:p w14:paraId="45E8296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16.</w:t>
      </w:r>
      <w:r>
        <w:rPr>
          <w:rFonts w:hint="eastAsia" w:ascii="宋体" w:hAnsi="宋体" w:eastAsia="宋体" w:cs="宋体"/>
          <w:color w:val="auto"/>
          <w:spacing w:val="-3"/>
          <w:sz w:val="24"/>
          <w:szCs w:val="24"/>
          <w:highlight w:val="none"/>
          <w:lang w:val="en-US" w:eastAsia="zh-CN"/>
        </w:rPr>
        <w:t>10</w:t>
      </w:r>
      <w:r>
        <w:rPr>
          <w:rFonts w:hint="eastAsia" w:ascii="宋体" w:hAnsi="宋体" w:eastAsia="宋体" w:cs="宋体"/>
          <w:color w:val="auto"/>
          <w:spacing w:val="-3"/>
          <w:sz w:val="24"/>
          <w:szCs w:val="24"/>
          <w:highlight w:val="none"/>
        </w:rPr>
        <w:t>.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w:t>
      </w:r>
      <w:r>
        <w:rPr>
          <w:rFonts w:hint="eastAsia" w:ascii="宋体" w:hAnsi="宋体" w:eastAsia="宋体" w:cs="宋体"/>
          <w:color w:val="auto"/>
          <w:spacing w:val="-1"/>
          <w:sz w:val="24"/>
          <w:szCs w:val="24"/>
          <w:highlight w:val="none"/>
        </w:rPr>
        <w:t>入电子辅助评标系统，该投标文件视为无效投标文件，</w:t>
      </w:r>
      <w:r>
        <w:rPr>
          <w:rFonts w:hint="eastAsia" w:ascii="宋体" w:hAnsi="宋体" w:eastAsia="宋体" w:cs="宋体"/>
          <w:b/>
          <w:bCs/>
          <w:color w:val="auto"/>
          <w:spacing w:val="-1"/>
          <w:sz w:val="24"/>
          <w:szCs w:val="24"/>
          <w:highlight w:val="none"/>
        </w:rPr>
        <w:t>其投标无效</w:t>
      </w:r>
      <w:r>
        <w:rPr>
          <w:rFonts w:hint="eastAsia" w:ascii="宋体" w:hAnsi="宋体" w:eastAsia="宋体" w:cs="宋体"/>
          <w:color w:val="auto"/>
          <w:spacing w:val="-1"/>
          <w:sz w:val="24"/>
          <w:szCs w:val="24"/>
          <w:highlight w:val="none"/>
        </w:rPr>
        <w:t>。</w:t>
      </w:r>
    </w:p>
    <w:p w14:paraId="2A9A03F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2"/>
        <w:rPr>
          <w:rFonts w:hint="eastAsia" w:ascii="宋体" w:hAnsi="宋体" w:eastAsia="宋体" w:cs="宋体"/>
          <w:color w:val="auto"/>
          <w:sz w:val="24"/>
          <w:szCs w:val="24"/>
          <w:highlight w:val="none"/>
        </w:rPr>
      </w:pPr>
      <w:bookmarkStart w:id="32" w:name="_Toc28591"/>
      <w:bookmarkStart w:id="33" w:name="_Toc14076"/>
      <w:bookmarkStart w:id="34" w:name="_Toc24773"/>
      <w:bookmarkStart w:id="35" w:name="_Toc21907"/>
      <w:bookmarkStart w:id="36" w:name="_Toc56"/>
      <w:r>
        <w:rPr>
          <w:rFonts w:hint="eastAsia" w:ascii="宋体" w:hAnsi="宋体" w:eastAsia="宋体" w:cs="宋体"/>
          <w:b/>
          <w:bCs/>
          <w:color w:val="auto"/>
          <w:spacing w:val="-6"/>
          <w:sz w:val="24"/>
          <w:szCs w:val="24"/>
          <w:highlight w:val="none"/>
        </w:rPr>
        <w:t>（四）投标</w:t>
      </w:r>
      <w:bookmarkEnd w:id="32"/>
      <w:bookmarkEnd w:id="33"/>
      <w:bookmarkEnd w:id="34"/>
      <w:bookmarkEnd w:id="35"/>
      <w:bookmarkEnd w:id="36"/>
    </w:p>
    <w:p w14:paraId="64E8CF5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17.投标保证金</w:t>
      </w:r>
    </w:p>
    <w:p w14:paraId="47AC2DC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17.1投标人应按照招标文件“第二章 投标人须知前附表”规定的金额及要求提交投标保证金。投标人自愿超额缴纳投标保证金的，投标文件不做无效处理。</w:t>
      </w:r>
    </w:p>
    <w:p w14:paraId="54AC0F2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17.2提交投标保证金可采用的形式：政府采购法律法规接受的支票、汇票、本票、网上银行支付或者金融机构、担保机构出具的保函等非现金形式。投标人未按照招标文件要求提交投标保证金的，其</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投标保证金有效期同投标</w:t>
      </w:r>
      <w:r>
        <w:rPr>
          <w:rFonts w:hint="eastAsia" w:ascii="宋体" w:hAnsi="宋体" w:eastAsia="宋体" w:cs="宋体"/>
          <w:color w:val="auto"/>
          <w:spacing w:val="-3"/>
          <w:sz w:val="24"/>
          <w:szCs w:val="24"/>
          <w:highlight w:val="none"/>
        </w:rPr>
        <w:t>有效期。</w:t>
      </w:r>
    </w:p>
    <w:p w14:paraId="4F24CDA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17.3投标保证金到账（保函提交）截止时间同投标截止时</w:t>
      </w:r>
      <w:r>
        <w:rPr>
          <w:rFonts w:hint="eastAsia" w:ascii="宋体" w:hAnsi="宋体" w:eastAsia="宋体" w:cs="宋体"/>
          <w:color w:val="auto"/>
          <w:spacing w:val="-2"/>
          <w:sz w:val="24"/>
          <w:szCs w:val="24"/>
          <w:highlight w:val="none"/>
        </w:rPr>
        <w:t>间。以支票、汇票、本票、网上银行支付等形式提交投标保证金的，应在投标截止时间前到账；</w:t>
      </w:r>
      <w:r>
        <w:rPr>
          <w:rFonts w:hint="eastAsia" w:ascii="宋体" w:hAnsi="宋体" w:eastAsia="宋体" w:cs="宋体"/>
          <w:color w:val="auto"/>
          <w:spacing w:val="-3"/>
          <w:sz w:val="24"/>
          <w:szCs w:val="24"/>
          <w:highlight w:val="none"/>
        </w:rPr>
        <w:t>以金融机构、担保机构出具的保函等形式提交投标保证金的，应在投标截止时间</w:t>
      </w:r>
      <w:r>
        <w:rPr>
          <w:rFonts w:hint="eastAsia" w:ascii="宋体" w:hAnsi="宋体" w:eastAsia="宋体" w:cs="宋体"/>
          <w:color w:val="auto"/>
          <w:spacing w:val="-2"/>
          <w:sz w:val="24"/>
          <w:szCs w:val="24"/>
          <w:highlight w:val="none"/>
        </w:rPr>
        <w:t>前将投标保证金支付</w:t>
      </w:r>
      <w:r>
        <w:rPr>
          <w:rFonts w:hint="eastAsia" w:ascii="宋体" w:hAnsi="宋体" w:eastAsia="宋体" w:cs="宋体"/>
          <w:color w:val="auto"/>
          <w:spacing w:val="-2"/>
          <w:sz w:val="24"/>
          <w:szCs w:val="24"/>
          <w:highlight w:val="none"/>
          <w:lang w:val="en-US" w:eastAsia="zh-CN"/>
        </w:rPr>
        <w:t>电子回单或</w:t>
      </w:r>
      <w:r>
        <w:rPr>
          <w:rFonts w:hint="eastAsia" w:ascii="宋体" w:hAnsi="宋体" w:eastAsia="宋体" w:cs="宋体"/>
          <w:color w:val="auto"/>
          <w:spacing w:val="-2"/>
          <w:sz w:val="24"/>
          <w:szCs w:val="24"/>
          <w:highlight w:val="none"/>
        </w:rPr>
        <w:t>原件扫描后作为投标文件的组成部分与投标文件一起上传。</w:t>
      </w:r>
      <w:r>
        <w:rPr>
          <w:rFonts w:hint="eastAsia" w:ascii="宋体" w:hAnsi="宋体" w:eastAsia="宋体" w:cs="宋体"/>
          <w:color w:val="auto"/>
          <w:spacing w:val="-3"/>
          <w:sz w:val="24"/>
          <w:szCs w:val="24"/>
          <w:highlight w:val="none"/>
        </w:rPr>
        <w:t>由于到账时间晚于投标截止时间，或者票据错误、印鉴不清等原因导致不能到账的，其</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w:t>
      </w:r>
    </w:p>
    <w:p w14:paraId="7570A7E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17.4投标人为联合体的，可以由联合体中的一方或者多方共同</w:t>
      </w:r>
      <w:r>
        <w:rPr>
          <w:rFonts w:hint="eastAsia" w:ascii="宋体" w:hAnsi="宋体" w:eastAsia="宋体" w:cs="宋体"/>
          <w:color w:val="auto"/>
          <w:spacing w:val="-1"/>
          <w:sz w:val="24"/>
          <w:szCs w:val="24"/>
          <w:highlight w:val="none"/>
        </w:rPr>
        <w:t>提交投标保证金，其提交的投标保证金对联合体各方均具有约束力。</w:t>
      </w:r>
    </w:p>
    <w:p w14:paraId="6A26782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17.5采购人或者采购代理机构应当在采购活动结束后及时退还投</w:t>
      </w:r>
      <w:r>
        <w:rPr>
          <w:rFonts w:hint="eastAsia" w:ascii="宋体" w:hAnsi="宋体" w:eastAsia="宋体" w:cs="宋体"/>
          <w:color w:val="auto"/>
          <w:spacing w:val="4"/>
          <w:sz w:val="24"/>
          <w:szCs w:val="24"/>
          <w:highlight w:val="none"/>
        </w:rPr>
        <w:t>标人的</w:t>
      </w:r>
      <w:r>
        <w:rPr>
          <w:rFonts w:hint="eastAsia" w:ascii="宋体" w:hAnsi="宋体" w:eastAsia="宋体" w:cs="宋体"/>
          <w:color w:val="auto"/>
          <w:spacing w:val="-3"/>
          <w:sz w:val="24"/>
          <w:szCs w:val="24"/>
          <w:highlight w:val="none"/>
        </w:rPr>
        <w:t>投标保证金，采用银行保函、担保机构担保函等形式递交的投标保证金，经投标人同意后采购人、采购代理机构可以不再退还，但因投标人自身原因导致无法及</w:t>
      </w:r>
      <w:r>
        <w:rPr>
          <w:rFonts w:hint="eastAsia" w:ascii="宋体" w:hAnsi="宋体" w:eastAsia="宋体" w:cs="宋体"/>
          <w:color w:val="auto"/>
          <w:sz w:val="24"/>
          <w:szCs w:val="24"/>
          <w:highlight w:val="none"/>
        </w:rPr>
        <w:t>时退还的除外。未中标投标人的投标保证金应当自中标通知书发出之日起5个工作日内退还，中标投标人的投标保证金应当自采购合同签订之日起5个工作</w:t>
      </w:r>
      <w:r>
        <w:rPr>
          <w:rFonts w:hint="eastAsia" w:ascii="宋体" w:hAnsi="宋体" w:eastAsia="宋体" w:cs="宋体"/>
          <w:color w:val="auto"/>
          <w:spacing w:val="-11"/>
          <w:sz w:val="24"/>
          <w:szCs w:val="24"/>
          <w:highlight w:val="none"/>
        </w:rPr>
        <w:t>日内退还。</w:t>
      </w:r>
    </w:p>
    <w:p w14:paraId="48E5241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17.6投标人在投标截止时间前撤回已提交的投标文件的，自收</w:t>
      </w:r>
      <w:r>
        <w:rPr>
          <w:rFonts w:hint="eastAsia" w:ascii="宋体" w:hAnsi="宋体" w:eastAsia="宋体" w:cs="宋体"/>
          <w:color w:val="auto"/>
          <w:spacing w:val="-1"/>
          <w:sz w:val="24"/>
          <w:szCs w:val="24"/>
          <w:highlight w:val="none"/>
        </w:rPr>
        <w:t>到投标人书</w:t>
      </w:r>
      <w:r>
        <w:rPr>
          <w:rFonts w:hint="eastAsia" w:ascii="宋体" w:hAnsi="宋体" w:eastAsia="宋体" w:cs="宋体"/>
          <w:color w:val="auto"/>
          <w:sz w:val="24"/>
          <w:szCs w:val="24"/>
          <w:highlight w:val="none"/>
        </w:rPr>
        <w:t>面撤回通知之日起5个工作日内，退还已收取的投标保证金，但因投标人自身</w:t>
      </w:r>
      <w:r>
        <w:rPr>
          <w:rFonts w:hint="eastAsia" w:ascii="宋体" w:hAnsi="宋体" w:eastAsia="宋体" w:cs="宋体"/>
          <w:color w:val="auto"/>
          <w:spacing w:val="-1"/>
          <w:sz w:val="24"/>
          <w:szCs w:val="24"/>
          <w:highlight w:val="none"/>
        </w:rPr>
        <w:t>原因导致无法及时退还的除外。</w:t>
      </w:r>
    </w:p>
    <w:p w14:paraId="78DC6D9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17.7终止招标项目已经收取投标保证金的，自终止采</w:t>
      </w:r>
      <w:r>
        <w:rPr>
          <w:rFonts w:hint="eastAsia" w:ascii="宋体" w:hAnsi="宋体" w:eastAsia="宋体" w:cs="宋体"/>
          <w:color w:val="auto"/>
          <w:spacing w:val="-4"/>
          <w:sz w:val="24"/>
          <w:szCs w:val="24"/>
          <w:highlight w:val="none"/>
        </w:rPr>
        <w:t>购活动后5个工作日</w:t>
      </w:r>
      <w:r>
        <w:rPr>
          <w:rFonts w:hint="eastAsia" w:ascii="宋体" w:hAnsi="宋体" w:eastAsia="宋体" w:cs="宋体"/>
          <w:color w:val="auto"/>
          <w:spacing w:val="-2"/>
          <w:sz w:val="24"/>
          <w:szCs w:val="24"/>
          <w:highlight w:val="none"/>
        </w:rPr>
        <w:t>内退还已收取的投标保证金及其在银行产生的孳息。</w:t>
      </w:r>
    </w:p>
    <w:p w14:paraId="02B665B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17.8有下列情形之一的，采购人或采购代理</w:t>
      </w:r>
      <w:r>
        <w:rPr>
          <w:rFonts w:hint="eastAsia" w:ascii="宋体" w:hAnsi="宋体" w:eastAsia="宋体" w:cs="宋体"/>
          <w:color w:val="auto"/>
          <w:spacing w:val="-4"/>
          <w:sz w:val="24"/>
          <w:szCs w:val="24"/>
          <w:highlight w:val="none"/>
        </w:rPr>
        <w:t>机构可以不予退还投标保证金</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1"/>
          <w:sz w:val="24"/>
          <w:szCs w:val="24"/>
          <w:highlight w:val="none"/>
        </w:rPr>
        <w:t>情节严重的将其列入不良记录名单：</w:t>
      </w:r>
    </w:p>
    <w:p w14:paraId="20B3D62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17.8.1开标后在投标有效期内，投标人撤销其投标的；</w:t>
      </w:r>
    </w:p>
    <w:p w14:paraId="3037DAB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17.8.2中标后无正当理由不与采购人签订合同的；</w:t>
      </w:r>
    </w:p>
    <w:p w14:paraId="193A471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17.8.3中标人与采购人订立背离合同实质性内容的其他协议；</w:t>
      </w:r>
    </w:p>
    <w:p w14:paraId="3968300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17.8.4将中标项目转让给他人，或者在投标文件中未说明，且</w:t>
      </w:r>
      <w:r>
        <w:rPr>
          <w:rFonts w:hint="eastAsia" w:ascii="宋体" w:hAnsi="宋体" w:eastAsia="宋体" w:cs="宋体"/>
          <w:color w:val="auto"/>
          <w:spacing w:val="-1"/>
          <w:sz w:val="24"/>
          <w:szCs w:val="24"/>
          <w:highlight w:val="none"/>
        </w:rPr>
        <w:t>未经采购人</w:t>
      </w:r>
      <w:r>
        <w:rPr>
          <w:rFonts w:hint="eastAsia" w:ascii="宋体" w:hAnsi="宋体" w:eastAsia="宋体" w:cs="宋体"/>
          <w:color w:val="auto"/>
          <w:spacing w:val="-3"/>
          <w:sz w:val="24"/>
          <w:szCs w:val="24"/>
          <w:highlight w:val="none"/>
        </w:rPr>
        <w:t>同意，将中标项目分包给他人的；</w:t>
      </w:r>
    </w:p>
    <w:p w14:paraId="489FADD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17.8.5存在串通投标行为的；</w:t>
      </w:r>
    </w:p>
    <w:p w14:paraId="41E7B5C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17.8.6存在弄虚作假或提供虚假材料谋取中</w:t>
      </w:r>
      <w:r>
        <w:rPr>
          <w:rFonts w:hint="eastAsia" w:ascii="宋体" w:hAnsi="宋体" w:eastAsia="宋体" w:cs="宋体"/>
          <w:color w:val="auto"/>
          <w:spacing w:val="-2"/>
          <w:sz w:val="24"/>
          <w:szCs w:val="24"/>
          <w:highlight w:val="none"/>
        </w:rPr>
        <w:t>标的；</w:t>
      </w:r>
    </w:p>
    <w:p w14:paraId="11F0DFE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17.8.7投标人其他未按招标文件规定和合同约定履行义务的行为。</w:t>
      </w:r>
    </w:p>
    <w:p w14:paraId="262D2B2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17.9如开标时投标人对本单位投标保证金缴纳情况有疑义，投标人应在开</w:t>
      </w:r>
      <w:r>
        <w:rPr>
          <w:rFonts w:hint="eastAsia" w:ascii="宋体" w:hAnsi="宋体" w:eastAsia="宋体" w:cs="宋体"/>
          <w:color w:val="auto"/>
          <w:spacing w:val="-3"/>
          <w:sz w:val="24"/>
          <w:szCs w:val="24"/>
          <w:highlight w:val="none"/>
        </w:rPr>
        <w:t>标结束前向采购人提交书面申请核实保证金缴纳情况。由银行或保险公司核实后</w:t>
      </w:r>
      <w:r>
        <w:rPr>
          <w:rFonts w:hint="eastAsia" w:ascii="宋体" w:hAnsi="宋体" w:eastAsia="宋体" w:cs="宋体"/>
          <w:color w:val="auto"/>
          <w:spacing w:val="-1"/>
          <w:sz w:val="24"/>
          <w:szCs w:val="24"/>
          <w:highlight w:val="none"/>
        </w:rPr>
        <w:t>出具书面材料予以答复。</w:t>
      </w:r>
    </w:p>
    <w:p w14:paraId="06DA629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ascii="宋体" w:hAnsi="宋体" w:eastAsia="宋体" w:cs="宋体"/>
          <w:color w:val="auto"/>
          <w:spacing w:val="-1"/>
          <w:sz w:val="24"/>
          <w:szCs w:val="24"/>
          <w:highlight w:val="none"/>
          <w:lang w:eastAsia="zh-CN"/>
        </w:rPr>
        <w:t>新疆政府采购网</w:t>
      </w:r>
      <w:r>
        <w:rPr>
          <w:rFonts w:hint="eastAsia" w:ascii="宋体" w:hAnsi="宋体" w:eastAsia="宋体" w:cs="宋体"/>
          <w:color w:val="auto"/>
          <w:spacing w:val="-1"/>
          <w:sz w:val="24"/>
          <w:szCs w:val="24"/>
          <w:highlight w:val="none"/>
        </w:rPr>
        <w:t>”—顶部通栏“信用融资”或者“</w:t>
      </w:r>
      <w:r>
        <w:rPr>
          <w:rFonts w:hint="eastAsia" w:ascii="宋体" w:hAnsi="宋体" w:eastAsia="宋体" w:cs="宋体"/>
          <w:color w:val="auto"/>
          <w:spacing w:val="-1"/>
          <w:sz w:val="24"/>
          <w:szCs w:val="24"/>
          <w:highlight w:val="none"/>
          <w:lang w:eastAsia="zh-CN"/>
        </w:rPr>
        <w:t>新疆政府采购网</w:t>
      </w:r>
      <w:r>
        <w:rPr>
          <w:rFonts w:hint="eastAsia" w:ascii="宋体" w:hAnsi="宋体" w:eastAsia="宋体" w:cs="宋体"/>
          <w:color w:val="auto"/>
          <w:spacing w:val="-1"/>
          <w:sz w:val="24"/>
          <w:szCs w:val="24"/>
          <w:highlight w:val="none"/>
        </w:rPr>
        <w:t>”首页“政采贷｜电子保函”快捷模块查看：</w:t>
      </w:r>
    </w:p>
    <w:p w14:paraId="48D0258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直达链接（电子保函）：</w:t>
      </w:r>
    </w:p>
    <w:p w14:paraId="4A32CF5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https://jinrong.zcygov.cn/luban/finance/letter/xinjiang?pageModelFlag=650000&amp;utm=site.site-PC-42055.1473-pc-wsg-customFloatWindow-front.1.ca61db70e7d011f0ae809bd5e4e629c0</w:t>
      </w:r>
    </w:p>
    <w:p w14:paraId="20913771">
      <w:pPr>
        <w:pStyle w:val="15"/>
        <w:keepNext w:val="0"/>
        <w:keepLines w:val="0"/>
        <w:pageBreakBefore w:val="0"/>
        <w:widowControl/>
        <w:kinsoku/>
        <w:wordWrap/>
        <w:overflowPunct/>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lang w:eastAsia="zh-CN"/>
        </w:rPr>
        <w:t>金融服务热线：</w:t>
      </w:r>
      <w:r>
        <w:rPr>
          <w:rFonts w:hint="eastAsia" w:ascii="宋体" w:hAnsi="宋体" w:eastAsia="宋体" w:cs="宋体"/>
          <w:color w:val="auto"/>
          <w:spacing w:val="-1"/>
          <w:sz w:val="24"/>
          <w:szCs w:val="24"/>
          <w:highlight w:val="none"/>
          <w:lang w:val="en-US" w:eastAsia="zh-CN"/>
        </w:rPr>
        <w:t>95763</w:t>
      </w:r>
    </w:p>
    <w:p w14:paraId="20311E1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18.投标文件的加密</w:t>
      </w:r>
    </w:p>
    <w:p w14:paraId="06167AE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18.1投标人在供应商客户端中生成投标文件并完成签章之后，使用CA证书在供应商客户端中对投标文件进行加密。</w:t>
      </w:r>
    </w:p>
    <w:p w14:paraId="57EFF79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18.2投标人应在供应商客户端中对加密的投标文件进行解密验证，以防止投标文件加密异常，在开标时无法解密。</w:t>
      </w:r>
    </w:p>
    <w:p w14:paraId="2B4F0C1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18.3投标人应保证加密投标文件的CA证书有效期在开标时间之前。若CA证书有效期临近开标时间，建议投标人提前办理CA证书续期，以免开标时无法进行解密。</w:t>
      </w:r>
    </w:p>
    <w:p w14:paraId="3133CB5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18.4投标人在投标文件递交截止时间前通过</w:t>
      </w:r>
      <w:r>
        <w:rPr>
          <w:rFonts w:hint="eastAsia" w:ascii="宋体" w:hAnsi="宋体" w:eastAsia="宋体" w:cs="宋体"/>
          <w:color w:val="auto"/>
          <w:spacing w:val="-1"/>
          <w:sz w:val="24"/>
          <w:szCs w:val="24"/>
          <w:highlight w:val="none"/>
          <w:lang w:eastAsia="zh-CN"/>
        </w:rPr>
        <w:t>新疆政府采购网</w:t>
      </w:r>
      <w:r>
        <w:rPr>
          <w:rFonts w:hint="eastAsia" w:ascii="宋体" w:hAnsi="宋体" w:eastAsia="宋体" w:cs="宋体"/>
          <w:color w:val="auto"/>
          <w:spacing w:val="-1"/>
          <w:sz w:val="24"/>
          <w:szCs w:val="24"/>
          <w:highlight w:val="none"/>
        </w:rPr>
        <w:t>（http://www.ccgp-xinjiang.gov.cn/）的”政采云登录入口”登录后，将加密电子投标文件（为.jmbs后缀格式）上传到对应项目的指定位置，投标人认为有必要提交的其他资料请于投标截止时间前一并提交。</w:t>
      </w:r>
    </w:p>
    <w:p w14:paraId="543CF2E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18.5如果投标人未按上述要求加密并上传，采购代理机构对投标文件的误投、无法解密、传输错误等问题概不负责</w:t>
      </w:r>
      <w:r>
        <w:rPr>
          <w:rFonts w:hint="eastAsia" w:ascii="宋体" w:hAnsi="宋体" w:eastAsia="宋体" w:cs="宋体"/>
          <w:color w:val="auto"/>
          <w:spacing w:val="-8"/>
          <w:sz w:val="24"/>
          <w:szCs w:val="24"/>
          <w:highlight w:val="none"/>
        </w:rPr>
        <w:t>。对由此造成无法正常开启的投标文件，</w:t>
      </w:r>
      <w:r>
        <w:rPr>
          <w:rFonts w:hint="eastAsia" w:ascii="宋体" w:hAnsi="宋体" w:eastAsia="宋体" w:cs="宋体"/>
          <w:color w:val="auto"/>
          <w:spacing w:val="-1"/>
          <w:sz w:val="24"/>
          <w:szCs w:val="24"/>
          <w:highlight w:val="none"/>
        </w:rPr>
        <w:t>采购代理机构有权予以拒绝，并退回投标人。</w:t>
      </w:r>
    </w:p>
    <w:p w14:paraId="627C270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18.6本项目采用不见面开标，无需提供电子投标文件U盘。</w:t>
      </w:r>
    </w:p>
    <w:p w14:paraId="252CEE7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19.投标文件的递交（上传）</w:t>
      </w:r>
    </w:p>
    <w:p w14:paraId="08ACEB0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19.1投标人应在“</w:t>
      </w:r>
      <w:r>
        <w:rPr>
          <w:rFonts w:hint="eastAsia" w:ascii="宋体" w:hAnsi="宋体" w:eastAsia="宋体" w:cs="宋体"/>
          <w:color w:val="auto"/>
          <w:spacing w:val="-1"/>
          <w:sz w:val="24"/>
          <w:szCs w:val="24"/>
          <w:highlight w:val="none"/>
          <w:lang w:eastAsia="zh-CN"/>
        </w:rPr>
        <w:t>第一章 投标邀请</w:t>
      </w:r>
      <w:r>
        <w:rPr>
          <w:rFonts w:hint="eastAsia" w:ascii="宋体" w:hAnsi="宋体" w:eastAsia="宋体" w:cs="宋体"/>
          <w:color w:val="auto"/>
          <w:spacing w:val="-1"/>
          <w:sz w:val="24"/>
          <w:szCs w:val="24"/>
          <w:highlight w:val="none"/>
        </w:rPr>
        <w:t>”规定的投标截止时间前递交（上传）投标文件。</w:t>
      </w:r>
    </w:p>
    <w:p w14:paraId="3E69838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19.2投标人递交（上传）投标文件的地点见“</w:t>
      </w:r>
      <w:r>
        <w:rPr>
          <w:rFonts w:hint="eastAsia" w:ascii="宋体" w:hAnsi="宋体" w:eastAsia="宋体" w:cs="宋体"/>
          <w:color w:val="auto"/>
          <w:spacing w:val="-1"/>
          <w:sz w:val="24"/>
          <w:szCs w:val="24"/>
          <w:highlight w:val="none"/>
          <w:lang w:eastAsia="zh-CN"/>
        </w:rPr>
        <w:t>第一章 投标邀请</w:t>
      </w:r>
      <w:r>
        <w:rPr>
          <w:rFonts w:hint="eastAsia" w:ascii="宋体" w:hAnsi="宋体" w:eastAsia="宋体" w:cs="宋体"/>
          <w:color w:val="auto"/>
          <w:spacing w:val="-1"/>
          <w:sz w:val="24"/>
          <w:szCs w:val="24"/>
          <w:highlight w:val="none"/>
        </w:rPr>
        <w:t>”。</w:t>
      </w:r>
    </w:p>
    <w:p w14:paraId="156A6F3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10D5A64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19.4投标人应在供应商客户端中下载未加密且完成签章的投标文件妥善保存，以便启动应急开标程序时使用。</w:t>
      </w:r>
    </w:p>
    <w:p w14:paraId="7E58081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19.5投标人所递交的投标文件不予退还。</w:t>
      </w:r>
    </w:p>
    <w:p w14:paraId="405BEF2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20.拒收</w:t>
      </w:r>
    </w:p>
    <w:p w14:paraId="2B9913B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20.1超过投标文件提交截止时间或者不按</w:t>
      </w:r>
      <w:r>
        <w:rPr>
          <w:rFonts w:hint="eastAsia" w:ascii="宋体" w:hAnsi="宋体" w:eastAsia="宋体" w:cs="宋体"/>
          <w:color w:val="auto"/>
          <w:spacing w:val="-1"/>
          <w:sz w:val="24"/>
          <w:szCs w:val="24"/>
          <w:highlight w:val="none"/>
        </w:rPr>
        <w:t>照本章要求加密的投标文件，交</w:t>
      </w:r>
      <w:r>
        <w:rPr>
          <w:rFonts w:hint="eastAsia" w:ascii="宋体" w:hAnsi="宋体" w:eastAsia="宋体" w:cs="宋体"/>
          <w:color w:val="auto"/>
          <w:spacing w:val="-4"/>
          <w:sz w:val="24"/>
          <w:szCs w:val="24"/>
          <w:highlight w:val="none"/>
        </w:rPr>
        <w:t>易系统应当拒收。</w:t>
      </w:r>
    </w:p>
    <w:p w14:paraId="10AEB8B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21.投标文件的修改与撤回</w:t>
      </w:r>
    </w:p>
    <w:p w14:paraId="3C941FF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21.1投标人在“</w:t>
      </w:r>
      <w:r>
        <w:rPr>
          <w:rFonts w:hint="eastAsia" w:ascii="宋体" w:hAnsi="宋体" w:eastAsia="宋体" w:cs="宋体"/>
          <w:color w:val="auto"/>
          <w:sz w:val="24"/>
          <w:szCs w:val="24"/>
          <w:highlight w:val="none"/>
          <w:lang w:eastAsia="zh-CN"/>
        </w:rPr>
        <w:t>第一章 投标邀请</w:t>
      </w:r>
      <w:r>
        <w:rPr>
          <w:rFonts w:hint="eastAsia" w:ascii="宋体" w:hAnsi="宋体" w:eastAsia="宋体" w:cs="宋体"/>
          <w:color w:val="auto"/>
          <w:sz w:val="24"/>
          <w:szCs w:val="24"/>
          <w:highlight w:val="none"/>
        </w:rPr>
        <w:t>”规定的投标文件递交截止时间之前，可在</w:t>
      </w:r>
      <w:r>
        <w:rPr>
          <w:rFonts w:hint="eastAsia" w:ascii="宋体" w:hAnsi="宋体" w:eastAsia="宋体" w:cs="宋体"/>
          <w:color w:val="auto"/>
          <w:sz w:val="24"/>
          <w:szCs w:val="24"/>
          <w:highlight w:val="none"/>
          <w:lang w:eastAsia="zh-CN"/>
        </w:rPr>
        <w:t>新疆政府采购电子交易云平台</w:t>
      </w:r>
      <w:r>
        <w:rPr>
          <w:rFonts w:hint="eastAsia" w:ascii="宋体" w:hAnsi="宋体" w:eastAsia="宋体" w:cs="宋体"/>
          <w:color w:val="auto"/>
          <w:sz w:val="24"/>
          <w:szCs w:val="24"/>
          <w:highlight w:val="none"/>
        </w:rPr>
        <w:t>上随时撤回已上传的电子投标文件，将修改好的电子投标文件在投标文件递交截止时间前重新上传到</w:t>
      </w:r>
      <w:r>
        <w:rPr>
          <w:rFonts w:hint="eastAsia" w:ascii="宋体" w:hAnsi="宋体" w:eastAsia="宋体" w:cs="宋体"/>
          <w:color w:val="auto"/>
          <w:sz w:val="24"/>
          <w:szCs w:val="24"/>
          <w:highlight w:val="none"/>
          <w:lang w:eastAsia="zh-CN"/>
        </w:rPr>
        <w:t>新疆政府采购电子交易云平台</w:t>
      </w:r>
      <w:r>
        <w:rPr>
          <w:rFonts w:hint="eastAsia" w:ascii="宋体" w:hAnsi="宋体" w:eastAsia="宋体" w:cs="宋体"/>
          <w:color w:val="auto"/>
          <w:sz w:val="24"/>
          <w:szCs w:val="24"/>
          <w:highlight w:val="none"/>
        </w:rPr>
        <w:t>的指定位置。</w:t>
      </w:r>
    </w:p>
    <w:p w14:paraId="75E7D39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22.实物样品</w:t>
      </w:r>
    </w:p>
    <w:p w14:paraId="59F471E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22.1“投标人须知前附表”要求提供样品的，样品的具体要求及评审详见“第三章 采购需求”和“第五章 评标方法及标准”。</w:t>
      </w:r>
    </w:p>
    <w:p w14:paraId="1FB74B5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22.2样品退还：未中标的投标人应按照“投标人须知前附表”要求自行联系采购人</w:t>
      </w:r>
      <w:r>
        <w:rPr>
          <w:rFonts w:hint="eastAsia" w:ascii="宋体" w:hAnsi="宋体" w:eastAsia="宋体" w:cs="宋体"/>
          <w:color w:val="auto"/>
          <w:sz w:val="24"/>
          <w:szCs w:val="24"/>
          <w:highlight w:val="none"/>
          <w:lang w:val="en-US" w:eastAsia="zh-CN"/>
        </w:rPr>
        <w:t>或采购代理机构</w:t>
      </w:r>
      <w:r>
        <w:rPr>
          <w:rFonts w:hint="eastAsia" w:ascii="宋体" w:hAnsi="宋体" w:eastAsia="宋体" w:cs="宋体"/>
          <w:color w:val="auto"/>
          <w:sz w:val="24"/>
          <w:szCs w:val="24"/>
          <w:highlight w:val="none"/>
        </w:rPr>
        <w:t>取回投标样品；中标人的样品由采购人进行保管、封存，并作为履约验收的参考（招标文件另有规定的从其规定）。</w:t>
      </w:r>
    </w:p>
    <w:p w14:paraId="5901098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23.演示</w:t>
      </w:r>
    </w:p>
    <w:p w14:paraId="7FCC04E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23.1要求投标人进行演示的，演示要求详见“投标人须知前附表”。</w:t>
      </w:r>
    </w:p>
    <w:p w14:paraId="173F7E5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23.2演示的评审详见“第三章 采购需求”和“第五章 评标方法及标准”。</w:t>
      </w:r>
    </w:p>
    <w:p w14:paraId="2A300BB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2"/>
        <w:rPr>
          <w:rFonts w:hint="eastAsia" w:ascii="宋体" w:hAnsi="宋体" w:eastAsia="宋体" w:cs="宋体"/>
          <w:color w:val="auto"/>
          <w:sz w:val="24"/>
          <w:szCs w:val="24"/>
          <w:highlight w:val="none"/>
        </w:rPr>
      </w:pPr>
      <w:bookmarkStart w:id="37" w:name="_Toc3425"/>
      <w:bookmarkStart w:id="38" w:name="_Toc6453"/>
      <w:bookmarkStart w:id="39" w:name="_Toc26399"/>
      <w:bookmarkStart w:id="40" w:name="_Toc4035"/>
      <w:bookmarkStart w:id="41" w:name="_Toc170"/>
      <w:r>
        <w:rPr>
          <w:rFonts w:hint="eastAsia" w:ascii="宋体" w:hAnsi="宋体" w:eastAsia="宋体" w:cs="宋体"/>
          <w:b/>
          <w:bCs/>
          <w:color w:val="auto"/>
          <w:spacing w:val="-6"/>
          <w:sz w:val="24"/>
          <w:szCs w:val="24"/>
          <w:highlight w:val="none"/>
        </w:rPr>
        <w:t>（五）开标</w:t>
      </w:r>
      <w:bookmarkEnd w:id="37"/>
      <w:bookmarkEnd w:id="38"/>
      <w:bookmarkEnd w:id="39"/>
      <w:bookmarkEnd w:id="40"/>
      <w:bookmarkEnd w:id="41"/>
    </w:p>
    <w:p w14:paraId="7690DE0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24.开标会议</w:t>
      </w:r>
    </w:p>
    <w:p w14:paraId="4ABFC93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24.1开标会按“</w:t>
      </w:r>
      <w:r>
        <w:rPr>
          <w:rFonts w:hint="eastAsia" w:ascii="宋体" w:hAnsi="宋体" w:eastAsia="宋体" w:cs="宋体"/>
          <w:color w:val="auto"/>
          <w:sz w:val="24"/>
          <w:szCs w:val="24"/>
          <w:highlight w:val="none"/>
          <w:lang w:eastAsia="zh-CN"/>
        </w:rPr>
        <w:t>第一章 投标邀请</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”规定的开标时间和地点准时举行，采购人、采购代理机构邀请所有投标人准时参加开标会。投标人应按照招标文件的要求参与不见面开标。</w:t>
      </w:r>
    </w:p>
    <w:p w14:paraId="4B51EFF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ascii="宋体" w:hAnsi="宋体" w:eastAsia="宋体" w:cs="宋体"/>
          <w:color w:val="auto"/>
          <w:sz w:val="24"/>
          <w:szCs w:val="24"/>
          <w:highlight w:val="none"/>
          <w:lang w:eastAsia="zh-CN"/>
        </w:rPr>
        <w:t>新疆政府采购电子交易云平台</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"https://www.zcygov.cn/"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https://www.zcygov.cn/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）的“政采云登录入口”登录后，进入“政采云远程开标大厅”参加开标会议，并使用CA密钥完成远程解密、提疑澄清、开标唱标、结果公布等交互环节。</w:t>
      </w:r>
    </w:p>
    <w:p w14:paraId="1B72421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24.3开标过程将宣布投标人名称、投标价格和招标文件规定的需要宣布的其他内容并进行记录，并由参加开标的各投标人确认。投标人未在规定时间内提出疑义或确认一览表的，视同认可开标结果。</w:t>
      </w:r>
    </w:p>
    <w:p w14:paraId="3004699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25.开标程序</w:t>
      </w:r>
    </w:p>
    <w:p w14:paraId="5047C6C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25.1投标人不足3家的，不得开标。</w:t>
      </w:r>
    </w:p>
    <w:p w14:paraId="71E37BA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25.2评标委员会成员不得参加开标活动。</w:t>
      </w:r>
    </w:p>
    <w:p w14:paraId="38FAA1A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25.3主持人按下列程序进行开标：</w:t>
      </w:r>
    </w:p>
    <w:p w14:paraId="6DFB2F0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6F03847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5BED036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p>
    <w:p w14:paraId="4E93630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057CFE2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（5）系统自动生成开标记录表，供应商应在线对开标记录进行签署确认；</w:t>
      </w:r>
    </w:p>
    <w:p w14:paraId="2D259A4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p>
    <w:p w14:paraId="3713BB5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26.开标疑义及回避情形</w:t>
      </w:r>
    </w:p>
    <w:p w14:paraId="2A2315F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26.1投标人代表对开标过程和开标记录有疑义，以及认为采购人、采购代</w:t>
      </w:r>
      <w:r>
        <w:rPr>
          <w:rFonts w:hint="eastAsia" w:ascii="宋体" w:hAnsi="宋体" w:eastAsia="宋体" w:cs="宋体"/>
          <w:color w:val="auto"/>
          <w:spacing w:val="-3"/>
          <w:sz w:val="24"/>
          <w:szCs w:val="24"/>
          <w:highlight w:val="none"/>
        </w:rPr>
        <w:t>理机构相关工作人员有需要回避的情形的，应在开标会议中提出询问或者回避申请。采购人、采购代理机构对投标人授权代表提出的询问或者回避申请应当及时处理。</w:t>
      </w:r>
    </w:p>
    <w:p w14:paraId="775DF46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26.2投标人未参加开标的，视同认可开标</w:t>
      </w:r>
      <w:r>
        <w:rPr>
          <w:rFonts w:hint="eastAsia" w:ascii="宋体" w:hAnsi="宋体" w:eastAsia="宋体" w:cs="宋体"/>
          <w:color w:val="auto"/>
          <w:spacing w:val="-2"/>
          <w:sz w:val="24"/>
          <w:szCs w:val="24"/>
          <w:highlight w:val="none"/>
        </w:rPr>
        <w:t>结果。</w:t>
      </w:r>
    </w:p>
    <w:p w14:paraId="5BA3D89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2"/>
        <w:rPr>
          <w:rFonts w:hint="eastAsia" w:ascii="宋体" w:hAnsi="宋体" w:eastAsia="宋体" w:cs="宋体"/>
          <w:color w:val="auto"/>
          <w:sz w:val="24"/>
          <w:szCs w:val="24"/>
          <w:highlight w:val="none"/>
        </w:rPr>
      </w:pPr>
      <w:bookmarkStart w:id="42" w:name="_Toc23704"/>
      <w:bookmarkStart w:id="43" w:name="_Toc14526"/>
      <w:bookmarkStart w:id="44" w:name="_Toc30808"/>
      <w:bookmarkStart w:id="45" w:name="_Toc20709"/>
      <w:bookmarkStart w:id="46" w:name="_Toc15098"/>
      <w:r>
        <w:rPr>
          <w:rFonts w:hint="eastAsia" w:ascii="宋体" w:hAnsi="宋体" w:eastAsia="宋体" w:cs="宋体"/>
          <w:b/>
          <w:bCs/>
          <w:color w:val="auto"/>
          <w:spacing w:val="-5"/>
          <w:sz w:val="24"/>
          <w:szCs w:val="24"/>
          <w:highlight w:val="none"/>
        </w:rPr>
        <w:t>（六）资格审查</w:t>
      </w:r>
      <w:bookmarkEnd w:id="42"/>
      <w:bookmarkEnd w:id="43"/>
      <w:bookmarkEnd w:id="44"/>
      <w:bookmarkEnd w:id="45"/>
      <w:bookmarkEnd w:id="46"/>
    </w:p>
    <w:p w14:paraId="696576C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27.资格审查及审查主体</w:t>
      </w:r>
    </w:p>
    <w:p w14:paraId="097E600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27.1开标结束后，采购人或者采购代理机构应当依法对投标人的资格进行审查。</w:t>
      </w:r>
    </w:p>
    <w:p w14:paraId="613E9F5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27.2资格审查按“第四章 资格审查”的规定进行。</w:t>
      </w:r>
    </w:p>
    <w:p w14:paraId="44CF4C1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27.3资格审查结束后，应及时对资格审查结果进行复核，对资格审查错误进行及时纠正并记录。</w:t>
      </w:r>
    </w:p>
    <w:p w14:paraId="2D9D570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27.4资格审查合格投标人不足3家的，不得评标。</w:t>
      </w:r>
    </w:p>
    <w:p w14:paraId="08168EF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2"/>
        <w:rPr>
          <w:rFonts w:hint="eastAsia" w:ascii="宋体" w:hAnsi="宋体" w:eastAsia="宋体" w:cs="宋体"/>
          <w:color w:val="auto"/>
          <w:sz w:val="24"/>
          <w:szCs w:val="24"/>
          <w:highlight w:val="none"/>
        </w:rPr>
      </w:pPr>
      <w:bookmarkStart w:id="47" w:name="_Toc15677"/>
      <w:bookmarkStart w:id="48" w:name="_Toc8143"/>
      <w:bookmarkStart w:id="49" w:name="_Toc18715"/>
      <w:bookmarkStart w:id="50" w:name="_Toc3389"/>
      <w:bookmarkStart w:id="51" w:name="_Toc25457"/>
      <w:r>
        <w:rPr>
          <w:rFonts w:hint="eastAsia" w:ascii="宋体" w:hAnsi="宋体" w:eastAsia="宋体" w:cs="宋体"/>
          <w:b/>
          <w:bCs/>
          <w:color w:val="auto"/>
          <w:spacing w:val="-6"/>
          <w:sz w:val="24"/>
          <w:szCs w:val="24"/>
          <w:highlight w:val="none"/>
        </w:rPr>
        <w:t>（七）评标</w:t>
      </w:r>
      <w:bookmarkEnd w:id="47"/>
      <w:bookmarkEnd w:id="48"/>
      <w:bookmarkEnd w:id="49"/>
      <w:bookmarkEnd w:id="50"/>
      <w:bookmarkEnd w:id="51"/>
    </w:p>
    <w:p w14:paraId="33823E1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28.评标委员会</w:t>
      </w:r>
    </w:p>
    <w:p w14:paraId="05533F0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28.1评标由采购人依法组建的评标委员会</w:t>
      </w:r>
      <w:r>
        <w:rPr>
          <w:rFonts w:hint="eastAsia" w:ascii="宋体" w:hAnsi="宋体" w:eastAsia="宋体" w:cs="宋体"/>
          <w:color w:val="auto"/>
          <w:spacing w:val="-1"/>
          <w:sz w:val="24"/>
          <w:szCs w:val="24"/>
          <w:highlight w:val="none"/>
        </w:rPr>
        <w:t>负责。评标委员会由采购人代表</w:t>
      </w:r>
      <w:r>
        <w:rPr>
          <w:rFonts w:hint="eastAsia" w:ascii="宋体" w:hAnsi="宋体" w:eastAsia="宋体" w:cs="宋体"/>
          <w:color w:val="auto"/>
          <w:spacing w:val="-4"/>
          <w:sz w:val="24"/>
          <w:szCs w:val="24"/>
          <w:highlight w:val="none"/>
        </w:rPr>
        <w:t>和评审专家组成，</w:t>
      </w:r>
      <w:r>
        <w:rPr>
          <w:rFonts w:hint="eastAsia" w:ascii="宋体" w:hAnsi="宋体" w:eastAsia="宋体" w:cs="宋体"/>
          <w:color w:val="auto"/>
          <w:sz w:val="24"/>
          <w:szCs w:val="24"/>
          <w:highlight w:val="none"/>
        </w:rPr>
        <w:t>成员人数应当为5人以上单数，其中评审专家不得少于成员总数的三分之二。采购人或者采购代理机构应当从省级以上财政部门设立的政府采购评审专家库中，通过随机方式抽取评审专家。</w:t>
      </w:r>
    </w:p>
    <w:p w14:paraId="20F862B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28.2采购项目符合下列情形之一的，评标委员会成员人数应当为7人以上单数：</w:t>
      </w:r>
    </w:p>
    <w:p w14:paraId="0A8C40A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（1）采购预算金额在1000万元以上；</w:t>
      </w:r>
    </w:p>
    <w:p w14:paraId="4DBBA53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（2）技术复杂；</w:t>
      </w:r>
    </w:p>
    <w:p w14:paraId="163412C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（3）社会影响较大。</w:t>
      </w:r>
    </w:p>
    <w:p w14:paraId="601E994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29CB548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28.4评标委员会成员名单在评标结果公告前应当保密。</w:t>
      </w:r>
    </w:p>
    <w:p w14:paraId="14ABBA3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3A21E5C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28.6无法及时补足评标委员会成员的，采购人或者采购代理机构应当停止评标活动，封存所有投标文件和开标、评标资料，依法重新组建评标委员会进行评标。原评标委员会所作出的评标意见无效。</w:t>
      </w:r>
    </w:p>
    <w:p w14:paraId="6AD731F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28.7评标委员会成员有下列情形之一的，应当回避：</w:t>
      </w:r>
    </w:p>
    <w:p w14:paraId="699DE40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55FBFB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0ACDAE3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670AE09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1F8742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0E760EB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29.评标</w:t>
      </w:r>
    </w:p>
    <w:p w14:paraId="290CB14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29.1评标方法分为综合评分法和最低评标价法，本项目评标方法详见“投标人须知前附表”。</w:t>
      </w:r>
    </w:p>
    <w:p w14:paraId="414C9BB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29.1.1综合评分法，是指投标文件满足招标文件全部实质性要求，且按照评审因素的量化指标评审得分最高的投标人为中标候选人的评标方法。</w:t>
      </w:r>
    </w:p>
    <w:p w14:paraId="5C20CF0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29.1.2.最低评标价法，是指投标文件满足招标文件全部实质性要求，且投标报价最低的投标人为中标候选人的评标方法。</w:t>
      </w:r>
    </w:p>
    <w:p w14:paraId="0BC0ECE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29.2评标委员会按照“第五章 评标方法及标准”的规定对投标文件进行评审。“第五章 评标方法及标准”没有规定的方法、评审因素和标准，不作为评标依据。</w:t>
      </w:r>
    </w:p>
    <w:p w14:paraId="5D95CE6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29.3评标委员会按“投标人须知前附表”规定的中标候选人数量在评标报告中向采购人推荐中标候选人。</w:t>
      </w:r>
    </w:p>
    <w:p w14:paraId="311BCEE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29.4开标之后，直到签订合同止，凡是属于审查、澄清、评价和比较投标的有关资料以及定标意向等，均不得向投标人或者其他与评标无关的人员透露。</w:t>
      </w:r>
    </w:p>
    <w:p w14:paraId="7424A78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29.5在确定中标人之前，投标人试图在投标文件审查、澄清、比较和评标</w:t>
      </w:r>
      <w:r>
        <w:rPr>
          <w:rFonts w:hint="eastAsia" w:ascii="宋体" w:hAnsi="宋体" w:eastAsia="宋体" w:cs="宋体"/>
          <w:color w:val="auto"/>
          <w:spacing w:val="-2"/>
          <w:sz w:val="24"/>
          <w:szCs w:val="24"/>
          <w:highlight w:val="none"/>
        </w:rPr>
        <w:t>时对评标委员会、采购人和采购代理机构施加任何影响都可能导致其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2A03650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29.6电子招投标的应急措施</w:t>
      </w:r>
    </w:p>
    <w:p w14:paraId="186B01F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29.6.1电子开标、评标如出现下列原</w:t>
      </w:r>
      <w:r>
        <w:rPr>
          <w:rFonts w:hint="eastAsia" w:ascii="宋体" w:hAnsi="宋体" w:eastAsia="宋体" w:cs="宋体"/>
          <w:color w:val="auto"/>
          <w:spacing w:val="-2"/>
          <w:sz w:val="24"/>
          <w:szCs w:val="24"/>
          <w:highlight w:val="none"/>
        </w:rPr>
        <w:t>因，导致系统无法正常运行或无法正常评标时，应采取应急措施。</w:t>
      </w:r>
    </w:p>
    <w:p w14:paraId="1C5E40E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（1）系统服务器发生故障，无法访问或无法使用系统；</w:t>
      </w:r>
    </w:p>
    <w:p w14:paraId="3B1B87D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（2）系统的软件或数据库出现错误，不能进行正常操作；</w:t>
      </w:r>
    </w:p>
    <w:p w14:paraId="38BD245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（3）系统发现有安全漏洞，有潜在的泄密危险；</w:t>
      </w:r>
    </w:p>
    <w:p w14:paraId="375044B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（4）病毒发作或受到外来病毒的攻击；</w:t>
      </w:r>
    </w:p>
    <w:p w14:paraId="4595ED2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（5）出现其他不可抗拒的客观原因造成开评标系统无法正常使用。</w:t>
      </w:r>
    </w:p>
    <w:p w14:paraId="2804EEF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出现上述情况时，应对未开标的暂停开标。已在系统内开标、评标的立即停</w:t>
      </w:r>
      <w:r>
        <w:rPr>
          <w:rFonts w:hint="eastAsia" w:ascii="宋体" w:hAnsi="宋体" w:eastAsia="宋体" w:cs="宋体"/>
          <w:color w:val="auto"/>
          <w:spacing w:val="-1"/>
          <w:sz w:val="24"/>
          <w:szCs w:val="24"/>
          <w:highlight w:val="none"/>
        </w:rPr>
        <w:t>止。采取应急措施时，必须对原有资料及信息作出妥善保密处理。</w:t>
      </w:r>
    </w:p>
    <w:p w14:paraId="7BB081D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29.6.2因系统原因导致投标人均无法解密电子投标文件时</w:t>
      </w:r>
      <w:r>
        <w:rPr>
          <w:rFonts w:hint="eastAsia" w:ascii="宋体" w:hAnsi="宋体" w:eastAsia="宋体" w:cs="宋体"/>
          <w:color w:val="auto"/>
          <w:spacing w:val="-2"/>
          <w:sz w:val="24"/>
          <w:szCs w:val="24"/>
          <w:highlight w:val="none"/>
        </w:rPr>
        <w:t>，采购代理机构</w:t>
      </w:r>
      <w:r>
        <w:rPr>
          <w:rFonts w:hint="eastAsia" w:ascii="宋体" w:hAnsi="宋体" w:eastAsia="宋体" w:cs="宋体"/>
          <w:color w:val="auto"/>
          <w:sz w:val="24"/>
          <w:szCs w:val="24"/>
          <w:highlight w:val="none"/>
        </w:rPr>
        <w:t>可在开标现场直接导入投标人在投标截止时间前递交的未</w:t>
      </w:r>
      <w:r>
        <w:rPr>
          <w:rFonts w:hint="eastAsia" w:ascii="宋体" w:hAnsi="宋体" w:eastAsia="宋体" w:cs="宋体"/>
          <w:color w:val="auto"/>
          <w:spacing w:val="-1"/>
          <w:sz w:val="24"/>
          <w:szCs w:val="24"/>
          <w:highlight w:val="none"/>
        </w:rPr>
        <w:t>加密的电子投标文件进行开标、评标。</w:t>
      </w:r>
    </w:p>
    <w:p w14:paraId="4B3F78E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29.7投标人瑕疵滞后发现的处理规则</w:t>
      </w:r>
    </w:p>
    <w:p w14:paraId="52F260E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29.7.1无论基于何种原因，各项本应作</w:t>
      </w:r>
      <w:r>
        <w:rPr>
          <w:rFonts w:hint="eastAsia" w:ascii="宋体" w:hAnsi="宋体" w:eastAsia="宋体" w:cs="宋体"/>
          <w:b/>
          <w:bCs/>
          <w:color w:val="auto"/>
          <w:spacing w:val="-1"/>
          <w:sz w:val="24"/>
          <w:szCs w:val="24"/>
          <w:highlight w:val="none"/>
        </w:rPr>
        <w:t>无效投标</w:t>
      </w:r>
      <w:r>
        <w:rPr>
          <w:rFonts w:hint="eastAsia" w:ascii="宋体" w:hAnsi="宋体" w:eastAsia="宋体" w:cs="宋体"/>
          <w:color w:val="auto"/>
          <w:spacing w:val="-1"/>
          <w:sz w:val="24"/>
          <w:szCs w:val="24"/>
          <w:highlight w:val="none"/>
        </w:rPr>
        <w:t>处理的情形即便未被及时</w:t>
      </w:r>
      <w:r>
        <w:rPr>
          <w:rFonts w:hint="eastAsia" w:ascii="宋体" w:hAnsi="宋体" w:eastAsia="宋体" w:cs="宋体"/>
          <w:color w:val="auto"/>
          <w:spacing w:val="-3"/>
          <w:sz w:val="24"/>
          <w:szCs w:val="24"/>
          <w:highlight w:val="none"/>
        </w:rPr>
        <w:t>发现而使该投标人进入初审、综合评审或其他后续程序，包括已经签订合同的情形，一旦该投标人的投标作无效投标处理或该投标人的此前评议结果被取消，其</w:t>
      </w:r>
      <w:r>
        <w:rPr>
          <w:rFonts w:hint="eastAsia" w:ascii="宋体" w:hAnsi="宋体" w:eastAsia="宋体" w:cs="宋体"/>
          <w:color w:val="auto"/>
          <w:sz w:val="24"/>
          <w:szCs w:val="24"/>
          <w:highlight w:val="none"/>
        </w:rPr>
        <w:t>现有的位置将被其他投标人依序替代，相关的</w:t>
      </w:r>
      <w:r>
        <w:rPr>
          <w:rFonts w:hint="eastAsia" w:ascii="宋体" w:hAnsi="宋体" w:eastAsia="宋体" w:cs="宋体"/>
          <w:color w:val="auto"/>
          <w:spacing w:val="-1"/>
          <w:sz w:val="24"/>
          <w:szCs w:val="24"/>
          <w:highlight w:val="none"/>
        </w:rPr>
        <w:t>一切损失均由该投标人承担。</w:t>
      </w:r>
    </w:p>
    <w:p w14:paraId="16019EC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29.</w:t>
      </w:r>
      <w:r>
        <w:rPr>
          <w:rFonts w:hint="eastAsia" w:ascii="宋体" w:hAnsi="宋体" w:cs="宋体"/>
          <w:color w:val="auto"/>
          <w:spacing w:val="-1"/>
          <w:sz w:val="24"/>
          <w:szCs w:val="24"/>
          <w:highlight w:val="none"/>
          <w:lang w:val="en-US" w:eastAsia="zh-CN"/>
        </w:rPr>
        <w:t>8</w:t>
      </w:r>
      <w:r>
        <w:rPr>
          <w:rFonts w:hint="eastAsia" w:ascii="宋体" w:hAnsi="宋体" w:eastAsia="宋体" w:cs="宋体"/>
          <w:color w:val="auto"/>
          <w:spacing w:val="-1"/>
          <w:sz w:val="24"/>
          <w:szCs w:val="24"/>
          <w:highlight w:val="none"/>
          <w:lang w:val="en-US" w:eastAsia="zh-CN"/>
        </w:rPr>
        <w:t>启动异常低价投标（响应）审查程序</w:t>
      </w:r>
    </w:p>
    <w:p w14:paraId="7921A37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在评审过程中，评审小组认为投标人的报价明显低于其他通过符合性审查投标人的报价，有可能影响产品质量或者不能诚信履约的，应当要求其在合理的时间</w:t>
      </w:r>
      <w:r>
        <w:rPr>
          <w:rFonts w:hint="eastAsia" w:ascii="宋体" w:hAnsi="宋体" w:cs="宋体"/>
          <w:color w:val="auto"/>
          <w:spacing w:val="-1"/>
          <w:sz w:val="24"/>
          <w:szCs w:val="24"/>
          <w:highlight w:val="none"/>
          <w:lang w:val="en-US" w:eastAsia="zh-CN"/>
        </w:rPr>
        <w:t>（30分钟）</w:t>
      </w:r>
      <w:r>
        <w:rPr>
          <w:rFonts w:hint="eastAsia" w:ascii="宋体" w:hAnsi="宋体" w:eastAsia="宋体" w:cs="宋体"/>
          <w:color w:val="auto"/>
          <w:spacing w:val="-1"/>
          <w:sz w:val="24"/>
          <w:szCs w:val="24"/>
          <w:highlight w:val="none"/>
          <w:lang w:val="en-US" w:eastAsia="zh-CN"/>
        </w:rPr>
        <w:t>内提供书面说明，必要时提交相关证明材料；投标人不能证明其报价合理性的，评审小组应当将其作为无效投标处理。评审中出现下列情形之一的，评审委员会应当启动异常低价投标（响应）审查程序：</w:t>
      </w:r>
    </w:p>
    <w:p w14:paraId="4253174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B5258C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62C220D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3.投标（响应）报价低于采购项目最高限价45%的，即投标（响应）报价&lt;采购项目最高限价×45%；</w:t>
      </w:r>
    </w:p>
    <w:p w14:paraId="7D7572B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4.评审委员会基于专业判断，认为供应商报价过低，有可能影响产品质量或者不能诚信履约的其他情形。</w:t>
      </w:r>
    </w:p>
    <w:p w14:paraId="1E599E0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2"/>
        <w:rPr>
          <w:rFonts w:hint="eastAsia" w:ascii="宋体" w:hAnsi="宋体" w:eastAsia="宋体" w:cs="宋体"/>
          <w:color w:val="auto"/>
          <w:sz w:val="24"/>
          <w:szCs w:val="24"/>
          <w:highlight w:val="none"/>
        </w:rPr>
      </w:pPr>
      <w:bookmarkStart w:id="52" w:name="_Toc5277"/>
      <w:bookmarkStart w:id="53" w:name="_Toc1388"/>
      <w:bookmarkStart w:id="54" w:name="_Toc6860"/>
      <w:bookmarkStart w:id="55" w:name="_Toc5967"/>
      <w:bookmarkStart w:id="56" w:name="_Toc18027"/>
      <w:r>
        <w:rPr>
          <w:rFonts w:hint="eastAsia" w:ascii="宋体" w:hAnsi="宋体" w:eastAsia="宋体" w:cs="宋体"/>
          <w:b/>
          <w:bCs/>
          <w:color w:val="auto"/>
          <w:spacing w:val="-6"/>
          <w:sz w:val="24"/>
          <w:szCs w:val="24"/>
          <w:highlight w:val="none"/>
        </w:rPr>
        <w:t>（八）中标</w:t>
      </w:r>
      <w:bookmarkEnd w:id="52"/>
      <w:bookmarkEnd w:id="53"/>
      <w:bookmarkEnd w:id="54"/>
      <w:bookmarkEnd w:id="55"/>
      <w:bookmarkEnd w:id="56"/>
    </w:p>
    <w:p w14:paraId="16ADCF1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30.确定中标人</w:t>
      </w:r>
    </w:p>
    <w:p w14:paraId="4478905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30.1采购人将在评标报告确定的中标候选人名单中按顺序确定中标人，中标候选人并列的，按照“投标人须知前附表”确定中标人；招标文件未规定的，采取随机抽取的方式确定。采购人是否委托评标委员会直接确定中标人，见“投标人须知前附表”。</w:t>
      </w:r>
    </w:p>
    <w:p w14:paraId="5646F9A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5B44CE4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30.3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招标文件未规定的采取随机抽取方式确定，其他投标无效。</w:t>
      </w:r>
    </w:p>
    <w:p w14:paraId="0362250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30.4非单一产品采购项目，采购人应当根据采购项目技术构成、产品价格比重等合理确定核心产品，并在“投标人须知前附表”中载明。多家投标人提供的核心产品品牌相同的，按前两款规定处理。</w:t>
      </w:r>
    </w:p>
    <w:p w14:paraId="20C638F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31.中标结果公告</w:t>
      </w:r>
    </w:p>
    <w:p w14:paraId="07F32F2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3"/>
          <w:sz w:val="24"/>
          <w:szCs w:val="24"/>
          <w:highlight w:val="none"/>
        </w:rPr>
        <w:t>1.1采购人或采购代理机构应当自中标人确定之日起2个工作日内，在发布招标公告的同一媒体上发布中标结果公告，同时向中标人发出中标通知书。招标文件随中标结果同时公告，中标结果公告期限为1个工作日。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2385ACB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31.2中标供应商为中小企业享受中小企业扶持政策的，其“中小企业声明函”随中标结果同时公告。中标供应商为残疾人福利性单位的，其“残疾人福利性单位声明函”随中标结果同时公告。中标供应商为</w:t>
      </w:r>
      <w:r>
        <w:rPr>
          <w:rFonts w:hint="eastAsia" w:ascii="宋体" w:hAnsi="宋体" w:eastAsia="宋体" w:cs="宋体"/>
          <w:color w:val="auto"/>
          <w:spacing w:val="11"/>
          <w:sz w:val="24"/>
          <w:szCs w:val="24"/>
          <w:highlight w:val="none"/>
        </w:rPr>
        <w:t>监狱企业</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3"/>
          <w:sz w:val="24"/>
          <w:szCs w:val="24"/>
          <w:highlight w:val="none"/>
        </w:rPr>
        <w:t>其“</w:t>
      </w:r>
      <w:r>
        <w:rPr>
          <w:rFonts w:hint="eastAsia" w:ascii="宋体" w:hAnsi="宋体" w:eastAsia="宋体" w:cs="宋体"/>
          <w:color w:val="auto"/>
          <w:spacing w:val="11"/>
          <w:sz w:val="24"/>
          <w:szCs w:val="24"/>
          <w:highlight w:val="none"/>
        </w:rPr>
        <w:t>监狱企业</w:t>
      </w:r>
      <w:r>
        <w:rPr>
          <w:rFonts w:hint="eastAsia" w:ascii="宋体" w:hAnsi="宋体" w:eastAsia="宋体" w:cs="宋体"/>
          <w:color w:val="auto"/>
          <w:spacing w:val="11"/>
          <w:sz w:val="24"/>
          <w:szCs w:val="24"/>
          <w:highlight w:val="none"/>
          <w:lang w:val="en-US" w:eastAsia="zh-CN"/>
        </w:rPr>
        <w:t>证明</w:t>
      </w:r>
      <w:r>
        <w:rPr>
          <w:rFonts w:hint="eastAsia" w:ascii="宋体" w:hAnsi="宋体" w:eastAsia="宋体" w:cs="宋体"/>
          <w:color w:val="auto"/>
          <w:spacing w:val="-3"/>
          <w:sz w:val="24"/>
          <w:szCs w:val="24"/>
          <w:highlight w:val="none"/>
        </w:rPr>
        <w:t>函”随中标结果同时公告。</w:t>
      </w:r>
    </w:p>
    <w:p w14:paraId="742843A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31.3项目采购采用最低评标价法的，公告中标结果时同时公告因落实政府采购政策等原因进行价格扣除后中标供应商的评审报价；项目采购采用综合评分法的，公告中标结果时同时公告中标供应商的评审总得分。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178FACA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32.中标通知</w:t>
      </w:r>
    </w:p>
    <w:p w14:paraId="3CD3418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32.1采购人和采购代理机构以书面形式向中标人发出中标通知书，同时将</w:t>
      </w:r>
      <w:r>
        <w:rPr>
          <w:rFonts w:hint="eastAsia" w:ascii="宋体" w:hAnsi="宋体" w:eastAsia="宋体" w:cs="宋体"/>
          <w:color w:val="auto"/>
          <w:spacing w:val="-3"/>
          <w:sz w:val="24"/>
          <w:szCs w:val="24"/>
          <w:highlight w:val="none"/>
        </w:rPr>
        <w:t>招标结果通知未中标的投标人。对未通过资格审查的投标人，应当告知其未通过</w:t>
      </w:r>
      <w:r>
        <w:rPr>
          <w:rFonts w:hint="eastAsia" w:ascii="宋体" w:hAnsi="宋体" w:eastAsia="宋体" w:cs="宋体"/>
          <w:color w:val="auto"/>
          <w:spacing w:val="-1"/>
          <w:sz w:val="24"/>
          <w:szCs w:val="24"/>
          <w:highlight w:val="none"/>
        </w:rPr>
        <w:t>的原因；采用综合评分法评审的，还应当告</w:t>
      </w:r>
      <w:r>
        <w:rPr>
          <w:rFonts w:hint="eastAsia" w:ascii="宋体" w:hAnsi="宋体" w:eastAsia="宋体" w:cs="宋体"/>
          <w:color w:val="auto"/>
          <w:spacing w:val="-2"/>
          <w:sz w:val="24"/>
          <w:szCs w:val="24"/>
          <w:highlight w:val="none"/>
        </w:rPr>
        <w:t>知未中标人本人的评审得分与排序。</w:t>
      </w:r>
    </w:p>
    <w:p w14:paraId="46F1F88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32.2中标通知书对采购人和中标供应商均</w:t>
      </w:r>
      <w:r>
        <w:rPr>
          <w:rFonts w:hint="eastAsia" w:ascii="宋体" w:hAnsi="宋体" w:eastAsia="宋体" w:cs="宋体"/>
          <w:color w:val="auto"/>
          <w:spacing w:val="-2"/>
          <w:sz w:val="24"/>
          <w:szCs w:val="24"/>
          <w:highlight w:val="none"/>
        </w:rPr>
        <w:t>具有法律效力。中标通知书发出</w:t>
      </w:r>
      <w:r>
        <w:rPr>
          <w:rFonts w:hint="eastAsia" w:ascii="宋体" w:hAnsi="宋体" w:eastAsia="宋体" w:cs="宋体"/>
          <w:color w:val="auto"/>
          <w:spacing w:val="-3"/>
          <w:sz w:val="24"/>
          <w:szCs w:val="24"/>
          <w:highlight w:val="none"/>
        </w:rPr>
        <w:t>后，采购人改变中标结果的，或者中标供应商放弃中标项目的，应当依法承担法律责任。</w:t>
      </w:r>
    </w:p>
    <w:p w14:paraId="68DA532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2"/>
        <w:rPr>
          <w:rFonts w:hint="eastAsia" w:ascii="宋体" w:hAnsi="宋体" w:eastAsia="宋体" w:cs="宋体"/>
          <w:color w:val="auto"/>
          <w:sz w:val="24"/>
          <w:szCs w:val="24"/>
          <w:highlight w:val="none"/>
        </w:rPr>
      </w:pPr>
      <w:bookmarkStart w:id="57" w:name="_Toc5634"/>
      <w:bookmarkStart w:id="58" w:name="_Toc31412"/>
      <w:bookmarkStart w:id="59" w:name="_Toc29063"/>
      <w:bookmarkStart w:id="60" w:name="_Toc16459"/>
      <w:bookmarkStart w:id="61" w:name="_Toc31641"/>
      <w:r>
        <w:rPr>
          <w:rFonts w:hint="eastAsia" w:ascii="宋体" w:hAnsi="宋体" w:eastAsia="宋体" w:cs="宋体"/>
          <w:b/>
          <w:bCs/>
          <w:color w:val="auto"/>
          <w:spacing w:val="-5"/>
          <w:sz w:val="24"/>
          <w:szCs w:val="24"/>
          <w:highlight w:val="none"/>
        </w:rPr>
        <w:t>（九）签订合同</w:t>
      </w:r>
      <w:bookmarkEnd w:id="57"/>
      <w:bookmarkEnd w:id="58"/>
      <w:bookmarkEnd w:id="59"/>
      <w:bookmarkEnd w:id="60"/>
      <w:bookmarkEnd w:id="61"/>
    </w:p>
    <w:p w14:paraId="16AECC1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33.履约保证金</w:t>
      </w:r>
    </w:p>
    <w:p w14:paraId="11CB479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33.1在签订合同前，中标人应按“投标人须知前附表”规定的金额、担保</w:t>
      </w:r>
      <w:r>
        <w:rPr>
          <w:rFonts w:hint="eastAsia" w:ascii="宋体" w:hAnsi="宋体" w:eastAsia="宋体" w:cs="宋体"/>
          <w:color w:val="auto"/>
          <w:spacing w:val="-1"/>
          <w:sz w:val="24"/>
          <w:szCs w:val="24"/>
          <w:highlight w:val="none"/>
        </w:rPr>
        <w:t>形式和采购人认可的履约担保格式向采购人提交履约保证金。</w:t>
      </w:r>
    </w:p>
    <w:p w14:paraId="27B4596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33.2中标人不能按本章第33.1项要求提交履约担保的，视为放弃中标，给</w:t>
      </w:r>
      <w:r>
        <w:rPr>
          <w:rFonts w:hint="eastAsia" w:ascii="宋体" w:hAnsi="宋体" w:eastAsia="宋体" w:cs="宋体"/>
          <w:color w:val="auto"/>
          <w:spacing w:val="-1"/>
          <w:sz w:val="24"/>
          <w:szCs w:val="24"/>
          <w:highlight w:val="none"/>
        </w:rPr>
        <w:t>采购人造成损失的，中标人还应当承担民事责任。</w:t>
      </w:r>
    </w:p>
    <w:p w14:paraId="50B7751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34.签订合同</w:t>
      </w:r>
    </w:p>
    <w:p w14:paraId="2B39974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34.1采购人和中标人应当自中标通知书发出之日起</w:t>
      </w:r>
      <w:r>
        <w:rPr>
          <w:rFonts w:hint="eastAsia" w:ascii="宋体" w:hAnsi="宋体" w:eastAsia="宋体" w:cs="宋体"/>
          <w:b/>
          <w:bCs/>
          <w:color w:val="auto"/>
          <w:spacing w:val="-4"/>
          <w:sz w:val="24"/>
          <w:szCs w:val="24"/>
          <w:highlight w:val="none"/>
          <w:lang w:val="en-US" w:eastAsia="zh-CN"/>
        </w:rPr>
        <w:t>30</w:t>
      </w:r>
      <w:r>
        <w:rPr>
          <w:rFonts w:hint="eastAsia" w:ascii="宋体" w:hAnsi="宋体" w:eastAsia="宋体" w:cs="宋体"/>
          <w:b/>
          <w:bCs/>
          <w:color w:val="auto"/>
          <w:spacing w:val="-4"/>
          <w:sz w:val="24"/>
          <w:szCs w:val="24"/>
          <w:highlight w:val="none"/>
        </w:rPr>
        <w:t>天内</w:t>
      </w:r>
      <w:r>
        <w:rPr>
          <w:rFonts w:hint="eastAsia" w:ascii="宋体" w:hAnsi="宋体" w:eastAsia="宋体" w:cs="宋体"/>
          <w:color w:val="auto"/>
          <w:spacing w:val="-4"/>
          <w:sz w:val="24"/>
          <w:szCs w:val="24"/>
          <w:highlight w:val="none"/>
        </w:rPr>
        <w:t>，根据招标文件</w:t>
      </w:r>
      <w:r>
        <w:rPr>
          <w:rFonts w:hint="eastAsia" w:ascii="宋体" w:hAnsi="宋体" w:eastAsia="宋体" w:cs="宋体"/>
          <w:color w:val="auto"/>
          <w:spacing w:val="-3"/>
          <w:sz w:val="24"/>
          <w:szCs w:val="24"/>
          <w:highlight w:val="none"/>
        </w:rPr>
        <w:t>和中标人的投标文件订立书面合同。采购人因不可抗力原因迟延签订合同的，应</w:t>
      </w:r>
      <w:r>
        <w:rPr>
          <w:rFonts w:hint="eastAsia" w:ascii="宋体" w:hAnsi="宋体" w:eastAsia="宋体" w:cs="宋体"/>
          <w:color w:val="auto"/>
          <w:spacing w:val="-5"/>
          <w:sz w:val="24"/>
          <w:szCs w:val="24"/>
          <w:highlight w:val="none"/>
        </w:rPr>
        <w:t>当自不可抗力事由消除之日起7日内完成合同签订事宜。所签订的合同不得对招</w:t>
      </w:r>
      <w:r>
        <w:rPr>
          <w:rFonts w:hint="eastAsia" w:ascii="宋体" w:hAnsi="宋体" w:eastAsia="宋体" w:cs="宋体"/>
          <w:color w:val="auto"/>
          <w:spacing w:val="-3"/>
          <w:sz w:val="24"/>
          <w:szCs w:val="24"/>
          <w:highlight w:val="none"/>
        </w:rPr>
        <w:t>标文件和中标人投标文件作实质性修改。中标人无正当理由拒签合同，给采购人</w:t>
      </w:r>
      <w:r>
        <w:rPr>
          <w:rFonts w:hint="eastAsia" w:ascii="宋体" w:hAnsi="宋体" w:eastAsia="宋体" w:cs="宋体"/>
          <w:color w:val="auto"/>
          <w:spacing w:val="-1"/>
          <w:sz w:val="24"/>
          <w:szCs w:val="24"/>
          <w:highlight w:val="none"/>
        </w:rPr>
        <w:t>造成损失的，中标人还应当承担民事责任。</w:t>
      </w:r>
    </w:p>
    <w:p w14:paraId="04CFC04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34.2中标人拒绝与采购人签订合同的，采</w:t>
      </w:r>
      <w:r>
        <w:rPr>
          <w:rFonts w:hint="eastAsia" w:ascii="宋体" w:hAnsi="宋体" w:eastAsia="宋体" w:cs="宋体"/>
          <w:color w:val="auto"/>
          <w:spacing w:val="-2"/>
          <w:sz w:val="24"/>
          <w:szCs w:val="24"/>
          <w:highlight w:val="none"/>
        </w:rPr>
        <w:t>购人可以按照评标报告推荐的中</w:t>
      </w:r>
      <w:r>
        <w:rPr>
          <w:rFonts w:hint="eastAsia" w:ascii="宋体" w:hAnsi="宋体" w:eastAsia="宋体" w:cs="宋体"/>
          <w:color w:val="auto"/>
          <w:spacing w:val="-1"/>
          <w:sz w:val="24"/>
          <w:szCs w:val="24"/>
          <w:highlight w:val="none"/>
        </w:rPr>
        <w:t>标候选人名单排序，确定下一候选人为中标</w:t>
      </w:r>
      <w:r>
        <w:rPr>
          <w:rFonts w:hint="eastAsia" w:ascii="宋体" w:hAnsi="宋体" w:eastAsia="宋体" w:cs="宋体"/>
          <w:color w:val="auto"/>
          <w:spacing w:val="-2"/>
          <w:sz w:val="24"/>
          <w:szCs w:val="24"/>
          <w:highlight w:val="none"/>
        </w:rPr>
        <w:t>人，也可以重新开展政府采购活动。</w:t>
      </w:r>
    </w:p>
    <w:p w14:paraId="3203313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34.3</w:t>
      </w:r>
      <w:r>
        <w:rPr>
          <w:rFonts w:hint="eastAsia" w:ascii="宋体" w:hAnsi="宋体" w:eastAsia="宋体" w:cs="宋体"/>
          <w:color w:val="auto"/>
          <w:spacing w:val="-1"/>
          <w:sz w:val="24"/>
          <w:szCs w:val="24"/>
          <w:highlight w:val="none"/>
        </w:rPr>
        <w:t>采购人和中标人不得向对方提出任何不合理的要求，作为签订合同的条件，双方不得私下订立背离合同实质性内容的协议。</w:t>
      </w:r>
    </w:p>
    <w:p w14:paraId="58EEE26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34.4联合体中标的，联合体各方应当共同与采购人签订合同，就采购合同约定的事项向采购人承担连带责任。</w:t>
      </w:r>
    </w:p>
    <w:p w14:paraId="163C0BE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34.5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w:t>
      </w:r>
      <w:r>
        <w:rPr>
          <w:rFonts w:hint="eastAsia" w:ascii="宋体" w:hAnsi="宋体" w:eastAsia="宋体" w:cs="宋体"/>
          <w:color w:val="auto"/>
          <w:spacing w:val="-3"/>
          <w:sz w:val="24"/>
          <w:szCs w:val="24"/>
          <w:highlight w:val="none"/>
        </w:rPr>
        <w:t>件且不得再次分包，否则</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。中标人就采购项目和分包项目</w:t>
      </w:r>
      <w:r>
        <w:rPr>
          <w:rFonts w:hint="eastAsia" w:ascii="宋体" w:hAnsi="宋体" w:eastAsia="宋体" w:cs="宋体"/>
          <w:color w:val="auto"/>
          <w:spacing w:val="-4"/>
          <w:sz w:val="24"/>
          <w:szCs w:val="24"/>
          <w:highlight w:val="none"/>
        </w:rPr>
        <w:t>向采购人负责，分包</w:t>
      </w:r>
      <w:r>
        <w:rPr>
          <w:rFonts w:hint="eastAsia" w:ascii="宋体" w:hAnsi="宋体" w:eastAsia="宋体" w:cs="宋体"/>
          <w:color w:val="auto"/>
          <w:spacing w:val="-1"/>
          <w:sz w:val="24"/>
          <w:szCs w:val="24"/>
          <w:highlight w:val="none"/>
        </w:rPr>
        <w:t>供应商就分包项目承担责任。</w:t>
      </w:r>
      <w:r>
        <w:rPr>
          <w:rFonts w:hint="eastAsia" w:ascii="宋体" w:hAnsi="宋体" w:eastAsia="宋体" w:cs="宋体"/>
          <w:b/>
          <w:bCs/>
          <w:color w:val="auto"/>
          <w:spacing w:val="-1"/>
          <w:sz w:val="24"/>
          <w:szCs w:val="24"/>
          <w:highlight w:val="none"/>
        </w:rPr>
        <w:t>政府采购合同不</w:t>
      </w:r>
      <w:r>
        <w:rPr>
          <w:rFonts w:hint="eastAsia" w:ascii="宋体" w:hAnsi="宋体" w:eastAsia="宋体" w:cs="宋体"/>
          <w:b/>
          <w:bCs/>
          <w:color w:val="auto"/>
          <w:spacing w:val="-2"/>
          <w:sz w:val="24"/>
          <w:szCs w:val="24"/>
          <w:highlight w:val="none"/>
        </w:rPr>
        <w:t>能转包。</w:t>
      </w:r>
    </w:p>
    <w:p w14:paraId="691256E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34.6采购合同履行中，采购人需追加与合同标的相同的货物、工程或者服</w:t>
      </w:r>
      <w:r>
        <w:rPr>
          <w:rFonts w:hint="eastAsia" w:ascii="宋体" w:hAnsi="宋体" w:eastAsia="宋体" w:cs="宋体"/>
          <w:color w:val="auto"/>
          <w:spacing w:val="-3"/>
          <w:sz w:val="24"/>
          <w:szCs w:val="24"/>
          <w:highlight w:val="none"/>
        </w:rPr>
        <w:t>务的，在不改变合同其他条款的前提下，可以与中标人协商签订补充合同，但所</w:t>
      </w:r>
      <w:r>
        <w:rPr>
          <w:rFonts w:hint="eastAsia" w:ascii="宋体" w:hAnsi="宋体" w:eastAsia="宋体" w:cs="宋体"/>
          <w:color w:val="auto"/>
          <w:spacing w:val="-1"/>
          <w:sz w:val="24"/>
          <w:szCs w:val="24"/>
          <w:highlight w:val="none"/>
        </w:rPr>
        <w:t>有补充合同的采购金额不得超过原合同采购金额的百分之十。</w:t>
      </w:r>
    </w:p>
    <w:p w14:paraId="34F6BB9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34.7采购人应于签订合同之日起2个工作日内在政采云平台备案公示。</w:t>
      </w:r>
    </w:p>
    <w:p w14:paraId="3294368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2"/>
        <w:rPr>
          <w:rFonts w:hint="eastAsia" w:ascii="宋体" w:hAnsi="宋体" w:eastAsia="宋体" w:cs="宋体"/>
          <w:color w:val="auto"/>
          <w:sz w:val="24"/>
          <w:szCs w:val="24"/>
          <w:highlight w:val="none"/>
        </w:rPr>
      </w:pPr>
      <w:bookmarkStart w:id="62" w:name="_Toc20023"/>
      <w:bookmarkStart w:id="63" w:name="_Toc5229"/>
      <w:bookmarkStart w:id="64" w:name="_Toc17658"/>
      <w:bookmarkStart w:id="65" w:name="_Toc6241"/>
      <w:bookmarkStart w:id="66" w:name="_Toc29401"/>
      <w:r>
        <w:rPr>
          <w:rFonts w:hint="eastAsia" w:ascii="宋体" w:hAnsi="宋体" w:eastAsia="宋体" w:cs="宋体"/>
          <w:b/>
          <w:bCs/>
          <w:color w:val="auto"/>
          <w:spacing w:val="-5"/>
          <w:sz w:val="24"/>
          <w:szCs w:val="24"/>
          <w:highlight w:val="none"/>
        </w:rPr>
        <w:t>（十）质疑和投诉</w:t>
      </w:r>
      <w:bookmarkEnd w:id="62"/>
      <w:bookmarkEnd w:id="63"/>
      <w:bookmarkEnd w:id="64"/>
      <w:bookmarkEnd w:id="65"/>
      <w:bookmarkEnd w:id="66"/>
    </w:p>
    <w:p w14:paraId="1B948C4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35.质疑</w:t>
      </w:r>
    </w:p>
    <w:p w14:paraId="5DC03E5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35.1供应商认为采购文件、采购过程、中标结果使自己的权益受到损害的，可以在知道或者应知其权益受到损害之日起7个工作日内，以书面形式向采购人、采购代理机构提出质疑，详见“投标人须知前附表”。供应商在法定质疑期内一次性提出针对同一采购程序环节的质疑。</w:t>
      </w:r>
    </w:p>
    <w:p w14:paraId="37050D5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35.2提出质疑的供应商（以下简称质疑供应商）应当是参与所质疑项目采购活动的供应商。</w:t>
      </w:r>
    </w:p>
    <w:p w14:paraId="7999958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35.3潜在供应商已依法获取其可质疑的采购文件的，可以对该文件提出质疑。对采购文件提出质疑的，应当在获取采购文件或者采购文件公告期限届满之日起7个工作日内提出。</w:t>
      </w:r>
    </w:p>
    <w:p w14:paraId="0C9B9A7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35.4供应商提出质疑应当提交质疑函和必要的证明材料。质疑函应当包括下列内容：</w:t>
      </w:r>
    </w:p>
    <w:p w14:paraId="6266D4B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（1）供应商的姓名或者名称、地址、邮编、联系人及联系电话；</w:t>
      </w:r>
    </w:p>
    <w:p w14:paraId="5EDD597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（2）质疑项目的名称、项目编号；</w:t>
      </w:r>
    </w:p>
    <w:p w14:paraId="0D2B244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（3）具体、明确的质疑事项和与质疑事项相关的请求；</w:t>
      </w:r>
    </w:p>
    <w:p w14:paraId="35DAAA4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（4）事实依据；</w:t>
      </w:r>
    </w:p>
    <w:p w14:paraId="223EE84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（5）必要的法律依据；</w:t>
      </w:r>
    </w:p>
    <w:p w14:paraId="29C5404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（6）提出质疑的日期。</w:t>
      </w:r>
    </w:p>
    <w:p w14:paraId="1BF00CE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供应商为自然人的，应当由本人签字；供应商为法人或者其他组织的，应当由法定代表人、主要负责人，或者其授权代表签字或者盖章，并加盖公章。</w:t>
      </w:r>
    </w:p>
    <w:p w14:paraId="0A10993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35.5质疑函不符合上述要求的，采购人或代理机构应书面告知具体事项，质疑人应当按要求进行修改或补充，并在质疑有效期限内提交。</w:t>
      </w:r>
    </w:p>
    <w:p w14:paraId="4557F05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35.6投标人进行虚假和恶意质疑投诉的，采购代理机构将提请有关部门将其列入不良记录名单，在一至三年内禁止参加政府采购活动，并将处理决定在相关政府采购媒体上公布。</w:t>
      </w:r>
    </w:p>
    <w:p w14:paraId="0F84AB6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35.7质疑函应当使用中文，并采用财政部门制定的范本。</w:t>
      </w:r>
    </w:p>
    <w:p w14:paraId="20FBFC7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36.质疑答复</w:t>
      </w:r>
    </w:p>
    <w:p w14:paraId="1996B3C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36.1采购人、采购代理机构不得拒收质疑供应商在法定质疑期内发出的质</w:t>
      </w:r>
      <w:r>
        <w:rPr>
          <w:rFonts w:hint="eastAsia" w:ascii="宋体" w:hAnsi="宋体" w:eastAsia="宋体" w:cs="宋体"/>
          <w:color w:val="auto"/>
          <w:spacing w:val="-4"/>
          <w:sz w:val="24"/>
          <w:szCs w:val="24"/>
          <w:highlight w:val="none"/>
        </w:rPr>
        <w:t>疑函，应当在收到质疑函后7个工作日内作出答复，并以书面形式通知质疑供应</w:t>
      </w:r>
      <w:r>
        <w:rPr>
          <w:rFonts w:hint="eastAsia" w:ascii="宋体" w:hAnsi="宋体" w:eastAsia="宋体" w:cs="宋体"/>
          <w:color w:val="auto"/>
          <w:spacing w:val="-2"/>
          <w:sz w:val="24"/>
          <w:szCs w:val="24"/>
          <w:highlight w:val="none"/>
        </w:rPr>
        <w:t>商和其他有关供应商。</w:t>
      </w:r>
    </w:p>
    <w:p w14:paraId="50EE24F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36.2供应商对评审过程、中标结果提出质疑的，采购人、采购代理机构可</w:t>
      </w:r>
      <w:r>
        <w:rPr>
          <w:rFonts w:hint="eastAsia" w:ascii="宋体" w:hAnsi="宋体" w:eastAsia="宋体" w:cs="宋体"/>
          <w:color w:val="auto"/>
          <w:spacing w:val="-3"/>
          <w:sz w:val="24"/>
          <w:szCs w:val="24"/>
          <w:highlight w:val="none"/>
        </w:rPr>
        <w:t>以组织原评标委员会协助答复质疑。</w:t>
      </w:r>
    </w:p>
    <w:p w14:paraId="5A0B75B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质疑答复应当包括下列内容：</w:t>
      </w:r>
    </w:p>
    <w:p w14:paraId="015E9EA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（1）质疑供应商的姓名或者名称；</w:t>
      </w:r>
    </w:p>
    <w:p w14:paraId="17DBB4E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（2）收到质疑函的日期、质疑项目名称及项目编号；</w:t>
      </w:r>
    </w:p>
    <w:p w14:paraId="5E8DF1E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（3）质疑事项、质疑答复的具体内容、事实依据和法律依据；</w:t>
      </w:r>
    </w:p>
    <w:p w14:paraId="16117BF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（4）告知质疑供应商依法投诉的权利；</w:t>
      </w:r>
    </w:p>
    <w:p w14:paraId="01ABD39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（5）质疑答复人名称；</w:t>
      </w:r>
    </w:p>
    <w:p w14:paraId="3634C48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（6）答复质疑的日期。</w:t>
      </w:r>
    </w:p>
    <w:p w14:paraId="105CC0E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质疑答复的内容不得涉及商业秘密。</w:t>
      </w:r>
    </w:p>
    <w:p w14:paraId="3D2296F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37.投诉</w:t>
      </w:r>
    </w:p>
    <w:p w14:paraId="1D98141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37.1质疑供应商对采购人、采购代理机构的答复不满意，或者采购人、采购代理机构未在规定时间内作出答复的，可以在答复期满</w:t>
      </w:r>
      <w:r>
        <w:rPr>
          <w:rFonts w:hint="eastAsia" w:ascii="宋体" w:hAnsi="宋体" w:eastAsia="宋体" w:cs="宋体"/>
          <w:color w:val="auto"/>
          <w:spacing w:val="-2"/>
          <w:sz w:val="24"/>
          <w:szCs w:val="24"/>
          <w:highlight w:val="none"/>
        </w:rPr>
        <w:t>后15个工作日内向同</w:t>
      </w:r>
      <w:r>
        <w:rPr>
          <w:rFonts w:hint="eastAsia" w:ascii="宋体" w:hAnsi="宋体" w:eastAsia="宋体" w:cs="宋体"/>
          <w:color w:val="auto"/>
          <w:spacing w:val="-1"/>
          <w:sz w:val="24"/>
          <w:szCs w:val="24"/>
          <w:highlight w:val="none"/>
        </w:rPr>
        <w:t>级政府采购监督管理部门提起投诉。</w:t>
      </w:r>
    </w:p>
    <w:p w14:paraId="7A7B65E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37.2投诉人投诉时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应当提交投诉书和必要的证明材料，并按照被投诉采购</w:t>
      </w:r>
      <w:r>
        <w:rPr>
          <w:rFonts w:hint="eastAsia" w:ascii="宋体" w:hAnsi="宋体" w:eastAsia="宋体" w:cs="宋体"/>
          <w:color w:val="auto"/>
          <w:spacing w:val="-3"/>
          <w:sz w:val="24"/>
          <w:szCs w:val="24"/>
          <w:highlight w:val="none"/>
        </w:rPr>
        <w:t>人、采购代理机构（以下简称被投诉人）和与投诉事项有关的供应商数量提供投</w:t>
      </w:r>
      <w:r>
        <w:rPr>
          <w:rFonts w:hint="eastAsia" w:ascii="宋体" w:hAnsi="宋体" w:eastAsia="宋体" w:cs="宋体"/>
          <w:color w:val="auto"/>
          <w:spacing w:val="-1"/>
          <w:sz w:val="24"/>
          <w:szCs w:val="24"/>
          <w:highlight w:val="none"/>
        </w:rPr>
        <w:t>诉书的副本。投诉书应当包括下列内容：</w:t>
      </w:r>
    </w:p>
    <w:p w14:paraId="5ED95A7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（1）投诉人和被投诉人的姓名或者名称、通讯地址、邮编、联系人及联系</w:t>
      </w:r>
      <w:r>
        <w:rPr>
          <w:rFonts w:hint="eastAsia" w:ascii="宋体" w:hAnsi="宋体" w:eastAsia="宋体" w:cs="宋体"/>
          <w:color w:val="auto"/>
          <w:spacing w:val="-13"/>
          <w:sz w:val="24"/>
          <w:szCs w:val="24"/>
          <w:highlight w:val="none"/>
        </w:rPr>
        <w:t>电话；</w:t>
      </w:r>
    </w:p>
    <w:p w14:paraId="5162636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（2）质疑和质疑答复情况说明及相关证明材料；</w:t>
      </w:r>
    </w:p>
    <w:p w14:paraId="0147698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（3）具体、明确的投诉事项和与投诉事项相关的投诉请求；</w:t>
      </w:r>
    </w:p>
    <w:p w14:paraId="66750BB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（4）事实依据；</w:t>
      </w:r>
    </w:p>
    <w:p w14:paraId="47BFAF5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（5）法律依据；</w:t>
      </w:r>
    </w:p>
    <w:p w14:paraId="4D8E5B1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（6）提起投诉的日期。</w:t>
      </w:r>
    </w:p>
    <w:p w14:paraId="4B51E39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投诉人为自然人的，应当由本人签字；投诉人为法人或者</w:t>
      </w:r>
      <w:r>
        <w:rPr>
          <w:rFonts w:hint="eastAsia" w:ascii="宋体" w:hAnsi="宋体" w:eastAsia="宋体" w:cs="宋体"/>
          <w:color w:val="auto"/>
          <w:spacing w:val="-4"/>
          <w:sz w:val="24"/>
          <w:szCs w:val="24"/>
          <w:highlight w:val="none"/>
        </w:rPr>
        <w:t>其他组织的，应当</w:t>
      </w:r>
      <w:r>
        <w:rPr>
          <w:rFonts w:hint="eastAsia" w:ascii="宋体" w:hAnsi="宋体" w:eastAsia="宋体" w:cs="宋体"/>
          <w:color w:val="auto"/>
          <w:spacing w:val="-1"/>
          <w:sz w:val="24"/>
          <w:szCs w:val="24"/>
          <w:highlight w:val="none"/>
        </w:rPr>
        <w:t>由法定代表人、主要负责人，或者其授权代表签字或者盖章</w:t>
      </w:r>
      <w:r>
        <w:rPr>
          <w:rFonts w:hint="eastAsia" w:ascii="宋体" w:hAnsi="宋体" w:eastAsia="宋体" w:cs="宋体"/>
          <w:color w:val="auto"/>
          <w:spacing w:val="-2"/>
          <w:sz w:val="24"/>
          <w:szCs w:val="24"/>
          <w:highlight w:val="none"/>
        </w:rPr>
        <w:t>，并加盖公章。</w:t>
      </w:r>
    </w:p>
    <w:p w14:paraId="7E73039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37.3供应商质疑、投诉应当有明确的请求和必要的证明材料。供应商投诉</w:t>
      </w:r>
      <w:r>
        <w:rPr>
          <w:rFonts w:hint="eastAsia" w:ascii="宋体" w:hAnsi="宋体" w:eastAsia="宋体" w:cs="宋体"/>
          <w:color w:val="auto"/>
          <w:spacing w:val="-2"/>
          <w:sz w:val="24"/>
          <w:szCs w:val="24"/>
          <w:highlight w:val="none"/>
        </w:rPr>
        <w:t>的事项不得超出已质疑事项的范围，但基于质疑答复内容提出的投诉事项除外。</w:t>
      </w:r>
    </w:p>
    <w:p w14:paraId="344DB71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37.4投诉书应当使用中文，并采用财政部门制定的范本。</w:t>
      </w:r>
    </w:p>
    <w:p w14:paraId="51BEAAC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2"/>
        <w:rPr>
          <w:rFonts w:hint="eastAsia" w:ascii="宋体" w:hAnsi="宋体" w:eastAsia="宋体" w:cs="宋体"/>
          <w:color w:val="auto"/>
          <w:sz w:val="24"/>
          <w:szCs w:val="24"/>
          <w:highlight w:val="none"/>
        </w:rPr>
      </w:pPr>
      <w:bookmarkStart w:id="67" w:name="_Toc23793"/>
      <w:bookmarkStart w:id="68" w:name="_Toc15962"/>
      <w:bookmarkStart w:id="69" w:name="_Toc23617"/>
      <w:bookmarkStart w:id="70" w:name="_Toc5174"/>
      <w:bookmarkStart w:id="71" w:name="_Toc10138"/>
      <w:r>
        <w:rPr>
          <w:rFonts w:hint="eastAsia" w:ascii="宋体" w:hAnsi="宋体" w:eastAsia="宋体" w:cs="宋体"/>
          <w:b/>
          <w:bCs/>
          <w:color w:val="auto"/>
          <w:spacing w:val="-4"/>
          <w:sz w:val="24"/>
          <w:szCs w:val="24"/>
          <w:highlight w:val="none"/>
        </w:rPr>
        <w:t>（十一）采购代理服务费</w:t>
      </w:r>
      <w:bookmarkEnd w:id="67"/>
      <w:bookmarkEnd w:id="68"/>
      <w:bookmarkEnd w:id="69"/>
      <w:bookmarkEnd w:id="70"/>
      <w:bookmarkEnd w:id="71"/>
    </w:p>
    <w:p w14:paraId="2CC1AA5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38.收取方式和标准</w:t>
      </w:r>
    </w:p>
    <w:p w14:paraId="3CA2401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38.1采购代理机构按“投标人须知前附表”规定的方式和标准收取采购代理服务费。</w:t>
      </w:r>
    </w:p>
    <w:p w14:paraId="5CFABDF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2"/>
        <w:rPr>
          <w:rFonts w:hint="eastAsia" w:ascii="宋体" w:hAnsi="宋体" w:eastAsia="宋体" w:cs="宋体"/>
          <w:color w:val="auto"/>
          <w:sz w:val="24"/>
          <w:szCs w:val="24"/>
          <w:highlight w:val="none"/>
        </w:rPr>
      </w:pPr>
      <w:bookmarkStart w:id="72" w:name="_Toc21099"/>
      <w:bookmarkStart w:id="73" w:name="_Toc10041"/>
      <w:bookmarkStart w:id="74" w:name="_Toc16635"/>
      <w:bookmarkStart w:id="75" w:name="_Toc7310"/>
      <w:bookmarkStart w:id="76" w:name="_Toc12246"/>
      <w:r>
        <w:rPr>
          <w:rFonts w:hint="eastAsia" w:ascii="宋体" w:hAnsi="宋体" w:eastAsia="宋体" w:cs="宋体"/>
          <w:b/>
          <w:bCs/>
          <w:color w:val="auto"/>
          <w:spacing w:val="-4"/>
          <w:sz w:val="24"/>
          <w:szCs w:val="24"/>
          <w:highlight w:val="none"/>
        </w:rPr>
        <w:t>（十二）无效投标和废标</w:t>
      </w:r>
      <w:bookmarkEnd w:id="72"/>
      <w:bookmarkEnd w:id="73"/>
      <w:bookmarkEnd w:id="74"/>
      <w:bookmarkEnd w:id="75"/>
      <w:bookmarkEnd w:id="76"/>
    </w:p>
    <w:p w14:paraId="1161633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39.无效投标</w:t>
      </w:r>
    </w:p>
    <w:p w14:paraId="7F8AC65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1"/>
          <w:sz w:val="24"/>
          <w:szCs w:val="24"/>
          <w:highlight w:val="none"/>
        </w:rPr>
        <w:t>9.1投标文件存在“第四章 资格审查”、“第五章 评标方法及标准”及本招标文件规定的投标无效情形的，其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763EDB3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40.废标</w:t>
      </w:r>
    </w:p>
    <w:p w14:paraId="0673FD4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40.1在招标采购中出现有“第五章 评标方法及标准”及本招标文件规定的废标情形的，应予</w:t>
      </w:r>
      <w:r>
        <w:rPr>
          <w:rFonts w:hint="eastAsia" w:ascii="宋体" w:hAnsi="宋体" w:eastAsia="宋体" w:cs="宋体"/>
          <w:color w:val="auto"/>
          <w:spacing w:val="-2"/>
          <w:sz w:val="24"/>
          <w:szCs w:val="24"/>
          <w:highlight w:val="none"/>
        </w:rPr>
        <w:t>以</w:t>
      </w:r>
      <w:r>
        <w:rPr>
          <w:rFonts w:hint="eastAsia" w:ascii="宋体" w:hAnsi="宋体" w:eastAsia="宋体" w:cs="宋体"/>
          <w:b/>
          <w:bCs/>
          <w:color w:val="auto"/>
          <w:spacing w:val="-2"/>
          <w:sz w:val="24"/>
          <w:szCs w:val="24"/>
          <w:highlight w:val="none"/>
        </w:rPr>
        <w:t>废标</w:t>
      </w:r>
      <w:r>
        <w:rPr>
          <w:rFonts w:hint="eastAsia" w:ascii="宋体" w:hAnsi="宋体" w:eastAsia="宋体" w:cs="宋体"/>
          <w:color w:val="auto"/>
          <w:spacing w:val="-2"/>
          <w:sz w:val="24"/>
          <w:szCs w:val="24"/>
          <w:highlight w:val="none"/>
        </w:rPr>
        <w:t>。</w:t>
      </w:r>
    </w:p>
    <w:p w14:paraId="5C06BB3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2"/>
        <w:rPr>
          <w:rFonts w:hint="eastAsia" w:ascii="宋体" w:hAnsi="宋体" w:eastAsia="宋体" w:cs="宋体"/>
          <w:color w:val="auto"/>
          <w:sz w:val="24"/>
          <w:szCs w:val="24"/>
          <w:highlight w:val="none"/>
        </w:rPr>
      </w:pPr>
      <w:bookmarkStart w:id="77" w:name="_Toc5356"/>
      <w:bookmarkStart w:id="78" w:name="_Toc19111"/>
      <w:bookmarkStart w:id="79" w:name="_Toc5184"/>
      <w:bookmarkStart w:id="80" w:name="_Toc11470"/>
      <w:bookmarkStart w:id="81" w:name="_Toc22606"/>
      <w:r>
        <w:rPr>
          <w:rFonts w:hint="eastAsia" w:ascii="宋体" w:hAnsi="宋体" w:eastAsia="宋体" w:cs="宋体"/>
          <w:b/>
          <w:bCs/>
          <w:color w:val="auto"/>
          <w:spacing w:val="-3"/>
          <w:sz w:val="24"/>
          <w:szCs w:val="24"/>
          <w:highlight w:val="none"/>
        </w:rPr>
        <w:t>（十三）落实政府采购政策（包括但不限于下列具体政策要求）</w:t>
      </w:r>
      <w:bookmarkEnd w:id="77"/>
      <w:bookmarkEnd w:id="78"/>
      <w:bookmarkEnd w:id="79"/>
      <w:bookmarkEnd w:id="80"/>
      <w:bookmarkEnd w:id="81"/>
    </w:p>
    <w:p w14:paraId="64417CD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2" w:firstLineChars="200"/>
        <w:jc w:val="both"/>
        <w:textAlignment w:val="baseline"/>
        <w:outlineLvl w:val="3"/>
        <w:rPr>
          <w:rFonts w:hint="eastAsia" w:ascii="宋体" w:hAnsi="宋体" w:eastAsia="宋体" w:cs="宋体"/>
          <w:b/>
          <w:bCs/>
          <w:color w:val="auto"/>
          <w:kern w:val="2"/>
          <w:sz w:val="24"/>
          <w:szCs w:val="28"/>
          <w:highlight w:val="none"/>
          <w:lang w:val="en-US" w:eastAsia="zh-CN" w:bidi="ar-SA"/>
        </w:rPr>
      </w:pPr>
      <w:bookmarkStart w:id="82" w:name="_Toc163492876"/>
      <w:r>
        <w:rPr>
          <w:rFonts w:hint="eastAsia" w:ascii="宋体" w:hAnsi="宋体" w:eastAsia="宋体" w:cs="宋体"/>
          <w:b/>
          <w:bCs/>
          <w:color w:val="auto"/>
          <w:kern w:val="2"/>
          <w:sz w:val="24"/>
          <w:szCs w:val="28"/>
          <w:highlight w:val="none"/>
          <w:lang w:val="en-US" w:eastAsia="zh-CN" w:bidi="ar-SA"/>
        </w:rPr>
        <w:t>41.本国产品和进口产品</w:t>
      </w:r>
      <w:bookmarkEnd w:id="82"/>
    </w:p>
    <w:p w14:paraId="7B3B5C7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41.1本国产品标准及支持政策</w:t>
      </w:r>
    </w:p>
    <w:p w14:paraId="42D31EF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624955F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710AA84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41.1.3对国家相关部门后续发布的特定产品清单内的产品，除满足上述条件外，还需同时满足关键组件境内生产、关键工序境内完成等特定要求。</w:t>
      </w:r>
    </w:p>
    <w:p w14:paraId="35525B9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D77D5E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41.1.5供应商对其提供的产品出具《关于符合本国产品标准的声明函》（以下简称《声明函》）或财政部会同有关部门规定的有关证明文件。出具符合要求的《声明函》或有关证明文件的，该产品视为本国产品。</w:t>
      </w:r>
    </w:p>
    <w:p w14:paraId="2924A60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医疗器械产品，取得药品监督管理部门授予的准字号医疗器械注册证的，视为符合本国产品标准。</w:t>
      </w:r>
    </w:p>
    <w:p w14:paraId="2D7C6BC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D9836D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2DD9C7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41.2进口产品</w:t>
      </w:r>
    </w:p>
    <w:p w14:paraId="7784F73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4223276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CN"/>
        </w:rPr>
        <w:t>2.2进口产品指通过中国海关报关验放进入中国境内且产自关境外的产品，包括已经进入中国境内的进口产品。</w:t>
      </w:r>
    </w:p>
    <w:p w14:paraId="76DC548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CN"/>
        </w:rPr>
        <w:t>2.3若采购需求中写明允许采购进口产品，投标人应保证所投产品可履行合法报通关手续进入中国关境内。</w:t>
      </w:r>
    </w:p>
    <w:p w14:paraId="79192BF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CN"/>
        </w:rPr>
        <w:t>2.4若采购需求中未写明允许采购进口产品，如投标人所投产品为进口产品，其投标将被认定为</w:t>
      </w:r>
      <w:r>
        <w:rPr>
          <w:rFonts w:hint="eastAsia" w:ascii="宋体" w:hAnsi="宋体" w:eastAsia="宋体" w:cs="宋体"/>
          <w:b/>
          <w:bCs/>
          <w:color w:val="auto"/>
          <w:spacing w:val="-3"/>
          <w:sz w:val="24"/>
          <w:szCs w:val="24"/>
          <w:highlight w:val="none"/>
          <w:lang w:val="en-US" w:eastAsia="zh-CN"/>
        </w:rPr>
        <w:t>投标无效</w:t>
      </w:r>
      <w:r>
        <w:rPr>
          <w:rFonts w:hint="eastAsia" w:ascii="宋体" w:hAnsi="宋体" w:eastAsia="宋体" w:cs="宋体"/>
          <w:color w:val="auto"/>
          <w:spacing w:val="-3"/>
          <w:sz w:val="24"/>
          <w:szCs w:val="24"/>
          <w:highlight w:val="none"/>
          <w:lang w:val="en-US" w:eastAsia="zh-CN"/>
        </w:rPr>
        <w:t>。</w:t>
      </w:r>
    </w:p>
    <w:p w14:paraId="29F24C6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4"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42.中小企业、监狱企业及残疾人福利性</w:t>
      </w:r>
      <w:r>
        <w:rPr>
          <w:rFonts w:hint="eastAsia" w:ascii="宋体" w:hAnsi="宋体" w:eastAsia="宋体" w:cs="宋体"/>
          <w:b/>
          <w:bCs/>
          <w:color w:val="auto"/>
          <w:spacing w:val="-3"/>
          <w:sz w:val="24"/>
          <w:szCs w:val="24"/>
          <w:highlight w:val="none"/>
        </w:rPr>
        <w:t>单位</w:t>
      </w:r>
    </w:p>
    <w:p w14:paraId="65941E4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42.1中小企业是指在中华人民共和国境内依法设立，依</w:t>
      </w:r>
      <w:r>
        <w:rPr>
          <w:rFonts w:hint="eastAsia" w:ascii="宋体" w:hAnsi="宋体" w:eastAsia="宋体" w:cs="宋体"/>
          <w:color w:val="auto"/>
          <w:spacing w:val="-2"/>
          <w:sz w:val="24"/>
          <w:szCs w:val="24"/>
          <w:highlight w:val="none"/>
        </w:rPr>
        <w:t>据国务院批准的中</w:t>
      </w:r>
      <w:r>
        <w:rPr>
          <w:rFonts w:hint="eastAsia" w:ascii="宋体" w:hAnsi="宋体" w:eastAsia="宋体" w:cs="宋体"/>
          <w:color w:val="auto"/>
          <w:spacing w:val="-3"/>
          <w:sz w:val="24"/>
          <w:szCs w:val="24"/>
          <w:highlight w:val="none"/>
        </w:rPr>
        <w:t>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w:t>
      </w:r>
      <w:r>
        <w:rPr>
          <w:rFonts w:hint="eastAsia" w:ascii="宋体" w:hAnsi="宋体" w:eastAsia="宋体" w:cs="宋体"/>
          <w:color w:val="auto"/>
          <w:spacing w:val="-4"/>
          <w:sz w:val="24"/>
          <w:szCs w:val="24"/>
          <w:highlight w:val="none"/>
        </w:rPr>
        <w:t>小企业</w:t>
      </w:r>
      <w:r>
        <w:rPr>
          <w:rFonts w:hint="eastAsia" w:ascii="宋体" w:hAnsi="宋体" w:eastAsia="宋体" w:cs="宋体"/>
          <w:color w:val="auto"/>
          <w:spacing w:val="-3"/>
          <w:sz w:val="24"/>
          <w:szCs w:val="24"/>
          <w:highlight w:val="none"/>
        </w:rPr>
        <w:t>力度的通知》（财库〔2022〕19号）、《政府采购促进中小企业发展管理</w:t>
      </w:r>
      <w:r>
        <w:rPr>
          <w:rFonts w:hint="eastAsia" w:ascii="宋体" w:hAnsi="宋体" w:eastAsia="宋体" w:cs="宋体"/>
          <w:color w:val="auto"/>
          <w:spacing w:val="-4"/>
          <w:sz w:val="24"/>
          <w:szCs w:val="24"/>
          <w:highlight w:val="none"/>
        </w:rPr>
        <w:t>办法》</w:t>
      </w:r>
      <w:r>
        <w:rPr>
          <w:rFonts w:hint="eastAsia" w:ascii="宋体" w:hAnsi="宋体" w:eastAsia="宋体" w:cs="宋体"/>
          <w:color w:val="auto"/>
          <w:sz w:val="24"/>
          <w:szCs w:val="24"/>
          <w:highlight w:val="none"/>
        </w:rPr>
        <w:t>（财库〔2020〕46号）、《关于印发中小企业划型</w:t>
      </w:r>
      <w:r>
        <w:rPr>
          <w:rFonts w:hint="eastAsia" w:ascii="宋体" w:hAnsi="宋体" w:eastAsia="宋体" w:cs="宋体"/>
          <w:color w:val="auto"/>
          <w:spacing w:val="-1"/>
          <w:sz w:val="24"/>
          <w:szCs w:val="24"/>
          <w:highlight w:val="none"/>
        </w:rPr>
        <w:t>标准规定的通知》（工信部</w:t>
      </w:r>
      <w:r>
        <w:rPr>
          <w:rFonts w:hint="eastAsia" w:ascii="宋体" w:hAnsi="宋体" w:eastAsia="宋体" w:cs="宋体"/>
          <w:color w:val="auto"/>
          <w:spacing w:val="-2"/>
          <w:sz w:val="24"/>
          <w:szCs w:val="24"/>
          <w:highlight w:val="none"/>
        </w:rPr>
        <w:t>联企业〔2011〕300号）、《金融业企业划型</w:t>
      </w:r>
      <w:r>
        <w:rPr>
          <w:rFonts w:hint="eastAsia" w:ascii="宋体" w:hAnsi="宋体" w:eastAsia="宋体" w:cs="宋体"/>
          <w:color w:val="auto"/>
          <w:spacing w:val="-3"/>
          <w:sz w:val="24"/>
          <w:szCs w:val="24"/>
          <w:highlight w:val="none"/>
        </w:rPr>
        <w:t>标准规定》（〔2015〕309号）等</w:t>
      </w:r>
      <w:r>
        <w:rPr>
          <w:rFonts w:hint="eastAsia" w:ascii="宋体" w:hAnsi="宋体" w:eastAsia="宋体" w:cs="宋体"/>
          <w:color w:val="auto"/>
          <w:spacing w:val="-1"/>
          <w:sz w:val="24"/>
          <w:szCs w:val="24"/>
          <w:highlight w:val="none"/>
        </w:rPr>
        <w:t>国务院批准的中小企业划分标准执行。</w:t>
      </w:r>
    </w:p>
    <w:p w14:paraId="5E865A3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42.2为促进中小企业发展，依据《关于印发&lt;政府采购促进中小企业发展管</w:t>
      </w:r>
      <w:r>
        <w:rPr>
          <w:rFonts w:hint="eastAsia" w:ascii="宋体" w:hAnsi="宋体" w:eastAsia="宋体" w:cs="宋体"/>
          <w:color w:val="auto"/>
          <w:sz w:val="24"/>
          <w:szCs w:val="24"/>
          <w:highlight w:val="none"/>
        </w:rPr>
        <w:t>理办法&gt;的通知》（财库〔2020〕46号）、《财政部</w:t>
      </w:r>
      <w:r>
        <w:rPr>
          <w:rFonts w:hint="eastAsia" w:ascii="宋体" w:hAnsi="宋体" w:eastAsia="宋体" w:cs="宋体"/>
          <w:color w:val="auto"/>
          <w:spacing w:val="-1"/>
          <w:sz w:val="24"/>
          <w:szCs w:val="24"/>
          <w:highlight w:val="none"/>
        </w:rPr>
        <w:t>司法部关于政府采购支持</w:t>
      </w:r>
      <w:r>
        <w:rPr>
          <w:rFonts w:hint="eastAsia" w:ascii="宋体" w:hAnsi="宋体" w:eastAsia="宋体" w:cs="宋体"/>
          <w:color w:val="auto"/>
          <w:sz w:val="24"/>
          <w:szCs w:val="24"/>
          <w:highlight w:val="none"/>
        </w:rPr>
        <w:t>监狱企业发展有关问题的通知》（财库〔2014〕68</w:t>
      </w:r>
      <w:r>
        <w:rPr>
          <w:rFonts w:hint="eastAsia" w:ascii="宋体" w:hAnsi="宋体" w:eastAsia="宋体" w:cs="宋体"/>
          <w:color w:val="auto"/>
          <w:spacing w:val="-1"/>
          <w:sz w:val="24"/>
          <w:szCs w:val="24"/>
          <w:highlight w:val="none"/>
        </w:rPr>
        <w:t>号）、《关于促进残疾人就业政府采购政策的通知》（财库〔2017〕141号）的规定，本项目供应商如需享受中小企业相关政策的，且符合上述文件规定的，应按本招标文件规定格式提供“中小企业声明函”或“监狱企业证明文件”或“残疾人福利性单位声明函”，评审时，评标委员会将依据本招标文件“投标人须知前附表”规定的报价扣除比例，对供应商报价进行价格扣除，用扣除后的价格参与评审；招标公告中明确项目专门面向中小企业采购的，“中小企业声明函”为资格要求文件，供应商参与投标须按本招标文件规定格式提供“中小企业声明函”或“监狱企业证明文件”或“残疾人福利性单位声明函”等作为资格证明文件。</w:t>
      </w:r>
    </w:p>
    <w:p w14:paraId="209DC5B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42.3供应商提供的货物、工程或者服务符合下列情形的，享受中小企业扶持政策：</w:t>
      </w:r>
    </w:p>
    <w:p w14:paraId="4A72D84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（1）在货物采购项目中，货物由中小企业制造，即货物由中小企业生产且使用该中小企业商号或者注册商标；</w:t>
      </w:r>
    </w:p>
    <w:p w14:paraId="3E76929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（2）在工程采购项目中，工程由中小企业承建，即工程施工单位为中小企</w:t>
      </w:r>
      <w:r>
        <w:rPr>
          <w:rFonts w:hint="eastAsia" w:ascii="宋体" w:hAnsi="宋体" w:eastAsia="宋体" w:cs="宋体"/>
          <w:color w:val="auto"/>
          <w:spacing w:val="-5"/>
          <w:sz w:val="24"/>
          <w:szCs w:val="24"/>
          <w:highlight w:val="none"/>
        </w:rPr>
        <w:t>业；</w:t>
      </w:r>
    </w:p>
    <w:p w14:paraId="51CBC1A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（3）在服务采购项目中，服务由中小企业承接，即提供服务的人员为中小企业依照《中华人民共和国劳动合同法》订立劳动合同的从业人员。</w:t>
      </w:r>
    </w:p>
    <w:p w14:paraId="6A7C147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42.4在服务采购项目中，供应商提供的服务既有中</w:t>
      </w:r>
      <w:r>
        <w:rPr>
          <w:rFonts w:hint="eastAsia" w:ascii="宋体" w:hAnsi="宋体" w:eastAsia="宋体" w:cs="宋体"/>
          <w:color w:val="auto"/>
          <w:spacing w:val="-1"/>
          <w:sz w:val="24"/>
          <w:szCs w:val="24"/>
          <w:highlight w:val="none"/>
        </w:rPr>
        <w:t>小企业承接，也有大型企业承接的，不享受中小企业扶持政策。</w:t>
      </w:r>
    </w:p>
    <w:p w14:paraId="1EA75DE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42.5以联合体形式参加政府采购活动，联合体</w:t>
      </w:r>
      <w:r>
        <w:rPr>
          <w:rFonts w:hint="eastAsia" w:ascii="宋体" w:hAnsi="宋体" w:eastAsia="宋体" w:cs="宋体"/>
          <w:color w:val="auto"/>
          <w:spacing w:val="-2"/>
          <w:sz w:val="24"/>
          <w:szCs w:val="24"/>
          <w:highlight w:val="none"/>
        </w:rPr>
        <w:t>各方均为中小企业的，联合</w:t>
      </w:r>
      <w:r>
        <w:rPr>
          <w:rFonts w:hint="eastAsia" w:ascii="宋体" w:hAnsi="宋体" w:eastAsia="宋体" w:cs="宋体"/>
          <w:color w:val="auto"/>
          <w:sz w:val="24"/>
          <w:szCs w:val="24"/>
          <w:highlight w:val="none"/>
        </w:rPr>
        <w:t>体视同中小企业。其中，联合体各方均为小微企业的</w:t>
      </w:r>
      <w:r>
        <w:rPr>
          <w:rFonts w:hint="eastAsia" w:ascii="宋体" w:hAnsi="宋体" w:eastAsia="宋体" w:cs="宋体"/>
          <w:color w:val="auto"/>
          <w:spacing w:val="-1"/>
          <w:sz w:val="24"/>
          <w:szCs w:val="24"/>
          <w:highlight w:val="none"/>
        </w:rPr>
        <w:t>，联合体视同小微企业。</w:t>
      </w:r>
    </w:p>
    <w:p w14:paraId="2FD64F6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42.6在政府采购活动中，监狱企业视同小型、微型企业，享受预留份额、</w:t>
      </w:r>
      <w:r>
        <w:rPr>
          <w:rFonts w:hint="eastAsia" w:ascii="宋体" w:hAnsi="宋体" w:eastAsia="宋体" w:cs="宋体"/>
          <w:color w:val="auto"/>
          <w:spacing w:val="-1"/>
          <w:sz w:val="24"/>
          <w:szCs w:val="24"/>
          <w:highlight w:val="none"/>
        </w:rPr>
        <w:t>评审中价格扣除等政府采购促进中小企业发展的政府采购政策。监狱</w:t>
      </w:r>
      <w:r>
        <w:rPr>
          <w:rFonts w:hint="eastAsia" w:ascii="宋体" w:hAnsi="宋体" w:eastAsia="宋体" w:cs="宋体"/>
          <w:color w:val="auto"/>
          <w:spacing w:val="-2"/>
          <w:sz w:val="24"/>
          <w:szCs w:val="24"/>
          <w:highlight w:val="none"/>
        </w:rPr>
        <w:t>企业定义：</w:t>
      </w:r>
      <w:r>
        <w:rPr>
          <w:rFonts w:hint="eastAsia" w:ascii="宋体" w:hAnsi="宋体" w:eastAsia="宋体" w:cs="宋体"/>
          <w:color w:val="auto"/>
          <w:spacing w:val="-3"/>
          <w:sz w:val="24"/>
          <w:szCs w:val="24"/>
          <w:highlight w:val="none"/>
        </w:rPr>
        <w:t>是指由司法部认定的为罪犯、戒毒人员提供生产项目和劳动对象，且全部产权属于司法部监狱管理局、戒毒管理局、直属煤矿管理局，各省、自治区、直辖市监</w:t>
      </w:r>
      <w:r>
        <w:rPr>
          <w:rFonts w:hint="eastAsia" w:ascii="宋体" w:hAnsi="宋体" w:eastAsia="宋体" w:cs="宋体"/>
          <w:color w:val="auto"/>
          <w:spacing w:val="-8"/>
          <w:sz w:val="24"/>
          <w:szCs w:val="24"/>
          <w:highlight w:val="none"/>
        </w:rPr>
        <w:t>狱管理局、戒毒管理局，各地（设区的市）监狱、强制隔离戒毒所、戒毒康复所，</w:t>
      </w:r>
      <w:r>
        <w:rPr>
          <w:rFonts w:hint="eastAsia" w:ascii="宋体" w:hAnsi="宋体" w:eastAsia="宋体" w:cs="宋体"/>
          <w:color w:val="auto"/>
          <w:spacing w:val="-1"/>
          <w:sz w:val="24"/>
          <w:szCs w:val="24"/>
          <w:highlight w:val="none"/>
        </w:rPr>
        <w:t>以及新疆生产建设兵团监狱管理局、戒毒管理局的企业。</w:t>
      </w:r>
    </w:p>
    <w:p w14:paraId="6D545EB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42.7在政府采购活动中，残疾人福利性单位视同小</w:t>
      </w:r>
      <w:r>
        <w:rPr>
          <w:rFonts w:hint="eastAsia" w:ascii="宋体" w:hAnsi="宋体" w:eastAsia="宋体" w:cs="宋体"/>
          <w:color w:val="auto"/>
          <w:spacing w:val="-1"/>
          <w:sz w:val="24"/>
          <w:szCs w:val="24"/>
          <w:highlight w:val="none"/>
        </w:rPr>
        <w:t>型、微型企业，享受预</w:t>
      </w:r>
      <w:r>
        <w:rPr>
          <w:rFonts w:hint="eastAsia" w:ascii="宋体" w:hAnsi="宋体" w:eastAsia="宋体" w:cs="宋体"/>
          <w:color w:val="auto"/>
          <w:spacing w:val="-3"/>
          <w:sz w:val="24"/>
          <w:szCs w:val="24"/>
          <w:highlight w:val="none"/>
        </w:rPr>
        <w:t>留份额、评审中价格扣除等促进中小企业发展的政府采购政策。残疾人福利性单</w:t>
      </w:r>
      <w:r>
        <w:rPr>
          <w:rFonts w:hint="eastAsia" w:ascii="宋体" w:hAnsi="宋体" w:eastAsia="宋体" w:cs="宋体"/>
          <w:color w:val="auto"/>
          <w:sz w:val="24"/>
          <w:szCs w:val="24"/>
          <w:highlight w:val="none"/>
        </w:rPr>
        <w:t>位定义：享受政府采购支持政策的残疾人福利性单位</w:t>
      </w:r>
      <w:r>
        <w:rPr>
          <w:rFonts w:hint="eastAsia" w:ascii="宋体" w:hAnsi="宋体" w:eastAsia="宋体" w:cs="宋体"/>
          <w:color w:val="auto"/>
          <w:spacing w:val="-1"/>
          <w:sz w:val="24"/>
          <w:szCs w:val="24"/>
          <w:highlight w:val="none"/>
        </w:rPr>
        <w:t>应当同时满足以下条件：</w:t>
      </w:r>
    </w:p>
    <w:p w14:paraId="2280303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42.7.1安置的残疾人占本单位在职职工人数的比例不低于25%（含25%</w:t>
      </w:r>
      <w:r>
        <w:rPr>
          <w:rFonts w:hint="eastAsia" w:ascii="宋体" w:hAnsi="宋体" w:eastAsia="宋体" w:cs="宋体"/>
          <w:color w:val="auto"/>
          <w:spacing w:val="-57"/>
          <w:w w:val="90"/>
          <w:sz w:val="24"/>
          <w:szCs w:val="24"/>
          <w:highlight w:val="none"/>
        </w:rPr>
        <w:t>），</w:t>
      </w:r>
      <w:r>
        <w:rPr>
          <w:rFonts w:hint="eastAsia" w:ascii="宋体" w:hAnsi="宋体" w:eastAsia="宋体" w:cs="宋体"/>
          <w:color w:val="auto"/>
          <w:spacing w:val="-3"/>
          <w:sz w:val="24"/>
          <w:szCs w:val="24"/>
          <w:highlight w:val="none"/>
        </w:rPr>
        <w:t>并且安置的残疾人人数不少于10人（含10人</w:t>
      </w:r>
      <w:r>
        <w:rPr>
          <w:rFonts w:hint="eastAsia" w:ascii="宋体" w:hAnsi="宋体" w:eastAsia="宋体" w:cs="宋体"/>
          <w:color w:val="auto"/>
          <w:sz w:val="24"/>
          <w:szCs w:val="24"/>
          <w:highlight w:val="none"/>
        </w:rPr>
        <w:t>）；</w:t>
      </w:r>
    </w:p>
    <w:p w14:paraId="7421F25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42.7.2依法与安置的每位残疾人签订了1年</w:t>
      </w:r>
      <w:r>
        <w:rPr>
          <w:rFonts w:hint="eastAsia" w:ascii="宋体" w:hAnsi="宋体" w:eastAsia="宋体" w:cs="宋体"/>
          <w:color w:val="auto"/>
          <w:spacing w:val="-3"/>
          <w:sz w:val="24"/>
          <w:szCs w:val="24"/>
          <w:highlight w:val="none"/>
        </w:rPr>
        <w:t>以上（含1年）的劳动合同或</w:t>
      </w:r>
      <w:r>
        <w:rPr>
          <w:rFonts w:hint="eastAsia" w:ascii="宋体" w:hAnsi="宋体" w:eastAsia="宋体" w:cs="宋体"/>
          <w:color w:val="auto"/>
          <w:spacing w:val="-2"/>
          <w:sz w:val="24"/>
          <w:szCs w:val="24"/>
          <w:highlight w:val="none"/>
        </w:rPr>
        <w:t>服务协议；</w:t>
      </w:r>
    </w:p>
    <w:p w14:paraId="243DD87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42.7.3为安置的每位残疾人按月足额缴纳了基本养老保险、基本医疗保险、</w:t>
      </w:r>
      <w:r>
        <w:rPr>
          <w:rFonts w:hint="eastAsia" w:ascii="宋体" w:hAnsi="宋体" w:eastAsia="宋体" w:cs="宋体"/>
          <w:color w:val="auto"/>
          <w:spacing w:val="-1"/>
          <w:sz w:val="24"/>
          <w:szCs w:val="24"/>
          <w:highlight w:val="none"/>
        </w:rPr>
        <w:t>失业保险、工伤保险和生育保险等社会保险费；</w:t>
      </w:r>
    </w:p>
    <w:p w14:paraId="685F4E7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42.7.4通过银行等金融机构向安置的每位残疾人，</w:t>
      </w:r>
      <w:r>
        <w:rPr>
          <w:rFonts w:hint="eastAsia" w:ascii="宋体" w:hAnsi="宋体" w:eastAsia="宋体" w:cs="宋体"/>
          <w:color w:val="auto"/>
          <w:spacing w:val="-1"/>
          <w:sz w:val="24"/>
          <w:szCs w:val="24"/>
          <w:highlight w:val="none"/>
        </w:rPr>
        <w:t>按月支付了不低于单位所在区县适用的经省级人民政府批准的月最低工资标准的工资；</w:t>
      </w:r>
    </w:p>
    <w:p w14:paraId="539B366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42.7.5提供本单位制造的货物、承担的工程或</w:t>
      </w:r>
      <w:r>
        <w:rPr>
          <w:rFonts w:hint="eastAsia" w:ascii="宋体" w:hAnsi="宋体" w:eastAsia="宋体" w:cs="宋体"/>
          <w:color w:val="auto"/>
          <w:spacing w:val="-1"/>
          <w:sz w:val="24"/>
          <w:szCs w:val="24"/>
          <w:highlight w:val="none"/>
        </w:rPr>
        <w:t>者服务（以下简称产品</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或者提供其他残疾人福利性单位制造的货物（不包括使用非残疾人福利性单位注</w:t>
      </w:r>
      <w:r>
        <w:rPr>
          <w:rFonts w:hint="eastAsia" w:ascii="宋体" w:hAnsi="宋体" w:eastAsia="宋体" w:cs="宋体"/>
          <w:color w:val="auto"/>
          <w:spacing w:val="-2"/>
          <w:sz w:val="24"/>
          <w:szCs w:val="24"/>
          <w:highlight w:val="none"/>
        </w:rPr>
        <w:t>册商标的货物</w:t>
      </w:r>
      <w:r>
        <w:rPr>
          <w:rFonts w:hint="eastAsia" w:ascii="宋体" w:hAnsi="宋体" w:eastAsia="宋体" w:cs="宋体"/>
          <w:color w:val="auto"/>
          <w:sz w:val="24"/>
          <w:szCs w:val="24"/>
          <w:highlight w:val="none"/>
        </w:rPr>
        <w:t>）；</w:t>
      </w:r>
    </w:p>
    <w:p w14:paraId="1B0B11D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42.7.6前款所称残疾人是指法定劳动年龄内，持有</w:t>
      </w:r>
      <w:r>
        <w:rPr>
          <w:rFonts w:hint="eastAsia" w:ascii="宋体" w:hAnsi="宋体" w:eastAsia="宋体" w:cs="宋体"/>
          <w:color w:val="auto"/>
          <w:spacing w:val="-1"/>
          <w:sz w:val="24"/>
          <w:szCs w:val="24"/>
          <w:highlight w:val="none"/>
        </w:rPr>
        <w:t>《中华人民共和国残疾</w:t>
      </w:r>
      <w:r>
        <w:rPr>
          <w:rFonts w:hint="eastAsia" w:ascii="宋体" w:hAnsi="宋体" w:eastAsia="宋体" w:cs="宋体"/>
          <w:color w:val="auto"/>
          <w:sz w:val="24"/>
          <w:szCs w:val="24"/>
          <w:highlight w:val="none"/>
        </w:rPr>
        <w:t>人证》或者《中华人民共和国残疾军人证（1至8</w:t>
      </w:r>
      <w:r>
        <w:rPr>
          <w:rFonts w:hint="eastAsia" w:ascii="宋体" w:hAnsi="宋体" w:eastAsia="宋体" w:cs="宋体"/>
          <w:color w:val="auto"/>
          <w:spacing w:val="-1"/>
          <w:sz w:val="24"/>
          <w:szCs w:val="24"/>
          <w:highlight w:val="none"/>
        </w:rPr>
        <w:t>级）》的自然人，包括具有</w:t>
      </w:r>
      <w:r>
        <w:rPr>
          <w:rFonts w:hint="eastAsia" w:ascii="宋体" w:hAnsi="宋体" w:eastAsia="宋体" w:cs="宋体"/>
          <w:color w:val="auto"/>
          <w:spacing w:val="-3"/>
          <w:sz w:val="24"/>
          <w:szCs w:val="24"/>
          <w:highlight w:val="none"/>
        </w:rPr>
        <w:t>劳动条件和劳动意愿的精神残疾人。在职职工人数是指与残疾人福利性单位建立</w:t>
      </w:r>
      <w:r>
        <w:rPr>
          <w:rFonts w:hint="eastAsia" w:ascii="宋体" w:hAnsi="宋体" w:eastAsia="宋体" w:cs="宋体"/>
          <w:color w:val="auto"/>
          <w:spacing w:val="-1"/>
          <w:sz w:val="24"/>
          <w:szCs w:val="24"/>
          <w:highlight w:val="none"/>
        </w:rPr>
        <w:t>劳动关系并依法签订劳动合同或服务协议的雇员人数。</w:t>
      </w:r>
    </w:p>
    <w:p w14:paraId="5271028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42.8本项目是否专门面向中小企业预留采购份额见“</w:t>
      </w:r>
      <w:r>
        <w:rPr>
          <w:rFonts w:hint="eastAsia" w:ascii="宋体" w:hAnsi="宋体" w:eastAsia="宋体" w:cs="宋体"/>
          <w:color w:val="auto"/>
          <w:spacing w:val="-1"/>
          <w:sz w:val="24"/>
          <w:szCs w:val="24"/>
          <w:highlight w:val="none"/>
          <w:lang w:eastAsia="zh-CN"/>
        </w:rPr>
        <w:t>第一章 投标邀请</w:t>
      </w:r>
      <w:r>
        <w:rPr>
          <w:rFonts w:hint="eastAsia" w:ascii="宋体" w:hAnsi="宋体" w:eastAsia="宋体" w:cs="宋体"/>
          <w:color w:val="auto"/>
          <w:spacing w:val="-1"/>
          <w:sz w:val="24"/>
          <w:szCs w:val="24"/>
          <w:highlight w:val="none"/>
        </w:rPr>
        <w:t>”。</w:t>
      </w:r>
    </w:p>
    <w:p w14:paraId="756636A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42.9采购标的对应的中小企业划分标准所属行业见“投标人须知前附表”。</w:t>
      </w:r>
    </w:p>
    <w:p w14:paraId="2032752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42.10小微企业价格评审优惠的政策调整：见“投标人须知前附表”及“第五章 评标方法及标准”。</w:t>
      </w:r>
    </w:p>
    <w:p w14:paraId="73BB2A2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43.政府采购节能产品、环境标志产品</w:t>
      </w:r>
    </w:p>
    <w:p w14:paraId="1796267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43.1政府采购节能产品、环境标志产品实施品目清</w:t>
      </w:r>
      <w:r>
        <w:rPr>
          <w:rFonts w:hint="eastAsia" w:ascii="宋体" w:hAnsi="宋体" w:eastAsia="宋体" w:cs="宋体"/>
          <w:color w:val="auto"/>
          <w:spacing w:val="-1"/>
          <w:sz w:val="24"/>
          <w:szCs w:val="24"/>
          <w:highlight w:val="none"/>
        </w:rPr>
        <w:t>单管理。财政部、发展</w:t>
      </w:r>
      <w:r>
        <w:rPr>
          <w:rFonts w:hint="eastAsia" w:ascii="宋体" w:hAnsi="宋体" w:eastAsia="宋体" w:cs="宋体"/>
          <w:color w:val="auto"/>
          <w:spacing w:val="-3"/>
          <w:sz w:val="24"/>
          <w:szCs w:val="24"/>
          <w:highlight w:val="none"/>
        </w:rPr>
        <w:t>改革委、生态环境部等部门根据产品节能环保性能、技术水平和市场成熟程度等</w:t>
      </w:r>
      <w:r>
        <w:rPr>
          <w:rFonts w:hint="eastAsia" w:ascii="宋体" w:hAnsi="宋体" w:eastAsia="宋体" w:cs="宋体"/>
          <w:color w:val="auto"/>
          <w:spacing w:val="-1"/>
          <w:sz w:val="24"/>
          <w:szCs w:val="24"/>
          <w:highlight w:val="none"/>
        </w:rPr>
        <w:t>因素，确定实施政府优先采购和强制采购的产品类别及所依据的相关标准规范，</w:t>
      </w:r>
      <w:r>
        <w:rPr>
          <w:rFonts w:hint="eastAsia" w:ascii="宋体" w:hAnsi="宋体" w:eastAsia="宋体" w:cs="宋体"/>
          <w:color w:val="auto"/>
          <w:spacing w:val="-3"/>
          <w:sz w:val="24"/>
          <w:szCs w:val="24"/>
          <w:highlight w:val="none"/>
        </w:rPr>
        <w:t>以品目清单的形式发布并适时调整。依据品目清单和认证证书实施政府优先采购和强制采购。关于政府采购节能产品、环境标志产品的相关规定依据《关于调整</w:t>
      </w:r>
      <w:r>
        <w:rPr>
          <w:rFonts w:hint="eastAsia" w:ascii="宋体" w:hAnsi="宋体" w:eastAsia="宋体" w:cs="宋体"/>
          <w:color w:val="auto"/>
          <w:spacing w:val="-7"/>
          <w:sz w:val="24"/>
          <w:szCs w:val="24"/>
          <w:highlight w:val="none"/>
        </w:rPr>
        <w:t>优化节能产品、环境标志产品政府采购执行机制的通知》（财库〔2019〕9号）、</w:t>
      </w:r>
      <w:r>
        <w:rPr>
          <w:rFonts w:hint="eastAsia" w:ascii="宋体" w:hAnsi="宋体" w:eastAsia="宋体" w:cs="宋体"/>
          <w:color w:val="auto"/>
          <w:spacing w:val="-1"/>
          <w:sz w:val="24"/>
          <w:szCs w:val="24"/>
          <w:highlight w:val="none"/>
        </w:rPr>
        <w:t>《关于印发环境标志产品政府采购品目清单的通知》（财库〔2019〕18号）、</w:t>
      </w:r>
      <w:r>
        <w:rPr>
          <w:rFonts w:hint="eastAsia" w:ascii="宋体" w:hAnsi="宋体" w:eastAsia="宋体" w:cs="宋体"/>
          <w:color w:val="auto"/>
          <w:spacing w:val="-3"/>
          <w:sz w:val="24"/>
          <w:szCs w:val="24"/>
          <w:highlight w:val="none"/>
        </w:rPr>
        <w:t>《关于印发节能产品政府采购品目清单的通知》（财库〔2019〕19号）的规定。</w:t>
      </w:r>
    </w:p>
    <w:p w14:paraId="36F1B36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43.2采购人拟采购的产品属于品目清单范围的，采</w:t>
      </w:r>
      <w:r>
        <w:rPr>
          <w:rFonts w:hint="eastAsia" w:ascii="宋体" w:hAnsi="宋体" w:eastAsia="宋体" w:cs="宋体"/>
          <w:color w:val="auto"/>
          <w:spacing w:val="-1"/>
          <w:sz w:val="24"/>
          <w:szCs w:val="24"/>
          <w:highlight w:val="none"/>
        </w:rPr>
        <w:t>购人及其委托的采购代</w:t>
      </w:r>
      <w:r>
        <w:rPr>
          <w:rFonts w:hint="eastAsia" w:ascii="宋体" w:hAnsi="宋体" w:eastAsia="宋体" w:cs="宋体"/>
          <w:color w:val="auto"/>
          <w:spacing w:val="-3"/>
          <w:sz w:val="24"/>
          <w:szCs w:val="24"/>
          <w:highlight w:val="none"/>
        </w:rPr>
        <w:t>理机构依据国家确定的认证机构出具的、处于有效期之内的节能产品、环境标志</w:t>
      </w:r>
      <w:r>
        <w:rPr>
          <w:rFonts w:hint="eastAsia" w:ascii="宋体" w:hAnsi="宋体" w:eastAsia="宋体" w:cs="宋体"/>
          <w:color w:val="auto"/>
          <w:spacing w:val="-1"/>
          <w:sz w:val="24"/>
          <w:szCs w:val="24"/>
          <w:highlight w:val="none"/>
        </w:rPr>
        <w:t>产品认证证书，对获得证书的产品实施政府优先采购或强制采购。</w:t>
      </w:r>
    </w:p>
    <w:p w14:paraId="4059907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43.3如本项目采购产品属于实施政府强制采购品目清单范围的节能产品，</w:t>
      </w:r>
      <w:r>
        <w:rPr>
          <w:rFonts w:hint="eastAsia" w:ascii="宋体" w:hAnsi="宋体" w:eastAsia="宋体" w:cs="宋体"/>
          <w:color w:val="auto"/>
          <w:spacing w:val="-3"/>
          <w:sz w:val="24"/>
          <w:szCs w:val="24"/>
          <w:highlight w:val="none"/>
        </w:rPr>
        <w:t>则投标人所报产品必须获得国家确定的认证机构出具的、处于有效期之</w:t>
      </w:r>
      <w:r>
        <w:rPr>
          <w:rFonts w:hint="eastAsia" w:ascii="宋体" w:hAnsi="宋体" w:eastAsia="宋体" w:cs="宋体"/>
          <w:color w:val="auto"/>
          <w:spacing w:val="-4"/>
          <w:sz w:val="24"/>
          <w:szCs w:val="24"/>
          <w:highlight w:val="none"/>
        </w:rPr>
        <w:t>内的节能</w:t>
      </w:r>
      <w:r>
        <w:rPr>
          <w:rFonts w:hint="eastAsia" w:ascii="宋体" w:hAnsi="宋体" w:eastAsia="宋体" w:cs="宋体"/>
          <w:color w:val="auto"/>
          <w:spacing w:val="-2"/>
          <w:sz w:val="24"/>
          <w:szCs w:val="24"/>
          <w:highlight w:val="none"/>
        </w:rPr>
        <w:t>产品认证证书，否则</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5D9A267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43.4非政府强制采购的节能产品或环境标志产品，依据品目清单和认证证书实施政府优先采购。优先采购的具体规定见“第五章 评标方法及标准”（如涉及）。</w:t>
      </w:r>
    </w:p>
    <w:p w14:paraId="0369B78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43.5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价格评审优惠，未提供认证证书的视为</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。属于优先采购节能产品政府采购品目</w:t>
      </w:r>
      <w:r>
        <w:rPr>
          <w:rFonts w:hint="eastAsia" w:ascii="宋体" w:hAnsi="宋体" w:eastAsia="宋体" w:cs="宋体"/>
          <w:color w:val="auto"/>
          <w:spacing w:val="-4"/>
          <w:sz w:val="24"/>
          <w:szCs w:val="24"/>
          <w:highlight w:val="none"/>
        </w:rPr>
        <w:t>清单、环境标志产品</w:t>
      </w:r>
      <w:r>
        <w:rPr>
          <w:rFonts w:hint="eastAsia" w:ascii="宋体" w:hAnsi="宋体" w:eastAsia="宋体" w:cs="宋体"/>
          <w:color w:val="auto"/>
          <w:spacing w:val="-1"/>
          <w:sz w:val="24"/>
          <w:szCs w:val="24"/>
          <w:highlight w:val="none"/>
        </w:rPr>
        <w:t>政府采购品目清单、创新产品范围的，按照“第五章 评标方法</w:t>
      </w:r>
      <w:r>
        <w:rPr>
          <w:rFonts w:hint="eastAsia" w:ascii="宋体" w:hAnsi="宋体" w:eastAsia="宋体" w:cs="宋体"/>
          <w:color w:val="auto"/>
          <w:spacing w:val="-2"/>
          <w:sz w:val="24"/>
          <w:szCs w:val="24"/>
          <w:highlight w:val="none"/>
        </w:rPr>
        <w:t>及标准”中相关</w:t>
      </w:r>
      <w:r>
        <w:rPr>
          <w:rFonts w:hint="eastAsia" w:ascii="宋体" w:hAnsi="宋体" w:eastAsia="宋体" w:cs="宋体"/>
          <w:color w:val="auto"/>
          <w:spacing w:val="-1"/>
          <w:sz w:val="24"/>
          <w:szCs w:val="24"/>
          <w:highlight w:val="none"/>
        </w:rPr>
        <w:t>规定在评审时给予价格评审优惠，具体详见“投标人须知前</w:t>
      </w:r>
      <w:r>
        <w:rPr>
          <w:rFonts w:hint="eastAsia" w:ascii="宋体" w:hAnsi="宋体" w:eastAsia="宋体" w:cs="宋体"/>
          <w:color w:val="auto"/>
          <w:spacing w:val="-2"/>
          <w:sz w:val="24"/>
          <w:szCs w:val="24"/>
          <w:highlight w:val="none"/>
        </w:rPr>
        <w:t>附表”及“第五章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评标方法及标准”。</w:t>
      </w:r>
    </w:p>
    <w:p w14:paraId="6832EA3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default" w:ascii="宋体" w:hAnsi="宋体" w:eastAsia="宋体" w:cs="宋体"/>
          <w:b/>
          <w:bCs/>
          <w:color w:val="auto"/>
          <w:spacing w:val="-3"/>
          <w:sz w:val="24"/>
          <w:szCs w:val="24"/>
          <w:highlight w:val="none"/>
          <w:lang w:val="en-US" w:eastAsia="zh-CN"/>
        </w:rPr>
      </w:pPr>
      <w:bookmarkStart w:id="83" w:name="_Toc163492879"/>
      <w:r>
        <w:rPr>
          <w:rFonts w:hint="eastAsia" w:ascii="宋体" w:hAnsi="宋体" w:eastAsia="宋体" w:cs="宋体"/>
          <w:b/>
          <w:bCs/>
          <w:color w:val="auto"/>
          <w:spacing w:val="-3"/>
          <w:sz w:val="24"/>
          <w:szCs w:val="24"/>
          <w:highlight w:val="none"/>
          <w:lang w:val="en-US" w:eastAsia="zh-CN"/>
        </w:rPr>
        <w:t>44.正版软件</w:t>
      </w:r>
    </w:p>
    <w:p w14:paraId="09D1879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国务院办公厅关于印发政府机关使用正版软件管理办法的通知》国办发〔2013〕88号。</w:t>
      </w:r>
    </w:p>
    <w:p w14:paraId="254AB1E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default"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45.网络安全专用产品</w:t>
      </w:r>
    </w:p>
    <w:p w14:paraId="72C5201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45.1本项目中如涉及网络关键设备或网络安全专用产品的，应严格执行国家互联网信息办公室、工业和信息化部、公安部、财政部和国家认证认可监督管理委员会2023年第1号《关于调整网络安全专用产品安全管理有关事项的公告》及国家互联网信息办公室、工业和信息化部、公安部和国家认证认可监督管理委员会2023年第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ACA5E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45.2本项目中如涉及国家强制性产品认证证书（CCC认证证书）、电信设备进网许可证、无线电发射设备核准证等市场准入类资质的，应严格执行国家相关法律法规的要求。采购人、中标（成交）人双方签订合同及验收环节，应包含上述市场准入类资质要求的条款。</w:t>
      </w:r>
    </w:p>
    <w:p w14:paraId="7BD0E7B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default"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46.采购需求标准</w:t>
      </w:r>
    </w:p>
    <w:p w14:paraId="4D07AFA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46.1商品包装、快递包装政府采购需求标准（试行）</w:t>
      </w:r>
    </w:p>
    <w:p w14:paraId="03B7712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三章《采购需求》。</w:t>
      </w:r>
    </w:p>
    <w:p w14:paraId="193C33C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46.2绿色数据中心政府采购需求标准（试行）</w:t>
      </w:r>
    </w:p>
    <w:p w14:paraId="4F0FD8F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为加快数据中心绿色转型，根据财政部 生态环境部 工业和信息化部关于印发《绿色数据中心政府采购需求标准（试行）》的通知（财库〔2023〕7号），本项目如涉及绿色数据中心，则具体要求见第三章《采购需求》。</w:t>
      </w:r>
    </w:p>
    <w:p w14:paraId="5DB5F4F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46.3台式计算机政府采购需求标准</w:t>
      </w:r>
    </w:p>
    <w:p w14:paraId="1DF0838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7112234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46.4便携式计算机政府采购需求标准</w:t>
      </w:r>
    </w:p>
    <w:p w14:paraId="7C06305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10514D2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46.5一体式计算机政府采购需求标准</w:t>
      </w:r>
    </w:p>
    <w:p w14:paraId="1F740D0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5772D60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46.6工作站政府采购需求标准</w:t>
      </w:r>
    </w:p>
    <w:p w14:paraId="157DDC7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790F813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46.7通用服务器政府采购需求标准</w:t>
      </w:r>
    </w:p>
    <w:p w14:paraId="5BD637E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729779B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46.8操作系统政府采购需求标准</w:t>
      </w:r>
    </w:p>
    <w:p w14:paraId="7466EAF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39717FD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46.9数据库政府采购需求标准</w:t>
      </w:r>
    </w:p>
    <w:p w14:paraId="6B3BB9C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009FA6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46.10物业管理服务政府采购需求标准（办公场所类）（试行）</w:t>
      </w:r>
    </w:p>
    <w:p w14:paraId="1B1E8D5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B451A6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2"/>
        <w:rPr>
          <w:rFonts w:hint="eastAsia" w:ascii="宋体" w:hAnsi="宋体" w:eastAsia="宋体" w:cs="宋体"/>
          <w:b/>
          <w:bCs/>
          <w:color w:val="auto"/>
          <w:spacing w:val="-3"/>
          <w:sz w:val="24"/>
          <w:szCs w:val="24"/>
          <w:highlight w:val="none"/>
          <w:lang w:val="en-US" w:eastAsia="zh-CN"/>
        </w:rPr>
      </w:pPr>
      <w:bookmarkStart w:id="84" w:name="_Toc29585"/>
      <w:r>
        <w:rPr>
          <w:rFonts w:hint="eastAsia" w:ascii="宋体" w:hAnsi="宋体" w:eastAsia="宋体" w:cs="宋体"/>
          <w:b/>
          <w:bCs/>
          <w:color w:val="auto"/>
          <w:spacing w:val="-3"/>
          <w:sz w:val="24"/>
          <w:szCs w:val="24"/>
          <w:highlight w:val="none"/>
          <w:lang w:val="en-US" w:eastAsia="zh-CN"/>
        </w:rPr>
        <w:t>（十四）政府采购合同融资政策</w:t>
      </w:r>
      <w:bookmarkEnd w:id="83"/>
      <w:bookmarkEnd w:id="84"/>
    </w:p>
    <w:p w14:paraId="7A280C0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color w:val="auto"/>
          <w:sz w:val="24"/>
          <w:szCs w:val="24"/>
          <w:highlight w:val="none"/>
        </w:rPr>
      </w:pPr>
      <w:bookmarkStart w:id="85" w:name="_Toc163492882"/>
      <w:r>
        <w:rPr>
          <w:rFonts w:hint="eastAsia" w:ascii="宋体" w:hAnsi="宋体" w:eastAsia="宋体" w:cs="宋体"/>
          <w:b/>
          <w:bCs/>
          <w:color w:val="auto"/>
          <w:spacing w:val="-3"/>
          <w:sz w:val="24"/>
          <w:szCs w:val="24"/>
          <w:highlight w:val="none"/>
        </w:rPr>
        <w:t>47.政府采购合同融资政策</w:t>
      </w:r>
    </w:p>
    <w:p w14:paraId="3D3D7CB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47.1政府采购合同融资政策：见投标人须知前附表。</w:t>
      </w:r>
    </w:p>
    <w:p w14:paraId="541C64B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2"/>
        <w:rPr>
          <w:rFonts w:hint="eastAsia" w:ascii="宋体" w:hAnsi="宋体" w:eastAsia="宋体" w:cs="宋体"/>
          <w:color w:val="auto"/>
          <w:sz w:val="24"/>
          <w:szCs w:val="24"/>
          <w:highlight w:val="none"/>
        </w:rPr>
      </w:pPr>
      <w:bookmarkStart w:id="86" w:name="_Toc857"/>
      <w:bookmarkStart w:id="87" w:name="_Toc22309"/>
      <w:bookmarkStart w:id="88" w:name="_Toc16567"/>
      <w:r>
        <w:rPr>
          <w:rFonts w:hint="eastAsia" w:ascii="宋体" w:hAnsi="宋体" w:eastAsia="宋体" w:cs="宋体"/>
          <w:b/>
          <w:bCs/>
          <w:color w:val="auto"/>
          <w:spacing w:val="-6"/>
          <w:sz w:val="24"/>
          <w:szCs w:val="24"/>
          <w:highlight w:val="none"/>
        </w:rPr>
        <w:t>（十五）其他</w:t>
      </w:r>
      <w:bookmarkEnd w:id="86"/>
      <w:bookmarkEnd w:id="87"/>
      <w:bookmarkEnd w:id="88"/>
    </w:p>
    <w:p w14:paraId="6967D56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48.需要补充的内容</w:t>
      </w:r>
      <w:bookmarkEnd w:id="85"/>
    </w:p>
    <w:p w14:paraId="3034FC9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4</w:t>
      </w:r>
      <w:r>
        <w:rPr>
          <w:rFonts w:hint="eastAsia" w:ascii="宋体" w:hAnsi="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eastAsia="zh-CN"/>
        </w:rPr>
        <w:t>法定代表人或单位负责人为同一人或者存在直接控股、管理关系的不同供应商，不得参加同一合同项下的政府采购活动。</w:t>
      </w:r>
    </w:p>
    <w:p w14:paraId="7074122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4</w:t>
      </w:r>
      <w:r>
        <w:rPr>
          <w:rFonts w:hint="eastAsia" w:ascii="宋体" w:hAnsi="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eastAsia="zh-CN"/>
        </w:rPr>
        <w:t>除单一来源采购项目外，为采购项目提供整体设计、规范编制或者项目管理、监理、检测等服务的供应商，不得再参加该采购项目的其他采购活动。</w:t>
      </w:r>
    </w:p>
    <w:p w14:paraId="2B004CF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4</w:t>
      </w:r>
      <w:r>
        <w:rPr>
          <w:rFonts w:hint="eastAsia" w:ascii="宋体" w:hAnsi="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eastAsia="zh-CN"/>
        </w:rPr>
        <w:t>供应商的信用行为：在资格审查阶段经查询，未被列入“失信被执行人”、“重大税收违法失信主体”、“政府采购严重违法失信行为记录名单”其中之一。如有以上不良信用记录之一的，其投标无效。</w:t>
      </w:r>
    </w:p>
    <w:p w14:paraId="4455E72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48.4</w:t>
      </w:r>
      <w:r>
        <w:rPr>
          <w:rFonts w:hint="eastAsia" w:ascii="宋体" w:hAnsi="宋体" w:eastAsia="宋体" w:cs="宋体"/>
          <w:color w:val="auto"/>
          <w:spacing w:val="-2"/>
          <w:sz w:val="24"/>
          <w:szCs w:val="24"/>
          <w:highlight w:val="none"/>
          <w:lang w:val="en-US" w:eastAsia="zh-CN"/>
        </w:rPr>
        <w:t>政府采购法第二十二条第一款第五项所称重大违法记录，是指供应商因违法经营受到刑事处罚或者责令停产停业、吊销许可证或者执照、较大数额（高于200万元）罚款等行政处罚。</w:t>
      </w:r>
    </w:p>
    <w:p w14:paraId="54570AA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48</w:t>
      </w:r>
      <w:r>
        <w:rPr>
          <w:rFonts w:hint="eastAsia" w:ascii="宋体" w:hAnsi="宋体" w:eastAsia="宋体" w:cs="宋体"/>
          <w:color w:val="auto"/>
          <w:spacing w:val="-2"/>
          <w:sz w:val="24"/>
          <w:szCs w:val="24"/>
          <w:highlight w:val="none"/>
          <w:lang w:val="en-US" w:eastAsia="zh-CN"/>
        </w:rPr>
        <w:t>.</w:t>
      </w:r>
      <w:r>
        <w:rPr>
          <w:rFonts w:hint="eastAsia" w:ascii="宋体" w:hAnsi="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lang w:val="en-US" w:eastAsia="zh-CN"/>
        </w:rPr>
        <w:t>按照财政部《关于规范政府采购行政处罚有关问题的通知》的规定，各级人民政府财政部门依法对参加政府采购活动的供应商作出的禁止参加政府采购活动等行政处罚决定在全国范围内生效。</w:t>
      </w:r>
    </w:p>
    <w:p w14:paraId="7DFB102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48</w:t>
      </w:r>
      <w:r>
        <w:rPr>
          <w:rFonts w:hint="eastAsia" w:ascii="宋体" w:hAnsi="宋体" w:eastAsia="宋体" w:cs="宋体"/>
          <w:color w:val="auto"/>
          <w:spacing w:val="-2"/>
          <w:sz w:val="24"/>
          <w:szCs w:val="24"/>
          <w:highlight w:val="none"/>
          <w:lang w:val="en-US" w:eastAsia="zh-CN"/>
        </w:rPr>
        <w:t>.</w:t>
      </w:r>
      <w:r>
        <w:rPr>
          <w:rFonts w:hint="eastAsia" w:ascii="宋体" w:hAnsi="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lang w:val="en-US" w:eastAsia="zh-CN"/>
        </w:rPr>
        <w:t>供应商在参加政府采购活动前3年内因违法经营被禁止在一定期限内参加政府采购活动，期限届满的，可以参加政府采购活动。</w:t>
      </w:r>
    </w:p>
    <w:p w14:paraId="10C403B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val="en-US" w:eastAsia="zh-CN"/>
        </w:rPr>
        <w:t>4</w:t>
      </w:r>
      <w:r>
        <w:rPr>
          <w:rFonts w:hint="eastAsia" w:ascii="宋体" w:hAnsi="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lang w:val="en-US" w:eastAsia="zh-CN"/>
        </w:rPr>
        <w:t>.</w:t>
      </w:r>
      <w:r>
        <w:rPr>
          <w:rFonts w:hint="eastAsia" w:ascii="宋体" w:hAnsi="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lang w:val="en-US" w:eastAsia="zh-CN"/>
        </w:rPr>
        <w:t>其他</w:t>
      </w:r>
      <w:r>
        <w:rPr>
          <w:rFonts w:hint="eastAsia" w:ascii="宋体" w:hAnsi="宋体" w:eastAsia="宋体" w:cs="宋体"/>
          <w:color w:val="auto"/>
          <w:spacing w:val="-2"/>
          <w:sz w:val="24"/>
          <w:szCs w:val="24"/>
          <w:highlight w:val="none"/>
          <w:lang w:eastAsia="zh-CN"/>
        </w:rPr>
        <w:t>需要补充的内容：见投标人须知前附表。</w:t>
      </w:r>
    </w:p>
    <w:p w14:paraId="7261FCB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b/>
          <w:bCs/>
          <w:color w:val="auto"/>
          <w:spacing w:val="-3"/>
          <w:sz w:val="24"/>
          <w:szCs w:val="24"/>
          <w:highlight w:val="none"/>
          <w:lang w:val="en-US" w:eastAsia="zh-CN"/>
        </w:rPr>
      </w:pPr>
      <w:bookmarkStart w:id="89" w:name="_Toc155185886"/>
      <w:bookmarkStart w:id="90" w:name="_Toc163492883"/>
      <w:bookmarkStart w:id="91" w:name="_Toc140132810"/>
      <w:r>
        <w:rPr>
          <w:rFonts w:hint="eastAsia" w:ascii="宋体" w:hAnsi="宋体" w:eastAsia="宋体" w:cs="宋体"/>
          <w:b/>
          <w:bCs/>
          <w:color w:val="auto"/>
          <w:spacing w:val="-3"/>
          <w:sz w:val="24"/>
          <w:szCs w:val="24"/>
          <w:highlight w:val="none"/>
          <w:lang w:val="en-US" w:eastAsia="zh-CN"/>
        </w:rPr>
        <w:t>49.适用法律</w:t>
      </w:r>
      <w:bookmarkEnd w:id="89"/>
      <w:bookmarkEnd w:id="90"/>
      <w:bookmarkEnd w:id="91"/>
    </w:p>
    <w:p w14:paraId="651B8FF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49</w:t>
      </w:r>
      <w:r>
        <w:rPr>
          <w:rFonts w:hint="eastAsia" w:ascii="宋体" w:hAnsi="宋体" w:eastAsia="宋体" w:cs="宋体"/>
          <w:color w:val="auto"/>
          <w:spacing w:val="-1"/>
          <w:sz w:val="24"/>
          <w:szCs w:val="24"/>
          <w:highlight w:val="none"/>
        </w:rPr>
        <w:t>.1采购人、采购代理机构及投标人的一切采购活动均适用《中华人民共和国政府采购法</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中华人民共和国政府采购法实施条例</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政府采购货物和服务招标投标管理办法》（财政部令第87号）及相关法律法规。</w:t>
      </w:r>
    </w:p>
    <w:p w14:paraId="5B08E83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49</w:t>
      </w:r>
      <w:r>
        <w:rPr>
          <w:rFonts w:hint="eastAsia" w:ascii="宋体" w:hAnsi="宋体" w:eastAsia="宋体" w:cs="宋体"/>
          <w:color w:val="auto"/>
          <w:spacing w:val="-1"/>
          <w:sz w:val="24"/>
          <w:szCs w:val="24"/>
          <w:highlight w:val="none"/>
        </w:rPr>
        <w:t>.2政府采购合同的履行、违约责任和解决争议的方法等适用《中华人民共和国民法典》。</w:t>
      </w:r>
    </w:p>
    <w:p w14:paraId="33E5CD0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b/>
          <w:bCs/>
          <w:color w:val="auto"/>
          <w:spacing w:val="-3"/>
          <w:sz w:val="24"/>
          <w:szCs w:val="24"/>
          <w:highlight w:val="none"/>
          <w:lang w:val="en-US" w:eastAsia="zh-CN"/>
        </w:rPr>
      </w:pPr>
      <w:bookmarkStart w:id="92" w:name="_Toc163492884"/>
      <w:bookmarkStart w:id="93" w:name="_Toc155185887"/>
      <w:r>
        <w:rPr>
          <w:rFonts w:hint="eastAsia" w:ascii="宋体" w:hAnsi="宋体" w:eastAsia="宋体" w:cs="宋体"/>
          <w:b/>
          <w:bCs/>
          <w:color w:val="auto"/>
          <w:spacing w:val="-3"/>
          <w:sz w:val="24"/>
          <w:szCs w:val="24"/>
          <w:highlight w:val="none"/>
          <w:lang w:val="en-US" w:eastAsia="zh-CN"/>
        </w:rPr>
        <w:t>50.解释权</w:t>
      </w:r>
      <w:bookmarkEnd w:id="92"/>
      <w:bookmarkEnd w:id="93"/>
    </w:p>
    <w:p w14:paraId="6488741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50</w:t>
      </w:r>
      <w:r>
        <w:rPr>
          <w:rFonts w:hint="eastAsia" w:ascii="宋体" w:hAnsi="宋体" w:eastAsia="宋体" w:cs="宋体"/>
          <w:color w:val="auto"/>
          <w:spacing w:val="-1"/>
          <w:sz w:val="24"/>
          <w:szCs w:val="24"/>
          <w:highlight w:val="none"/>
        </w:rPr>
        <w:t>.1本招标文件最终解释权归采购人或采购代理机构所有。</w:t>
      </w:r>
    </w:p>
    <w:p w14:paraId="5BF0690D">
      <w:pPr>
        <w:rPr>
          <w:rFonts w:hint="eastAsia" w:ascii="宋体" w:hAnsi="宋体" w:eastAsia="宋体" w:cs="宋体"/>
          <w:color w:val="auto"/>
          <w:sz w:val="24"/>
          <w:highlight w:val="none"/>
          <w:lang w:val="en-US" w:eastAsia="zh-CN"/>
        </w:rPr>
        <w:sectPr>
          <w:footerReference r:id="rId7" w:type="default"/>
          <w:pgSz w:w="11905" w:h="16838"/>
          <w:pgMar w:top="1134" w:right="1134" w:bottom="1134" w:left="1134" w:header="737" w:footer="737" w:gutter="0"/>
          <w:pgNumType w:fmt="numberInDash"/>
          <w:cols w:space="0" w:num="1"/>
          <w:rtlGutter w:val="0"/>
          <w:docGrid w:linePitch="0" w:charSpace="0"/>
        </w:sectPr>
      </w:pPr>
      <w:bookmarkStart w:id="94" w:name="_Toc15314"/>
      <w:bookmarkStart w:id="95" w:name="_Toc8931"/>
      <w:bookmarkStart w:id="96" w:name="_Toc17884_WPSOffice_Level1"/>
      <w:bookmarkStart w:id="97" w:name="_Toc349573137"/>
      <w:bookmarkStart w:id="98" w:name="_Toc298240422"/>
      <w:bookmarkStart w:id="99" w:name="_Toc267301295"/>
      <w:bookmarkStart w:id="100" w:name="_Toc349637936"/>
    </w:p>
    <w:p w14:paraId="45C3B4A3">
      <w:pPr>
        <w:pStyle w:val="2"/>
        <w:keepNext/>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32"/>
          <w:szCs w:val="32"/>
          <w:highlight w:val="none"/>
        </w:rPr>
      </w:pPr>
      <w:bookmarkStart w:id="101" w:name="_Toc15956"/>
      <w:r>
        <w:rPr>
          <w:rFonts w:hint="eastAsia" w:ascii="宋体" w:hAnsi="宋体" w:eastAsia="宋体" w:cs="宋体"/>
          <w:color w:val="auto"/>
          <w:sz w:val="32"/>
          <w:szCs w:val="32"/>
          <w:highlight w:val="none"/>
        </w:rPr>
        <w:t xml:space="preserve">第三部分 </w:t>
      </w:r>
      <w:r>
        <w:rPr>
          <w:rFonts w:hint="eastAsia" w:ascii="宋体" w:hAnsi="宋体" w:eastAsia="宋体" w:cs="宋体"/>
          <w:color w:val="auto"/>
          <w:sz w:val="32"/>
          <w:szCs w:val="32"/>
          <w:highlight w:val="none"/>
          <w:lang w:eastAsia="zh-CN"/>
        </w:rPr>
        <w:t>采购需求</w:t>
      </w:r>
      <w:bookmarkEnd w:id="101"/>
    </w:p>
    <w:p w14:paraId="5A50E0B4">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firstLine="546" w:firstLineChars="200"/>
        <w:jc w:val="both"/>
        <w:textAlignment w:val="baseline"/>
        <w:outlineLvl w:val="1"/>
        <w:rPr>
          <w:rFonts w:hint="eastAsia" w:ascii="宋体" w:hAnsi="宋体" w:eastAsia="宋体" w:cs="宋体"/>
          <w:b/>
          <w:bCs/>
          <w:color w:val="auto"/>
          <w:sz w:val="28"/>
          <w:szCs w:val="28"/>
          <w:highlight w:val="none"/>
          <w:lang w:val="en-US" w:eastAsia="zh-CN"/>
        </w:rPr>
      </w:pPr>
      <w:bookmarkStart w:id="102" w:name="_Toc13678"/>
      <w:bookmarkStart w:id="103" w:name="_Toc20512"/>
      <w:r>
        <w:rPr>
          <w:rFonts w:hint="eastAsia" w:ascii="宋体" w:hAnsi="宋体" w:eastAsia="宋体" w:cs="宋体"/>
          <w:b/>
          <w:bCs/>
          <w:color w:val="auto"/>
          <w:spacing w:val="-4"/>
          <w:sz w:val="28"/>
          <w:szCs w:val="28"/>
          <w:highlight w:val="none"/>
        </w:rPr>
        <w:t>一、</w:t>
      </w:r>
      <w:r>
        <w:rPr>
          <w:rFonts w:hint="eastAsia" w:ascii="宋体" w:hAnsi="宋体" w:eastAsia="宋体" w:cs="宋体"/>
          <w:b/>
          <w:bCs/>
          <w:color w:val="auto"/>
          <w:spacing w:val="-4"/>
          <w:sz w:val="28"/>
          <w:szCs w:val="28"/>
          <w:highlight w:val="none"/>
          <w:lang w:val="en-US" w:eastAsia="zh-CN"/>
        </w:rPr>
        <w:t>采购标的</w:t>
      </w:r>
      <w:bookmarkEnd w:id="102"/>
      <w:bookmarkEnd w:id="103"/>
    </w:p>
    <w:p w14:paraId="764EE94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1.1标的</w:t>
      </w:r>
      <w:r>
        <w:rPr>
          <w:rFonts w:hint="eastAsia" w:ascii="宋体" w:hAnsi="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lang w:val="en-US" w:eastAsia="zh-CN"/>
        </w:rPr>
        <w:t>：</w:t>
      </w:r>
      <w:r>
        <w:rPr>
          <w:rFonts w:hint="eastAsia" w:ascii="宋体" w:hAnsi="宋体" w:cs="宋体"/>
          <w:i w:val="0"/>
          <w:iCs w:val="0"/>
          <w:color w:val="auto"/>
          <w:sz w:val="24"/>
          <w:szCs w:val="24"/>
          <w:highlight w:val="none"/>
          <w:u w:val="none"/>
          <w:lang w:val="en-US" w:eastAsia="zh-CN"/>
        </w:rPr>
        <w:t>同轴开关</w:t>
      </w:r>
    </w:p>
    <w:p w14:paraId="7DF822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采购内容：</w:t>
      </w:r>
      <w:r>
        <w:rPr>
          <w:rFonts w:hint="eastAsia" w:ascii="宋体" w:hAnsi="宋体" w:cs="宋体"/>
          <w:i w:val="0"/>
          <w:iCs w:val="0"/>
          <w:color w:val="auto"/>
          <w:sz w:val="24"/>
          <w:szCs w:val="24"/>
          <w:highlight w:val="none"/>
          <w:u w:val="none"/>
          <w:lang w:val="en-US" w:eastAsia="zh-CN"/>
        </w:rPr>
        <w:t>同轴开关7套</w:t>
      </w:r>
    </w:p>
    <w:p w14:paraId="6D5B70C5">
      <w:pPr>
        <w:rPr>
          <w:rFonts w:hint="eastAsia" w:ascii="宋体" w:hAnsi="宋体" w:eastAsia="宋体" w:cs="宋体"/>
          <w:b/>
          <w:bCs/>
          <w:i w:val="0"/>
          <w:caps w:val="0"/>
          <w:color w:val="auto"/>
          <w:spacing w:val="0"/>
          <w:sz w:val="24"/>
          <w:szCs w:val="24"/>
          <w:highlight w:val="none"/>
          <w:lang w:val="en-US" w:eastAsia="zh-CN"/>
        </w:rPr>
      </w:pPr>
    </w:p>
    <w:p w14:paraId="13959F29">
      <w:pPr>
        <w:pStyle w:val="34"/>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同轴开关明细表</w:t>
      </w:r>
    </w:p>
    <w:tbl>
      <w:tblPr>
        <w:tblStyle w:val="35"/>
        <w:tblW w:w="9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5"/>
        <w:gridCol w:w="3205"/>
        <w:gridCol w:w="918"/>
        <w:gridCol w:w="1482"/>
        <w:gridCol w:w="1470"/>
        <w:gridCol w:w="1656"/>
      </w:tblGrid>
      <w:tr w14:paraId="79EC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3A00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3205" w:type="dxa"/>
            <w:tcBorders>
              <w:top w:val="single" w:color="auto" w:sz="4" w:space="0"/>
              <w:left w:val="single" w:color="auto" w:sz="4" w:space="0"/>
              <w:bottom w:val="single" w:color="auto" w:sz="4" w:space="0"/>
              <w:right w:val="single" w:color="auto" w:sz="4" w:space="0"/>
            </w:tcBorders>
            <w:shd w:val="clear" w:color="auto" w:fill="auto"/>
            <w:vAlign w:val="center"/>
          </w:tcPr>
          <w:p w14:paraId="7F6AB3EC">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标的名称</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14:paraId="59DCE06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数量</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830AAE6">
            <w:pPr>
              <w:keepNext w:val="0"/>
              <w:keepLines w:val="0"/>
              <w:widowControl/>
              <w:suppressLineNumbers w:val="0"/>
              <w:jc w:val="center"/>
              <w:textAlignment w:val="center"/>
              <w:rPr>
                <w:rFonts w:hint="eastAsia"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预算单价</w:t>
            </w:r>
          </w:p>
          <w:p w14:paraId="0572B45C">
            <w:pPr>
              <w:keepNext w:val="0"/>
              <w:keepLines w:val="0"/>
              <w:widowControl/>
              <w:suppressLineNumbers w:val="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（元）</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66168C91">
            <w:pPr>
              <w:keepNext w:val="0"/>
              <w:keepLines w:val="0"/>
              <w:widowControl/>
              <w:suppressLineNumbers w:val="0"/>
              <w:jc w:val="center"/>
              <w:textAlignment w:val="center"/>
              <w:rPr>
                <w:rFonts w:hint="eastAsia"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预算总价</w:t>
            </w:r>
          </w:p>
          <w:p w14:paraId="17489B4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（元）</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14:paraId="28593238">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标的所属行业</w:t>
            </w:r>
          </w:p>
        </w:tc>
      </w:tr>
      <w:tr w14:paraId="0A22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1C9D3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32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995E9">
            <w:pPr>
              <w:keepNext w:val="0"/>
              <w:keepLines w:val="0"/>
              <w:widowControl/>
              <w:suppressLineNumbers w:val="0"/>
              <w:jc w:val="both"/>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同轴开关</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D476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color w:val="auto"/>
                <w:sz w:val="24"/>
                <w:szCs w:val="24"/>
                <w:highlight w:val="none"/>
                <w:lang w:val="en-US" w:eastAsia="zh-CN"/>
              </w:rPr>
              <w:t>7套</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4574B">
            <w:pPr>
              <w:keepNext w:val="0"/>
              <w:keepLines w:val="0"/>
              <w:widowControl/>
              <w:suppressLineNumbers w:val="0"/>
              <w:jc w:val="righ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32000.00</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72446">
            <w:pPr>
              <w:keepNext w:val="0"/>
              <w:keepLines w:val="0"/>
              <w:widowControl/>
              <w:suppressLineNumbers w:val="0"/>
              <w:jc w:val="righ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224000.00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C57A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工业</w:t>
            </w:r>
          </w:p>
        </w:tc>
      </w:tr>
      <w:tr w14:paraId="64D2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8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63D104">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合计</w:t>
            </w:r>
          </w:p>
        </w:tc>
        <w:tc>
          <w:tcPr>
            <w:tcW w:w="87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D1BD87">
            <w:pPr>
              <w:keepNext w:val="0"/>
              <w:keepLines w:val="0"/>
              <w:widowControl/>
              <w:suppressLineNumbers w:val="0"/>
              <w:jc w:val="both"/>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224000.00</w:t>
            </w:r>
            <w:r>
              <w:rPr>
                <w:rFonts w:hint="eastAsia" w:ascii="宋体" w:hAnsi="宋体" w:cs="宋体"/>
                <w:i w:val="0"/>
                <w:iCs w:val="0"/>
                <w:color w:val="auto"/>
                <w:sz w:val="24"/>
                <w:szCs w:val="24"/>
                <w:highlight w:val="none"/>
                <w:u w:val="none"/>
                <w:lang w:val="en-US" w:eastAsia="zh-CN"/>
              </w:rPr>
              <w:t>元</w:t>
            </w:r>
          </w:p>
        </w:tc>
      </w:tr>
      <w:tr w14:paraId="34EFD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2" w:hRule="atLeast"/>
          <w:jc w:val="center"/>
        </w:trPr>
        <w:tc>
          <w:tcPr>
            <w:tcW w:w="8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923C43">
            <w:pPr>
              <w:keepNext w:val="0"/>
              <w:keepLines w:val="0"/>
              <w:widowControl/>
              <w:suppressLineNumbers w:val="0"/>
              <w:jc w:val="center"/>
              <w:textAlignment w:val="center"/>
              <w:rPr>
                <w:rFonts w:hint="default"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备注</w:t>
            </w:r>
          </w:p>
        </w:tc>
        <w:tc>
          <w:tcPr>
            <w:tcW w:w="87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DB5182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1.发射机同轴开关（含控制器）</w:t>
            </w:r>
          </w:p>
          <w:p w14:paraId="72289AC8">
            <w:pPr>
              <w:keepNext w:val="0"/>
              <w:keepLines w:val="0"/>
              <w:widowControl/>
              <w:suppressLineNumbers w:val="0"/>
              <w:jc w:val="both"/>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2.含安装辅材、集成及与台站智慧运维系统对接费。</w:t>
            </w:r>
          </w:p>
          <w:p w14:paraId="5B46A6E6">
            <w:pPr>
              <w:keepNext w:val="0"/>
              <w:keepLines w:val="0"/>
              <w:widowControl/>
              <w:suppressLineNumbers w:val="0"/>
              <w:jc w:val="both"/>
              <w:textAlignment w:val="center"/>
              <w:rPr>
                <w:rFonts w:hint="eastAsia" w:ascii="宋体" w:hAnsi="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3.含项目实现功能所需的所有线材、辅材；含与台站现有智慧运维系统对接费用。</w:t>
            </w:r>
          </w:p>
        </w:tc>
      </w:tr>
    </w:tbl>
    <w:p w14:paraId="52426442">
      <w:pPr>
        <w:rPr>
          <w:rFonts w:hint="eastAsia" w:ascii="宋体" w:hAnsi="宋体" w:eastAsia="宋体" w:cs="宋体"/>
          <w:b/>
          <w:bCs/>
          <w:i w:val="0"/>
          <w:caps w:val="0"/>
          <w:color w:val="auto"/>
          <w:spacing w:val="0"/>
          <w:sz w:val="24"/>
          <w:szCs w:val="24"/>
          <w:highlight w:val="none"/>
          <w:lang w:val="en-US" w:eastAsia="zh-CN"/>
        </w:rPr>
      </w:pPr>
    </w:p>
    <w:p w14:paraId="6B0C5FEB">
      <w:pPr>
        <w:rPr>
          <w:rFonts w:hint="eastAsia" w:ascii="宋体" w:hAnsi="宋体" w:eastAsia="宋体" w:cs="宋体"/>
          <w:b/>
          <w:bCs/>
          <w:i w:val="0"/>
          <w:caps w:val="0"/>
          <w:color w:val="auto"/>
          <w:spacing w:val="0"/>
          <w:sz w:val="24"/>
          <w:szCs w:val="24"/>
          <w:highlight w:val="none"/>
          <w:lang w:val="en-US" w:eastAsia="zh-CN"/>
        </w:rPr>
      </w:pPr>
    </w:p>
    <w:p w14:paraId="6A497341">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firstLine="546" w:firstLineChars="200"/>
        <w:jc w:val="both"/>
        <w:textAlignment w:val="baseline"/>
        <w:outlineLvl w:val="1"/>
        <w:rPr>
          <w:rFonts w:hint="eastAsia" w:ascii="宋体" w:hAnsi="宋体" w:eastAsia="宋体" w:cs="宋体"/>
          <w:b/>
          <w:bCs/>
          <w:color w:val="auto"/>
          <w:spacing w:val="-4"/>
          <w:sz w:val="28"/>
          <w:szCs w:val="28"/>
          <w:highlight w:val="none"/>
          <w:lang w:eastAsia="zh-CN"/>
        </w:rPr>
      </w:pPr>
      <w:bookmarkStart w:id="104" w:name="_Toc17424"/>
      <w:bookmarkStart w:id="105" w:name="_Toc4591"/>
      <w:r>
        <w:rPr>
          <w:rFonts w:hint="eastAsia" w:ascii="宋体" w:hAnsi="宋体" w:eastAsia="宋体" w:cs="宋体"/>
          <w:b/>
          <w:bCs/>
          <w:color w:val="auto"/>
          <w:spacing w:val="-4"/>
          <w:sz w:val="28"/>
          <w:szCs w:val="28"/>
          <w:highlight w:val="none"/>
        </w:rPr>
        <w:t>二、技术</w:t>
      </w:r>
      <w:r>
        <w:rPr>
          <w:rFonts w:hint="eastAsia" w:ascii="宋体" w:hAnsi="宋体" w:eastAsia="宋体" w:cs="宋体"/>
          <w:b/>
          <w:bCs/>
          <w:color w:val="auto"/>
          <w:spacing w:val="-4"/>
          <w:sz w:val="28"/>
          <w:szCs w:val="28"/>
          <w:highlight w:val="none"/>
          <w:lang w:eastAsia="zh-CN"/>
        </w:rPr>
        <w:t>要求</w:t>
      </w:r>
      <w:bookmarkEnd w:id="104"/>
      <w:bookmarkEnd w:id="105"/>
    </w:p>
    <w:p w14:paraId="0ACAA01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cs="宋体"/>
          <w:b/>
          <w:bCs/>
          <w:i w:val="0"/>
          <w:iCs w:val="0"/>
          <w:color w:val="auto"/>
          <w:kern w:val="0"/>
          <w:sz w:val="24"/>
          <w:szCs w:val="24"/>
          <w:highlight w:val="none"/>
          <w:u w:val="none"/>
          <w:lang w:val="en-US" w:eastAsia="zh-CN"/>
        </w:rPr>
        <w:t>同轴开关技术</w:t>
      </w:r>
      <w:r>
        <w:rPr>
          <w:rFonts w:hint="eastAsia" w:ascii="宋体" w:hAnsi="宋体" w:eastAsia="宋体" w:cs="宋体"/>
          <w:b/>
          <w:bCs/>
          <w:i w:val="0"/>
          <w:iCs w:val="0"/>
          <w:color w:val="auto"/>
          <w:kern w:val="0"/>
          <w:sz w:val="24"/>
          <w:szCs w:val="24"/>
          <w:highlight w:val="none"/>
          <w:u w:val="none"/>
          <w:lang w:val="en-US" w:eastAsia="zh-CN"/>
        </w:rPr>
        <w:t>参数</w:t>
      </w:r>
    </w:p>
    <w:p w14:paraId="79E696A9">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p>
    <w:p w14:paraId="5615E1FF">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2.2.1 </w:t>
      </w:r>
      <w:r>
        <w:rPr>
          <w:rFonts w:hint="default" w:ascii="宋体" w:hAnsi="宋体" w:cs="宋体"/>
          <w:color w:val="auto"/>
          <w:sz w:val="24"/>
          <w:szCs w:val="24"/>
          <w:highlight w:val="none"/>
          <w:lang w:val="en-US" w:eastAsia="zh-CN"/>
        </w:rPr>
        <w:t>工作频率：调频频段；</w:t>
      </w:r>
    </w:p>
    <w:p w14:paraId="310596A1">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2.2.2 </w:t>
      </w:r>
      <w:r>
        <w:rPr>
          <w:rFonts w:hint="default" w:ascii="宋体" w:hAnsi="宋体" w:cs="宋体"/>
          <w:color w:val="auto"/>
          <w:sz w:val="24"/>
          <w:szCs w:val="24"/>
          <w:highlight w:val="none"/>
          <w:lang w:val="en-US" w:eastAsia="zh-CN"/>
        </w:rPr>
        <w:t>额定功率</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≥20kW；</w:t>
      </w:r>
    </w:p>
    <w:p w14:paraId="39055C6A">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2.2.3 </w:t>
      </w:r>
      <w:r>
        <w:rPr>
          <w:rFonts w:hint="default" w:ascii="宋体" w:hAnsi="宋体" w:cs="宋体"/>
          <w:color w:val="auto"/>
          <w:sz w:val="24"/>
          <w:szCs w:val="24"/>
          <w:highlight w:val="none"/>
          <w:lang w:val="en-US" w:eastAsia="zh-CN"/>
        </w:rPr>
        <w:t>工作环境条件：温度－35℃～55℃；相对湿度≤90%；</w:t>
      </w:r>
    </w:p>
    <w:p w14:paraId="08200E6B">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lang w:val="en-US" w:eastAsia="zh-CN"/>
        </w:rPr>
        <w:t>同轴开关端口数量：4</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双刀双掷开关</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w:t>
      </w:r>
    </w:p>
    <w:p w14:paraId="399B7B9B">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lang w:val="en-US" w:eastAsia="zh-CN"/>
        </w:rPr>
        <w:t>端口驻波比≤1.05；</w:t>
      </w:r>
    </w:p>
    <w:p w14:paraId="641F7E8A">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lang w:val="en-US" w:eastAsia="zh-CN"/>
        </w:rPr>
        <w:t>反射损耗≥32dB</w:t>
      </w:r>
    </w:p>
    <w:p w14:paraId="16A58A14">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lang w:val="en-US" w:eastAsia="zh-CN"/>
        </w:rPr>
        <w:t>插入损耗≤0.10dB；</w:t>
      </w:r>
    </w:p>
    <w:p w14:paraId="1592B09F">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lang w:val="en-US" w:eastAsia="zh-CN"/>
        </w:rPr>
        <w:t>端口隔离度≥60dB；</w:t>
      </w:r>
    </w:p>
    <w:p w14:paraId="7FF2F9D5">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lang w:val="en-US" w:eastAsia="zh-CN"/>
        </w:rPr>
        <w:t>端口规格：EIA 3 1/8″，用户可任意更改为直口或法兰口；</w:t>
      </w:r>
    </w:p>
    <w:p w14:paraId="083F2380">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lang w:val="en-US" w:eastAsia="zh-CN"/>
        </w:rPr>
        <w:t>切换方式：3种</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包括</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手动、电动、远程控制</w:t>
      </w:r>
      <w:r>
        <w:rPr>
          <w:rFonts w:hint="eastAsia" w:ascii="宋体" w:hAnsi="宋体" w:cs="宋体"/>
          <w:color w:val="auto"/>
          <w:sz w:val="24"/>
          <w:szCs w:val="24"/>
          <w:highlight w:val="none"/>
          <w:lang w:val="en-US" w:eastAsia="zh-CN"/>
        </w:rPr>
        <w:t>）</w:t>
      </w:r>
    </w:p>
    <w:p w14:paraId="0552E55F">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手动切换，通过同轴开关上的旋钮或旋杆，对同轴开关进行手动切换；</w:t>
      </w:r>
    </w:p>
    <w:p w14:paraId="2755C0E0">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电动切换，通过同轴开关控制器上的按钮开关，对同轴开关进行电动切换；</w:t>
      </w:r>
    </w:p>
    <w:p w14:paraId="6B0C2AD3">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远程控制切换，通过同轴开关控制器上的远程控制接口，对同轴开关进行远程控制切换；</w:t>
      </w:r>
    </w:p>
    <w:p w14:paraId="02153F18">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11. 切换时间≤2s；</w:t>
      </w:r>
    </w:p>
    <w:p w14:paraId="0D85DF0A">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12</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lang w:val="en-US" w:eastAsia="zh-CN"/>
        </w:rPr>
        <w:t>远程控制接口：至少包含1个RJ-45以太网接口和1个RS-232或RS-485串口；</w:t>
      </w:r>
    </w:p>
    <w:p w14:paraId="4D241A54">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13</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lang w:val="en-US" w:eastAsia="zh-CN"/>
        </w:rPr>
        <w:t>电源和接头要求：220V交流电/50Hz，标准三爪接头；</w:t>
      </w:r>
    </w:p>
    <w:p w14:paraId="0D2F10C3">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14</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lang w:val="en-US" w:eastAsia="zh-CN"/>
        </w:rPr>
        <w:t>材质要求</w:t>
      </w:r>
    </w:p>
    <w:p w14:paraId="554CE71B">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14</w:t>
      </w:r>
      <w:r>
        <w:rPr>
          <w:rFonts w:hint="eastAsia" w:ascii="宋体" w:hAnsi="宋体" w:cs="宋体"/>
          <w:color w:val="auto"/>
          <w:sz w:val="24"/>
          <w:szCs w:val="24"/>
          <w:highlight w:val="none"/>
          <w:lang w:val="en-US" w:eastAsia="zh-CN"/>
        </w:rPr>
        <w:t xml:space="preserve">.1 </w:t>
      </w:r>
      <w:r>
        <w:rPr>
          <w:rFonts w:hint="default" w:ascii="宋体" w:hAnsi="宋体" w:cs="宋体"/>
          <w:color w:val="auto"/>
          <w:sz w:val="24"/>
          <w:szCs w:val="24"/>
          <w:highlight w:val="none"/>
          <w:lang w:val="en-US" w:eastAsia="zh-CN"/>
        </w:rPr>
        <w:t>端口内导体：铜镀银；</w:t>
      </w:r>
    </w:p>
    <w:p w14:paraId="7C610348">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14</w:t>
      </w:r>
      <w:r>
        <w:rPr>
          <w:rFonts w:hint="eastAsia" w:ascii="宋体" w:hAnsi="宋体" w:cs="宋体"/>
          <w:color w:val="auto"/>
          <w:sz w:val="24"/>
          <w:szCs w:val="24"/>
          <w:highlight w:val="none"/>
          <w:lang w:val="en-US" w:eastAsia="zh-CN"/>
        </w:rPr>
        <w:t xml:space="preserve">.2 </w:t>
      </w:r>
      <w:r>
        <w:rPr>
          <w:rFonts w:hint="default" w:ascii="宋体" w:hAnsi="宋体" w:cs="宋体"/>
          <w:color w:val="auto"/>
          <w:sz w:val="24"/>
          <w:szCs w:val="24"/>
          <w:highlight w:val="none"/>
          <w:lang w:val="en-US" w:eastAsia="zh-CN"/>
        </w:rPr>
        <w:t>端口外导体：铝合金、不锈钢或其它更优材质；</w:t>
      </w:r>
    </w:p>
    <w:p w14:paraId="6F9DA959">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14</w:t>
      </w:r>
      <w:r>
        <w:rPr>
          <w:rFonts w:hint="eastAsia" w:ascii="宋体" w:hAnsi="宋体" w:cs="宋体"/>
          <w:color w:val="auto"/>
          <w:sz w:val="24"/>
          <w:szCs w:val="24"/>
          <w:highlight w:val="none"/>
          <w:lang w:val="en-US" w:eastAsia="zh-CN"/>
        </w:rPr>
        <w:t xml:space="preserve">.3 </w:t>
      </w:r>
      <w:r>
        <w:rPr>
          <w:rFonts w:hint="default" w:ascii="宋体" w:hAnsi="宋体" w:cs="宋体"/>
          <w:color w:val="auto"/>
          <w:sz w:val="24"/>
          <w:szCs w:val="24"/>
          <w:highlight w:val="none"/>
          <w:lang w:val="en-US" w:eastAsia="zh-CN"/>
        </w:rPr>
        <w:t>微波腔体：铝合金或其它更优材质；</w:t>
      </w:r>
    </w:p>
    <w:p w14:paraId="45877C95">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14</w:t>
      </w:r>
      <w:r>
        <w:rPr>
          <w:rFonts w:hint="eastAsia" w:ascii="宋体" w:hAnsi="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val="en-US" w:eastAsia="zh-CN"/>
        </w:rPr>
        <w:t>接触簧片：簧片厚度≥0.4mm；</w:t>
      </w:r>
    </w:p>
    <w:p w14:paraId="42DFC122">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15</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lang w:val="en-US" w:eastAsia="zh-CN"/>
        </w:rPr>
        <w:t>冷却方式：自然冷却；</w:t>
      </w:r>
    </w:p>
    <w:p w14:paraId="56445C19">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16</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lang w:val="en-US" w:eastAsia="zh-CN"/>
        </w:rPr>
        <w:t>工艺和外观要求</w:t>
      </w:r>
    </w:p>
    <w:p w14:paraId="2A7D9DA5">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16</w:t>
      </w:r>
      <w:r>
        <w:rPr>
          <w:rFonts w:hint="eastAsia" w:ascii="宋体" w:hAnsi="宋体" w:cs="宋体"/>
          <w:color w:val="auto"/>
          <w:sz w:val="24"/>
          <w:szCs w:val="24"/>
          <w:highlight w:val="none"/>
          <w:lang w:val="en-US" w:eastAsia="zh-CN"/>
        </w:rPr>
        <w:t xml:space="preserve">.1 </w:t>
      </w:r>
      <w:r>
        <w:rPr>
          <w:rFonts w:hint="default" w:ascii="宋体" w:hAnsi="宋体" w:cs="宋体"/>
          <w:color w:val="auto"/>
          <w:sz w:val="24"/>
          <w:szCs w:val="24"/>
          <w:highlight w:val="none"/>
          <w:lang w:val="en-US" w:eastAsia="zh-CN"/>
        </w:rPr>
        <w:t>机械结构紧固，各零部件连接牢固无松动；外观整洁，无表面划伤、毛刺、变形等现象；金属件无锈蚀或机械损伤；零部件表面涂镀层无起泡、氧化、脱落等现象；</w:t>
      </w:r>
    </w:p>
    <w:p w14:paraId="09C2EFE5">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16</w:t>
      </w:r>
      <w:r>
        <w:rPr>
          <w:rFonts w:hint="eastAsia" w:ascii="宋体" w:hAnsi="宋体" w:cs="宋体"/>
          <w:color w:val="auto"/>
          <w:sz w:val="24"/>
          <w:szCs w:val="24"/>
          <w:highlight w:val="none"/>
          <w:lang w:val="en-US" w:eastAsia="zh-CN"/>
        </w:rPr>
        <w:t xml:space="preserve">.2 </w:t>
      </w:r>
      <w:r>
        <w:rPr>
          <w:rFonts w:hint="default" w:ascii="宋体" w:hAnsi="宋体" w:cs="宋体"/>
          <w:color w:val="auto"/>
          <w:sz w:val="24"/>
          <w:szCs w:val="24"/>
          <w:highlight w:val="none"/>
          <w:lang w:val="en-US" w:eastAsia="zh-CN"/>
        </w:rPr>
        <w:t>同轴开关4个端口的轴线要求在同一个平面上，4个端口分别朝向4个方向，即4个端口的轴线相互呈90°关系；</w:t>
      </w:r>
    </w:p>
    <w:p w14:paraId="7697B602">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16</w:t>
      </w:r>
      <w:r>
        <w:rPr>
          <w:rFonts w:hint="eastAsia" w:ascii="宋体" w:hAnsi="宋体" w:cs="宋体"/>
          <w:color w:val="auto"/>
          <w:sz w:val="24"/>
          <w:szCs w:val="24"/>
          <w:highlight w:val="none"/>
          <w:lang w:val="en-US" w:eastAsia="zh-CN"/>
        </w:rPr>
        <w:t xml:space="preserve">.3 </w:t>
      </w:r>
      <w:r>
        <w:rPr>
          <w:rFonts w:hint="default" w:ascii="宋体" w:hAnsi="宋体" w:cs="宋体"/>
          <w:color w:val="auto"/>
          <w:sz w:val="24"/>
          <w:szCs w:val="24"/>
          <w:highlight w:val="none"/>
          <w:lang w:val="en-US" w:eastAsia="zh-CN"/>
        </w:rPr>
        <w:t>同轴开关腔体外表面须要做防氧化处理；</w:t>
      </w:r>
    </w:p>
    <w:p w14:paraId="06FC99F2">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16</w:t>
      </w:r>
      <w:r>
        <w:rPr>
          <w:rFonts w:hint="eastAsia" w:ascii="宋体" w:hAnsi="宋体" w:cs="宋体"/>
          <w:color w:val="auto"/>
          <w:sz w:val="24"/>
          <w:szCs w:val="24"/>
          <w:highlight w:val="none"/>
          <w:lang w:val="en-US" w:eastAsia="zh-CN"/>
        </w:rPr>
        <w:t xml:space="preserve">.4 </w:t>
      </w:r>
      <w:r>
        <w:rPr>
          <w:rFonts w:hint="default" w:ascii="宋体" w:hAnsi="宋体" w:cs="宋体"/>
          <w:color w:val="auto"/>
          <w:sz w:val="24"/>
          <w:szCs w:val="24"/>
          <w:highlight w:val="none"/>
          <w:lang w:val="en-US" w:eastAsia="zh-CN"/>
        </w:rPr>
        <w:t>同轴开关须配支架，支架为标准型材支架，造型美观，结构安全；</w:t>
      </w:r>
    </w:p>
    <w:p w14:paraId="4471351E">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7 </w:t>
      </w:r>
      <w:r>
        <w:rPr>
          <w:rFonts w:hint="default" w:ascii="宋体" w:hAnsi="宋体" w:cs="宋体"/>
          <w:color w:val="auto"/>
          <w:sz w:val="24"/>
          <w:szCs w:val="24"/>
          <w:highlight w:val="none"/>
          <w:lang w:val="en-US" w:eastAsia="zh-CN"/>
        </w:rPr>
        <w:t>提供详细的同轴开关通过RJ45以太网口及RS-232或RS-485串口进行远程控制的方法、程序及其它技术资料；</w:t>
      </w:r>
    </w:p>
    <w:p w14:paraId="54348293">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8 </w:t>
      </w:r>
      <w:r>
        <w:rPr>
          <w:rFonts w:hint="default" w:ascii="宋体" w:hAnsi="宋体" w:cs="宋体"/>
          <w:color w:val="auto"/>
          <w:sz w:val="24"/>
          <w:szCs w:val="24"/>
          <w:highlight w:val="none"/>
          <w:lang w:val="en-US" w:eastAsia="zh-CN"/>
        </w:rPr>
        <w:t>同轴开关正常切换次数须不小于10000次；</w:t>
      </w:r>
    </w:p>
    <w:p w14:paraId="058EF3C4">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2.2.19 </w:t>
      </w:r>
      <w:r>
        <w:rPr>
          <w:rFonts w:hint="default" w:ascii="宋体" w:hAnsi="宋体" w:cs="宋体"/>
          <w:color w:val="auto"/>
          <w:sz w:val="24"/>
          <w:szCs w:val="24"/>
          <w:highlight w:val="none"/>
          <w:lang w:val="en-US" w:eastAsia="zh-CN"/>
        </w:rPr>
        <w:t>同轴开关倒换控制器参数要求：</w:t>
      </w:r>
      <w:r>
        <w:rPr>
          <w:rFonts w:hint="eastAsia" w:ascii="宋体" w:hAnsi="宋体" w:cs="宋体"/>
          <w:color w:val="auto"/>
          <w:sz w:val="24"/>
          <w:szCs w:val="24"/>
          <w:highlight w:val="none"/>
          <w:lang w:val="en-US" w:eastAsia="zh-CN"/>
        </w:rPr>
        <w:t>（需</w:t>
      </w:r>
      <w:r>
        <w:rPr>
          <w:rFonts w:hint="default" w:ascii="宋体" w:hAnsi="宋体" w:cs="宋体"/>
          <w:b/>
          <w:bCs/>
          <w:color w:val="auto"/>
          <w:sz w:val="24"/>
          <w:szCs w:val="24"/>
          <w:highlight w:val="none"/>
          <w:lang w:val="en-US" w:eastAsia="zh-CN"/>
        </w:rPr>
        <w:t>提供有效的广电总局规划院广播电视计量检测中心或广电总局广科院广播电视检测中心或有资质第三方的检测报告扫描件加盖</w:t>
      </w:r>
      <w:r>
        <w:rPr>
          <w:rFonts w:hint="eastAsia" w:ascii="宋体" w:hAnsi="宋体" w:cs="宋体"/>
          <w:b/>
          <w:bCs/>
          <w:color w:val="auto"/>
          <w:sz w:val="24"/>
          <w:szCs w:val="24"/>
          <w:highlight w:val="none"/>
          <w:lang w:val="en-US" w:eastAsia="zh-CN"/>
        </w:rPr>
        <w:t>投标人</w:t>
      </w:r>
      <w:r>
        <w:rPr>
          <w:rFonts w:hint="default" w:ascii="宋体" w:hAnsi="宋体" w:cs="宋体"/>
          <w:b/>
          <w:bCs/>
          <w:color w:val="auto"/>
          <w:sz w:val="24"/>
          <w:szCs w:val="24"/>
          <w:highlight w:val="none"/>
          <w:lang w:val="en-US" w:eastAsia="zh-CN"/>
        </w:rPr>
        <w:t>公章佐证</w:t>
      </w:r>
      <w:r>
        <w:rPr>
          <w:rFonts w:hint="eastAsia" w:ascii="宋体" w:hAnsi="宋体" w:cs="宋体"/>
          <w:b/>
          <w:bCs/>
          <w:color w:val="auto"/>
          <w:sz w:val="24"/>
          <w:szCs w:val="24"/>
          <w:highlight w:val="none"/>
          <w:lang w:val="en-US" w:eastAsia="zh-CN"/>
        </w:rPr>
        <w:t>。</w:t>
      </w:r>
      <w:r>
        <w:rPr>
          <w:rFonts w:hint="eastAsia" w:ascii="宋体" w:hAnsi="宋体" w:cs="宋体"/>
          <w:color w:val="auto"/>
          <w:sz w:val="24"/>
          <w:szCs w:val="24"/>
          <w:highlight w:val="none"/>
          <w:lang w:val="en-US" w:eastAsia="zh-CN"/>
        </w:rPr>
        <w:t>）</w:t>
      </w:r>
    </w:p>
    <w:p w14:paraId="04BC032F">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2.2.19</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1 </w:t>
      </w:r>
      <w:r>
        <w:rPr>
          <w:rFonts w:hint="default" w:ascii="宋体" w:hAnsi="宋体" w:cs="宋体"/>
          <w:color w:val="auto"/>
          <w:sz w:val="24"/>
          <w:szCs w:val="24"/>
          <w:highlight w:val="none"/>
          <w:lang w:val="en-US" w:eastAsia="zh-CN"/>
        </w:rPr>
        <w:t>具有控制输出接口，可适应同轴开关倒换方式；</w:t>
      </w:r>
    </w:p>
    <w:p w14:paraId="64E811CE">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2.2.19</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2 </w:t>
      </w:r>
      <w:r>
        <w:rPr>
          <w:rFonts w:hint="default" w:ascii="宋体" w:hAnsi="宋体" w:cs="宋体"/>
          <w:color w:val="auto"/>
          <w:sz w:val="24"/>
          <w:szCs w:val="24"/>
          <w:highlight w:val="none"/>
          <w:lang w:val="en-US" w:eastAsia="zh-CN"/>
        </w:rPr>
        <w:t>配合发射机采集器实现对发射机同轴开关的控制；</w:t>
      </w:r>
    </w:p>
    <w:p w14:paraId="1ED1AA10">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2.2.19</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3 </w:t>
      </w:r>
      <w:r>
        <w:rPr>
          <w:rFonts w:hint="default" w:ascii="宋体" w:hAnsi="宋体" w:cs="宋体"/>
          <w:color w:val="auto"/>
          <w:sz w:val="24"/>
          <w:szCs w:val="24"/>
          <w:highlight w:val="none"/>
          <w:lang w:val="en-US" w:eastAsia="zh-CN"/>
        </w:rPr>
        <w:t>具有天线位置指示灯；</w:t>
      </w:r>
    </w:p>
    <w:p w14:paraId="78A65F39">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2.2.19</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4 </w:t>
      </w:r>
      <w:r>
        <w:rPr>
          <w:rFonts w:hint="default" w:ascii="宋体" w:hAnsi="宋体" w:cs="宋体"/>
          <w:color w:val="auto"/>
          <w:sz w:val="24"/>
          <w:szCs w:val="24"/>
          <w:highlight w:val="none"/>
          <w:lang w:val="en-US" w:eastAsia="zh-CN"/>
        </w:rPr>
        <w:t>有主/备发射机天线倒换按键、手动/自动按键；</w:t>
      </w:r>
    </w:p>
    <w:p w14:paraId="7A072CF9">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2.2.19</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5 </w:t>
      </w:r>
      <w:r>
        <w:rPr>
          <w:rFonts w:hint="default" w:ascii="宋体" w:hAnsi="宋体" w:cs="宋体"/>
          <w:color w:val="auto"/>
          <w:sz w:val="24"/>
          <w:szCs w:val="24"/>
          <w:highlight w:val="none"/>
          <w:lang w:val="en-US" w:eastAsia="zh-CN"/>
        </w:rPr>
        <w:t>支持自动（遥控）/手动（本地）切换开关；</w:t>
      </w:r>
    </w:p>
    <w:p w14:paraId="2A3AB552">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2.2.19</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6 </w:t>
      </w:r>
      <w:r>
        <w:rPr>
          <w:rFonts w:hint="default" w:ascii="宋体" w:hAnsi="宋体" w:cs="宋体"/>
          <w:color w:val="auto"/>
          <w:sz w:val="24"/>
          <w:szCs w:val="24"/>
          <w:highlight w:val="none"/>
          <w:lang w:val="en-US" w:eastAsia="zh-CN"/>
        </w:rPr>
        <w:t>支持天线倒换按键；</w:t>
      </w:r>
    </w:p>
    <w:p w14:paraId="0A7A4A7F">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2.2.19</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7 </w:t>
      </w:r>
      <w:r>
        <w:rPr>
          <w:rFonts w:hint="default" w:ascii="宋体" w:hAnsi="宋体" w:cs="宋体"/>
          <w:color w:val="auto"/>
          <w:sz w:val="24"/>
          <w:szCs w:val="24"/>
          <w:highlight w:val="none"/>
          <w:lang w:val="en-US" w:eastAsia="zh-CN"/>
        </w:rPr>
        <w:t>支持天线状态输入接口；</w:t>
      </w:r>
    </w:p>
    <w:p w14:paraId="1BCFFAD6">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2.2.19</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8 </w:t>
      </w:r>
      <w:r>
        <w:rPr>
          <w:rFonts w:hint="default" w:ascii="宋体" w:hAnsi="宋体" w:cs="宋体"/>
          <w:color w:val="auto"/>
          <w:sz w:val="24"/>
          <w:szCs w:val="24"/>
          <w:highlight w:val="none"/>
          <w:lang w:val="en-US" w:eastAsia="zh-CN"/>
        </w:rPr>
        <w:t>支持天线状态输出接口；</w:t>
      </w:r>
    </w:p>
    <w:p w14:paraId="20FEA431">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2.2.19</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9 </w:t>
      </w:r>
      <w:r>
        <w:rPr>
          <w:rFonts w:hint="default" w:ascii="宋体" w:hAnsi="宋体" w:cs="宋体"/>
          <w:color w:val="auto"/>
          <w:sz w:val="24"/>
          <w:szCs w:val="24"/>
          <w:highlight w:val="none"/>
          <w:lang w:val="en-US" w:eastAsia="zh-CN"/>
        </w:rPr>
        <w:t>支持天线控制输出接口；</w:t>
      </w:r>
    </w:p>
    <w:p w14:paraId="2472A185">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2.2.19</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10 </w:t>
      </w:r>
      <w:r>
        <w:rPr>
          <w:rFonts w:hint="default" w:ascii="宋体" w:hAnsi="宋体" w:cs="宋体"/>
          <w:color w:val="auto"/>
          <w:sz w:val="24"/>
          <w:szCs w:val="24"/>
          <w:highlight w:val="none"/>
          <w:lang w:val="en-US" w:eastAsia="zh-CN"/>
        </w:rPr>
        <w:t>应具备连锁控制功能，确保发射机在正常工作状态下同轴开关不能随意转动；</w:t>
      </w:r>
    </w:p>
    <w:p w14:paraId="59F685E9">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0 </w:t>
      </w:r>
      <w:r>
        <w:rPr>
          <w:rFonts w:hint="eastAsia" w:ascii="宋体" w:hAnsi="宋体" w:eastAsia="宋体" w:cs="宋体"/>
          <w:color w:val="auto"/>
          <w:sz w:val="24"/>
          <w:szCs w:val="24"/>
          <w:highlight w:val="none"/>
          <w:lang w:val="en-US" w:eastAsia="zh-CN"/>
        </w:rPr>
        <w:t>设备性能符合下列测试标准</w:t>
      </w:r>
    </w:p>
    <w:p w14:paraId="150C91ED">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0.1 “</w:t>
      </w:r>
      <w:r>
        <w:rPr>
          <w:rFonts w:hint="default" w:ascii="宋体" w:hAnsi="宋体" w:cs="宋体"/>
          <w:color w:val="auto"/>
          <w:sz w:val="24"/>
          <w:szCs w:val="24"/>
          <w:highlight w:val="none"/>
          <w:lang w:val="en-US" w:eastAsia="zh-CN"/>
        </w:rPr>
        <w:t>GY/T 169—2001《米波调频广播发射机技术要求和测量方法》</w:t>
      </w:r>
      <w:r>
        <w:rPr>
          <w:rFonts w:hint="eastAsia" w:ascii="宋体" w:hAnsi="宋体" w:cs="宋体"/>
          <w:color w:val="auto"/>
          <w:sz w:val="24"/>
          <w:szCs w:val="24"/>
          <w:highlight w:val="none"/>
          <w:lang w:val="en-US" w:eastAsia="zh-CN"/>
        </w:rPr>
        <w:t>”</w:t>
      </w:r>
    </w:p>
    <w:p w14:paraId="1F089FBB">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0.2 “</w:t>
      </w:r>
      <w:r>
        <w:rPr>
          <w:rFonts w:hint="default" w:ascii="宋体" w:hAnsi="宋体" w:cs="宋体"/>
          <w:color w:val="auto"/>
          <w:sz w:val="24"/>
          <w:szCs w:val="24"/>
          <w:highlight w:val="none"/>
          <w:lang w:val="en-US" w:eastAsia="zh-CN"/>
        </w:rPr>
        <w:t>GY 5062—1998《电视和调频广播发射（转播）台（站）设计规范》</w:t>
      </w:r>
      <w:r>
        <w:rPr>
          <w:rFonts w:hint="eastAsia" w:ascii="宋体" w:hAnsi="宋体" w:cs="宋体"/>
          <w:color w:val="auto"/>
          <w:sz w:val="24"/>
          <w:szCs w:val="24"/>
          <w:highlight w:val="none"/>
          <w:lang w:val="en-US" w:eastAsia="zh-CN"/>
        </w:rPr>
        <w:t>”</w:t>
      </w:r>
    </w:p>
    <w:p w14:paraId="411213FD">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0.3 “</w:t>
      </w:r>
      <w:r>
        <w:rPr>
          <w:rFonts w:hint="default" w:ascii="宋体" w:hAnsi="宋体" w:cs="宋体"/>
          <w:color w:val="auto"/>
          <w:sz w:val="24"/>
          <w:szCs w:val="24"/>
          <w:highlight w:val="none"/>
          <w:lang w:val="en-US" w:eastAsia="zh-CN"/>
        </w:rPr>
        <w:t>GY/T 5088—2013《电视和调频广播发射天线馈线系统技术指标及测量方法》</w:t>
      </w:r>
      <w:r>
        <w:rPr>
          <w:rFonts w:hint="eastAsia" w:ascii="宋体" w:hAnsi="宋体" w:cs="宋体"/>
          <w:color w:val="auto"/>
          <w:sz w:val="24"/>
          <w:szCs w:val="24"/>
          <w:highlight w:val="none"/>
          <w:lang w:val="en-US" w:eastAsia="zh-CN"/>
        </w:rPr>
        <w:t>”</w:t>
      </w:r>
    </w:p>
    <w:p w14:paraId="0DA038D1">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default" w:ascii="宋体"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0.4 “</w:t>
      </w:r>
      <w:r>
        <w:rPr>
          <w:rFonts w:hint="default" w:ascii="宋体" w:hAnsi="宋体" w:cs="宋体"/>
          <w:color w:val="auto"/>
          <w:sz w:val="24"/>
          <w:szCs w:val="24"/>
          <w:highlight w:val="none"/>
          <w:lang w:val="en-US" w:eastAsia="zh-CN"/>
        </w:rPr>
        <w:t>《广播电视安全播出管理规定》（国家广播电影电视总局令第62号）</w:t>
      </w:r>
      <w:r>
        <w:rPr>
          <w:rFonts w:hint="eastAsia" w:ascii="宋体" w:hAnsi="宋体" w:cs="宋体"/>
          <w:color w:val="auto"/>
          <w:sz w:val="24"/>
          <w:szCs w:val="24"/>
          <w:highlight w:val="none"/>
          <w:lang w:val="en-US" w:eastAsia="zh-CN"/>
        </w:rPr>
        <w:t>”</w:t>
      </w:r>
    </w:p>
    <w:p w14:paraId="7EFCD9A6">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p>
    <w:p w14:paraId="01CC1D73">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firstLine="546" w:firstLineChars="200"/>
        <w:jc w:val="both"/>
        <w:textAlignment w:val="baseline"/>
        <w:outlineLvl w:val="1"/>
        <w:rPr>
          <w:rFonts w:hint="eastAsia" w:ascii="宋体" w:hAnsi="宋体" w:eastAsia="宋体" w:cs="宋体"/>
          <w:b/>
          <w:bCs/>
          <w:color w:val="auto"/>
          <w:spacing w:val="-4"/>
          <w:sz w:val="28"/>
          <w:szCs w:val="28"/>
          <w:highlight w:val="none"/>
          <w:lang w:eastAsia="zh-CN"/>
        </w:rPr>
      </w:pPr>
      <w:bookmarkStart w:id="106" w:name="_Toc16029"/>
      <w:r>
        <w:rPr>
          <w:rFonts w:hint="eastAsia" w:ascii="宋体" w:hAnsi="宋体" w:eastAsia="宋体" w:cs="宋体"/>
          <w:b/>
          <w:bCs/>
          <w:color w:val="auto"/>
          <w:spacing w:val="-4"/>
          <w:sz w:val="28"/>
          <w:szCs w:val="28"/>
          <w:highlight w:val="none"/>
          <w:lang w:val="en-US" w:eastAsia="zh-CN"/>
        </w:rPr>
        <w:t>★三</w:t>
      </w:r>
      <w:r>
        <w:rPr>
          <w:rFonts w:hint="eastAsia" w:ascii="宋体" w:hAnsi="宋体" w:eastAsia="宋体" w:cs="宋体"/>
          <w:b/>
          <w:bCs/>
          <w:color w:val="auto"/>
          <w:spacing w:val="-4"/>
          <w:sz w:val="28"/>
          <w:szCs w:val="28"/>
          <w:highlight w:val="none"/>
          <w:lang w:eastAsia="zh-CN"/>
        </w:rPr>
        <w:t>、商务要求</w:t>
      </w:r>
      <w:bookmarkEnd w:id="106"/>
    </w:p>
    <w:p w14:paraId="091B53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合同履约期限：</w:t>
      </w:r>
      <w:bookmarkStart w:id="425" w:name="_GoBack"/>
      <w:r>
        <w:rPr>
          <w:rFonts w:hint="eastAsia" w:ascii="宋体" w:hAnsi="宋体" w:cs="宋体"/>
          <w:color w:val="auto"/>
          <w:sz w:val="24"/>
          <w:szCs w:val="24"/>
          <w:highlight w:val="none"/>
          <w:lang w:val="en-US" w:eastAsia="zh-CN"/>
        </w:rPr>
        <w:t>自合同签订生效之日起60日历日内完成供货、安装调试及验收</w:t>
      </w:r>
    </w:p>
    <w:bookmarkEnd w:id="425"/>
    <w:p w14:paraId="7BF30F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3.2付款方式：</w:t>
      </w:r>
      <w:r>
        <w:rPr>
          <w:rFonts w:hint="eastAsia" w:ascii="宋体" w:hAnsi="宋体" w:cs="宋体"/>
          <w:color w:val="auto"/>
          <w:sz w:val="24"/>
          <w:szCs w:val="24"/>
          <w:highlight w:val="none"/>
          <w:lang w:val="en-US" w:eastAsia="zh-CN"/>
        </w:rPr>
        <w:t>合同签订后支付合同价款30%，货到安装调试使用正常后支付合同价款60%，剩余合同价款10%待稳定运行3个月后一次性无息支付</w:t>
      </w:r>
      <w:r>
        <w:rPr>
          <w:rFonts w:hint="eastAsia" w:ascii="宋体" w:hAnsi="宋体" w:eastAsia="宋体" w:cs="宋体"/>
          <w:color w:val="auto"/>
          <w:sz w:val="24"/>
          <w:szCs w:val="24"/>
          <w:highlight w:val="none"/>
          <w:lang w:val="en-US" w:eastAsia="zh-CN"/>
        </w:rPr>
        <w:t>（最终以双方合同签订为准）</w:t>
      </w:r>
    </w:p>
    <w:p w14:paraId="0B2D65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3.3交货地点：采购人指定地点</w:t>
      </w:r>
    </w:p>
    <w:p w14:paraId="6EA266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3.4质保期</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w:t>
      </w:r>
    </w:p>
    <w:p w14:paraId="667AA1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3.5质量标准：符合国家或行业相关标准</w:t>
      </w:r>
    </w:p>
    <w:p w14:paraId="7FA72F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3.6验收标准：符合我国国家有关技术规范和技术标准，应与产品原始样本技术资料及标书技术文件一致；</w:t>
      </w:r>
    </w:p>
    <w:p w14:paraId="277F98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07" w:name="_Toc482711985"/>
      <w:r>
        <w:rPr>
          <w:rFonts w:hint="eastAsia" w:ascii="宋体" w:hAnsi="宋体" w:eastAsia="宋体" w:cs="宋体"/>
          <w:color w:val="auto"/>
          <w:sz w:val="24"/>
          <w:szCs w:val="24"/>
          <w:highlight w:val="none"/>
          <w:lang w:val="en-US" w:eastAsia="zh-CN"/>
        </w:rPr>
        <w:t>3.6.1供应商提供的产品为全新未使用且符合相关法律法规要求的合格产品。</w:t>
      </w:r>
    </w:p>
    <w:bookmarkEnd w:id="107"/>
    <w:p w14:paraId="3B1570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3.6.2供应商提供的产品型号、规格等与投标文件、合同规定内容完全一致，且满足采购方提出的采购需求。</w:t>
      </w:r>
    </w:p>
    <w:p w14:paraId="02F83A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3.6.3货物到达现场后，供应商应在使用单位人员在场情况下当面共同清点、检查，作出检查记录，双方签字确认。</w:t>
      </w:r>
    </w:p>
    <w:p w14:paraId="477DBC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3.6.4货物验收时，供应商向采购人提供生产厂家出具的验收报告、合格证、厂家资格证件等相关文件。</w:t>
      </w:r>
    </w:p>
    <w:p w14:paraId="1CEF9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3.6.5供应商提供的货物未达到采购文件规定要求，且对采购人造成损失的，由供应商承担一切责任，并赔偿所造成的损失。</w:t>
      </w:r>
    </w:p>
    <w:p w14:paraId="502C54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3.7售后服务</w:t>
      </w:r>
    </w:p>
    <w:p w14:paraId="0D9353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3.7.1质保期内实行“三包”服务，如出现质量问题，生产厂家负责修复、更换或退货，保证终身提供所供产品的所有维修零备件，并承担质保期内发生的一切费用，提供以上承诺以及相关流程的书面方案。</w:t>
      </w:r>
    </w:p>
    <w:p w14:paraId="66C1D6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3.7.2提供24小时售后服务电话，方便应急解决产品所发生的问题。售后服务必须做30分钟内响应。</w:t>
      </w:r>
    </w:p>
    <w:p w14:paraId="775748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3.7.3产品送至用户指定地点，必须外包装完好且无拆封痕迹，符合冷链运输的要求，根据甲方需求分批送货，双方签收必须工作人员到场，拆封验收时必须内包装完好无损，按照要求定期回访巡查，必须满足售后服务响应时间。</w:t>
      </w:r>
    </w:p>
    <w:p w14:paraId="005C7C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所有费用</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运输保险费、安装调试费、培训费、设备第三方检测费、网络接口费、标配工具费、质保期服务、各项税费及合同实施过程中不可预见费用等</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均含在报价单中。</w:t>
      </w:r>
    </w:p>
    <w:p w14:paraId="3A8923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中标人与采购人签订合同前需提供所投产品生产厂家授权书、检验报告、中标通知书、采购合同原件供采购人查验，如提供虚假材料或无法提供则视为无效中标。</w:t>
      </w:r>
    </w:p>
    <w:p w14:paraId="3017E2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p>
    <w:p w14:paraId="0D2C733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备注：商务要求为实质性响应条款，不允许出现负偏离，否则作投标无效处理。</w:t>
      </w:r>
    </w:p>
    <w:p w14:paraId="70026A1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10F2515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p>
    <w:p w14:paraId="3F7E10B4">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bookmarkEnd w:id="94"/>
    <w:p w14:paraId="3D35CFAF">
      <w:pPr>
        <w:pStyle w:val="2"/>
        <w:keepNext/>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32"/>
          <w:szCs w:val="32"/>
          <w:highlight w:val="none"/>
          <w:lang w:val="en-US" w:eastAsia="zh-CN"/>
        </w:rPr>
      </w:pPr>
      <w:bookmarkStart w:id="108" w:name="_Toc6965"/>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四</w:t>
      </w:r>
      <w:r>
        <w:rPr>
          <w:rFonts w:hint="eastAsia" w:ascii="宋体" w:hAnsi="宋体" w:eastAsia="宋体" w:cs="宋体"/>
          <w:color w:val="auto"/>
          <w:sz w:val="32"/>
          <w:szCs w:val="32"/>
          <w:highlight w:val="none"/>
          <w:lang w:val="en-US" w:eastAsia="zh-CN"/>
        </w:rPr>
        <w:t>章</w:t>
      </w:r>
      <w:r>
        <w:rPr>
          <w:rFonts w:hint="eastAsia" w:ascii="宋体" w:hAnsi="宋体" w:eastAsia="宋体" w:cs="宋体"/>
          <w:color w:val="auto"/>
          <w:sz w:val="32"/>
          <w:szCs w:val="32"/>
          <w:highlight w:val="none"/>
        </w:rPr>
        <w:t xml:space="preserve"> </w:t>
      </w:r>
      <w:bookmarkEnd w:id="95"/>
      <w:bookmarkEnd w:id="96"/>
      <w:bookmarkStart w:id="109" w:name="_Hlt101846155"/>
      <w:bookmarkEnd w:id="109"/>
      <w:bookmarkStart w:id="110" w:name="_Toc183582280"/>
      <w:bookmarkStart w:id="111" w:name="_Toc208849007"/>
      <w:bookmarkStart w:id="112" w:name="_Toc183682415"/>
      <w:bookmarkStart w:id="113" w:name="_Toc217446097"/>
      <w:r>
        <w:rPr>
          <w:rFonts w:hint="eastAsia" w:ascii="宋体" w:hAnsi="宋体" w:eastAsia="宋体" w:cs="宋体"/>
          <w:color w:val="auto"/>
          <w:sz w:val="32"/>
          <w:szCs w:val="32"/>
          <w:highlight w:val="none"/>
          <w:lang w:val="en-US" w:eastAsia="zh-CN"/>
        </w:rPr>
        <w:t>资格审查</w:t>
      </w:r>
      <w:bookmarkEnd w:id="108"/>
    </w:p>
    <w:bookmarkEnd w:id="110"/>
    <w:bookmarkEnd w:id="111"/>
    <w:bookmarkEnd w:id="112"/>
    <w:bookmarkEnd w:id="113"/>
    <w:p w14:paraId="197CB4FD">
      <w:pPr>
        <w:pStyle w:val="15"/>
        <w:keepNext w:val="0"/>
        <w:keepLines w:val="0"/>
        <w:pageBreakBefore w:val="0"/>
        <w:widowControl w:val="0"/>
        <w:kinsoku/>
        <w:wordWrap w:val="0"/>
        <w:overflowPunct/>
        <w:topLinePunct/>
        <w:autoSpaceDE/>
        <w:autoSpaceDN/>
        <w:bidi w:val="0"/>
        <w:adjustRightInd w:val="0"/>
        <w:snapToGrid w:val="0"/>
        <w:spacing w:line="360" w:lineRule="auto"/>
        <w:ind w:firstLine="546" w:firstLineChars="200"/>
        <w:jc w:val="both"/>
        <w:textAlignment w:val="auto"/>
        <w:outlineLvl w:val="1"/>
        <w:rPr>
          <w:rFonts w:hint="eastAsia" w:ascii="宋体" w:hAnsi="宋体" w:eastAsia="宋体" w:cs="宋体"/>
          <w:b/>
          <w:bCs/>
          <w:color w:val="auto"/>
          <w:sz w:val="28"/>
          <w:szCs w:val="28"/>
          <w:highlight w:val="none"/>
        </w:rPr>
      </w:pPr>
      <w:bookmarkStart w:id="114" w:name="bookmark59"/>
      <w:bookmarkEnd w:id="114"/>
      <w:bookmarkStart w:id="115" w:name="_Toc30268"/>
      <w:bookmarkStart w:id="116" w:name="_Toc29361"/>
      <w:bookmarkStart w:id="117" w:name="_Toc31634"/>
      <w:r>
        <w:rPr>
          <w:rFonts w:hint="eastAsia" w:ascii="宋体" w:hAnsi="宋体" w:eastAsia="宋体" w:cs="宋体"/>
          <w:b/>
          <w:bCs/>
          <w:color w:val="auto"/>
          <w:spacing w:val="-4"/>
          <w:sz w:val="28"/>
          <w:szCs w:val="28"/>
          <w:highlight w:val="none"/>
        </w:rPr>
        <w:t>一、资格审查程序</w:t>
      </w:r>
      <w:bookmarkEnd w:id="115"/>
      <w:bookmarkEnd w:id="116"/>
      <w:bookmarkEnd w:id="117"/>
    </w:p>
    <w:p w14:paraId="4E59FC8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开标结束后，采购人或采购代理机构将根据《资格审查要求》中的规定，</w:t>
      </w:r>
      <w:r>
        <w:rPr>
          <w:rFonts w:hint="eastAsia" w:ascii="宋体" w:hAnsi="宋体" w:eastAsia="宋体" w:cs="宋体"/>
          <w:color w:val="auto"/>
          <w:spacing w:val="-1"/>
          <w:sz w:val="24"/>
          <w:szCs w:val="24"/>
          <w:highlight w:val="none"/>
        </w:rPr>
        <w:t>对投标人进行资格审查，并形成资格审查结果。</w:t>
      </w:r>
    </w:p>
    <w:p w14:paraId="487272B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w:t>
      </w:r>
      <w:r>
        <w:rPr>
          <w:rFonts w:hint="eastAsia"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投标人《资格证明文件》有任何一项不符合《资格</w:t>
      </w:r>
      <w:r>
        <w:rPr>
          <w:rFonts w:hint="eastAsia" w:ascii="宋体" w:hAnsi="宋体" w:eastAsia="宋体" w:cs="宋体"/>
          <w:color w:val="auto"/>
          <w:spacing w:val="-4"/>
          <w:sz w:val="24"/>
          <w:szCs w:val="24"/>
          <w:highlight w:val="none"/>
        </w:rPr>
        <w:t>审查要求》的，资格审</w:t>
      </w:r>
      <w:r>
        <w:rPr>
          <w:rFonts w:hint="eastAsia" w:ascii="宋体" w:hAnsi="宋体" w:eastAsia="宋体" w:cs="宋体"/>
          <w:color w:val="auto"/>
          <w:spacing w:val="-2"/>
          <w:sz w:val="24"/>
          <w:szCs w:val="24"/>
          <w:highlight w:val="none"/>
        </w:rPr>
        <w:t>查不合格，其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3775616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资格审查合格的投标人不足3家的，不进行评标。</w:t>
      </w:r>
    </w:p>
    <w:p w14:paraId="335FD443">
      <w:pPr>
        <w:pStyle w:val="15"/>
        <w:keepNext w:val="0"/>
        <w:keepLines w:val="0"/>
        <w:pageBreakBefore w:val="0"/>
        <w:widowControl w:val="0"/>
        <w:kinsoku/>
        <w:wordWrap w:val="0"/>
        <w:overflowPunct/>
        <w:topLinePunct/>
        <w:autoSpaceDE/>
        <w:autoSpaceDN/>
        <w:bidi w:val="0"/>
        <w:adjustRightInd w:val="0"/>
        <w:snapToGrid w:val="0"/>
        <w:spacing w:line="360" w:lineRule="auto"/>
        <w:ind w:firstLine="546" w:firstLineChars="200"/>
        <w:jc w:val="both"/>
        <w:textAlignment w:val="auto"/>
        <w:outlineLvl w:val="1"/>
        <w:rPr>
          <w:rFonts w:hint="eastAsia" w:ascii="宋体" w:hAnsi="宋体" w:eastAsia="宋体" w:cs="宋体"/>
          <w:b/>
          <w:bCs/>
          <w:color w:val="auto"/>
          <w:spacing w:val="-4"/>
          <w:sz w:val="28"/>
          <w:szCs w:val="28"/>
          <w:highlight w:val="none"/>
        </w:rPr>
      </w:pPr>
      <w:bookmarkStart w:id="118" w:name="_Toc9438"/>
      <w:bookmarkStart w:id="119" w:name="_Toc9664"/>
      <w:bookmarkStart w:id="120" w:name="_Toc31431"/>
      <w:r>
        <w:rPr>
          <w:rFonts w:hint="eastAsia" w:ascii="宋体" w:hAnsi="宋体" w:eastAsia="宋体" w:cs="宋体"/>
          <w:b/>
          <w:bCs/>
          <w:color w:val="auto"/>
          <w:spacing w:val="-4"/>
          <w:sz w:val="28"/>
          <w:szCs w:val="28"/>
          <w:highlight w:val="none"/>
        </w:rPr>
        <w:t>二、资格审查要求</w:t>
      </w:r>
      <w:bookmarkEnd w:id="118"/>
      <w:bookmarkEnd w:id="119"/>
      <w:bookmarkEnd w:id="120"/>
    </w:p>
    <w:p w14:paraId="49F79691">
      <w:pPr>
        <w:keepLines w:val="0"/>
        <w:pageBreakBefore w:val="0"/>
        <w:widowControl w:val="0"/>
        <w:kinsoku/>
        <w:overflowPunct/>
        <w:autoSpaceDE/>
        <w:autoSpaceDN/>
        <w:bidi w:val="0"/>
        <w:adjustRightInd w:val="0"/>
        <w:snapToGrid w:val="0"/>
        <w:spacing w:line="360" w:lineRule="auto"/>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eastAsia="zh-CN"/>
        </w:rPr>
        <w:t>资格性</w:t>
      </w:r>
      <w:r>
        <w:rPr>
          <w:rFonts w:hint="eastAsia" w:ascii="宋体" w:hAnsi="宋体" w:eastAsia="宋体" w:cs="宋体"/>
          <w:b/>
          <w:bCs/>
          <w:color w:val="auto"/>
          <w:kern w:val="0"/>
          <w:sz w:val="24"/>
          <w:highlight w:val="none"/>
        </w:rPr>
        <w:t>审查表</w:t>
      </w:r>
    </w:p>
    <w:tbl>
      <w:tblPr>
        <w:tblStyle w:val="36"/>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382"/>
        <w:gridCol w:w="2425"/>
        <w:gridCol w:w="5237"/>
      </w:tblGrid>
      <w:tr w14:paraId="70C9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30" w:type="dxa"/>
            <w:noWrap w:val="0"/>
            <w:vAlign w:val="center"/>
          </w:tcPr>
          <w:p w14:paraId="604C09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序号</w:t>
            </w:r>
          </w:p>
        </w:tc>
        <w:tc>
          <w:tcPr>
            <w:tcW w:w="1382" w:type="dxa"/>
            <w:noWrap w:val="0"/>
            <w:vAlign w:val="center"/>
          </w:tcPr>
          <w:p w14:paraId="735DAF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类型</w:t>
            </w:r>
          </w:p>
        </w:tc>
        <w:tc>
          <w:tcPr>
            <w:tcW w:w="2425" w:type="dxa"/>
            <w:noWrap w:val="0"/>
            <w:vAlign w:val="center"/>
          </w:tcPr>
          <w:p w14:paraId="18500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审查要求</w:t>
            </w:r>
          </w:p>
        </w:tc>
        <w:tc>
          <w:tcPr>
            <w:tcW w:w="5237" w:type="dxa"/>
            <w:noWrap w:val="0"/>
            <w:vAlign w:val="center"/>
          </w:tcPr>
          <w:p w14:paraId="247CE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要求说明</w:t>
            </w:r>
          </w:p>
        </w:tc>
      </w:tr>
      <w:tr w14:paraId="3229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30" w:type="dxa"/>
            <w:shd w:val="clear" w:color="auto" w:fill="auto"/>
            <w:noWrap w:val="0"/>
            <w:vAlign w:val="center"/>
          </w:tcPr>
          <w:p w14:paraId="79E2E2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w:t>
            </w:r>
          </w:p>
        </w:tc>
        <w:tc>
          <w:tcPr>
            <w:tcW w:w="1382" w:type="dxa"/>
            <w:shd w:val="clear" w:color="auto" w:fill="auto"/>
            <w:noWrap w:val="0"/>
            <w:vAlign w:val="center"/>
          </w:tcPr>
          <w:p w14:paraId="2E1A1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eastAsia="zh-CN"/>
              </w:rPr>
              <w:t>基本资质</w:t>
            </w:r>
          </w:p>
        </w:tc>
        <w:tc>
          <w:tcPr>
            <w:tcW w:w="2425" w:type="dxa"/>
            <w:noWrap w:val="0"/>
            <w:vAlign w:val="center"/>
          </w:tcPr>
          <w:p w14:paraId="7B9307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满足《政府采购法》第二十二条规定</w:t>
            </w:r>
          </w:p>
        </w:tc>
        <w:tc>
          <w:tcPr>
            <w:tcW w:w="5237" w:type="dxa"/>
            <w:noWrap w:val="0"/>
            <w:vAlign w:val="center"/>
          </w:tcPr>
          <w:p w14:paraId="467E6A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具体规定见“第一章招标公告”</w:t>
            </w:r>
          </w:p>
        </w:tc>
      </w:tr>
      <w:tr w14:paraId="2E72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730" w:type="dxa"/>
            <w:shd w:val="clear" w:color="auto" w:fill="auto"/>
            <w:noWrap w:val="0"/>
            <w:vAlign w:val="center"/>
          </w:tcPr>
          <w:p w14:paraId="50377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1-1</w:t>
            </w:r>
          </w:p>
        </w:tc>
        <w:tc>
          <w:tcPr>
            <w:tcW w:w="1382" w:type="dxa"/>
            <w:shd w:val="clear" w:color="auto" w:fill="auto"/>
            <w:noWrap w:val="0"/>
            <w:vAlign w:val="center"/>
          </w:tcPr>
          <w:p w14:paraId="1DEAF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eastAsia="zh-CN"/>
              </w:rPr>
              <w:t>基本资质</w:t>
            </w:r>
            <w:r>
              <w:rPr>
                <w:rFonts w:hint="eastAsia" w:ascii="宋体" w:hAnsi="宋体" w:cs="宋体"/>
                <w:b w:val="0"/>
                <w:bCs/>
                <w:color w:val="auto"/>
                <w:kern w:val="0"/>
                <w:sz w:val="24"/>
                <w:szCs w:val="24"/>
                <w:highlight w:val="none"/>
                <w:vertAlign w:val="baseline"/>
                <w:lang w:val="en-US" w:eastAsia="zh-CN"/>
              </w:rPr>
              <w:t>1</w:t>
            </w:r>
          </w:p>
        </w:tc>
        <w:tc>
          <w:tcPr>
            <w:tcW w:w="2425" w:type="dxa"/>
            <w:noWrap w:val="0"/>
            <w:vAlign w:val="center"/>
          </w:tcPr>
          <w:p w14:paraId="07DA3D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具有独立承担民事责任的能力的投标人</w:t>
            </w:r>
          </w:p>
        </w:tc>
        <w:tc>
          <w:tcPr>
            <w:tcW w:w="5237" w:type="dxa"/>
            <w:noWrap w:val="0"/>
            <w:vAlign w:val="center"/>
          </w:tcPr>
          <w:p w14:paraId="09B269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提供有效“营业执照”或“事业单位法人证书”或“执业许可证”或“登记证书”或“自然人身份证”扫描件加盖投标人公章。</w:t>
            </w:r>
          </w:p>
          <w:p w14:paraId="09FC4D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w:t>
            </w:r>
          </w:p>
        </w:tc>
      </w:tr>
      <w:tr w14:paraId="5105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730" w:type="dxa"/>
            <w:shd w:val="clear" w:color="auto" w:fill="auto"/>
            <w:noWrap w:val="0"/>
            <w:vAlign w:val="center"/>
          </w:tcPr>
          <w:p w14:paraId="21E289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1-2</w:t>
            </w:r>
          </w:p>
        </w:tc>
        <w:tc>
          <w:tcPr>
            <w:tcW w:w="1382" w:type="dxa"/>
            <w:shd w:val="clear" w:color="auto" w:fill="auto"/>
            <w:noWrap w:val="0"/>
            <w:vAlign w:val="center"/>
          </w:tcPr>
          <w:p w14:paraId="6AD0F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eastAsia="zh-CN"/>
              </w:rPr>
              <w:t>基本资质</w:t>
            </w:r>
            <w:r>
              <w:rPr>
                <w:rFonts w:hint="eastAsia" w:ascii="宋体" w:hAnsi="宋体" w:cs="宋体"/>
                <w:b w:val="0"/>
                <w:bCs/>
                <w:color w:val="auto"/>
                <w:kern w:val="0"/>
                <w:sz w:val="24"/>
                <w:szCs w:val="24"/>
                <w:highlight w:val="none"/>
                <w:vertAlign w:val="baseline"/>
                <w:lang w:val="en-US" w:eastAsia="zh-CN"/>
              </w:rPr>
              <w:t>2</w:t>
            </w:r>
          </w:p>
        </w:tc>
        <w:tc>
          <w:tcPr>
            <w:tcW w:w="2425" w:type="dxa"/>
            <w:shd w:val="clear" w:color="auto" w:fill="auto"/>
            <w:noWrap w:val="0"/>
            <w:vAlign w:val="center"/>
          </w:tcPr>
          <w:p w14:paraId="1208A6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sz w:val="24"/>
                <w:szCs w:val="24"/>
                <w:highlight w:val="none"/>
                <w:lang w:val="en-US" w:eastAsia="zh-CN"/>
              </w:rPr>
              <w:t>投标人信用承诺函</w:t>
            </w:r>
          </w:p>
        </w:tc>
        <w:tc>
          <w:tcPr>
            <w:tcW w:w="5237" w:type="dxa"/>
            <w:shd w:val="clear" w:color="auto" w:fill="auto"/>
            <w:noWrap w:val="0"/>
            <w:vAlign w:val="center"/>
          </w:tcPr>
          <w:p w14:paraId="6F7C64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highlight w:val="none"/>
                <w:lang w:val="en-US" w:eastAsia="zh-CN" w:bidi="ar-SA"/>
              </w:rPr>
            </w:pPr>
            <w:r>
              <w:rPr>
                <w:rFonts w:hint="eastAsia" w:ascii="宋体" w:hAnsi="宋体" w:cs="宋体"/>
                <w:color w:val="auto"/>
                <w:kern w:val="0"/>
                <w:sz w:val="24"/>
                <w:highlight w:val="none"/>
                <w:lang w:eastAsia="zh-CN"/>
              </w:rPr>
              <w:t>提供符合采购文件要求的《政府采购供应商信用承诺函》</w:t>
            </w:r>
          </w:p>
        </w:tc>
      </w:tr>
      <w:tr w14:paraId="4225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30" w:type="dxa"/>
            <w:shd w:val="clear" w:color="auto" w:fill="auto"/>
            <w:noWrap w:val="0"/>
            <w:vAlign w:val="center"/>
          </w:tcPr>
          <w:p w14:paraId="2F44AA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1-3</w:t>
            </w:r>
          </w:p>
        </w:tc>
        <w:tc>
          <w:tcPr>
            <w:tcW w:w="1382" w:type="dxa"/>
            <w:shd w:val="clear" w:color="auto" w:fill="auto"/>
            <w:noWrap w:val="0"/>
            <w:vAlign w:val="center"/>
          </w:tcPr>
          <w:p w14:paraId="4A68CE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eastAsia="zh-CN"/>
              </w:rPr>
              <w:t>基本资质</w:t>
            </w:r>
            <w:r>
              <w:rPr>
                <w:rFonts w:hint="eastAsia" w:ascii="宋体" w:hAnsi="宋体" w:cs="宋体"/>
                <w:b w:val="0"/>
                <w:bCs/>
                <w:color w:val="auto"/>
                <w:kern w:val="0"/>
                <w:sz w:val="24"/>
                <w:szCs w:val="24"/>
                <w:highlight w:val="none"/>
                <w:vertAlign w:val="baseline"/>
                <w:lang w:val="en-US" w:eastAsia="zh-CN"/>
              </w:rPr>
              <w:t>3</w:t>
            </w:r>
          </w:p>
        </w:tc>
        <w:tc>
          <w:tcPr>
            <w:tcW w:w="2425" w:type="dxa"/>
            <w:shd w:val="clear" w:color="auto" w:fill="auto"/>
            <w:noWrap w:val="0"/>
            <w:vAlign w:val="center"/>
          </w:tcPr>
          <w:p w14:paraId="56A90E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5237" w:type="dxa"/>
            <w:shd w:val="clear" w:color="auto" w:fill="auto"/>
            <w:noWrap w:val="0"/>
            <w:vAlign w:val="center"/>
          </w:tcPr>
          <w:p w14:paraId="61C7FF6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color w:val="auto"/>
                <w:sz w:val="24"/>
                <w:szCs w:val="24"/>
                <w:highlight w:val="none"/>
                <w:lang w:val="zh-CN" w:eastAsia="zh-CN"/>
              </w:rPr>
              <w:t>提供上年度财务审计报告或近一年内出具的银行资信证明加盖投标人公章；新成立不满1年的投标人，提供投标截止时间前1个月的财务报表（包括：资产负债表、利润表、现金流量表）加盖投标人公章</w:t>
            </w:r>
          </w:p>
        </w:tc>
      </w:tr>
      <w:tr w14:paraId="2BA0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730" w:type="dxa"/>
            <w:shd w:val="clear" w:color="auto" w:fill="auto"/>
            <w:noWrap w:val="0"/>
            <w:vAlign w:val="center"/>
          </w:tcPr>
          <w:p w14:paraId="79B3F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1-4</w:t>
            </w:r>
          </w:p>
        </w:tc>
        <w:tc>
          <w:tcPr>
            <w:tcW w:w="1382" w:type="dxa"/>
            <w:shd w:val="clear" w:color="auto" w:fill="auto"/>
            <w:noWrap w:val="0"/>
            <w:vAlign w:val="center"/>
          </w:tcPr>
          <w:p w14:paraId="4E135A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eastAsia="zh-CN"/>
              </w:rPr>
              <w:t>基本资质</w:t>
            </w:r>
            <w:r>
              <w:rPr>
                <w:rFonts w:hint="eastAsia" w:ascii="宋体" w:hAnsi="宋体" w:cs="宋体"/>
                <w:b w:val="0"/>
                <w:bCs/>
                <w:color w:val="auto"/>
                <w:kern w:val="0"/>
                <w:sz w:val="24"/>
                <w:szCs w:val="24"/>
                <w:highlight w:val="none"/>
                <w:vertAlign w:val="baseline"/>
                <w:lang w:val="en-US" w:eastAsia="zh-CN"/>
              </w:rPr>
              <w:t>4</w:t>
            </w:r>
          </w:p>
        </w:tc>
        <w:tc>
          <w:tcPr>
            <w:tcW w:w="2425" w:type="dxa"/>
            <w:shd w:val="clear" w:color="auto" w:fill="auto"/>
            <w:noWrap w:val="0"/>
            <w:vAlign w:val="center"/>
          </w:tcPr>
          <w:p w14:paraId="4BBC319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有依法缴纳税收和社会保障资金的良好记录</w:t>
            </w:r>
          </w:p>
        </w:tc>
        <w:tc>
          <w:tcPr>
            <w:tcW w:w="5237" w:type="dxa"/>
            <w:shd w:val="clear" w:color="auto" w:fill="auto"/>
            <w:noWrap w:val="0"/>
            <w:vAlign w:val="center"/>
          </w:tcPr>
          <w:p w14:paraId="24FA72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提供近6个月内至少1个月的依法缴纳税收的完税证明和社保缴纳证明加盖投标人公章；供应商依法享受缓缴、免缴税收，免缴社会保障资金的提供证明材料加盖投标人公章</w:t>
            </w:r>
          </w:p>
        </w:tc>
      </w:tr>
      <w:tr w14:paraId="0E0F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730" w:type="dxa"/>
            <w:shd w:val="clear" w:color="auto" w:fill="auto"/>
            <w:noWrap w:val="0"/>
            <w:vAlign w:val="center"/>
          </w:tcPr>
          <w:p w14:paraId="05A4D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1-5</w:t>
            </w:r>
          </w:p>
        </w:tc>
        <w:tc>
          <w:tcPr>
            <w:tcW w:w="1382" w:type="dxa"/>
            <w:shd w:val="clear" w:color="auto" w:fill="auto"/>
            <w:noWrap w:val="0"/>
            <w:vAlign w:val="center"/>
          </w:tcPr>
          <w:p w14:paraId="63C86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eastAsia="zh-CN"/>
              </w:rPr>
              <w:t>基本资质</w:t>
            </w:r>
            <w:r>
              <w:rPr>
                <w:rFonts w:hint="eastAsia" w:ascii="宋体" w:hAnsi="宋体" w:cs="宋体"/>
                <w:b w:val="0"/>
                <w:bCs/>
                <w:color w:val="auto"/>
                <w:kern w:val="0"/>
                <w:sz w:val="24"/>
                <w:szCs w:val="24"/>
                <w:highlight w:val="none"/>
                <w:vertAlign w:val="baseline"/>
                <w:lang w:val="en-US" w:eastAsia="zh-CN"/>
              </w:rPr>
              <w:t>5</w:t>
            </w:r>
          </w:p>
        </w:tc>
        <w:tc>
          <w:tcPr>
            <w:tcW w:w="2425" w:type="dxa"/>
            <w:shd w:val="clear" w:color="auto" w:fill="auto"/>
            <w:noWrap w:val="0"/>
            <w:vAlign w:val="center"/>
          </w:tcPr>
          <w:p w14:paraId="0F5465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投标人信用记录</w:t>
            </w:r>
          </w:p>
        </w:tc>
        <w:tc>
          <w:tcPr>
            <w:tcW w:w="5237" w:type="dxa"/>
            <w:shd w:val="clear" w:color="auto" w:fill="auto"/>
            <w:noWrap w:val="0"/>
            <w:vAlign w:val="center"/>
          </w:tcPr>
          <w:p w14:paraId="348426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查询渠道：信用中国网站和中国政府采购网(</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"https://www.creditchina.gov.cn"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www.creditchina.gov.cn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"https://www.ccgp.gov.cn"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www.ccgp.gov.cn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p w14:paraId="7DBB10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截止时点：投标截止时间以后、资格审查阶段采购人或采购代理机构的实际查询时间；</w:t>
            </w:r>
          </w:p>
          <w:p w14:paraId="19066A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信用信息查询记录和证据留存具体方式：查询结果网页打印页作为查询记录和证据，与其他采购文件一并保存；</w:t>
            </w:r>
          </w:p>
          <w:p w14:paraId="78D018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。联合体形式投标的，联合体成员存在不良信用记录，视同联合体存在不良信用记录。</w:t>
            </w:r>
          </w:p>
        </w:tc>
      </w:tr>
      <w:tr w14:paraId="5B5F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30" w:type="dxa"/>
            <w:noWrap w:val="0"/>
            <w:vAlign w:val="center"/>
          </w:tcPr>
          <w:p w14:paraId="67435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8</w:t>
            </w:r>
          </w:p>
        </w:tc>
        <w:tc>
          <w:tcPr>
            <w:tcW w:w="1382" w:type="dxa"/>
            <w:noWrap w:val="0"/>
            <w:vAlign w:val="center"/>
          </w:tcPr>
          <w:p w14:paraId="7B83B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sz w:val="24"/>
                <w:szCs w:val="24"/>
                <w:highlight w:val="none"/>
              </w:rPr>
              <w:t>采购政策需满足的资格要求</w:t>
            </w:r>
          </w:p>
        </w:tc>
        <w:tc>
          <w:tcPr>
            <w:tcW w:w="2425" w:type="dxa"/>
            <w:noWrap w:val="0"/>
            <w:vAlign w:val="center"/>
          </w:tcPr>
          <w:p w14:paraId="171FD9C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专门面向中小企业预留采购项目</w:t>
            </w:r>
          </w:p>
        </w:tc>
        <w:tc>
          <w:tcPr>
            <w:tcW w:w="5237" w:type="dxa"/>
            <w:noWrap w:val="0"/>
            <w:vAlign w:val="center"/>
          </w:tcPr>
          <w:p w14:paraId="181D12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highlight w:val="none"/>
                <w:lang w:eastAsia="zh-CN"/>
              </w:rPr>
              <w:t>请根据要求单独上传《中小企业声明函》</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格式以采购文件要求为准</w:t>
            </w:r>
          </w:p>
        </w:tc>
      </w:tr>
      <w:tr w14:paraId="5800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30" w:type="dxa"/>
            <w:noWrap w:val="0"/>
            <w:vAlign w:val="center"/>
          </w:tcPr>
          <w:p w14:paraId="294F62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9</w:t>
            </w:r>
          </w:p>
        </w:tc>
        <w:tc>
          <w:tcPr>
            <w:tcW w:w="1382" w:type="dxa"/>
            <w:noWrap w:val="0"/>
            <w:vAlign w:val="center"/>
          </w:tcPr>
          <w:p w14:paraId="279EEE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特定资质</w:t>
            </w:r>
          </w:p>
        </w:tc>
        <w:tc>
          <w:tcPr>
            <w:tcW w:w="2425" w:type="dxa"/>
            <w:noWrap w:val="0"/>
            <w:vAlign w:val="center"/>
          </w:tcPr>
          <w:p w14:paraId="0655EDE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2"/>
                <w:sz w:val="24"/>
                <w:szCs w:val="24"/>
                <w:highlight w:val="none"/>
                <w:lang w:val="en-US" w:eastAsia="zh-CN" w:bidi="ar-SA"/>
              </w:rPr>
              <w:t>/</w:t>
            </w:r>
          </w:p>
        </w:tc>
        <w:tc>
          <w:tcPr>
            <w:tcW w:w="5237" w:type="dxa"/>
            <w:noWrap w:val="0"/>
            <w:vAlign w:val="center"/>
          </w:tcPr>
          <w:p w14:paraId="3FC8B0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2"/>
                <w:sz w:val="24"/>
                <w:szCs w:val="24"/>
                <w:highlight w:val="none"/>
                <w:lang w:val="en-US" w:eastAsia="zh-CN" w:bidi="ar-SA"/>
              </w:rPr>
              <w:t>/</w:t>
            </w:r>
          </w:p>
        </w:tc>
      </w:tr>
      <w:tr w14:paraId="670D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30" w:type="dxa"/>
            <w:noWrap w:val="0"/>
            <w:vAlign w:val="center"/>
          </w:tcPr>
          <w:p w14:paraId="41BA8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9044" w:type="dxa"/>
            <w:gridSpan w:val="3"/>
            <w:noWrap w:val="0"/>
            <w:vAlign w:val="center"/>
          </w:tcPr>
          <w:p w14:paraId="2EB066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4348AF35">
      <w:pPr>
        <w:keepNext w:val="0"/>
        <w:keepLines w:val="0"/>
        <w:pageBreakBefore w:val="0"/>
        <w:widowControl w:val="0"/>
        <w:kinsoku/>
        <w:overflowPunct/>
        <w:autoSpaceDE/>
        <w:autoSpaceDN/>
        <w:bidi w:val="0"/>
        <w:adjustRightInd w:val="0"/>
        <w:snapToGrid w:val="0"/>
        <w:spacing w:line="360" w:lineRule="auto"/>
        <w:ind w:firstLine="482" w:firstLineChars="200"/>
        <w:textAlignment w:val="auto"/>
        <w:rPr>
          <w:rFonts w:hint="eastAsia" w:ascii="宋体" w:hAnsi="宋体" w:eastAsia="宋体" w:cs="宋体"/>
          <w:b/>
          <w:color w:val="auto"/>
          <w:kern w:val="0"/>
          <w:sz w:val="24"/>
          <w:highlight w:val="none"/>
        </w:rPr>
      </w:pPr>
    </w:p>
    <w:p w14:paraId="511DD319">
      <w:pPr>
        <w:pStyle w:val="15"/>
        <w:keepNext w:val="0"/>
        <w:keepLines w:val="0"/>
        <w:pageBreakBefore w:val="0"/>
        <w:widowControl w:val="0"/>
        <w:kinsoku/>
        <w:wordWrap w:val="0"/>
        <w:overflowPunct/>
        <w:topLinePunct/>
        <w:autoSpaceDE/>
        <w:autoSpaceDN/>
        <w:bidi w:val="0"/>
        <w:adjustRightInd w:val="0"/>
        <w:snapToGrid w:val="0"/>
        <w:spacing w:line="360" w:lineRule="auto"/>
        <w:ind w:right="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备注：</w:t>
      </w:r>
    </w:p>
    <w:p w14:paraId="4C9ED47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8"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1.供应商须按上表格式要求提供相关证明文件，</w:t>
      </w:r>
      <w:r>
        <w:rPr>
          <w:rFonts w:hint="eastAsia" w:cs="宋体"/>
          <w:color w:val="auto"/>
          <w:spacing w:val="7"/>
          <w:sz w:val="24"/>
          <w:szCs w:val="24"/>
          <w:highlight w:val="none"/>
          <w:lang w:val="en-US" w:eastAsia="zh-CN"/>
        </w:rPr>
        <w:t>投标</w:t>
      </w:r>
      <w:r>
        <w:rPr>
          <w:rFonts w:hint="eastAsia" w:ascii="宋体" w:hAnsi="宋体" w:eastAsia="宋体" w:cs="宋体"/>
          <w:color w:val="auto"/>
          <w:spacing w:val="7"/>
          <w:sz w:val="24"/>
          <w:szCs w:val="24"/>
          <w:highlight w:val="none"/>
          <w:lang w:eastAsia="zh-CN"/>
        </w:rPr>
        <w:t>文</w:t>
      </w:r>
      <w:r>
        <w:rPr>
          <w:rFonts w:hint="eastAsia" w:ascii="宋体" w:hAnsi="宋体" w:eastAsia="宋体" w:cs="宋体"/>
          <w:color w:val="auto"/>
          <w:spacing w:val="6"/>
          <w:sz w:val="24"/>
          <w:szCs w:val="24"/>
          <w:highlight w:val="none"/>
          <w:lang w:eastAsia="zh-CN"/>
        </w:rPr>
        <w:t>件中须编入清晰的</w:t>
      </w:r>
      <w:r>
        <w:rPr>
          <w:rFonts w:hint="eastAsia" w:ascii="宋体" w:hAnsi="宋体" w:eastAsia="宋体" w:cs="宋体"/>
          <w:b/>
          <w:bCs/>
          <w:color w:val="auto"/>
          <w:spacing w:val="6"/>
          <w:sz w:val="24"/>
          <w:szCs w:val="24"/>
          <w:highlight w:val="none"/>
          <w:lang w:eastAsia="zh-CN"/>
        </w:rPr>
        <w:t>扫描件或网页</w:t>
      </w:r>
      <w:r>
        <w:rPr>
          <w:rFonts w:hint="eastAsia" w:ascii="宋体" w:hAnsi="宋体" w:eastAsia="宋体" w:cs="宋体"/>
          <w:b/>
          <w:bCs/>
          <w:color w:val="auto"/>
          <w:spacing w:val="7"/>
          <w:sz w:val="24"/>
          <w:szCs w:val="24"/>
          <w:highlight w:val="none"/>
          <w:lang w:eastAsia="zh-CN"/>
        </w:rPr>
        <w:t>截图</w:t>
      </w:r>
      <w:r>
        <w:rPr>
          <w:rFonts w:hint="eastAsia" w:cs="宋体"/>
          <w:b/>
          <w:bCs/>
          <w:color w:val="auto"/>
          <w:spacing w:val="7"/>
          <w:sz w:val="24"/>
          <w:szCs w:val="24"/>
          <w:highlight w:val="none"/>
          <w:lang w:val="en-US" w:eastAsia="zh-CN"/>
        </w:rPr>
        <w:t>并</w:t>
      </w:r>
      <w:r>
        <w:rPr>
          <w:rFonts w:hint="eastAsia" w:ascii="宋体" w:hAnsi="宋体" w:eastAsia="宋体" w:cs="宋体"/>
          <w:b/>
          <w:bCs/>
          <w:color w:val="auto"/>
          <w:spacing w:val="7"/>
          <w:sz w:val="24"/>
          <w:szCs w:val="24"/>
          <w:highlight w:val="none"/>
          <w:lang w:val="en-US" w:eastAsia="zh-CN"/>
        </w:rPr>
        <w:t>加盖公章</w:t>
      </w:r>
      <w:r>
        <w:rPr>
          <w:rFonts w:hint="eastAsia" w:ascii="宋体" w:hAnsi="宋体" w:eastAsia="宋体" w:cs="宋体"/>
          <w:color w:val="auto"/>
          <w:spacing w:val="7"/>
          <w:sz w:val="24"/>
          <w:szCs w:val="24"/>
          <w:highlight w:val="none"/>
          <w:lang w:eastAsia="zh-CN"/>
        </w:rPr>
        <w:t>。所有证明材料须清晰可辨认，如因证明材料模糊无法辨认，缺页、漏页导致无法进行</w:t>
      </w:r>
      <w:r>
        <w:rPr>
          <w:rFonts w:hint="eastAsia" w:ascii="宋体" w:hAnsi="宋体" w:eastAsia="宋体" w:cs="宋体"/>
          <w:color w:val="auto"/>
          <w:spacing w:val="8"/>
          <w:sz w:val="24"/>
          <w:szCs w:val="24"/>
          <w:highlight w:val="none"/>
          <w:lang w:eastAsia="zh-CN"/>
        </w:rPr>
        <w:t>评审认定的，责任由供应商承担。</w:t>
      </w:r>
    </w:p>
    <w:p w14:paraId="5B85BC2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8"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2.信用信息核查</w:t>
      </w:r>
    </w:p>
    <w:p w14:paraId="04C08A8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12"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2.1资格审查阶段应当核查供应商信用记录，供应商被列入失信被</w:t>
      </w:r>
      <w:r>
        <w:rPr>
          <w:rFonts w:hint="eastAsia" w:ascii="宋体" w:hAnsi="宋体" w:eastAsia="宋体" w:cs="宋体"/>
          <w:color w:val="auto"/>
          <w:spacing w:val="7"/>
          <w:sz w:val="24"/>
          <w:szCs w:val="24"/>
          <w:highlight w:val="none"/>
          <w:lang w:eastAsia="zh-CN"/>
        </w:rPr>
        <w:t>执行人、重大税收违</w:t>
      </w:r>
      <w:r>
        <w:rPr>
          <w:rFonts w:hint="eastAsia" w:ascii="宋体" w:hAnsi="宋体" w:eastAsia="宋体" w:cs="宋体"/>
          <w:color w:val="auto"/>
          <w:spacing w:val="9"/>
          <w:sz w:val="24"/>
          <w:szCs w:val="24"/>
          <w:highlight w:val="none"/>
          <w:lang w:eastAsia="zh-CN"/>
        </w:rPr>
        <w:t>法失信主体、政府采购严重违法失信行为记录名单的，采购人拒绝其参与政府采购活动。</w:t>
      </w:r>
    </w:p>
    <w:p w14:paraId="6BF1BED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8"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2.2以联合体形式参与</w:t>
      </w:r>
      <w:r>
        <w:rPr>
          <w:rFonts w:hint="eastAsia" w:cs="宋体"/>
          <w:color w:val="auto"/>
          <w:spacing w:val="7"/>
          <w:sz w:val="24"/>
          <w:szCs w:val="24"/>
          <w:highlight w:val="none"/>
          <w:lang w:val="en-US" w:eastAsia="zh-CN"/>
        </w:rPr>
        <w:t>投标</w:t>
      </w:r>
      <w:r>
        <w:rPr>
          <w:rFonts w:hint="eastAsia" w:ascii="宋体" w:hAnsi="宋体" w:eastAsia="宋体" w:cs="宋体"/>
          <w:color w:val="auto"/>
          <w:spacing w:val="7"/>
          <w:sz w:val="24"/>
          <w:szCs w:val="24"/>
          <w:highlight w:val="none"/>
          <w:lang w:eastAsia="zh-CN"/>
        </w:rPr>
        <w:t>的，应当核查联合体所有成员和信用记录，联合体成员存在</w:t>
      </w:r>
      <w:r>
        <w:rPr>
          <w:rFonts w:hint="eastAsia" w:ascii="宋体" w:hAnsi="宋体" w:eastAsia="宋体" w:cs="宋体"/>
          <w:color w:val="auto"/>
          <w:spacing w:val="9"/>
          <w:sz w:val="24"/>
          <w:szCs w:val="24"/>
          <w:highlight w:val="none"/>
          <w:lang w:eastAsia="zh-CN"/>
        </w:rPr>
        <w:t>不良信用记录的，视同联合体存在不良信用信</w:t>
      </w:r>
      <w:r>
        <w:rPr>
          <w:rFonts w:hint="eastAsia" w:ascii="宋体" w:hAnsi="宋体" w:eastAsia="宋体" w:cs="宋体"/>
          <w:color w:val="auto"/>
          <w:spacing w:val="8"/>
          <w:sz w:val="24"/>
          <w:szCs w:val="24"/>
          <w:highlight w:val="none"/>
          <w:lang w:eastAsia="zh-CN"/>
        </w:rPr>
        <w:t>息。</w:t>
      </w:r>
    </w:p>
    <w:p w14:paraId="139861EB">
      <w:pPr>
        <w:keepNext w:val="0"/>
        <w:keepLines w:val="0"/>
        <w:pageBreakBefore w:val="0"/>
        <w:widowControl w:val="0"/>
        <w:kinsoku/>
        <w:wordWrap w:val="0"/>
        <w:overflowPunct/>
        <w:topLinePunct/>
        <w:autoSpaceDE/>
        <w:autoSpaceDN/>
        <w:bidi w:val="0"/>
        <w:adjustRightInd w:val="0"/>
        <w:snapToGrid w:val="0"/>
        <w:spacing w:line="360" w:lineRule="auto"/>
        <w:ind w:left="0" w:right="0" w:firstLine="508" w:firstLineChars="20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7"/>
          <w:sz w:val="24"/>
          <w:szCs w:val="24"/>
          <w:highlight w:val="none"/>
          <w:lang w:eastAsia="zh-CN"/>
        </w:rPr>
        <w:t>3.对于</w:t>
      </w:r>
      <w:r>
        <w:rPr>
          <w:rFonts w:hint="eastAsia" w:ascii="宋体" w:hAnsi="宋体" w:eastAsia="宋体" w:cs="宋体"/>
          <w:color w:val="auto"/>
          <w:spacing w:val="7"/>
          <w:sz w:val="24"/>
          <w:szCs w:val="24"/>
          <w:highlight w:val="none"/>
          <w:lang w:val="en-US" w:eastAsia="zh-CN"/>
        </w:rPr>
        <w:t>投标</w:t>
      </w:r>
      <w:r>
        <w:rPr>
          <w:rFonts w:hint="eastAsia" w:ascii="宋体" w:hAnsi="宋体" w:eastAsia="宋体" w:cs="宋体"/>
          <w:color w:val="auto"/>
          <w:spacing w:val="7"/>
          <w:sz w:val="24"/>
          <w:szCs w:val="24"/>
          <w:highlight w:val="none"/>
          <w:lang w:eastAsia="zh-CN"/>
        </w:rPr>
        <w:t>文件中有任意一条不满足上表要求的，将导致其</w:t>
      </w:r>
      <w:r>
        <w:rPr>
          <w:rFonts w:hint="eastAsia" w:ascii="宋体" w:hAnsi="宋体" w:eastAsia="宋体" w:cs="宋体"/>
          <w:b/>
          <w:bCs/>
          <w:color w:val="auto"/>
          <w:spacing w:val="7"/>
          <w:sz w:val="24"/>
          <w:szCs w:val="24"/>
          <w:highlight w:val="none"/>
          <w:lang w:val="en-US" w:eastAsia="zh-CN"/>
        </w:rPr>
        <w:t>投标</w:t>
      </w:r>
      <w:r>
        <w:rPr>
          <w:rFonts w:hint="eastAsia" w:ascii="宋体" w:hAnsi="宋体" w:eastAsia="宋体" w:cs="宋体"/>
          <w:b/>
          <w:bCs/>
          <w:color w:val="auto"/>
          <w:spacing w:val="6"/>
          <w:sz w:val="24"/>
          <w:szCs w:val="24"/>
          <w:highlight w:val="none"/>
          <w:lang w:eastAsia="zh-CN"/>
        </w:rPr>
        <w:t>无效</w:t>
      </w:r>
      <w:r>
        <w:rPr>
          <w:rFonts w:hint="eastAsia" w:ascii="宋体" w:hAnsi="宋体" w:eastAsia="宋体" w:cs="宋体"/>
          <w:color w:val="auto"/>
          <w:spacing w:val="6"/>
          <w:sz w:val="24"/>
          <w:szCs w:val="24"/>
          <w:highlight w:val="none"/>
          <w:lang w:eastAsia="zh-CN"/>
        </w:rPr>
        <w:t>，不得进入下一项</w:t>
      </w:r>
      <w:r>
        <w:rPr>
          <w:rFonts w:hint="eastAsia" w:ascii="宋体" w:hAnsi="宋体" w:eastAsia="宋体" w:cs="宋体"/>
          <w:color w:val="auto"/>
          <w:spacing w:val="3"/>
          <w:sz w:val="24"/>
          <w:szCs w:val="24"/>
          <w:highlight w:val="none"/>
          <w:lang w:eastAsia="zh-CN"/>
        </w:rPr>
        <w:t>评审。</w:t>
      </w:r>
    </w:p>
    <w:p w14:paraId="60410A2D">
      <w:pPr>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br w:type="page"/>
      </w:r>
    </w:p>
    <w:p w14:paraId="5B5A18A4">
      <w:pPr>
        <w:pStyle w:val="17"/>
        <w:rPr>
          <w:rFonts w:hint="eastAsia"/>
          <w:color w:val="auto"/>
          <w:highlight w:val="none"/>
        </w:rPr>
        <w:sectPr>
          <w:pgSz w:w="11905" w:h="16838"/>
          <w:pgMar w:top="1134" w:right="1134" w:bottom="1134" w:left="1134" w:header="737" w:footer="737" w:gutter="0"/>
          <w:pgNumType w:fmt="numberInDash"/>
          <w:cols w:space="0" w:num="1"/>
          <w:rtlGutter w:val="0"/>
          <w:docGrid w:linePitch="0" w:charSpace="0"/>
        </w:sectPr>
      </w:pPr>
    </w:p>
    <w:p w14:paraId="617E49DB">
      <w:pPr>
        <w:pStyle w:val="2"/>
        <w:keepNext/>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32"/>
          <w:szCs w:val="32"/>
          <w:highlight w:val="none"/>
          <w:lang w:eastAsia="zh-CN"/>
        </w:rPr>
      </w:pPr>
      <w:bookmarkStart w:id="121" w:name="_Toc9001"/>
      <w:bookmarkStart w:id="122" w:name="_Toc24040"/>
      <w:bookmarkStart w:id="123" w:name="_Toc31584"/>
      <w:r>
        <w:rPr>
          <w:rFonts w:hint="eastAsia" w:ascii="宋体" w:hAnsi="宋体" w:eastAsia="宋体" w:cs="宋体"/>
          <w:color w:val="auto"/>
          <w:sz w:val="32"/>
          <w:szCs w:val="32"/>
          <w:highlight w:val="none"/>
        </w:rPr>
        <w:t>第五章 评标方法及标准</w:t>
      </w:r>
      <w:bookmarkEnd w:id="121"/>
      <w:bookmarkEnd w:id="122"/>
      <w:bookmarkEnd w:id="123"/>
    </w:p>
    <w:p w14:paraId="2DEB68C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根据《中华人民共和国政府采购法》及其实施条例、《政府采购</w:t>
      </w:r>
      <w:r>
        <w:rPr>
          <w:rFonts w:hint="eastAsia" w:ascii="宋体" w:hAnsi="宋体" w:eastAsia="宋体" w:cs="宋体"/>
          <w:color w:val="auto"/>
          <w:spacing w:val="-4"/>
          <w:sz w:val="24"/>
          <w:szCs w:val="24"/>
          <w:highlight w:val="none"/>
        </w:rPr>
        <w:t>货物和服务</w:t>
      </w:r>
      <w:r>
        <w:rPr>
          <w:rFonts w:hint="eastAsia" w:ascii="宋体" w:hAnsi="宋体" w:eastAsia="宋体" w:cs="宋体"/>
          <w:color w:val="auto"/>
          <w:spacing w:val="-1"/>
          <w:sz w:val="24"/>
          <w:szCs w:val="24"/>
          <w:highlight w:val="none"/>
        </w:rPr>
        <w:t>招标投标管理办法》及相关法律法规确定以下评标方法及标准。</w:t>
      </w:r>
    </w:p>
    <w:p w14:paraId="6908272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42" w:firstLineChars="200"/>
        <w:jc w:val="both"/>
        <w:textAlignment w:val="auto"/>
        <w:outlineLvl w:val="1"/>
        <w:rPr>
          <w:rFonts w:hint="eastAsia" w:ascii="宋体" w:hAnsi="宋体" w:eastAsia="宋体" w:cs="宋体"/>
          <w:color w:val="auto"/>
          <w:sz w:val="28"/>
          <w:szCs w:val="28"/>
          <w:highlight w:val="none"/>
        </w:rPr>
      </w:pPr>
      <w:bookmarkStart w:id="124" w:name="_Toc9369"/>
      <w:bookmarkStart w:id="125" w:name="_Toc5511"/>
      <w:bookmarkStart w:id="126" w:name="_Toc28101"/>
      <w:bookmarkStart w:id="127" w:name="_Toc21101"/>
      <w:r>
        <w:rPr>
          <w:rFonts w:hint="eastAsia" w:ascii="宋体" w:hAnsi="宋体" w:eastAsia="宋体" w:cs="宋体"/>
          <w:b/>
          <w:bCs/>
          <w:color w:val="auto"/>
          <w:spacing w:val="-5"/>
          <w:sz w:val="28"/>
          <w:szCs w:val="28"/>
          <w:highlight w:val="none"/>
        </w:rPr>
        <w:t>一、评标方法</w:t>
      </w:r>
      <w:bookmarkEnd w:id="124"/>
      <w:bookmarkEnd w:id="125"/>
      <w:bookmarkEnd w:id="126"/>
      <w:bookmarkEnd w:id="127"/>
    </w:p>
    <w:p w14:paraId="624DBDF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b/>
          <w:bCs/>
          <w:color w:val="auto"/>
          <w:spacing w:val="-4"/>
          <w:sz w:val="24"/>
          <w:szCs w:val="24"/>
          <w:highlight w:val="none"/>
        </w:rPr>
        <w:t>本项目采用综合评分法</w:t>
      </w:r>
      <w:r>
        <w:rPr>
          <w:rFonts w:hint="eastAsia" w:ascii="宋体" w:hAnsi="宋体" w:eastAsia="宋体" w:cs="宋体"/>
          <w:color w:val="auto"/>
          <w:spacing w:val="-4"/>
          <w:sz w:val="24"/>
          <w:szCs w:val="24"/>
          <w:highlight w:val="none"/>
        </w:rPr>
        <w:t>。综合评分法，是</w:t>
      </w:r>
      <w:r>
        <w:rPr>
          <w:rFonts w:hint="eastAsia" w:ascii="宋体" w:hAnsi="宋体" w:eastAsia="宋体" w:cs="宋体"/>
          <w:color w:val="auto"/>
          <w:spacing w:val="-5"/>
          <w:sz w:val="24"/>
          <w:szCs w:val="24"/>
          <w:highlight w:val="none"/>
        </w:rPr>
        <w:t>指投标文件满足招标文件全部实</w:t>
      </w:r>
      <w:r>
        <w:rPr>
          <w:rFonts w:hint="eastAsia" w:ascii="宋体" w:hAnsi="宋体" w:eastAsia="宋体" w:cs="宋体"/>
          <w:color w:val="auto"/>
          <w:spacing w:val="-3"/>
          <w:sz w:val="24"/>
          <w:szCs w:val="24"/>
          <w:highlight w:val="none"/>
        </w:rPr>
        <w:t>质性要求，且按照评审因素的量化指标评审得分最高的投标人为中标候选人的评标方法。</w:t>
      </w:r>
    </w:p>
    <w:p w14:paraId="778E95C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42" w:firstLineChars="200"/>
        <w:jc w:val="both"/>
        <w:textAlignment w:val="auto"/>
        <w:outlineLvl w:val="1"/>
        <w:rPr>
          <w:rFonts w:hint="eastAsia" w:ascii="宋体" w:hAnsi="宋体" w:eastAsia="宋体" w:cs="宋体"/>
          <w:color w:val="auto"/>
          <w:sz w:val="28"/>
          <w:szCs w:val="28"/>
          <w:highlight w:val="none"/>
        </w:rPr>
      </w:pPr>
      <w:bookmarkStart w:id="128" w:name="_Toc29092"/>
      <w:bookmarkStart w:id="129" w:name="_Toc7061"/>
      <w:bookmarkStart w:id="130" w:name="_Toc470"/>
      <w:bookmarkStart w:id="131" w:name="_Toc26324"/>
      <w:r>
        <w:rPr>
          <w:rFonts w:hint="eastAsia" w:ascii="宋体" w:hAnsi="宋体" w:eastAsia="宋体" w:cs="宋体"/>
          <w:b/>
          <w:bCs/>
          <w:color w:val="auto"/>
          <w:spacing w:val="-5"/>
          <w:sz w:val="28"/>
          <w:szCs w:val="28"/>
          <w:highlight w:val="none"/>
        </w:rPr>
        <w:t>二、评标程序</w:t>
      </w:r>
      <w:bookmarkEnd w:id="128"/>
      <w:bookmarkEnd w:id="129"/>
      <w:bookmarkEnd w:id="130"/>
      <w:bookmarkEnd w:id="131"/>
    </w:p>
    <w:p w14:paraId="65A8961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auto"/>
        <w:outlineLvl w:val="2"/>
        <w:rPr>
          <w:rFonts w:hint="eastAsia" w:ascii="宋体" w:hAnsi="宋体" w:eastAsia="宋体" w:cs="宋体"/>
          <w:color w:val="auto"/>
          <w:sz w:val="24"/>
          <w:szCs w:val="24"/>
          <w:highlight w:val="none"/>
        </w:rPr>
      </w:pPr>
      <w:bookmarkStart w:id="132" w:name="_Toc24161"/>
      <w:bookmarkStart w:id="133" w:name="_Toc27038"/>
      <w:bookmarkStart w:id="134" w:name="_Toc24916"/>
      <w:bookmarkStart w:id="135" w:name="_Toc10513"/>
      <w:bookmarkStart w:id="136" w:name="_Toc16863"/>
      <w:r>
        <w:rPr>
          <w:rFonts w:hint="eastAsia" w:ascii="宋体" w:hAnsi="宋体" w:eastAsia="宋体" w:cs="宋体"/>
          <w:b/>
          <w:bCs/>
          <w:color w:val="auto"/>
          <w:spacing w:val="-5"/>
          <w:sz w:val="24"/>
          <w:szCs w:val="24"/>
          <w:highlight w:val="none"/>
        </w:rPr>
        <w:t>（一）符合性审查</w:t>
      </w:r>
      <w:bookmarkEnd w:id="132"/>
      <w:bookmarkEnd w:id="133"/>
      <w:bookmarkEnd w:id="134"/>
      <w:bookmarkEnd w:id="135"/>
      <w:bookmarkEnd w:id="136"/>
    </w:p>
    <w:p w14:paraId="1484C7C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2.评标委员会应当对通过资格审查的投标人的投标文件进行符合性审查，以确定其是否满足招标文件的实质性要求。投标人必须通过符合性审查的全部评审</w:t>
      </w:r>
      <w:r>
        <w:rPr>
          <w:rFonts w:hint="eastAsia" w:ascii="宋体" w:hAnsi="宋体" w:eastAsia="宋体" w:cs="宋体"/>
          <w:color w:val="auto"/>
          <w:spacing w:val="-4"/>
          <w:sz w:val="24"/>
          <w:szCs w:val="24"/>
          <w:highlight w:val="none"/>
        </w:rPr>
        <w:t>指标，不满足招标文件的实质性要求的，其</w:t>
      </w:r>
      <w:r>
        <w:rPr>
          <w:rFonts w:hint="eastAsia" w:ascii="宋体" w:hAnsi="宋体" w:eastAsia="宋体" w:cs="宋体"/>
          <w:b/>
          <w:bCs/>
          <w:color w:val="auto"/>
          <w:spacing w:val="-4"/>
          <w:sz w:val="24"/>
          <w:szCs w:val="24"/>
          <w:highlight w:val="none"/>
        </w:rPr>
        <w:t>投标无效</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具体内容详本章“四、评标标准”中的“（一）符合性审查”。</w:t>
      </w:r>
    </w:p>
    <w:p w14:paraId="1C1E0CD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通过符合性审查的有效供应商不足3家的应当终止采购活动，发布项目终止公告并说明原因，重新开展采购活动。</w:t>
      </w:r>
    </w:p>
    <w:p w14:paraId="4C30BBA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outlineLvl w:val="2"/>
        <w:rPr>
          <w:rFonts w:hint="eastAsia" w:ascii="宋体" w:hAnsi="宋体" w:eastAsia="宋体" w:cs="宋体"/>
          <w:color w:val="auto"/>
          <w:sz w:val="24"/>
          <w:szCs w:val="24"/>
          <w:highlight w:val="none"/>
        </w:rPr>
      </w:pPr>
      <w:bookmarkStart w:id="137" w:name="_Toc24604"/>
      <w:bookmarkStart w:id="138" w:name="_Toc15834"/>
      <w:bookmarkStart w:id="139" w:name="_Toc1230"/>
      <w:bookmarkStart w:id="140" w:name="_Toc7576"/>
      <w:bookmarkStart w:id="141" w:name="_Toc15168"/>
      <w:r>
        <w:rPr>
          <w:rFonts w:hint="eastAsia" w:ascii="宋体" w:hAnsi="宋体" w:eastAsia="宋体" w:cs="宋体"/>
          <w:b/>
          <w:bCs/>
          <w:color w:val="auto"/>
          <w:spacing w:val="-4"/>
          <w:sz w:val="24"/>
          <w:szCs w:val="24"/>
          <w:highlight w:val="none"/>
        </w:rPr>
        <w:t>（二）投标文件澄清及修正</w:t>
      </w:r>
      <w:bookmarkEnd w:id="137"/>
      <w:bookmarkEnd w:id="138"/>
      <w:bookmarkEnd w:id="139"/>
      <w:bookmarkEnd w:id="140"/>
      <w:bookmarkEnd w:id="141"/>
    </w:p>
    <w:p w14:paraId="6859FD6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36"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11"/>
          <w:sz w:val="24"/>
          <w:szCs w:val="24"/>
          <w:highlight w:val="none"/>
        </w:rPr>
        <w:t>3</w:t>
      </w:r>
      <w:r>
        <w:rPr>
          <w:rFonts w:hint="eastAsia" w:ascii="宋体" w:hAnsi="宋体" w:eastAsia="宋体" w:cs="宋体"/>
          <w:color w:val="auto"/>
          <w:spacing w:val="-3"/>
          <w:sz w:val="24"/>
          <w:szCs w:val="24"/>
          <w:highlight w:val="none"/>
        </w:rPr>
        <w:t>.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74AFCEF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4.投标人应按照评标委员会要求在规定时间内作出澄清、说明或者补正，澄清、说明或者补正不得超出投标文件的范围或者改变投标文件的实质性内容。</w:t>
      </w:r>
    </w:p>
    <w:p w14:paraId="1E5233C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5.投标人的澄清、说明或者补正是其投标文件的有效组成部分，澄清、说明或者补正应当在政采云平台评标系统中加盖电子印章后提交。</w:t>
      </w:r>
    </w:p>
    <w:p w14:paraId="76D6A7A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3"/>
          <w:sz w:val="24"/>
          <w:szCs w:val="24"/>
          <w:highlight w:val="none"/>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w:t>
      </w:r>
      <w:r>
        <w:rPr>
          <w:rFonts w:hint="eastAsia" w:ascii="宋体" w:hAnsi="宋体" w:eastAsia="宋体" w:cs="宋体"/>
          <w:color w:val="auto"/>
          <w:spacing w:val="-1"/>
          <w:sz w:val="24"/>
          <w:szCs w:val="24"/>
          <w:highlight w:val="none"/>
        </w:rPr>
        <w:t>价合理性的，评标委员会应当将其作</w:t>
      </w:r>
      <w:r>
        <w:rPr>
          <w:rFonts w:hint="eastAsia" w:ascii="宋体" w:hAnsi="宋体" w:eastAsia="宋体" w:cs="宋体"/>
          <w:b/>
          <w:bCs/>
          <w:color w:val="auto"/>
          <w:spacing w:val="-1"/>
          <w:sz w:val="24"/>
          <w:szCs w:val="24"/>
          <w:highlight w:val="none"/>
        </w:rPr>
        <w:t>无效投标</w:t>
      </w:r>
      <w:r>
        <w:rPr>
          <w:rFonts w:hint="eastAsia" w:ascii="宋体" w:hAnsi="宋体" w:eastAsia="宋体" w:cs="宋体"/>
          <w:color w:val="auto"/>
          <w:spacing w:val="-1"/>
          <w:sz w:val="24"/>
          <w:szCs w:val="24"/>
          <w:highlight w:val="none"/>
        </w:rPr>
        <w:t>处理。</w:t>
      </w:r>
    </w:p>
    <w:p w14:paraId="2456CB8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7.投标报价须包含招标文件全部内容，如分项报价表有缺</w:t>
      </w:r>
      <w:r>
        <w:rPr>
          <w:rFonts w:hint="eastAsia" w:ascii="宋体" w:hAnsi="宋体" w:eastAsia="宋体" w:cs="宋体"/>
          <w:color w:val="auto"/>
          <w:spacing w:val="-4"/>
          <w:sz w:val="24"/>
          <w:szCs w:val="24"/>
          <w:highlight w:val="none"/>
        </w:rPr>
        <w:t>漏视为已含在其他</w:t>
      </w:r>
      <w:r>
        <w:rPr>
          <w:rFonts w:hint="eastAsia" w:ascii="宋体" w:hAnsi="宋体" w:eastAsia="宋体" w:cs="宋体"/>
          <w:color w:val="auto"/>
          <w:spacing w:val="-3"/>
          <w:sz w:val="24"/>
          <w:szCs w:val="24"/>
          <w:highlight w:val="none"/>
        </w:rPr>
        <w:t>各项报价中，将不对投标总价进行调整。评标委员会有权要求投标人在评标现场合理的时间内对此进行书面确认，投标人不确认的，视为将一个采购包中的内容</w:t>
      </w:r>
      <w:r>
        <w:rPr>
          <w:rFonts w:hint="eastAsia" w:ascii="宋体" w:hAnsi="宋体" w:eastAsia="宋体" w:cs="宋体"/>
          <w:color w:val="auto"/>
          <w:spacing w:val="-2"/>
          <w:sz w:val="24"/>
          <w:szCs w:val="24"/>
          <w:highlight w:val="none"/>
        </w:rPr>
        <w:t>拆分投标，其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08A43F9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8.投标文件报价出现前后不一致的，除招标文件另有规定外，按照下</w:t>
      </w:r>
      <w:r>
        <w:rPr>
          <w:rFonts w:hint="eastAsia" w:ascii="宋体" w:hAnsi="宋体" w:eastAsia="宋体" w:cs="宋体"/>
          <w:color w:val="auto"/>
          <w:spacing w:val="-4"/>
          <w:sz w:val="24"/>
          <w:szCs w:val="24"/>
          <w:highlight w:val="none"/>
        </w:rPr>
        <w:t>列规定修正：</w:t>
      </w:r>
    </w:p>
    <w:p w14:paraId="22E653A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8.1投标文件中开标一览表（报价表）内容与投标文件中相应内容不一致的，</w:t>
      </w:r>
      <w:r>
        <w:rPr>
          <w:rFonts w:hint="eastAsia" w:ascii="宋体" w:hAnsi="宋体" w:eastAsia="宋体" w:cs="宋体"/>
          <w:color w:val="auto"/>
          <w:spacing w:val="-3"/>
          <w:sz w:val="24"/>
          <w:szCs w:val="24"/>
          <w:highlight w:val="none"/>
        </w:rPr>
        <w:t>以开标一览表（报价表）为准；</w:t>
      </w:r>
    </w:p>
    <w:p w14:paraId="256DE7D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8.2大写金额和小写金额不一致的，以大写金额为准；</w:t>
      </w:r>
    </w:p>
    <w:p w14:paraId="40FCB6A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8.3单价金额小数点或者百分比有明显错位的，</w:t>
      </w:r>
      <w:r>
        <w:rPr>
          <w:rFonts w:hint="eastAsia" w:ascii="宋体" w:hAnsi="宋体" w:eastAsia="宋体" w:cs="宋体"/>
          <w:color w:val="auto"/>
          <w:spacing w:val="-3"/>
          <w:sz w:val="24"/>
          <w:szCs w:val="24"/>
          <w:highlight w:val="none"/>
        </w:rPr>
        <w:t>以开标一览表的总价为准，并修改单价；</w:t>
      </w:r>
    </w:p>
    <w:p w14:paraId="36F746C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8.4总价金额与按单价汇总金额不一致的，以单价金额计算结果为准。</w:t>
      </w:r>
    </w:p>
    <w:p w14:paraId="50FCAE7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同时出现两种以上不一致的，按照8.1—8.4的顺序修正。修正后的</w:t>
      </w:r>
      <w:r>
        <w:rPr>
          <w:rFonts w:hint="eastAsia" w:ascii="宋体" w:hAnsi="宋体" w:eastAsia="宋体" w:cs="宋体"/>
          <w:color w:val="auto"/>
          <w:spacing w:val="-1"/>
          <w:sz w:val="24"/>
          <w:szCs w:val="24"/>
          <w:highlight w:val="none"/>
        </w:rPr>
        <w:t>报价采</w:t>
      </w:r>
      <w:r>
        <w:rPr>
          <w:rFonts w:hint="eastAsia" w:ascii="宋体" w:hAnsi="宋体" w:eastAsia="宋体" w:cs="宋体"/>
          <w:color w:val="auto"/>
          <w:spacing w:val="-3"/>
          <w:sz w:val="24"/>
          <w:szCs w:val="24"/>
          <w:highlight w:val="none"/>
        </w:rPr>
        <w:t>用书面形式，并加盖公章，或者由法定代表人或其授权的代表签字，经投标人确</w:t>
      </w:r>
      <w:r>
        <w:rPr>
          <w:rFonts w:hint="eastAsia" w:ascii="宋体" w:hAnsi="宋体" w:eastAsia="宋体" w:cs="宋体"/>
          <w:color w:val="auto"/>
          <w:spacing w:val="-1"/>
          <w:sz w:val="24"/>
          <w:szCs w:val="24"/>
          <w:highlight w:val="none"/>
        </w:rPr>
        <w:t>认后产生约束力，投标人不确认的，其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0CBA7DF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auto"/>
        <w:outlineLvl w:val="2"/>
        <w:rPr>
          <w:rFonts w:hint="eastAsia" w:ascii="宋体" w:hAnsi="宋体" w:eastAsia="宋体" w:cs="宋体"/>
          <w:color w:val="auto"/>
          <w:sz w:val="24"/>
          <w:szCs w:val="24"/>
          <w:highlight w:val="none"/>
        </w:rPr>
      </w:pPr>
      <w:bookmarkStart w:id="142" w:name="_Toc22384"/>
      <w:bookmarkStart w:id="143" w:name="_Toc21771"/>
      <w:bookmarkStart w:id="144" w:name="_Toc2700"/>
      <w:bookmarkStart w:id="145" w:name="_Toc6311"/>
      <w:bookmarkStart w:id="146" w:name="_Toc13119"/>
      <w:r>
        <w:rPr>
          <w:rFonts w:hint="eastAsia" w:ascii="宋体" w:hAnsi="宋体" w:eastAsia="宋体" w:cs="宋体"/>
          <w:b/>
          <w:bCs/>
          <w:color w:val="auto"/>
          <w:spacing w:val="-5"/>
          <w:sz w:val="24"/>
          <w:szCs w:val="24"/>
          <w:highlight w:val="none"/>
        </w:rPr>
        <w:t>（三）比较与评价</w:t>
      </w:r>
      <w:bookmarkEnd w:id="142"/>
      <w:bookmarkEnd w:id="143"/>
      <w:bookmarkEnd w:id="144"/>
      <w:bookmarkEnd w:id="145"/>
      <w:bookmarkEnd w:id="146"/>
    </w:p>
    <w:p w14:paraId="1B85431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9.评标委员会应当按照招标文件中规定的评标方法和标准，对符合性审查合格的投标文件进行商务和技术评估，综合比较与评价；未通过符合性审查的投标文件不得进入比较与评价。评审因素包括投标报价、商务技术以及落实政府采购政策。评审因素及标准见本章“四、评标标准”。</w:t>
      </w:r>
    </w:p>
    <w:p w14:paraId="1C40D4D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10.相同品牌处理原则</w:t>
      </w:r>
    </w:p>
    <w:p w14:paraId="081C861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10.1单一产品采购（或非单一产品采购中的核心产品），提供相同品牌产品且通过资格审查、符合性审查的不同投标人参加同一合同项下投标的，按一家投标人计算。</w:t>
      </w:r>
    </w:p>
    <w:p w14:paraId="3A7BF3F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10.2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537BCD2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10.3有效投标品牌不足3家的应按废标处理。</w:t>
      </w:r>
    </w:p>
    <w:p w14:paraId="79397FE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auto"/>
        <w:outlineLvl w:val="2"/>
        <w:rPr>
          <w:rFonts w:hint="eastAsia" w:ascii="宋体" w:hAnsi="宋体" w:eastAsia="宋体" w:cs="宋体"/>
          <w:color w:val="auto"/>
          <w:sz w:val="24"/>
          <w:szCs w:val="24"/>
          <w:highlight w:val="none"/>
        </w:rPr>
      </w:pPr>
      <w:bookmarkStart w:id="147" w:name="_Toc8591"/>
      <w:bookmarkStart w:id="148" w:name="_Toc17796"/>
      <w:bookmarkStart w:id="149" w:name="_Toc463"/>
      <w:bookmarkStart w:id="150" w:name="_Toc4461"/>
      <w:bookmarkStart w:id="151" w:name="_Toc32325"/>
      <w:r>
        <w:rPr>
          <w:rFonts w:hint="eastAsia" w:ascii="宋体" w:hAnsi="宋体" w:eastAsia="宋体" w:cs="宋体"/>
          <w:b/>
          <w:bCs/>
          <w:color w:val="auto"/>
          <w:spacing w:val="-5"/>
          <w:sz w:val="24"/>
          <w:szCs w:val="24"/>
          <w:highlight w:val="none"/>
        </w:rPr>
        <w:t>（四）报价评审</w:t>
      </w:r>
      <w:bookmarkEnd w:id="147"/>
      <w:bookmarkEnd w:id="148"/>
      <w:bookmarkEnd w:id="149"/>
      <w:bookmarkEnd w:id="150"/>
      <w:bookmarkEnd w:id="151"/>
    </w:p>
    <w:p w14:paraId="6C0518F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11.投标报价评审</w:t>
      </w:r>
    </w:p>
    <w:p w14:paraId="50FC076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11.1</w:t>
      </w:r>
      <w:r>
        <w:rPr>
          <w:rFonts w:hint="eastAsia" w:cs="宋体"/>
          <w:color w:val="auto"/>
          <w:spacing w:val="-3"/>
          <w:sz w:val="24"/>
          <w:szCs w:val="24"/>
          <w:highlight w:val="none"/>
          <w:lang w:val="en-US" w:eastAsia="zh-CN"/>
        </w:rPr>
        <w:t>货物</w:t>
      </w:r>
      <w:r>
        <w:rPr>
          <w:rFonts w:hint="eastAsia" w:ascii="宋体" w:hAnsi="宋体" w:eastAsia="宋体" w:cs="宋体"/>
          <w:color w:val="auto"/>
          <w:spacing w:val="-3"/>
          <w:sz w:val="24"/>
          <w:szCs w:val="24"/>
          <w:highlight w:val="none"/>
        </w:rPr>
        <w:t>项目的价格分值占总分值的比重不得低于</w:t>
      </w:r>
      <w:r>
        <w:rPr>
          <w:rFonts w:hint="eastAsia" w:cs="宋体"/>
          <w:color w:val="auto"/>
          <w:spacing w:val="-3"/>
          <w:sz w:val="24"/>
          <w:szCs w:val="24"/>
          <w:highlight w:val="none"/>
          <w:lang w:val="en-US" w:eastAsia="zh-CN"/>
        </w:rPr>
        <w:t>30</w:t>
      </w:r>
      <w:r>
        <w:rPr>
          <w:rFonts w:hint="eastAsia" w:ascii="宋体" w:hAnsi="宋体" w:eastAsia="宋体" w:cs="宋体"/>
          <w:color w:val="auto"/>
          <w:spacing w:val="-3"/>
          <w:sz w:val="24"/>
          <w:szCs w:val="24"/>
          <w:highlight w:val="none"/>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1E81F7B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投标报价得分=(评标基准价／投标报价)×价格分值</w:t>
      </w:r>
    </w:p>
    <w:p w14:paraId="21580EB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评标过程中，不得去掉报价中的最高报价和最低报价。</w:t>
      </w:r>
    </w:p>
    <w:p w14:paraId="42F269E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11.2除算术修正和落实政府采购政策的价格扣除外，不对投标报价进行调整；</w:t>
      </w:r>
    </w:p>
    <w:p w14:paraId="43A321D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11.3价格分值见本章“四、评标标准”。</w:t>
      </w:r>
    </w:p>
    <w:p w14:paraId="533389D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12.政府采购政策评审</w:t>
      </w:r>
    </w:p>
    <w:p w14:paraId="2AE6665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12.1非专门面向中小企业的采购项目或采购包，对符合规定的小微企业（含监狱企业、残疾人福利性单位、联合体各方均为小微企业的联合体、符合小微企业划分标准的个体工商户视同小微企业）报价按照本招标文件“投标人须知前附表”中的规定扣除，对小微企业中的监狱企业、残疾人福利性单位、采购产品纳入创新产品应用示范推荐目录内企业、采购产品获得节能产品或环境标志产品认证证书的企业报价按照本招标文件“投标人须知前附表”中的规定扣除，用扣除后的价格计算评审基准价。</w:t>
      </w:r>
    </w:p>
    <w:p w14:paraId="43F72AE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12.2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若供应商同时属于小型或微型企业、监狱企业、残疾人福利性单位中的两种及以上，将不重复享受小微企业价格扣减的优惠政策。</w:t>
      </w:r>
    </w:p>
    <w:p w14:paraId="4F6E154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组成联合体或者接受分包的小微企业与联合体内其他企业、分包企业之间存在直接控股、管理关系的，不享受价格扣除优惠政策。</w:t>
      </w:r>
    </w:p>
    <w:p w14:paraId="015D8A6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价格扣除比例对小型企业和微型企业同等对待，不作区分。</w:t>
      </w:r>
    </w:p>
    <w:p w14:paraId="1A81FFC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12.3专门面向中小企业、预留部分采购份额面向中小企业采购的项目或采购包，评审时不再进行价格扣除。</w:t>
      </w:r>
    </w:p>
    <w:p w14:paraId="56EE6E4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12.4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体协议书或者分包意向协议书约定小微企业的合同份额占到合同总金额30%以上的，对联合体或者大中型企业的报价给予4%-6%的扣除，用扣除后的价格参加评审。组成联合体或者接受分包的小微企业与联合体内其他企业、分包企业之间存在直接控</w:t>
      </w:r>
      <w:r>
        <w:rPr>
          <w:rFonts w:hint="eastAsia" w:ascii="宋体" w:hAnsi="宋体" w:eastAsia="宋体" w:cs="宋体"/>
          <w:color w:val="auto"/>
          <w:spacing w:val="-1"/>
          <w:sz w:val="24"/>
          <w:szCs w:val="24"/>
          <w:highlight w:val="none"/>
        </w:rPr>
        <w:t>股、管理关系的，不享受价格扣除优惠政策。</w:t>
      </w:r>
    </w:p>
    <w:p w14:paraId="67010DA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outlineLvl w:val="2"/>
        <w:rPr>
          <w:rFonts w:hint="eastAsia" w:ascii="宋体" w:hAnsi="宋体" w:eastAsia="宋体" w:cs="宋体"/>
          <w:color w:val="auto"/>
          <w:sz w:val="24"/>
          <w:szCs w:val="24"/>
          <w:highlight w:val="none"/>
        </w:rPr>
      </w:pPr>
      <w:bookmarkStart w:id="152" w:name="_Toc15279"/>
      <w:bookmarkStart w:id="153" w:name="_Toc15545"/>
      <w:bookmarkStart w:id="154" w:name="_Toc27371"/>
      <w:bookmarkStart w:id="155" w:name="_Toc2120"/>
      <w:bookmarkStart w:id="156" w:name="_Toc32300"/>
      <w:r>
        <w:rPr>
          <w:rFonts w:hint="eastAsia" w:ascii="宋体" w:hAnsi="宋体" w:eastAsia="宋体" w:cs="宋体"/>
          <w:b/>
          <w:bCs/>
          <w:color w:val="auto"/>
          <w:spacing w:val="-4"/>
          <w:sz w:val="24"/>
          <w:szCs w:val="24"/>
          <w:highlight w:val="none"/>
        </w:rPr>
        <w:t>（五）评标得分及复核</w:t>
      </w:r>
      <w:bookmarkEnd w:id="152"/>
      <w:bookmarkEnd w:id="153"/>
      <w:bookmarkEnd w:id="154"/>
      <w:bookmarkEnd w:id="155"/>
      <w:bookmarkEnd w:id="156"/>
    </w:p>
    <w:p w14:paraId="1C53831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3"/>
          <w:sz w:val="24"/>
          <w:szCs w:val="24"/>
          <w:highlight w:val="none"/>
        </w:rPr>
        <w:t>3.评标过程中，各项分值一般精确到小数点后两位，评标得分应为商务评分、技术评分、报价评分之和。评标委员会各成员应汇总每个投标人的得分。</w:t>
      </w:r>
    </w:p>
    <w:p w14:paraId="57219AE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14.评标结果汇总完成后，采购代理机构应对评标结果进行复核。经复核发现存在以下情形之一的，评标委员会应当当场修改评标结果，并在评标报告中记载：</w:t>
      </w:r>
    </w:p>
    <w:p w14:paraId="4D3B98B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14.1分值汇总计算错误的；</w:t>
      </w:r>
    </w:p>
    <w:p w14:paraId="29969DB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14.2分项评分超出评分标准范围的；</w:t>
      </w:r>
    </w:p>
    <w:p w14:paraId="270796C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14.3评标委员会成员对客观评审因素评分不一致的；</w:t>
      </w:r>
    </w:p>
    <w:p w14:paraId="4F2405E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14.4经评标委员会认定评分畸高、畸低的。</w:t>
      </w:r>
    </w:p>
    <w:p w14:paraId="0FDCB04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15.各投标人的最终得分为评标委员会所有成员对各投标人评标得分汇总后的算术平均值。</w:t>
      </w:r>
    </w:p>
    <w:p w14:paraId="49165F4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15.1除资格性检查认定错误、分值汇总计算错误、分项评</w:t>
      </w:r>
      <w:r>
        <w:rPr>
          <w:rFonts w:hint="eastAsia" w:ascii="宋体" w:hAnsi="宋体" w:eastAsia="宋体" w:cs="宋体"/>
          <w:color w:val="auto"/>
          <w:spacing w:val="-2"/>
          <w:sz w:val="24"/>
          <w:szCs w:val="24"/>
          <w:highlight w:val="none"/>
        </w:rPr>
        <w:t>分超出评分标准</w:t>
      </w:r>
      <w:r>
        <w:rPr>
          <w:rFonts w:hint="eastAsia" w:ascii="宋体" w:hAnsi="宋体" w:eastAsia="宋体" w:cs="宋体"/>
          <w:color w:val="auto"/>
          <w:spacing w:val="-3"/>
          <w:sz w:val="24"/>
          <w:szCs w:val="24"/>
          <w:highlight w:val="none"/>
        </w:rPr>
        <w:t>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w:t>
      </w:r>
      <w:r>
        <w:rPr>
          <w:rFonts w:hint="eastAsia" w:ascii="宋体" w:hAnsi="宋体" w:eastAsia="宋体" w:cs="宋体"/>
          <w:color w:val="auto"/>
          <w:spacing w:val="-1"/>
          <w:sz w:val="24"/>
          <w:szCs w:val="24"/>
          <w:highlight w:val="none"/>
        </w:rPr>
        <w:t>动，并同时书面报告本级财政部门。</w:t>
      </w:r>
    </w:p>
    <w:p w14:paraId="1691460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15.2采购人或者采购代理机构不得通过对样品进行检测、对投标人</w:t>
      </w:r>
      <w:r>
        <w:rPr>
          <w:rFonts w:hint="eastAsia" w:ascii="宋体" w:hAnsi="宋体" w:eastAsia="宋体" w:cs="宋体"/>
          <w:color w:val="auto"/>
          <w:spacing w:val="-2"/>
          <w:sz w:val="24"/>
          <w:szCs w:val="24"/>
          <w:highlight w:val="none"/>
        </w:rPr>
        <w:t>进行考察等方式改变评审结果。</w:t>
      </w:r>
    </w:p>
    <w:p w14:paraId="008EECE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auto"/>
        <w:outlineLvl w:val="2"/>
        <w:rPr>
          <w:rFonts w:hint="eastAsia" w:ascii="宋体" w:hAnsi="宋体" w:eastAsia="宋体" w:cs="宋体"/>
          <w:color w:val="auto"/>
          <w:sz w:val="24"/>
          <w:szCs w:val="24"/>
          <w:highlight w:val="none"/>
        </w:rPr>
      </w:pPr>
      <w:bookmarkStart w:id="157" w:name="_Toc12481"/>
      <w:bookmarkStart w:id="158" w:name="_Toc19734"/>
      <w:bookmarkStart w:id="159" w:name="_Toc8940"/>
      <w:bookmarkStart w:id="160" w:name="_Toc10617"/>
      <w:bookmarkStart w:id="161" w:name="_Toc13996"/>
      <w:r>
        <w:rPr>
          <w:rFonts w:hint="eastAsia" w:ascii="宋体" w:hAnsi="宋体" w:eastAsia="宋体" w:cs="宋体"/>
          <w:b/>
          <w:bCs/>
          <w:color w:val="auto"/>
          <w:spacing w:val="-5"/>
          <w:sz w:val="24"/>
          <w:szCs w:val="24"/>
          <w:highlight w:val="none"/>
        </w:rPr>
        <w:t>（六）排序与推荐</w:t>
      </w:r>
      <w:bookmarkEnd w:id="157"/>
      <w:bookmarkEnd w:id="158"/>
      <w:bookmarkEnd w:id="159"/>
      <w:bookmarkEnd w:id="160"/>
      <w:bookmarkEnd w:id="161"/>
    </w:p>
    <w:p w14:paraId="5BCD30E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16.评标结果按评审后得分由高到低顺序排列。投标文件满足招标文件全部</w:t>
      </w:r>
      <w:r>
        <w:rPr>
          <w:rFonts w:hint="eastAsia" w:ascii="宋体" w:hAnsi="宋体" w:eastAsia="宋体" w:cs="宋体"/>
          <w:color w:val="auto"/>
          <w:spacing w:val="-3"/>
          <w:sz w:val="24"/>
          <w:szCs w:val="24"/>
          <w:highlight w:val="none"/>
        </w:rPr>
        <w:t>实质性要求，且按照评审因素的量化指标评审得分最高的投标人为排名第一的中标候选人。得分相同的，按投标报价由低到高顺序排列。得分且投标报价相同的，按技术指标优劣顺序排列。</w:t>
      </w:r>
    </w:p>
    <w:p w14:paraId="575695B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17.中标候选人推荐家数详见“投标人须知前附表”。</w:t>
      </w:r>
    </w:p>
    <w:p w14:paraId="634A860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auto"/>
        <w:outlineLvl w:val="2"/>
        <w:rPr>
          <w:rFonts w:hint="eastAsia" w:ascii="宋体" w:hAnsi="宋体" w:eastAsia="宋体" w:cs="宋体"/>
          <w:color w:val="auto"/>
          <w:sz w:val="24"/>
          <w:szCs w:val="24"/>
          <w:highlight w:val="none"/>
        </w:rPr>
      </w:pPr>
      <w:bookmarkStart w:id="162" w:name="_Toc31526"/>
      <w:bookmarkStart w:id="163" w:name="_Toc23432"/>
      <w:bookmarkStart w:id="164" w:name="_Toc12552"/>
      <w:bookmarkStart w:id="165" w:name="_Toc21050"/>
      <w:bookmarkStart w:id="166" w:name="_Toc15822"/>
      <w:r>
        <w:rPr>
          <w:rFonts w:hint="eastAsia" w:ascii="宋体" w:hAnsi="宋体" w:eastAsia="宋体" w:cs="宋体"/>
          <w:b/>
          <w:bCs/>
          <w:color w:val="auto"/>
          <w:spacing w:val="-5"/>
          <w:sz w:val="24"/>
          <w:szCs w:val="24"/>
          <w:highlight w:val="none"/>
        </w:rPr>
        <w:t>（七）编写评标报告</w:t>
      </w:r>
      <w:bookmarkEnd w:id="162"/>
      <w:bookmarkEnd w:id="163"/>
      <w:bookmarkEnd w:id="164"/>
      <w:bookmarkEnd w:id="165"/>
      <w:bookmarkEnd w:id="166"/>
    </w:p>
    <w:p w14:paraId="67B2993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18.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6035A24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outlineLvl w:val="2"/>
        <w:rPr>
          <w:rFonts w:hint="eastAsia" w:ascii="宋体" w:hAnsi="宋体" w:eastAsia="宋体" w:cs="宋体"/>
          <w:color w:val="auto"/>
          <w:sz w:val="24"/>
          <w:szCs w:val="24"/>
          <w:highlight w:val="none"/>
        </w:rPr>
      </w:pPr>
      <w:bookmarkStart w:id="167" w:name="_Toc833"/>
      <w:bookmarkStart w:id="168" w:name="_Toc17276"/>
      <w:bookmarkStart w:id="169" w:name="_Toc20068"/>
      <w:bookmarkStart w:id="170" w:name="_Toc32014"/>
      <w:bookmarkStart w:id="171" w:name="_Toc5904"/>
      <w:r>
        <w:rPr>
          <w:rFonts w:hint="eastAsia" w:ascii="宋体" w:hAnsi="宋体" w:eastAsia="宋体" w:cs="宋体"/>
          <w:b/>
          <w:bCs/>
          <w:color w:val="auto"/>
          <w:spacing w:val="-4"/>
          <w:sz w:val="24"/>
          <w:szCs w:val="24"/>
          <w:highlight w:val="none"/>
        </w:rPr>
        <w:t>（八）投标无效及应予废标的情形</w:t>
      </w:r>
      <w:bookmarkEnd w:id="167"/>
      <w:bookmarkEnd w:id="168"/>
      <w:bookmarkEnd w:id="169"/>
      <w:bookmarkEnd w:id="170"/>
      <w:bookmarkEnd w:id="171"/>
    </w:p>
    <w:p w14:paraId="4F0E61F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19.投标人存在下列情形之一的，</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412473E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19.1投标人不具备《中华人民共和国政府采购法》第二十</w:t>
      </w:r>
      <w:r>
        <w:rPr>
          <w:rFonts w:hint="eastAsia" w:ascii="宋体" w:hAnsi="宋体" w:eastAsia="宋体" w:cs="宋体"/>
          <w:color w:val="auto"/>
          <w:spacing w:val="-2"/>
          <w:sz w:val="24"/>
          <w:szCs w:val="24"/>
          <w:highlight w:val="none"/>
        </w:rPr>
        <w:t>二条规定条件；</w:t>
      </w:r>
    </w:p>
    <w:p w14:paraId="0F8674B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19.2投标文件未按招标文件要求签署、盖章的；</w:t>
      </w:r>
    </w:p>
    <w:p w14:paraId="70F8E68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19.3不具备招标文件中规定的资格要求的（投标人未提供有效资格文件的，</w:t>
      </w:r>
      <w:r>
        <w:rPr>
          <w:rFonts w:hint="eastAsia" w:ascii="宋体" w:hAnsi="宋体" w:eastAsia="宋体" w:cs="宋体"/>
          <w:color w:val="auto"/>
          <w:spacing w:val="-1"/>
          <w:sz w:val="24"/>
          <w:szCs w:val="24"/>
          <w:highlight w:val="none"/>
        </w:rPr>
        <w:t>视为投标人不具备招标文件中规定的资格要求</w:t>
      </w:r>
      <w:r>
        <w:rPr>
          <w:rFonts w:hint="eastAsia" w:ascii="宋体" w:hAnsi="宋体" w:eastAsia="宋体" w:cs="宋体"/>
          <w:color w:val="auto"/>
          <w:spacing w:val="5"/>
          <w:sz w:val="24"/>
          <w:szCs w:val="24"/>
          <w:highlight w:val="none"/>
        </w:rPr>
        <w:t>）；</w:t>
      </w:r>
    </w:p>
    <w:p w14:paraId="1D9E2F9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19.4投标文件提供虚假材料的；</w:t>
      </w:r>
    </w:p>
    <w:p w14:paraId="6DBBFF8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19.5投标文件不满足招标文件中标注“★”号的实质性条款（</w:t>
      </w:r>
      <w:r>
        <w:rPr>
          <w:rFonts w:hint="eastAsia" w:ascii="宋体" w:hAnsi="宋体" w:eastAsia="宋体" w:cs="宋体"/>
          <w:color w:val="auto"/>
          <w:spacing w:val="-3"/>
          <w:sz w:val="24"/>
          <w:szCs w:val="24"/>
          <w:highlight w:val="none"/>
        </w:rPr>
        <w:t>或指标）要</w:t>
      </w:r>
      <w:r>
        <w:rPr>
          <w:rFonts w:hint="eastAsia" w:ascii="宋体" w:hAnsi="宋体" w:eastAsia="宋体" w:cs="宋体"/>
          <w:color w:val="auto"/>
          <w:spacing w:val="-4"/>
          <w:sz w:val="24"/>
          <w:szCs w:val="24"/>
          <w:highlight w:val="none"/>
        </w:rPr>
        <w:t>求的；</w:t>
      </w:r>
    </w:p>
    <w:p w14:paraId="32120AD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19.6投标人报价超过招标文件中规定的最高限价或者预算金额的；</w:t>
      </w:r>
    </w:p>
    <w:p w14:paraId="490F2AC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19.7联合体的供应商未提交各方共同签署的联合体协议的；</w:t>
      </w:r>
    </w:p>
    <w:p w14:paraId="00C6865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19.8投标人未按招标文件的规定交纳投标保证金的；</w:t>
      </w:r>
    </w:p>
    <w:p w14:paraId="1997C4D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19.9评审期间</w:t>
      </w:r>
      <w:r>
        <w:rPr>
          <w:rFonts w:hint="eastAsia"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投标人没有按评标委员会的要求提交经授权代表签字的澄清、说明、补正或改变了投标文件的实质性内容的；</w:t>
      </w:r>
    </w:p>
    <w:p w14:paraId="3745E0E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19.10投标人对采购人、采购代理机构、评标委员会及其工作人员施加影响</w:t>
      </w:r>
      <w:r>
        <w:rPr>
          <w:rFonts w:hint="eastAsia"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有碍公平、公正的；</w:t>
      </w:r>
    </w:p>
    <w:p w14:paraId="0B63D9E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19.11投标文件含有采购人不能接受的附加条件的；</w:t>
      </w:r>
    </w:p>
    <w:p w14:paraId="405D7EF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19.12法律、法规、规章规定属于投标无效的其他情形。</w:t>
      </w:r>
    </w:p>
    <w:p w14:paraId="568AF70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20.有下列情形之一的，视为投标人串通投标，其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390340A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20.1不同投标人的投标文件由同一单位或者个人编制；</w:t>
      </w:r>
    </w:p>
    <w:p w14:paraId="2FC1CD8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20.2不同投标人委托同一单位或者个人办理投标事宜；</w:t>
      </w:r>
    </w:p>
    <w:p w14:paraId="6E0C707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20.3不同投标人的投标文件载明的项目管理成员或者联系人员为同一人；</w:t>
      </w:r>
    </w:p>
    <w:p w14:paraId="4F0F7F8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20.4不同投标人的投标文件异常一致或者投标报价呈规律性差异；</w:t>
      </w:r>
    </w:p>
    <w:p w14:paraId="242AB47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20.5不同投标人的投标文件相互混装；</w:t>
      </w:r>
    </w:p>
    <w:p w14:paraId="50E005D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20.6不同投标人的投标保证金从同一单位或者个人的账户转出；</w:t>
      </w:r>
    </w:p>
    <w:p w14:paraId="528141D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20.7不同投标人使用同一电脑（机器特征值一致：如MAC地址等）或使用同一电子密钥，编制或上传电子投标文件；</w:t>
      </w:r>
    </w:p>
    <w:p w14:paraId="0E022C9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1"/>
          <w:sz w:val="24"/>
          <w:szCs w:val="24"/>
          <w:highlight w:val="none"/>
        </w:rPr>
        <w:t>20.8法律、法规、规章规定属于投标人串通投标的其他情形。</w:t>
      </w:r>
    </w:p>
    <w:p w14:paraId="387867E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21.根据《中华人民共和国政府采购法》第</w:t>
      </w:r>
      <w:r>
        <w:rPr>
          <w:rFonts w:hint="eastAsia" w:ascii="宋体" w:hAnsi="宋体" w:eastAsia="宋体" w:cs="宋体"/>
          <w:color w:val="auto"/>
          <w:spacing w:val="-1"/>
          <w:sz w:val="24"/>
          <w:szCs w:val="24"/>
          <w:highlight w:val="none"/>
        </w:rPr>
        <w:t>三十六条之规定，在招标采购过程中，出现下列情形之一的，应予</w:t>
      </w:r>
      <w:r>
        <w:rPr>
          <w:rFonts w:hint="eastAsia" w:ascii="宋体" w:hAnsi="宋体" w:eastAsia="宋体" w:cs="宋体"/>
          <w:b/>
          <w:bCs/>
          <w:color w:val="auto"/>
          <w:spacing w:val="-1"/>
          <w:sz w:val="24"/>
          <w:szCs w:val="24"/>
          <w:highlight w:val="none"/>
        </w:rPr>
        <w:t>废标</w:t>
      </w:r>
      <w:r>
        <w:rPr>
          <w:rFonts w:hint="eastAsia" w:ascii="宋体" w:hAnsi="宋体" w:eastAsia="宋体" w:cs="宋体"/>
          <w:color w:val="auto"/>
          <w:spacing w:val="-1"/>
          <w:sz w:val="24"/>
          <w:szCs w:val="24"/>
          <w:highlight w:val="none"/>
        </w:rPr>
        <w:t>：</w:t>
      </w:r>
    </w:p>
    <w:p w14:paraId="610B45A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21.1符合专业条件的供应商或者对招标文件作实质响应的供应商不足3家的；</w:t>
      </w:r>
    </w:p>
    <w:p w14:paraId="6D9957F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21.2出现影响采购公正的违法、违规行为的；</w:t>
      </w:r>
    </w:p>
    <w:p w14:paraId="43A95F1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21.3投标人的报价均超过了采购预算，采购人不能支付的；</w:t>
      </w:r>
    </w:p>
    <w:p w14:paraId="6EE3304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21.4因重大变故，采购任务取消的；</w:t>
      </w:r>
    </w:p>
    <w:p w14:paraId="78A4CFE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21.5法律、法规、规章规定属于废标的其他情形。</w:t>
      </w:r>
    </w:p>
    <w:p w14:paraId="45D4DBA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22.废标后，采购人应当将废标理由通知所有投标人。</w:t>
      </w:r>
    </w:p>
    <w:p w14:paraId="71AE572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outlineLvl w:val="2"/>
        <w:rPr>
          <w:rFonts w:hint="eastAsia" w:ascii="宋体" w:hAnsi="宋体" w:eastAsia="宋体" w:cs="宋体"/>
          <w:color w:val="auto"/>
          <w:sz w:val="24"/>
          <w:szCs w:val="24"/>
          <w:highlight w:val="none"/>
        </w:rPr>
      </w:pPr>
      <w:bookmarkStart w:id="172" w:name="_Toc22149"/>
      <w:bookmarkStart w:id="173" w:name="_Toc13213"/>
      <w:bookmarkStart w:id="174" w:name="_Toc23521"/>
      <w:bookmarkStart w:id="175" w:name="_Toc1600"/>
      <w:bookmarkStart w:id="176" w:name="_Toc23322"/>
      <w:r>
        <w:rPr>
          <w:rFonts w:hint="eastAsia" w:ascii="宋体" w:hAnsi="宋体" w:eastAsia="宋体" w:cs="宋体"/>
          <w:b/>
          <w:bCs/>
          <w:color w:val="auto"/>
          <w:spacing w:val="-4"/>
          <w:sz w:val="24"/>
          <w:szCs w:val="24"/>
          <w:highlight w:val="none"/>
        </w:rPr>
        <w:t>（九）停止评标的情形</w:t>
      </w:r>
      <w:bookmarkEnd w:id="172"/>
      <w:bookmarkEnd w:id="173"/>
      <w:bookmarkEnd w:id="174"/>
      <w:bookmarkEnd w:id="175"/>
      <w:bookmarkEnd w:id="176"/>
    </w:p>
    <w:p w14:paraId="106BF4E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23.评标委员会发现招标文件存在歧义、重大缺陷导致评标工作无法进行，</w:t>
      </w:r>
      <w:r>
        <w:rPr>
          <w:rFonts w:hint="eastAsia" w:ascii="宋体" w:hAnsi="宋体" w:eastAsia="宋体" w:cs="宋体"/>
          <w:color w:val="auto"/>
          <w:spacing w:val="-3"/>
          <w:sz w:val="24"/>
          <w:szCs w:val="24"/>
          <w:highlight w:val="none"/>
        </w:rPr>
        <w:t>或者招标文件内容违反国家有关强制性规定的，应当停止评标工作，与采购人或者采购代理机构沟通并作书面记录。采购人或者采购代理机构确认后，应当修改</w:t>
      </w:r>
      <w:r>
        <w:rPr>
          <w:rFonts w:hint="eastAsia" w:ascii="宋体" w:hAnsi="宋体" w:eastAsia="宋体" w:cs="宋体"/>
          <w:color w:val="auto"/>
          <w:spacing w:val="-1"/>
          <w:sz w:val="24"/>
          <w:szCs w:val="24"/>
          <w:highlight w:val="none"/>
        </w:rPr>
        <w:t>招标文件，重新组织采购活动。</w:t>
      </w:r>
    </w:p>
    <w:p w14:paraId="3833A0A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auto"/>
        <w:outlineLvl w:val="2"/>
        <w:rPr>
          <w:rFonts w:hint="eastAsia" w:ascii="宋体" w:hAnsi="宋体" w:eastAsia="宋体" w:cs="宋体"/>
          <w:color w:val="auto"/>
          <w:sz w:val="24"/>
          <w:szCs w:val="24"/>
          <w:highlight w:val="none"/>
        </w:rPr>
      </w:pPr>
      <w:bookmarkStart w:id="177" w:name="_Toc31105"/>
      <w:bookmarkStart w:id="178" w:name="_Toc22352"/>
      <w:bookmarkStart w:id="179" w:name="_Toc8731"/>
      <w:bookmarkStart w:id="180" w:name="_Toc29075"/>
      <w:bookmarkStart w:id="181" w:name="_Toc4939"/>
      <w:r>
        <w:rPr>
          <w:rFonts w:hint="eastAsia" w:ascii="宋体" w:hAnsi="宋体" w:eastAsia="宋体" w:cs="宋体"/>
          <w:b/>
          <w:bCs/>
          <w:color w:val="auto"/>
          <w:spacing w:val="-5"/>
          <w:sz w:val="24"/>
          <w:szCs w:val="24"/>
          <w:highlight w:val="none"/>
        </w:rPr>
        <w:t>（十）重新开展采购</w:t>
      </w:r>
      <w:bookmarkEnd w:id="177"/>
      <w:bookmarkEnd w:id="178"/>
      <w:bookmarkEnd w:id="179"/>
      <w:bookmarkEnd w:id="180"/>
      <w:bookmarkEnd w:id="181"/>
    </w:p>
    <w:p w14:paraId="6527772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24.有《中华人民共和国政府采购法》第七</w:t>
      </w:r>
      <w:r>
        <w:rPr>
          <w:rFonts w:hint="eastAsia" w:ascii="宋体" w:hAnsi="宋体" w:eastAsia="宋体" w:cs="宋体"/>
          <w:color w:val="auto"/>
          <w:spacing w:val="-1"/>
          <w:sz w:val="24"/>
          <w:szCs w:val="24"/>
          <w:highlight w:val="none"/>
        </w:rPr>
        <w:t>十一条、第七十二条规定的违法行为之一，影响或者可能影响中标结果的，依照下列规定处理：</w:t>
      </w:r>
    </w:p>
    <w:p w14:paraId="38BCB63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3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24.1未确定中标供应商的，终止本次政府采购活动，重新开展政府采购活动。</w:t>
      </w:r>
    </w:p>
    <w:p w14:paraId="400295B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24.2已确定中标供应商但尚未签订政府</w:t>
      </w:r>
      <w:r>
        <w:rPr>
          <w:rFonts w:hint="eastAsia" w:ascii="宋体" w:hAnsi="宋体" w:eastAsia="宋体" w:cs="宋体"/>
          <w:color w:val="auto"/>
          <w:spacing w:val="-2"/>
          <w:sz w:val="24"/>
          <w:szCs w:val="24"/>
          <w:highlight w:val="none"/>
        </w:rPr>
        <w:t>采购合同的，中标结果无效，从合</w:t>
      </w:r>
      <w:r>
        <w:rPr>
          <w:rFonts w:hint="eastAsia" w:ascii="宋体" w:hAnsi="宋体" w:eastAsia="宋体" w:cs="宋体"/>
          <w:color w:val="auto"/>
          <w:spacing w:val="-3"/>
          <w:sz w:val="24"/>
          <w:szCs w:val="24"/>
          <w:highlight w:val="none"/>
        </w:rPr>
        <w:t>格的中标候选人中另行确定中标供应商；没有合格的中标候选人的，重新开展政</w:t>
      </w:r>
      <w:r>
        <w:rPr>
          <w:rFonts w:hint="eastAsia" w:ascii="宋体" w:hAnsi="宋体" w:eastAsia="宋体" w:cs="宋体"/>
          <w:color w:val="auto"/>
          <w:spacing w:val="-2"/>
          <w:sz w:val="24"/>
          <w:szCs w:val="24"/>
          <w:highlight w:val="none"/>
        </w:rPr>
        <w:t>府采购活动。</w:t>
      </w:r>
    </w:p>
    <w:p w14:paraId="3D60079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24.3政府采购合同已签订但尚未履行的，撤销合同，从合格的中标候选人中另行确定中标供应商；没有合格的中标候选人的，重新开展政府采购活动。</w:t>
      </w:r>
    </w:p>
    <w:p w14:paraId="51FA178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24.4政府采购合同已经履行，给采购人、供应商造成损失的，由责任人承</w:t>
      </w:r>
      <w:r>
        <w:rPr>
          <w:rFonts w:hint="eastAsia" w:ascii="宋体" w:hAnsi="宋体" w:eastAsia="宋体" w:cs="宋体"/>
          <w:color w:val="auto"/>
          <w:spacing w:val="-2"/>
          <w:sz w:val="24"/>
          <w:szCs w:val="24"/>
          <w:highlight w:val="none"/>
        </w:rPr>
        <w:t>担赔偿责任。</w:t>
      </w:r>
    </w:p>
    <w:p w14:paraId="18E269D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24.5政府采购当事人有其他违反《中华人民共和国政府采购法》或者《中华</w:t>
      </w:r>
      <w:r>
        <w:rPr>
          <w:rFonts w:hint="eastAsia" w:ascii="宋体" w:hAnsi="宋体" w:eastAsia="宋体" w:cs="宋体"/>
          <w:color w:val="auto"/>
          <w:spacing w:val="-6"/>
          <w:sz w:val="24"/>
          <w:szCs w:val="24"/>
          <w:highlight w:val="none"/>
        </w:rPr>
        <w:t>人民共和国政府采购法实施条例》等法律法规规定的行为，经改正后仍然影响或</w:t>
      </w:r>
      <w:r>
        <w:rPr>
          <w:rFonts w:hint="eastAsia" w:ascii="宋体" w:hAnsi="宋体" w:eastAsia="宋体" w:cs="宋体"/>
          <w:color w:val="auto"/>
          <w:spacing w:val="-4"/>
          <w:sz w:val="24"/>
          <w:szCs w:val="24"/>
          <w:highlight w:val="none"/>
        </w:rPr>
        <w:t>者可能影响中标结果或者依法被认定为中标无效的，依照24</w:t>
      </w:r>
      <w:r>
        <w:rPr>
          <w:rFonts w:hint="eastAsia" w:ascii="宋体" w:hAnsi="宋体" w:eastAsia="宋体" w:cs="宋体"/>
          <w:color w:val="auto"/>
          <w:spacing w:val="-5"/>
          <w:sz w:val="24"/>
          <w:szCs w:val="24"/>
          <w:highlight w:val="none"/>
        </w:rPr>
        <w:t>.1—24.4规定处理。</w:t>
      </w:r>
    </w:p>
    <w:p w14:paraId="6C58BAB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46" w:firstLineChars="200"/>
        <w:jc w:val="both"/>
        <w:textAlignment w:val="auto"/>
        <w:outlineLvl w:val="1"/>
        <w:rPr>
          <w:rFonts w:hint="eastAsia" w:ascii="宋体" w:hAnsi="宋体" w:eastAsia="宋体" w:cs="宋体"/>
          <w:color w:val="auto"/>
          <w:sz w:val="28"/>
          <w:szCs w:val="28"/>
          <w:highlight w:val="none"/>
        </w:rPr>
      </w:pPr>
      <w:bookmarkStart w:id="182" w:name="_Toc7915"/>
      <w:bookmarkStart w:id="183" w:name="_Toc15887"/>
      <w:bookmarkStart w:id="184" w:name="_Toc6834"/>
      <w:bookmarkStart w:id="185" w:name="_Toc24902"/>
      <w:r>
        <w:rPr>
          <w:rFonts w:hint="eastAsia" w:ascii="宋体" w:hAnsi="宋体" w:eastAsia="宋体" w:cs="宋体"/>
          <w:b/>
          <w:bCs/>
          <w:color w:val="auto"/>
          <w:spacing w:val="-4"/>
          <w:sz w:val="28"/>
          <w:szCs w:val="28"/>
          <w:highlight w:val="none"/>
        </w:rPr>
        <w:t>三、评标其他要求</w:t>
      </w:r>
      <w:bookmarkEnd w:id="182"/>
      <w:bookmarkEnd w:id="183"/>
      <w:bookmarkEnd w:id="184"/>
      <w:bookmarkEnd w:id="185"/>
    </w:p>
    <w:p w14:paraId="37EE278B">
      <w:pPr>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lang w:eastAsia="zh-CN"/>
        </w:rPr>
        <w:sectPr>
          <w:footerReference r:id="rId8" w:type="default"/>
          <w:pgSz w:w="11905" w:h="16838"/>
          <w:pgMar w:top="1134" w:right="1134" w:bottom="1134" w:left="1134" w:header="737" w:footer="737" w:gutter="0"/>
          <w:pgNumType w:fmt="numberInDash"/>
          <w:cols w:space="0" w:num="1"/>
          <w:rtlGutter w:val="0"/>
          <w:docGrid w:linePitch="0" w:charSpace="0"/>
        </w:sectPr>
      </w:pPr>
      <w:r>
        <w:rPr>
          <w:rFonts w:hint="eastAsia" w:ascii="宋体" w:hAnsi="宋体" w:eastAsia="宋体" w:cs="宋体"/>
          <w:color w:val="auto"/>
          <w:spacing w:val="-1"/>
          <w:sz w:val="24"/>
          <w:szCs w:val="24"/>
          <w:highlight w:val="none"/>
          <w:lang w:val="en-US" w:eastAsia="zh-CN"/>
        </w:rPr>
        <w:t>无</w:t>
      </w:r>
    </w:p>
    <w:p w14:paraId="234073C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26" w:firstLineChars="200"/>
        <w:jc w:val="both"/>
        <w:textAlignment w:val="auto"/>
        <w:outlineLvl w:val="1"/>
        <w:rPr>
          <w:rFonts w:hint="eastAsia" w:ascii="宋体" w:hAnsi="宋体" w:eastAsia="宋体" w:cs="宋体"/>
          <w:color w:val="auto"/>
          <w:sz w:val="28"/>
          <w:szCs w:val="28"/>
          <w:highlight w:val="none"/>
        </w:rPr>
      </w:pPr>
      <w:bookmarkStart w:id="186" w:name="_Toc11834"/>
      <w:bookmarkStart w:id="187" w:name="_Toc25839"/>
      <w:bookmarkStart w:id="188" w:name="_Toc27759"/>
      <w:bookmarkStart w:id="189" w:name="_Toc18741"/>
      <w:r>
        <w:rPr>
          <w:rFonts w:hint="eastAsia" w:ascii="宋体" w:hAnsi="宋体" w:eastAsia="宋体" w:cs="宋体"/>
          <w:b/>
          <w:bCs/>
          <w:color w:val="auto"/>
          <w:spacing w:val="-9"/>
          <w:sz w:val="28"/>
          <w:szCs w:val="28"/>
          <w:highlight w:val="none"/>
        </w:rPr>
        <w:t>四、评标标准</w:t>
      </w:r>
      <w:bookmarkEnd w:id="186"/>
      <w:bookmarkEnd w:id="187"/>
      <w:bookmarkEnd w:id="188"/>
      <w:bookmarkEnd w:id="189"/>
    </w:p>
    <w:p w14:paraId="7361362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auto"/>
        <w:outlineLvl w:val="2"/>
        <w:rPr>
          <w:rFonts w:hint="eastAsia" w:ascii="宋体" w:hAnsi="宋体" w:eastAsia="宋体" w:cs="宋体"/>
          <w:color w:val="auto"/>
          <w:sz w:val="24"/>
          <w:szCs w:val="24"/>
          <w:highlight w:val="none"/>
        </w:rPr>
      </w:pPr>
      <w:bookmarkStart w:id="190" w:name="_Toc21439"/>
      <w:bookmarkStart w:id="191" w:name="_Toc8662"/>
      <w:bookmarkStart w:id="192" w:name="_Toc20475"/>
      <w:bookmarkStart w:id="193" w:name="_Toc18485"/>
      <w:bookmarkStart w:id="194" w:name="_Toc6444"/>
      <w:r>
        <w:rPr>
          <w:rFonts w:hint="eastAsia" w:ascii="宋体" w:hAnsi="宋体" w:eastAsia="宋体" w:cs="宋体"/>
          <w:b/>
          <w:bCs/>
          <w:color w:val="auto"/>
          <w:spacing w:val="-5"/>
          <w:sz w:val="24"/>
          <w:szCs w:val="24"/>
          <w:highlight w:val="none"/>
        </w:rPr>
        <w:t>（一）符合性审查表</w:t>
      </w:r>
      <w:bookmarkEnd w:id="190"/>
      <w:bookmarkEnd w:id="191"/>
      <w:bookmarkEnd w:id="192"/>
      <w:bookmarkEnd w:id="193"/>
      <w:bookmarkEnd w:id="194"/>
    </w:p>
    <w:p w14:paraId="0D47103F">
      <w:pPr>
        <w:keepNext w:val="0"/>
        <w:keepLines w:val="0"/>
        <w:pageBreakBefore w:val="0"/>
        <w:widowControl/>
        <w:kinsoku/>
        <w:wordWrap w:val="0"/>
        <w:overflowPunct/>
        <w:topLinePunct/>
        <w:autoSpaceDE w:val="0"/>
        <w:autoSpaceDN w:val="0"/>
        <w:bidi w:val="0"/>
        <w:adjustRightInd w:val="0"/>
        <w:snapToGrid w:val="0"/>
        <w:spacing w:line="127" w:lineRule="exact"/>
        <w:jc w:val="both"/>
        <w:textAlignment w:val="baseline"/>
        <w:rPr>
          <w:rFonts w:hint="eastAsia" w:ascii="宋体" w:hAnsi="宋体" w:eastAsia="宋体" w:cs="宋体"/>
          <w:color w:val="auto"/>
          <w:highlight w:val="none"/>
        </w:rPr>
      </w:pPr>
    </w:p>
    <w:p w14:paraId="31D877E2">
      <w:pPr>
        <w:keepNext w:val="0"/>
        <w:keepLines w:val="0"/>
        <w:pageBreakBefore w:val="0"/>
        <w:widowControl w:val="0"/>
        <w:kinsoku/>
        <w:overflowPunct/>
        <w:autoSpaceDE/>
        <w:autoSpaceDN/>
        <w:bidi w:val="0"/>
        <w:adjustRightInd w:val="0"/>
        <w:snapToGrid w:val="0"/>
        <w:spacing w:line="360" w:lineRule="auto"/>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符合性审查表</w:t>
      </w:r>
    </w:p>
    <w:tbl>
      <w:tblPr>
        <w:tblStyle w:val="3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394"/>
        <w:gridCol w:w="2732"/>
        <w:gridCol w:w="4801"/>
      </w:tblGrid>
      <w:tr w14:paraId="0E2B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0" w:type="dxa"/>
            <w:noWrap w:val="0"/>
            <w:vAlign w:val="center"/>
          </w:tcPr>
          <w:p w14:paraId="254C6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序号</w:t>
            </w:r>
          </w:p>
        </w:tc>
        <w:tc>
          <w:tcPr>
            <w:tcW w:w="1394" w:type="dxa"/>
            <w:noWrap w:val="0"/>
            <w:vAlign w:val="center"/>
          </w:tcPr>
          <w:p w14:paraId="2EFA24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类型</w:t>
            </w:r>
          </w:p>
        </w:tc>
        <w:tc>
          <w:tcPr>
            <w:tcW w:w="2732" w:type="dxa"/>
            <w:noWrap w:val="0"/>
            <w:vAlign w:val="center"/>
          </w:tcPr>
          <w:p w14:paraId="115405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审查要求</w:t>
            </w:r>
          </w:p>
        </w:tc>
        <w:tc>
          <w:tcPr>
            <w:tcW w:w="4801" w:type="dxa"/>
            <w:noWrap w:val="0"/>
            <w:vAlign w:val="center"/>
          </w:tcPr>
          <w:p w14:paraId="4F9A74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要求说明</w:t>
            </w:r>
          </w:p>
        </w:tc>
      </w:tr>
      <w:tr w14:paraId="1461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0" w:type="dxa"/>
            <w:noWrap w:val="0"/>
            <w:vAlign w:val="center"/>
          </w:tcPr>
          <w:p w14:paraId="11C837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w:t>
            </w:r>
          </w:p>
        </w:tc>
        <w:tc>
          <w:tcPr>
            <w:tcW w:w="1394" w:type="dxa"/>
            <w:noWrap w:val="0"/>
            <w:vAlign w:val="center"/>
          </w:tcPr>
          <w:p w14:paraId="1B2EE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报价</w:t>
            </w:r>
          </w:p>
        </w:tc>
        <w:tc>
          <w:tcPr>
            <w:tcW w:w="2732" w:type="dxa"/>
            <w:noWrap w:val="0"/>
            <w:vAlign w:val="center"/>
          </w:tcPr>
          <w:p w14:paraId="55897A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投标报价</w:t>
            </w:r>
          </w:p>
        </w:tc>
        <w:tc>
          <w:tcPr>
            <w:tcW w:w="4801" w:type="dxa"/>
            <w:noWrap w:val="0"/>
            <w:vAlign w:val="center"/>
          </w:tcPr>
          <w:p w14:paraId="0BD08C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cs="宋体"/>
                <w:color w:val="auto"/>
                <w:kern w:val="0"/>
                <w:sz w:val="24"/>
                <w:szCs w:val="24"/>
                <w:highlight w:val="none"/>
                <w:lang w:eastAsia="zh-CN"/>
              </w:rPr>
              <w:t>投标报价按照采购文件格式填写，是唯一且未超过采购预算（最高限价、预算单价），并按要求签署、盖章</w:t>
            </w:r>
          </w:p>
        </w:tc>
      </w:tr>
      <w:tr w14:paraId="4830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0" w:type="dxa"/>
            <w:noWrap w:val="0"/>
            <w:vAlign w:val="center"/>
          </w:tcPr>
          <w:p w14:paraId="2101F7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2</w:t>
            </w:r>
          </w:p>
        </w:tc>
        <w:tc>
          <w:tcPr>
            <w:tcW w:w="1394" w:type="dxa"/>
            <w:noWrap w:val="0"/>
            <w:vAlign w:val="center"/>
          </w:tcPr>
          <w:p w14:paraId="3C841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noWrap w:val="0"/>
            <w:vAlign w:val="center"/>
          </w:tcPr>
          <w:p w14:paraId="028740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4801" w:type="dxa"/>
            <w:noWrap w:val="0"/>
            <w:vAlign w:val="center"/>
          </w:tcPr>
          <w:p w14:paraId="2AC29B2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名称是否与营业执照一致</w:t>
            </w:r>
          </w:p>
        </w:tc>
      </w:tr>
      <w:tr w14:paraId="02BE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0" w:type="dxa"/>
            <w:noWrap w:val="0"/>
            <w:vAlign w:val="center"/>
          </w:tcPr>
          <w:p w14:paraId="43263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3</w:t>
            </w:r>
          </w:p>
        </w:tc>
        <w:tc>
          <w:tcPr>
            <w:tcW w:w="1394" w:type="dxa"/>
            <w:noWrap w:val="0"/>
            <w:vAlign w:val="center"/>
          </w:tcPr>
          <w:p w14:paraId="607C22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noWrap w:val="0"/>
            <w:vAlign w:val="center"/>
          </w:tcPr>
          <w:p w14:paraId="7A8FA9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投标文件签署、盖章</w:t>
            </w:r>
          </w:p>
        </w:tc>
        <w:tc>
          <w:tcPr>
            <w:tcW w:w="4801" w:type="dxa"/>
            <w:noWrap w:val="0"/>
            <w:vAlign w:val="center"/>
          </w:tcPr>
          <w:p w14:paraId="1E209A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投标文件按照采购文件规定要求签署、盖章</w:t>
            </w:r>
          </w:p>
        </w:tc>
      </w:tr>
      <w:tr w14:paraId="0455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0" w:type="dxa"/>
            <w:shd w:val="clear" w:color="auto" w:fill="auto"/>
            <w:noWrap w:val="0"/>
            <w:vAlign w:val="center"/>
          </w:tcPr>
          <w:p w14:paraId="0A652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4</w:t>
            </w:r>
          </w:p>
        </w:tc>
        <w:tc>
          <w:tcPr>
            <w:tcW w:w="1394" w:type="dxa"/>
            <w:noWrap w:val="0"/>
            <w:vAlign w:val="center"/>
          </w:tcPr>
          <w:p w14:paraId="00F9C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noWrap w:val="0"/>
            <w:vAlign w:val="center"/>
          </w:tcPr>
          <w:p w14:paraId="0A1357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采购清单</w:t>
            </w:r>
          </w:p>
        </w:tc>
        <w:tc>
          <w:tcPr>
            <w:tcW w:w="4801" w:type="dxa"/>
            <w:noWrap w:val="0"/>
            <w:vAlign w:val="center"/>
          </w:tcPr>
          <w:p w14:paraId="28BF5F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未改变采购文件提供的采购清单数量的</w:t>
            </w:r>
          </w:p>
        </w:tc>
      </w:tr>
      <w:tr w14:paraId="098A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30" w:type="dxa"/>
            <w:shd w:val="clear" w:color="auto" w:fill="auto"/>
            <w:noWrap w:val="0"/>
            <w:vAlign w:val="center"/>
          </w:tcPr>
          <w:p w14:paraId="0A2C89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5</w:t>
            </w:r>
          </w:p>
        </w:tc>
        <w:tc>
          <w:tcPr>
            <w:tcW w:w="1394" w:type="dxa"/>
            <w:noWrap w:val="0"/>
            <w:vAlign w:val="center"/>
          </w:tcPr>
          <w:p w14:paraId="5FF802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shd w:val="clear" w:color="auto" w:fill="auto"/>
            <w:noWrap w:val="0"/>
            <w:vAlign w:val="center"/>
          </w:tcPr>
          <w:p w14:paraId="6F01BA6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实质性要求</w:t>
            </w:r>
          </w:p>
        </w:tc>
        <w:tc>
          <w:tcPr>
            <w:tcW w:w="4801" w:type="dxa"/>
            <w:shd w:val="clear" w:color="auto" w:fill="auto"/>
            <w:noWrap w:val="0"/>
            <w:vAlign w:val="center"/>
          </w:tcPr>
          <w:p w14:paraId="24D90A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投标文件满足采购文件中标注“★”号的实质性条款（或指标）要求的，具体详见“实质性响应一览表”</w:t>
            </w:r>
          </w:p>
        </w:tc>
      </w:tr>
      <w:tr w14:paraId="1214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30" w:type="dxa"/>
            <w:shd w:val="clear" w:color="auto" w:fill="auto"/>
            <w:noWrap w:val="0"/>
            <w:vAlign w:val="center"/>
          </w:tcPr>
          <w:p w14:paraId="4CBF9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6</w:t>
            </w:r>
          </w:p>
        </w:tc>
        <w:tc>
          <w:tcPr>
            <w:tcW w:w="1394" w:type="dxa"/>
            <w:noWrap w:val="0"/>
            <w:vAlign w:val="center"/>
          </w:tcPr>
          <w:p w14:paraId="0C6AF6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shd w:val="clear" w:color="auto" w:fill="auto"/>
            <w:noWrap w:val="0"/>
            <w:vAlign w:val="center"/>
          </w:tcPr>
          <w:p w14:paraId="505685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虚假材料</w:t>
            </w:r>
          </w:p>
        </w:tc>
        <w:tc>
          <w:tcPr>
            <w:tcW w:w="4801" w:type="dxa"/>
            <w:shd w:val="clear" w:color="auto" w:fill="auto"/>
            <w:noWrap w:val="0"/>
            <w:vAlign w:val="center"/>
          </w:tcPr>
          <w:p w14:paraId="6AA822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投标文件未提供虚假材料，且需提供“不提供虚假材料谋取中标承诺书”</w:t>
            </w:r>
          </w:p>
        </w:tc>
      </w:tr>
      <w:tr w14:paraId="308A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30" w:type="dxa"/>
            <w:shd w:val="clear" w:color="auto" w:fill="auto"/>
            <w:noWrap w:val="0"/>
            <w:vAlign w:val="center"/>
          </w:tcPr>
          <w:p w14:paraId="31A106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7</w:t>
            </w:r>
          </w:p>
        </w:tc>
        <w:tc>
          <w:tcPr>
            <w:tcW w:w="1394" w:type="dxa"/>
            <w:noWrap w:val="0"/>
            <w:vAlign w:val="center"/>
          </w:tcPr>
          <w:p w14:paraId="0229C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shd w:val="clear" w:color="auto" w:fill="auto"/>
            <w:noWrap w:val="0"/>
            <w:vAlign w:val="center"/>
          </w:tcPr>
          <w:p w14:paraId="56A3D3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围标串标情形</w:t>
            </w:r>
          </w:p>
        </w:tc>
        <w:tc>
          <w:tcPr>
            <w:tcW w:w="4801" w:type="dxa"/>
            <w:shd w:val="clear" w:color="auto" w:fill="auto"/>
            <w:noWrap w:val="0"/>
            <w:vAlign w:val="center"/>
          </w:tcPr>
          <w:p w14:paraId="5B1BAC6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没有“第五章评标方法及标准”第20条情形之一的，且需提供“不参与围标串标承诺书”</w:t>
            </w:r>
          </w:p>
        </w:tc>
      </w:tr>
      <w:tr w14:paraId="4093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0" w:type="dxa"/>
            <w:shd w:val="clear" w:color="auto" w:fill="auto"/>
            <w:noWrap w:val="0"/>
            <w:vAlign w:val="center"/>
          </w:tcPr>
          <w:p w14:paraId="198DF1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8</w:t>
            </w:r>
          </w:p>
        </w:tc>
        <w:tc>
          <w:tcPr>
            <w:tcW w:w="1394" w:type="dxa"/>
            <w:noWrap w:val="0"/>
            <w:vAlign w:val="center"/>
          </w:tcPr>
          <w:p w14:paraId="34118A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shd w:val="clear" w:color="auto" w:fill="auto"/>
            <w:noWrap w:val="0"/>
            <w:vAlign w:val="center"/>
          </w:tcPr>
          <w:p w14:paraId="101AD29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投标保证金</w:t>
            </w:r>
          </w:p>
        </w:tc>
        <w:tc>
          <w:tcPr>
            <w:tcW w:w="4801" w:type="dxa"/>
            <w:shd w:val="clear" w:color="auto" w:fill="auto"/>
            <w:noWrap w:val="0"/>
            <w:vAlign w:val="center"/>
          </w:tcPr>
          <w:p w14:paraId="14B5EC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投标人</w:t>
            </w:r>
            <w:r>
              <w:rPr>
                <w:rFonts w:hint="eastAsia" w:ascii="宋体" w:hAnsi="宋体" w:cs="宋体"/>
                <w:color w:val="auto"/>
                <w:kern w:val="0"/>
                <w:sz w:val="24"/>
                <w:szCs w:val="24"/>
                <w:highlight w:val="none"/>
                <w:lang w:eastAsia="zh-CN"/>
              </w:rPr>
              <w:t>按照采购文件要求交纳投标保证金或出具保函</w:t>
            </w:r>
          </w:p>
        </w:tc>
      </w:tr>
      <w:tr w14:paraId="37D5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30" w:type="dxa"/>
            <w:shd w:val="clear" w:color="auto" w:fill="auto"/>
            <w:noWrap w:val="0"/>
            <w:vAlign w:val="center"/>
          </w:tcPr>
          <w:p w14:paraId="50930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9</w:t>
            </w:r>
          </w:p>
        </w:tc>
        <w:tc>
          <w:tcPr>
            <w:tcW w:w="1394" w:type="dxa"/>
            <w:noWrap w:val="0"/>
            <w:vAlign w:val="center"/>
          </w:tcPr>
          <w:p w14:paraId="22911F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noWrap w:val="0"/>
            <w:vAlign w:val="center"/>
          </w:tcPr>
          <w:p w14:paraId="46532A0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投标文件的澄清、说明、补正</w:t>
            </w:r>
          </w:p>
        </w:tc>
        <w:tc>
          <w:tcPr>
            <w:tcW w:w="4801" w:type="dxa"/>
            <w:noWrap w:val="0"/>
            <w:vAlign w:val="center"/>
          </w:tcPr>
          <w:p w14:paraId="6A096C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评审期间，投标人按评标委员会的要求提交经授权代表签字的澄清、说明、补正或未改变投标文件的实质性内容</w:t>
            </w:r>
          </w:p>
        </w:tc>
      </w:tr>
      <w:tr w14:paraId="70BC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30" w:type="dxa"/>
            <w:shd w:val="clear" w:color="auto" w:fill="auto"/>
            <w:noWrap w:val="0"/>
            <w:vAlign w:val="center"/>
          </w:tcPr>
          <w:p w14:paraId="1EC360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10</w:t>
            </w:r>
          </w:p>
        </w:tc>
        <w:tc>
          <w:tcPr>
            <w:tcW w:w="1394" w:type="dxa"/>
            <w:noWrap w:val="0"/>
            <w:vAlign w:val="center"/>
          </w:tcPr>
          <w:p w14:paraId="71D758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noWrap w:val="0"/>
            <w:vAlign w:val="center"/>
          </w:tcPr>
          <w:p w14:paraId="13603A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投标人影响评标</w:t>
            </w:r>
          </w:p>
        </w:tc>
        <w:tc>
          <w:tcPr>
            <w:tcW w:w="4801" w:type="dxa"/>
            <w:noWrap w:val="0"/>
            <w:vAlign w:val="center"/>
          </w:tcPr>
          <w:p w14:paraId="4FE64DC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投标人对采购人、采购代理机构、评标委员会及其工作人员未施加影响，无有碍公平、公正的</w:t>
            </w:r>
          </w:p>
        </w:tc>
      </w:tr>
      <w:tr w14:paraId="0719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30" w:type="dxa"/>
            <w:shd w:val="clear" w:color="auto" w:fill="auto"/>
            <w:noWrap w:val="0"/>
            <w:vAlign w:val="center"/>
          </w:tcPr>
          <w:p w14:paraId="77A512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11</w:t>
            </w:r>
          </w:p>
        </w:tc>
        <w:tc>
          <w:tcPr>
            <w:tcW w:w="1394" w:type="dxa"/>
            <w:noWrap w:val="0"/>
            <w:vAlign w:val="center"/>
          </w:tcPr>
          <w:p w14:paraId="595246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技术</w:t>
            </w:r>
          </w:p>
        </w:tc>
        <w:tc>
          <w:tcPr>
            <w:tcW w:w="2732" w:type="dxa"/>
            <w:noWrap w:val="0"/>
            <w:vAlign w:val="center"/>
          </w:tcPr>
          <w:p w14:paraId="287F07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附加条件</w:t>
            </w:r>
          </w:p>
        </w:tc>
        <w:tc>
          <w:tcPr>
            <w:tcW w:w="4801" w:type="dxa"/>
            <w:noWrap w:val="0"/>
            <w:vAlign w:val="center"/>
          </w:tcPr>
          <w:p w14:paraId="27C782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投标文件没有采购人不能接受的附加条件的</w:t>
            </w:r>
          </w:p>
        </w:tc>
      </w:tr>
      <w:tr w14:paraId="185C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30" w:type="dxa"/>
            <w:shd w:val="clear" w:color="auto" w:fill="auto"/>
            <w:noWrap w:val="0"/>
            <w:vAlign w:val="center"/>
          </w:tcPr>
          <w:p w14:paraId="5C6453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12</w:t>
            </w:r>
          </w:p>
        </w:tc>
        <w:tc>
          <w:tcPr>
            <w:tcW w:w="1394" w:type="dxa"/>
            <w:noWrap w:val="0"/>
            <w:vAlign w:val="center"/>
          </w:tcPr>
          <w:p w14:paraId="4650F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技术</w:t>
            </w:r>
          </w:p>
        </w:tc>
        <w:tc>
          <w:tcPr>
            <w:tcW w:w="2732" w:type="dxa"/>
            <w:noWrap w:val="0"/>
            <w:vAlign w:val="center"/>
          </w:tcPr>
          <w:p w14:paraId="6950F2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其他无效情形</w:t>
            </w:r>
          </w:p>
        </w:tc>
        <w:tc>
          <w:tcPr>
            <w:tcW w:w="4801" w:type="dxa"/>
            <w:noWrap w:val="0"/>
            <w:vAlign w:val="center"/>
          </w:tcPr>
          <w:p w14:paraId="3BE9AB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没有法律、法规、规章规定属于投标无效的其他情形。</w:t>
            </w:r>
          </w:p>
        </w:tc>
      </w:tr>
      <w:tr w14:paraId="4159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0" w:type="dxa"/>
            <w:noWrap w:val="0"/>
            <w:vAlign w:val="center"/>
          </w:tcPr>
          <w:p w14:paraId="04E85C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8927" w:type="dxa"/>
            <w:gridSpan w:val="3"/>
            <w:noWrap w:val="0"/>
            <w:vAlign w:val="center"/>
          </w:tcPr>
          <w:p w14:paraId="36FB0B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68E25A1C">
      <w:pPr>
        <w:pStyle w:val="15"/>
        <w:keepNext w:val="0"/>
        <w:keepLines w:val="0"/>
        <w:pageBreakBefore w:val="0"/>
        <w:widowControl/>
        <w:kinsoku/>
        <w:wordWrap w:val="0"/>
        <w:overflowPunct/>
        <w:topLinePunct/>
        <w:autoSpaceDE w:val="0"/>
        <w:autoSpaceDN w:val="0"/>
        <w:bidi w:val="0"/>
        <w:adjustRightInd w:val="0"/>
        <w:snapToGrid w:val="0"/>
        <w:spacing w:before="280" w:line="219" w:lineRule="auto"/>
        <w:ind w:left="0" w:leftChars="0" w:firstLine="0" w:firstLineChars="0"/>
        <w:jc w:val="both"/>
        <w:textAlignment w:val="baseline"/>
        <w:rPr>
          <w:rFonts w:hint="eastAsia" w:ascii="宋体" w:hAnsi="宋体" w:eastAsia="宋体" w:cs="宋体"/>
          <w:color w:val="auto"/>
          <w:highlight w:val="none"/>
        </w:rPr>
      </w:pPr>
    </w:p>
    <w:p w14:paraId="6CB7D371">
      <w:pPr>
        <w:pStyle w:val="15"/>
        <w:keepNext w:val="0"/>
        <w:keepLines w:val="0"/>
        <w:pageBreakBefore w:val="0"/>
        <w:widowControl/>
        <w:kinsoku/>
        <w:wordWrap w:val="0"/>
        <w:overflowPunct/>
        <w:topLinePunct/>
        <w:autoSpaceDE w:val="0"/>
        <w:autoSpaceDN w:val="0"/>
        <w:bidi w:val="0"/>
        <w:adjustRightInd w:val="0"/>
        <w:snapToGrid w:val="0"/>
        <w:spacing w:before="280" w:line="219" w:lineRule="auto"/>
        <w:ind w:left="0" w:leftChars="0" w:firstLine="0" w:firstLineChars="0"/>
        <w:jc w:val="both"/>
        <w:textAlignment w:val="baseline"/>
        <w:rPr>
          <w:rFonts w:hint="eastAsia" w:ascii="宋体" w:hAnsi="宋体" w:eastAsia="宋体" w:cs="宋体"/>
          <w:color w:val="auto"/>
          <w:highlight w:val="none"/>
        </w:rPr>
        <w:sectPr>
          <w:pgSz w:w="11905" w:h="16838"/>
          <w:pgMar w:top="1134" w:right="1134" w:bottom="1134" w:left="1134" w:header="737" w:footer="737" w:gutter="0"/>
          <w:pgNumType w:fmt="numberInDash"/>
          <w:cols w:space="0" w:num="1"/>
          <w:rtlGutter w:val="0"/>
          <w:docGrid w:linePitch="0" w:charSpace="0"/>
        </w:sectPr>
      </w:pPr>
    </w:p>
    <w:p w14:paraId="315BB8E6">
      <w:pPr>
        <w:pStyle w:val="15"/>
        <w:keepNext w:val="0"/>
        <w:keepLines w:val="0"/>
        <w:pageBreakBefore w:val="0"/>
        <w:widowControl/>
        <w:kinsoku/>
        <w:wordWrap w:val="0"/>
        <w:overflowPunct/>
        <w:topLinePunct/>
        <w:autoSpaceDE w:val="0"/>
        <w:autoSpaceDN w:val="0"/>
        <w:bidi w:val="0"/>
        <w:adjustRightInd w:val="0"/>
        <w:snapToGrid w:val="0"/>
        <w:spacing w:before="78" w:line="219" w:lineRule="auto"/>
        <w:ind w:left="368"/>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符合性审查表-附表</w:t>
      </w:r>
    </w:p>
    <w:p w14:paraId="43741738">
      <w:pPr>
        <w:pStyle w:val="15"/>
        <w:keepNext w:val="0"/>
        <w:keepLines w:val="0"/>
        <w:pageBreakBefore w:val="0"/>
        <w:widowControl/>
        <w:kinsoku/>
        <w:wordWrap w:val="0"/>
        <w:overflowPunct/>
        <w:topLinePunct/>
        <w:autoSpaceDE w:val="0"/>
        <w:autoSpaceDN w:val="0"/>
        <w:bidi w:val="0"/>
        <w:adjustRightInd w:val="0"/>
        <w:snapToGrid w:val="0"/>
        <w:spacing w:before="244" w:line="221" w:lineRule="auto"/>
        <w:ind w:left="3403"/>
        <w:jc w:val="both"/>
        <w:textAlignment w:val="baseline"/>
        <w:outlineLvl w:val="2"/>
        <w:rPr>
          <w:rFonts w:hint="eastAsia" w:ascii="宋体" w:hAnsi="宋体" w:eastAsia="宋体" w:cs="宋体"/>
          <w:color w:val="auto"/>
          <w:sz w:val="28"/>
          <w:szCs w:val="28"/>
          <w:highlight w:val="none"/>
        </w:rPr>
      </w:pPr>
      <w:bookmarkStart w:id="195" w:name="_Toc2585"/>
      <w:bookmarkStart w:id="196" w:name="_Toc16040"/>
      <w:bookmarkStart w:id="197" w:name="_Toc20808"/>
      <w:bookmarkStart w:id="198" w:name="_Toc24953"/>
      <w:bookmarkStart w:id="199" w:name="_Toc17741"/>
      <w:r>
        <w:rPr>
          <w:rFonts w:hint="eastAsia" w:ascii="宋体" w:hAnsi="宋体" w:eastAsia="宋体" w:cs="宋体"/>
          <w:b/>
          <w:bCs/>
          <w:color w:val="auto"/>
          <w:spacing w:val="-5"/>
          <w:sz w:val="28"/>
          <w:szCs w:val="28"/>
          <w:highlight w:val="none"/>
        </w:rPr>
        <w:t>实质性响应一览表</w:t>
      </w:r>
      <w:bookmarkEnd w:id="195"/>
      <w:bookmarkEnd w:id="196"/>
      <w:bookmarkEnd w:id="197"/>
      <w:bookmarkEnd w:id="198"/>
      <w:bookmarkEnd w:id="199"/>
    </w:p>
    <w:p w14:paraId="61A69772">
      <w:pPr>
        <w:pStyle w:val="15"/>
        <w:keepNext w:val="0"/>
        <w:keepLines w:val="0"/>
        <w:pageBreakBefore w:val="0"/>
        <w:widowControl/>
        <w:kinsoku/>
        <w:wordWrap w:val="0"/>
        <w:overflowPunct/>
        <w:topLinePunct/>
        <w:autoSpaceDE w:val="0"/>
        <w:autoSpaceDN w:val="0"/>
        <w:bidi w:val="0"/>
        <w:adjustRightInd w:val="0"/>
        <w:snapToGrid w:val="0"/>
        <w:spacing w:before="280" w:line="219" w:lineRule="auto"/>
        <w:ind w:left="809"/>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（投标人须对本附表所有内容逐条响应且无负偏离，否则其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49E9801F">
      <w:pPr>
        <w:keepNext w:val="0"/>
        <w:keepLines w:val="0"/>
        <w:pageBreakBefore w:val="0"/>
        <w:widowControl/>
        <w:kinsoku/>
        <w:wordWrap w:val="0"/>
        <w:overflowPunct/>
        <w:topLinePunct/>
        <w:autoSpaceDE w:val="0"/>
        <w:autoSpaceDN w:val="0"/>
        <w:bidi w:val="0"/>
        <w:adjustRightInd w:val="0"/>
        <w:snapToGrid w:val="0"/>
        <w:spacing w:before="217"/>
        <w:jc w:val="both"/>
        <w:textAlignment w:val="baseline"/>
        <w:rPr>
          <w:rFonts w:hint="eastAsia" w:ascii="宋体" w:hAnsi="宋体" w:eastAsia="宋体" w:cs="宋体"/>
          <w:color w:val="auto"/>
          <w:highlight w:val="none"/>
        </w:rPr>
      </w:pPr>
    </w:p>
    <w:tbl>
      <w:tblPr>
        <w:tblStyle w:val="165"/>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1728"/>
        <w:gridCol w:w="3062"/>
        <w:gridCol w:w="2620"/>
        <w:gridCol w:w="1446"/>
      </w:tblGrid>
      <w:tr w14:paraId="310D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724" w:type="dxa"/>
            <w:vMerge w:val="restart"/>
            <w:vAlign w:val="center"/>
          </w:tcPr>
          <w:p w14:paraId="096B8D14">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序号</w:t>
            </w:r>
          </w:p>
        </w:tc>
        <w:tc>
          <w:tcPr>
            <w:tcW w:w="4790" w:type="dxa"/>
            <w:gridSpan w:val="2"/>
            <w:vAlign w:val="center"/>
          </w:tcPr>
          <w:p w14:paraId="5491B074">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招标文件要求的实质性响应内容</w:t>
            </w:r>
          </w:p>
        </w:tc>
        <w:tc>
          <w:tcPr>
            <w:tcW w:w="2620" w:type="dxa"/>
            <w:vMerge w:val="restart"/>
            <w:vAlign w:val="center"/>
          </w:tcPr>
          <w:p w14:paraId="1782EA33">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投标文件响应的具体内容</w:t>
            </w:r>
          </w:p>
        </w:tc>
        <w:tc>
          <w:tcPr>
            <w:tcW w:w="1446" w:type="dxa"/>
            <w:vMerge w:val="restart"/>
            <w:vAlign w:val="center"/>
          </w:tcPr>
          <w:p w14:paraId="2E7FDF81">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14:paraId="4CD1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724" w:type="dxa"/>
            <w:vMerge w:val="continue"/>
            <w:textDirection w:val="tbRlV"/>
            <w:vAlign w:val="center"/>
          </w:tcPr>
          <w:p w14:paraId="10D213F7">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highlight w:val="none"/>
                <w:lang w:val="en-US" w:eastAsia="zh-CN"/>
              </w:rPr>
            </w:pPr>
          </w:p>
        </w:tc>
        <w:tc>
          <w:tcPr>
            <w:tcW w:w="1728" w:type="dxa"/>
            <w:vAlign w:val="center"/>
          </w:tcPr>
          <w:p w14:paraId="0E0E0A47">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实质性要求</w:t>
            </w:r>
          </w:p>
        </w:tc>
        <w:tc>
          <w:tcPr>
            <w:tcW w:w="3062" w:type="dxa"/>
            <w:vAlign w:val="center"/>
          </w:tcPr>
          <w:p w14:paraId="314A332C">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招标文件中的规定</w:t>
            </w:r>
          </w:p>
        </w:tc>
        <w:tc>
          <w:tcPr>
            <w:tcW w:w="2620" w:type="dxa"/>
            <w:vMerge w:val="continue"/>
            <w:vAlign w:val="center"/>
          </w:tcPr>
          <w:p w14:paraId="4FBB58CE">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highlight w:val="none"/>
                <w:lang w:val="en-US" w:eastAsia="zh-CN"/>
              </w:rPr>
            </w:pPr>
          </w:p>
        </w:tc>
        <w:tc>
          <w:tcPr>
            <w:tcW w:w="1446" w:type="dxa"/>
            <w:vMerge w:val="continue"/>
            <w:vAlign w:val="center"/>
          </w:tcPr>
          <w:p w14:paraId="3F8828E3">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highlight w:val="none"/>
                <w:lang w:val="en-US" w:eastAsia="zh-CN"/>
              </w:rPr>
            </w:pPr>
          </w:p>
        </w:tc>
      </w:tr>
      <w:tr w14:paraId="2F62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724" w:type="dxa"/>
            <w:vAlign w:val="center"/>
          </w:tcPr>
          <w:p w14:paraId="7B5BA3DE">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728" w:type="dxa"/>
            <w:vAlign w:val="center"/>
          </w:tcPr>
          <w:p w14:paraId="11372060">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法定代表人（单位负责人）身份证明和授权委托书</w:t>
            </w:r>
          </w:p>
        </w:tc>
        <w:tc>
          <w:tcPr>
            <w:tcW w:w="3062" w:type="dxa"/>
            <w:vAlign w:val="center"/>
          </w:tcPr>
          <w:p w14:paraId="7EA9D456">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按采购文件要求提供“法定代表人（单位负责人）身份证明和授权委托书”</w:t>
            </w:r>
          </w:p>
        </w:tc>
        <w:tc>
          <w:tcPr>
            <w:tcW w:w="2620" w:type="dxa"/>
            <w:vAlign w:val="center"/>
          </w:tcPr>
          <w:p w14:paraId="41C21531">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【填写“已提供”或“未提供”】</w:t>
            </w:r>
          </w:p>
        </w:tc>
        <w:tc>
          <w:tcPr>
            <w:tcW w:w="1446" w:type="dxa"/>
            <w:vAlign w:val="center"/>
          </w:tcPr>
          <w:p w14:paraId="20955C50">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【对应页码】</w:t>
            </w:r>
          </w:p>
        </w:tc>
      </w:tr>
      <w:tr w14:paraId="0637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724" w:type="dxa"/>
            <w:vAlign w:val="center"/>
          </w:tcPr>
          <w:p w14:paraId="086AB946">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2</w:t>
            </w:r>
          </w:p>
        </w:tc>
        <w:tc>
          <w:tcPr>
            <w:tcW w:w="1728" w:type="dxa"/>
            <w:vAlign w:val="center"/>
          </w:tcPr>
          <w:p w14:paraId="2B262509">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投标有效期</w:t>
            </w:r>
          </w:p>
        </w:tc>
        <w:tc>
          <w:tcPr>
            <w:tcW w:w="3062" w:type="dxa"/>
            <w:vAlign w:val="center"/>
          </w:tcPr>
          <w:p w14:paraId="709AC339">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投标截止时间后90日历日</w:t>
            </w:r>
          </w:p>
        </w:tc>
        <w:tc>
          <w:tcPr>
            <w:tcW w:w="2620" w:type="dxa"/>
            <w:vAlign w:val="center"/>
          </w:tcPr>
          <w:p w14:paraId="79C33538">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【填写投标文件的相关内容】</w:t>
            </w:r>
          </w:p>
        </w:tc>
        <w:tc>
          <w:tcPr>
            <w:tcW w:w="1446" w:type="dxa"/>
            <w:vAlign w:val="center"/>
          </w:tcPr>
          <w:p w14:paraId="4604B8EF">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【对应页码】</w:t>
            </w:r>
          </w:p>
        </w:tc>
      </w:tr>
      <w:tr w14:paraId="2606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6" w:hRule="atLeast"/>
          <w:jc w:val="center"/>
        </w:trPr>
        <w:tc>
          <w:tcPr>
            <w:tcW w:w="724" w:type="dxa"/>
            <w:vAlign w:val="center"/>
          </w:tcPr>
          <w:p w14:paraId="7689406B">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cs="宋体"/>
                <w:color w:val="auto"/>
                <w:highlight w:val="none"/>
                <w:lang w:val="en-US" w:eastAsia="zh-CN"/>
              </w:rPr>
              <w:t>3</w:t>
            </w:r>
          </w:p>
        </w:tc>
        <w:tc>
          <w:tcPr>
            <w:tcW w:w="1728" w:type="dxa"/>
            <w:vAlign w:val="center"/>
          </w:tcPr>
          <w:p w14:paraId="731D35E0">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商务要求</w:t>
            </w:r>
          </w:p>
        </w:tc>
        <w:tc>
          <w:tcPr>
            <w:tcW w:w="3062" w:type="dxa"/>
            <w:vAlign w:val="center"/>
          </w:tcPr>
          <w:p w14:paraId="33E1C0E5">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详见“第三章采购需求——商务要求”</w:t>
            </w:r>
          </w:p>
        </w:tc>
        <w:tc>
          <w:tcPr>
            <w:tcW w:w="2620" w:type="dxa"/>
            <w:vAlign w:val="center"/>
          </w:tcPr>
          <w:p w14:paraId="3EE7A9C7">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详见“商务响应偏离表”</w:t>
            </w:r>
            <w:r>
              <w:rPr>
                <w:rFonts w:hint="eastAsia" w:ascii="宋体" w:hAnsi="宋体" w:eastAsia="宋体" w:cs="宋体"/>
                <w:color w:val="auto"/>
                <w:highlight w:val="none"/>
                <w:lang w:val="en-US" w:eastAsia="zh-CN"/>
              </w:rPr>
              <w:t>】</w:t>
            </w:r>
          </w:p>
        </w:tc>
        <w:tc>
          <w:tcPr>
            <w:tcW w:w="1446" w:type="dxa"/>
            <w:vAlign w:val="center"/>
          </w:tcPr>
          <w:p w14:paraId="10A2D023">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【对应页码】</w:t>
            </w:r>
          </w:p>
        </w:tc>
      </w:tr>
    </w:tbl>
    <w:p w14:paraId="0309E044">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sectPr>
          <w:pgSz w:w="11905" w:h="16838"/>
          <w:pgMar w:top="1134" w:right="1134" w:bottom="1134" w:left="1134" w:header="737" w:footer="737" w:gutter="0"/>
          <w:pgNumType w:fmt="numberInDash"/>
          <w:cols w:space="0" w:num="1"/>
          <w:rtlGutter w:val="0"/>
          <w:docGrid w:linePitch="0" w:charSpace="0"/>
        </w:sectPr>
      </w:pPr>
    </w:p>
    <w:p w14:paraId="071ABB32">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firstLine="462" w:firstLineChars="200"/>
        <w:jc w:val="both"/>
        <w:textAlignment w:val="baseline"/>
        <w:outlineLvl w:val="2"/>
        <w:rPr>
          <w:rFonts w:hint="eastAsia" w:ascii="宋体" w:hAnsi="宋体" w:eastAsia="宋体" w:cs="宋体"/>
          <w:color w:val="auto"/>
          <w:sz w:val="24"/>
          <w:szCs w:val="24"/>
          <w:highlight w:val="none"/>
        </w:rPr>
      </w:pPr>
      <w:bookmarkStart w:id="200" w:name="_Toc14351"/>
      <w:bookmarkStart w:id="201" w:name="_Toc6583"/>
      <w:bookmarkStart w:id="202" w:name="_Toc22008"/>
      <w:bookmarkStart w:id="203" w:name="_Toc13164"/>
      <w:bookmarkStart w:id="204" w:name="_Toc25300"/>
      <w:r>
        <w:rPr>
          <w:rFonts w:hint="eastAsia" w:ascii="宋体" w:hAnsi="宋体" w:eastAsia="宋体" w:cs="宋体"/>
          <w:b/>
          <w:bCs/>
          <w:color w:val="auto"/>
          <w:spacing w:val="-5"/>
          <w:sz w:val="24"/>
          <w:szCs w:val="24"/>
          <w:highlight w:val="none"/>
        </w:rPr>
        <w:t>（二）评分标准</w:t>
      </w:r>
      <w:bookmarkEnd w:id="200"/>
      <w:bookmarkEnd w:id="201"/>
      <w:bookmarkEnd w:id="202"/>
      <w:bookmarkEnd w:id="203"/>
      <w:bookmarkEnd w:id="204"/>
    </w:p>
    <w:p w14:paraId="5DDDD35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评</w:t>
      </w:r>
      <w:r>
        <w:rPr>
          <w:rFonts w:hint="eastAsia" w:ascii="宋体" w:hAnsi="宋体" w:eastAsia="宋体" w:cs="宋体"/>
          <w:b/>
          <w:color w:val="auto"/>
          <w:sz w:val="24"/>
          <w:szCs w:val="24"/>
          <w:highlight w:val="none"/>
          <w:lang w:val="en-US" w:eastAsia="zh-CN"/>
        </w:rPr>
        <w:t>分</w:t>
      </w:r>
      <w:r>
        <w:rPr>
          <w:rFonts w:hint="eastAsia" w:ascii="宋体" w:hAnsi="宋体" w:eastAsia="宋体" w:cs="宋体"/>
          <w:b/>
          <w:color w:val="auto"/>
          <w:sz w:val="24"/>
          <w:szCs w:val="24"/>
          <w:highlight w:val="none"/>
          <w:lang w:eastAsia="zh-CN"/>
        </w:rPr>
        <w:t>标准</w:t>
      </w:r>
    </w:p>
    <w:tbl>
      <w:tblPr>
        <w:tblStyle w:val="35"/>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64"/>
        <w:gridCol w:w="6959"/>
        <w:gridCol w:w="846"/>
      </w:tblGrid>
      <w:tr w14:paraId="2466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10" w:type="dxa"/>
            <w:noWrap w:val="0"/>
            <w:vAlign w:val="center"/>
          </w:tcPr>
          <w:p w14:paraId="1C73D1A1">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序号</w:t>
            </w:r>
          </w:p>
        </w:tc>
        <w:tc>
          <w:tcPr>
            <w:tcW w:w="1264" w:type="dxa"/>
            <w:noWrap w:val="0"/>
            <w:vAlign w:val="center"/>
          </w:tcPr>
          <w:p w14:paraId="5C744509">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w:t>
            </w:r>
            <w:r>
              <w:rPr>
                <w:rFonts w:hint="eastAsia" w:ascii="宋体" w:hAnsi="宋体" w:eastAsia="宋体" w:cs="宋体"/>
                <w:b w:val="0"/>
                <w:bCs/>
                <w:color w:val="auto"/>
                <w:sz w:val="24"/>
                <w:szCs w:val="24"/>
                <w:highlight w:val="none"/>
                <w:lang w:eastAsia="zh-CN"/>
              </w:rPr>
              <w:t>审</w:t>
            </w:r>
            <w:r>
              <w:rPr>
                <w:rFonts w:hint="eastAsia" w:ascii="宋体" w:hAnsi="宋体" w:eastAsia="宋体" w:cs="宋体"/>
                <w:b w:val="0"/>
                <w:bCs/>
                <w:color w:val="auto"/>
                <w:sz w:val="24"/>
                <w:szCs w:val="24"/>
                <w:highlight w:val="none"/>
              </w:rPr>
              <w:t>因素</w:t>
            </w:r>
          </w:p>
        </w:tc>
        <w:tc>
          <w:tcPr>
            <w:tcW w:w="6959" w:type="dxa"/>
            <w:noWrap w:val="0"/>
            <w:vAlign w:val="center"/>
          </w:tcPr>
          <w:p w14:paraId="6FF0A370">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sz w:val="24"/>
                <w:szCs w:val="24"/>
                <w:highlight w:val="none"/>
              </w:rPr>
            </w:pPr>
            <w:r>
              <w:rPr>
                <w:rStyle w:val="93"/>
                <w:rFonts w:hint="eastAsia" w:ascii="宋体" w:hAnsi="宋体" w:eastAsia="宋体" w:cs="宋体"/>
                <w:b w:val="0"/>
                <w:bCs/>
                <w:color w:val="auto"/>
                <w:spacing w:val="-2"/>
                <w:sz w:val="24"/>
                <w:szCs w:val="24"/>
                <w:highlight w:val="none"/>
              </w:rPr>
              <w:t>评</w:t>
            </w:r>
            <w:r>
              <w:rPr>
                <w:rStyle w:val="93"/>
                <w:rFonts w:hint="eastAsia" w:ascii="宋体" w:hAnsi="宋体" w:eastAsia="宋体" w:cs="宋体"/>
                <w:b w:val="0"/>
                <w:bCs/>
                <w:color w:val="auto"/>
                <w:spacing w:val="-2"/>
                <w:sz w:val="24"/>
                <w:szCs w:val="24"/>
                <w:highlight w:val="none"/>
                <w:lang w:eastAsia="zh-CN"/>
              </w:rPr>
              <w:t>审</w:t>
            </w:r>
            <w:r>
              <w:rPr>
                <w:rStyle w:val="93"/>
                <w:rFonts w:hint="eastAsia" w:ascii="宋体" w:hAnsi="宋体" w:eastAsia="宋体" w:cs="宋体"/>
                <w:b w:val="0"/>
                <w:bCs/>
                <w:color w:val="auto"/>
                <w:spacing w:val="-2"/>
                <w:sz w:val="24"/>
                <w:szCs w:val="24"/>
                <w:highlight w:val="none"/>
              </w:rPr>
              <w:t>标准</w:t>
            </w:r>
          </w:p>
        </w:tc>
        <w:tc>
          <w:tcPr>
            <w:tcW w:w="846" w:type="dxa"/>
            <w:noWrap w:val="0"/>
            <w:vAlign w:val="center"/>
          </w:tcPr>
          <w:p w14:paraId="4FA48BB5">
            <w:pPr>
              <w:keepNext w:val="0"/>
              <w:keepLines w:val="0"/>
              <w:pageBreakBefore w:val="0"/>
              <w:tabs>
                <w:tab w:val="left" w:pos="1900"/>
              </w:tabs>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分值</w:t>
            </w:r>
          </w:p>
        </w:tc>
      </w:tr>
      <w:tr w14:paraId="44CC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jc w:val="center"/>
        </w:trPr>
        <w:tc>
          <w:tcPr>
            <w:tcW w:w="710" w:type="dxa"/>
            <w:noWrap w:val="0"/>
            <w:vAlign w:val="center"/>
          </w:tcPr>
          <w:p w14:paraId="2FAD7DB7">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264" w:type="dxa"/>
            <w:vMerge w:val="restart"/>
            <w:noWrap w:val="0"/>
            <w:vAlign w:val="center"/>
          </w:tcPr>
          <w:p w14:paraId="6C78E556">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w:t>
            </w:r>
          </w:p>
          <w:p w14:paraId="2EE7B80F">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18</w:t>
            </w:r>
            <w:r>
              <w:rPr>
                <w:rFonts w:hint="eastAsia" w:ascii="宋体" w:hAnsi="宋体" w:eastAsia="宋体" w:cs="宋体"/>
                <w:b w:val="0"/>
                <w:bCs/>
                <w:color w:val="auto"/>
                <w:sz w:val="24"/>
                <w:szCs w:val="24"/>
                <w:highlight w:val="none"/>
              </w:rPr>
              <w:t>分）</w:t>
            </w:r>
          </w:p>
        </w:tc>
        <w:tc>
          <w:tcPr>
            <w:tcW w:w="6959" w:type="dxa"/>
            <w:noWrap w:val="0"/>
            <w:vAlign w:val="center"/>
          </w:tcPr>
          <w:p w14:paraId="7C662E9C">
            <w:pPr>
              <w:keepNext w:val="0"/>
              <w:keepLines w:val="0"/>
              <w:pageBreakBefore w:val="0"/>
              <w:kinsoku/>
              <w:wordWrap/>
              <w:overflowPunct/>
              <w:topLinePunct w:val="0"/>
              <w:bidi w:val="0"/>
              <w:adjustRightInd w:val="0"/>
              <w:snapToGrid w:val="0"/>
              <w:spacing w:line="240" w:lineRule="auto"/>
              <w:ind w:right="0" w:rightChars="0"/>
              <w:jc w:val="both"/>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所投产品有效</w:t>
            </w:r>
            <w:r>
              <w:rPr>
                <w:rFonts w:hint="eastAsia" w:ascii="宋体" w:hAnsi="宋体" w:eastAsia="宋体" w:cs="宋体"/>
                <w:color w:val="auto"/>
                <w:sz w:val="24"/>
                <w:szCs w:val="24"/>
                <w:highlight w:val="none"/>
              </w:rPr>
              <w:t>业绩，每提供一</w:t>
            </w:r>
            <w:r>
              <w:rPr>
                <w:rFonts w:hint="eastAsia" w:ascii="宋体" w:hAnsi="宋体" w:eastAsia="宋体" w:cs="宋体"/>
                <w:color w:val="auto"/>
                <w:sz w:val="24"/>
                <w:szCs w:val="24"/>
                <w:highlight w:val="none"/>
                <w:lang w:eastAsia="zh-CN"/>
              </w:rPr>
              <w:t>项</w:t>
            </w:r>
            <w:r>
              <w:rPr>
                <w:rFonts w:hint="eastAsia" w:ascii="宋体" w:hAnsi="宋体" w:eastAsia="宋体" w:cs="宋体"/>
                <w:color w:val="auto"/>
                <w:sz w:val="24"/>
                <w:szCs w:val="24"/>
                <w:highlight w:val="none"/>
              </w:rPr>
              <w:t>业绩得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分，本项最高得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提供中标通知书或采购合同。提供采购合同的</w:t>
            </w:r>
            <w:r>
              <w:rPr>
                <w:rFonts w:hint="eastAsia" w:ascii="宋体" w:hAnsi="宋体" w:eastAsia="宋体" w:cs="宋体"/>
                <w:b w:val="0"/>
                <w:bCs w:val="0"/>
                <w:color w:val="auto"/>
                <w:sz w:val="24"/>
                <w:szCs w:val="24"/>
                <w:highlight w:val="none"/>
                <w:lang w:eastAsia="zh-CN"/>
              </w:rPr>
              <w:t>至少</w:t>
            </w:r>
            <w:r>
              <w:rPr>
                <w:rFonts w:hint="eastAsia" w:ascii="宋体" w:hAnsi="宋体" w:eastAsia="宋体" w:cs="宋体"/>
                <w:b w:val="0"/>
                <w:bCs w:val="0"/>
                <w:color w:val="auto"/>
                <w:sz w:val="24"/>
                <w:szCs w:val="24"/>
                <w:highlight w:val="none"/>
              </w:rPr>
              <w:t>包括合同首页、合同内容描述页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合同清单页、合同货物及金额所在页、合同盖章页等合同关键页复印件并加盖投标人公章</w:t>
            </w:r>
            <w:r>
              <w:rPr>
                <w:rFonts w:hint="eastAsia" w:ascii="宋体" w:hAnsi="宋体" w:eastAsia="宋体" w:cs="宋体"/>
                <w:b w:val="0"/>
                <w:bCs w:val="0"/>
                <w:color w:val="auto"/>
                <w:sz w:val="24"/>
                <w:szCs w:val="24"/>
                <w:highlight w:val="none"/>
                <w:lang w:eastAsia="zh-CN"/>
              </w:rPr>
              <w:t>。未按上述要求提供佐证材料</w:t>
            </w:r>
            <w:r>
              <w:rPr>
                <w:rFonts w:hint="eastAsia" w:ascii="宋体" w:hAnsi="宋体" w:eastAsia="宋体" w:cs="宋体"/>
                <w:b w:val="0"/>
                <w:bCs w:val="0"/>
                <w:color w:val="auto"/>
                <w:sz w:val="24"/>
                <w:szCs w:val="24"/>
                <w:highlight w:val="none"/>
              </w:rPr>
              <w:t>或</w:t>
            </w:r>
            <w:r>
              <w:rPr>
                <w:rFonts w:hint="eastAsia" w:ascii="宋体" w:hAnsi="宋体" w:eastAsia="宋体" w:cs="宋体"/>
                <w:b w:val="0"/>
                <w:bCs w:val="0"/>
                <w:color w:val="auto"/>
                <w:sz w:val="24"/>
                <w:szCs w:val="24"/>
                <w:highlight w:val="none"/>
                <w:lang w:eastAsia="zh-CN"/>
              </w:rPr>
              <w:t>佐证材料</w:t>
            </w:r>
            <w:r>
              <w:rPr>
                <w:rFonts w:hint="eastAsia" w:ascii="宋体" w:hAnsi="宋体" w:eastAsia="宋体" w:cs="宋体"/>
                <w:b w:val="0"/>
                <w:bCs w:val="0"/>
                <w:color w:val="auto"/>
                <w:sz w:val="24"/>
                <w:szCs w:val="24"/>
                <w:highlight w:val="none"/>
              </w:rPr>
              <w:t>不清晰无法辨识内容的本项不得分。</w:t>
            </w:r>
            <w:r>
              <w:rPr>
                <w:rFonts w:hint="eastAsia" w:ascii="宋体" w:hAnsi="宋体" w:eastAsia="宋体" w:cs="宋体"/>
                <w:color w:val="auto"/>
                <w:sz w:val="24"/>
                <w:szCs w:val="24"/>
                <w:highlight w:val="none"/>
                <w:lang w:eastAsia="zh-CN"/>
              </w:rPr>
              <w:t>）</w:t>
            </w:r>
          </w:p>
        </w:tc>
        <w:tc>
          <w:tcPr>
            <w:tcW w:w="846" w:type="dxa"/>
            <w:noWrap w:val="0"/>
            <w:vAlign w:val="center"/>
          </w:tcPr>
          <w:p w14:paraId="15A3A817">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rPr>
              <w:t>0-10</w:t>
            </w:r>
          </w:p>
        </w:tc>
      </w:tr>
      <w:tr w14:paraId="6A3A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jc w:val="center"/>
        </w:trPr>
        <w:tc>
          <w:tcPr>
            <w:tcW w:w="710" w:type="dxa"/>
            <w:noWrap w:val="0"/>
            <w:vAlign w:val="center"/>
          </w:tcPr>
          <w:p w14:paraId="2C79A0F4">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1264" w:type="dxa"/>
            <w:vMerge w:val="continue"/>
            <w:noWrap w:val="0"/>
            <w:vAlign w:val="center"/>
          </w:tcPr>
          <w:p w14:paraId="2F5807B9">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sz w:val="24"/>
                <w:szCs w:val="24"/>
                <w:highlight w:val="none"/>
              </w:rPr>
            </w:pPr>
          </w:p>
        </w:tc>
        <w:tc>
          <w:tcPr>
            <w:tcW w:w="6959" w:type="dxa"/>
            <w:noWrap w:val="0"/>
            <w:vAlign w:val="center"/>
          </w:tcPr>
          <w:p w14:paraId="777E3095">
            <w:pPr>
              <w:keepNext w:val="0"/>
              <w:keepLines w:val="0"/>
              <w:pageBreakBefore w:val="0"/>
              <w:kinsoku/>
              <w:wordWrap/>
              <w:overflowPunct/>
              <w:topLinePunct w:val="0"/>
              <w:bidi w:val="0"/>
              <w:adjustRightInd w:val="0"/>
              <w:snapToGrid w:val="0"/>
              <w:spacing w:line="240" w:lineRule="auto"/>
              <w:ind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eastAsia="zh-CN"/>
              </w:rPr>
              <w:t>团队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分）：①</w:t>
            </w:r>
            <w:r>
              <w:rPr>
                <w:rFonts w:hint="eastAsia" w:ascii="宋体" w:hAnsi="宋体" w:eastAsia="宋体" w:cs="宋体"/>
                <w:color w:val="auto"/>
                <w:sz w:val="24"/>
                <w:szCs w:val="24"/>
                <w:highlight w:val="none"/>
                <w:lang w:eastAsia="zh-CN"/>
              </w:rPr>
              <w:t>生产厂家</w:t>
            </w:r>
            <w:r>
              <w:rPr>
                <w:rFonts w:hint="eastAsia" w:ascii="宋体" w:hAnsi="宋体" w:eastAsia="宋体" w:cs="宋体"/>
                <w:color w:val="auto"/>
                <w:sz w:val="24"/>
                <w:szCs w:val="24"/>
                <w:highlight w:val="none"/>
              </w:rPr>
              <w:t>具有专职维修工程师，</w:t>
            </w:r>
            <w:r>
              <w:rPr>
                <w:rFonts w:hint="eastAsia" w:ascii="宋体" w:hAnsi="宋体" w:eastAsia="宋体" w:cs="宋体"/>
                <w:color w:val="auto"/>
                <w:sz w:val="24"/>
                <w:szCs w:val="24"/>
                <w:highlight w:val="none"/>
                <w:lang w:eastAsia="zh-CN"/>
              </w:rPr>
              <w:t>能</w:t>
            </w:r>
            <w:r>
              <w:rPr>
                <w:rFonts w:hint="eastAsia" w:ascii="宋体" w:hAnsi="宋体" w:eastAsia="宋体" w:cs="宋体"/>
                <w:color w:val="auto"/>
                <w:sz w:val="24"/>
                <w:szCs w:val="24"/>
                <w:highlight w:val="none"/>
              </w:rPr>
              <w:t>保证设备的日常维护及故障排除</w:t>
            </w:r>
            <w:r>
              <w:rPr>
                <w:rFonts w:hint="eastAsia" w:ascii="宋体" w:hAnsi="宋体" w:eastAsia="宋体" w:cs="宋体"/>
                <w:color w:val="auto"/>
                <w:sz w:val="24"/>
                <w:szCs w:val="24"/>
                <w:highlight w:val="none"/>
                <w:lang w:val="en-US" w:eastAsia="zh-CN"/>
              </w:rPr>
              <w:t>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分；②设有常驻专业维修工程师</w:t>
            </w:r>
            <w:r>
              <w:rPr>
                <w:rFonts w:hint="eastAsia" w:ascii="宋体" w:hAnsi="宋体" w:eastAsia="宋体" w:cs="宋体"/>
                <w:color w:val="auto"/>
                <w:sz w:val="24"/>
                <w:szCs w:val="24"/>
                <w:highlight w:val="none"/>
                <w:lang w:val="en-US" w:eastAsia="zh-CN"/>
              </w:rPr>
              <w:t>1人得2分，每增加1人加2分，本项最高得4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需</w:t>
            </w:r>
            <w:r>
              <w:rPr>
                <w:rFonts w:hint="eastAsia" w:ascii="宋体" w:hAnsi="宋体" w:eastAsia="宋体" w:cs="宋体"/>
                <w:b/>
                <w:bCs/>
                <w:color w:val="auto"/>
                <w:sz w:val="24"/>
                <w:szCs w:val="24"/>
                <w:highlight w:val="none"/>
                <w:lang w:val="en-US" w:eastAsia="zh-CN"/>
              </w:rPr>
              <w:t>提供</w:t>
            </w:r>
            <w:r>
              <w:rPr>
                <w:rFonts w:hint="eastAsia" w:ascii="宋体" w:hAnsi="宋体" w:eastAsia="宋体" w:cs="宋体"/>
                <w:b/>
                <w:bCs/>
                <w:color w:val="auto"/>
                <w:sz w:val="24"/>
                <w:szCs w:val="24"/>
                <w:highlight w:val="none"/>
              </w:rPr>
              <w:t>相应</w:t>
            </w:r>
            <w:r>
              <w:rPr>
                <w:rFonts w:hint="eastAsia" w:ascii="宋体" w:hAnsi="宋体" w:eastAsia="宋体" w:cs="宋体"/>
                <w:b/>
                <w:bCs/>
                <w:color w:val="auto"/>
                <w:sz w:val="24"/>
                <w:szCs w:val="24"/>
                <w:highlight w:val="none"/>
                <w:lang w:eastAsia="zh-CN"/>
              </w:rPr>
              <w:t>佐证</w:t>
            </w:r>
            <w:r>
              <w:rPr>
                <w:rFonts w:hint="eastAsia" w:ascii="宋体" w:hAnsi="宋体" w:eastAsia="宋体" w:cs="宋体"/>
                <w:b/>
                <w:bCs/>
                <w:color w:val="auto"/>
                <w:sz w:val="24"/>
                <w:szCs w:val="24"/>
                <w:highlight w:val="none"/>
              </w:rPr>
              <w:t>材料，否则不得分</w:t>
            </w:r>
            <w:r>
              <w:rPr>
                <w:rFonts w:hint="eastAsia" w:ascii="宋体" w:hAnsi="宋体" w:eastAsia="宋体" w:cs="宋体"/>
                <w:color w:val="auto"/>
                <w:sz w:val="24"/>
                <w:szCs w:val="24"/>
                <w:highlight w:val="none"/>
                <w:lang w:eastAsia="zh-CN"/>
              </w:rPr>
              <w:t>）</w:t>
            </w:r>
          </w:p>
          <w:p w14:paraId="62ED0720">
            <w:pPr>
              <w:pStyle w:val="34"/>
              <w:keepNext w:val="0"/>
              <w:keepLines w:val="0"/>
              <w:pageBreakBefore w:val="0"/>
              <w:kinsoku/>
              <w:wordWrap/>
              <w:overflowPunct/>
              <w:topLinePunct w:val="0"/>
              <w:bidi w:val="0"/>
              <w:adjustRightInd w:val="0"/>
              <w:snapToGrid w:val="0"/>
              <w:spacing w:after="0" w:afterLines="0" w:line="240" w:lineRule="auto"/>
              <w:ind w:left="0" w:leftChars="0" w:right="0" w:righ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售后服务</w:t>
            </w:r>
            <w:r>
              <w:rPr>
                <w:rFonts w:hint="eastAsia" w:ascii="宋体" w:hAnsi="宋体" w:eastAsia="宋体" w:cs="宋体"/>
                <w:color w:val="auto"/>
                <w:kern w:val="0"/>
                <w:sz w:val="24"/>
                <w:szCs w:val="24"/>
                <w:highlight w:val="none"/>
                <w:lang w:eastAsia="zh-CN"/>
              </w:rPr>
              <w:t>承诺（</w:t>
            </w:r>
            <w:r>
              <w:rPr>
                <w:rFonts w:hint="eastAsia" w:ascii="宋体" w:hAnsi="宋体" w:eastAsia="宋体" w:cs="宋体"/>
                <w:color w:val="auto"/>
                <w:kern w:val="0"/>
                <w:sz w:val="24"/>
                <w:szCs w:val="24"/>
                <w:highlight w:val="none"/>
                <w:lang w:val="en-US" w:eastAsia="zh-CN"/>
              </w:rPr>
              <w:t>2分</w:t>
            </w:r>
            <w:r>
              <w:rPr>
                <w:rFonts w:hint="eastAsia" w:ascii="宋体" w:hAnsi="宋体" w:eastAsia="宋体" w:cs="宋体"/>
                <w:color w:val="auto"/>
                <w:kern w:val="0"/>
                <w:sz w:val="24"/>
                <w:szCs w:val="24"/>
                <w:highlight w:val="none"/>
                <w:lang w:eastAsia="zh-CN"/>
              </w:rPr>
              <w:t>）：包括但仅限于产品的应急响应时间、质保期内服务方式、质保期外服务方式、优惠承诺等。内容详细完整的得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分；</w:t>
            </w:r>
            <w:r>
              <w:rPr>
                <w:rFonts w:hint="eastAsia" w:ascii="宋体" w:hAnsi="宋体" w:eastAsia="宋体" w:cs="宋体"/>
                <w:color w:val="auto"/>
                <w:kern w:val="2"/>
                <w:sz w:val="24"/>
                <w:szCs w:val="24"/>
                <w:highlight w:val="none"/>
                <w:lang w:val="en-US" w:eastAsia="zh-CN" w:bidi="ar-SA"/>
              </w:rPr>
              <w:t>每缺1项内容扣0.5分，最高扣2分</w:t>
            </w:r>
            <w:r>
              <w:rPr>
                <w:rFonts w:hint="eastAsia" w:ascii="宋体" w:hAnsi="宋体" w:eastAsia="宋体" w:cs="宋体"/>
                <w:color w:val="auto"/>
                <w:kern w:val="0"/>
                <w:sz w:val="24"/>
                <w:szCs w:val="24"/>
                <w:highlight w:val="none"/>
                <w:lang w:eastAsia="zh-CN"/>
              </w:rPr>
              <w:t>；未提供的不得分。</w:t>
            </w:r>
          </w:p>
        </w:tc>
        <w:tc>
          <w:tcPr>
            <w:tcW w:w="846" w:type="dxa"/>
            <w:noWrap w:val="0"/>
            <w:vAlign w:val="center"/>
          </w:tcPr>
          <w:p w14:paraId="18D8D26D">
            <w:pPr>
              <w:pStyle w:val="138"/>
              <w:keepNext w:val="0"/>
              <w:keepLines w:val="0"/>
              <w:pageBreakBefore w:val="0"/>
              <w:kinsoku/>
              <w:wordWrap/>
              <w:overflowPunct/>
              <w:topLinePunct w:val="0"/>
              <w:bidi w:val="0"/>
              <w:adjustRightInd w:val="0"/>
              <w:snapToGrid w:val="0"/>
              <w:spacing w:line="240" w:lineRule="auto"/>
              <w:ind w:right="0" w:rightChars="0" w:firstLine="0" w:firstLineChars="0"/>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rPr>
              <w:t>0-8</w:t>
            </w:r>
          </w:p>
        </w:tc>
      </w:tr>
      <w:tr w14:paraId="4ACA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10" w:type="dxa"/>
            <w:noWrap w:val="0"/>
            <w:vAlign w:val="center"/>
          </w:tcPr>
          <w:p w14:paraId="70033CDD">
            <w:pPr>
              <w:keepNext w:val="0"/>
              <w:keepLines w:val="0"/>
              <w:pageBreakBefore w:val="0"/>
              <w:kinsoku/>
              <w:wordWrap/>
              <w:overflowPunct/>
              <w:topLinePunct w:val="0"/>
              <w:bidi w:val="0"/>
              <w:adjustRightInd w:val="0"/>
              <w:snapToGrid w:val="0"/>
              <w:spacing w:line="240" w:lineRule="auto"/>
              <w:ind w:right="0" w:rightChars="0"/>
              <w:jc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3</w:t>
            </w:r>
          </w:p>
        </w:tc>
        <w:tc>
          <w:tcPr>
            <w:tcW w:w="1264" w:type="dxa"/>
            <w:vMerge w:val="restart"/>
            <w:noWrap w:val="0"/>
            <w:vAlign w:val="center"/>
          </w:tcPr>
          <w:p w14:paraId="2854D04C">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技术</w:t>
            </w:r>
          </w:p>
          <w:p w14:paraId="10B1A39E">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分</w:t>
            </w:r>
            <w:r>
              <w:rPr>
                <w:rFonts w:hint="eastAsia" w:ascii="宋体" w:hAnsi="宋体" w:eastAsia="宋体" w:cs="宋体"/>
                <w:b w:val="0"/>
                <w:bCs/>
                <w:color w:val="auto"/>
                <w:sz w:val="24"/>
                <w:szCs w:val="24"/>
                <w:highlight w:val="none"/>
                <w:lang w:eastAsia="zh-CN"/>
              </w:rPr>
              <w:t>）</w:t>
            </w:r>
          </w:p>
        </w:tc>
        <w:tc>
          <w:tcPr>
            <w:tcW w:w="6959" w:type="dxa"/>
            <w:noWrap w:val="0"/>
            <w:vAlign w:val="center"/>
          </w:tcPr>
          <w:p w14:paraId="0BBE673D">
            <w:pPr>
              <w:keepNext w:val="0"/>
              <w:keepLines w:val="0"/>
              <w:pageBreakBefore w:val="0"/>
              <w:kinsoku/>
              <w:wordWrap/>
              <w:overflowPunct/>
              <w:topLinePunct w:val="0"/>
              <w:bidi w:val="0"/>
              <w:adjustRightInd w:val="0"/>
              <w:snapToGrid w:val="0"/>
              <w:spacing w:line="240" w:lineRule="auto"/>
              <w:ind w:right="0" w:rightChars="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技术参数</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全部满足</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文件要求得</w:t>
            </w:r>
            <w:r>
              <w:rPr>
                <w:rFonts w:hint="eastAsia" w:ascii="宋体" w:hAnsi="宋体" w:eastAsia="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rPr>
              <w:t>分</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标注▲</w:t>
            </w:r>
            <w:r>
              <w:rPr>
                <w:rFonts w:hint="eastAsia" w:ascii="宋体" w:hAnsi="宋体" w:eastAsia="宋体" w:cs="宋体"/>
                <w:b w:val="0"/>
                <w:bCs/>
                <w:color w:val="auto"/>
                <w:sz w:val="24"/>
                <w:szCs w:val="24"/>
                <w:highlight w:val="none"/>
                <w:lang w:val="en-US" w:eastAsia="zh-CN"/>
              </w:rPr>
              <w:t>符号</w:t>
            </w:r>
            <w:r>
              <w:rPr>
                <w:rFonts w:hint="eastAsia" w:ascii="宋体" w:hAnsi="宋体" w:eastAsia="宋体" w:cs="宋体"/>
                <w:b w:val="0"/>
                <w:bCs/>
                <w:color w:val="auto"/>
                <w:sz w:val="24"/>
                <w:szCs w:val="24"/>
                <w:highlight w:val="none"/>
              </w:rPr>
              <w:t>的</w:t>
            </w:r>
            <w:r>
              <w:rPr>
                <w:rFonts w:hint="eastAsia" w:ascii="宋体" w:hAnsi="宋体" w:cs="宋体"/>
                <w:b w:val="0"/>
                <w:bCs/>
                <w:color w:val="auto"/>
                <w:sz w:val="24"/>
                <w:szCs w:val="24"/>
                <w:highlight w:val="none"/>
                <w:lang w:val="en-US" w:eastAsia="zh-CN"/>
              </w:rPr>
              <w:t>技术</w:t>
            </w:r>
            <w:r>
              <w:rPr>
                <w:rFonts w:hint="eastAsia" w:ascii="宋体" w:hAnsi="宋体" w:eastAsia="宋体" w:cs="宋体"/>
                <w:b w:val="0"/>
                <w:bCs/>
                <w:color w:val="auto"/>
                <w:sz w:val="24"/>
                <w:szCs w:val="24"/>
                <w:highlight w:val="none"/>
              </w:rPr>
              <w:t>参数为</w:t>
            </w:r>
            <w:r>
              <w:rPr>
                <w:rFonts w:hint="eastAsia" w:ascii="宋体" w:hAnsi="宋体" w:cs="宋体"/>
                <w:b w:val="0"/>
                <w:bCs/>
                <w:color w:val="auto"/>
                <w:sz w:val="24"/>
                <w:szCs w:val="24"/>
                <w:highlight w:val="none"/>
                <w:lang w:val="en-US" w:eastAsia="zh-CN"/>
              </w:rPr>
              <w:t>重要参数</w:t>
            </w: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每负偏离一项扣5分；未</w:t>
            </w:r>
            <w:r>
              <w:rPr>
                <w:rFonts w:hint="eastAsia" w:ascii="宋体" w:hAnsi="宋体" w:eastAsia="宋体" w:cs="宋体"/>
                <w:b w:val="0"/>
                <w:bCs/>
                <w:color w:val="auto"/>
                <w:sz w:val="24"/>
                <w:szCs w:val="24"/>
                <w:highlight w:val="none"/>
              </w:rPr>
              <w:t>标注▲</w:t>
            </w:r>
            <w:r>
              <w:rPr>
                <w:rFonts w:hint="eastAsia" w:ascii="宋体" w:hAnsi="宋体" w:eastAsia="宋体" w:cs="宋体"/>
                <w:b w:val="0"/>
                <w:bCs/>
                <w:color w:val="auto"/>
                <w:sz w:val="24"/>
                <w:szCs w:val="24"/>
                <w:highlight w:val="none"/>
                <w:lang w:val="en-US" w:eastAsia="zh-CN"/>
              </w:rPr>
              <w:t>符号</w:t>
            </w:r>
            <w:r>
              <w:rPr>
                <w:rFonts w:hint="eastAsia" w:ascii="宋体" w:hAnsi="宋体" w:eastAsia="宋体" w:cs="宋体"/>
                <w:b w:val="0"/>
                <w:bCs/>
                <w:color w:val="auto"/>
                <w:sz w:val="24"/>
                <w:szCs w:val="24"/>
                <w:highlight w:val="none"/>
              </w:rPr>
              <w:t>的</w:t>
            </w:r>
            <w:r>
              <w:rPr>
                <w:rFonts w:hint="eastAsia" w:ascii="宋体" w:hAnsi="宋体" w:cs="宋体"/>
                <w:b w:val="0"/>
                <w:bCs/>
                <w:color w:val="auto"/>
                <w:sz w:val="24"/>
                <w:szCs w:val="24"/>
                <w:highlight w:val="none"/>
                <w:lang w:val="en-US" w:eastAsia="zh-CN"/>
              </w:rPr>
              <w:t>技术</w:t>
            </w:r>
            <w:r>
              <w:rPr>
                <w:rFonts w:hint="eastAsia" w:ascii="宋体" w:hAnsi="宋体" w:eastAsia="宋体" w:cs="宋体"/>
                <w:b w:val="0"/>
                <w:bCs/>
                <w:color w:val="auto"/>
                <w:sz w:val="24"/>
                <w:szCs w:val="24"/>
                <w:highlight w:val="none"/>
              </w:rPr>
              <w:t>参数为</w:t>
            </w:r>
            <w:r>
              <w:rPr>
                <w:rFonts w:hint="eastAsia" w:ascii="宋体" w:hAnsi="宋体" w:cs="宋体"/>
                <w:b w:val="0"/>
                <w:bCs/>
                <w:color w:val="auto"/>
                <w:sz w:val="24"/>
                <w:szCs w:val="24"/>
                <w:highlight w:val="none"/>
                <w:lang w:val="en-US" w:eastAsia="zh-CN"/>
              </w:rPr>
              <w:t>普通参数</w:t>
            </w: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每负偏离一项扣2分；</w:t>
            </w:r>
            <w:r>
              <w:rPr>
                <w:rFonts w:hint="eastAsia" w:ascii="宋体" w:hAnsi="宋体" w:eastAsia="宋体" w:cs="宋体"/>
                <w:b w:val="0"/>
                <w:bCs/>
                <w:color w:val="auto"/>
                <w:sz w:val="24"/>
                <w:szCs w:val="24"/>
                <w:highlight w:val="none"/>
              </w:rPr>
              <w:t>最低得0分，最高得</w:t>
            </w:r>
            <w:r>
              <w:rPr>
                <w:rFonts w:hint="eastAsia" w:ascii="宋体" w:hAnsi="宋体" w:eastAsia="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rPr>
              <w:t>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提供检测报告</w:t>
            </w:r>
            <w:r>
              <w:rPr>
                <w:rFonts w:hint="eastAsia" w:ascii="宋体" w:hAnsi="宋体" w:cs="宋体"/>
                <w:b/>
                <w:bCs/>
                <w:color w:val="auto"/>
                <w:sz w:val="24"/>
                <w:szCs w:val="24"/>
                <w:highlight w:val="none"/>
                <w:lang w:val="en-US" w:eastAsia="zh-CN"/>
              </w:rPr>
              <w:t>或说明书等</w:t>
            </w:r>
            <w:r>
              <w:rPr>
                <w:rFonts w:hint="eastAsia" w:ascii="宋体" w:hAnsi="宋体" w:eastAsia="宋体" w:cs="宋体"/>
                <w:b/>
                <w:bCs/>
                <w:color w:val="auto"/>
                <w:sz w:val="24"/>
                <w:szCs w:val="24"/>
                <w:highlight w:val="none"/>
              </w:rPr>
              <w:t>佐证</w:t>
            </w:r>
            <w:r>
              <w:rPr>
                <w:rFonts w:hint="eastAsia" w:ascii="宋体" w:hAnsi="宋体" w:eastAsia="宋体" w:cs="宋体"/>
                <w:b/>
                <w:bCs/>
                <w:color w:val="auto"/>
                <w:sz w:val="24"/>
                <w:szCs w:val="24"/>
                <w:highlight w:val="none"/>
                <w:lang w:val="en-US" w:eastAsia="zh-CN"/>
              </w:rPr>
              <w:t>材料</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并</w:t>
            </w:r>
            <w:r>
              <w:rPr>
                <w:rFonts w:hint="eastAsia" w:ascii="宋体" w:hAnsi="宋体" w:eastAsia="宋体" w:cs="宋体"/>
                <w:b/>
                <w:bCs/>
                <w:color w:val="auto"/>
                <w:sz w:val="24"/>
                <w:szCs w:val="24"/>
                <w:highlight w:val="none"/>
              </w:rPr>
              <w:t>注明</w:t>
            </w:r>
            <w:r>
              <w:rPr>
                <w:rFonts w:hint="eastAsia" w:ascii="宋体" w:hAnsi="宋体" w:eastAsia="宋体" w:cs="宋体"/>
                <w:b/>
                <w:bCs/>
                <w:color w:val="auto"/>
                <w:sz w:val="24"/>
                <w:szCs w:val="24"/>
                <w:highlight w:val="none"/>
                <w:lang w:eastAsia="zh-CN"/>
              </w:rPr>
              <w:t>参数</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szCs w:val="24"/>
                <w:highlight w:val="none"/>
                <w:lang w:val="en-US" w:eastAsia="zh-CN"/>
              </w:rPr>
              <w:t>佐证材料的位</w:t>
            </w:r>
            <w:r>
              <w:rPr>
                <w:rFonts w:hint="eastAsia" w:ascii="宋体" w:hAnsi="宋体" w:eastAsia="宋体" w:cs="宋体"/>
                <w:b/>
                <w:bCs/>
                <w:color w:val="auto"/>
                <w:sz w:val="24"/>
                <w:szCs w:val="24"/>
                <w:highlight w:val="none"/>
              </w:rPr>
              <w:t>置</w:t>
            </w:r>
            <w:r>
              <w:rPr>
                <w:rFonts w:hint="eastAsia" w:ascii="宋体" w:hAnsi="宋体" w:eastAsia="宋体" w:cs="宋体"/>
                <w:b/>
                <w:bCs/>
                <w:color w:val="auto"/>
                <w:sz w:val="24"/>
                <w:szCs w:val="24"/>
                <w:highlight w:val="none"/>
                <w:lang w:eastAsia="zh-CN"/>
              </w:rPr>
              <w:t>）</w:t>
            </w:r>
          </w:p>
        </w:tc>
        <w:tc>
          <w:tcPr>
            <w:tcW w:w="846" w:type="dxa"/>
            <w:noWrap w:val="0"/>
            <w:vAlign w:val="center"/>
          </w:tcPr>
          <w:p w14:paraId="3A4B602B">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rPr>
              <w:t>0-30</w:t>
            </w:r>
          </w:p>
        </w:tc>
      </w:tr>
      <w:tr w14:paraId="559C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10" w:type="dxa"/>
            <w:shd w:val="clear" w:color="auto" w:fill="auto"/>
            <w:noWrap w:val="0"/>
            <w:vAlign w:val="center"/>
          </w:tcPr>
          <w:p w14:paraId="46E191D5">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4</w:t>
            </w:r>
          </w:p>
        </w:tc>
        <w:tc>
          <w:tcPr>
            <w:tcW w:w="1264" w:type="dxa"/>
            <w:vMerge w:val="continue"/>
            <w:noWrap w:val="0"/>
            <w:vAlign w:val="center"/>
          </w:tcPr>
          <w:p w14:paraId="0002DFE8">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sz w:val="24"/>
                <w:szCs w:val="24"/>
                <w:highlight w:val="none"/>
              </w:rPr>
            </w:pPr>
          </w:p>
        </w:tc>
        <w:tc>
          <w:tcPr>
            <w:tcW w:w="6959" w:type="dxa"/>
            <w:shd w:val="clear" w:color="auto" w:fill="auto"/>
            <w:noWrap w:val="0"/>
            <w:vAlign w:val="center"/>
          </w:tcPr>
          <w:p w14:paraId="77424C6C">
            <w:pPr>
              <w:keepNext w:val="0"/>
              <w:keepLines w:val="0"/>
              <w:pageBreakBefore w:val="0"/>
              <w:kinsoku/>
              <w:wordWrap/>
              <w:overflowPunct/>
              <w:topLinePunct w:val="0"/>
              <w:bidi w:val="0"/>
              <w:adjustRightInd w:val="0"/>
              <w:snapToGrid w:val="0"/>
              <w:spacing w:line="240" w:lineRule="auto"/>
              <w:ind w:right="0" w:rightChars="0"/>
              <w:jc w:val="both"/>
              <w:rPr>
                <w:rFonts w:hint="default"/>
                <w:color w:val="auto"/>
                <w:highlight w:val="none"/>
                <w:lang w:val="en-US" w:eastAsia="zh-CN"/>
              </w:rPr>
            </w:pPr>
            <w:r>
              <w:rPr>
                <w:rFonts w:hint="eastAsia" w:ascii="宋体" w:hAnsi="宋体" w:eastAsia="宋体" w:cs="宋体"/>
                <w:color w:val="auto"/>
                <w:kern w:val="0"/>
                <w:sz w:val="24"/>
                <w:szCs w:val="24"/>
                <w:highlight w:val="none"/>
              </w:rPr>
              <w:t>投标产品</w:t>
            </w:r>
            <w:r>
              <w:rPr>
                <w:rFonts w:hint="eastAsia" w:ascii="宋体" w:hAnsi="宋体" w:eastAsia="宋体" w:cs="宋体"/>
                <w:color w:val="auto"/>
                <w:kern w:val="0"/>
                <w:sz w:val="24"/>
                <w:szCs w:val="24"/>
                <w:highlight w:val="none"/>
                <w:lang w:eastAsia="zh-CN"/>
              </w:rPr>
              <w:t>技术先进性：</w:t>
            </w:r>
            <w:r>
              <w:rPr>
                <w:rFonts w:hint="eastAsia" w:ascii="宋体" w:hAnsi="宋体" w:eastAsia="宋体" w:cs="宋体"/>
                <w:b w:val="0"/>
                <w:bCs/>
                <w:color w:val="auto"/>
                <w:sz w:val="24"/>
                <w:szCs w:val="24"/>
                <w:highlight w:val="none"/>
              </w:rPr>
              <w:t>全部满足</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文件要求</w:t>
            </w:r>
            <w:r>
              <w:rPr>
                <w:rFonts w:hint="eastAsia" w:ascii="宋体" w:hAnsi="宋体" w:eastAsia="宋体" w:cs="宋体"/>
                <w:b w:val="0"/>
                <w:bCs/>
                <w:color w:val="auto"/>
                <w:sz w:val="24"/>
                <w:szCs w:val="24"/>
                <w:highlight w:val="none"/>
                <w:lang w:val="en-US" w:eastAsia="zh-CN"/>
              </w:rPr>
              <w:t>的基础上</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每</w:t>
            </w:r>
            <w:r>
              <w:rPr>
                <w:rFonts w:hint="eastAsia" w:ascii="宋体" w:hAnsi="宋体" w:eastAsia="宋体" w:cs="宋体"/>
                <w:b w:val="0"/>
                <w:color w:val="auto"/>
                <w:sz w:val="24"/>
                <w:szCs w:val="24"/>
                <w:highlight w:val="none"/>
                <w:lang w:val="en-US" w:eastAsia="zh-CN"/>
              </w:rPr>
              <w:t>增加1条正偏离加</w:t>
            </w:r>
            <w:r>
              <w:rPr>
                <w:rFonts w:hint="eastAsia" w:ascii="宋体" w:hAnsi="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val="en-US" w:eastAsia="zh-CN"/>
              </w:rPr>
              <w:t>分，最高加</w:t>
            </w:r>
            <w:r>
              <w:rPr>
                <w:rFonts w:hint="eastAsia" w:ascii="宋体" w:hAnsi="宋体" w:cs="宋体"/>
                <w:b w:val="0"/>
                <w:color w:val="auto"/>
                <w:sz w:val="24"/>
                <w:szCs w:val="24"/>
                <w:highlight w:val="none"/>
                <w:lang w:val="en-US" w:eastAsia="zh-CN"/>
              </w:rPr>
              <w:t>8</w:t>
            </w:r>
            <w:r>
              <w:rPr>
                <w:rFonts w:hint="eastAsia" w:ascii="宋体" w:hAnsi="宋体" w:eastAsia="宋体" w:cs="宋体"/>
                <w:b w:val="0"/>
                <w:color w:val="auto"/>
                <w:sz w:val="24"/>
                <w:szCs w:val="24"/>
                <w:highlight w:val="none"/>
                <w:lang w:eastAsia="zh-CN"/>
              </w:rPr>
              <w:t>分；</w:t>
            </w:r>
            <w:r>
              <w:rPr>
                <w:rFonts w:hint="eastAsia" w:ascii="宋体" w:hAnsi="宋体" w:eastAsia="宋体" w:cs="宋体"/>
                <w:b w:val="0"/>
                <w:color w:val="auto"/>
                <w:sz w:val="24"/>
                <w:szCs w:val="24"/>
                <w:highlight w:val="none"/>
                <w:lang w:val="en-US" w:eastAsia="zh-CN"/>
              </w:rPr>
              <w:t>否则不得分。</w:t>
            </w:r>
          </w:p>
        </w:tc>
        <w:tc>
          <w:tcPr>
            <w:tcW w:w="846" w:type="dxa"/>
            <w:shd w:val="clear" w:color="auto" w:fill="auto"/>
            <w:noWrap w:val="0"/>
            <w:vAlign w:val="center"/>
          </w:tcPr>
          <w:p w14:paraId="358B8F31">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rPr>
              <w:t>0-</w:t>
            </w:r>
            <w:r>
              <w:rPr>
                <w:rFonts w:hint="eastAsia" w:ascii="宋体" w:hAnsi="宋体" w:cs="宋体"/>
                <w:b w:val="0"/>
                <w:bCs/>
                <w:color w:val="auto"/>
                <w:kern w:val="0"/>
                <w:sz w:val="24"/>
                <w:szCs w:val="24"/>
                <w:highlight w:val="none"/>
                <w:lang w:val="en-US" w:eastAsia="zh-CN"/>
              </w:rPr>
              <w:t>8</w:t>
            </w:r>
          </w:p>
        </w:tc>
      </w:tr>
      <w:tr w14:paraId="2DF8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10" w:type="dxa"/>
            <w:shd w:val="clear" w:color="auto" w:fill="auto"/>
            <w:noWrap w:val="0"/>
            <w:vAlign w:val="center"/>
          </w:tcPr>
          <w:p w14:paraId="4B34910E">
            <w:pPr>
              <w:keepNext w:val="0"/>
              <w:keepLines w:val="0"/>
              <w:pageBreakBefore w:val="0"/>
              <w:kinsoku/>
              <w:wordWrap/>
              <w:overflowPunct/>
              <w:topLinePunct w:val="0"/>
              <w:bidi w:val="0"/>
              <w:adjustRightInd w:val="0"/>
              <w:snapToGrid w:val="0"/>
              <w:spacing w:line="240" w:lineRule="auto"/>
              <w:ind w:right="0" w:rightChars="0"/>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w:t>
            </w:r>
          </w:p>
        </w:tc>
        <w:tc>
          <w:tcPr>
            <w:tcW w:w="1264" w:type="dxa"/>
            <w:vMerge w:val="continue"/>
            <w:noWrap w:val="0"/>
            <w:vAlign w:val="center"/>
          </w:tcPr>
          <w:p w14:paraId="65AC952E">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sz w:val="24"/>
                <w:szCs w:val="24"/>
                <w:highlight w:val="none"/>
              </w:rPr>
            </w:pPr>
          </w:p>
        </w:tc>
        <w:tc>
          <w:tcPr>
            <w:tcW w:w="6959" w:type="dxa"/>
            <w:shd w:val="clear" w:color="auto" w:fill="auto"/>
            <w:noWrap w:val="0"/>
            <w:vAlign w:val="center"/>
          </w:tcPr>
          <w:p w14:paraId="349B7507">
            <w:pPr>
              <w:keepNext w:val="0"/>
              <w:keepLines w:val="0"/>
              <w:pageBreakBefore w:val="0"/>
              <w:kinsoku/>
              <w:wordWrap/>
              <w:overflowPunct/>
              <w:topLinePunct w:val="0"/>
              <w:bidi w:val="0"/>
              <w:adjustRightInd w:val="0"/>
              <w:snapToGrid w:val="0"/>
              <w:spacing w:line="240" w:lineRule="auto"/>
              <w:ind w:right="0" w:rightChars="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环保节能产品：投标人所提供的产品每有一项为政府采购节能产品（不包括强制节能产品）或环境标志产品得0.25分，最多得2分。（投标文件中对所供产品为节能、环境标志产品清单中的产品，须在节能、环境标志产品优惠明细表中列明并按要求提供证明材料，否则不予认定。）注：若节能、环境标志清单内的产品仅是构成投标产品的部件、组件或零件的，则该投标产品不予加分。</w:t>
            </w:r>
          </w:p>
        </w:tc>
        <w:tc>
          <w:tcPr>
            <w:tcW w:w="846" w:type="dxa"/>
            <w:shd w:val="clear" w:color="auto" w:fill="auto"/>
            <w:noWrap w:val="0"/>
            <w:vAlign w:val="center"/>
          </w:tcPr>
          <w:p w14:paraId="00B2C2D4">
            <w:pPr>
              <w:keepNext w:val="0"/>
              <w:keepLines w:val="0"/>
              <w:pageBreakBefore w:val="0"/>
              <w:kinsoku/>
              <w:wordWrap/>
              <w:overflowPunct/>
              <w:topLinePunct w:val="0"/>
              <w:bidi w:val="0"/>
              <w:adjustRightInd w:val="0"/>
              <w:snapToGrid w:val="0"/>
              <w:spacing w:line="240" w:lineRule="auto"/>
              <w:ind w:right="0" w:rightChars="0"/>
              <w:jc w:val="center"/>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0-2</w:t>
            </w:r>
          </w:p>
        </w:tc>
      </w:tr>
      <w:tr w14:paraId="54E5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710" w:type="dxa"/>
            <w:shd w:val="clear" w:color="auto" w:fill="auto"/>
            <w:noWrap w:val="0"/>
            <w:vAlign w:val="center"/>
          </w:tcPr>
          <w:p w14:paraId="0B72C72B">
            <w:pPr>
              <w:keepNext w:val="0"/>
              <w:keepLines w:val="0"/>
              <w:pageBreakBefore w:val="0"/>
              <w:kinsoku/>
              <w:wordWrap/>
              <w:overflowPunct/>
              <w:topLinePunct w:val="0"/>
              <w:bidi w:val="0"/>
              <w:adjustRightInd w:val="0"/>
              <w:snapToGrid w:val="0"/>
              <w:spacing w:line="240" w:lineRule="auto"/>
              <w:ind w:right="0" w:rightChars="0"/>
              <w:jc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sz w:val="24"/>
                <w:szCs w:val="24"/>
                <w:highlight w:val="none"/>
                <w:lang w:val="en-US" w:eastAsia="zh-CN"/>
              </w:rPr>
              <w:t>6</w:t>
            </w:r>
          </w:p>
        </w:tc>
        <w:tc>
          <w:tcPr>
            <w:tcW w:w="1264" w:type="dxa"/>
            <w:vMerge w:val="continue"/>
            <w:noWrap w:val="0"/>
            <w:vAlign w:val="center"/>
          </w:tcPr>
          <w:p w14:paraId="02398A3E">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sz w:val="24"/>
                <w:szCs w:val="24"/>
                <w:highlight w:val="none"/>
              </w:rPr>
            </w:pPr>
          </w:p>
        </w:tc>
        <w:tc>
          <w:tcPr>
            <w:tcW w:w="6959" w:type="dxa"/>
            <w:shd w:val="clear" w:color="auto" w:fill="auto"/>
            <w:noWrap w:val="0"/>
            <w:vAlign w:val="center"/>
          </w:tcPr>
          <w:p w14:paraId="686A2794">
            <w:pPr>
              <w:adjustRightInd w:val="0"/>
              <w:snapToGrid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项目实施（服务）方案：包括但不限于，供货计划安排、应急处理、服务支持能力、质量保证、正品保障等内容。全部提供得</w:t>
            </w:r>
            <w:r>
              <w:rPr>
                <w:rFonts w:hint="eastAsia" w:ascii="宋体" w:hAnsi="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分，每缺一小项扣2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分，每有一</w:t>
            </w:r>
            <w:r>
              <w:rPr>
                <w:rFonts w:hint="eastAsia" w:ascii="宋体" w:hAnsi="宋体" w:cs="宋体"/>
                <w:color w:val="auto"/>
                <w:kern w:val="2"/>
                <w:sz w:val="24"/>
                <w:szCs w:val="24"/>
                <w:highlight w:val="none"/>
                <w:lang w:val="en-US" w:eastAsia="zh-CN" w:bidi="ar-SA"/>
              </w:rPr>
              <w:t>处存在错误</w:t>
            </w:r>
            <w:r>
              <w:rPr>
                <w:rFonts w:hint="eastAsia" w:ascii="宋体" w:hAnsi="宋体" w:eastAsia="宋体" w:cs="宋体"/>
                <w:color w:val="auto"/>
                <w:kern w:val="2"/>
                <w:sz w:val="24"/>
                <w:szCs w:val="24"/>
                <w:highlight w:val="none"/>
                <w:lang w:val="en-US" w:eastAsia="zh-CN" w:bidi="ar-SA"/>
              </w:rPr>
              <w:t>或</w:t>
            </w:r>
            <w:r>
              <w:rPr>
                <w:rFonts w:hint="eastAsia" w:ascii="宋体" w:hAnsi="宋体" w:cs="宋体"/>
                <w:color w:val="auto"/>
                <w:kern w:val="2"/>
                <w:sz w:val="24"/>
                <w:szCs w:val="24"/>
                <w:highlight w:val="none"/>
                <w:lang w:val="en-US" w:eastAsia="zh-CN" w:bidi="ar-SA"/>
              </w:rPr>
              <w:t>瑕疵</w:t>
            </w:r>
            <w:r>
              <w:rPr>
                <w:rFonts w:hint="eastAsia" w:ascii="宋体" w:hAnsi="宋体" w:eastAsia="宋体" w:cs="宋体"/>
                <w:color w:val="auto"/>
                <w:kern w:val="2"/>
                <w:sz w:val="24"/>
                <w:szCs w:val="24"/>
                <w:highlight w:val="none"/>
                <w:lang w:val="en-US" w:eastAsia="zh-CN" w:bidi="ar-SA"/>
              </w:rPr>
              <w:t>的扣1分</w:t>
            </w:r>
            <w:r>
              <w:rPr>
                <w:rFonts w:hint="eastAsia" w:ascii="宋体" w:hAnsi="宋体" w:cs="宋体"/>
                <w:color w:val="auto"/>
                <w:kern w:val="2"/>
                <w:sz w:val="24"/>
                <w:szCs w:val="24"/>
                <w:highlight w:val="none"/>
                <w:lang w:val="en-US" w:eastAsia="zh-CN" w:bidi="ar-SA"/>
              </w:rPr>
              <w:t>，最高扣12分</w:t>
            </w:r>
            <w:r>
              <w:rPr>
                <w:rFonts w:hint="eastAsia" w:ascii="宋体" w:hAnsi="宋体" w:eastAsia="宋体" w:cs="宋体"/>
                <w:color w:val="auto"/>
                <w:kern w:val="2"/>
                <w:sz w:val="24"/>
                <w:szCs w:val="24"/>
                <w:highlight w:val="none"/>
                <w:lang w:val="en-US" w:eastAsia="zh-CN" w:bidi="ar-SA"/>
              </w:rPr>
              <w:t>；未提供的不得分。</w:t>
            </w:r>
          </w:p>
          <w:p w14:paraId="0CC77981">
            <w:pPr>
              <w:adjustRightInd w:val="0"/>
              <w:snapToGrid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注：本项所述错误是指：项目名称、实施地点、时间、涉及的规范、标准与本项目要求不一致；瑕疵是指：套用其他项目方案、内容阐述与实际情况不符、存在与本项目无关的内容描述或内容过于简略。</w:t>
            </w:r>
          </w:p>
        </w:tc>
        <w:tc>
          <w:tcPr>
            <w:tcW w:w="846" w:type="dxa"/>
            <w:shd w:val="clear" w:color="auto" w:fill="auto"/>
            <w:noWrap w:val="0"/>
            <w:vAlign w:val="center"/>
          </w:tcPr>
          <w:p w14:paraId="472CC948">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12</w:t>
            </w:r>
          </w:p>
        </w:tc>
      </w:tr>
      <w:tr w14:paraId="0A1C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710" w:type="dxa"/>
            <w:shd w:val="clear" w:color="auto" w:fill="auto"/>
            <w:noWrap w:val="0"/>
            <w:vAlign w:val="center"/>
          </w:tcPr>
          <w:p w14:paraId="53339F42">
            <w:pPr>
              <w:keepNext w:val="0"/>
              <w:keepLines w:val="0"/>
              <w:pageBreakBefore w:val="0"/>
              <w:kinsoku/>
              <w:wordWrap/>
              <w:overflowPunct/>
              <w:topLinePunct w:val="0"/>
              <w:bidi w:val="0"/>
              <w:adjustRightInd w:val="0"/>
              <w:snapToGrid w:val="0"/>
              <w:spacing w:line="240" w:lineRule="auto"/>
              <w:ind w:right="0" w:rightChars="0"/>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7</w:t>
            </w:r>
          </w:p>
        </w:tc>
        <w:tc>
          <w:tcPr>
            <w:tcW w:w="1264" w:type="dxa"/>
            <w:noWrap w:val="0"/>
            <w:vAlign w:val="center"/>
          </w:tcPr>
          <w:p w14:paraId="739C2B6E">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报价</w:t>
            </w:r>
          </w:p>
          <w:p w14:paraId="738D0924">
            <w:pPr>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color w:val="auto"/>
                <w:kern w:val="2"/>
                <w:sz w:val="24"/>
                <w:szCs w:val="24"/>
                <w:highlight w:val="none"/>
                <w:lang w:val="en-US" w:eastAsia="zh-CN" w:bidi="ar-SA"/>
              </w:rPr>
              <w:t>（30分）</w:t>
            </w:r>
          </w:p>
        </w:tc>
        <w:tc>
          <w:tcPr>
            <w:tcW w:w="6959" w:type="dxa"/>
            <w:shd w:val="clear" w:color="auto" w:fill="auto"/>
            <w:noWrap w:val="0"/>
            <w:vAlign w:val="center"/>
          </w:tcPr>
          <w:p w14:paraId="181C538C">
            <w:pPr>
              <w:adjustRightInd w:val="0"/>
              <w:snapToGrid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满足招标文件要求且投标价格最低的投标报价为评标基准价，其价格分为满分。其他投标人的价格分统一按照下列公式计算：</w:t>
            </w:r>
          </w:p>
          <w:p w14:paraId="3F46D7B4">
            <w:pPr>
              <w:adjustRightInd w:val="0"/>
              <w:snapToGrid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投标报价得分=（评标基准价／投标报价)×价格分值</w:t>
            </w:r>
          </w:p>
          <w:p w14:paraId="24333396">
            <w:pPr>
              <w:adjustRightInd w:val="0"/>
              <w:snapToGrid w:val="0"/>
              <w:rPr>
                <w:rFonts w:hint="eastAsia" w:ascii="宋体" w:hAnsi="宋体" w:eastAsia="宋体" w:cs="宋体"/>
                <w:color w:val="auto"/>
                <w:kern w:val="2"/>
                <w:sz w:val="24"/>
                <w:szCs w:val="24"/>
                <w:highlight w:val="none"/>
                <w:lang w:val="en-US" w:eastAsia="zh-CN" w:bidi="ar-SA"/>
              </w:rPr>
            </w:pPr>
          </w:p>
          <w:p w14:paraId="3B7D040A">
            <w:pPr>
              <w:adjustRightInd w:val="0"/>
              <w:snapToGrid w:val="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备注：符合“投标人须知前附表”中价格扣除规定的，在评审时予以价格扣除，用扣除后的价格参与评审。</w:t>
            </w:r>
          </w:p>
        </w:tc>
        <w:tc>
          <w:tcPr>
            <w:tcW w:w="846" w:type="dxa"/>
            <w:shd w:val="clear" w:color="auto" w:fill="auto"/>
            <w:noWrap w:val="0"/>
            <w:vAlign w:val="center"/>
          </w:tcPr>
          <w:p w14:paraId="7814C30E">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0-30</w:t>
            </w:r>
          </w:p>
        </w:tc>
      </w:tr>
      <w:tr w14:paraId="3606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974" w:type="dxa"/>
            <w:gridSpan w:val="2"/>
            <w:noWrap w:val="0"/>
            <w:vAlign w:val="center"/>
          </w:tcPr>
          <w:p w14:paraId="1BF96441">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合计</w:t>
            </w:r>
          </w:p>
        </w:tc>
        <w:tc>
          <w:tcPr>
            <w:tcW w:w="7805" w:type="dxa"/>
            <w:gridSpan w:val="2"/>
            <w:noWrap w:val="0"/>
            <w:vAlign w:val="center"/>
          </w:tcPr>
          <w:p w14:paraId="3F91E41E">
            <w:pPr>
              <w:pStyle w:val="138"/>
              <w:keepNext w:val="0"/>
              <w:keepLines w:val="0"/>
              <w:pageBreakBefore w:val="0"/>
              <w:kinsoku/>
              <w:wordWrap/>
              <w:overflowPunct/>
              <w:topLinePunct w:val="0"/>
              <w:bidi w:val="0"/>
              <w:adjustRightInd w:val="0"/>
              <w:snapToGrid w:val="0"/>
              <w:spacing w:line="240" w:lineRule="auto"/>
              <w:ind w:right="0" w:rightChars="0" w:firstLine="0" w:firstLineChars="0"/>
              <w:jc w:val="center"/>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100</w:t>
            </w:r>
            <w:r>
              <w:rPr>
                <w:rFonts w:hint="eastAsia" w:ascii="宋体" w:hAnsi="宋体" w:eastAsia="宋体" w:cs="宋体"/>
                <w:b w:val="0"/>
                <w:bCs/>
                <w:color w:val="auto"/>
                <w:kern w:val="0"/>
                <w:sz w:val="24"/>
                <w:szCs w:val="24"/>
                <w:highlight w:val="none"/>
                <w:lang w:val="en-US" w:eastAsia="zh-CN"/>
              </w:rPr>
              <w:t>分</w:t>
            </w:r>
          </w:p>
        </w:tc>
      </w:tr>
    </w:tbl>
    <w:p w14:paraId="1F98C99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4"/>
          <w:szCs w:val="24"/>
          <w:highlight w:val="none"/>
          <w:lang w:eastAsia="zh-CN"/>
        </w:rPr>
        <w:sectPr>
          <w:pgSz w:w="11906" w:h="16838"/>
          <w:pgMar w:top="1134" w:right="1134" w:bottom="1134" w:left="1134" w:header="737" w:footer="737"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2534CEE6">
      <w:pPr>
        <w:pStyle w:val="2"/>
        <w:keepNext/>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32"/>
          <w:szCs w:val="32"/>
          <w:highlight w:val="none"/>
        </w:rPr>
      </w:pPr>
      <w:bookmarkStart w:id="205" w:name="_Toc19239"/>
      <w:bookmarkStart w:id="206" w:name="_Toc1919"/>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六章</w:t>
      </w:r>
      <w:r>
        <w:rPr>
          <w:rFonts w:hint="eastAsia" w:ascii="宋体" w:hAnsi="宋体" w:eastAsia="宋体" w:cs="宋体"/>
          <w:color w:val="auto"/>
          <w:sz w:val="32"/>
          <w:szCs w:val="32"/>
          <w:highlight w:val="none"/>
        </w:rPr>
        <w:t xml:space="preserve"> 政府采购合同</w:t>
      </w:r>
      <w:bookmarkEnd w:id="97"/>
      <w:bookmarkEnd w:id="98"/>
      <w:bookmarkEnd w:id="99"/>
      <w:bookmarkEnd w:id="100"/>
      <w:bookmarkEnd w:id="205"/>
      <w:bookmarkEnd w:id="206"/>
    </w:p>
    <w:p w14:paraId="32A88212">
      <w:pPr>
        <w:wordWrap w:val="0"/>
        <w:jc w:val="center"/>
        <w:rPr>
          <w:rFonts w:hint="eastAsia"/>
          <w:color w:val="auto"/>
          <w:sz w:val="24"/>
          <w:szCs w:val="24"/>
          <w:highlight w:val="none"/>
          <w:lang w:eastAsia="zh-CN"/>
        </w:rPr>
      </w:pPr>
      <w:bookmarkStart w:id="207" w:name="_Toc349573144"/>
      <w:bookmarkStart w:id="208" w:name="_Toc349637943"/>
      <w:bookmarkStart w:id="209" w:name="_Toc298240429"/>
    </w:p>
    <w:p w14:paraId="40DA130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0338E3E6">
      <w:pPr>
        <w:keepNext w:val="0"/>
        <w:keepLines w:val="0"/>
        <w:pageBreakBefore w:val="0"/>
        <w:widowControl w:val="0"/>
        <w:kinsoku/>
        <w:wordWrap w:val="0"/>
        <w:overflowPunct/>
        <w:topLinePunct w:val="0"/>
        <w:autoSpaceDE/>
        <w:autoSpaceDN/>
        <w:bidi w:val="0"/>
        <w:adjustRightInd/>
        <w:snapToGrid/>
        <w:spacing w:line="360" w:lineRule="auto"/>
        <w:textAlignment w:val="auto"/>
        <w:rPr>
          <w:bCs/>
          <w:color w:val="auto"/>
          <w:sz w:val="24"/>
          <w:szCs w:val="24"/>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19FE0798">
      <w:pPr>
        <w:pStyle w:val="15"/>
        <w:spacing w:after="0"/>
        <w:jc w:val="center"/>
        <w:rPr>
          <w:rFonts w:ascii="宋体" w:hAnsi="宋体" w:cs="宋体"/>
          <w:b/>
          <w:bCs/>
          <w:color w:val="auto"/>
          <w:spacing w:val="-20"/>
          <w:kern w:val="44"/>
          <w:sz w:val="48"/>
          <w:szCs w:val="48"/>
          <w:highlight w:val="none"/>
        </w:rPr>
      </w:pPr>
      <w:bookmarkStart w:id="210" w:name="_Toc3995"/>
    </w:p>
    <w:p w14:paraId="00679C49">
      <w:pPr>
        <w:pStyle w:val="15"/>
        <w:spacing w:after="0"/>
        <w:jc w:val="center"/>
        <w:rPr>
          <w:rFonts w:ascii="宋体" w:hAnsi="宋体" w:cs="宋体"/>
          <w:b/>
          <w:bCs/>
          <w:color w:val="auto"/>
          <w:spacing w:val="-20"/>
          <w:kern w:val="44"/>
          <w:sz w:val="48"/>
          <w:szCs w:val="48"/>
          <w:highlight w:val="none"/>
        </w:rPr>
      </w:pPr>
    </w:p>
    <w:p w14:paraId="4A5A1E26">
      <w:pPr>
        <w:pStyle w:val="15"/>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748AEFC1">
      <w:pPr>
        <w:pStyle w:val="15"/>
        <w:spacing w:after="0"/>
        <w:jc w:val="center"/>
        <w:rPr>
          <w:rFonts w:hint="eastAsia" w:ascii="宋体" w:hAnsi="宋体" w:eastAsia="宋体" w:cs="宋体"/>
          <w:b/>
          <w:bCs/>
          <w:color w:val="auto"/>
          <w:spacing w:val="-20"/>
          <w:kern w:val="44"/>
          <w:sz w:val="48"/>
          <w:szCs w:val="48"/>
          <w:highlight w:val="none"/>
          <w:lang w:eastAsia="zh-CN"/>
        </w:rPr>
      </w:pPr>
    </w:p>
    <w:p w14:paraId="7248F934">
      <w:pPr>
        <w:rPr>
          <w:rFonts w:ascii="宋体" w:hAnsi="宋体" w:cs="宋体"/>
          <w:b/>
          <w:bCs/>
          <w:color w:val="auto"/>
          <w:spacing w:val="-20"/>
          <w:kern w:val="44"/>
          <w:sz w:val="40"/>
          <w:szCs w:val="40"/>
          <w:highlight w:val="none"/>
        </w:rPr>
      </w:pPr>
    </w:p>
    <w:p w14:paraId="1FD0D298">
      <w:pPr>
        <w:rPr>
          <w:rFonts w:ascii="宋体" w:hAnsi="宋体" w:cs="宋体"/>
          <w:b/>
          <w:bCs/>
          <w:color w:val="auto"/>
          <w:spacing w:val="-20"/>
          <w:kern w:val="44"/>
          <w:sz w:val="40"/>
          <w:szCs w:val="40"/>
          <w:highlight w:val="none"/>
        </w:rPr>
      </w:pPr>
    </w:p>
    <w:p w14:paraId="29D77CBF">
      <w:pPr>
        <w:rPr>
          <w:rFonts w:ascii="宋体" w:hAnsi="宋体" w:cs="宋体"/>
          <w:b/>
          <w:bCs/>
          <w:color w:val="auto"/>
          <w:spacing w:val="-20"/>
          <w:kern w:val="44"/>
          <w:sz w:val="40"/>
          <w:szCs w:val="40"/>
          <w:highlight w:val="none"/>
        </w:rPr>
      </w:pPr>
    </w:p>
    <w:p w14:paraId="766AE92B">
      <w:pPr>
        <w:pStyle w:val="169"/>
        <w:rPr>
          <w:rFonts w:ascii="宋体" w:hAnsi="宋体" w:cs="宋体"/>
          <w:b/>
          <w:bCs/>
          <w:color w:val="auto"/>
          <w:spacing w:val="-20"/>
          <w:kern w:val="44"/>
          <w:sz w:val="40"/>
          <w:szCs w:val="40"/>
          <w:highlight w:val="none"/>
        </w:rPr>
      </w:pPr>
    </w:p>
    <w:p w14:paraId="6C18DE14">
      <w:pPr>
        <w:pStyle w:val="169"/>
        <w:rPr>
          <w:rFonts w:ascii="宋体" w:hAnsi="宋体" w:cs="宋体"/>
          <w:b/>
          <w:bCs/>
          <w:color w:val="auto"/>
          <w:spacing w:val="-20"/>
          <w:kern w:val="44"/>
          <w:sz w:val="40"/>
          <w:szCs w:val="40"/>
          <w:highlight w:val="none"/>
        </w:rPr>
      </w:pPr>
    </w:p>
    <w:p w14:paraId="491F907D">
      <w:pPr>
        <w:pStyle w:val="169"/>
        <w:rPr>
          <w:rFonts w:ascii="宋体" w:hAnsi="宋体" w:cs="宋体"/>
          <w:b/>
          <w:bCs/>
          <w:color w:val="auto"/>
          <w:spacing w:val="-20"/>
          <w:kern w:val="44"/>
          <w:sz w:val="40"/>
          <w:szCs w:val="40"/>
          <w:highlight w:val="none"/>
        </w:rPr>
      </w:pPr>
    </w:p>
    <w:p w14:paraId="7F5D4551">
      <w:pPr>
        <w:pStyle w:val="169"/>
        <w:rPr>
          <w:rFonts w:ascii="宋体" w:hAnsi="宋体" w:cs="宋体"/>
          <w:b/>
          <w:bCs/>
          <w:color w:val="auto"/>
          <w:spacing w:val="-20"/>
          <w:kern w:val="44"/>
          <w:sz w:val="40"/>
          <w:szCs w:val="40"/>
          <w:highlight w:val="none"/>
        </w:rPr>
      </w:pPr>
    </w:p>
    <w:p w14:paraId="24E23CD5">
      <w:pPr>
        <w:pStyle w:val="169"/>
        <w:rPr>
          <w:rFonts w:ascii="宋体" w:hAnsi="宋体" w:cs="宋体"/>
          <w:b/>
          <w:bCs/>
          <w:color w:val="auto"/>
          <w:spacing w:val="-20"/>
          <w:kern w:val="44"/>
          <w:sz w:val="40"/>
          <w:szCs w:val="40"/>
          <w:highlight w:val="none"/>
        </w:rPr>
      </w:pPr>
    </w:p>
    <w:p w14:paraId="0C8DCD40">
      <w:pPr>
        <w:pStyle w:val="169"/>
        <w:rPr>
          <w:rFonts w:ascii="宋体" w:hAnsi="宋体" w:cs="宋体"/>
          <w:b/>
          <w:bCs/>
          <w:color w:val="auto"/>
          <w:spacing w:val="-20"/>
          <w:kern w:val="44"/>
          <w:sz w:val="40"/>
          <w:szCs w:val="40"/>
          <w:highlight w:val="none"/>
        </w:rPr>
      </w:pPr>
    </w:p>
    <w:p w14:paraId="6F48CC8A">
      <w:pPr>
        <w:spacing w:line="360" w:lineRule="auto"/>
        <w:ind w:left="1478" w:leftChars="704" w:firstLine="0" w:firstLineChars="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6B808B15">
      <w:pPr>
        <w:spacing w:line="360" w:lineRule="auto"/>
        <w:ind w:left="1478" w:leftChars="704" w:firstLine="0" w:firstLineChars="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093789FD">
      <w:pPr>
        <w:spacing w:line="360" w:lineRule="auto"/>
        <w:ind w:left="1478" w:leftChars="704" w:firstLine="0" w:firstLineChars="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232ED11">
      <w:pPr>
        <w:spacing w:line="360" w:lineRule="auto"/>
        <w:ind w:left="1478" w:leftChars="704" w:firstLine="0" w:firstLineChars="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69098F41">
      <w:pPr>
        <w:spacing w:line="360" w:lineRule="auto"/>
        <w:ind w:left="1478" w:leftChars="704" w:firstLine="0" w:firstLineChars="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66341A44">
      <w:pPr>
        <w:rPr>
          <w:color w:val="auto"/>
          <w:highlight w:val="none"/>
        </w:rPr>
      </w:pPr>
    </w:p>
    <w:p w14:paraId="097B8165">
      <w:pPr>
        <w:rPr>
          <w:rFonts w:eastAsia="黑体"/>
          <w:color w:val="auto"/>
          <w:sz w:val="44"/>
          <w:szCs w:val="44"/>
          <w:highlight w:val="none"/>
        </w:rPr>
      </w:pPr>
      <w:r>
        <w:rPr>
          <w:rFonts w:eastAsia="黑体"/>
          <w:color w:val="auto"/>
          <w:sz w:val="44"/>
          <w:szCs w:val="44"/>
          <w:highlight w:val="none"/>
        </w:rPr>
        <w:br w:type="page"/>
      </w:r>
    </w:p>
    <w:p w14:paraId="55534CB6">
      <w:pPr>
        <w:rPr>
          <w:rFonts w:eastAsia="黑体"/>
          <w:color w:val="auto"/>
          <w:sz w:val="44"/>
          <w:szCs w:val="44"/>
          <w:highlight w:val="none"/>
        </w:rPr>
      </w:pPr>
    </w:p>
    <w:p w14:paraId="2F580E73">
      <w:pPr>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使</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用</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说</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明</w:t>
      </w:r>
    </w:p>
    <w:p w14:paraId="2ECEB9B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3A1E3A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043428A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2.本合同标准文本为政府采购货物买卖合同编制提供参考，可以结合采购项目具体情况，对文本做必要的调整修订后使用。</w:t>
      </w:r>
    </w:p>
    <w:p w14:paraId="2AEE50C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727F38C">
      <w:pPr>
        <w:ind w:firstLine="880" w:firstLineChars="200"/>
        <w:jc w:val="both"/>
        <w:rPr>
          <w:rFonts w:eastAsia="黑体"/>
          <w:color w:val="auto"/>
          <w:sz w:val="44"/>
          <w:szCs w:val="44"/>
          <w:highlight w:val="none"/>
        </w:rPr>
        <w:sectPr>
          <w:pgSz w:w="11906" w:h="16838"/>
          <w:pgMar w:top="1134" w:right="1134" w:bottom="1134" w:left="1134" w:header="737" w:footer="737" w:gutter="0"/>
          <w:pgBorders>
            <w:top w:val="none" w:sz="0" w:space="0"/>
            <w:left w:val="none" w:sz="0" w:space="0"/>
            <w:bottom w:val="none" w:sz="0" w:space="0"/>
            <w:right w:val="none" w:sz="0" w:space="0"/>
          </w:pgBorders>
          <w:pgNumType w:fmt="numberInDash"/>
          <w:cols w:space="0" w:num="1"/>
          <w:rtlGutter w:val="0"/>
          <w:docGrid w:type="lines" w:linePitch="312" w:charSpace="0"/>
        </w:sectPr>
      </w:pPr>
    </w:p>
    <w:bookmarkEnd w:id="210"/>
    <w:p w14:paraId="7654761C">
      <w:pPr>
        <w:pStyle w:val="16"/>
        <w:adjustRightInd w:val="0"/>
        <w:snapToGrid w:val="0"/>
        <w:spacing w:before="0" w:beforeLines="0" w:after="0" w:line="400" w:lineRule="exact"/>
        <w:ind w:left="0" w:leftChars="0" w:firstLine="0" w:firstLineChars="0"/>
        <w:rPr>
          <w:rFonts w:hint="eastAsia" w:ascii="黑体" w:hAnsi="黑体" w:eastAsia="黑体"/>
          <w:color w:val="auto"/>
          <w:sz w:val="28"/>
          <w:szCs w:val="28"/>
          <w:highlight w:val="none"/>
        </w:rPr>
      </w:pPr>
      <w:bookmarkStart w:id="211" w:name="_Toc22209"/>
    </w:p>
    <w:p w14:paraId="1D210E91">
      <w:pPr>
        <w:bidi w:val="0"/>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211"/>
    </w:p>
    <w:p w14:paraId="6E691948">
      <w:pPr>
        <w:adjustRightInd w:val="0"/>
        <w:snapToGrid w:val="0"/>
        <w:spacing w:before="0" w:beforeLines="0" w:line="400" w:lineRule="exact"/>
        <w:rPr>
          <w:rFonts w:hint="eastAsia" w:ascii="黑体" w:hAnsi="华文中宋" w:eastAsia="黑体"/>
          <w:b w:val="0"/>
          <w:bCs w:val="0"/>
          <w:color w:val="auto"/>
          <w:sz w:val="28"/>
          <w:szCs w:val="28"/>
          <w:highlight w:val="none"/>
        </w:rPr>
      </w:pPr>
    </w:p>
    <w:p w14:paraId="24351968">
      <w:pPr>
        <w:keepNext w:val="0"/>
        <w:keepLines w:val="0"/>
        <w:pageBreakBefore w:val="0"/>
        <w:widowControl w:val="0"/>
        <w:kinsoku/>
        <w:wordWrap w:val="0"/>
        <w:overflowPunct/>
        <w:topLinePunct/>
        <w:autoSpaceDE/>
        <w:autoSpaceDN/>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p w14:paraId="75D860EE">
      <w:pPr>
        <w:keepNext w:val="0"/>
        <w:keepLines w:val="0"/>
        <w:pageBreakBefore w:val="0"/>
        <w:widowControl w:val="0"/>
        <w:kinsoku/>
        <w:wordWrap w:val="0"/>
        <w:overflowPunct/>
        <w:topLinePunct/>
        <w:autoSpaceDE/>
        <w:autoSpaceDN/>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322584D0">
      <w:pPr>
        <w:keepNext w:val="0"/>
        <w:keepLines w:val="0"/>
        <w:pageBreakBefore w:val="0"/>
        <w:widowControl w:val="0"/>
        <w:kinsoku/>
        <w:wordWrap w:val="0"/>
        <w:overflowPunct/>
        <w:topLinePunct/>
        <w:autoSpaceDE/>
        <w:autoSpaceDN/>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E666E85">
      <w:pPr>
        <w:keepNext w:val="0"/>
        <w:keepLines w:val="0"/>
        <w:pageBreakBefore w:val="0"/>
        <w:widowControl w:val="0"/>
        <w:kinsoku/>
        <w:wordWrap w:val="0"/>
        <w:overflowPunct/>
        <w:topLinePunct/>
        <w:autoSpaceDE/>
        <w:autoSpaceDN/>
        <w:bidi w:val="0"/>
        <w:adjustRightInd w:val="0"/>
        <w:snapToGrid w:val="0"/>
        <w:spacing w:beforeLines="0" w:line="360" w:lineRule="auto"/>
        <w:textAlignment w:val="auto"/>
        <w:rPr>
          <w:rFonts w:hint="eastAsia" w:ascii="宋体" w:hAnsi="宋体" w:eastAsia="宋体" w:cs="宋体"/>
          <w:color w:val="auto"/>
          <w:sz w:val="24"/>
          <w:szCs w:val="24"/>
          <w:highlight w:val="none"/>
          <w:lang w:val="en-US" w:eastAsia="zh-CN"/>
        </w:rPr>
      </w:pPr>
    </w:p>
    <w:p w14:paraId="790398BC">
      <w:pPr>
        <w:pStyle w:val="16"/>
        <w:keepNext w:val="0"/>
        <w:keepLines w:val="0"/>
        <w:pageBreakBefore w:val="0"/>
        <w:widowControl w:val="0"/>
        <w:kinsoku/>
        <w:wordWrap w:val="0"/>
        <w:overflowPunct/>
        <w:topLinePunct/>
        <w:autoSpaceDE/>
        <w:autoSpaceDN/>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乙方的《投标（响应）文件》及《中标（成交）通知书》，甲乙双方同意签订本合同。具体情况及要求如下：</w:t>
      </w:r>
    </w:p>
    <w:p w14:paraId="450CFCED">
      <w:pPr>
        <w:keepNext w:val="0"/>
        <w:keepLines w:val="0"/>
        <w:pageBreakBefore w:val="0"/>
        <w:numPr>
          <w:ilvl w:val="0"/>
          <w:numId w:val="2"/>
        </w:numPr>
        <w:kinsoku/>
        <w:overflowPunct/>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4C767701">
      <w:pPr>
        <w:pStyle w:val="16"/>
        <w:keepNext w:val="0"/>
        <w:keepLines w:val="0"/>
        <w:pageBreakBefore w:val="0"/>
        <w:numPr>
          <w:ilvl w:val="0"/>
          <w:numId w:val="3"/>
        </w:numPr>
        <w:kinsoku/>
        <w:overflowPunct/>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711AF7F2">
      <w:pPr>
        <w:pStyle w:val="16"/>
        <w:keepNext w:val="0"/>
        <w:keepLines w:val="0"/>
        <w:pageBreakBefore w:val="0"/>
        <w:numPr>
          <w:ilvl w:val="-1"/>
          <w:numId w:val="0"/>
        </w:numPr>
        <w:tabs>
          <w:tab w:val="left" w:pos="999"/>
        </w:tabs>
        <w:kinsoku/>
        <w:overflowPunct/>
        <w:bidi w:val="0"/>
        <w:adjustRightInd w:val="0"/>
        <w:snapToGrid w:val="0"/>
        <w:spacing w:before="0" w:beforeLines="0" w:after="0"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1D306CF8">
      <w:pPr>
        <w:pStyle w:val="16"/>
        <w:keepNext w:val="0"/>
        <w:keepLines w:val="0"/>
        <w:pageBreakBefore w:val="0"/>
        <w:kinsoku/>
        <w:overflowPunct/>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23FCF96">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40A374B1">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A33440D">
      <w:pPr>
        <w:keepNext w:val="0"/>
        <w:keepLines w:val="0"/>
        <w:pageBreakBefore w:val="0"/>
        <w:numPr>
          <w:ilvl w:val="-1"/>
          <w:numId w:val="0"/>
        </w:numPr>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3F09FF94">
      <w:pPr>
        <w:keepNext w:val="0"/>
        <w:keepLines w:val="0"/>
        <w:pageBreakBefore w:val="0"/>
        <w:kinsoku/>
        <w:overflowPunct/>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728DB923">
      <w:pPr>
        <w:keepNext w:val="0"/>
        <w:keepLines w:val="0"/>
        <w:pageBreakBefore w:val="0"/>
        <w:numPr>
          <w:ilvl w:val="-1"/>
          <w:numId w:val="0"/>
        </w:numPr>
        <w:kinsoku/>
        <w:overflowPunct/>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35DBC50A">
      <w:pPr>
        <w:keepNext w:val="0"/>
        <w:keepLines w:val="0"/>
        <w:pageBreakBefore w:val="0"/>
        <w:numPr>
          <w:ilvl w:val="-1"/>
          <w:numId w:val="0"/>
        </w:numPr>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6C95E07B">
      <w:pPr>
        <w:keepNext w:val="0"/>
        <w:keepLines w:val="0"/>
        <w:pageBreakBefore w:val="0"/>
        <w:numPr>
          <w:ilvl w:val="-1"/>
          <w:numId w:val="0"/>
        </w:numPr>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681CA712">
      <w:pPr>
        <w:pStyle w:val="169"/>
        <w:keepNext w:val="0"/>
        <w:keepLines w:val="0"/>
        <w:pageBreakBefore w:val="0"/>
        <w:kinsoku/>
        <w:overflowPunct/>
        <w:bidi w:val="0"/>
        <w:adjustRightInd w:val="0"/>
        <w:snapToGrid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377343E2">
      <w:pPr>
        <w:pStyle w:val="169"/>
        <w:keepNext w:val="0"/>
        <w:keepLines w:val="0"/>
        <w:pageBreakBefore w:val="0"/>
        <w:kinsoku/>
        <w:overflowPunct/>
        <w:bidi w:val="0"/>
        <w:adjustRightInd w:val="0"/>
        <w:snapToGrid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28843F9E">
      <w:pPr>
        <w:pStyle w:val="169"/>
        <w:keepNext w:val="0"/>
        <w:keepLines w:val="0"/>
        <w:pageBreakBefore w:val="0"/>
        <w:numPr>
          <w:ilvl w:val="-1"/>
          <w:numId w:val="0"/>
        </w:numPr>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7FC8DB55">
      <w:pPr>
        <w:pStyle w:val="169"/>
        <w:keepNext w:val="0"/>
        <w:keepLines w:val="0"/>
        <w:pageBreakBefore w:val="0"/>
        <w:numPr>
          <w:ilvl w:val="-1"/>
          <w:numId w:val="0"/>
        </w:numPr>
        <w:kinsoku/>
        <w:overflowPunct/>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②涉及车辆采购，请填写是否属于新能源汽车：</w:t>
      </w:r>
    </w:p>
    <w:p w14:paraId="0D8964FE">
      <w:pPr>
        <w:pStyle w:val="169"/>
        <w:keepNext w:val="0"/>
        <w:keepLines w:val="0"/>
        <w:pageBreakBefore w:val="0"/>
        <w:numPr>
          <w:ilvl w:val="-1"/>
          <w:numId w:val="0"/>
        </w:numPr>
        <w:kinsoku/>
        <w:overflowPunct/>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51713051">
      <w:pPr>
        <w:pStyle w:val="169"/>
        <w:keepNext w:val="0"/>
        <w:keepLines w:val="0"/>
        <w:pageBreakBefore w:val="0"/>
        <w:numPr>
          <w:ilvl w:val="-1"/>
          <w:numId w:val="0"/>
        </w:numPr>
        <w:kinsoku/>
        <w:overflowPunct/>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057639E7">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 w:eastAsia="zh-CN"/>
        </w:rPr>
        <w:t>4</w:t>
      </w:r>
      <w:r>
        <w:rPr>
          <w:rFonts w:hint="eastAsia" w:ascii="宋体" w:hAnsi="宋体" w:eastAsia="宋体" w:cs="宋体"/>
          <w:color w:val="auto"/>
          <w:sz w:val="24"/>
          <w:szCs w:val="24"/>
          <w:highlight w:val="none"/>
          <w:lang w:val="en-US" w:eastAsia="zh-CN"/>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政府集中采购</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 xml:space="preserve">部门集中采购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分散采购</w:t>
      </w:r>
    </w:p>
    <w:p w14:paraId="18EB4C42">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27B14570">
      <w:pPr>
        <w:pStyle w:val="169"/>
        <w:keepNext w:val="0"/>
        <w:keepLines w:val="0"/>
        <w:pageBreakBefore w:val="0"/>
        <w:numPr>
          <w:ilvl w:val="-1"/>
          <w:numId w:val="0"/>
        </w:numPr>
        <w:kinsoku/>
        <w:overflowPunct/>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544D199F">
      <w:pPr>
        <w:pStyle w:val="169"/>
        <w:keepNext w:val="0"/>
        <w:keepLines w:val="0"/>
        <w:pageBreakBefore w:val="0"/>
        <w:numPr>
          <w:ilvl w:val="-1"/>
          <w:numId w:val="0"/>
        </w:numPr>
        <w:kinsoku/>
        <w:overflowPunct/>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5D5AB740">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）中标（成交）采购标的制造商是否为中小企业：</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是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否</w:t>
      </w:r>
    </w:p>
    <w:p w14:paraId="3FDFC4B9">
      <w:pPr>
        <w:keepNext w:val="0"/>
        <w:keepLines w:val="0"/>
        <w:pageBreakBefore w:val="0"/>
        <w:numPr>
          <w:ilvl w:val="-1"/>
          <w:numId w:val="0"/>
        </w:numPr>
        <w:kinsoku/>
        <w:overflowPunct/>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 xml:space="preserve">         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6A63AD2">
      <w:pPr>
        <w:keepNext w:val="0"/>
        <w:keepLines w:val="0"/>
        <w:pageBreakBefore w:val="0"/>
        <w:numPr>
          <w:ilvl w:val="-1"/>
          <w:numId w:val="0"/>
        </w:numPr>
        <w:kinsoku/>
        <w:overflowPunct/>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5DE58B7">
      <w:pPr>
        <w:keepNext w:val="0"/>
        <w:keepLines w:val="0"/>
        <w:pageBreakBefore w:val="0"/>
        <w:numPr>
          <w:ilvl w:val="-1"/>
          <w:numId w:val="0"/>
        </w:numPr>
        <w:kinsoku/>
        <w:overflowPunct/>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A8659A1">
      <w:pPr>
        <w:keepNext w:val="0"/>
        <w:keepLines w:val="0"/>
        <w:pageBreakBefore w:val="0"/>
        <w:numPr>
          <w:ilvl w:val="0"/>
          <w:numId w:val="0"/>
        </w:numPr>
        <w:kinsoku/>
        <w:overflowPunct/>
        <w:bidi w:val="0"/>
        <w:adjustRightInd w:val="0"/>
        <w:snapToGrid w:val="0"/>
        <w:spacing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BFBCEFC">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4A33705">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936DA6">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56076C2A">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6AF8C6C6">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4F793410">
      <w:pPr>
        <w:keepNext w:val="0"/>
        <w:keepLines w:val="0"/>
        <w:pageBreakBefore w:val="0"/>
        <w:kinsoku/>
        <w:overflowPunct/>
        <w:bidi w:val="0"/>
        <w:adjustRightInd w:val="0"/>
        <w:snapToGrid w:val="0"/>
        <w:spacing w:beforeLines="0" w:line="360" w:lineRule="auto"/>
        <w:ind w:firstLine="960" w:firstLineChars="4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37B53DAC">
      <w:pPr>
        <w:keepNext w:val="0"/>
        <w:keepLines w:val="0"/>
        <w:pageBreakBefore w:val="0"/>
        <w:kinsoku/>
        <w:overflowPunct/>
        <w:bidi w:val="0"/>
        <w:adjustRightInd w:val="0"/>
        <w:snapToGrid w:val="0"/>
        <w:spacing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4E3FF5D6">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AD7029D">
      <w:pPr>
        <w:pStyle w:val="169"/>
        <w:keepNext w:val="0"/>
        <w:keepLines w:val="0"/>
        <w:pageBreakBefore w:val="0"/>
        <w:tabs>
          <w:tab w:val="left" w:pos="1340"/>
        </w:tabs>
        <w:kinsoku/>
        <w:overflowPunct/>
        <w:bidi w:val="0"/>
        <w:adjustRightInd w:val="0"/>
        <w:snapToGrid w:val="0"/>
        <w:spacing w:beforeLines="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2D860FDE">
      <w:pPr>
        <w:keepNext w:val="0"/>
        <w:keepLines w:val="0"/>
        <w:pageBreakBefore w:val="0"/>
        <w:numPr>
          <w:ilvl w:val="-1"/>
          <w:numId w:val="0"/>
        </w:numPr>
        <w:kinsoku/>
        <w:overflowPunct/>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7AAA6FE7">
      <w:pPr>
        <w:keepNext w:val="0"/>
        <w:keepLines w:val="0"/>
        <w:pageBreakBefore w:val="0"/>
        <w:numPr>
          <w:ilvl w:val="-1"/>
          <w:numId w:val="0"/>
        </w:numPr>
        <w:kinsoku/>
        <w:overflowPunct/>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67948A7C">
      <w:pPr>
        <w:keepNext w:val="0"/>
        <w:keepLines w:val="0"/>
        <w:pageBreakBefore w:val="0"/>
        <w:numPr>
          <w:ilvl w:val="-1"/>
          <w:numId w:val="0"/>
        </w:numPr>
        <w:kinsoku/>
        <w:overflowPunct/>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2AF53B33">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58DD623E">
      <w:pPr>
        <w:keepNext w:val="0"/>
        <w:keepLines w:val="0"/>
        <w:pageBreakBefore w:val="0"/>
        <w:numPr>
          <w:ilvl w:val="-1"/>
          <w:numId w:val="0"/>
        </w:numPr>
        <w:kinsoku/>
        <w:overflowPunct/>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156826BC">
      <w:pPr>
        <w:keepNext w:val="0"/>
        <w:keepLines w:val="0"/>
        <w:pageBreakBefore w:val="0"/>
        <w:numPr>
          <w:ilvl w:val="-1"/>
          <w:numId w:val="0"/>
        </w:numPr>
        <w:tabs>
          <w:tab w:val="left" w:pos="740"/>
        </w:tabs>
        <w:kinsoku/>
        <w:overflowPunct/>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7C5CCDE6">
      <w:pPr>
        <w:keepNext w:val="0"/>
        <w:keepLines w:val="0"/>
        <w:pageBreakBefore w:val="0"/>
        <w:numPr>
          <w:ilvl w:val="-1"/>
          <w:numId w:val="0"/>
        </w:numPr>
        <w:tabs>
          <w:tab w:val="left" w:pos="740"/>
        </w:tabs>
        <w:kinsoku/>
        <w:overflowPunct/>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1550A147">
      <w:pPr>
        <w:keepNext w:val="0"/>
        <w:keepLines w:val="0"/>
        <w:pageBreakBefore w:val="0"/>
        <w:numPr>
          <w:ilvl w:val="-1"/>
          <w:numId w:val="0"/>
        </w:numPr>
        <w:tabs>
          <w:tab w:val="left" w:pos="740"/>
        </w:tabs>
        <w:kinsoku/>
        <w:overflowPunct/>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4EA5EB79">
      <w:pPr>
        <w:keepNext w:val="0"/>
        <w:keepLines w:val="0"/>
        <w:pageBreakBefore w:val="0"/>
        <w:numPr>
          <w:ilvl w:val="-1"/>
          <w:numId w:val="0"/>
        </w:numPr>
        <w:tabs>
          <w:tab w:val="left" w:pos="740"/>
        </w:tabs>
        <w:kinsoku/>
        <w:overflowPunct/>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2CBA8982">
      <w:pPr>
        <w:keepNext w:val="0"/>
        <w:keepLines w:val="0"/>
        <w:pageBreakBefore w:val="0"/>
        <w:numPr>
          <w:ilvl w:val="-1"/>
          <w:numId w:val="0"/>
        </w:numPr>
        <w:tabs>
          <w:tab w:val="left" w:pos="740"/>
        </w:tabs>
        <w:kinsoku/>
        <w:overflowPunct/>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240126C4">
      <w:pPr>
        <w:keepNext w:val="0"/>
        <w:keepLines w:val="0"/>
        <w:pageBreakBefore w:val="0"/>
        <w:numPr>
          <w:ilvl w:val="-1"/>
          <w:numId w:val="0"/>
        </w:numPr>
        <w:tabs>
          <w:tab w:val="left" w:pos="740"/>
        </w:tabs>
        <w:kinsoku/>
        <w:overflowPunct/>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7E4F8DE6">
      <w:pPr>
        <w:keepNext w:val="0"/>
        <w:keepLines w:val="0"/>
        <w:pageBreakBefore w:val="0"/>
        <w:numPr>
          <w:ilvl w:val="-1"/>
          <w:numId w:val="0"/>
        </w:numPr>
        <w:tabs>
          <w:tab w:val="left" w:pos="740"/>
        </w:tabs>
        <w:kinsoku/>
        <w:overflowPunct/>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67106080">
      <w:pPr>
        <w:pStyle w:val="169"/>
        <w:keepNext w:val="0"/>
        <w:keepLines w:val="0"/>
        <w:pageBreakBefore w:val="0"/>
        <w:numPr>
          <w:ilvl w:val="-1"/>
          <w:numId w:val="0"/>
        </w:numPr>
        <w:kinsoku/>
        <w:overflowPunct/>
        <w:bidi w:val="0"/>
        <w:adjustRightInd w:val="0"/>
        <w:snapToGrid w:val="0"/>
        <w:spacing w:before="0" w:beforeLines="0" w:line="360" w:lineRule="auto"/>
        <w:ind w:firstLine="0" w:firstLineChars="0"/>
        <w:textAlignment w:val="auto"/>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2443D809">
      <w:pPr>
        <w:pStyle w:val="169"/>
        <w:keepNext w:val="0"/>
        <w:keepLines w:val="0"/>
        <w:pageBreakBefore w:val="0"/>
        <w:kinsoku/>
        <w:overflowPunct/>
        <w:bidi w:val="0"/>
        <w:adjustRightInd w:val="0"/>
        <w:snapToGrid w:val="0"/>
        <w:spacing w:beforeLines="0" w:line="360" w:lineRule="auto"/>
        <w:ind w:firstLine="42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17687909">
      <w:pPr>
        <w:keepNext w:val="0"/>
        <w:keepLines w:val="0"/>
        <w:pageBreakBefore w:val="0"/>
        <w:numPr>
          <w:ilvl w:val="-1"/>
          <w:numId w:val="0"/>
        </w:numPr>
        <w:tabs>
          <w:tab w:val="left" w:pos="740"/>
        </w:tabs>
        <w:kinsoku/>
        <w:overflowPunct/>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0B9AE65B">
      <w:pPr>
        <w:pStyle w:val="169"/>
        <w:keepNext w:val="0"/>
        <w:keepLines w:val="0"/>
        <w:pageBreakBefore w:val="0"/>
        <w:kinsoku/>
        <w:overflowPunct/>
        <w:bidi w:val="0"/>
        <w:adjustRightInd w:val="0"/>
        <w:snapToGrid w:val="0"/>
        <w:spacing w:beforeLines="0" w:line="360" w:lineRule="auto"/>
        <w:ind w:firstLine="42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3300E4EE">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 w:eastAsia="zh-CN" w:bidi="ar-SA"/>
        </w:rPr>
        <w:t>1</w:t>
      </w:r>
      <w:r>
        <w:rPr>
          <w:rFonts w:hint="eastAsia" w:ascii="宋体" w:hAnsi="宋体" w:eastAsia="宋体" w:cs="宋体"/>
          <w:color w:val="auto"/>
          <w:kern w:val="2"/>
          <w:sz w:val="24"/>
          <w:szCs w:val="24"/>
          <w:highlight w:val="none"/>
          <w:lang w:val="en-US" w:eastAsia="zh-CN" w:bidi="ar-SA"/>
        </w:rPr>
        <w:t>）涉及商品包装和快递包装的，是否参考《商品包装政府采购需求标准（试行）》、</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44F8714E">
      <w:pPr>
        <w:keepNext w:val="0"/>
        <w:keepLines w:val="0"/>
        <w:pageBreakBefore w:val="0"/>
        <w:numPr>
          <w:ilvl w:val="-1"/>
          <w:numId w:val="0"/>
        </w:numPr>
        <w:kinsoku/>
        <w:overflowPunct/>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0D00F57C">
      <w:pPr>
        <w:keepNext w:val="0"/>
        <w:keepLines w:val="0"/>
        <w:pageBreakBefore w:val="0"/>
        <w:numPr>
          <w:ilvl w:val="0"/>
          <w:numId w:val="2"/>
        </w:numPr>
        <w:kinsoku/>
        <w:overflowPunct/>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41D3A8A3">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82E47D">
      <w:pPr>
        <w:keepNext w:val="0"/>
        <w:keepLines w:val="0"/>
        <w:pageBreakBefore w:val="0"/>
        <w:kinsoku/>
        <w:overflowPunct/>
        <w:bidi w:val="0"/>
        <w:adjustRightInd w:val="0"/>
        <w:snapToGrid w:val="0"/>
        <w:spacing w:before="0" w:beforeLines="0" w:line="360" w:lineRule="auto"/>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EF14D1C">
      <w:pPr>
        <w:keepNext w:val="0"/>
        <w:keepLines w:val="0"/>
        <w:pageBreakBefore w:val="0"/>
        <w:kinsoku/>
        <w:overflowPunct/>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2C390B53">
      <w:pPr>
        <w:keepNext w:val="0"/>
        <w:keepLines w:val="0"/>
        <w:pageBreakBefore w:val="0"/>
        <w:kinsoku/>
        <w:overflowPunct/>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1B95616">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（注：固定单价合同应填写单价和最高限价）</w:t>
      </w:r>
    </w:p>
    <w:p w14:paraId="01767EC7">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1C8E39BD">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5B6D4C39">
      <w:pPr>
        <w:pStyle w:val="141"/>
        <w:keepNext w:val="0"/>
        <w:keepLines w:val="0"/>
        <w:pageBreakBefore w:val="0"/>
        <w:kinsoku/>
        <w:overflowPunct/>
        <w:bidi w:val="0"/>
        <w:adjustRightInd w:val="0"/>
        <w:snapToGrid w:val="0"/>
        <w:spacing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77994EA2">
      <w:pPr>
        <w:keepNext w:val="0"/>
        <w:keepLines w:val="0"/>
        <w:pageBreakBefore w:val="0"/>
        <w:kinsoku/>
        <w:overflowPunct/>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1BB53FBD">
      <w:pPr>
        <w:keepNext w:val="0"/>
        <w:keepLines w:val="0"/>
        <w:pageBreakBefore w:val="0"/>
        <w:kinsoku/>
        <w:overflowPunct/>
        <w:bidi w:val="0"/>
        <w:adjustRightInd w:val="0"/>
        <w:snapToGrid w:val="0"/>
        <w:spacing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1D5D1363">
      <w:pPr>
        <w:keepNext w:val="0"/>
        <w:keepLines w:val="0"/>
        <w:pageBreakBefore w:val="0"/>
        <w:kinsoku/>
        <w:overflowPunct/>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6E98BBD6">
      <w:pPr>
        <w:keepNext w:val="0"/>
        <w:keepLines w:val="0"/>
        <w:pageBreakBefore w:val="0"/>
        <w:kinsoku/>
        <w:overflowPunct/>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5D67055F">
      <w:pPr>
        <w:keepNext w:val="0"/>
        <w:keepLines w:val="0"/>
        <w:pageBreakBefore w:val="0"/>
        <w:numPr>
          <w:ilvl w:val="0"/>
          <w:numId w:val="2"/>
        </w:numPr>
        <w:kinsoku/>
        <w:overflowPunct/>
        <w:bidi w:val="0"/>
        <w:adjustRightInd w:val="0"/>
        <w:snapToGrid w:val="0"/>
        <w:spacing w:before="0" w:beforeLines="0" w:line="360" w:lineRule="auto"/>
        <w:ind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0EBAF026">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2D20A4C">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3CE2760E">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46926383">
      <w:pPr>
        <w:pStyle w:val="169"/>
        <w:keepNext w:val="0"/>
        <w:keepLines w:val="0"/>
        <w:pageBreakBefore w:val="0"/>
        <w:kinsoku/>
        <w:overflowPunct/>
        <w:bidi w:val="0"/>
        <w:adjustRightInd w:val="0"/>
        <w:snapToGrid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1DDDA8C7">
      <w:pPr>
        <w:pStyle w:val="169"/>
        <w:keepNext w:val="0"/>
        <w:keepLines w:val="0"/>
        <w:pageBreakBefore w:val="0"/>
        <w:kinsoku/>
        <w:overflowPunct/>
        <w:bidi w:val="0"/>
        <w:adjustRightInd w:val="0"/>
        <w:snapToGrid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561FA6BB">
      <w:pPr>
        <w:keepNext w:val="0"/>
        <w:keepLines w:val="0"/>
        <w:pageBreakBefore w:val="0"/>
        <w:kinsoku/>
        <w:overflowPunct/>
        <w:bidi w:val="0"/>
        <w:adjustRightInd w:val="0"/>
        <w:snapToGrid w:val="0"/>
        <w:spacing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110247EA">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78532187">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6EA5810E">
      <w:pPr>
        <w:keepNext w:val="0"/>
        <w:keepLines w:val="0"/>
        <w:pageBreakBefore w:val="0"/>
        <w:numPr>
          <w:ilvl w:val="0"/>
          <w:numId w:val="2"/>
        </w:numPr>
        <w:kinsoku/>
        <w:overflowPunct/>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1780E703">
      <w:pPr>
        <w:keepNext w:val="0"/>
        <w:keepLines w:val="0"/>
        <w:pageBreakBefore w:val="0"/>
        <w:numPr>
          <w:ilvl w:val="0"/>
          <w:numId w:val="4"/>
        </w:numPr>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6D937A23">
      <w:pPr>
        <w:keepNext w:val="0"/>
        <w:keepLines w:val="0"/>
        <w:pageBreakBefore w:val="0"/>
        <w:numPr>
          <w:ilvl w:val="0"/>
          <w:numId w:val="0"/>
        </w:numPr>
        <w:kinsoku/>
        <w:overflowPunct/>
        <w:bidi w:val="0"/>
        <w:adjustRightInd w:val="0"/>
        <w:snapToGrid w:val="0"/>
        <w:spacing w:before="0" w:beforeLines="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1A984942">
      <w:pPr>
        <w:keepNext w:val="0"/>
        <w:keepLines w:val="0"/>
        <w:pageBreakBefore w:val="0"/>
        <w:kinsoku/>
        <w:overflowPunct/>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DA888BC">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B0C590E">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3851EEC2">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18F4ABB">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F27868A">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5600FDDB">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D5990BB">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506C3E33">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478BD251">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4809EFBE">
      <w:pPr>
        <w:keepNext w:val="0"/>
        <w:keepLines w:val="0"/>
        <w:pageBreakBefore w:val="0"/>
        <w:kinsoku/>
        <w:overflowPunct/>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2924B0BA">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6097493D">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6A0DA08F">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44FF0A86">
      <w:pPr>
        <w:pStyle w:val="169"/>
        <w:keepNext w:val="0"/>
        <w:keepLines w:val="0"/>
        <w:pageBreakBefore w:val="0"/>
        <w:kinsoku/>
        <w:overflowPunct/>
        <w:bidi w:val="0"/>
        <w:adjustRightInd w:val="0"/>
        <w:snapToGrid w:val="0"/>
        <w:spacing w:beforeLines="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6FEC643">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013F475B">
      <w:pPr>
        <w:keepNext w:val="0"/>
        <w:keepLines w:val="0"/>
        <w:pageBreakBefore w:val="0"/>
        <w:numPr>
          <w:ilvl w:val="0"/>
          <w:numId w:val="2"/>
        </w:numPr>
        <w:kinsoku/>
        <w:overflowPunct/>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61D5FD1C">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2A8CDA48">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9F67BEC">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495D85F6">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4B15ACDF">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373E08A7">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213D09F0">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21BBDA3">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470AE36">
      <w:pPr>
        <w:pStyle w:val="169"/>
        <w:keepNext w:val="0"/>
        <w:keepLines w:val="0"/>
        <w:pageBreakBefore w:val="0"/>
        <w:kinsoku/>
        <w:overflowPunct/>
        <w:bidi w:val="0"/>
        <w:adjustRightInd w:val="0"/>
        <w:snapToGrid w:val="0"/>
        <w:spacing w:beforeLines="0" w:line="360"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0B515C42">
      <w:pPr>
        <w:keepNext w:val="0"/>
        <w:keepLines w:val="0"/>
        <w:pageBreakBefore w:val="0"/>
        <w:numPr>
          <w:ilvl w:val="0"/>
          <w:numId w:val="2"/>
        </w:numPr>
        <w:kinsoku/>
        <w:overflowPunct/>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52D93764">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4974656F">
      <w:pPr>
        <w:keepNext w:val="0"/>
        <w:keepLines w:val="0"/>
        <w:pageBreakBefore w:val="0"/>
        <w:numPr>
          <w:ilvl w:val="0"/>
          <w:numId w:val="2"/>
        </w:numPr>
        <w:kinsoku/>
        <w:overflowPunct/>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78F075DC">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6AD6CECC">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681B064">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266ED6D0">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3EB1F3CB">
      <w:pPr>
        <w:pStyle w:val="141"/>
        <w:spacing w:beforeLines="0" w:line="400" w:lineRule="exact"/>
        <w:rPr>
          <w:rFonts w:hint="eastAsia" w:ascii="宋体" w:hAnsi="宋体" w:eastAsia="宋体" w:cs="宋体"/>
          <w:color w:val="auto"/>
          <w:sz w:val="24"/>
          <w:szCs w:val="24"/>
          <w:highlight w:val="none"/>
        </w:rPr>
      </w:pPr>
    </w:p>
    <w:p w14:paraId="2446F79D">
      <w:pPr>
        <w:pStyle w:val="141"/>
        <w:rPr>
          <w:rFonts w:hint="eastAsia" w:ascii="宋体" w:hAnsi="宋体" w:eastAsia="宋体" w:cs="宋体"/>
          <w:color w:val="auto"/>
          <w:sz w:val="24"/>
          <w:szCs w:val="24"/>
          <w:highlight w:val="none"/>
        </w:rPr>
      </w:pPr>
    </w:p>
    <w:tbl>
      <w:tblPr>
        <w:tblStyle w:val="35"/>
        <w:tblW w:w="4926"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3"/>
        <w:gridCol w:w="2786"/>
        <w:gridCol w:w="2286"/>
        <w:gridCol w:w="2447"/>
      </w:tblGrid>
      <w:tr w14:paraId="679230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3" w:hRule="atLeast"/>
          <w:jc w:val="center"/>
        </w:trPr>
        <w:tc>
          <w:tcPr>
            <w:tcW w:w="2561" w:type="pct"/>
            <w:gridSpan w:val="2"/>
            <w:tcBorders>
              <w:bottom w:val="single" w:color="auto" w:sz="2" w:space="0"/>
              <w:right w:val="single" w:color="auto" w:sz="2" w:space="0"/>
            </w:tcBorders>
            <w:vAlign w:val="center"/>
          </w:tcPr>
          <w:p w14:paraId="672595AC">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0370B5C6">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7F9E93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5" w:type="pct"/>
            <w:tcBorders>
              <w:top w:val="single" w:color="auto" w:sz="2" w:space="0"/>
              <w:bottom w:val="single" w:color="auto" w:sz="2" w:space="0"/>
              <w:right w:val="single" w:color="auto" w:sz="2" w:space="0"/>
            </w:tcBorders>
            <w:vAlign w:val="center"/>
          </w:tcPr>
          <w:p w14:paraId="5F6DE1ED">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2925CEB">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42C17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260" w:type="pct"/>
            <w:tcBorders>
              <w:top w:val="single" w:color="auto" w:sz="2" w:space="0"/>
              <w:left w:val="single" w:color="auto" w:sz="2" w:space="0"/>
              <w:bottom w:val="single" w:color="auto" w:sz="2" w:space="0"/>
            </w:tcBorders>
            <w:vAlign w:val="center"/>
          </w:tcPr>
          <w:p w14:paraId="68A97BEA">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0304C7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37" w:hRule="atLeast"/>
          <w:jc w:val="center"/>
        </w:trPr>
        <w:tc>
          <w:tcPr>
            <w:tcW w:w="1125" w:type="pct"/>
            <w:vMerge w:val="restart"/>
            <w:tcBorders>
              <w:top w:val="single" w:color="auto" w:sz="2" w:space="0"/>
              <w:right w:val="single" w:color="auto" w:sz="2" w:space="0"/>
            </w:tcBorders>
            <w:vAlign w:val="center"/>
          </w:tcPr>
          <w:p w14:paraId="068439E6">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1B81D73">
            <w:pPr>
              <w:adjustRightInd w:val="0"/>
              <w:snapToGrid w:val="0"/>
              <w:spacing w:line="300" w:lineRule="exact"/>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0A12E1B">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57383B66">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F29944F">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087F69A8">
            <w:pPr>
              <w:adjustRightInd w:val="0"/>
              <w:snapToGrid w:val="0"/>
              <w:spacing w:line="300" w:lineRule="exact"/>
              <w:jc w:val="center"/>
              <w:rPr>
                <w:rFonts w:hint="eastAsia" w:ascii="宋体" w:hAnsi="宋体" w:eastAsia="宋体" w:cs="宋体"/>
                <w:color w:val="auto"/>
                <w:sz w:val="24"/>
                <w:szCs w:val="24"/>
                <w:highlight w:val="none"/>
              </w:rPr>
            </w:pPr>
          </w:p>
        </w:tc>
      </w:tr>
      <w:tr w14:paraId="06C34F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vMerge w:val="continue"/>
            <w:tcBorders>
              <w:bottom w:val="single" w:color="auto" w:sz="2" w:space="0"/>
              <w:right w:val="single" w:color="auto" w:sz="2" w:space="0"/>
            </w:tcBorders>
            <w:vAlign w:val="center"/>
          </w:tcPr>
          <w:p w14:paraId="4F749C2A">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4A53B97">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10C1A0">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37234E04">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15650C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27AF0D37">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76595D6">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ACF426">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28EA352E">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679E46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752E60CA">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85320BE">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2D4C6A4">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795AC1EF">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4AAEDA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13DAA87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F42EEB7">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7BFB7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1EEB76">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5AD2B3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6818D0D0">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9D4BCB9">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340049">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4030AEBC">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38DD22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3E91B199">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8A1D40B">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808CFB7">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67E8F200">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102C40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5535FD98">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4157EC1">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69AA7E">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78EDE31">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2E0690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1BECBDFC">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A813F64">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AF219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491E82EF">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5EBCB6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76449BCA">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0B22EB2">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0DC060">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31203A9E">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4A37DA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4D9C01E5">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11296E">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0AC1F7E">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69876D8B">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127DC6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0E896503">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C179195">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4FCBE8">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AD21872">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561880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23" w:hRule="atLeast"/>
          <w:jc w:val="center"/>
        </w:trPr>
        <w:tc>
          <w:tcPr>
            <w:tcW w:w="5000" w:type="pct"/>
            <w:gridSpan w:val="4"/>
            <w:tcBorders>
              <w:top w:val="single" w:color="auto" w:sz="2" w:space="0"/>
            </w:tcBorders>
            <w:vAlign w:val="center"/>
          </w:tcPr>
          <w:p w14:paraId="78261850">
            <w:pPr>
              <w:pStyle w:val="16"/>
              <w:adjustRightInd w:val="0"/>
              <w:snapToGrid w:val="0"/>
              <w:spacing w:before="156" w:beforeLines="50" w:after="0" w:line="360" w:lineRule="auto"/>
              <w:ind w:left="0" w:leftChars="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7DA4C325">
      <w:pPr>
        <w:bidi w:val="0"/>
        <w:jc w:val="center"/>
        <w:rPr>
          <w:rFonts w:hint="eastAsia" w:ascii="黑体" w:hAnsi="黑体" w:eastAsia="黑体"/>
          <w:b w:val="0"/>
          <w:bCs w:val="0"/>
          <w:color w:val="auto"/>
          <w:sz w:val="28"/>
          <w:szCs w:val="28"/>
          <w:highlight w:val="none"/>
        </w:rPr>
      </w:pPr>
      <w:r>
        <w:rPr>
          <w:rFonts w:hint="eastAsia" w:ascii="宋体" w:hAnsi="宋体" w:eastAsia="宋体" w:cs="宋体"/>
          <w:color w:val="auto"/>
          <w:sz w:val="24"/>
          <w:szCs w:val="24"/>
          <w:highlight w:val="none"/>
          <w:u w:val="single"/>
        </w:rPr>
        <w:br w:type="page"/>
      </w:r>
      <w:bookmarkStart w:id="212" w:name="_Toc27624"/>
      <w:r>
        <w:rPr>
          <w:rFonts w:hint="eastAsia" w:ascii="宋体" w:hAnsi="宋体" w:eastAsia="宋体" w:cs="宋体"/>
          <w:b/>
          <w:bCs/>
          <w:color w:val="auto"/>
          <w:sz w:val="28"/>
          <w:szCs w:val="28"/>
          <w:highlight w:val="none"/>
        </w:rPr>
        <w:t>第二节 政府采购合同通用条款</w:t>
      </w:r>
      <w:bookmarkEnd w:id="212"/>
    </w:p>
    <w:p w14:paraId="1B7B56BE">
      <w:pPr>
        <w:keepLines w:val="0"/>
        <w:pageBreakBefore w:val="0"/>
        <w:widowControl w:val="0"/>
        <w:tabs>
          <w:tab w:val="left" w:pos="8820"/>
          <w:tab w:val="left" w:pos="9345"/>
          <w:tab w:val="left" w:pos="9765"/>
        </w:tabs>
        <w:kinsoku/>
        <w:wordWrap w:val="0"/>
        <w:overflowPunct/>
        <w:topLinePunct/>
        <w:autoSpaceDE/>
        <w:bidi w:val="0"/>
        <w:adjustRightInd w:val="0"/>
        <w:snapToGrid w:val="0"/>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62F4CB55">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2E63B271">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07048811">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77292FA">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B0B61D1">
      <w:pPr>
        <w:keepLines w:val="0"/>
        <w:pageBreakBefore w:val="0"/>
        <w:widowControl w:val="0"/>
        <w:tabs>
          <w:tab w:val="left" w:pos="570"/>
          <w:tab w:val="left" w:pos="9240"/>
          <w:tab w:val="left" w:pos="9555"/>
        </w:tabs>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5653C09">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0E9EFFC8">
      <w:pPr>
        <w:keepLines w:val="0"/>
        <w:pageBreakBefore w:val="0"/>
        <w:widowControl w:val="0"/>
        <w:tabs>
          <w:tab w:val="left" w:pos="570"/>
          <w:tab w:val="left" w:pos="9240"/>
          <w:tab w:val="left" w:pos="9555"/>
        </w:tabs>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11D0C290">
      <w:pPr>
        <w:keepLines w:val="0"/>
        <w:pageBreakBefore w:val="0"/>
        <w:widowControl w:val="0"/>
        <w:tabs>
          <w:tab w:val="left" w:pos="570"/>
          <w:tab w:val="left" w:pos="9240"/>
          <w:tab w:val="left" w:pos="9555"/>
        </w:tabs>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1363B64B">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46E2D0B3">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0DE83AA8">
      <w:pPr>
        <w:keepLines w:val="0"/>
        <w:pageBreakBefore w:val="0"/>
        <w:widowControl w:val="0"/>
        <w:tabs>
          <w:tab w:val="left" w:pos="570"/>
          <w:tab w:val="left" w:pos="9240"/>
          <w:tab w:val="left" w:pos="9555"/>
        </w:tabs>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BE75369">
      <w:pPr>
        <w:keepLines w:val="0"/>
        <w:pageBreakBefore w:val="0"/>
        <w:widowControl w:val="0"/>
        <w:tabs>
          <w:tab w:val="left" w:pos="570"/>
          <w:tab w:val="left" w:pos="9240"/>
          <w:tab w:val="left" w:pos="9555"/>
        </w:tabs>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3F6C9452">
      <w:pPr>
        <w:keepLines w:val="0"/>
        <w:pageBreakBefore w:val="0"/>
        <w:widowControl w:val="0"/>
        <w:numPr>
          <w:ilvl w:val="0"/>
          <w:numId w:val="5"/>
        </w:numPr>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59BF15AA">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3DEEE446">
      <w:pPr>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3851F8F2">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1F6DC849">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742A5B54">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54B93816">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5A698A32">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375851DA">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1D40E408">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7CB4855A">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4950EB3A">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48622B5B">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77EFA3AD">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12287BB8">
      <w:pPr>
        <w:pStyle w:val="15"/>
        <w:keepLines w:val="0"/>
        <w:pageBreakBefore w:val="0"/>
        <w:widowControl w:val="0"/>
        <w:kinsoku/>
        <w:wordWrap w:val="0"/>
        <w:overflowPunct/>
        <w:topLinePunct/>
        <w:autoSpaceDE/>
        <w:bidi w:val="0"/>
        <w:adjustRightInd w:val="0"/>
        <w:snapToGrid w:val="0"/>
        <w:spacing w:after="0" w:line="360" w:lineRule="auto"/>
        <w:ind w:firstLine="422" w:firstLineChars="17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003CB07C">
      <w:pPr>
        <w:pStyle w:val="15"/>
        <w:keepLines w:val="0"/>
        <w:pageBreakBefore w:val="0"/>
        <w:widowControl w:val="0"/>
        <w:kinsoku/>
        <w:wordWrap w:val="0"/>
        <w:overflowPunct/>
        <w:topLinePunct/>
        <w:autoSpaceDE/>
        <w:bidi w:val="0"/>
        <w:adjustRightInd w:val="0"/>
        <w:snapToGrid w:val="0"/>
        <w:spacing w:after="0" w:line="360" w:lineRule="auto"/>
        <w:ind w:firstLine="422" w:firstLineChars="17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23849C42">
      <w:pPr>
        <w:keepLines w:val="0"/>
        <w:pageBreakBefore w:val="0"/>
        <w:widowControl w:val="0"/>
        <w:numPr>
          <w:ilvl w:val="0"/>
          <w:numId w:val="6"/>
        </w:numPr>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04EB3203">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6B1CBB28">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BF808CF">
      <w:pPr>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0CE217F3">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53E18CEB">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002D69E2">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3E86051C">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6F2297CF">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28D5AF34">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57A7A18">
      <w:pPr>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744FF9AA">
      <w:pPr>
        <w:pStyle w:val="20"/>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D805907">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98088D0">
      <w:pPr>
        <w:pStyle w:val="20"/>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8081904">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4A43D14">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2CC565D9">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8EE7B9A">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64E9F7DA">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662514B">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17E879F">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3EAD6DAB">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76CCF94">
      <w:pPr>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00A6AD01">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4257E10E">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1B689376">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0BE8658C">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02B231D1">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213"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213"/>
      <w:r>
        <w:rPr>
          <w:rFonts w:hint="eastAsia" w:ascii="宋体" w:hAnsi="宋体" w:eastAsia="宋体" w:cs="宋体"/>
          <w:color w:val="auto"/>
          <w:sz w:val="24"/>
          <w:szCs w:val="24"/>
          <w:highlight w:val="none"/>
        </w:rPr>
        <w:t>。</w:t>
      </w:r>
    </w:p>
    <w:p w14:paraId="2BAE78B9">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875E648">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4F5983D5">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09CFEA7">
      <w:pPr>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46A00FB9">
      <w:pPr>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12.2 对于满足合同约定支付条件的，甲方原则上应当自收到发票后10个工作日内将资金支付到</w:t>
      </w:r>
      <w:r>
        <w:rPr>
          <w:rFonts w:hint="eastAsia" w:ascii="宋体" w:hAnsi="宋体" w:eastAsia="宋体" w:cs="宋体"/>
          <w:color w:val="auto"/>
          <w:sz w:val="24"/>
          <w:szCs w:val="24"/>
          <w:highlight w:val="none"/>
          <w:lang w:val="en-US" w:eastAsia="zh-CN"/>
        </w:rPr>
        <w:t>合同</w:t>
      </w:r>
      <w:r>
        <w:rPr>
          <w:rFonts w:hint="eastAsia" w:ascii="宋体" w:hAnsi="宋体" w:eastAsia="宋体" w:cs="宋体"/>
          <w:b w:val="0"/>
          <w:bCs w:val="0"/>
          <w:color w:val="auto"/>
          <w:kern w:val="2"/>
          <w:sz w:val="24"/>
          <w:szCs w:val="24"/>
          <w:highlight w:val="none"/>
          <w:lang w:val="en-US" w:eastAsia="zh-CN" w:bidi="ar-SA"/>
        </w:rPr>
        <w:t>约定的乙方账户，</w:t>
      </w:r>
      <w:r>
        <w:rPr>
          <w:rFonts w:hint="eastAsia" w:ascii="宋体" w:hAnsi="宋体" w:eastAsia="宋体" w:cs="宋体"/>
          <w:b w:val="0"/>
          <w:bCs w:val="0"/>
          <w:color w:val="auto"/>
          <w:kern w:val="2"/>
          <w:sz w:val="24"/>
          <w:szCs w:val="24"/>
          <w:highlight w:val="none"/>
        </w:rPr>
        <w:t>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7AAC31">
      <w:pPr>
        <w:pStyle w:val="15"/>
        <w:keepLines w:val="0"/>
        <w:pageBreakBefore w:val="0"/>
        <w:widowControl w:val="0"/>
        <w:kinsoku/>
        <w:wordWrap w:val="0"/>
        <w:overflowPunct/>
        <w:topLinePunct/>
        <w:autoSpaceDE/>
        <w:bidi w:val="0"/>
        <w:adjustRightInd w:val="0"/>
        <w:snapToGrid w:val="0"/>
        <w:spacing w:after="0"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6D66C99C">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2DA52484">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28074C56">
      <w:pPr>
        <w:keepLines w:val="0"/>
        <w:pageBreakBefore w:val="0"/>
        <w:widowControl w:val="0"/>
        <w:kinsoku/>
        <w:wordWrap w:val="0"/>
        <w:overflowPunct/>
        <w:topLinePunct/>
        <w:autoSpaceDE/>
        <w:bidi w:val="0"/>
        <w:adjustRightInd w:val="0"/>
        <w:snapToGri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24B65362">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40D6C4CA">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0E4697E3">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D5E3A94">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5B16EE6">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6C863466">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51578520">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136B3E9">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365DD67">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2DC7B1CF">
      <w:pPr>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25D5BE21">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29C67AC">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11DBF61D">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C502EE">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801FF4E">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32597230">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05348CC">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FDCEECB">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08B0204">
      <w:pPr>
        <w:keepLines w:val="0"/>
        <w:pageBreakBefore w:val="0"/>
        <w:widowControl w:val="0"/>
        <w:numPr>
          <w:ilvl w:val="0"/>
          <w:numId w:val="7"/>
        </w:numPr>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315E9602">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.1合同的变更</w:t>
      </w:r>
    </w:p>
    <w:p w14:paraId="460C4A15">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政府采购合同履行中，在不改变合同其他条款的前提下，甲方可以在合同价款10%的范围内追加与合同标的相同的货物，并就此与乙方协商一致后签订补充协议。</w:t>
      </w:r>
    </w:p>
    <w:p w14:paraId="4BC371CD">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合同的中止</w:t>
      </w:r>
    </w:p>
    <w:p w14:paraId="424E54CC">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F37460">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5A99D048">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21976025">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79A0518B">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5240A2A">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63FCCB3">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7F73F418">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650DA6D0">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125B75A4">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6475FAC">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4FE3140D">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28C80677">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17DC0715">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E073EB3">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A51F56B">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33EE4FF6">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AF1302D">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7F1FD5B5">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7E9E009F">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7749F9CC">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8EC7BCC">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24A32347">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D43DD12">
      <w:pPr>
        <w:pStyle w:val="15"/>
        <w:keepLines w:val="0"/>
        <w:pageBreakBefore w:val="0"/>
        <w:widowControl w:val="0"/>
        <w:kinsoku/>
        <w:wordWrap w:val="0"/>
        <w:overflowPunct/>
        <w:topLinePunct/>
        <w:autoSpaceDE/>
        <w:bidi w:val="0"/>
        <w:adjustRightInd w:val="0"/>
        <w:snapToGrid w:val="0"/>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7352B93">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244AC2C7">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133630D8">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3A620F44">
      <w:pPr>
        <w:keepLines w:val="0"/>
        <w:pageBreakBefore w:val="0"/>
        <w:widowControl w:val="0"/>
        <w:numPr>
          <w:ilvl w:val="-1"/>
          <w:numId w:val="0"/>
        </w:numPr>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9A0E515">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6309DCE3">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2819345E">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575D0789">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2CAB586E">
      <w:pPr>
        <w:keepLines w:val="0"/>
        <w:pageBreakBefore w:val="0"/>
        <w:widowControl w:val="0"/>
        <w:numPr>
          <w:ilvl w:val="0"/>
          <w:numId w:val="8"/>
        </w:numPr>
        <w:kinsoku/>
        <w:wordWrap w:val="0"/>
        <w:overflowPunct/>
        <w:topLinePunct/>
        <w:autoSpaceDE/>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A9BB7F4">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2F155056">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23.2 合同附件与合同正文具有同等的法律效力。</w:t>
      </w:r>
      <w:bookmarkStart w:id="214" w:name="_Toc20313"/>
    </w:p>
    <w:p w14:paraId="7EF81182">
      <w:pPr>
        <w:adjustRightInd w:val="0"/>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4A8CB5DE">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第三节 政府采购合同专用条款</w:t>
      </w:r>
      <w:bookmarkEnd w:id="214"/>
    </w:p>
    <w:tbl>
      <w:tblPr>
        <w:tblStyle w:val="35"/>
        <w:tblW w:w="957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1958"/>
        <w:gridCol w:w="5813"/>
      </w:tblGrid>
      <w:tr w14:paraId="525271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5612BDA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B9B3A5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958" w:type="dxa"/>
            <w:vAlign w:val="center"/>
          </w:tcPr>
          <w:p w14:paraId="21C3464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联合体具体要求</w:t>
            </w:r>
          </w:p>
        </w:tc>
        <w:tc>
          <w:tcPr>
            <w:tcW w:w="5813" w:type="dxa"/>
            <w:vAlign w:val="center"/>
          </w:tcPr>
          <w:p w14:paraId="5D13551D">
            <w:pPr>
              <w:adjustRightInd w:val="0"/>
              <w:snapToGrid w:val="0"/>
              <w:jc w:val="left"/>
              <w:rPr>
                <w:rFonts w:hint="eastAsia" w:ascii="宋体" w:hAnsi="宋体" w:eastAsia="宋体" w:cs="宋体"/>
                <w:color w:val="auto"/>
                <w:sz w:val="24"/>
                <w:szCs w:val="24"/>
                <w:highlight w:val="none"/>
              </w:rPr>
            </w:pPr>
          </w:p>
        </w:tc>
      </w:tr>
      <w:tr w14:paraId="4A803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807" w:type="dxa"/>
            <w:vAlign w:val="center"/>
          </w:tcPr>
          <w:p w14:paraId="6B8D264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83C0BB">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tc>
        <w:tc>
          <w:tcPr>
            <w:tcW w:w="1958" w:type="dxa"/>
            <w:vAlign w:val="center"/>
          </w:tcPr>
          <w:p w14:paraId="08BF4265">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其他术语解释</w:t>
            </w:r>
          </w:p>
        </w:tc>
        <w:tc>
          <w:tcPr>
            <w:tcW w:w="5813" w:type="dxa"/>
            <w:vAlign w:val="center"/>
          </w:tcPr>
          <w:p w14:paraId="5FFEACF8">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3BBACF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3783E3C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8EE2224">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4.4款</w:t>
            </w:r>
          </w:p>
        </w:tc>
        <w:tc>
          <w:tcPr>
            <w:tcW w:w="1958" w:type="dxa"/>
            <w:vAlign w:val="center"/>
          </w:tcPr>
          <w:p w14:paraId="16DB39E3">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履约验收中甲方提出异议或作出说明的期限</w:t>
            </w:r>
          </w:p>
        </w:tc>
        <w:tc>
          <w:tcPr>
            <w:tcW w:w="5813" w:type="dxa"/>
            <w:vAlign w:val="center"/>
          </w:tcPr>
          <w:p w14:paraId="23D92B3E">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6AC70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6A3B260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4575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4.6款</w:t>
            </w:r>
          </w:p>
        </w:tc>
        <w:tc>
          <w:tcPr>
            <w:tcW w:w="1958" w:type="dxa"/>
            <w:vAlign w:val="center"/>
          </w:tcPr>
          <w:p w14:paraId="63C29C62">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约定甲方承担的其他义务和责任</w:t>
            </w:r>
          </w:p>
        </w:tc>
        <w:tc>
          <w:tcPr>
            <w:tcW w:w="5813" w:type="dxa"/>
            <w:vAlign w:val="center"/>
          </w:tcPr>
          <w:p w14:paraId="0C41D39F">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5C033E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0CEE6AC1">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390F0D2A">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5.4款</w:t>
            </w:r>
          </w:p>
        </w:tc>
        <w:tc>
          <w:tcPr>
            <w:tcW w:w="1958" w:type="dxa"/>
            <w:vAlign w:val="center"/>
          </w:tcPr>
          <w:p w14:paraId="6F2C8485">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约定乙方承担的其他义务和责任</w:t>
            </w:r>
          </w:p>
        </w:tc>
        <w:tc>
          <w:tcPr>
            <w:tcW w:w="5813" w:type="dxa"/>
            <w:vAlign w:val="center"/>
          </w:tcPr>
          <w:p w14:paraId="2C8C6CC5">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62C04C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1C48C3AF">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01385937">
            <w:pPr>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6.1款</w:t>
            </w:r>
          </w:p>
        </w:tc>
        <w:tc>
          <w:tcPr>
            <w:tcW w:w="1958" w:type="dxa"/>
            <w:vAlign w:val="center"/>
          </w:tcPr>
          <w:p w14:paraId="15A2502E">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履行合同义务的顺序</w:t>
            </w:r>
          </w:p>
        </w:tc>
        <w:tc>
          <w:tcPr>
            <w:tcW w:w="5813" w:type="dxa"/>
            <w:vAlign w:val="center"/>
          </w:tcPr>
          <w:p w14:paraId="6B5D365C">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297428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807" w:type="dxa"/>
            <w:vMerge w:val="restart"/>
            <w:vAlign w:val="center"/>
          </w:tcPr>
          <w:p w14:paraId="2C98213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D69C98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款</w:t>
            </w:r>
          </w:p>
        </w:tc>
        <w:tc>
          <w:tcPr>
            <w:tcW w:w="1958" w:type="dxa"/>
            <w:vAlign w:val="center"/>
          </w:tcPr>
          <w:p w14:paraId="43DB9A7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w:t>
            </w:r>
            <w:r>
              <w:rPr>
                <w:rFonts w:hint="eastAsia" w:ascii="宋体" w:hAnsi="宋体" w:eastAsia="宋体" w:cs="宋体"/>
                <w:color w:val="auto"/>
                <w:sz w:val="24"/>
                <w:szCs w:val="24"/>
                <w:highlight w:val="none"/>
                <w:lang w:eastAsia="zh-CN"/>
              </w:rPr>
              <w:t>特殊要求</w:t>
            </w:r>
          </w:p>
        </w:tc>
        <w:tc>
          <w:tcPr>
            <w:tcW w:w="5813" w:type="dxa"/>
            <w:vAlign w:val="center"/>
          </w:tcPr>
          <w:p w14:paraId="7BF94B15">
            <w:pPr>
              <w:rPr>
                <w:rFonts w:hint="eastAsia" w:ascii="宋体" w:hAnsi="宋体" w:eastAsia="宋体" w:cs="宋体"/>
                <w:color w:val="auto"/>
                <w:sz w:val="24"/>
                <w:szCs w:val="24"/>
                <w:highlight w:val="none"/>
              </w:rPr>
            </w:pPr>
          </w:p>
        </w:tc>
      </w:tr>
      <w:tr w14:paraId="33A76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807" w:type="dxa"/>
            <w:vMerge w:val="continue"/>
            <w:vAlign w:val="center"/>
          </w:tcPr>
          <w:p w14:paraId="02F1ACAA">
            <w:pPr>
              <w:adjustRightInd w:val="0"/>
              <w:snapToGrid w:val="0"/>
              <w:jc w:val="center"/>
              <w:rPr>
                <w:rFonts w:hint="eastAsia" w:ascii="宋体" w:hAnsi="宋体" w:eastAsia="宋体" w:cs="宋体"/>
                <w:color w:val="auto"/>
                <w:sz w:val="24"/>
                <w:szCs w:val="24"/>
                <w:highlight w:val="none"/>
              </w:rPr>
            </w:pPr>
          </w:p>
        </w:tc>
        <w:tc>
          <w:tcPr>
            <w:tcW w:w="1958" w:type="dxa"/>
            <w:vAlign w:val="center"/>
          </w:tcPr>
          <w:p w14:paraId="44D34591">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指定现场</w:t>
            </w:r>
          </w:p>
        </w:tc>
        <w:tc>
          <w:tcPr>
            <w:tcW w:w="5813" w:type="dxa"/>
            <w:vAlign w:val="center"/>
          </w:tcPr>
          <w:p w14:paraId="1017C56F">
            <w:pPr>
              <w:rPr>
                <w:rFonts w:hint="eastAsia" w:ascii="宋体" w:hAnsi="宋体" w:eastAsia="宋体" w:cs="宋体"/>
                <w:color w:val="auto"/>
                <w:sz w:val="24"/>
                <w:szCs w:val="24"/>
                <w:highlight w:val="none"/>
              </w:rPr>
            </w:pPr>
          </w:p>
        </w:tc>
      </w:tr>
      <w:tr w14:paraId="2014BB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807" w:type="dxa"/>
            <w:vAlign w:val="center"/>
          </w:tcPr>
          <w:p w14:paraId="09691BC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A9D00F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958" w:type="dxa"/>
            <w:vAlign w:val="center"/>
          </w:tcPr>
          <w:p w14:paraId="37443627">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运输特殊要求</w:t>
            </w:r>
          </w:p>
        </w:tc>
        <w:tc>
          <w:tcPr>
            <w:tcW w:w="5813" w:type="dxa"/>
            <w:vAlign w:val="center"/>
          </w:tcPr>
          <w:p w14:paraId="04BBF7F0">
            <w:pPr>
              <w:rPr>
                <w:rFonts w:hint="eastAsia" w:ascii="宋体" w:hAnsi="宋体" w:eastAsia="宋体" w:cs="宋体"/>
                <w:color w:val="auto"/>
                <w:sz w:val="24"/>
                <w:szCs w:val="24"/>
                <w:highlight w:val="none"/>
              </w:rPr>
            </w:pPr>
          </w:p>
        </w:tc>
      </w:tr>
      <w:tr w14:paraId="7D9D27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807" w:type="dxa"/>
            <w:vAlign w:val="center"/>
          </w:tcPr>
          <w:p w14:paraId="11A1FDD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32ABFF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款</w:t>
            </w:r>
          </w:p>
        </w:tc>
        <w:tc>
          <w:tcPr>
            <w:tcW w:w="1958" w:type="dxa"/>
            <w:vAlign w:val="center"/>
          </w:tcPr>
          <w:p w14:paraId="008E877A">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保险要求</w:t>
            </w:r>
          </w:p>
        </w:tc>
        <w:tc>
          <w:tcPr>
            <w:tcW w:w="5813" w:type="dxa"/>
            <w:vAlign w:val="center"/>
          </w:tcPr>
          <w:p w14:paraId="170EADEB">
            <w:pPr>
              <w:rPr>
                <w:rFonts w:hint="eastAsia" w:ascii="宋体" w:hAnsi="宋体" w:eastAsia="宋体" w:cs="宋体"/>
                <w:color w:val="auto"/>
                <w:sz w:val="24"/>
                <w:szCs w:val="24"/>
                <w:highlight w:val="none"/>
              </w:rPr>
            </w:pPr>
          </w:p>
        </w:tc>
      </w:tr>
      <w:tr w14:paraId="23201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10C27B9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D666F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.2（1）项</w:t>
            </w:r>
          </w:p>
        </w:tc>
        <w:tc>
          <w:tcPr>
            <w:tcW w:w="1958" w:type="dxa"/>
            <w:vAlign w:val="center"/>
          </w:tcPr>
          <w:p w14:paraId="044FFD5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813" w:type="dxa"/>
            <w:vAlign w:val="center"/>
          </w:tcPr>
          <w:p w14:paraId="6D9AAB02">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731F98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2D23560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6273FC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.2（3）项</w:t>
            </w:r>
          </w:p>
        </w:tc>
        <w:tc>
          <w:tcPr>
            <w:tcW w:w="1958" w:type="dxa"/>
            <w:vAlign w:val="center"/>
          </w:tcPr>
          <w:p w14:paraId="433D5778">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货物质量缺陷</w:t>
            </w:r>
          </w:p>
          <w:p w14:paraId="4550F43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813" w:type="dxa"/>
            <w:vAlign w:val="center"/>
          </w:tcPr>
          <w:p w14:paraId="017B2F61">
            <w:pPr>
              <w:adjustRightInd w:val="0"/>
              <w:snapToGrid w:val="0"/>
              <w:jc w:val="left"/>
              <w:rPr>
                <w:rFonts w:hint="eastAsia" w:ascii="宋体" w:hAnsi="宋体" w:eastAsia="宋体" w:cs="宋体"/>
                <w:color w:val="auto"/>
                <w:sz w:val="24"/>
                <w:szCs w:val="24"/>
                <w:highlight w:val="none"/>
              </w:rPr>
            </w:pPr>
          </w:p>
        </w:tc>
      </w:tr>
      <w:tr w14:paraId="158DF1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30423619">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第二节</w:t>
            </w:r>
          </w:p>
          <w:p w14:paraId="6CEA80E4">
            <w:pPr>
              <w:pStyle w:val="169"/>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第11.1款</w:t>
            </w:r>
          </w:p>
        </w:tc>
        <w:tc>
          <w:tcPr>
            <w:tcW w:w="1958" w:type="dxa"/>
            <w:vAlign w:val="center"/>
          </w:tcPr>
          <w:p w14:paraId="33EF1F22">
            <w:pPr>
              <w:adjustRightInd w:val="0"/>
              <w:snapToGrid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813" w:type="dxa"/>
            <w:vAlign w:val="center"/>
          </w:tcPr>
          <w:p w14:paraId="100D545F">
            <w:pPr>
              <w:adjustRightInd w:val="0"/>
              <w:snapToGrid w:val="0"/>
              <w:jc w:val="left"/>
              <w:rPr>
                <w:rFonts w:hint="eastAsia" w:ascii="宋体" w:hAnsi="宋体" w:eastAsia="宋体" w:cs="宋体"/>
                <w:color w:val="auto"/>
                <w:sz w:val="24"/>
                <w:szCs w:val="24"/>
                <w:highlight w:val="none"/>
              </w:rPr>
            </w:pPr>
          </w:p>
        </w:tc>
      </w:tr>
      <w:tr w14:paraId="3D790B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807" w:type="dxa"/>
            <w:vAlign w:val="center"/>
          </w:tcPr>
          <w:p w14:paraId="3829A64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E37F91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.2款</w:t>
            </w:r>
          </w:p>
        </w:tc>
        <w:tc>
          <w:tcPr>
            <w:tcW w:w="1958" w:type="dxa"/>
            <w:vAlign w:val="center"/>
          </w:tcPr>
          <w:p w14:paraId="043C14C0">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合同价款支付</w:t>
            </w:r>
            <w:r>
              <w:rPr>
                <w:rFonts w:hint="eastAsia" w:ascii="宋体" w:hAnsi="宋体" w:eastAsia="宋体" w:cs="宋体"/>
                <w:color w:val="auto"/>
                <w:sz w:val="24"/>
                <w:szCs w:val="24"/>
                <w:highlight w:val="none"/>
                <w:lang w:eastAsia="zh-CN"/>
              </w:rPr>
              <w:t>时间</w:t>
            </w:r>
          </w:p>
        </w:tc>
        <w:tc>
          <w:tcPr>
            <w:tcW w:w="5813" w:type="dxa"/>
            <w:vAlign w:val="center"/>
          </w:tcPr>
          <w:p w14:paraId="61E939DB">
            <w:pPr>
              <w:adjustRightInd w:val="0"/>
              <w:snapToGrid w:val="0"/>
              <w:jc w:val="left"/>
              <w:rPr>
                <w:rFonts w:hint="eastAsia" w:ascii="宋体" w:hAnsi="宋体" w:eastAsia="宋体" w:cs="宋体"/>
                <w:color w:val="auto"/>
                <w:sz w:val="24"/>
                <w:szCs w:val="24"/>
                <w:highlight w:val="none"/>
              </w:rPr>
            </w:pPr>
          </w:p>
        </w:tc>
      </w:tr>
      <w:tr w14:paraId="165250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807" w:type="dxa"/>
            <w:vAlign w:val="center"/>
          </w:tcPr>
          <w:p w14:paraId="1FD57C6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DCBE8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款</w:t>
            </w:r>
          </w:p>
        </w:tc>
        <w:tc>
          <w:tcPr>
            <w:tcW w:w="1958" w:type="dxa"/>
            <w:vAlign w:val="center"/>
          </w:tcPr>
          <w:p w14:paraId="1CAB9E02">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履约保证金不予退还的情形</w:t>
            </w:r>
          </w:p>
        </w:tc>
        <w:tc>
          <w:tcPr>
            <w:tcW w:w="5813" w:type="dxa"/>
            <w:vAlign w:val="center"/>
          </w:tcPr>
          <w:p w14:paraId="187A8D5E">
            <w:pPr>
              <w:adjustRightInd w:val="0"/>
              <w:snapToGrid w:val="0"/>
              <w:jc w:val="left"/>
              <w:rPr>
                <w:rFonts w:hint="eastAsia" w:ascii="宋体" w:hAnsi="宋体" w:eastAsia="宋体" w:cs="宋体"/>
                <w:color w:val="auto"/>
                <w:sz w:val="24"/>
                <w:szCs w:val="24"/>
                <w:highlight w:val="none"/>
              </w:rPr>
            </w:pPr>
          </w:p>
        </w:tc>
      </w:tr>
      <w:tr w14:paraId="1DF83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38F1925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8919E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款</w:t>
            </w:r>
          </w:p>
        </w:tc>
        <w:tc>
          <w:tcPr>
            <w:tcW w:w="1958" w:type="dxa"/>
            <w:vAlign w:val="center"/>
          </w:tcPr>
          <w:p w14:paraId="6A3C4EC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w:t>
            </w:r>
            <w:r>
              <w:rPr>
                <w:rFonts w:hint="eastAsia" w:ascii="宋体" w:hAnsi="宋体" w:eastAsia="宋体" w:cs="宋体"/>
                <w:color w:val="auto"/>
                <w:sz w:val="24"/>
                <w:szCs w:val="24"/>
                <w:highlight w:val="none"/>
                <w:lang w:eastAsia="zh-CN"/>
              </w:rPr>
              <w:t>逾期退还的</w:t>
            </w:r>
            <w:r>
              <w:rPr>
                <w:rFonts w:hint="eastAsia" w:ascii="宋体" w:hAnsi="宋体" w:eastAsia="宋体" w:cs="宋体"/>
                <w:color w:val="auto"/>
                <w:sz w:val="24"/>
                <w:szCs w:val="24"/>
                <w:highlight w:val="none"/>
              </w:rPr>
              <w:t>违约金</w:t>
            </w:r>
          </w:p>
        </w:tc>
        <w:tc>
          <w:tcPr>
            <w:tcW w:w="5813" w:type="dxa"/>
            <w:vAlign w:val="center"/>
          </w:tcPr>
          <w:p w14:paraId="43C259B6">
            <w:pPr>
              <w:adjustRightInd w:val="0"/>
              <w:snapToGrid w:val="0"/>
              <w:jc w:val="left"/>
              <w:rPr>
                <w:rFonts w:hint="eastAsia" w:ascii="宋体" w:hAnsi="宋体" w:eastAsia="宋体" w:cs="宋体"/>
                <w:color w:val="auto"/>
                <w:sz w:val="24"/>
                <w:szCs w:val="24"/>
                <w:highlight w:val="none"/>
              </w:rPr>
            </w:pPr>
          </w:p>
        </w:tc>
      </w:tr>
      <w:tr w14:paraId="1E653D96">
        <w:tblPrEx>
          <w:tblCellMar>
            <w:top w:w="0" w:type="dxa"/>
            <w:left w:w="108" w:type="dxa"/>
            <w:bottom w:w="0" w:type="dxa"/>
            <w:right w:w="108" w:type="dxa"/>
          </w:tblCellMar>
        </w:tblPrEx>
        <w:trPr>
          <w:trHeight w:val="784" w:hRule="atLeast"/>
          <w:jc w:val="center"/>
        </w:trPr>
        <w:tc>
          <w:tcPr>
            <w:tcW w:w="1807" w:type="dxa"/>
            <w:vAlign w:val="center"/>
          </w:tcPr>
          <w:p w14:paraId="4E5AE28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CA8D43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tc>
        <w:tc>
          <w:tcPr>
            <w:tcW w:w="1958" w:type="dxa"/>
            <w:vAlign w:val="center"/>
          </w:tcPr>
          <w:p w14:paraId="7E0B720E">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运行监督、维修期限</w:t>
            </w:r>
          </w:p>
        </w:tc>
        <w:tc>
          <w:tcPr>
            <w:tcW w:w="5813" w:type="dxa"/>
            <w:vAlign w:val="center"/>
          </w:tcPr>
          <w:p w14:paraId="1F521F44">
            <w:pPr>
              <w:adjustRightInd w:val="0"/>
              <w:snapToGrid w:val="0"/>
              <w:jc w:val="left"/>
              <w:rPr>
                <w:rFonts w:hint="eastAsia" w:ascii="宋体" w:hAnsi="宋体" w:eastAsia="宋体" w:cs="宋体"/>
                <w:color w:val="auto"/>
                <w:sz w:val="24"/>
                <w:szCs w:val="24"/>
                <w:highlight w:val="none"/>
              </w:rPr>
            </w:pPr>
          </w:p>
        </w:tc>
      </w:tr>
      <w:tr w14:paraId="2FEF8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807" w:type="dxa"/>
            <w:vAlign w:val="center"/>
          </w:tcPr>
          <w:p w14:paraId="342F95B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B3B02E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tc>
        <w:tc>
          <w:tcPr>
            <w:tcW w:w="1958" w:type="dxa"/>
            <w:vAlign w:val="center"/>
          </w:tcPr>
          <w:p w14:paraId="63B978B2">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货物回收的约定</w:t>
            </w:r>
          </w:p>
        </w:tc>
        <w:tc>
          <w:tcPr>
            <w:tcW w:w="5813" w:type="dxa"/>
            <w:vAlign w:val="center"/>
          </w:tcPr>
          <w:p w14:paraId="1ADA7585">
            <w:pPr>
              <w:adjustRightInd w:val="0"/>
              <w:snapToGrid w:val="0"/>
              <w:jc w:val="left"/>
              <w:rPr>
                <w:rFonts w:hint="eastAsia" w:ascii="宋体" w:hAnsi="宋体" w:eastAsia="宋体" w:cs="宋体"/>
                <w:color w:val="auto"/>
                <w:sz w:val="24"/>
                <w:szCs w:val="24"/>
                <w:highlight w:val="none"/>
              </w:rPr>
            </w:pPr>
          </w:p>
        </w:tc>
      </w:tr>
      <w:tr w14:paraId="3F0DDD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6C69E69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43958F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958" w:type="dxa"/>
            <w:vAlign w:val="center"/>
          </w:tcPr>
          <w:p w14:paraId="07C0521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813" w:type="dxa"/>
            <w:vAlign w:val="center"/>
          </w:tcPr>
          <w:p w14:paraId="1B2D791C">
            <w:pPr>
              <w:adjustRightInd w:val="0"/>
              <w:snapToGrid w:val="0"/>
              <w:jc w:val="left"/>
              <w:rPr>
                <w:rFonts w:hint="eastAsia" w:ascii="宋体" w:hAnsi="宋体" w:eastAsia="宋体" w:cs="宋体"/>
                <w:color w:val="auto"/>
                <w:sz w:val="24"/>
                <w:szCs w:val="24"/>
                <w:highlight w:val="none"/>
              </w:rPr>
            </w:pPr>
          </w:p>
        </w:tc>
      </w:tr>
      <w:tr w14:paraId="531C4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4D6E076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8D6DC7C">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958" w:type="dxa"/>
            <w:vAlign w:val="center"/>
          </w:tcPr>
          <w:p w14:paraId="5AB59A0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813" w:type="dxa"/>
            <w:vAlign w:val="center"/>
          </w:tcPr>
          <w:p w14:paraId="54C674B5">
            <w:pPr>
              <w:adjustRightInd w:val="0"/>
              <w:snapToGrid w:val="0"/>
              <w:jc w:val="left"/>
              <w:rPr>
                <w:rFonts w:hint="eastAsia" w:ascii="宋体" w:hAnsi="宋体" w:eastAsia="宋体" w:cs="宋体"/>
                <w:color w:val="auto"/>
                <w:sz w:val="24"/>
                <w:szCs w:val="24"/>
                <w:highlight w:val="none"/>
              </w:rPr>
            </w:pPr>
          </w:p>
        </w:tc>
      </w:tr>
      <w:tr w14:paraId="27783F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0740536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2F2F88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958" w:type="dxa"/>
            <w:vAlign w:val="center"/>
          </w:tcPr>
          <w:p w14:paraId="7C5051D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813" w:type="dxa"/>
            <w:vAlign w:val="center"/>
          </w:tcPr>
          <w:p w14:paraId="5900548C">
            <w:pPr>
              <w:adjustRightInd w:val="0"/>
              <w:snapToGrid w:val="0"/>
              <w:jc w:val="left"/>
              <w:rPr>
                <w:rFonts w:hint="eastAsia" w:ascii="宋体" w:hAnsi="宋体" w:eastAsia="宋体" w:cs="宋体"/>
                <w:color w:val="auto"/>
                <w:sz w:val="24"/>
                <w:szCs w:val="24"/>
                <w:highlight w:val="none"/>
                <w:u w:val="single"/>
              </w:rPr>
            </w:pPr>
          </w:p>
        </w:tc>
      </w:tr>
      <w:tr w14:paraId="20A588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45F68D5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502F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958" w:type="dxa"/>
            <w:vAlign w:val="center"/>
          </w:tcPr>
          <w:p w14:paraId="2685BAF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813" w:type="dxa"/>
            <w:vAlign w:val="center"/>
          </w:tcPr>
          <w:p w14:paraId="43194260">
            <w:pPr>
              <w:adjustRightInd w:val="0"/>
              <w:snapToGrid w:val="0"/>
              <w:jc w:val="left"/>
              <w:rPr>
                <w:rFonts w:hint="eastAsia" w:ascii="宋体" w:hAnsi="宋体" w:eastAsia="宋体" w:cs="宋体"/>
                <w:color w:val="auto"/>
                <w:sz w:val="24"/>
                <w:szCs w:val="24"/>
                <w:highlight w:val="none"/>
                <w:u w:val="single"/>
              </w:rPr>
            </w:pPr>
          </w:p>
        </w:tc>
      </w:tr>
      <w:tr w14:paraId="65E484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807" w:type="dxa"/>
            <w:tcBorders>
              <w:bottom w:val="single" w:color="auto" w:sz="2" w:space="0"/>
              <w:right w:val="single" w:color="auto" w:sz="2" w:space="0"/>
            </w:tcBorders>
            <w:vAlign w:val="center"/>
          </w:tcPr>
          <w:p w14:paraId="5671A7D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F6DE4E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958" w:type="dxa"/>
            <w:tcBorders>
              <w:left w:val="single" w:color="auto" w:sz="2" w:space="0"/>
              <w:bottom w:val="single" w:color="auto" w:sz="2" w:space="0"/>
              <w:right w:val="single" w:color="auto" w:sz="2" w:space="0"/>
            </w:tcBorders>
            <w:vAlign w:val="center"/>
          </w:tcPr>
          <w:p w14:paraId="2108C74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813" w:type="dxa"/>
            <w:tcBorders>
              <w:left w:val="single" w:color="auto" w:sz="2" w:space="0"/>
              <w:bottom w:val="single" w:color="auto" w:sz="2" w:space="0"/>
            </w:tcBorders>
            <w:vAlign w:val="center"/>
          </w:tcPr>
          <w:p w14:paraId="61C096C8">
            <w:pPr>
              <w:adjustRightInd w:val="0"/>
              <w:snapToGrid w:val="0"/>
              <w:jc w:val="left"/>
              <w:rPr>
                <w:rFonts w:hint="eastAsia" w:ascii="宋体" w:hAnsi="宋体" w:eastAsia="宋体" w:cs="宋体"/>
                <w:color w:val="auto"/>
                <w:sz w:val="24"/>
                <w:szCs w:val="24"/>
                <w:highlight w:val="none"/>
                <w:u w:val="single"/>
              </w:rPr>
            </w:pPr>
          </w:p>
        </w:tc>
      </w:tr>
      <w:tr w14:paraId="2C7906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88" w:hRule="atLeast"/>
          <w:jc w:val="center"/>
        </w:trPr>
        <w:tc>
          <w:tcPr>
            <w:tcW w:w="1807" w:type="dxa"/>
            <w:tcBorders>
              <w:top w:val="single" w:color="auto" w:sz="2" w:space="0"/>
              <w:right w:val="single" w:color="auto" w:sz="2" w:space="0"/>
            </w:tcBorders>
            <w:vAlign w:val="center"/>
          </w:tcPr>
          <w:p w14:paraId="0E1E98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0B7E0C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958" w:type="dxa"/>
            <w:tcBorders>
              <w:top w:val="single" w:color="auto" w:sz="2" w:space="0"/>
              <w:left w:val="single" w:color="auto" w:sz="2" w:space="0"/>
              <w:right w:val="single" w:color="auto" w:sz="2" w:space="0"/>
            </w:tcBorders>
            <w:vAlign w:val="center"/>
          </w:tcPr>
          <w:p w14:paraId="4CBE72C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5813" w:type="dxa"/>
            <w:tcBorders>
              <w:top w:val="single" w:color="auto" w:sz="2" w:space="0"/>
              <w:left w:val="single" w:color="auto" w:sz="2" w:space="0"/>
            </w:tcBorders>
            <w:vAlign w:val="center"/>
          </w:tcPr>
          <w:p w14:paraId="4CBC0926">
            <w:pPr>
              <w:autoSpaceDE w:val="0"/>
              <w:autoSpaceDN w:val="0"/>
              <w:adjustRightInd w:val="0"/>
              <w:snapToGrid w:val="0"/>
              <w:spacing w:line="400" w:lineRule="exact"/>
              <w:jc w:val="left"/>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cs="宋体"/>
                <w:b w:val="0"/>
                <w:bCs w:val="0"/>
                <w:iCs/>
                <w:color w:val="auto"/>
                <w:sz w:val="24"/>
                <w:szCs w:val="24"/>
                <w:highlight w:val="none"/>
                <w:u w:val="single"/>
                <w:lang w:eastAsia="zh-CN"/>
              </w:rPr>
              <w:t>（</w:t>
            </w:r>
            <w:r>
              <w:rPr>
                <w:rFonts w:hint="eastAsia" w:ascii="宋体" w:hAnsi="宋体" w:cs="宋体"/>
                <w:b w:val="0"/>
                <w:bCs w:val="0"/>
                <w:iCs/>
                <w:color w:val="auto"/>
                <w:sz w:val="24"/>
                <w:szCs w:val="24"/>
                <w:highlight w:val="none"/>
                <w:u w:val="single"/>
                <w:lang w:val="en-US" w:eastAsia="zh-CN"/>
              </w:rPr>
              <w:t>2</w:t>
            </w:r>
            <w:r>
              <w:rPr>
                <w:rFonts w:hint="eastAsia" w:ascii="宋体" w:hAnsi="宋体" w:cs="宋体"/>
                <w:b w:val="0"/>
                <w:bCs w:val="0"/>
                <w:iCs/>
                <w:color w:val="auto"/>
                <w:sz w:val="24"/>
                <w:szCs w:val="24"/>
                <w:highlight w:val="none"/>
                <w:u w:val="single"/>
                <w:lang w:eastAsia="zh-CN"/>
              </w:rPr>
              <w:t>）</w:t>
            </w:r>
            <w:r>
              <w:rPr>
                <w:rFonts w:hint="eastAsia" w:ascii="宋体" w:hAnsi="宋体" w:eastAsia="宋体" w:cs="宋体"/>
                <w:b w:val="0"/>
                <w:bCs w:val="0"/>
                <w:iCs/>
                <w:color w:val="auto"/>
                <w:sz w:val="24"/>
                <w:szCs w:val="24"/>
                <w:highlight w:val="none"/>
              </w:rPr>
              <w:t>种方式解决：</w:t>
            </w:r>
          </w:p>
          <w:p w14:paraId="1C8F4B6D">
            <w:pPr>
              <w:autoSpaceDE w:val="0"/>
              <w:autoSpaceDN w:val="0"/>
              <w:adjustRightInd w:val="0"/>
              <w:snapToGrid w:val="0"/>
              <w:spacing w:line="400" w:lineRule="exact"/>
              <w:jc w:val="left"/>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1B825DC9">
            <w:pPr>
              <w:adjustRightInd w:val="0"/>
              <w:snapToGrid w:val="0"/>
              <w:ind w:firstLine="0" w:firstLineChars="0"/>
              <w:jc w:val="left"/>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72F4F3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807" w:type="dxa"/>
            <w:vAlign w:val="center"/>
          </w:tcPr>
          <w:p w14:paraId="45ACEA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0F468C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958" w:type="dxa"/>
            <w:vAlign w:val="center"/>
          </w:tcPr>
          <w:p w14:paraId="3755B7B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5813" w:type="dxa"/>
            <w:vAlign w:val="center"/>
          </w:tcPr>
          <w:p w14:paraId="5DD021F9">
            <w:pPr>
              <w:adjustRightInd w:val="0"/>
              <w:snapToGrid w:val="0"/>
              <w:jc w:val="left"/>
              <w:rPr>
                <w:rFonts w:hint="eastAsia" w:ascii="宋体" w:hAnsi="宋体" w:eastAsia="宋体" w:cs="宋体"/>
                <w:color w:val="auto"/>
                <w:sz w:val="24"/>
                <w:szCs w:val="24"/>
                <w:highlight w:val="none"/>
                <w:lang w:val="en-US" w:eastAsia="zh-CN"/>
              </w:rPr>
            </w:pPr>
          </w:p>
        </w:tc>
      </w:tr>
    </w:tbl>
    <w:p w14:paraId="4132DAED">
      <w:pPr>
        <w:rPr>
          <w:rFonts w:hint="eastAsia" w:ascii="宋体" w:hAnsi="宋体" w:eastAsia="宋体" w:cs="宋体"/>
          <w:color w:val="auto"/>
          <w:sz w:val="24"/>
          <w:szCs w:val="24"/>
          <w:highlight w:val="none"/>
        </w:rPr>
      </w:pPr>
    </w:p>
    <w:p w14:paraId="0E9EBE8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sectPr>
          <w:headerReference r:id="rId9" w:type="default"/>
          <w:footerReference r:id="rId10" w:type="default"/>
          <w:pgSz w:w="11900" w:h="16838"/>
          <w:pgMar w:top="1134" w:right="1134" w:bottom="1134" w:left="1134" w:header="624" w:footer="624" w:gutter="0"/>
          <w:pgNumType w:fmt="numberInDash"/>
          <w:cols w:space="0" w:num="1"/>
          <w:rtlGutter w:val="0"/>
          <w:docGrid w:linePitch="317" w:charSpace="0"/>
        </w:sectPr>
      </w:pPr>
    </w:p>
    <w:p w14:paraId="5F133A24">
      <w:pPr>
        <w:pStyle w:val="2"/>
        <w:keepNext/>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32"/>
          <w:szCs w:val="32"/>
          <w:highlight w:val="none"/>
        </w:rPr>
      </w:pPr>
      <w:bookmarkStart w:id="215" w:name="_Toc15405"/>
      <w:bookmarkStart w:id="216" w:name="_Toc11959"/>
      <w:r>
        <w:rPr>
          <w:rFonts w:hint="eastAsia" w:ascii="宋体" w:hAnsi="宋体" w:eastAsia="宋体" w:cs="宋体"/>
          <w:color w:val="auto"/>
          <w:sz w:val="32"/>
          <w:szCs w:val="32"/>
          <w:highlight w:val="none"/>
        </w:rPr>
        <w:t>第</w:t>
      </w:r>
      <w:bookmarkEnd w:id="207"/>
      <w:bookmarkEnd w:id="208"/>
      <w:bookmarkEnd w:id="209"/>
      <w:r>
        <w:rPr>
          <w:rFonts w:hint="eastAsia" w:ascii="宋体" w:hAnsi="宋体" w:eastAsia="宋体" w:cs="宋体"/>
          <w:color w:val="auto"/>
          <w:sz w:val="32"/>
          <w:szCs w:val="32"/>
          <w:highlight w:val="none"/>
          <w:lang w:val="en-US" w:eastAsia="zh-CN"/>
        </w:rPr>
        <w:t xml:space="preserve">七章 </w:t>
      </w:r>
      <w:r>
        <w:rPr>
          <w:rFonts w:hint="eastAsia" w:ascii="宋体" w:hAnsi="宋体" w:eastAsia="宋体" w:cs="宋体"/>
          <w:color w:val="auto"/>
          <w:sz w:val="32"/>
          <w:szCs w:val="32"/>
          <w:highlight w:val="none"/>
        </w:rPr>
        <w:t>投标文件格式</w:t>
      </w:r>
      <w:bookmarkEnd w:id="215"/>
      <w:bookmarkEnd w:id="216"/>
    </w:p>
    <w:p w14:paraId="263C4D4D">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217" w:name="_Toc4472"/>
      <w:bookmarkStart w:id="218" w:name="_Toc2836"/>
      <w:bookmarkStart w:id="219" w:name="_Toc16640"/>
      <w:bookmarkStart w:id="220" w:name="_Toc21283"/>
      <w:bookmarkStart w:id="221" w:name="_Toc8526"/>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文件封面</w:t>
      </w:r>
      <w:bookmarkEnd w:id="217"/>
      <w:bookmarkEnd w:id="218"/>
    </w:p>
    <w:p w14:paraId="7B51288D">
      <w:pPr>
        <w:autoSpaceDE w:val="0"/>
        <w:autoSpaceDN w:val="0"/>
        <w:adjustRightInd w:val="0"/>
        <w:jc w:val="right"/>
        <w:rPr>
          <w:rFonts w:hint="eastAsia" w:ascii="宋体" w:hAnsi="宋体" w:eastAsia="宋体" w:cs="宋体"/>
          <w:b/>
          <w:color w:val="auto"/>
          <w:spacing w:val="-6"/>
          <w:kern w:val="0"/>
          <w:sz w:val="32"/>
          <w:szCs w:val="32"/>
          <w:highlight w:val="none"/>
          <w:bdr w:val="single" w:color="auto" w:sz="4" w:space="0"/>
        </w:rPr>
      </w:pPr>
      <w:r>
        <w:rPr>
          <w:rFonts w:hint="eastAsia" w:ascii="宋体" w:hAnsi="宋体" w:eastAsia="宋体" w:cs="宋体"/>
          <w:b/>
          <w:color w:val="auto"/>
          <w:spacing w:val="-6"/>
          <w:kern w:val="0"/>
          <w:sz w:val="32"/>
          <w:szCs w:val="32"/>
          <w:highlight w:val="none"/>
          <w:bdr w:val="single" w:color="auto" w:sz="4" w:space="0"/>
        </w:rPr>
        <w:t>正本</w:t>
      </w:r>
    </w:p>
    <w:p w14:paraId="789243EB">
      <w:pPr>
        <w:autoSpaceDE w:val="0"/>
        <w:autoSpaceDN w:val="0"/>
        <w:adjustRightInd w:val="0"/>
        <w:jc w:val="right"/>
        <w:rPr>
          <w:rFonts w:hint="eastAsia" w:ascii="宋体" w:hAnsi="宋体" w:eastAsia="宋体" w:cs="宋体"/>
          <w:b/>
          <w:color w:val="auto"/>
          <w:spacing w:val="-6"/>
          <w:kern w:val="0"/>
          <w:sz w:val="32"/>
          <w:szCs w:val="32"/>
          <w:highlight w:val="none"/>
          <w:bdr w:val="single" w:color="auto" w:sz="4" w:space="0"/>
        </w:rPr>
      </w:pPr>
    </w:p>
    <w:p w14:paraId="5B5985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pacing w:val="-6"/>
          <w:kern w:val="0"/>
          <w:sz w:val="48"/>
          <w:szCs w:val="48"/>
          <w:highlight w:val="none"/>
          <w:lang w:val="en-US" w:eastAsia="zh-CN"/>
        </w:rPr>
      </w:pPr>
      <w:r>
        <w:rPr>
          <w:rFonts w:hint="eastAsia" w:ascii="宋体" w:hAnsi="宋体" w:cs="宋体"/>
          <w:b/>
          <w:color w:val="auto"/>
          <w:spacing w:val="-6"/>
          <w:kern w:val="0"/>
          <w:sz w:val="48"/>
          <w:szCs w:val="48"/>
          <w:highlight w:val="none"/>
          <w:lang w:val="en-US" w:eastAsia="zh-CN"/>
        </w:rPr>
        <w:t>新疆维吾尔自治区广播电视局八四一台10KW发射机同轴开关更新项目</w:t>
      </w:r>
    </w:p>
    <w:p w14:paraId="4912A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32"/>
          <w:szCs w:val="32"/>
          <w:highlight w:val="none"/>
          <w:u w:val="single"/>
          <w:lang w:val="en-US" w:eastAsia="zh-CN"/>
        </w:rPr>
      </w:pPr>
      <w:r>
        <w:rPr>
          <w:rFonts w:hint="eastAsia" w:ascii="宋体" w:hAnsi="宋体" w:eastAsia="宋体" w:cs="宋体"/>
          <w:b/>
          <w:color w:val="auto"/>
          <w:spacing w:val="-6"/>
          <w:kern w:val="0"/>
          <w:sz w:val="44"/>
          <w:szCs w:val="44"/>
          <w:highlight w:val="none"/>
          <w:lang w:val="en-US" w:eastAsia="zh-CN"/>
        </w:rPr>
        <w:t>（标项X）【如不分标项，请删去本行】</w:t>
      </w:r>
    </w:p>
    <w:p w14:paraId="2F25D721">
      <w:pPr>
        <w:keepNext w:val="0"/>
        <w:keepLines w:val="0"/>
        <w:pageBreakBefore w:val="0"/>
        <w:widowControl w:val="0"/>
        <w:kinsoku/>
        <w:wordWrap/>
        <w:overflowPunct/>
        <w:topLinePunct w:val="0"/>
        <w:autoSpaceDE/>
        <w:autoSpaceDN/>
        <w:bidi w:val="0"/>
        <w:adjustRightInd/>
        <w:snapToGrid/>
        <w:spacing w:line="240" w:lineRule="auto"/>
        <w:ind w:left="2520" w:leftChars="1200"/>
        <w:textAlignment w:val="auto"/>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项目编号：</w:t>
      </w:r>
      <w:r>
        <w:rPr>
          <w:rFonts w:hint="eastAsia" w:ascii="宋体" w:hAnsi="宋体" w:cs="宋体"/>
          <w:color w:val="auto"/>
          <w:sz w:val="32"/>
          <w:szCs w:val="32"/>
          <w:highlight w:val="none"/>
          <w:u w:val="none"/>
          <w:lang w:val="en-US" w:eastAsia="zh-CN"/>
        </w:rPr>
        <w:t>XJZN-2026-04240</w:t>
      </w:r>
      <w:r>
        <w:rPr>
          <w:rFonts w:hint="eastAsia" w:ascii="宋体" w:hAnsi="宋体" w:eastAsia="宋体" w:cs="宋体"/>
          <w:color w:val="auto"/>
          <w:sz w:val="32"/>
          <w:szCs w:val="32"/>
          <w:highlight w:val="none"/>
          <w:u w:val="none"/>
          <w:lang w:val="en-US" w:eastAsia="zh-CN"/>
        </w:rPr>
        <w:t>）</w:t>
      </w:r>
    </w:p>
    <w:p w14:paraId="6C2D0FD7">
      <w:pPr>
        <w:spacing w:line="360" w:lineRule="auto"/>
        <w:jc w:val="center"/>
        <w:rPr>
          <w:rFonts w:hint="eastAsia" w:ascii="宋体" w:hAnsi="宋体" w:eastAsia="宋体" w:cs="宋体"/>
          <w:b/>
          <w:color w:val="auto"/>
          <w:sz w:val="32"/>
          <w:szCs w:val="32"/>
          <w:highlight w:val="none"/>
        </w:rPr>
      </w:pPr>
    </w:p>
    <w:p w14:paraId="53802BBB">
      <w:pP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投标文件</w:t>
      </w:r>
    </w:p>
    <w:p w14:paraId="14478D5B">
      <w:pPr>
        <w:spacing w:line="360" w:lineRule="auto"/>
        <w:jc w:val="center"/>
        <w:rPr>
          <w:rFonts w:hint="eastAsia" w:ascii="宋体" w:hAnsi="宋体" w:eastAsia="宋体" w:cs="宋体"/>
          <w:b/>
          <w:color w:val="auto"/>
          <w:sz w:val="24"/>
          <w:szCs w:val="48"/>
          <w:highlight w:val="none"/>
        </w:rPr>
      </w:pPr>
    </w:p>
    <w:p w14:paraId="124B1FAB">
      <w:pPr>
        <w:spacing w:line="360" w:lineRule="auto"/>
        <w:jc w:val="center"/>
        <w:rPr>
          <w:rFonts w:hint="eastAsia" w:ascii="宋体" w:hAnsi="宋体" w:eastAsia="宋体" w:cs="宋体"/>
          <w:b/>
          <w:color w:val="auto"/>
          <w:sz w:val="24"/>
          <w:szCs w:val="48"/>
          <w:highlight w:val="none"/>
        </w:rPr>
      </w:pPr>
    </w:p>
    <w:p w14:paraId="1C9D501C">
      <w:pPr>
        <w:spacing w:line="360" w:lineRule="auto"/>
        <w:jc w:val="center"/>
        <w:rPr>
          <w:rFonts w:hint="eastAsia" w:ascii="宋体" w:hAnsi="宋体" w:eastAsia="宋体" w:cs="宋体"/>
          <w:b/>
          <w:color w:val="auto"/>
          <w:sz w:val="24"/>
          <w:szCs w:val="48"/>
          <w:highlight w:val="none"/>
        </w:rPr>
      </w:pPr>
    </w:p>
    <w:p w14:paraId="4E721E70">
      <w:pPr>
        <w:spacing w:line="360" w:lineRule="auto"/>
        <w:jc w:val="center"/>
        <w:rPr>
          <w:rFonts w:hint="eastAsia" w:ascii="宋体" w:hAnsi="宋体" w:eastAsia="宋体" w:cs="宋体"/>
          <w:b/>
          <w:color w:val="auto"/>
          <w:sz w:val="24"/>
          <w:szCs w:val="48"/>
          <w:highlight w:val="none"/>
        </w:rPr>
      </w:pPr>
    </w:p>
    <w:p w14:paraId="3E539B41">
      <w:pPr>
        <w:spacing w:line="360" w:lineRule="auto"/>
        <w:jc w:val="center"/>
        <w:rPr>
          <w:rFonts w:hint="eastAsia" w:ascii="宋体" w:hAnsi="宋体" w:eastAsia="宋体" w:cs="宋体"/>
          <w:b/>
          <w:color w:val="auto"/>
          <w:sz w:val="24"/>
          <w:szCs w:val="48"/>
          <w:highlight w:val="none"/>
        </w:rPr>
      </w:pPr>
    </w:p>
    <w:p w14:paraId="47AF793B">
      <w:pPr>
        <w:spacing w:line="360" w:lineRule="auto"/>
        <w:jc w:val="center"/>
        <w:rPr>
          <w:rFonts w:hint="eastAsia" w:ascii="宋体" w:hAnsi="宋体" w:eastAsia="宋体" w:cs="宋体"/>
          <w:b/>
          <w:color w:val="auto"/>
          <w:sz w:val="24"/>
          <w:szCs w:val="48"/>
          <w:highlight w:val="none"/>
        </w:rPr>
      </w:pPr>
    </w:p>
    <w:p w14:paraId="4BD9B5EB">
      <w:pPr>
        <w:spacing w:line="360" w:lineRule="auto"/>
        <w:jc w:val="center"/>
        <w:rPr>
          <w:rFonts w:hint="eastAsia" w:ascii="宋体" w:hAnsi="宋体" w:eastAsia="宋体" w:cs="宋体"/>
          <w:b/>
          <w:color w:val="auto"/>
          <w:sz w:val="24"/>
          <w:szCs w:val="48"/>
          <w:highlight w:val="none"/>
        </w:rPr>
      </w:pPr>
    </w:p>
    <w:p w14:paraId="3FDF6996">
      <w:pPr>
        <w:spacing w:line="360" w:lineRule="auto"/>
        <w:ind w:left="1898" w:leftChars="904" w:firstLine="0" w:firstLineChars="0"/>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rPr>
        <w:t>投标单位：</w:t>
      </w:r>
      <w:r>
        <w:rPr>
          <w:rFonts w:hint="eastAsia" w:ascii="宋体" w:hAnsi="宋体" w:eastAsia="宋体" w:cs="宋体"/>
          <w:color w:val="auto"/>
          <w:sz w:val="30"/>
          <w:highlight w:val="none"/>
          <w:u w:val="single"/>
        </w:rPr>
        <w:t xml:space="preserve">   （全称）（</w:t>
      </w:r>
      <w:r>
        <w:rPr>
          <w:rFonts w:hint="eastAsia" w:ascii="宋体" w:hAnsi="宋体" w:eastAsia="宋体" w:cs="宋体"/>
          <w:color w:val="auto"/>
          <w:sz w:val="30"/>
          <w:highlight w:val="none"/>
          <w:u w:val="single"/>
          <w:lang w:eastAsia="zh-CN"/>
        </w:rPr>
        <w:t>公章</w:t>
      </w:r>
      <w:r>
        <w:rPr>
          <w:rFonts w:hint="eastAsia" w:ascii="宋体" w:hAnsi="宋体" w:eastAsia="宋体" w:cs="宋体"/>
          <w:color w:val="auto"/>
          <w:sz w:val="30"/>
          <w:highlight w:val="none"/>
          <w:u w:val="single"/>
        </w:rPr>
        <w:t>）</w:t>
      </w:r>
      <w:r>
        <w:rPr>
          <w:rFonts w:hint="eastAsia" w:ascii="宋体" w:hAnsi="宋体" w:eastAsia="宋体" w:cs="宋体"/>
          <w:color w:val="auto"/>
          <w:sz w:val="30"/>
          <w:highlight w:val="none"/>
          <w:u w:val="single"/>
          <w:lang w:val="en-US" w:eastAsia="zh-CN"/>
        </w:rPr>
        <w:t xml:space="preserve">          </w:t>
      </w:r>
    </w:p>
    <w:p w14:paraId="1129C909">
      <w:pPr>
        <w:spacing w:line="360" w:lineRule="auto"/>
        <w:ind w:left="1898" w:leftChars="904" w:firstLine="0" w:firstLineChars="0"/>
        <w:rPr>
          <w:rFonts w:hint="eastAsia" w:ascii="宋体" w:hAnsi="宋体" w:eastAsia="宋体" w:cs="宋体"/>
          <w:color w:val="auto"/>
          <w:sz w:val="30"/>
          <w:highlight w:val="none"/>
        </w:rPr>
      </w:pPr>
      <w:r>
        <w:rPr>
          <w:rFonts w:hint="eastAsia" w:ascii="宋体" w:hAnsi="宋体" w:eastAsia="宋体" w:cs="宋体"/>
          <w:color w:val="auto"/>
          <w:sz w:val="30"/>
          <w:highlight w:val="none"/>
        </w:rPr>
        <w:t>法人代表或授权代表</w:t>
      </w:r>
    </w:p>
    <w:p w14:paraId="1A12E07D">
      <w:pPr>
        <w:spacing w:line="360" w:lineRule="auto"/>
        <w:ind w:left="1898" w:leftChars="904" w:firstLine="0" w:firstLineChars="0"/>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val="en-US" w:eastAsia="zh-CN"/>
        </w:rPr>
        <w:t>（</w:t>
      </w:r>
      <w:r>
        <w:rPr>
          <w:rFonts w:hint="eastAsia" w:ascii="宋体" w:hAnsi="宋体" w:cs="宋体"/>
          <w:color w:val="auto"/>
          <w:sz w:val="30"/>
          <w:highlight w:val="none"/>
          <w:lang w:eastAsia="zh-CN"/>
        </w:rPr>
        <w:t>签字或盖章</w:t>
      </w:r>
      <w:r>
        <w:rPr>
          <w:rFonts w:hint="eastAsia" w:ascii="宋体" w:hAnsi="宋体" w:eastAsia="宋体" w:cs="宋体"/>
          <w:color w:val="auto"/>
          <w:sz w:val="30"/>
          <w:highlight w:val="none"/>
          <w:lang w:val="en-US" w:eastAsia="zh-CN"/>
        </w:rPr>
        <w:t>）</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r>
        <w:rPr>
          <w:rFonts w:hint="eastAsia" w:ascii="宋体" w:hAnsi="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lang w:val="en-US" w:eastAsia="zh-CN"/>
        </w:rPr>
        <w:t xml:space="preserve"> </w:t>
      </w:r>
    </w:p>
    <w:p w14:paraId="6CBB24FC">
      <w:pPr>
        <w:spacing w:line="360" w:lineRule="auto"/>
        <w:ind w:left="1898" w:leftChars="904" w:firstLine="0" w:firstLineChars="0"/>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联系</w:t>
      </w:r>
      <w:r>
        <w:rPr>
          <w:rFonts w:hint="eastAsia" w:ascii="宋体" w:hAnsi="宋体" w:eastAsia="宋体" w:cs="宋体"/>
          <w:color w:val="auto"/>
          <w:sz w:val="30"/>
          <w:highlight w:val="none"/>
          <w:lang w:eastAsia="zh-CN"/>
        </w:rPr>
        <w:t>方式</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i/>
          <w:iCs/>
          <w:color w:val="auto"/>
          <w:sz w:val="30"/>
          <w:highlight w:val="none"/>
          <w:u w:val="single"/>
          <w:lang w:val="en-US" w:eastAsia="zh-CN"/>
        </w:rPr>
        <w:t>联系人及电话）</w:t>
      </w:r>
      <w:r>
        <w:rPr>
          <w:rFonts w:hint="eastAsia" w:ascii="宋体" w:hAnsi="宋体" w:eastAsia="宋体" w:cs="宋体"/>
          <w:color w:val="auto"/>
          <w:sz w:val="30"/>
          <w:highlight w:val="none"/>
          <w:u w:val="single"/>
          <w:lang w:val="en-US" w:eastAsia="zh-CN"/>
        </w:rPr>
        <w:t xml:space="preserve">          </w:t>
      </w:r>
    </w:p>
    <w:p w14:paraId="1ED834B0">
      <w:pPr>
        <w:spacing w:line="360" w:lineRule="auto"/>
        <w:ind w:left="1898" w:leftChars="904" w:firstLine="0" w:firstLineChars="0"/>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rPr>
        <w:t>单位地址：</w:t>
      </w:r>
      <w:r>
        <w:rPr>
          <w:rFonts w:hint="eastAsia" w:ascii="宋体" w:hAnsi="宋体" w:eastAsia="宋体" w:cs="宋体"/>
          <w:color w:val="auto"/>
          <w:sz w:val="30"/>
          <w:highlight w:val="none"/>
          <w:u w:val="single"/>
          <w:lang w:val="en-US" w:eastAsia="zh-CN"/>
        </w:rPr>
        <w:t xml:space="preserve">                             </w:t>
      </w:r>
    </w:p>
    <w:p w14:paraId="49BDC28E">
      <w:pPr>
        <w:spacing w:line="360" w:lineRule="auto"/>
        <w:ind w:left="1898" w:leftChars="904" w:firstLine="0" w:firstLineChars="0"/>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eastAsia="zh-CN"/>
        </w:rPr>
        <w:t>日</w:t>
      </w:r>
      <w:r>
        <w:rPr>
          <w:rFonts w:hint="eastAsia" w:ascii="宋体" w:hAnsi="宋体" w:eastAsia="宋体" w:cs="宋体"/>
          <w:color w:val="auto"/>
          <w:sz w:val="30"/>
          <w:highlight w:val="none"/>
          <w:lang w:val="en-US" w:eastAsia="zh-CN"/>
        </w:rPr>
        <w:t xml:space="preserve">    </w:t>
      </w:r>
      <w:r>
        <w:rPr>
          <w:rFonts w:hint="eastAsia" w:ascii="宋体" w:hAnsi="宋体" w:eastAsia="宋体" w:cs="宋体"/>
          <w:color w:val="auto"/>
          <w:sz w:val="30"/>
          <w:highlight w:val="none"/>
          <w:lang w:eastAsia="zh-CN"/>
        </w:rPr>
        <w:t>期</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p>
    <w:p w14:paraId="655351CD">
      <w:pPr>
        <w:pStyle w:val="133"/>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rPr>
        <w:sectPr>
          <w:pgSz w:w="11900" w:h="16838"/>
          <w:pgMar w:top="1134" w:right="1134" w:bottom="1134" w:left="1134" w:header="624" w:footer="624" w:gutter="0"/>
          <w:pgNumType w:fmt="numberInDash"/>
          <w:cols w:space="0" w:num="1"/>
          <w:rtlGutter w:val="0"/>
          <w:docGrid w:linePitch="317" w:charSpace="0"/>
        </w:sectPr>
      </w:pPr>
    </w:p>
    <w:p w14:paraId="2A30BA41">
      <w:pPr>
        <w:pStyle w:val="133"/>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rPr>
      </w:pPr>
    </w:p>
    <w:p w14:paraId="49F5E51B">
      <w:pPr>
        <w:bidi w:val="0"/>
        <w:jc w:val="center"/>
        <w:rPr>
          <w:rFonts w:hint="eastAsia" w:ascii="宋体" w:hAnsi="宋体" w:eastAsia="宋体" w:cs="宋体"/>
          <w:b/>
          <w:bCs/>
          <w:color w:val="auto"/>
          <w:sz w:val="24"/>
          <w:szCs w:val="24"/>
          <w:highlight w:val="none"/>
        </w:rPr>
      </w:pPr>
      <w:bookmarkStart w:id="222" w:name="_Toc1721037"/>
      <w:bookmarkStart w:id="223" w:name="_Toc31656"/>
      <w:bookmarkStart w:id="224" w:name="_Toc13820"/>
      <w:bookmarkStart w:id="225" w:name="_Toc3891637"/>
      <w:bookmarkStart w:id="226" w:name="_Toc1719141"/>
      <w:bookmarkStart w:id="227" w:name="_Toc3891638"/>
      <w:bookmarkStart w:id="228" w:name="_Toc1721038"/>
      <w:bookmarkStart w:id="229" w:name="_Toc30637"/>
      <w:bookmarkStart w:id="230" w:name="_Toc1719142"/>
      <w:r>
        <w:rPr>
          <w:rFonts w:hint="eastAsia" w:ascii="宋体" w:hAnsi="宋体" w:eastAsia="宋体" w:cs="宋体"/>
          <w:b/>
          <w:bCs/>
          <w:color w:val="auto"/>
          <w:sz w:val="24"/>
          <w:szCs w:val="24"/>
          <w:highlight w:val="none"/>
        </w:rPr>
        <w:t>目录</w:t>
      </w:r>
      <w:bookmarkEnd w:id="222"/>
      <w:bookmarkEnd w:id="223"/>
      <w:bookmarkEnd w:id="224"/>
      <w:bookmarkEnd w:id="225"/>
      <w:bookmarkEnd w:id="226"/>
    </w:p>
    <w:p w14:paraId="4E540CE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（自行编制，</w:t>
      </w:r>
      <w:r>
        <w:rPr>
          <w:rFonts w:hint="eastAsia" w:ascii="宋体" w:hAnsi="宋体" w:eastAsia="宋体" w:cs="宋体"/>
          <w:bCs/>
          <w:color w:val="auto"/>
          <w:sz w:val="24"/>
          <w:szCs w:val="24"/>
          <w:highlight w:val="none"/>
        </w:rPr>
        <w:t>为便于查找，请标明页码</w:t>
      </w:r>
      <w:r>
        <w:rPr>
          <w:rFonts w:hint="eastAsia" w:ascii="宋体" w:hAnsi="宋体" w:eastAsia="宋体" w:cs="宋体"/>
          <w:color w:val="auto"/>
          <w:sz w:val="24"/>
          <w:szCs w:val="24"/>
          <w:highlight w:val="none"/>
        </w:rPr>
        <w:t>）</w:t>
      </w:r>
    </w:p>
    <w:p w14:paraId="73575ED4">
      <w:pPr>
        <w:spacing w:line="440" w:lineRule="exact"/>
        <w:ind w:firstLine="149" w:firstLineChars="62"/>
        <w:jc w:val="center"/>
        <w:rPr>
          <w:rFonts w:hint="eastAsia" w:ascii="宋体" w:hAnsi="宋体" w:eastAsia="宋体" w:cs="宋体"/>
          <w:b/>
          <w:bCs/>
          <w:color w:val="auto"/>
          <w:sz w:val="24"/>
          <w:szCs w:val="24"/>
          <w:highlight w:val="none"/>
        </w:rPr>
      </w:pPr>
    </w:p>
    <w:p w14:paraId="13D8D360">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8140811">
      <w:pPr>
        <w:pStyle w:val="17"/>
        <w:rPr>
          <w:rFonts w:hint="eastAsia"/>
          <w:color w:val="auto"/>
          <w:highlight w:val="none"/>
        </w:rPr>
      </w:pPr>
    </w:p>
    <w:bookmarkEnd w:id="227"/>
    <w:bookmarkEnd w:id="228"/>
    <w:bookmarkEnd w:id="229"/>
    <w:bookmarkEnd w:id="230"/>
    <w:p w14:paraId="4EFB29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6915"/>
        <w:gridCol w:w="1678"/>
      </w:tblGrid>
      <w:tr w14:paraId="4996E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826" w:type="dxa"/>
            <w:noWrap w:val="0"/>
            <w:vAlign w:val="center"/>
          </w:tcPr>
          <w:p w14:paraId="0196B2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5" w:type="dxa"/>
            <w:noWrap w:val="0"/>
            <w:vAlign w:val="center"/>
          </w:tcPr>
          <w:p w14:paraId="505E651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678" w:type="dxa"/>
            <w:noWrap w:val="0"/>
            <w:vAlign w:val="center"/>
          </w:tcPr>
          <w:p w14:paraId="11B375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76804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826" w:type="dxa"/>
            <w:noWrap w:val="0"/>
            <w:vAlign w:val="center"/>
          </w:tcPr>
          <w:p w14:paraId="094B42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15" w:type="dxa"/>
            <w:noWrap w:val="0"/>
            <w:vAlign w:val="center"/>
          </w:tcPr>
          <w:p w14:paraId="639EBF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4"/>
                <w:highlight w:val="none"/>
                <w:lang w:eastAsia="zh-CN"/>
              </w:rPr>
              <w:t>按采购文件要求提供</w:t>
            </w:r>
            <w:r>
              <w:rPr>
                <w:rFonts w:hint="eastAsia" w:ascii="宋体" w:hAnsi="宋体" w:eastAsia="宋体" w:cs="宋体"/>
                <w:b w:val="0"/>
                <w:bCs/>
                <w:color w:val="auto"/>
                <w:kern w:val="0"/>
                <w:sz w:val="24"/>
                <w:szCs w:val="24"/>
                <w:highlight w:val="none"/>
                <w:vertAlign w:val="baseline"/>
                <w:lang w:eastAsia="zh-CN"/>
              </w:rPr>
              <w:t>“政府采购供应商信用承诺函”</w:t>
            </w:r>
          </w:p>
        </w:tc>
        <w:tc>
          <w:tcPr>
            <w:tcW w:w="1678" w:type="dxa"/>
            <w:noWrap w:val="0"/>
            <w:vAlign w:val="center"/>
          </w:tcPr>
          <w:p w14:paraId="6106D2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01E86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26" w:type="dxa"/>
            <w:noWrap w:val="0"/>
            <w:vAlign w:val="center"/>
          </w:tcPr>
          <w:p w14:paraId="73B43C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6915" w:type="dxa"/>
            <w:noWrap w:val="0"/>
            <w:vAlign w:val="center"/>
          </w:tcPr>
          <w:p w14:paraId="1FD0DE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1"/>
                <w:szCs w:val="21"/>
                <w:highlight w:val="none"/>
              </w:rPr>
            </w:pPr>
            <w:r>
              <w:rPr>
                <w:rFonts w:hint="eastAsia" w:ascii="宋体" w:hAnsi="宋体" w:cs="宋体"/>
                <w:color w:val="auto"/>
                <w:kern w:val="0"/>
                <w:sz w:val="24"/>
                <w:highlight w:val="none"/>
                <w:lang w:val="en-US" w:eastAsia="zh-CN"/>
              </w:rPr>
              <w:t>提供符合采购文件要求的“法定代表人（单位负责人）身份证明或授权委托书”</w:t>
            </w:r>
          </w:p>
        </w:tc>
        <w:tc>
          <w:tcPr>
            <w:tcW w:w="1678" w:type="dxa"/>
            <w:noWrap w:val="0"/>
            <w:vAlign w:val="center"/>
          </w:tcPr>
          <w:p w14:paraId="29163A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072F7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826" w:type="dxa"/>
            <w:tcBorders>
              <w:top w:val="single" w:color="auto" w:sz="4" w:space="0"/>
              <w:bottom w:val="single" w:color="auto" w:sz="4" w:space="0"/>
            </w:tcBorders>
            <w:noWrap w:val="0"/>
            <w:vAlign w:val="center"/>
          </w:tcPr>
          <w:p w14:paraId="77DC21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915" w:type="dxa"/>
            <w:noWrap w:val="0"/>
            <w:vAlign w:val="center"/>
          </w:tcPr>
          <w:p w14:paraId="56191C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cs="宋体"/>
                <w:b w:val="0"/>
                <w:bCs/>
                <w:color w:val="auto"/>
                <w:kern w:val="0"/>
                <w:sz w:val="24"/>
                <w:szCs w:val="24"/>
                <w:highlight w:val="none"/>
                <w:vertAlign w:val="baseline"/>
                <w:lang w:eastAsia="zh-CN"/>
              </w:rPr>
              <w:t>提供有效“营业执照”或“事业单位法人证书”或“执业许可证”或“登记证书”或“自然人身份证”扫描件加盖投标人公章</w:t>
            </w:r>
          </w:p>
        </w:tc>
        <w:tc>
          <w:tcPr>
            <w:tcW w:w="1678" w:type="dxa"/>
            <w:noWrap w:val="0"/>
            <w:vAlign w:val="center"/>
          </w:tcPr>
          <w:p w14:paraId="765CA5F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94E2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826" w:type="dxa"/>
            <w:tcBorders>
              <w:top w:val="single" w:color="auto" w:sz="4" w:space="0"/>
              <w:bottom w:val="single" w:color="auto" w:sz="4" w:space="0"/>
            </w:tcBorders>
            <w:noWrap w:val="0"/>
            <w:vAlign w:val="center"/>
          </w:tcPr>
          <w:p w14:paraId="414260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6915" w:type="dxa"/>
            <w:noWrap w:val="0"/>
            <w:vAlign w:val="center"/>
          </w:tcPr>
          <w:p w14:paraId="4222EE6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sz w:val="24"/>
                <w:szCs w:val="24"/>
                <w:highlight w:val="none"/>
                <w:lang w:val="zh-CN" w:eastAsia="zh-CN"/>
              </w:rPr>
              <w:t>提供上年度财务审计报告或近一年内出具的银行资信证明加盖投标人公章；新成立不满1年的投标人，提供投标截止时间前1个月的财务报表（包括：资产负债表、利润表、现金流量表）加盖投标人公章</w:t>
            </w:r>
          </w:p>
        </w:tc>
        <w:tc>
          <w:tcPr>
            <w:tcW w:w="1678" w:type="dxa"/>
            <w:noWrap w:val="0"/>
            <w:vAlign w:val="center"/>
          </w:tcPr>
          <w:p w14:paraId="0B7620B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FA46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826" w:type="dxa"/>
            <w:tcBorders>
              <w:top w:val="single" w:color="auto" w:sz="4" w:space="0"/>
              <w:bottom w:val="single" w:color="auto" w:sz="4" w:space="0"/>
            </w:tcBorders>
            <w:noWrap w:val="0"/>
            <w:vAlign w:val="center"/>
          </w:tcPr>
          <w:p w14:paraId="6114BE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915" w:type="dxa"/>
            <w:noWrap w:val="0"/>
            <w:vAlign w:val="center"/>
          </w:tcPr>
          <w:p w14:paraId="76E2E3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4"/>
                <w:highlight w:val="none"/>
                <w:lang w:eastAsia="zh-CN"/>
              </w:rPr>
              <w:t>提供符合采购文件要求的“具有履行合同所必需的设备和专业技术能力的声明函”</w:t>
            </w:r>
          </w:p>
        </w:tc>
        <w:tc>
          <w:tcPr>
            <w:tcW w:w="1678" w:type="dxa"/>
            <w:noWrap w:val="0"/>
            <w:vAlign w:val="center"/>
          </w:tcPr>
          <w:p w14:paraId="4998C9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99C1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826" w:type="dxa"/>
            <w:tcBorders>
              <w:top w:val="single" w:color="auto" w:sz="4" w:space="0"/>
              <w:bottom w:val="single" w:color="auto" w:sz="4" w:space="0"/>
            </w:tcBorders>
            <w:noWrap w:val="0"/>
            <w:vAlign w:val="center"/>
          </w:tcPr>
          <w:p w14:paraId="4FACC1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915" w:type="dxa"/>
            <w:noWrap w:val="0"/>
            <w:vAlign w:val="center"/>
          </w:tcPr>
          <w:p w14:paraId="20E491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4"/>
                <w:szCs w:val="24"/>
                <w:highlight w:val="none"/>
                <w:lang w:val="en-US" w:eastAsia="zh-CN"/>
              </w:rPr>
              <w:t>提供近6个月内至少1个月的依法缴纳税收的完税证明和社保缴纳证明</w:t>
            </w:r>
            <w:r>
              <w:rPr>
                <w:rFonts w:hint="eastAsia" w:ascii="宋体" w:hAnsi="宋体" w:cs="宋体"/>
                <w:color w:val="auto"/>
                <w:sz w:val="24"/>
                <w:szCs w:val="24"/>
                <w:highlight w:val="none"/>
                <w:lang w:val="en-US" w:eastAsia="zh-CN"/>
              </w:rPr>
              <w:t>加盖投标人公章</w:t>
            </w:r>
            <w:r>
              <w:rPr>
                <w:rFonts w:hint="eastAsia" w:ascii="宋体" w:hAnsi="宋体" w:eastAsia="宋体" w:cs="宋体"/>
                <w:color w:val="auto"/>
                <w:sz w:val="24"/>
                <w:szCs w:val="24"/>
                <w:highlight w:val="none"/>
                <w:lang w:val="en-US" w:eastAsia="zh-CN"/>
              </w:rPr>
              <w:t>；供应商依法享受缓缴、免缴税收，免缴社会保障资金的提供证明材料</w:t>
            </w:r>
            <w:r>
              <w:rPr>
                <w:rFonts w:hint="eastAsia" w:ascii="宋体" w:hAnsi="宋体" w:cs="宋体"/>
                <w:color w:val="auto"/>
                <w:sz w:val="24"/>
                <w:szCs w:val="24"/>
                <w:highlight w:val="none"/>
                <w:lang w:val="en-US" w:eastAsia="zh-CN"/>
              </w:rPr>
              <w:t>加盖投标人公章</w:t>
            </w:r>
          </w:p>
        </w:tc>
        <w:tc>
          <w:tcPr>
            <w:tcW w:w="1678" w:type="dxa"/>
            <w:noWrap w:val="0"/>
            <w:vAlign w:val="center"/>
          </w:tcPr>
          <w:p w14:paraId="40D28C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35CFD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jc w:val="center"/>
        </w:trPr>
        <w:tc>
          <w:tcPr>
            <w:tcW w:w="826" w:type="dxa"/>
            <w:tcBorders>
              <w:top w:val="single" w:color="auto" w:sz="4" w:space="0"/>
              <w:bottom w:val="single" w:color="auto" w:sz="4" w:space="0"/>
            </w:tcBorders>
            <w:noWrap w:val="0"/>
            <w:vAlign w:val="center"/>
          </w:tcPr>
          <w:p w14:paraId="72D1E6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6915" w:type="dxa"/>
            <w:noWrap w:val="0"/>
            <w:vAlign w:val="center"/>
          </w:tcPr>
          <w:p w14:paraId="7C341FD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highlight w:val="none"/>
                <w:lang w:eastAsia="zh-CN"/>
              </w:rPr>
              <w:t>按采购文件要求</w:t>
            </w:r>
            <w:r>
              <w:rPr>
                <w:rFonts w:hint="eastAsia" w:ascii="宋体" w:hAnsi="宋体" w:eastAsia="宋体" w:cs="宋体"/>
                <w:color w:val="auto"/>
                <w:sz w:val="24"/>
                <w:szCs w:val="24"/>
                <w:highlight w:val="none"/>
                <w:lang w:val="en-US" w:eastAsia="zh-CN"/>
              </w:rPr>
              <w:t>提供“前三年内没有重大违法记录声明函”；</w:t>
            </w:r>
          </w:p>
          <w:p w14:paraId="20DC7D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投标（响应）文件开启日资格审查小组在“信用中国”、“中国政府采购网”查询：未被列入失信被执行人、重大税收违法案件当事人名单、政府采购严重违法失信行为记录名单的，</w:t>
            </w:r>
            <w:r>
              <w:rPr>
                <w:rFonts w:hint="eastAsia" w:ascii="宋体" w:hAnsi="宋体" w:eastAsia="宋体" w:cs="宋体"/>
                <w:color w:val="auto"/>
                <w:sz w:val="24"/>
                <w:szCs w:val="24"/>
                <w:highlight w:val="none"/>
              </w:rPr>
              <w:t>有失信记录的将被</w:t>
            </w:r>
            <w:r>
              <w:rPr>
                <w:rFonts w:hint="eastAsia" w:ascii="宋体" w:hAnsi="宋体" w:eastAsia="宋体" w:cs="宋体"/>
                <w:color w:val="auto"/>
                <w:sz w:val="24"/>
                <w:szCs w:val="24"/>
                <w:highlight w:val="none"/>
                <w:lang w:eastAsia="zh-CN"/>
              </w:rPr>
              <w:t>拒绝其参与政府采购活动</w:t>
            </w:r>
          </w:p>
        </w:tc>
        <w:tc>
          <w:tcPr>
            <w:tcW w:w="1678" w:type="dxa"/>
            <w:noWrap w:val="0"/>
            <w:vAlign w:val="center"/>
          </w:tcPr>
          <w:p w14:paraId="7B0E06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AC40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826" w:type="dxa"/>
            <w:tcBorders>
              <w:top w:val="single" w:color="auto" w:sz="4" w:space="0"/>
              <w:bottom w:val="single" w:color="auto" w:sz="4" w:space="0"/>
            </w:tcBorders>
            <w:noWrap w:val="0"/>
            <w:vAlign w:val="center"/>
          </w:tcPr>
          <w:p w14:paraId="3336F7F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6915" w:type="dxa"/>
            <w:noWrap w:val="0"/>
            <w:vAlign w:val="center"/>
          </w:tcPr>
          <w:p w14:paraId="616286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szCs w:val="24"/>
                <w:highlight w:val="none"/>
                <w:lang w:val="en-US" w:eastAsia="zh-CN"/>
              </w:rPr>
              <w:t>提供特定资格资质扫描件加盖公章</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如有</w:t>
            </w:r>
            <w:r>
              <w:rPr>
                <w:rFonts w:hint="eastAsia" w:ascii="宋体" w:hAnsi="宋体" w:eastAsia="宋体" w:cs="宋体"/>
                <w:color w:val="auto"/>
                <w:sz w:val="24"/>
                <w:szCs w:val="24"/>
                <w:highlight w:val="none"/>
                <w:lang w:eastAsia="zh-CN"/>
              </w:rPr>
              <w:t>）</w:t>
            </w:r>
          </w:p>
        </w:tc>
        <w:tc>
          <w:tcPr>
            <w:tcW w:w="1678" w:type="dxa"/>
            <w:noWrap w:val="0"/>
            <w:vAlign w:val="center"/>
          </w:tcPr>
          <w:p w14:paraId="2BF7C1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6F30E78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auto"/>
          <w:sz w:val="24"/>
          <w:szCs w:val="24"/>
          <w:highlight w:val="none"/>
        </w:rPr>
      </w:pPr>
    </w:p>
    <w:p w14:paraId="6EB852A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auto"/>
          <w:sz w:val="24"/>
          <w:szCs w:val="24"/>
          <w:highlight w:val="none"/>
        </w:rPr>
        <w:sectPr>
          <w:pgSz w:w="11900" w:h="16838"/>
          <w:pgMar w:top="1134" w:right="1134" w:bottom="1134" w:left="1134" w:header="624" w:footer="624" w:gutter="0"/>
          <w:pgNumType w:fmt="numberInDash"/>
          <w:cols w:space="0" w:num="1"/>
          <w:rtlGutter w:val="0"/>
          <w:docGrid w:linePitch="317" w:charSpace="0"/>
        </w:sectPr>
      </w:pPr>
    </w:p>
    <w:p w14:paraId="0EA9CD2F">
      <w:pPr>
        <w:pStyle w:val="169"/>
        <w:rPr>
          <w:rFonts w:hint="eastAsia"/>
          <w:color w:val="auto"/>
          <w:highlight w:val="none"/>
        </w:rPr>
      </w:pPr>
    </w:p>
    <w:p w14:paraId="46512FD4">
      <w:pPr>
        <w:keepNext w:val="0"/>
        <w:keepLines w:val="0"/>
        <w:pageBreakBefore w:val="0"/>
        <w:widowControl w:val="0"/>
        <w:kinsoku/>
        <w:wordWrap/>
        <w:overflowPunct/>
        <w:topLinePunct w:val="0"/>
        <w:autoSpaceDE/>
        <w:autoSpaceDN/>
        <w:bidi w:val="0"/>
        <w:adjustRightInd/>
        <w:snapToGrid/>
        <w:spacing w:line="360" w:lineRule="auto"/>
        <w:ind w:firstLine="149" w:firstLineChars="62"/>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符合性审查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
        <w:gridCol w:w="6918"/>
        <w:gridCol w:w="1579"/>
      </w:tblGrid>
      <w:tr w14:paraId="7255F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6DE855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8" w:type="dxa"/>
            <w:noWrap w:val="0"/>
            <w:vAlign w:val="center"/>
          </w:tcPr>
          <w:p w14:paraId="24CA85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579" w:type="dxa"/>
            <w:noWrap w:val="0"/>
            <w:vAlign w:val="center"/>
          </w:tcPr>
          <w:p w14:paraId="14DF84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3D277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0A9B85B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6918" w:type="dxa"/>
            <w:noWrap w:val="0"/>
            <w:vAlign w:val="center"/>
          </w:tcPr>
          <w:p w14:paraId="4C433D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4"/>
                <w:szCs w:val="24"/>
                <w:highlight w:val="none"/>
                <w:lang w:eastAsia="zh-CN"/>
              </w:rPr>
              <w:t>投标报价按照采购文件格式填写，是唯一且未超过采购预算（最高限价、预算单价），并按要求签署、盖章</w:t>
            </w:r>
          </w:p>
        </w:tc>
        <w:tc>
          <w:tcPr>
            <w:tcW w:w="1579" w:type="dxa"/>
            <w:noWrap w:val="0"/>
            <w:vAlign w:val="center"/>
          </w:tcPr>
          <w:p w14:paraId="434490D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35BCE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bottom w:val="single" w:color="auto" w:sz="4" w:space="0"/>
            </w:tcBorders>
            <w:noWrap w:val="0"/>
            <w:vAlign w:val="center"/>
          </w:tcPr>
          <w:p w14:paraId="3FC2E7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6918" w:type="dxa"/>
            <w:noWrap w:val="0"/>
            <w:vAlign w:val="center"/>
          </w:tcPr>
          <w:p w14:paraId="3CF6DA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名称是否与营业执照一致</w:t>
            </w:r>
          </w:p>
        </w:tc>
        <w:tc>
          <w:tcPr>
            <w:tcW w:w="1579" w:type="dxa"/>
            <w:noWrap w:val="0"/>
            <w:vAlign w:val="center"/>
          </w:tcPr>
          <w:p w14:paraId="22FF34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7085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5F457E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918" w:type="dxa"/>
            <w:noWrap w:val="0"/>
            <w:vAlign w:val="center"/>
          </w:tcPr>
          <w:p w14:paraId="3FB420A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4"/>
                <w:szCs w:val="24"/>
                <w:highlight w:val="none"/>
                <w:vertAlign w:val="baseline"/>
                <w:lang w:eastAsia="zh-CN"/>
              </w:rPr>
              <w:t>投标文件按照采购文件规定要求签署、盖章</w:t>
            </w:r>
          </w:p>
        </w:tc>
        <w:tc>
          <w:tcPr>
            <w:tcW w:w="1579" w:type="dxa"/>
            <w:noWrap w:val="0"/>
            <w:vAlign w:val="center"/>
          </w:tcPr>
          <w:p w14:paraId="2D05EE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E487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5CEC4A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6918" w:type="dxa"/>
            <w:noWrap w:val="0"/>
            <w:vAlign w:val="center"/>
          </w:tcPr>
          <w:p w14:paraId="4C8251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4"/>
                <w:szCs w:val="24"/>
                <w:highlight w:val="none"/>
                <w:lang w:eastAsia="zh-CN"/>
              </w:rPr>
              <w:t>按照采购文件要求交纳投标保证金或出具保函</w:t>
            </w:r>
          </w:p>
        </w:tc>
        <w:tc>
          <w:tcPr>
            <w:tcW w:w="1579" w:type="dxa"/>
            <w:noWrap w:val="0"/>
            <w:vAlign w:val="center"/>
          </w:tcPr>
          <w:p w14:paraId="046ADF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82E4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3400CE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918" w:type="dxa"/>
            <w:noWrap w:val="0"/>
            <w:vAlign w:val="center"/>
          </w:tcPr>
          <w:p w14:paraId="2BB321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4"/>
                <w:highlight w:val="none"/>
                <w:lang w:eastAsia="zh-CN"/>
              </w:rPr>
              <w:t>投标有效期、合同履约期限、</w:t>
            </w:r>
            <w:r>
              <w:rPr>
                <w:rFonts w:hint="eastAsia" w:ascii="宋体" w:hAnsi="宋体" w:eastAsia="宋体" w:cs="宋体"/>
                <w:color w:val="auto"/>
                <w:kern w:val="0"/>
                <w:sz w:val="24"/>
                <w:szCs w:val="24"/>
                <w:highlight w:val="none"/>
                <w:lang w:val="en-US" w:eastAsia="zh-CN"/>
              </w:rPr>
              <w:t>质保期</w:t>
            </w:r>
            <w:r>
              <w:rPr>
                <w:rFonts w:hint="eastAsia" w:ascii="宋体" w:hAnsi="宋体" w:eastAsia="宋体" w:cs="宋体"/>
                <w:color w:val="auto"/>
                <w:kern w:val="0"/>
                <w:sz w:val="24"/>
                <w:szCs w:val="24"/>
                <w:highlight w:val="none"/>
                <w:lang w:eastAsia="zh-CN"/>
              </w:rPr>
              <w:t>满足采购文件要求</w:t>
            </w:r>
          </w:p>
        </w:tc>
        <w:tc>
          <w:tcPr>
            <w:tcW w:w="1579" w:type="dxa"/>
            <w:noWrap w:val="0"/>
            <w:vAlign w:val="center"/>
          </w:tcPr>
          <w:p w14:paraId="741923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EA4F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4D09A5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6918" w:type="dxa"/>
            <w:noWrap w:val="0"/>
            <w:vAlign w:val="center"/>
          </w:tcPr>
          <w:p w14:paraId="7EB9C2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文件的有效性、完整性是否响应</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文件要求，是否响应</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文件的实质性要求</w:t>
            </w:r>
            <w:r>
              <w:rPr>
                <w:rFonts w:hint="eastAsia" w:ascii="宋体" w:hAnsi="宋体" w:eastAsia="宋体" w:cs="宋体"/>
                <w:color w:val="auto"/>
                <w:kern w:val="0"/>
                <w:sz w:val="24"/>
                <w:szCs w:val="24"/>
                <w:highlight w:val="none"/>
                <w:lang w:eastAsia="zh-CN"/>
              </w:rPr>
              <w:t>和条款</w:t>
            </w:r>
          </w:p>
        </w:tc>
        <w:tc>
          <w:tcPr>
            <w:tcW w:w="1579" w:type="dxa"/>
            <w:noWrap w:val="0"/>
            <w:vAlign w:val="center"/>
          </w:tcPr>
          <w:p w14:paraId="7334324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3372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17E10DE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6918" w:type="dxa"/>
            <w:noWrap w:val="0"/>
            <w:vAlign w:val="center"/>
          </w:tcPr>
          <w:p w14:paraId="3B36419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4"/>
                <w:highlight w:val="none"/>
                <w:lang w:eastAsia="zh-CN"/>
              </w:rPr>
              <w:t>投标文件没有</w:t>
            </w:r>
            <w:r>
              <w:rPr>
                <w:rFonts w:hint="eastAsia" w:ascii="宋体" w:hAnsi="宋体" w:eastAsia="宋体" w:cs="宋体"/>
                <w:color w:val="auto"/>
                <w:kern w:val="0"/>
                <w:sz w:val="24"/>
                <w:szCs w:val="24"/>
                <w:highlight w:val="none"/>
              </w:rPr>
              <w:t>附有采购人不能接受的条件</w:t>
            </w:r>
          </w:p>
        </w:tc>
        <w:tc>
          <w:tcPr>
            <w:tcW w:w="1579" w:type="dxa"/>
            <w:noWrap w:val="0"/>
            <w:vAlign w:val="center"/>
          </w:tcPr>
          <w:p w14:paraId="515699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6CEDCEFD">
      <w:pPr>
        <w:pStyle w:val="44"/>
        <w:rPr>
          <w:rFonts w:hint="eastAsia" w:ascii="宋体" w:hAnsi="宋体" w:eastAsia="宋体" w:cs="宋体"/>
          <w:color w:val="auto"/>
          <w:highlight w:val="none"/>
        </w:rPr>
      </w:pPr>
    </w:p>
    <w:p w14:paraId="75D70694">
      <w:pPr>
        <w:spacing w:line="440" w:lineRule="exact"/>
        <w:ind w:firstLine="148" w:firstLineChars="62"/>
        <w:jc w:val="center"/>
        <w:rPr>
          <w:rFonts w:hint="eastAsia" w:ascii="宋体" w:hAnsi="宋体" w:eastAsia="宋体" w:cs="宋体"/>
          <w:b w:val="0"/>
          <w:bCs w:val="0"/>
          <w:color w:val="auto"/>
          <w:sz w:val="24"/>
          <w:szCs w:val="24"/>
          <w:highlight w:val="none"/>
        </w:rPr>
        <w:sectPr>
          <w:pgSz w:w="11900" w:h="16838"/>
          <w:pgMar w:top="1134" w:right="1134" w:bottom="1134" w:left="1134" w:header="624" w:footer="624" w:gutter="0"/>
          <w:pgNumType w:fmt="numberInDash"/>
          <w:cols w:space="0" w:num="1"/>
          <w:rtlGutter w:val="0"/>
          <w:docGrid w:linePitch="317" w:charSpace="0"/>
        </w:sectPr>
      </w:pPr>
    </w:p>
    <w:p w14:paraId="34E7CF51">
      <w:pPr>
        <w:pStyle w:val="169"/>
        <w:rPr>
          <w:rFonts w:hint="eastAsia"/>
          <w:color w:val="auto"/>
          <w:highlight w:val="none"/>
        </w:rPr>
      </w:pPr>
    </w:p>
    <w:p w14:paraId="54577461">
      <w:pPr>
        <w:keepNext w:val="0"/>
        <w:keepLines w:val="0"/>
        <w:pageBreakBefore w:val="0"/>
        <w:widowControl w:val="0"/>
        <w:kinsoku/>
        <w:wordWrap/>
        <w:overflowPunct/>
        <w:topLinePunct w:val="0"/>
        <w:autoSpaceDE/>
        <w:autoSpaceDN/>
        <w:bidi w:val="0"/>
        <w:adjustRightInd/>
        <w:snapToGrid/>
        <w:spacing w:line="360" w:lineRule="auto"/>
        <w:ind w:firstLine="149" w:firstLineChars="62"/>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商务技术评审索引表</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1125"/>
        <w:gridCol w:w="6250"/>
        <w:gridCol w:w="1489"/>
      </w:tblGrid>
      <w:tr w14:paraId="0A2A5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694" w:type="dxa"/>
            <w:noWrap w:val="0"/>
            <w:vAlign w:val="center"/>
          </w:tcPr>
          <w:p w14:paraId="412D1626">
            <w:pPr>
              <w:spacing w:line="2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25" w:type="dxa"/>
            <w:tcBorders>
              <w:right w:val="single" w:color="auto" w:sz="4" w:space="0"/>
            </w:tcBorders>
            <w:noWrap w:val="0"/>
            <w:vAlign w:val="center"/>
          </w:tcPr>
          <w:p w14:paraId="445D7745">
            <w:pPr>
              <w:spacing w:line="220" w:lineRule="exact"/>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评审</w:t>
            </w:r>
            <w:r>
              <w:rPr>
                <w:rFonts w:hint="eastAsia" w:ascii="宋体" w:hAnsi="宋体" w:eastAsia="宋体" w:cs="宋体"/>
                <w:b/>
                <w:bCs/>
                <w:color w:val="auto"/>
                <w:szCs w:val="21"/>
                <w:highlight w:val="none"/>
                <w:lang w:eastAsia="zh-CN"/>
              </w:rPr>
              <w:t>因素</w:t>
            </w:r>
          </w:p>
        </w:tc>
        <w:tc>
          <w:tcPr>
            <w:tcW w:w="6250" w:type="dxa"/>
            <w:noWrap w:val="0"/>
            <w:vAlign w:val="center"/>
          </w:tcPr>
          <w:p w14:paraId="0794CF55">
            <w:pPr>
              <w:spacing w:line="2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c>
          <w:tcPr>
            <w:tcW w:w="1489" w:type="dxa"/>
            <w:noWrap w:val="0"/>
            <w:vAlign w:val="center"/>
          </w:tcPr>
          <w:p w14:paraId="228542B3">
            <w:pPr>
              <w:spacing w:line="22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详见投标文件</w:t>
            </w:r>
          </w:p>
        </w:tc>
      </w:tr>
      <w:tr w14:paraId="4F3EA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jc w:val="center"/>
        </w:trPr>
        <w:tc>
          <w:tcPr>
            <w:tcW w:w="694" w:type="dxa"/>
            <w:tcBorders>
              <w:bottom w:val="single" w:color="auto" w:sz="4" w:space="0"/>
            </w:tcBorders>
            <w:noWrap w:val="0"/>
            <w:vAlign w:val="center"/>
          </w:tcPr>
          <w:p w14:paraId="6833DB8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25" w:type="dxa"/>
            <w:tcBorders>
              <w:bottom w:val="single" w:color="auto" w:sz="4" w:space="0"/>
              <w:right w:val="single" w:color="auto" w:sz="4" w:space="0"/>
            </w:tcBorders>
            <w:noWrap w:val="0"/>
            <w:vAlign w:val="center"/>
          </w:tcPr>
          <w:p w14:paraId="11C5AC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6250" w:type="dxa"/>
            <w:noWrap w:val="0"/>
            <w:vAlign w:val="center"/>
          </w:tcPr>
          <w:p w14:paraId="0F5258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1489" w:type="dxa"/>
            <w:noWrap w:val="0"/>
            <w:vAlign w:val="center"/>
          </w:tcPr>
          <w:p w14:paraId="5867AC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3A06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94" w:type="dxa"/>
            <w:tcBorders>
              <w:top w:val="single" w:color="auto" w:sz="4" w:space="0"/>
              <w:bottom w:val="single" w:color="auto" w:sz="4" w:space="0"/>
            </w:tcBorders>
            <w:noWrap w:val="0"/>
            <w:vAlign w:val="center"/>
          </w:tcPr>
          <w:p w14:paraId="6814BC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25" w:type="dxa"/>
            <w:tcBorders>
              <w:top w:val="single" w:color="auto" w:sz="4" w:space="0"/>
              <w:bottom w:val="single" w:color="auto" w:sz="4" w:space="0"/>
            </w:tcBorders>
            <w:noWrap w:val="0"/>
            <w:vAlign w:val="center"/>
          </w:tcPr>
          <w:p w14:paraId="241263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6250" w:type="dxa"/>
            <w:noWrap w:val="0"/>
            <w:vAlign w:val="center"/>
          </w:tcPr>
          <w:p w14:paraId="6641D2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1489" w:type="dxa"/>
            <w:noWrap w:val="0"/>
            <w:vAlign w:val="center"/>
          </w:tcPr>
          <w:p w14:paraId="2275ED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631C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94" w:type="dxa"/>
            <w:tcBorders>
              <w:top w:val="single" w:color="auto" w:sz="4" w:space="0"/>
              <w:bottom w:val="single" w:color="auto" w:sz="4" w:space="0"/>
            </w:tcBorders>
            <w:noWrap w:val="0"/>
            <w:vAlign w:val="center"/>
          </w:tcPr>
          <w:p w14:paraId="5E7972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25" w:type="dxa"/>
            <w:tcBorders>
              <w:top w:val="single" w:color="auto" w:sz="4" w:space="0"/>
              <w:bottom w:val="single" w:color="auto" w:sz="4" w:space="0"/>
            </w:tcBorders>
            <w:noWrap w:val="0"/>
            <w:vAlign w:val="center"/>
          </w:tcPr>
          <w:p w14:paraId="7007EA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6250" w:type="dxa"/>
            <w:noWrap w:val="0"/>
            <w:vAlign w:val="center"/>
          </w:tcPr>
          <w:p w14:paraId="211C2D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1489" w:type="dxa"/>
            <w:noWrap w:val="0"/>
            <w:vAlign w:val="center"/>
          </w:tcPr>
          <w:p w14:paraId="536BBF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0AA85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694" w:type="dxa"/>
            <w:tcBorders>
              <w:top w:val="single" w:color="auto" w:sz="4" w:space="0"/>
            </w:tcBorders>
            <w:noWrap w:val="0"/>
            <w:vAlign w:val="center"/>
          </w:tcPr>
          <w:p w14:paraId="38A3B1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25" w:type="dxa"/>
            <w:tcBorders>
              <w:top w:val="single" w:color="auto" w:sz="4" w:space="0"/>
            </w:tcBorders>
            <w:noWrap w:val="0"/>
            <w:vAlign w:val="center"/>
          </w:tcPr>
          <w:p w14:paraId="0FF08E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6250" w:type="dxa"/>
            <w:noWrap w:val="0"/>
            <w:vAlign w:val="center"/>
          </w:tcPr>
          <w:p w14:paraId="5D2F14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1489" w:type="dxa"/>
            <w:noWrap w:val="0"/>
            <w:vAlign w:val="center"/>
          </w:tcPr>
          <w:p w14:paraId="2377AF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137F0406">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p>
    <w:p w14:paraId="414C9730">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sectPr>
          <w:pgSz w:w="11900" w:h="16838"/>
          <w:pgMar w:top="1134" w:right="1134" w:bottom="1134" w:left="1134" w:header="624" w:footer="624" w:gutter="0"/>
          <w:pgNumType w:fmt="numberInDash"/>
          <w:cols w:space="0" w:num="1"/>
          <w:rtlGutter w:val="0"/>
          <w:docGrid w:linePitch="317" w:charSpace="0"/>
        </w:sectPr>
      </w:pPr>
    </w:p>
    <w:p w14:paraId="1FD21A3B">
      <w:pPr>
        <w:pStyle w:val="169"/>
        <w:rPr>
          <w:rFonts w:hint="eastAsia"/>
          <w:color w:val="auto"/>
          <w:highlight w:val="none"/>
        </w:rPr>
      </w:pPr>
    </w:p>
    <w:bookmarkEnd w:id="219"/>
    <w:bookmarkEnd w:id="220"/>
    <w:bookmarkEnd w:id="221"/>
    <w:p w14:paraId="53E64C8B">
      <w:pPr>
        <w:pStyle w:val="3"/>
        <w:pageBreakBefore w:val="0"/>
        <w:widowControl w:val="0"/>
        <w:tabs>
          <w:tab w:val="left" w:pos="540"/>
        </w:tabs>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sz w:val="30"/>
          <w:szCs w:val="30"/>
          <w:highlight w:val="none"/>
        </w:rPr>
      </w:pPr>
      <w:bookmarkStart w:id="231" w:name="_Toc6978"/>
      <w:bookmarkStart w:id="232" w:name="_Toc30161"/>
      <w:bookmarkStart w:id="233" w:name="_Toc2780"/>
      <w:bookmarkStart w:id="234" w:name="_Toc24944"/>
      <w:bookmarkStart w:id="235" w:name="_Toc14815"/>
      <w:bookmarkStart w:id="236" w:name="_Toc10537"/>
      <w:bookmarkStart w:id="237" w:name="_Toc12555"/>
      <w:bookmarkStart w:id="238" w:name="_Toc12687"/>
      <w:bookmarkStart w:id="239" w:name="_Toc16067"/>
      <w:bookmarkStart w:id="240" w:name="_Toc15246"/>
      <w:bookmarkStart w:id="241" w:name="_Toc18658"/>
      <w:bookmarkStart w:id="242" w:name="_Toc12121"/>
      <w:bookmarkStart w:id="243" w:name="_Toc10129"/>
      <w:bookmarkStart w:id="244" w:name="_Toc28323"/>
      <w:bookmarkStart w:id="245" w:name="_Toc30325"/>
      <w:bookmarkStart w:id="246" w:name="_Toc12431"/>
      <w:bookmarkStart w:id="247" w:name="_Toc22232"/>
      <w:bookmarkStart w:id="248" w:name="_Toc32186"/>
      <w:bookmarkStart w:id="249" w:name="_Toc29395"/>
      <w:bookmarkStart w:id="250" w:name="_Toc32475"/>
      <w:bookmarkStart w:id="251" w:name="_Toc24364"/>
      <w:bookmarkStart w:id="252" w:name="_Toc21597"/>
      <w:bookmarkStart w:id="253" w:name="_Toc31104"/>
      <w:bookmarkStart w:id="254" w:name="_Toc10358"/>
      <w:bookmarkStart w:id="255" w:name="_Toc14960"/>
      <w:bookmarkStart w:id="256" w:name="_Toc25313"/>
      <w:bookmarkStart w:id="257" w:name="_Toc23651"/>
      <w:bookmarkStart w:id="258" w:name="_Toc13880"/>
      <w:r>
        <w:rPr>
          <w:rFonts w:hint="eastAsia" w:ascii="宋体" w:hAnsi="宋体" w:eastAsia="宋体" w:cs="宋体"/>
          <w:color w:val="auto"/>
          <w:sz w:val="30"/>
          <w:szCs w:val="30"/>
          <w:highlight w:val="none"/>
          <w:lang w:eastAsia="zh-CN"/>
        </w:rPr>
        <w:t>一</w:t>
      </w:r>
      <w:r>
        <w:rPr>
          <w:rFonts w:hint="eastAsia" w:ascii="宋体" w:hAnsi="宋体" w:eastAsia="宋体" w:cs="宋体"/>
          <w:color w:val="auto"/>
          <w:sz w:val="30"/>
          <w:szCs w:val="30"/>
          <w:highlight w:val="none"/>
        </w:rPr>
        <w:t>、资</w:t>
      </w:r>
      <w:r>
        <w:rPr>
          <w:rFonts w:hint="eastAsia" w:ascii="宋体" w:hAnsi="宋体" w:eastAsia="宋体" w:cs="宋体"/>
          <w:color w:val="auto"/>
          <w:sz w:val="30"/>
          <w:szCs w:val="30"/>
          <w:highlight w:val="none"/>
          <w:lang w:eastAsia="zh-CN"/>
        </w:rPr>
        <w:t>格</w:t>
      </w:r>
      <w:r>
        <w:rPr>
          <w:rFonts w:hint="eastAsia" w:ascii="宋体" w:hAnsi="宋体" w:eastAsia="宋体" w:cs="宋体"/>
          <w:color w:val="auto"/>
          <w:sz w:val="30"/>
          <w:szCs w:val="30"/>
          <w:highlight w:val="none"/>
          <w:lang w:val="en-US" w:eastAsia="zh-CN"/>
        </w:rPr>
        <w:t>证明</w:t>
      </w:r>
      <w:r>
        <w:rPr>
          <w:rFonts w:hint="eastAsia" w:ascii="宋体" w:hAnsi="宋体" w:eastAsia="宋体" w:cs="宋体"/>
          <w:color w:val="auto"/>
          <w:sz w:val="30"/>
          <w:szCs w:val="30"/>
          <w:highlight w:val="none"/>
        </w:rPr>
        <w:t>文件</w:t>
      </w:r>
      <w:bookmarkEnd w:id="231"/>
      <w:bookmarkEnd w:id="232"/>
      <w:bookmarkEnd w:id="233"/>
      <w:bookmarkEnd w:id="234"/>
      <w:bookmarkEnd w:id="235"/>
      <w:bookmarkEnd w:id="236"/>
      <w:bookmarkEnd w:id="237"/>
    </w:p>
    <w:bookmarkEnd w:id="238"/>
    <w:bookmarkEnd w:id="239"/>
    <w:p w14:paraId="063CD6FE">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rPr>
      </w:pPr>
      <w:bookmarkStart w:id="259" w:name="_Toc27674"/>
      <w:bookmarkStart w:id="260" w:name="_Toc6536"/>
      <w:bookmarkStart w:id="261" w:name="_Toc9013"/>
      <w:bookmarkStart w:id="262" w:name="_Toc16940"/>
      <w:bookmarkStart w:id="263" w:name="_Toc32073"/>
      <w:bookmarkStart w:id="264" w:name="_Toc31100"/>
      <w:bookmarkStart w:id="265" w:name="_Toc5330"/>
      <w:r>
        <w:rPr>
          <w:rFonts w:hint="eastAsia" w:ascii="宋体" w:hAnsi="宋体" w:eastAsia="宋体" w:cs="宋体"/>
          <w:b/>
          <w:color w:val="auto"/>
          <w:sz w:val="28"/>
          <w:szCs w:val="28"/>
          <w:highlight w:val="none"/>
          <w:lang w:val="en-US" w:eastAsia="zh-CN"/>
        </w:rPr>
        <w:t>（一）满足《中华人民共和国政府采购法》第二十二条规定</w:t>
      </w:r>
      <w:bookmarkEnd w:id="259"/>
      <w:bookmarkEnd w:id="260"/>
      <w:bookmarkEnd w:id="261"/>
      <w:bookmarkEnd w:id="262"/>
      <w:bookmarkEnd w:id="263"/>
      <w:bookmarkEnd w:id="264"/>
    </w:p>
    <w:bookmarkEnd w:id="265"/>
    <w:p w14:paraId="055C7C34">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color w:val="auto"/>
          <w:sz w:val="24"/>
          <w:szCs w:val="24"/>
          <w:highlight w:val="none"/>
        </w:rPr>
      </w:pPr>
      <w:bookmarkStart w:id="266" w:name="_Toc14938"/>
      <w:bookmarkStart w:id="267" w:name="_Toc2319"/>
      <w:bookmarkStart w:id="268" w:name="_Toc20466"/>
      <w:bookmarkStart w:id="269" w:name="_Toc27625"/>
      <w:bookmarkStart w:id="270" w:name="_Toc7141"/>
      <w:bookmarkStart w:id="271" w:name="_Toc11400"/>
      <w:bookmarkStart w:id="272" w:name="_Toc8540"/>
      <w:bookmarkStart w:id="273" w:name="_Toc27843"/>
      <w:bookmarkStart w:id="274" w:name="_Toc22804"/>
      <w:bookmarkStart w:id="275" w:name="_Toc18845"/>
      <w:bookmarkStart w:id="276" w:name="_Toc11591"/>
      <w:bookmarkStart w:id="277" w:name="_Toc19137"/>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具有独立承担民事责任的能力</w:t>
      </w:r>
      <w:bookmarkEnd w:id="266"/>
      <w:bookmarkEnd w:id="267"/>
      <w:bookmarkEnd w:id="268"/>
      <w:bookmarkEnd w:id="269"/>
      <w:bookmarkEnd w:id="270"/>
      <w:bookmarkEnd w:id="271"/>
      <w:bookmarkEnd w:id="272"/>
      <w:bookmarkEnd w:id="273"/>
    </w:p>
    <w:p w14:paraId="437BA8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提供有效“营业执照”或“事业单位法人证书”或“执业许可证”或“登记证书”或“自然人身份证”扫描件加盖投标人公章</w:t>
      </w:r>
      <w:r>
        <w:rPr>
          <w:rFonts w:hint="eastAsia" w:ascii="宋体" w:hAnsi="宋体" w:eastAsia="宋体" w:cs="宋体"/>
          <w:color w:val="auto"/>
          <w:sz w:val="24"/>
          <w:szCs w:val="24"/>
          <w:highlight w:val="none"/>
        </w:rPr>
        <w:t>）</w:t>
      </w:r>
    </w:p>
    <w:p w14:paraId="7AC23DEC">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76" w:firstLineChars="200"/>
        <w:jc w:val="both"/>
        <w:textAlignment w:val="baseline"/>
        <w:rPr>
          <w:rFonts w:hint="eastAsia" w:ascii="宋体" w:hAnsi="宋体" w:eastAsia="宋体" w:cs="宋体"/>
          <w:color w:val="auto"/>
          <w:spacing w:val="-1"/>
          <w:sz w:val="24"/>
          <w:szCs w:val="24"/>
          <w:highlight w:val="none"/>
        </w:rPr>
      </w:pPr>
    </w:p>
    <w:p w14:paraId="7A54882D">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cs="宋体"/>
          <w:color w:val="auto"/>
          <w:spacing w:val="-1"/>
          <w:sz w:val="24"/>
          <w:szCs w:val="24"/>
          <w:highlight w:val="none"/>
          <w:lang w:eastAsia="zh-CN"/>
        </w:rPr>
        <w:t>.</w:t>
      </w:r>
      <w:r>
        <w:rPr>
          <w:rFonts w:hint="eastAsia" w:ascii="宋体" w:hAnsi="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投标人为企业（包括合伙企业）的，应提供有效的“营业执照”；</w:t>
      </w:r>
    </w:p>
    <w:p w14:paraId="7BC41796">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cs="宋体"/>
          <w:color w:val="auto"/>
          <w:spacing w:val="-1"/>
          <w:sz w:val="24"/>
          <w:szCs w:val="24"/>
          <w:highlight w:val="none"/>
          <w:lang w:val="en-US" w:eastAsia="zh-CN"/>
        </w:rPr>
        <w:t>1.2</w:t>
      </w:r>
      <w:r>
        <w:rPr>
          <w:rFonts w:hint="eastAsia" w:ascii="宋体" w:hAnsi="宋体" w:eastAsia="宋体" w:cs="宋体"/>
          <w:color w:val="auto"/>
          <w:spacing w:val="-1"/>
          <w:sz w:val="24"/>
          <w:szCs w:val="24"/>
          <w:highlight w:val="none"/>
        </w:rPr>
        <w:t>投标人为事业单位的，应提供有效的“事业单位法人证书”；</w:t>
      </w:r>
    </w:p>
    <w:p w14:paraId="5F7B53EF">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cs="宋体"/>
          <w:color w:val="auto"/>
          <w:spacing w:val="1"/>
          <w:sz w:val="24"/>
          <w:szCs w:val="24"/>
          <w:highlight w:val="none"/>
          <w:lang w:val="en-US" w:eastAsia="zh-CN"/>
        </w:rPr>
        <w:t>1.3</w:t>
      </w:r>
      <w:r>
        <w:rPr>
          <w:rFonts w:hint="eastAsia" w:ascii="宋体" w:hAnsi="宋体" w:eastAsia="宋体" w:cs="宋体"/>
          <w:color w:val="auto"/>
          <w:spacing w:val="1"/>
          <w:sz w:val="24"/>
          <w:szCs w:val="24"/>
          <w:highlight w:val="none"/>
        </w:rPr>
        <w:t>投标人为非企业机构的，应提供有效的“执业许可证”、“登记证书”</w:t>
      </w:r>
      <w:r>
        <w:rPr>
          <w:rFonts w:hint="eastAsia" w:ascii="宋体" w:hAnsi="宋体" w:eastAsia="宋体" w:cs="宋体"/>
          <w:color w:val="auto"/>
          <w:spacing w:val="-2"/>
          <w:sz w:val="24"/>
          <w:szCs w:val="24"/>
          <w:highlight w:val="none"/>
        </w:rPr>
        <w:t>等证明文件；</w:t>
      </w:r>
    </w:p>
    <w:p w14:paraId="64AD9E85">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投标人是个体工商户的，应提供有效的</w:t>
      </w:r>
      <w:r>
        <w:rPr>
          <w:rFonts w:hint="eastAsia" w:ascii="宋体" w:hAnsi="宋体" w:eastAsia="宋体" w:cs="宋体"/>
          <w:color w:val="auto"/>
          <w:spacing w:val="-1"/>
          <w:sz w:val="24"/>
          <w:szCs w:val="24"/>
          <w:highlight w:val="none"/>
        </w:rPr>
        <w:t>“个体工商户营业执照”；</w:t>
      </w:r>
    </w:p>
    <w:p w14:paraId="6C61027A">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cs="宋体"/>
          <w:color w:val="auto"/>
          <w:spacing w:val="-1"/>
          <w:sz w:val="24"/>
          <w:szCs w:val="24"/>
          <w:highlight w:val="none"/>
          <w:lang w:val="en-US" w:eastAsia="zh-CN"/>
        </w:rPr>
        <w:t>1.5</w:t>
      </w:r>
      <w:r>
        <w:rPr>
          <w:rFonts w:hint="eastAsia" w:ascii="宋体" w:hAnsi="宋体" w:eastAsia="宋体" w:cs="宋体"/>
          <w:color w:val="auto"/>
          <w:spacing w:val="-1"/>
          <w:sz w:val="24"/>
          <w:szCs w:val="24"/>
          <w:highlight w:val="none"/>
        </w:rPr>
        <w:t>投标人是自然人的，应提供有效的自然人身份证明。</w:t>
      </w:r>
    </w:p>
    <w:p w14:paraId="58F2577C">
      <w:pP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br w:type="page"/>
      </w:r>
    </w:p>
    <w:p w14:paraId="4535DE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法定代表人（单位负责人）身份证明</w:t>
      </w:r>
    </w:p>
    <w:p w14:paraId="148356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F867B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35D4F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67EFA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2D04D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55507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p>
    <w:p w14:paraId="68151C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w:t>
      </w:r>
      <w:r>
        <w:rPr>
          <w:rFonts w:hint="eastAsia" w:ascii="宋体" w:hAnsi="宋体" w:cs="宋体"/>
          <w:i/>
          <w:iCs/>
          <w:color w:val="auto"/>
          <w:sz w:val="24"/>
          <w:szCs w:val="24"/>
          <w:highlight w:val="none"/>
          <w:u w:val="single"/>
          <w:lang w:eastAsia="zh-CN"/>
        </w:rPr>
        <w:t>投标人名称</w:t>
      </w:r>
      <w:r>
        <w:rPr>
          <w:rFonts w:hint="eastAsia" w:ascii="宋体" w:hAnsi="宋体" w:eastAsia="宋体" w:cs="宋体"/>
          <w:i/>
          <w:iCs/>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的法定代表人。</w:t>
      </w:r>
    </w:p>
    <w:p w14:paraId="22F3D7A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492F2C7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法定代表人（单位负责人）身份证</w:t>
      </w:r>
      <w:r>
        <w:rPr>
          <w:rFonts w:hint="eastAsia" w:ascii="宋体" w:hAnsi="宋体" w:eastAsia="宋体" w:cs="宋体"/>
          <w:color w:val="auto"/>
          <w:sz w:val="24"/>
          <w:highlight w:val="none"/>
        </w:rPr>
        <w:t>扫描件</w:t>
      </w:r>
      <w:r>
        <w:rPr>
          <w:rFonts w:hint="eastAsia" w:ascii="宋体" w:hAnsi="宋体" w:eastAsia="宋体" w:cs="宋体"/>
          <w:color w:val="auto"/>
          <w:sz w:val="24"/>
          <w:szCs w:val="24"/>
          <w:highlight w:val="none"/>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50CA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24273C5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val="en-US" w:eastAsia="zh-CN"/>
              </w:rPr>
              <w:t>正面</w:t>
            </w:r>
          </w:p>
        </w:tc>
        <w:tc>
          <w:tcPr>
            <w:tcW w:w="4070" w:type="dxa"/>
            <w:noWrap w:val="0"/>
            <w:vAlign w:val="center"/>
          </w:tcPr>
          <w:p w14:paraId="34FDA7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val="en-US" w:eastAsia="zh-CN"/>
              </w:rPr>
              <w:t>反</w:t>
            </w:r>
            <w:r>
              <w:rPr>
                <w:rFonts w:hint="eastAsia" w:ascii="宋体" w:hAnsi="宋体" w:eastAsia="宋体" w:cs="宋体"/>
                <w:color w:val="auto"/>
                <w:sz w:val="24"/>
                <w:szCs w:val="24"/>
                <w:highlight w:val="none"/>
              </w:rPr>
              <w:t>面</w:t>
            </w:r>
          </w:p>
        </w:tc>
      </w:tr>
    </w:tbl>
    <w:p w14:paraId="50B30A49">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highlight w:val="none"/>
        </w:rPr>
      </w:pPr>
    </w:p>
    <w:p w14:paraId="54881B9F">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highlight w:val="none"/>
        </w:rPr>
      </w:pPr>
    </w:p>
    <w:p w14:paraId="126546F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F3C4B5C">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032067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p>
    <w:p w14:paraId="084440A6">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注：本证明书为法定代表人</w:t>
      </w:r>
      <w:r>
        <w:rPr>
          <w:rFonts w:hint="eastAsia" w:ascii="宋体" w:hAnsi="宋体" w:eastAsia="宋体" w:cs="宋体"/>
          <w:b/>
          <w:bCs/>
          <w:color w:val="auto"/>
          <w:sz w:val="24"/>
          <w:szCs w:val="24"/>
          <w:highlight w:val="none"/>
          <w:lang w:eastAsia="zh-CN"/>
        </w:rPr>
        <w:t>（单位负责人）</w:t>
      </w:r>
      <w:r>
        <w:rPr>
          <w:rFonts w:hint="eastAsia" w:ascii="宋体" w:hAnsi="宋体" w:eastAsia="宋体" w:cs="宋体"/>
          <w:b/>
          <w:bCs/>
          <w:color w:val="auto"/>
          <w:sz w:val="24"/>
          <w:szCs w:val="24"/>
          <w:highlight w:val="none"/>
        </w:rPr>
        <w:t>本人作为公司代理人参与投标的，提供此项证明书。</w:t>
      </w:r>
    </w:p>
    <w:p w14:paraId="29E6F6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sectPr>
          <w:pgSz w:w="11900" w:h="16838"/>
          <w:pgMar w:top="1134" w:right="1134" w:bottom="1134" w:left="1134" w:header="624" w:footer="624" w:gutter="0"/>
          <w:pgNumType w:fmt="numberInDash"/>
          <w:cols w:space="0" w:num="1"/>
          <w:rtlGutter w:val="0"/>
          <w:docGrid w:linePitch="317" w:charSpace="0"/>
        </w:sectPr>
      </w:pPr>
    </w:p>
    <w:p w14:paraId="580846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授权委托书</w:t>
      </w:r>
    </w:p>
    <w:p w14:paraId="27650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20A518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i/>
          <w:iCs/>
          <w:color w:val="auto"/>
          <w:sz w:val="24"/>
          <w:szCs w:val="24"/>
          <w:highlight w:val="none"/>
          <w:u w:val="single"/>
        </w:rPr>
        <w:t>（</w:t>
      </w:r>
      <w:r>
        <w:rPr>
          <w:rFonts w:hint="eastAsia" w:ascii="宋体" w:hAnsi="宋体" w:cs="宋体"/>
          <w:i/>
          <w:iCs/>
          <w:color w:val="auto"/>
          <w:sz w:val="24"/>
          <w:szCs w:val="24"/>
          <w:highlight w:val="none"/>
          <w:u w:val="single"/>
          <w:lang w:eastAsia="zh-CN"/>
        </w:rPr>
        <w:t>投标人名称</w:t>
      </w:r>
      <w:r>
        <w:rPr>
          <w:rFonts w:hint="eastAsia" w:ascii="宋体" w:hAnsi="宋体" w:eastAsia="宋体" w:cs="宋体"/>
          <w:i/>
          <w:iCs/>
          <w:color w:val="auto"/>
          <w:sz w:val="24"/>
          <w:szCs w:val="24"/>
          <w:highlight w:val="none"/>
          <w:u w:val="single"/>
        </w:rPr>
        <w:t>）</w:t>
      </w:r>
      <w:r>
        <w:rPr>
          <w:rFonts w:hint="eastAsia" w:ascii="宋体" w:hAnsi="宋体" w:eastAsia="宋体" w:cs="宋体"/>
          <w:color w:val="auto"/>
          <w:sz w:val="24"/>
          <w:szCs w:val="24"/>
          <w:highlight w:val="none"/>
        </w:rPr>
        <w:t>的法人代表人，现授权委托</w:t>
      </w:r>
      <w:r>
        <w:rPr>
          <w:rFonts w:hint="eastAsia" w:ascii="宋体" w:hAnsi="宋体" w:eastAsia="宋体" w:cs="宋体"/>
          <w:color w:val="auto"/>
          <w:sz w:val="24"/>
          <w:szCs w:val="24"/>
          <w:highlight w:val="none"/>
          <w:u w:val="none"/>
          <w:lang w:eastAsia="zh-CN"/>
        </w:rPr>
        <w:t>公司</w:t>
      </w:r>
      <w:r>
        <w:rPr>
          <w:rFonts w:hint="eastAsia" w:ascii="宋体" w:hAnsi="宋体" w:eastAsia="宋体" w:cs="宋体"/>
          <w:b w:val="0"/>
          <w:bCs w:val="0"/>
          <w:color w:val="auto"/>
          <w:sz w:val="24"/>
          <w:szCs w:val="24"/>
          <w:highlight w:val="none"/>
          <w:lang w:eastAsia="zh-CN"/>
        </w:rPr>
        <w:t>正式员工</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rPr>
        <w:t>为我公司代理人，以本公司的名义参加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w:t>
      </w:r>
      <w:r>
        <w:rPr>
          <w:rFonts w:hint="eastAsia" w:ascii="宋体" w:hAnsi="宋体" w:eastAsia="宋体" w:cs="宋体"/>
          <w:i/>
          <w:iCs/>
          <w:color w:val="auto"/>
          <w:sz w:val="24"/>
          <w:szCs w:val="24"/>
          <w:highlight w:val="none"/>
          <w:u w:val="single"/>
        </w:rPr>
        <w:t>人）</w:t>
      </w:r>
      <w:r>
        <w:rPr>
          <w:rFonts w:hint="eastAsia" w:ascii="宋体" w:hAnsi="宋体" w:eastAsia="宋体" w:cs="宋体"/>
          <w:color w:val="auto"/>
          <w:sz w:val="24"/>
          <w:szCs w:val="24"/>
          <w:highlight w:val="none"/>
        </w:rPr>
        <w:t>的</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项目名称、标项及编号</w:t>
      </w:r>
      <w:r>
        <w:rPr>
          <w:rFonts w:hint="eastAsia" w:ascii="宋体" w:hAnsi="宋体" w:eastAsia="宋体" w:cs="宋体"/>
          <w:i/>
          <w:iCs/>
          <w:color w:val="auto"/>
          <w:sz w:val="24"/>
          <w:szCs w:val="24"/>
          <w:highlight w:val="none"/>
          <w:u w:val="single"/>
        </w:rPr>
        <w:t>）</w:t>
      </w:r>
      <w:r>
        <w:rPr>
          <w:rFonts w:hint="eastAsia" w:ascii="宋体" w:hAnsi="宋体" w:eastAsia="宋体" w:cs="宋体"/>
          <w:color w:val="auto"/>
          <w:sz w:val="24"/>
          <w:szCs w:val="24"/>
          <w:highlight w:val="none"/>
        </w:rPr>
        <w:t>的投标活动。代理人在参加整个项目招标响应活动、合同招标过程中所签署的一切文件和处理与之有关的一切事物，我均予以承认。</w:t>
      </w:r>
    </w:p>
    <w:p w14:paraId="467636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p>
    <w:p w14:paraId="7D252D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11255C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0DAF2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58E25F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授权人身份证</w:t>
      </w:r>
      <w:r>
        <w:rPr>
          <w:rFonts w:hint="eastAsia" w:ascii="宋体" w:hAnsi="宋体" w:eastAsia="宋体" w:cs="宋体"/>
          <w:color w:val="auto"/>
          <w:sz w:val="24"/>
          <w:highlight w:val="none"/>
        </w:rPr>
        <w:t>扫描件</w:t>
      </w:r>
      <w:r>
        <w:rPr>
          <w:rFonts w:hint="eastAsia" w:ascii="宋体" w:hAnsi="宋体" w:eastAsia="宋体" w:cs="宋体"/>
          <w:color w:val="auto"/>
          <w:sz w:val="24"/>
          <w:szCs w:val="24"/>
          <w:highlight w:val="none"/>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0B03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3202A3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身份证正面</w:t>
            </w:r>
          </w:p>
        </w:tc>
        <w:tc>
          <w:tcPr>
            <w:tcW w:w="4070" w:type="dxa"/>
            <w:noWrap w:val="0"/>
            <w:vAlign w:val="center"/>
          </w:tcPr>
          <w:p w14:paraId="2BB22E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w:t>
            </w:r>
            <w:r>
              <w:rPr>
                <w:rFonts w:hint="eastAsia" w:ascii="宋体" w:hAnsi="宋体" w:eastAsia="宋体" w:cs="宋体"/>
                <w:color w:val="auto"/>
                <w:sz w:val="24"/>
                <w:szCs w:val="24"/>
                <w:highlight w:val="none"/>
                <w:lang w:eastAsia="zh-CN"/>
              </w:rPr>
              <w:t>反</w:t>
            </w:r>
            <w:r>
              <w:rPr>
                <w:rFonts w:hint="eastAsia" w:ascii="宋体" w:hAnsi="宋体" w:eastAsia="宋体" w:cs="宋体"/>
                <w:color w:val="auto"/>
                <w:sz w:val="24"/>
                <w:szCs w:val="24"/>
                <w:highlight w:val="none"/>
              </w:rPr>
              <w:t>面</w:t>
            </w:r>
          </w:p>
        </w:tc>
      </w:tr>
    </w:tbl>
    <w:p w14:paraId="1E115E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w:t>
      </w:r>
      <w:r>
        <w:rPr>
          <w:rFonts w:hint="eastAsia" w:ascii="宋体" w:hAnsi="宋体" w:eastAsia="宋体" w:cs="宋体"/>
          <w:color w:val="auto"/>
          <w:sz w:val="24"/>
          <w:highlight w:val="none"/>
        </w:rPr>
        <w:t>扫描件</w:t>
      </w:r>
      <w:r>
        <w:rPr>
          <w:rFonts w:hint="eastAsia" w:ascii="宋体" w:hAnsi="宋体" w:eastAsia="宋体" w:cs="宋体"/>
          <w:color w:val="auto"/>
          <w:sz w:val="24"/>
          <w:szCs w:val="24"/>
          <w:highlight w:val="none"/>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6C03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0AD368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身份证正面</w:t>
            </w:r>
          </w:p>
        </w:tc>
        <w:tc>
          <w:tcPr>
            <w:tcW w:w="4070" w:type="dxa"/>
            <w:noWrap w:val="0"/>
            <w:vAlign w:val="center"/>
          </w:tcPr>
          <w:p w14:paraId="37D9F1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w:t>
            </w:r>
            <w:r>
              <w:rPr>
                <w:rFonts w:hint="eastAsia" w:ascii="宋体" w:hAnsi="宋体" w:eastAsia="宋体" w:cs="宋体"/>
                <w:color w:val="auto"/>
                <w:sz w:val="24"/>
                <w:szCs w:val="24"/>
                <w:highlight w:val="none"/>
                <w:lang w:eastAsia="zh-CN"/>
              </w:rPr>
              <w:t>反</w:t>
            </w:r>
            <w:r>
              <w:rPr>
                <w:rFonts w:hint="eastAsia" w:ascii="宋体" w:hAnsi="宋体" w:eastAsia="宋体" w:cs="宋体"/>
                <w:color w:val="auto"/>
                <w:sz w:val="24"/>
                <w:szCs w:val="24"/>
                <w:highlight w:val="none"/>
              </w:rPr>
              <w:t>面</w:t>
            </w:r>
          </w:p>
        </w:tc>
      </w:tr>
    </w:tbl>
    <w:p w14:paraId="16A54953">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highlight w:val="none"/>
        </w:rPr>
      </w:pPr>
    </w:p>
    <w:p w14:paraId="4F78FD93">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highlight w:val="none"/>
        </w:rPr>
      </w:pPr>
    </w:p>
    <w:p w14:paraId="71B2D4A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color w:val="auto"/>
          <w:sz w:val="24"/>
          <w:szCs w:val="24"/>
          <w:highlight w:val="none"/>
        </w:rPr>
        <w:t>）                       法定代表人：（</w:t>
      </w:r>
      <w:r>
        <w:rPr>
          <w:rFonts w:hint="eastAsia" w:ascii="宋体" w:hAnsi="宋体" w:cs="宋体"/>
          <w:b w:val="0"/>
          <w:bCs w:val="0"/>
          <w:color w:val="auto"/>
          <w:kern w:val="0"/>
          <w:sz w:val="24"/>
          <w:szCs w:val="24"/>
          <w:highlight w:val="none"/>
          <w:lang w:eastAsia="zh-CN"/>
        </w:rPr>
        <w:t>签字或盖章</w:t>
      </w:r>
      <w:r>
        <w:rPr>
          <w:rFonts w:hint="eastAsia" w:ascii="宋体" w:hAnsi="宋体" w:eastAsia="宋体" w:cs="宋体"/>
          <w:color w:val="auto"/>
          <w:sz w:val="24"/>
          <w:szCs w:val="24"/>
          <w:highlight w:val="none"/>
        </w:rPr>
        <w:t>）</w:t>
      </w:r>
    </w:p>
    <w:p w14:paraId="5FDBA70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p>
    <w:p w14:paraId="5EE67026">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C2CC188">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highlight w:val="none"/>
        </w:rPr>
      </w:pPr>
    </w:p>
    <w:p w14:paraId="2E1B76D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注：1.法定代表人本人作为公司代理人前来参与投标的，不提供此项证明文件。</w:t>
      </w:r>
    </w:p>
    <w:p w14:paraId="10B7AC1C">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sectPr>
          <w:pgSz w:w="11900" w:h="16838"/>
          <w:pgMar w:top="1134" w:right="1134" w:bottom="1134" w:left="1134" w:header="624" w:footer="624" w:gutter="0"/>
          <w:pgNumType w:fmt="numberInDash"/>
          <w:cols w:space="0" w:num="1"/>
          <w:rtlGutter w:val="0"/>
          <w:docGrid w:linePitch="317" w:charSpace="0"/>
        </w:sectPr>
      </w:pPr>
      <w:r>
        <w:rPr>
          <w:rFonts w:hint="eastAsia" w:ascii="宋体" w:hAnsi="宋体" w:eastAsia="宋体" w:cs="宋体"/>
          <w:color w:val="auto"/>
          <w:sz w:val="24"/>
          <w:szCs w:val="24"/>
          <w:highlight w:val="none"/>
        </w:rPr>
        <w:t>2.授权书上应当附有授权人和被授权人的居民身份证</w:t>
      </w:r>
      <w:r>
        <w:rPr>
          <w:rFonts w:hint="eastAsia" w:ascii="宋体" w:hAnsi="宋体" w:eastAsia="宋体" w:cs="宋体"/>
          <w:color w:val="auto"/>
          <w:sz w:val="24"/>
          <w:highlight w:val="none"/>
        </w:rPr>
        <w:t>扫描件</w:t>
      </w:r>
      <w:r>
        <w:rPr>
          <w:rFonts w:hint="eastAsia" w:ascii="宋体" w:hAnsi="宋体" w:eastAsia="宋体" w:cs="宋体"/>
          <w:color w:val="auto"/>
          <w:sz w:val="24"/>
          <w:szCs w:val="24"/>
          <w:highlight w:val="none"/>
        </w:rPr>
        <w:t>。</w:t>
      </w:r>
      <w:bookmarkStart w:id="278" w:name="_Toc3891644"/>
    </w:p>
    <w:bookmarkEnd w:id="278"/>
    <w:p w14:paraId="4885B211">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color w:val="auto"/>
          <w:sz w:val="24"/>
          <w:szCs w:val="24"/>
          <w:highlight w:val="none"/>
          <w:lang w:eastAsia="zh-CN"/>
        </w:rPr>
      </w:pPr>
      <w:bookmarkStart w:id="279" w:name="_Toc2259"/>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信用承诺函</w:t>
      </w:r>
      <w:bookmarkEnd w:id="279"/>
    </w:p>
    <w:p w14:paraId="2E32B0D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政府采购供应商信用承诺函</w:t>
      </w:r>
    </w:p>
    <w:p w14:paraId="2A7A20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自然人姓名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3BD84B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统一社会信用代码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52B67B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BBE52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自愿参加本次政府采购活动，严格遵守《中华人民共和国政府采购法》及相关法律法规，坚守公开、公平、公正和诚实信用等原则，依法诚信经营，并郑重承诺：</w:t>
      </w:r>
    </w:p>
    <w:p w14:paraId="0698BE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符合《中华人民共和国政府采购法》第二十二条规定：</w:t>
      </w:r>
    </w:p>
    <w:p w14:paraId="0C9CB5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w:t>
      </w:r>
    </w:p>
    <w:p w14:paraId="6818E9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具有良好的商业信誉和健全的财务会计制度</w:t>
      </w:r>
      <w:r>
        <w:rPr>
          <w:rFonts w:hint="eastAsia" w:ascii="宋体" w:hAnsi="宋体" w:eastAsia="宋体" w:cs="宋体"/>
          <w:color w:val="auto"/>
          <w:sz w:val="24"/>
          <w:szCs w:val="24"/>
          <w:highlight w:val="none"/>
          <w:lang w:eastAsia="zh-CN"/>
        </w:rPr>
        <w:t>；</w:t>
      </w:r>
    </w:p>
    <w:p w14:paraId="3887D1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color w:val="auto"/>
          <w:sz w:val="24"/>
          <w:szCs w:val="24"/>
          <w:highlight w:val="none"/>
          <w:lang w:eastAsia="zh-CN"/>
        </w:rPr>
        <w:t>；</w:t>
      </w:r>
    </w:p>
    <w:p w14:paraId="51560C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有依法缴纳税收和社会保障资金的良好记录</w:t>
      </w:r>
      <w:r>
        <w:rPr>
          <w:rFonts w:hint="eastAsia" w:ascii="宋体" w:hAnsi="宋体" w:eastAsia="宋体" w:cs="宋体"/>
          <w:color w:val="auto"/>
          <w:sz w:val="24"/>
          <w:szCs w:val="24"/>
          <w:highlight w:val="none"/>
          <w:lang w:eastAsia="zh-CN"/>
        </w:rPr>
        <w:t>；</w:t>
      </w:r>
    </w:p>
    <w:p w14:paraId="296137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参加政府采购活动前三年内，在经营活动中没有重大违法记录</w:t>
      </w:r>
      <w:r>
        <w:rPr>
          <w:rFonts w:hint="eastAsia" w:ascii="宋体" w:hAnsi="宋体" w:eastAsia="宋体" w:cs="宋体"/>
          <w:color w:val="auto"/>
          <w:sz w:val="24"/>
          <w:szCs w:val="24"/>
          <w:highlight w:val="none"/>
          <w:lang w:eastAsia="zh-CN"/>
        </w:rPr>
        <w:t>；</w:t>
      </w:r>
    </w:p>
    <w:p w14:paraId="1A5065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符合法律、行政法规规定的其他条件。</w:t>
      </w:r>
    </w:p>
    <w:p w14:paraId="560CC8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未被列入严重违法失信名单、失信被执行人</w:t>
      </w:r>
      <w:r>
        <w:rPr>
          <w:rFonts w:hint="eastAsia" w:ascii="宋体" w:hAnsi="宋体" w:eastAsia="宋体" w:cs="宋体"/>
          <w:color w:val="auto"/>
          <w:sz w:val="24"/>
          <w:szCs w:val="24"/>
          <w:highlight w:val="none"/>
          <w:lang w:eastAsia="zh-CN"/>
        </w:rPr>
        <w:t>名单</w:t>
      </w:r>
      <w:r>
        <w:rPr>
          <w:rFonts w:hint="eastAsia" w:ascii="宋体" w:hAnsi="宋体" w:eastAsia="宋体" w:cs="宋体"/>
          <w:color w:val="auto"/>
          <w:sz w:val="24"/>
          <w:szCs w:val="24"/>
          <w:highlight w:val="none"/>
        </w:rPr>
        <w:t>、重大税收违法案件当事人名单、政府采购严重违法失信行为记录名</w:t>
      </w:r>
      <w:r>
        <w:rPr>
          <w:rFonts w:hint="eastAsia" w:ascii="宋体" w:hAnsi="宋体" w:eastAsia="宋体" w:cs="宋体"/>
          <w:color w:val="auto"/>
          <w:sz w:val="24"/>
          <w:szCs w:val="24"/>
          <w:highlight w:val="none"/>
          <w:lang w:eastAsia="zh-CN"/>
        </w:rPr>
        <w:t>单</w:t>
      </w:r>
      <w:r>
        <w:rPr>
          <w:rFonts w:hint="eastAsia" w:ascii="宋体" w:hAnsi="宋体" w:eastAsia="宋体" w:cs="宋体"/>
          <w:color w:val="auto"/>
          <w:sz w:val="24"/>
          <w:szCs w:val="24"/>
          <w:highlight w:val="none"/>
        </w:rPr>
        <w:t>。</w:t>
      </w:r>
    </w:p>
    <w:p w14:paraId="29076F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三、如果本公司（本人）有幸中标（成交），在合同签订之前，采购单位有权要求本公司（本人）提供资格证明材料原件进行核验。</w:t>
      </w:r>
    </w:p>
    <w:p w14:paraId="35ECDB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四、我单位</w:t>
      </w:r>
      <w:r>
        <w:rPr>
          <w:rFonts w:hint="eastAsia" w:ascii="宋体" w:hAnsi="宋体" w:eastAsia="宋体" w:cs="宋体"/>
          <w:color w:val="auto"/>
          <w:sz w:val="24"/>
          <w:szCs w:val="24"/>
          <w:highlight w:val="none"/>
          <w:lang w:eastAsia="zh-CN"/>
        </w:rPr>
        <w:t>（本人）</w:t>
      </w:r>
      <w:r>
        <w:rPr>
          <w:rFonts w:hint="eastAsia" w:ascii="宋体" w:hAnsi="宋体" w:eastAsia="宋体" w:cs="宋体"/>
          <w:color w:val="auto"/>
          <w:sz w:val="24"/>
          <w:szCs w:val="24"/>
          <w:highlight w:val="none"/>
        </w:rPr>
        <w:t>保证上述承诺事项的真实性。如有弄虚作假或其他违法违规行为，自愿按照规定将违背承诺行为作为失信行为记录到社会信用信息平台，并视同为“提供虚假材料谋取中标、成交”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9BF02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1E9095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投标人名称</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3C45C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法定代表人、负责人、本人、或授权代表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w:t>
      </w:r>
      <w:r>
        <w:rPr>
          <w:rFonts w:hint="eastAsia" w:ascii="宋体" w:hAnsi="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3675E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767151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6AE9C1F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备注：没有提供此项声明函的，视为未实质性响应采购文件要求，将按无效响应处理。</w:t>
      </w:r>
    </w:p>
    <w:p w14:paraId="2A3F8D79">
      <w:pPr>
        <w:pStyle w:val="169"/>
        <w:rPr>
          <w:rFonts w:hint="eastAsia" w:ascii="宋体" w:hAnsi="宋体" w:eastAsia="宋体" w:cs="宋体"/>
          <w:b/>
          <w:bCs/>
          <w:color w:val="auto"/>
          <w:sz w:val="24"/>
          <w:szCs w:val="24"/>
          <w:highlight w:val="none"/>
          <w:lang w:val="en-US" w:eastAsia="zh-CN"/>
        </w:rPr>
        <w:sectPr>
          <w:pgSz w:w="11900" w:h="16838"/>
          <w:pgMar w:top="1134" w:right="1134" w:bottom="1134" w:left="1134" w:header="624" w:footer="624" w:gutter="0"/>
          <w:pgNumType w:fmt="numberInDash"/>
          <w:cols w:space="0" w:num="1"/>
          <w:rtlGutter w:val="0"/>
          <w:docGrid w:linePitch="317" w:charSpace="0"/>
        </w:sectPr>
      </w:pPr>
    </w:p>
    <w:bookmarkEnd w:id="274"/>
    <w:bookmarkEnd w:id="275"/>
    <w:bookmarkEnd w:id="276"/>
    <w:bookmarkEnd w:id="277"/>
    <w:p w14:paraId="66734D51">
      <w:pPr>
        <w:pStyle w:val="4"/>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sz w:val="24"/>
          <w:szCs w:val="24"/>
          <w:highlight w:val="none"/>
          <w:lang w:val="en-US" w:eastAsia="zh-CN"/>
        </w:rPr>
      </w:pPr>
      <w:bookmarkStart w:id="280" w:name="_Toc1743"/>
      <w:bookmarkStart w:id="281" w:name="_Toc14637"/>
      <w:bookmarkStart w:id="282" w:name="_Toc29194"/>
      <w:bookmarkStart w:id="283" w:name="_Toc27995"/>
      <w:bookmarkStart w:id="284" w:name="_Toc20916"/>
      <w:bookmarkStart w:id="285" w:name="_Toc928"/>
      <w:bookmarkStart w:id="286" w:name="_Toc31625"/>
      <w:bookmarkStart w:id="287" w:name="_Toc15657"/>
      <w:bookmarkStart w:id="288" w:name="_Toc24193"/>
      <w:bookmarkStart w:id="289" w:name="_Toc5131"/>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.具有良好的商业信誉和健全的财务会计制度</w:t>
      </w:r>
      <w:bookmarkEnd w:id="280"/>
      <w:bookmarkEnd w:id="281"/>
      <w:bookmarkEnd w:id="282"/>
      <w:bookmarkEnd w:id="283"/>
      <w:bookmarkEnd w:id="284"/>
      <w:bookmarkEnd w:id="285"/>
      <w:bookmarkEnd w:id="286"/>
      <w:bookmarkEnd w:id="287"/>
      <w:bookmarkEnd w:id="288"/>
      <w:bookmarkEnd w:id="289"/>
    </w:p>
    <w:p w14:paraId="1F1F22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zh-CN" w:eastAsia="zh-CN"/>
        </w:rPr>
        <w:t>提供上年度财务审计报告或近一年内出具的银行资信证明加盖投标人公章；新成立不满1年的投标人，提供投标截止时间前1个月的财务报表（包括：资产负债表、利润表、现金流量表）加盖投标人公章</w:t>
      </w:r>
      <w:r>
        <w:rPr>
          <w:rFonts w:hint="eastAsia" w:ascii="宋体" w:hAnsi="宋体" w:eastAsia="宋体" w:cs="宋体"/>
          <w:color w:val="auto"/>
          <w:sz w:val="24"/>
          <w:szCs w:val="24"/>
          <w:highlight w:val="none"/>
          <w:lang w:val="zh-CN" w:eastAsia="zh-CN"/>
        </w:rPr>
        <w:t>）</w:t>
      </w:r>
    </w:p>
    <w:p w14:paraId="0888E77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br w:type="page"/>
      </w:r>
      <w:bookmarkStart w:id="290" w:name="_Toc13131"/>
      <w:bookmarkStart w:id="291" w:name="_Toc24729"/>
    </w:p>
    <w:p w14:paraId="1313466E">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4"/>
          <w:szCs w:val="24"/>
          <w:highlight w:val="none"/>
          <w:lang w:val="en-US" w:eastAsia="zh-CN"/>
        </w:rPr>
      </w:pPr>
      <w:bookmarkStart w:id="292" w:name="_Toc31520"/>
      <w:bookmarkStart w:id="293" w:name="_Toc48"/>
      <w:bookmarkStart w:id="294" w:name="_Toc26809"/>
      <w:bookmarkStart w:id="295" w:name="_Toc28297"/>
      <w:bookmarkStart w:id="296" w:name="_Toc11302"/>
      <w:bookmarkStart w:id="297" w:name="_Toc16454"/>
      <w:bookmarkStart w:id="298" w:name="_Toc18647"/>
      <w:bookmarkStart w:id="299" w:name="_Toc11155"/>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有</w:t>
      </w:r>
      <w:r>
        <w:rPr>
          <w:rFonts w:hint="eastAsia" w:ascii="宋体" w:hAnsi="宋体" w:eastAsia="宋体" w:cs="宋体"/>
          <w:b/>
          <w:color w:val="auto"/>
          <w:sz w:val="24"/>
          <w:szCs w:val="24"/>
          <w:highlight w:val="none"/>
          <w:lang w:val="en-US" w:eastAsia="zh-CN"/>
        </w:rPr>
        <w:t>依法缴纳税收和社会保障资金的良好记录</w:t>
      </w:r>
      <w:bookmarkEnd w:id="290"/>
      <w:bookmarkEnd w:id="291"/>
      <w:bookmarkEnd w:id="292"/>
      <w:bookmarkEnd w:id="293"/>
      <w:bookmarkEnd w:id="294"/>
      <w:bookmarkEnd w:id="295"/>
      <w:bookmarkEnd w:id="296"/>
      <w:bookmarkEnd w:id="297"/>
      <w:bookmarkEnd w:id="298"/>
      <w:bookmarkEnd w:id="299"/>
    </w:p>
    <w:p w14:paraId="5A3B00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（提供近6个月内至少1个月的依法缴纳税收的完税证明和社保缴纳证明</w:t>
      </w:r>
      <w:r>
        <w:rPr>
          <w:rFonts w:hint="eastAsia" w:ascii="宋体" w:hAnsi="宋体" w:cs="宋体"/>
          <w:color w:val="auto"/>
          <w:sz w:val="24"/>
          <w:szCs w:val="24"/>
          <w:highlight w:val="none"/>
          <w:lang w:val="en-US" w:eastAsia="zh-CN"/>
        </w:rPr>
        <w:t>加盖投标人公章</w:t>
      </w:r>
      <w:r>
        <w:rPr>
          <w:rFonts w:hint="eastAsia" w:ascii="宋体" w:hAnsi="宋体" w:eastAsia="宋体" w:cs="宋体"/>
          <w:color w:val="auto"/>
          <w:sz w:val="24"/>
          <w:szCs w:val="24"/>
          <w:highlight w:val="none"/>
          <w:lang w:val="en-US" w:eastAsia="zh-CN"/>
        </w:rPr>
        <w:t>；供应商依法享受缓缴、免缴税收，免缴社会保障资金的提供证明材料</w:t>
      </w:r>
      <w:r>
        <w:rPr>
          <w:rFonts w:hint="eastAsia" w:ascii="宋体" w:hAnsi="宋体" w:cs="宋体"/>
          <w:color w:val="auto"/>
          <w:sz w:val="24"/>
          <w:szCs w:val="24"/>
          <w:highlight w:val="none"/>
          <w:lang w:val="en-US" w:eastAsia="zh-CN"/>
        </w:rPr>
        <w:t>加盖投标人公章</w:t>
      </w:r>
      <w:r>
        <w:rPr>
          <w:rFonts w:hint="eastAsia" w:ascii="宋体" w:hAnsi="宋体" w:eastAsia="宋体" w:cs="宋体"/>
          <w:color w:val="auto"/>
          <w:sz w:val="24"/>
          <w:szCs w:val="24"/>
          <w:highlight w:val="none"/>
          <w:lang w:val="en-US" w:eastAsia="zh-CN"/>
        </w:rPr>
        <w:t>）</w:t>
      </w:r>
    </w:p>
    <w:p w14:paraId="378C6BD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69D0541F">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lang w:val="en-US" w:eastAsia="zh-CN"/>
        </w:rPr>
      </w:pPr>
      <w:bookmarkStart w:id="300" w:name="_Toc10340"/>
      <w:bookmarkStart w:id="301" w:name="_Toc24258"/>
      <w:bookmarkStart w:id="302" w:name="_Toc32338"/>
      <w:bookmarkStart w:id="303" w:name="_Toc22662"/>
      <w:bookmarkStart w:id="304" w:name="_Toc3833"/>
      <w:bookmarkStart w:id="305" w:name="_Toc109899917"/>
      <w:bookmarkStart w:id="306" w:name="_Toc17641"/>
      <w:bookmarkStart w:id="307" w:name="_Toc163492923"/>
      <w:bookmarkStart w:id="308" w:name="_Toc155185930"/>
      <w:bookmarkStart w:id="309" w:name="_Toc109899498"/>
      <w:bookmarkStart w:id="310" w:name="_Toc140132840"/>
      <w:bookmarkStart w:id="311" w:name="_Toc109900336"/>
      <w:r>
        <w:rPr>
          <w:rFonts w:hint="eastAsia" w:ascii="宋体" w:hAnsi="宋体" w:eastAsia="宋体" w:cs="宋体"/>
          <w:b/>
          <w:color w:val="auto"/>
          <w:sz w:val="28"/>
          <w:szCs w:val="28"/>
          <w:highlight w:val="none"/>
          <w:lang w:val="en-US" w:eastAsia="zh-CN"/>
        </w:rPr>
        <w:t>（二）</w:t>
      </w:r>
      <w:r>
        <w:rPr>
          <w:rFonts w:hint="eastAsia"/>
          <w:color w:val="auto"/>
          <w:sz w:val="28"/>
          <w:szCs w:val="28"/>
          <w:highlight w:val="none"/>
          <w:lang w:val="en-US" w:eastAsia="zh-CN"/>
        </w:rPr>
        <w:t>落实政府采购政策相关证明文件</w:t>
      </w:r>
      <w:bookmarkEnd w:id="300"/>
    </w:p>
    <w:p w14:paraId="60138919">
      <w:pPr>
        <w:pStyle w:val="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sz w:val="28"/>
          <w:szCs w:val="28"/>
          <w:highlight w:val="none"/>
          <w:lang w:val="en-US" w:eastAsia="zh-CN"/>
        </w:rPr>
      </w:pPr>
      <w:bookmarkStart w:id="312" w:name="_Toc163492938"/>
      <w:bookmarkStart w:id="313" w:name="_Toc23248"/>
      <w:bookmarkStart w:id="314" w:name="_Toc25529"/>
      <w:bookmarkStart w:id="315" w:name="_Toc9271"/>
      <w:bookmarkStart w:id="316" w:name="_Toc1546"/>
      <w:bookmarkStart w:id="317" w:name="_Toc31379"/>
      <w:bookmarkStart w:id="318" w:name="_Toc8775"/>
      <w:bookmarkStart w:id="319" w:name="_Toc22504"/>
      <w:bookmarkStart w:id="320" w:name="_Toc30677"/>
      <w:bookmarkStart w:id="321" w:name="_Toc1787"/>
      <w:r>
        <w:rPr>
          <w:rFonts w:hint="eastAsia" w:ascii="宋体" w:hAnsi="宋体" w:eastAsia="宋体" w:cs="宋体"/>
          <w:color w:val="auto"/>
          <w:sz w:val="28"/>
          <w:szCs w:val="28"/>
          <w:highlight w:val="none"/>
          <w:lang w:val="en-US" w:eastAsia="zh-CN"/>
        </w:rPr>
        <w:t>1.节能环保产品清单及证明材料【如适用】</w:t>
      </w:r>
      <w:bookmarkEnd w:id="312"/>
      <w:bookmarkEnd w:id="313"/>
    </w:p>
    <w:p w14:paraId="793E1D44">
      <w:pPr>
        <w:spacing w:line="300" w:lineRule="auto"/>
        <w:jc w:val="center"/>
        <w:rPr>
          <w:rFonts w:hint="eastAsia" w:ascii="宋体" w:hAnsi="宋体" w:eastAsia="宋体" w:cs="宋体"/>
          <w:b w:val="0"/>
          <w:bCs w:val="0"/>
          <w:color w:val="auto"/>
          <w:sz w:val="28"/>
          <w:szCs w:val="28"/>
          <w:highlight w:val="none"/>
          <w:lang w:val="en-US" w:eastAsia="zh-CN"/>
        </w:rPr>
      </w:pPr>
    </w:p>
    <w:p w14:paraId="2529FCA7">
      <w:pPr>
        <w:spacing w:line="30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lang w:val="en-US" w:eastAsia="zh-CN"/>
        </w:rPr>
        <w:t>节能环保产品清单及证明材料</w:t>
      </w:r>
    </w:p>
    <w:p w14:paraId="4FBEC673">
      <w:pPr>
        <w:spacing w:line="300" w:lineRule="auto"/>
        <w:rPr>
          <w:rFonts w:hint="eastAsia" w:ascii="宋体" w:hAnsi="宋体" w:eastAsia="宋体" w:cs="宋体"/>
          <w:color w:val="auto"/>
          <w:sz w:val="24"/>
          <w:szCs w:val="24"/>
          <w:highlight w:val="none"/>
        </w:rPr>
      </w:pPr>
    </w:p>
    <w:p w14:paraId="21E61643">
      <w:pPr>
        <w:spacing w:line="30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14:paraId="54C1396D">
      <w:pPr>
        <w:spacing w:line="300" w:lineRule="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53992308">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节能产品</w:t>
      </w:r>
    </w:p>
    <w:tbl>
      <w:tblPr>
        <w:tblStyle w:val="35"/>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10"/>
        <w:gridCol w:w="1228"/>
        <w:gridCol w:w="1040"/>
        <w:gridCol w:w="848"/>
        <w:gridCol w:w="745"/>
        <w:gridCol w:w="693"/>
        <w:gridCol w:w="1207"/>
        <w:gridCol w:w="1310"/>
        <w:gridCol w:w="1694"/>
      </w:tblGrid>
      <w:tr w14:paraId="4927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662"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2541F57">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28" w:type="dxa"/>
            <w:tcBorders>
              <w:top w:val="single" w:color="auto" w:sz="4" w:space="0"/>
              <w:left w:val="single" w:color="auto" w:sz="4" w:space="0"/>
              <w:bottom w:val="single" w:color="auto" w:sz="4" w:space="0"/>
              <w:right w:val="single" w:color="auto" w:sz="4" w:space="0"/>
            </w:tcBorders>
            <w:vAlign w:val="center"/>
          </w:tcPr>
          <w:p w14:paraId="0FE105F2">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1040" w:type="dxa"/>
            <w:tcBorders>
              <w:top w:val="single" w:color="auto" w:sz="4" w:space="0"/>
              <w:left w:val="single" w:color="auto" w:sz="4" w:space="0"/>
              <w:bottom w:val="single" w:color="auto" w:sz="4" w:space="0"/>
              <w:right w:val="single" w:color="auto" w:sz="4" w:space="0"/>
            </w:tcBorders>
            <w:vAlign w:val="center"/>
          </w:tcPr>
          <w:p w14:paraId="1B8BD30D">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制造商名称</w:t>
            </w:r>
          </w:p>
        </w:tc>
        <w:tc>
          <w:tcPr>
            <w:tcW w:w="848" w:type="dxa"/>
            <w:tcBorders>
              <w:top w:val="single" w:color="auto" w:sz="4" w:space="0"/>
              <w:left w:val="single" w:color="auto" w:sz="4" w:space="0"/>
              <w:bottom w:val="single" w:color="auto" w:sz="4" w:space="0"/>
              <w:right w:val="single" w:color="auto" w:sz="4" w:space="0"/>
            </w:tcBorders>
            <w:vAlign w:val="center"/>
          </w:tcPr>
          <w:p w14:paraId="076121C6">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745" w:type="dxa"/>
            <w:tcBorders>
              <w:top w:val="single" w:color="auto" w:sz="4" w:space="0"/>
              <w:left w:val="single" w:color="auto" w:sz="4" w:space="0"/>
              <w:bottom w:val="single" w:color="auto" w:sz="4" w:space="0"/>
              <w:right w:val="single" w:color="auto" w:sz="4" w:space="0"/>
            </w:tcBorders>
            <w:vAlign w:val="center"/>
          </w:tcPr>
          <w:p w14:paraId="5AC441C5">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693" w:type="dxa"/>
            <w:tcBorders>
              <w:top w:val="single" w:color="auto" w:sz="4" w:space="0"/>
              <w:left w:val="single" w:color="auto" w:sz="4" w:space="0"/>
              <w:bottom w:val="single" w:color="auto" w:sz="4" w:space="0"/>
              <w:right w:val="single" w:color="auto" w:sz="4" w:space="0"/>
            </w:tcBorders>
            <w:vAlign w:val="center"/>
          </w:tcPr>
          <w:p w14:paraId="2F393873">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07" w:type="dxa"/>
            <w:tcBorders>
              <w:top w:val="single" w:color="auto" w:sz="4" w:space="0"/>
              <w:left w:val="single" w:color="auto" w:sz="4" w:space="0"/>
              <w:bottom w:val="single" w:color="auto" w:sz="4" w:space="0"/>
              <w:right w:val="single" w:color="auto" w:sz="4" w:space="0"/>
            </w:tcBorders>
            <w:vAlign w:val="center"/>
          </w:tcPr>
          <w:p w14:paraId="49ED1C1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2863ACD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310" w:type="dxa"/>
            <w:tcBorders>
              <w:top w:val="single" w:color="auto" w:sz="4" w:space="0"/>
              <w:left w:val="single" w:color="auto" w:sz="4" w:space="0"/>
              <w:bottom w:val="single" w:color="auto" w:sz="4" w:space="0"/>
              <w:right w:val="single" w:color="auto" w:sz="4" w:space="0"/>
            </w:tcBorders>
            <w:vAlign w:val="center"/>
          </w:tcPr>
          <w:p w14:paraId="5D5B4F21">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14:paraId="57BBAA13">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694" w:type="dxa"/>
            <w:tcBorders>
              <w:top w:val="single" w:color="auto" w:sz="4" w:space="0"/>
              <w:left w:val="single" w:color="auto" w:sz="4" w:space="0"/>
              <w:bottom w:val="single" w:color="auto" w:sz="4" w:space="0"/>
              <w:right w:val="single" w:color="auto" w:sz="4" w:space="0"/>
            </w:tcBorders>
            <w:vAlign w:val="center"/>
          </w:tcPr>
          <w:p w14:paraId="70897000">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属强制采购或优先采购</w:t>
            </w:r>
          </w:p>
        </w:tc>
      </w:tr>
      <w:tr w14:paraId="0D72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7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589C4C1">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28" w:type="dxa"/>
            <w:tcBorders>
              <w:top w:val="single" w:color="auto" w:sz="4" w:space="0"/>
              <w:left w:val="single" w:color="auto" w:sz="4" w:space="0"/>
              <w:bottom w:val="single" w:color="auto" w:sz="4" w:space="0"/>
              <w:right w:val="single" w:color="auto" w:sz="4" w:space="0"/>
            </w:tcBorders>
            <w:vAlign w:val="center"/>
          </w:tcPr>
          <w:p w14:paraId="4C2235DF">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542916C4">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48" w:type="dxa"/>
            <w:tcBorders>
              <w:top w:val="single" w:color="auto" w:sz="4" w:space="0"/>
              <w:left w:val="single" w:color="auto" w:sz="4" w:space="0"/>
              <w:bottom w:val="single" w:color="auto" w:sz="4" w:space="0"/>
              <w:right w:val="single" w:color="auto" w:sz="4" w:space="0"/>
            </w:tcBorders>
            <w:vAlign w:val="center"/>
          </w:tcPr>
          <w:p w14:paraId="21B8C8B5">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745" w:type="dxa"/>
            <w:tcBorders>
              <w:top w:val="single" w:color="auto" w:sz="4" w:space="0"/>
              <w:left w:val="single" w:color="auto" w:sz="4" w:space="0"/>
              <w:bottom w:val="single" w:color="auto" w:sz="4" w:space="0"/>
              <w:right w:val="single" w:color="auto" w:sz="4" w:space="0"/>
            </w:tcBorders>
            <w:vAlign w:val="center"/>
          </w:tcPr>
          <w:p w14:paraId="542C72C3">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693" w:type="dxa"/>
            <w:tcBorders>
              <w:top w:val="single" w:color="auto" w:sz="4" w:space="0"/>
              <w:left w:val="single" w:color="auto" w:sz="4" w:space="0"/>
              <w:bottom w:val="single" w:color="auto" w:sz="4" w:space="0"/>
              <w:right w:val="single" w:color="auto" w:sz="4" w:space="0"/>
            </w:tcBorders>
            <w:vAlign w:val="center"/>
          </w:tcPr>
          <w:p w14:paraId="16F4FDB1">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38ADD5EF">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vAlign w:val="center"/>
          </w:tcPr>
          <w:p w14:paraId="1616CCBD">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694" w:type="dxa"/>
            <w:tcBorders>
              <w:top w:val="single" w:color="auto" w:sz="4" w:space="0"/>
              <w:left w:val="single" w:color="auto" w:sz="4" w:space="0"/>
              <w:bottom w:val="single" w:color="auto" w:sz="4" w:space="0"/>
              <w:right w:val="single" w:color="auto" w:sz="4" w:space="0"/>
            </w:tcBorders>
            <w:vAlign w:val="center"/>
          </w:tcPr>
          <w:p w14:paraId="009F01B9">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r>
      <w:tr w14:paraId="476C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7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7961E66">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28" w:type="dxa"/>
            <w:tcBorders>
              <w:top w:val="single" w:color="auto" w:sz="4" w:space="0"/>
              <w:left w:val="single" w:color="auto" w:sz="4" w:space="0"/>
              <w:bottom w:val="single" w:color="auto" w:sz="4" w:space="0"/>
              <w:right w:val="single" w:color="auto" w:sz="4" w:space="0"/>
            </w:tcBorders>
            <w:vAlign w:val="center"/>
          </w:tcPr>
          <w:p w14:paraId="1977A850">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65D764AC">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48" w:type="dxa"/>
            <w:tcBorders>
              <w:top w:val="single" w:color="auto" w:sz="4" w:space="0"/>
              <w:left w:val="single" w:color="auto" w:sz="4" w:space="0"/>
              <w:bottom w:val="single" w:color="auto" w:sz="4" w:space="0"/>
              <w:right w:val="single" w:color="auto" w:sz="4" w:space="0"/>
            </w:tcBorders>
            <w:vAlign w:val="center"/>
          </w:tcPr>
          <w:p w14:paraId="623A08F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745" w:type="dxa"/>
            <w:tcBorders>
              <w:top w:val="single" w:color="auto" w:sz="4" w:space="0"/>
              <w:left w:val="single" w:color="auto" w:sz="4" w:space="0"/>
              <w:bottom w:val="single" w:color="auto" w:sz="4" w:space="0"/>
              <w:right w:val="single" w:color="auto" w:sz="4" w:space="0"/>
            </w:tcBorders>
            <w:vAlign w:val="center"/>
          </w:tcPr>
          <w:p w14:paraId="19B0824A">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693" w:type="dxa"/>
            <w:tcBorders>
              <w:top w:val="single" w:color="auto" w:sz="4" w:space="0"/>
              <w:left w:val="single" w:color="auto" w:sz="4" w:space="0"/>
              <w:bottom w:val="single" w:color="auto" w:sz="4" w:space="0"/>
              <w:right w:val="single" w:color="auto" w:sz="4" w:space="0"/>
            </w:tcBorders>
            <w:vAlign w:val="center"/>
          </w:tcPr>
          <w:p w14:paraId="196C5973">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3F00A09D">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vAlign w:val="center"/>
          </w:tcPr>
          <w:p w14:paraId="0266F062">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694" w:type="dxa"/>
            <w:tcBorders>
              <w:top w:val="single" w:color="auto" w:sz="4" w:space="0"/>
              <w:left w:val="single" w:color="auto" w:sz="4" w:space="0"/>
              <w:bottom w:val="single" w:color="auto" w:sz="4" w:space="0"/>
              <w:right w:val="single" w:color="auto" w:sz="4" w:space="0"/>
            </w:tcBorders>
            <w:vAlign w:val="center"/>
          </w:tcPr>
          <w:p w14:paraId="72A7A40F">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r>
      <w:tr w14:paraId="2809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8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0D3BA9E">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28" w:type="dxa"/>
            <w:tcBorders>
              <w:top w:val="single" w:color="auto" w:sz="4" w:space="0"/>
              <w:left w:val="single" w:color="auto" w:sz="4" w:space="0"/>
              <w:bottom w:val="single" w:color="auto" w:sz="4" w:space="0"/>
              <w:right w:val="single" w:color="auto" w:sz="4" w:space="0"/>
            </w:tcBorders>
            <w:vAlign w:val="center"/>
          </w:tcPr>
          <w:p w14:paraId="63FB4A24">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40" w:type="dxa"/>
            <w:tcBorders>
              <w:top w:val="single" w:color="auto" w:sz="4" w:space="0"/>
              <w:left w:val="single" w:color="auto" w:sz="4" w:space="0"/>
              <w:bottom w:val="single" w:color="auto" w:sz="4" w:space="0"/>
              <w:right w:val="single" w:color="auto" w:sz="4" w:space="0"/>
            </w:tcBorders>
            <w:vAlign w:val="center"/>
          </w:tcPr>
          <w:p w14:paraId="40BD7B57">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48" w:type="dxa"/>
            <w:tcBorders>
              <w:top w:val="single" w:color="auto" w:sz="4" w:space="0"/>
              <w:left w:val="single" w:color="auto" w:sz="4" w:space="0"/>
              <w:bottom w:val="single" w:color="auto" w:sz="4" w:space="0"/>
              <w:right w:val="single" w:color="auto" w:sz="4" w:space="0"/>
            </w:tcBorders>
            <w:vAlign w:val="center"/>
          </w:tcPr>
          <w:p w14:paraId="2F2BFF9F">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745" w:type="dxa"/>
            <w:tcBorders>
              <w:top w:val="single" w:color="auto" w:sz="4" w:space="0"/>
              <w:left w:val="single" w:color="auto" w:sz="4" w:space="0"/>
              <w:bottom w:val="single" w:color="auto" w:sz="4" w:space="0"/>
              <w:right w:val="single" w:color="auto" w:sz="4" w:space="0"/>
            </w:tcBorders>
            <w:vAlign w:val="center"/>
          </w:tcPr>
          <w:p w14:paraId="165DBFCC">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693" w:type="dxa"/>
            <w:tcBorders>
              <w:top w:val="single" w:color="auto" w:sz="4" w:space="0"/>
              <w:left w:val="single" w:color="auto" w:sz="4" w:space="0"/>
              <w:bottom w:val="single" w:color="auto" w:sz="4" w:space="0"/>
              <w:right w:val="single" w:color="auto" w:sz="4" w:space="0"/>
            </w:tcBorders>
            <w:vAlign w:val="center"/>
          </w:tcPr>
          <w:p w14:paraId="5A59D35A">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273F1275">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vAlign w:val="center"/>
          </w:tcPr>
          <w:p w14:paraId="034D9E4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694" w:type="dxa"/>
            <w:tcBorders>
              <w:top w:val="single" w:color="auto" w:sz="4" w:space="0"/>
              <w:left w:val="single" w:color="auto" w:sz="4" w:space="0"/>
              <w:bottom w:val="single" w:color="auto" w:sz="4" w:space="0"/>
              <w:right w:val="single" w:color="auto" w:sz="4" w:space="0"/>
            </w:tcBorders>
            <w:vAlign w:val="center"/>
          </w:tcPr>
          <w:p w14:paraId="17981005">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r>
    </w:tbl>
    <w:p w14:paraId="52F55380">
      <w:pPr>
        <w:spacing w:line="300" w:lineRule="auto"/>
        <w:rPr>
          <w:rFonts w:hint="eastAsia" w:ascii="宋体" w:hAnsi="宋体" w:eastAsia="宋体" w:cs="宋体"/>
          <w:color w:val="auto"/>
          <w:sz w:val="24"/>
          <w:szCs w:val="24"/>
          <w:highlight w:val="none"/>
        </w:rPr>
      </w:pPr>
    </w:p>
    <w:p w14:paraId="04B29A5F">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环保产品</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32"/>
        <w:gridCol w:w="1223"/>
        <w:gridCol w:w="1364"/>
        <w:gridCol w:w="875"/>
        <w:gridCol w:w="875"/>
        <w:gridCol w:w="1107"/>
        <w:gridCol w:w="1480"/>
        <w:gridCol w:w="1839"/>
      </w:tblGrid>
      <w:tr w14:paraId="7719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76F2CE67">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23" w:type="dxa"/>
            <w:tcBorders>
              <w:top w:val="single" w:color="auto" w:sz="4" w:space="0"/>
              <w:left w:val="single" w:color="auto" w:sz="4" w:space="0"/>
              <w:bottom w:val="single" w:color="auto" w:sz="4" w:space="0"/>
              <w:right w:val="single" w:color="auto" w:sz="4" w:space="0"/>
            </w:tcBorders>
            <w:vAlign w:val="center"/>
          </w:tcPr>
          <w:p w14:paraId="119B2D51">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1364" w:type="dxa"/>
            <w:tcBorders>
              <w:top w:val="single" w:color="auto" w:sz="4" w:space="0"/>
              <w:left w:val="single" w:color="auto" w:sz="4" w:space="0"/>
              <w:bottom w:val="single" w:color="auto" w:sz="4" w:space="0"/>
              <w:right w:val="single" w:color="auto" w:sz="4" w:space="0"/>
            </w:tcBorders>
            <w:vAlign w:val="center"/>
          </w:tcPr>
          <w:p w14:paraId="3B6F7AC9">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w:t>
            </w:r>
          </w:p>
          <w:p w14:paraId="19543F4E">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875" w:type="dxa"/>
            <w:tcBorders>
              <w:top w:val="single" w:color="auto" w:sz="4" w:space="0"/>
              <w:left w:val="single" w:color="auto" w:sz="4" w:space="0"/>
              <w:bottom w:val="single" w:color="auto" w:sz="4" w:space="0"/>
              <w:right w:val="single" w:color="auto" w:sz="4" w:space="0"/>
            </w:tcBorders>
            <w:vAlign w:val="center"/>
          </w:tcPr>
          <w:p w14:paraId="19F0D20F">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875" w:type="dxa"/>
            <w:tcBorders>
              <w:top w:val="single" w:color="auto" w:sz="4" w:space="0"/>
              <w:left w:val="single" w:color="auto" w:sz="4" w:space="0"/>
              <w:bottom w:val="single" w:color="auto" w:sz="4" w:space="0"/>
              <w:right w:val="single" w:color="auto" w:sz="4" w:space="0"/>
            </w:tcBorders>
            <w:vAlign w:val="center"/>
          </w:tcPr>
          <w:p w14:paraId="63158954">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107" w:type="dxa"/>
            <w:tcBorders>
              <w:top w:val="single" w:color="auto" w:sz="4" w:space="0"/>
              <w:left w:val="single" w:color="auto" w:sz="4" w:space="0"/>
              <w:bottom w:val="single" w:color="auto" w:sz="4" w:space="0"/>
              <w:right w:val="single" w:color="auto" w:sz="4" w:space="0"/>
            </w:tcBorders>
            <w:vAlign w:val="center"/>
          </w:tcPr>
          <w:p w14:paraId="6C70C1C1">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80" w:type="dxa"/>
            <w:tcBorders>
              <w:top w:val="single" w:color="auto" w:sz="4" w:space="0"/>
              <w:left w:val="single" w:color="auto" w:sz="4" w:space="0"/>
              <w:bottom w:val="single" w:color="auto" w:sz="4" w:space="0"/>
              <w:right w:val="single" w:color="auto" w:sz="4" w:space="0"/>
            </w:tcBorders>
            <w:vAlign w:val="center"/>
          </w:tcPr>
          <w:p w14:paraId="321C514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1BA24DC5">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39" w:type="dxa"/>
            <w:tcBorders>
              <w:top w:val="single" w:color="auto" w:sz="4" w:space="0"/>
              <w:left w:val="single" w:color="auto" w:sz="4" w:space="0"/>
              <w:bottom w:val="single" w:color="auto" w:sz="4" w:space="0"/>
              <w:right w:val="single" w:color="auto" w:sz="4" w:space="0"/>
            </w:tcBorders>
            <w:vAlign w:val="center"/>
          </w:tcPr>
          <w:p w14:paraId="5A6B521B">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14:paraId="7545C6C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11E8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82B1ECC">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vAlign w:val="center"/>
          </w:tcPr>
          <w:p w14:paraId="73F5EAC5">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2EBA94C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14:paraId="41BA8C1B">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14:paraId="294F289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1F53D877">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5D52D67F">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839" w:type="dxa"/>
            <w:tcBorders>
              <w:top w:val="single" w:color="auto" w:sz="4" w:space="0"/>
              <w:left w:val="single" w:color="auto" w:sz="4" w:space="0"/>
              <w:bottom w:val="single" w:color="auto" w:sz="4" w:space="0"/>
              <w:right w:val="single" w:color="auto" w:sz="4" w:space="0"/>
            </w:tcBorders>
            <w:vAlign w:val="center"/>
          </w:tcPr>
          <w:p w14:paraId="361E67B0">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r>
      <w:tr w14:paraId="3764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100BC1EF">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vAlign w:val="center"/>
          </w:tcPr>
          <w:p w14:paraId="643556CE">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2CF8E529">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14:paraId="1D059D1D">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14:paraId="652C69A3">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73C63601">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5D876976">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839" w:type="dxa"/>
            <w:tcBorders>
              <w:top w:val="single" w:color="auto" w:sz="4" w:space="0"/>
              <w:left w:val="single" w:color="auto" w:sz="4" w:space="0"/>
              <w:bottom w:val="single" w:color="auto" w:sz="4" w:space="0"/>
              <w:right w:val="single" w:color="auto" w:sz="4" w:space="0"/>
            </w:tcBorders>
            <w:vAlign w:val="center"/>
          </w:tcPr>
          <w:p w14:paraId="449D4190">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r>
      <w:tr w14:paraId="6FB7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6485D3B">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vAlign w:val="center"/>
          </w:tcPr>
          <w:p w14:paraId="6BDD043A">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64" w:type="dxa"/>
            <w:tcBorders>
              <w:top w:val="single" w:color="auto" w:sz="4" w:space="0"/>
              <w:left w:val="single" w:color="auto" w:sz="4" w:space="0"/>
              <w:bottom w:val="single" w:color="auto" w:sz="4" w:space="0"/>
              <w:right w:val="single" w:color="auto" w:sz="4" w:space="0"/>
            </w:tcBorders>
            <w:vAlign w:val="center"/>
          </w:tcPr>
          <w:p w14:paraId="5070386B">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14:paraId="0AABA343">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14:paraId="56BF561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41097DE1">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358A5E37">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839" w:type="dxa"/>
            <w:tcBorders>
              <w:top w:val="single" w:color="auto" w:sz="4" w:space="0"/>
              <w:left w:val="single" w:color="auto" w:sz="4" w:space="0"/>
              <w:bottom w:val="single" w:color="auto" w:sz="4" w:space="0"/>
              <w:right w:val="single" w:color="auto" w:sz="4" w:space="0"/>
            </w:tcBorders>
            <w:vAlign w:val="center"/>
          </w:tcPr>
          <w:p w14:paraId="6792A0A2">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r>
    </w:tbl>
    <w:p w14:paraId="0D77E225">
      <w:pPr>
        <w:spacing w:line="300" w:lineRule="auto"/>
        <w:rPr>
          <w:rFonts w:ascii="Arial" w:hAnsi="Arial" w:cs="Arial"/>
          <w:color w:val="auto"/>
          <w:szCs w:val="21"/>
          <w:highlight w:val="none"/>
        </w:rPr>
      </w:pPr>
    </w:p>
    <w:p w14:paraId="43EFA7DC">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37240257">
      <w:pPr>
        <w:pStyle w:val="34"/>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p>
    <w:p w14:paraId="48469283">
      <w:pPr>
        <w:pStyle w:val="34"/>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p>
    <w:p w14:paraId="29B9E8E0">
      <w:pPr>
        <w:pStyle w:val="34"/>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p>
    <w:p w14:paraId="6FDFB9A5">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bidi="ar"/>
        </w:rPr>
        <w:t>名称（盖章）：</w:t>
      </w:r>
    </w:p>
    <w:p w14:paraId="1129E0D4">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1DCCC641">
      <w:pPr>
        <w:spacing w:line="300" w:lineRule="auto"/>
        <w:rPr>
          <w:rFonts w:hint="default" w:ascii="Arial" w:hAnsi="Arial" w:eastAsia="宋体" w:cs="Arial"/>
          <w:color w:val="auto"/>
          <w:sz w:val="24"/>
          <w:szCs w:val="24"/>
          <w:highlight w:val="none"/>
          <w:u w:val="single"/>
          <w:lang w:val="en-US" w:eastAsia="zh-CN"/>
        </w:rPr>
      </w:pPr>
    </w:p>
    <w:p w14:paraId="1DD2EC03">
      <w:pPr>
        <w:rPr>
          <w:rFonts w:ascii="Arial" w:hAnsi="Arial" w:cs="Arial"/>
          <w:color w:val="auto"/>
          <w:sz w:val="24"/>
          <w:szCs w:val="24"/>
          <w:highlight w:val="none"/>
        </w:rPr>
        <w:sectPr>
          <w:pgSz w:w="11900" w:h="16838"/>
          <w:pgMar w:top="1134" w:right="1134" w:bottom="1134" w:left="1134" w:header="737" w:footer="737" w:gutter="0"/>
          <w:pgNumType w:fmt="numberInDash"/>
          <w:cols w:space="0" w:num="1"/>
          <w:rtlGutter w:val="0"/>
          <w:docGrid w:linePitch="317" w:charSpace="0"/>
        </w:sectPr>
      </w:pPr>
    </w:p>
    <w:p w14:paraId="14C05AF9">
      <w:pPr>
        <w:pStyle w:val="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sz w:val="28"/>
          <w:szCs w:val="28"/>
          <w:highlight w:val="none"/>
          <w:lang w:val="en-US" w:eastAsia="zh-CN"/>
        </w:rPr>
      </w:pPr>
      <w:bookmarkStart w:id="322" w:name="_Toc163492939"/>
      <w:bookmarkStart w:id="323" w:name="_Toc6623"/>
      <w:r>
        <w:rPr>
          <w:rFonts w:hint="eastAsia" w:ascii="宋体" w:hAnsi="宋体" w:eastAsia="宋体" w:cs="宋体"/>
          <w:color w:val="auto"/>
          <w:sz w:val="28"/>
          <w:szCs w:val="28"/>
          <w:highlight w:val="none"/>
          <w:lang w:val="en-US" w:eastAsia="zh-CN"/>
        </w:rPr>
        <w:t>2.中小企业声明函</w:t>
      </w:r>
      <w:bookmarkEnd w:id="322"/>
      <w:r>
        <w:rPr>
          <w:rFonts w:hint="eastAsia" w:ascii="宋体" w:hAnsi="宋体" w:eastAsia="宋体" w:cs="宋体"/>
          <w:color w:val="auto"/>
          <w:sz w:val="28"/>
          <w:szCs w:val="28"/>
          <w:highlight w:val="none"/>
          <w:lang w:val="en-US" w:eastAsia="zh-CN"/>
        </w:rPr>
        <w:t>【如适用】</w:t>
      </w:r>
      <w:bookmarkEnd w:id="323"/>
    </w:p>
    <w:p w14:paraId="2F5908EE">
      <w:pPr>
        <w:rPr>
          <w:rFonts w:hint="eastAsia" w:ascii="宋体" w:hAnsi="宋体" w:eastAsia="宋体" w:cs="宋体"/>
          <w:color w:val="auto"/>
          <w:sz w:val="28"/>
          <w:szCs w:val="28"/>
          <w:highlight w:val="none"/>
        </w:rPr>
      </w:pPr>
    </w:p>
    <w:p w14:paraId="391530F2">
      <w:pPr>
        <w:spacing w:line="30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中小企业声明函</w:t>
      </w:r>
      <w:bookmarkEnd w:id="314"/>
      <w:bookmarkEnd w:id="315"/>
      <w:bookmarkEnd w:id="316"/>
    </w:p>
    <w:p w14:paraId="0BC6957B">
      <w:pPr>
        <w:spacing w:line="30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（货物）</w:t>
      </w:r>
      <w:bookmarkEnd w:id="317"/>
      <w:bookmarkEnd w:id="318"/>
      <w:bookmarkEnd w:id="319"/>
      <w:bookmarkEnd w:id="320"/>
      <w:bookmarkEnd w:id="321"/>
    </w:p>
    <w:p w14:paraId="64045F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p w14:paraId="49FD922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本公司（联合体）郑重声明，根据《政府采购促进中小企业发展管理办法》（财库</w:t>
      </w:r>
      <w:r>
        <w:rPr>
          <w:rFonts w:hint="eastAsia" w:ascii="宋体" w:hAnsi="宋体" w:eastAsia="宋体" w:cs="宋体"/>
          <w:color w:val="auto"/>
          <w:sz w:val="24"/>
          <w:szCs w:val="24"/>
          <w:highlight w:val="none"/>
        </w:rPr>
        <w:t>〔2020〕</w:t>
      </w:r>
      <w:r>
        <w:rPr>
          <w:rFonts w:hint="eastAsia" w:ascii="宋体" w:hAnsi="宋体" w:eastAsia="宋体" w:cs="宋体"/>
          <w:color w:val="auto"/>
          <w:kern w:val="0"/>
          <w:sz w:val="24"/>
          <w:szCs w:val="24"/>
          <w:highlight w:val="none"/>
          <w:lang w:bidi="ar"/>
        </w:rPr>
        <w:t>46号）的规定，本公司（联合体）参加</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b/>
          <w:bCs/>
          <w:i w:val="0"/>
          <w:iCs w:val="0"/>
          <w:color w:val="auto"/>
          <w:sz w:val="24"/>
          <w:szCs w:val="24"/>
          <w:highlight w:val="none"/>
          <w:u w:val="single"/>
          <w:lang w:val="en-US" w:eastAsia="zh-CN"/>
        </w:rPr>
        <w:t>采购人名称</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b/>
          <w:bCs/>
          <w:i w:val="0"/>
          <w:iCs w:val="0"/>
          <w:color w:val="auto"/>
          <w:sz w:val="24"/>
          <w:szCs w:val="24"/>
          <w:highlight w:val="none"/>
          <w:u w:val="single"/>
          <w:lang w:val="en-US" w:eastAsia="zh-CN"/>
        </w:rPr>
        <w:t>项目名称、标项号、项名编号</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color w:val="auto"/>
          <w:kern w:val="0"/>
          <w:sz w:val="24"/>
          <w:szCs w:val="24"/>
          <w:highlight w:val="none"/>
          <w:lang w:bidi="ar"/>
        </w:rPr>
        <w:t>采购活动，提供的货物全部由符合政策要求的中小企业制造。相关企业（含联合体中的中小企业、签订分包意向协议的中小企业）的具体情况如下：</w:t>
      </w:r>
    </w:p>
    <w:p w14:paraId="439C935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b/>
          <w:bCs/>
          <w:i w:val="0"/>
          <w:iCs/>
          <w:color w:val="auto"/>
          <w:kern w:val="0"/>
          <w:sz w:val="24"/>
          <w:szCs w:val="24"/>
          <w:highlight w:val="none"/>
          <w:u w:val="single"/>
          <w:lang w:val="en-US" w:eastAsia="zh-CN" w:bidi="ar"/>
        </w:rPr>
        <w:t>标的名称</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i w:val="0"/>
          <w:iCs/>
          <w:color w:val="auto"/>
          <w:kern w:val="0"/>
          <w:sz w:val="24"/>
          <w:szCs w:val="24"/>
          <w:highlight w:val="none"/>
          <w:u w:val="single"/>
          <w:lang w:bidi="ar"/>
        </w:rPr>
        <w:t>（</w:t>
      </w:r>
      <w:r>
        <w:rPr>
          <w:rFonts w:hint="eastAsia" w:ascii="宋体" w:hAnsi="宋体" w:eastAsia="宋体" w:cs="宋体"/>
          <w:b/>
          <w:bCs/>
          <w:i w:val="0"/>
          <w:iCs/>
          <w:color w:val="auto"/>
          <w:kern w:val="0"/>
          <w:sz w:val="24"/>
          <w:szCs w:val="24"/>
          <w:highlight w:val="none"/>
          <w:u w:val="single"/>
          <w:lang w:bidi="ar"/>
        </w:rPr>
        <w:t>采购文件中明确的所属行业</w:t>
      </w:r>
      <w:r>
        <w:rPr>
          <w:rFonts w:hint="eastAsia" w:ascii="宋体" w:hAnsi="宋体" w:eastAsia="宋体" w:cs="宋体"/>
          <w:i w:val="0"/>
          <w:iCs/>
          <w:color w:val="auto"/>
          <w:kern w:val="0"/>
          <w:sz w:val="24"/>
          <w:szCs w:val="24"/>
          <w:highlight w:val="none"/>
          <w:u w:val="single"/>
          <w:lang w:bidi="ar"/>
        </w:rPr>
        <w:t>）</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行业；制造商为</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b/>
          <w:bCs/>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b/>
          <w:bCs/>
          <w:i/>
          <w:color w:val="auto"/>
          <w:kern w:val="0"/>
          <w:sz w:val="24"/>
          <w:szCs w:val="24"/>
          <w:highlight w:val="none"/>
          <w:u w:val="single"/>
          <w:lang w:bidi="ar"/>
        </w:rPr>
        <w:t>中型企业、小型企业、微型企业</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color w:val="auto"/>
          <w:kern w:val="0"/>
          <w:sz w:val="24"/>
          <w:szCs w:val="24"/>
          <w:highlight w:val="none"/>
          <w:lang w:bidi="ar"/>
        </w:rPr>
        <w:t>；</w:t>
      </w:r>
    </w:p>
    <w:p w14:paraId="3F893DB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b/>
          <w:bCs/>
          <w:i w:val="0"/>
          <w:iCs/>
          <w:color w:val="auto"/>
          <w:kern w:val="0"/>
          <w:sz w:val="24"/>
          <w:szCs w:val="24"/>
          <w:highlight w:val="none"/>
          <w:u w:val="single"/>
          <w:lang w:val="en-US" w:eastAsia="zh-CN" w:bidi="ar"/>
        </w:rPr>
        <w:t>标的名称</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i w:val="0"/>
          <w:iCs/>
          <w:color w:val="auto"/>
          <w:kern w:val="0"/>
          <w:sz w:val="24"/>
          <w:szCs w:val="24"/>
          <w:highlight w:val="none"/>
          <w:u w:val="single"/>
          <w:lang w:bidi="ar"/>
        </w:rPr>
        <w:t>（</w:t>
      </w:r>
      <w:r>
        <w:rPr>
          <w:rFonts w:hint="eastAsia" w:ascii="宋体" w:hAnsi="宋体" w:eastAsia="宋体" w:cs="宋体"/>
          <w:b/>
          <w:bCs/>
          <w:i w:val="0"/>
          <w:iCs/>
          <w:color w:val="auto"/>
          <w:kern w:val="0"/>
          <w:sz w:val="24"/>
          <w:szCs w:val="24"/>
          <w:highlight w:val="none"/>
          <w:u w:val="single"/>
          <w:lang w:bidi="ar"/>
        </w:rPr>
        <w:t>采购文件中明确的所属行业</w:t>
      </w:r>
      <w:r>
        <w:rPr>
          <w:rFonts w:hint="eastAsia" w:ascii="宋体" w:hAnsi="宋体" w:eastAsia="宋体" w:cs="宋体"/>
          <w:i w:val="0"/>
          <w:iCs/>
          <w:color w:val="auto"/>
          <w:kern w:val="0"/>
          <w:sz w:val="24"/>
          <w:szCs w:val="24"/>
          <w:highlight w:val="none"/>
          <w:u w:val="single"/>
          <w:lang w:bidi="ar"/>
        </w:rPr>
        <w:t>）</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行业；制造商为</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b/>
          <w:bCs/>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b/>
          <w:bCs/>
          <w:i/>
          <w:color w:val="auto"/>
          <w:kern w:val="0"/>
          <w:sz w:val="24"/>
          <w:szCs w:val="24"/>
          <w:highlight w:val="none"/>
          <w:u w:val="single"/>
          <w:lang w:bidi="ar"/>
        </w:rPr>
        <w:t>中型企业、小型企业、微型企业</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color w:val="auto"/>
          <w:kern w:val="0"/>
          <w:sz w:val="24"/>
          <w:szCs w:val="24"/>
          <w:highlight w:val="none"/>
          <w:lang w:bidi="ar"/>
        </w:rPr>
        <w:t>；</w:t>
      </w:r>
    </w:p>
    <w:p w14:paraId="4645B87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b/>
          <w:bCs/>
          <w:i w:val="0"/>
          <w:iCs/>
          <w:color w:val="auto"/>
          <w:kern w:val="0"/>
          <w:sz w:val="24"/>
          <w:szCs w:val="24"/>
          <w:highlight w:val="none"/>
          <w:u w:val="single"/>
          <w:lang w:val="en-US" w:eastAsia="zh-CN" w:bidi="ar"/>
        </w:rPr>
        <w:t>标的名称</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i w:val="0"/>
          <w:iCs/>
          <w:color w:val="auto"/>
          <w:kern w:val="0"/>
          <w:sz w:val="24"/>
          <w:szCs w:val="24"/>
          <w:highlight w:val="none"/>
          <w:u w:val="single"/>
          <w:lang w:bidi="ar"/>
        </w:rPr>
        <w:t>（</w:t>
      </w:r>
      <w:r>
        <w:rPr>
          <w:rFonts w:hint="eastAsia" w:ascii="宋体" w:hAnsi="宋体" w:eastAsia="宋体" w:cs="宋体"/>
          <w:b/>
          <w:bCs/>
          <w:i w:val="0"/>
          <w:iCs/>
          <w:color w:val="auto"/>
          <w:kern w:val="0"/>
          <w:sz w:val="24"/>
          <w:szCs w:val="24"/>
          <w:highlight w:val="none"/>
          <w:u w:val="single"/>
          <w:lang w:bidi="ar"/>
        </w:rPr>
        <w:t>采购文件中明确的所属行业</w:t>
      </w:r>
      <w:r>
        <w:rPr>
          <w:rFonts w:hint="eastAsia" w:ascii="宋体" w:hAnsi="宋体" w:eastAsia="宋体" w:cs="宋体"/>
          <w:i w:val="0"/>
          <w:iCs/>
          <w:color w:val="auto"/>
          <w:kern w:val="0"/>
          <w:sz w:val="24"/>
          <w:szCs w:val="24"/>
          <w:highlight w:val="none"/>
          <w:u w:val="single"/>
          <w:lang w:bidi="ar"/>
        </w:rPr>
        <w:t>）</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行业；制造商为</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b/>
          <w:bCs/>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b/>
          <w:bCs/>
          <w:i/>
          <w:color w:val="auto"/>
          <w:kern w:val="0"/>
          <w:sz w:val="24"/>
          <w:szCs w:val="24"/>
          <w:highlight w:val="none"/>
          <w:u w:val="single"/>
          <w:lang w:bidi="ar"/>
        </w:rPr>
        <w:t>中型企业、小型企业、微型企业</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color w:val="auto"/>
          <w:kern w:val="0"/>
          <w:sz w:val="24"/>
          <w:szCs w:val="24"/>
          <w:highlight w:val="none"/>
          <w:lang w:bidi="ar"/>
        </w:rPr>
        <w:t>；</w:t>
      </w:r>
    </w:p>
    <w:p w14:paraId="469719D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p>
    <w:p w14:paraId="1663C19A">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14:paraId="19BC57F5">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本企业对上述声明内容的真实性负责。如有虚假，将依法承担相应责任。</w:t>
      </w:r>
    </w:p>
    <w:p w14:paraId="24B2ACF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rPr>
      </w:pPr>
    </w:p>
    <w:p w14:paraId="3156C4D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rPr>
      </w:pPr>
    </w:p>
    <w:p w14:paraId="1120E955">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rPr>
      </w:pPr>
    </w:p>
    <w:p w14:paraId="26BD6E7D">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bidi="ar"/>
        </w:rPr>
        <w:t>名称（盖章）：</w:t>
      </w:r>
      <w:r>
        <w:rPr>
          <w:rFonts w:hint="eastAsia" w:ascii="宋体" w:hAnsi="宋体" w:eastAsia="宋体" w:cs="宋体"/>
          <w:bCs/>
          <w:color w:val="auto"/>
          <w:sz w:val="24"/>
          <w:szCs w:val="24"/>
          <w:highlight w:val="none"/>
          <w:u w:val="single"/>
          <w:lang w:val="zh-CN"/>
        </w:rPr>
        <w:t xml:space="preserve">              </w:t>
      </w:r>
    </w:p>
    <w:p w14:paraId="19749CB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firstLine="5280" w:firstLineChars="2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日 </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期：</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年</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月</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日</w:t>
      </w:r>
    </w:p>
    <w:p w14:paraId="75155D7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p>
    <w:p w14:paraId="63D6382A">
      <w:pP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说明：</w:t>
      </w:r>
    </w:p>
    <w:p w14:paraId="5A3A664E">
      <w:pPr>
        <w:ind w:firstLine="444" w:firstLineChars="200"/>
        <w:rPr>
          <w:rFonts w:hint="eastAsia" w:ascii="宋体" w:hAnsi="宋体" w:eastAsia="宋体" w:cs="宋体"/>
          <w:b w:val="0"/>
          <w:bCs w:val="0"/>
          <w:color w:val="auto"/>
          <w:spacing w:val="6"/>
          <w:sz w:val="21"/>
          <w:szCs w:val="21"/>
          <w:highlight w:val="none"/>
          <w:lang w:val="en-US" w:eastAsia="zh-CN"/>
        </w:rPr>
      </w:pPr>
      <w:r>
        <w:rPr>
          <w:rFonts w:hint="eastAsia" w:ascii="宋体" w:hAnsi="宋体" w:eastAsia="宋体" w:cs="宋体"/>
          <w:b w:val="0"/>
          <w:bCs w:val="0"/>
          <w:color w:val="auto"/>
          <w:spacing w:val="6"/>
          <w:sz w:val="21"/>
          <w:szCs w:val="21"/>
          <w:highlight w:val="none"/>
          <w:lang w:val="en-US" w:eastAsia="zh-CN"/>
        </w:rPr>
        <w:t>1.</w:t>
      </w:r>
      <w:r>
        <w:rPr>
          <w:rFonts w:hint="eastAsia" w:ascii="宋体" w:hAnsi="宋体" w:eastAsia="宋体" w:cs="宋体"/>
          <w:b/>
          <w:bCs/>
          <w:color w:val="auto"/>
          <w:spacing w:val="6"/>
          <w:sz w:val="21"/>
          <w:szCs w:val="21"/>
          <w:highlight w:val="none"/>
          <w:lang w:val="en-US" w:eastAsia="zh-CN"/>
        </w:rPr>
        <w:t>重要提示</w:t>
      </w:r>
      <w:r>
        <w:rPr>
          <w:rFonts w:hint="eastAsia" w:ascii="宋体" w:hAnsi="宋体" w:eastAsia="宋体" w:cs="宋体"/>
          <w:b w:val="0"/>
          <w:bCs w:val="0"/>
          <w:color w:val="auto"/>
          <w:spacing w:val="6"/>
          <w:sz w:val="21"/>
          <w:szCs w:val="21"/>
          <w:highlight w:val="none"/>
          <w:lang w:val="en-US" w:eastAsia="zh-CN"/>
        </w:rPr>
        <w:t>：供应商应仔细阅读“第八章附件1”关于</w:t>
      </w:r>
      <w:r>
        <w:rPr>
          <w:rFonts w:hint="eastAsia" w:ascii="宋体" w:hAnsi="宋体" w:eastAsia="宋体" w:cs="宋体"/>
          <w:b w:val="0"/>
          <w:bCs w:val="0"/>
          <w:color w:val="auto"/>
          <w:spacing w:val="-6"/>
          <w:kern w:val="0"/>
          <w:sz w:val="21"/>
          <w:szCs w:val="21"/>
          <w:highlight w:val="none"/>
          <w:lang w:val="en-US" w:eastAsia="zh-CN" w:bidi="ar"/>
        </w:rPr>
        <w:t>“</w:t>
      </w:r>
      <w:r>
        <w:rPr>
          <w:rFonts w:hint="eastAsia" w:ascii="宋体" w:hAnsi="宋体" w:eastAsia="宋体" w:cs="宋体"/>
          <w:b w:val="0"/>
          <w:bCs w:val="0"/>
          <w:color w:val="auto"/>
          <w:spacing w:val="6"/>
          <w:sz w:val="21"/>
          <w:szCs w:val="21"/>
          <w:highlight w:val="none"/>
          <w:lang w:val="en-US" w:eastAsia="zh-CN"/>
        </w:rPr>
        <w:t>中小企业声明函”的填写要求及提交要求，否则，因填写或提交等产生的一切不利后果，须自行承担。</w:t>
      </w:r>
    </w:p>
    <w:p w14:paraId="3104F675">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b w:val="0"/>
          <w:bCs w:val="0"/>
          <w:color w:val="auto"/>
          <w:sz w:val="21"/>
          <w:szCs w:val="21"/>
          <w:highlight w:val="none"/>
          <w:lang w:val="en-US" w:eastAsia="zh-CN"/>
        </w:rPr>
        <w:sectPr>
          <w:pgSz w:w="11900" w:h="16838"/>
          <w:pgMar w:top="1134" w:right="1134" w:bottom="1134" w:left="1134" w:header="737" w:footer="737" w:gutter="0"/>
          <w:pgNumType w:fmt="numberInDash"/>
          <w:cols w:space="0" w:num="1"/>
          <w:rtlGutter w:val="0"/>
          <w:docGrid w:linePitch="317" w:charSpace="0"/>
        </w:sectPr>
      </w:pPr>
      <w:r>
        <w:rPr>
          <w:rFonts w:hint="eastAsia" w:ascii="宋体" w:hAnsi="宋体" w:eastAsia="宋体" w:cs="宋体"/>
          <w:b w:val="0"/>
          <w:bCs w:val="0"/>
          <w:color w:val="auto"/>
          <w:spacing w:val="6"/>
          <w:sz w:val="21"/>
          <w:szCs w:val="21"/>
          <w:highlight w:val="none"/>
          <w:lang w:val="en-US" w:eastAsia="zh-CN"/>
        </w:rPr>
        <w:t>2.</w:t>
      </w:r>
      <w:r>
        <w:rPr>
          <w:rFonts w:hint="eastAsia" w:ascii="宋体" w:hAnsi="宋体" w:eastAsia="宋体" w:cs="宋体"/>
          <w:b w:val="0"/>
          <w:bCs w:val="0"/>
          <w:color w:val="auto"/>
          <w:spacing w:val="6"/>
          <w:sz w:val="21"/>
          <w:szCs w:val="21"/>
          <w:highlight w:val="none"/>
        </w:rPr>
        <w:t>从业人员、营业收入、资产总额填报上一年度数据，无上一年度数据的新成立企业可不填报。</w:t>
      </w:r>
    </w:p>
    <w:p w14:paraId="15BC2814">
      <w:pPr>
        <w:pStyle w:val="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sz w:val="28"/>
          <w:szCs w:val="28"/>
          <w:highlight w:val="none"/>
          <w:lang w:val="en-US" w:eastAsia="zh-CN"/>
        </w:rPr>
      </w:pPr>
      <w:bookmarkStart w:id="324" w:name="_Toc9965"/>
      <w:bookmarkStart w:id="325" w:name="_Toc30824"/>
      <w:r>
        <w:rPr>
          <w:rFonts w:hint="eastAsia" w:ascii="宋体" w:hAnsi="宋体" w:eastAsia="宋体" w:cs="宋体"/>
          <w:color w:val="auto"/>
          <w:sz w:val="28"/>
          <w:szCs w:val="28"/>
          <w:highlight w:val="none"/>
          <w:lang w:val="en-US" w:eastAsia="zh-CN"/>
        </w:rPr>
        <w:t>3.监狱企业证明文件【如适用】</w:t>
      </w:r>
      <w:bookmarkEnd w:id="324"/>
    </w:p>
    <w:p w14:paraId="2953811C">
      <w:pPr>
        <w:keepNext w:val="0"/>
        <w:keepLines w:val="0"/>
        <w:pageBreakBefore w:val="0"/>
        <w:widowControl w:val="0"/>
        <w:kinsoku/>
        <w:wordWrap w:val="0"/>
        <w:overflowPunct/>
        <w:topLinePunct/>
        <w:autoSpaceDE/>
        <w:autoSpaceDN/>
        <w:bidi w:val="0"/>
        <w:adjustRightInd w:val="0"/>
        <w:snapToGrid w:val="0"/>
        <w:spacing w:line="360" w:lineRule="auto"/>
        <w:ind w:right="0" w:firstLine="504" w:firstLineChars="200"/>
        <w:textAlignment w:val="auto"/>
        <w:rPr>
          <w:rFonts w:hint="eastAsia" w:ascii="宋体" w:hAnsi="宋体" w:eastAsia="宋体" w:cs="宋体"/>
          <w:color w:val="auto"/>
          <w:spacing w:val="6"/>
          <w:sz w:val="24"/>
          <w:szCs w:val="24"/>
          <w:highlight w:val="none"/>
        </w:rPr>
      </w:pPr>
    </w:p>
    <w:bookmarkEnd w:id="325"/>
    <w:p w14:paraId="7C6DB983">
      <w:pPr>
        <w:keepNext w:val="0"/>
        <w:keepLines w:val="0"/>
        <w:pageBreakBefore w:val="0"/>
        <w:widowControl w:val="0"/>
        <w:kinsoku/>
        <w:wordWrap w:val="0"/>
        <w:overflowPunct/>
        <w:topLinePunct/>
        <w:autoSpaceDE/>
        <w:autoSpaceDN/>
        <w:bidi w:val="0"/>
        <w:adjustRightInd w:val="0"/>
        <w:snapToGrid w:val="0"/>
        <w:spacing w:line="360" w:lineRule="auto"/>
        <w:ind w:right="0"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pacing w:val="6"/>
          <w:sz w:val="24"/>
          <w:szCs w:val="24"/>
          <w:highlight w:val="none"/>
          <w:lang w:val="en-US" w:eastAsia="zh-CN"/>
        </w:rPr>
        <w:t>如下</w:t>
      </w:r>
      <w:r>
        <w:rPr>
          <w:rFonts w:hint="eastAsia" w:ascii="宋体" w:hAnsi="宋体" w:eastAsia="宋体" w:cs="宋体"/>
          <w:color w:val="auto"/>
          <w:spacing w:val="6"/>
          <w:sz w:val="24"/>
          <w:szCs w:val="24"/>
          <w:highlight w:val="none"/>
        </w:rPr>
        <w:t>】。</w:t>
      </w:r>
    </w:p>
    <w:p w14:paraId="0972AEE3">
      <w:pPr>
        <w:pStyle w:val="20"/>
        <w:spacing w:line="360" w:lineRule="auto"/>
        <w:jc w:val="center"/>
        <w:rPr>
          <w:rFonts w:hint="eastAsia" w:ascii="宋体" w:hAnsi="宋体" w:eastAsia="宋体" w:cs="宋体"/>
          <w:b/>
          <w:bCs w:val="0"/>
          <w:color w:val="auto"/>
          <w:sz w:val="32"/>
          <w:szCs w:val="32"/>
          <w:highlight w:val="none"/>
        </w:rPr>
      </w:pPr>
    </w:p>
    <w:p w14:paraId="67C2C67B">
      <w:pPr>
        <w:pStyle w:val="20"/>
        <w:spacing w:line="36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监狱企业证明函</w:t>
      </w:r>
    </w:p>
    <w:p w14:paraId="210351F2">
      <w:pPr>
        <w:keepNext w:val="0"/>
        <w:keepLines w:val="0"/>
        <w:pageBreakBefore w:val="0"/>
        <w:widowControl w:val="0"/>
        <w:kinsoku/>
        <w:wordWrap w:val="0"/>
        <w:overflowPunct/>
        <w:topLinePunct/>
        <w:autoSpaceDE/>
        <w:autoSpaceDN/>
        <w:bidi w:val="0"/>
        <w:adjustRightInd w:val="0"/>
        <w:snapToGrid w:val="0"/>
        <w:spacing w:line="360" w:lineRule="auto"/>
        <w:ind w:right="0" w:firstLine="504" w:firstLineChars="200"/>
        <w:textAlignment w:val="auto"/>
        <w:rPr>
          <w:rFonts w:hint="eastAsia" w:ascii="宋体" w:hAnsi="宋体" w:eastAsia="宋体" w:cs="宋体"/>
          <w:color w:val="auto"/>
          <w:spacing w:val="6"/>
          <w:sz w:val="24"/>
          <w:szCs w:val="24"/>
          <w:highlight w:val="none"/>
        </w:rPr>
      </w:pPr>
    </w:p>
    <w:p w14:paraId="4564A2CD">
      <w:pPr>
        <w:keepNext w:val="0"/>
        <w:keepLines w:val="0"/>
        <w:pageBreakBefore w:val="0"/>
        <w:widowControl w:val="0"/>
        <w:kinsoku/>
        <w:wordWrap w:val="0"/>
        <w:overflowPunct/>
        <w:topLinePunct/>
        <w:autoSpaceDE/>
        <w:autoSpaceDN/>
        <w:bidi w:val="0"/>
        <w:adjustRightInd w:val="0"/>
        <w:snapToGrid w:val="0"/>
        <w:spacing w:line="360" w:lineRule="auto"/>
        <w:ind w:right="0"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本公司郑重声明，根据财政部、司法部《关于政府采购支持监狱企业发展有关问题的通知》（财库</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2014</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68号）的规定，本公司为监狱企业。</w:t>
      </w:r>
    </w:p>
    <w:p w14:paraId="7249735C">
      <w:pPr>
        <w:keepNext w:val="0"/>
        <w:keepLines w:val="0"/>
        <w:pageBreakBefore w:val="0"/>
        <w:widowControl w:val="0"/>
        <w:kinsoku/>
        <w:wordWrap w:val="0"/>
        <w:overflowPunct/>
        <w:topLinePunct/>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pPr>
    </w:p>
    <w:p w14:paraId="555EC185">
      <w:pPr>
        <w:keepNext w:val="0"/>
        <w:keepLines w:val="0"/>
        <w:pageBreakBefore w:val="0"/>
        <w:widowControl w:val="0"/>
        <w:kinsoku/>
        <w:wordWrap w:val="0"/>
        <w:overflowPunct/>
        <w:topLinePunct/>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pPr>
    </w:p>
    <w:p w14:paraId="41557941">
      <w:pPr>
        <w:keepNext w:val="0"/>
        <w:keepLines w:val="0"/>
        <w:pageBreakBefore w:val="0"/>
        <w:widowControl w:val="0"/>
        <w:kinsoku/>
        <w:wordWrap w:val="0"/>
        <w:overflowPunct/>
        <w:topLinePunct/>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pPr>
    </w:p>
    <w:p w14:paraId="5808A9D4">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bidi="ar"/>
        </w:rPr>
        <w:t>名称（盖章）：</w:t>
      </w:r>
      <w:r>
        <w:rPr>
          <w:rFonts w:hint="eastAsia" w:ascii="宋体" w:hAnsi="宋体" w:eastAsia="宋体" w:cs="宋体"/>
          <w:bCs/>
          <w:color w:val="auto"/>
          <w:sz w:val="24"/>
          <w:szCs w:val="24"/>
          <w:highlight w:val="none"/>
          <w:u w:val="single"/>
          <w:lang w:val="zh-CN"/>
        </w:rPr>
        <w:t xml:space="preserve">              </w:t>
      </w:r>
    </w:p>
    <w:p w14:paraId="40A4267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firstLine="5280" w:firstLineChars="2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日 </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期：</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年</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月</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日</w:t>
      </w:r>
    </w:p>
    <w:p w14:paraId="12AF92EB">
      <w:pPr>
        <w:keepNext w:val="0"/>
        <w:keepLines w:val="0"/>
        <w:pageBreakBefore w:val="0"/>
        <w:widowControl/>
        <w:kinsoku/>
        <w:wordWrap/>
        <w:overflowPunct/>
        <w:topLinePunct w:val="0"/>
        <w:autoSpaceDE/>
        <w:autoSpaceDN/>
        <w:bidi w:val="0"/>
        <w:adjustRightInd w:val="0"/>
        <w:snapToGrid w:val="0"/>
        <w:spacing w:line="360" w:lineRule="auto"/>
        <w:ind w:left="0" w:firstLine="5301" w:firstLineChars="2200"/>
        <w:jc w:val="left"/>
        <w:textAlignment w:val="auto"/>
        <w:rPr>
          <w:rFonts w:hint="eastAsia" w:ascii="宋体" w:hAnsi="宋体" w:eastAsia="宋体" w:cs="宋体"/>
          <w:b/>
          <w:color w:val="auto"/>
          <w:kern w:val="0"/>
          <w:sz w:val="24"/>
          <w:szCs w:val="24"/>
          <w:highlight w:val="none"/>
          <w:lang w:bidi="ar"/>
        </w:rPr>
      </w:pPr>
    </w:p>
    <w:p w14:paraId="367CA642">
      <w:pPr>
        <w:keepNext w:val="0"/>
        <w:keepLines w:val="0"/>
        <w:pageBreakBefore w:val="0"/>
        <w:widowControl w:val="0"/>
        <w:kinsoku/>
        <w:wordWrap w:val="0"/>
        <w:overflowPunct/>
        <w:topLinePunct/>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pPr>
    </w:p>
    <w:p w14:paraId="7FC5B54A">
      <w:pPr>
        <w:keepNext w:val="0"/>
        <w:keepLines w:val="0"/>
        <w:pageBreakBefore w:val="0"/>
        <w:widowControl w:val="0"/>
        <w:kinsoku/>
        <w:wordWrap w:val="0"/>
        <w:overflowPunct/>
        <w:topLinePunct/>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pPr>
    </w:p>
    <w:p w14:paraId="31D6BE6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firstLine="4838" w:firstLineChars="201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5DC46FA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firstLine="4838" w:firstLineChars="201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w:t>
      </w:r>
    </w:p>
    <w:p w14:paraId="2315D57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firstLine="4838" w:firstLineChars="201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年</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月</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日</w:t>
      </w:r>
    </w:p>
    <w:p w14:paraId="56EFF301">
      <w:pPr>
        <w:keepNext w:val="0"/>
        <w:keepLines w:val="0"/>
        <w:pageBreakBefore w:val="0"/>
        <w:widowControl w:val="0"/>
        <w:kinsoku/>
        <w:wordWrap w:val="0"/>
        <w:overflowPunct/>
        <w:topLinePunct/>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sectPr>
          <w:pgSz w:w="11900" w:h="16838"/>
          <w:pgMar w:top="1134" w:right="1134" w:bottom="1134" w:left="1134" w:header="624" w:footer="624" w:gutter="0"/>
          <w:pgNumType w:fmt="numberInDash"/>
          <w:cols w:space="0" w:num="1"/>
          <w:rtlGutter w:val="0"/>
          <w:docGrid w:linePitch="317" w:charSpace="0"/>
        </w:sectPr>
      </w:pPr>
    </w:p>
    <w:p w14:paraId="007F8C68">
      <w:pPr>
        <w:pStyle w:val="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sz w:val="28"/>
          <w:szCs w:val="28"/>
          <w:highlight w:val="none"/>
          <w:lang w:val="en-US" w:eastAsia="zh-CN"/>
        </w:rPr>
      </w:pPr>
      <w:bookmarkStart w:id="326" w:name="_Toc31106"/>
      <w:bookmarkStart w:id="327" w:name="_Toc5292"/>
      <w:bookmarkStart w:id="328" w:name="_Toc22171"/>
      <w:bookmarkStart w:id="329" w:name="_Toc30353"/>
      <w:bookmarkStart w:id="330" w:name="_Toc12768"/>
      <w:bookmarkStart w:id="331" w:name="_Toc3908"/>
      <w:bookmarkStart w:id="332" w:name="_Toc23989"/>
      <w:bookmarkStart w:id="333" w:name="_Toc28887"/>
      <w:bookmarkStart w:id="334" w:name="_Toc23744"/>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残疾人福利性单位声明函</w:t>
      </w:r>
      <w:r>
        <w:rPr>
          <w:rFonts w:hint="eastAsia" w:ascii="宋体" w:hAnsi="宋体" w:eastAsia="宋体" w:cs="宋体"/>
          <w:color w:val="auto"/>
          <w:sz w:val="28"/>
          <w:szCs w:val="28"/>
          <w:highlight w:val="none"/>
          <w:lang w:val="en-US" w:eastAsia="zh-CN"/>
        </w:rPr>
        <w:t>【如适用】</w:t>
      </w:r>
      <w:bookmarkEnd w:id="326"/>
    </w:p>
    <w:p w14:paraId="0B2223BE">
      <w:pPr>
        <w:rPr>
          <w:rFonts w:hint="eastAsia" w:ascii="宋体" w:hAnsi="宋体" w:eastAsia="宋体" w:cs="宋体"/>
          <w:color w:val="auto"/>
          <w:sz w:val="28"/>
          <w:szCs w:val="28"/>
          <w:highlight w:val="none"/>
        </w:rPr>
      </w:pPr>
    </w:p>
    <w:p w14:paraId="53567AFC">
      <w:pPr>
        <w:spacing w:line="30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残疾人福利性单位声明函</w:t>
      </w:r>
      <w:bookmarkEnd w:id="327"/>
      <w:bookmarkEnd w:id="328"/>
      <w:bookmarkEnd w:id="329"/>
      <w:bookmarkEnd w:id="330"/>
      <w:bookmarkEnd w:id="331"/>
      <w:bookmarkEnd w:id="332"/>
      <w:bookmarkEnd w:id="333"/>
      <w:bookmarkEnd w:id="334"/>
    </w:p>
    <w:p w14:paraId="2059667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kern w:val="0"/>
          <w:sz w:val="21"/>
          <w:szCs w:val="21"/>
          <w:highlight w:val="none"/>
        </w:rPr>
      </w:pPr>
    </w:p>
    <w:p w14:paraId="0E0FC27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b/>
          <w:bCs/>
          <w:i w:val="0"/>
          <w:iCs w:val="0"/>
          <w:color w:val="auto"/>
          <w:sz w:val="24"/>
          <w:szCs w:val="24"/>
          <w:highlight w:val="none"/>
          <w:u w:val="single"/>
          <w:lang w:val="en-US" w:eastAsia="zh-CN"/>
        </w:rPr>
        <w:t>采购人名称</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lang w:bidi="ar"/>
        </w:rPr>
        <w:t>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b/>
          <w:bCs/>
          <w:i w:val="0"/>
          <w:iCs w:val="0"/>
          <w:color w:val="auto"/>
          <w:sz w:val="24"/>
          <w:szCs w:val="24"/>
          <w:highlight w:val="none"/>
          <w:u w:val="single"/>
          <w:lang w:val="en-US" w:eastAsia="zh-CN"/>
        </w:rPr>
        <w:t>项目名称、标项号、项名编号</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sz w:val="24"/>
          <w:szCs w:val="24"/>
          <w:highlight w:val="none"/>
        </w:rPr>
        <w:t>采购活动，提供的货</w:t>
      </w:r>
      <w:r>
        <w:rPr>
          <w:rFonts w:hint="eastAsia" w:ascii="宋体" w:hAnsi="宋体" w:eastAsia="宋体" w:cs="宋体"/>
          <w:b w:val="0"/>
          <w:bCs w:val="0"/>
          <w:i w:val="0"/>
          <w:iCs w:val="0"/>
          <w:color w:val="auto"/>
          <w:sz w:val="24"/>
          <w:szCs w:val="24"/>
          <w:highlight w:val="none"/>
        </w:rPr>
        <w:t>物</w:t>
      </w:r>
      <w:r>
        <w:rPr>
          <w:rFonts w:hint="eastAsia" w:ascii="宋体" w:hAnsi="宋体" w:eastAsia="宋体" w:cs="宋体"/>
          <w:b/>
          <w:bCs/>
          <w:i w:val="0"/>
          <w:iCs w:val="0"/>
          <w:color w:val="auto"/>
          <w:sz w:val="24"/>
          <w:szCs w:val="24"/>
          <w:highlight w:val="none"/>
        </w:rPr>
        <w:t>全部由</w:t>
      </w:r>
      <w:r>
        <w:rPr>
          <w:rFonts w:hint="eastAsia" w:ascii="宋体" w:hAnsi="宋体" w:eastAsia="宋体" w:cs="宋体"/>
          <w:i w:val="0"/>
          <w:iCs w:val="0"/>
          <w:color w:val="auto"/>
          <w:sz w:val="24"/>
          <w:szCs w:val="24"/>
          <w:highlight w:val="none"/>
        </w:rPr>
        <w:t>符合政策要求的</w:t>
      </w:r>
      <w:r>
        <w:rPr>
          <w:rFonts w:hint="eastAsia" w:ascii="宋体" w:hAnsi="宋体" w:eastAsia="宋体" w:cs="宋体"/>
          <w:b/>
          <w:i w:val="0"/>
          <w:iCs w:val="0"/>
          <w:color w:val="auto"/>
          <w:sz w:val="24"/>
          <w:szCs w:val="24"/>
          <w:highlight w:val="none"/>
        </w:rPr>
        <w:t>残疾人福利性单位制造</w:t>
      </w:r>
      <w:r>
        <w:rPr>
          <w:rFonts w:hint="eastAsia" w:ascii="宋体" w:hAnsi="宋体" w:eastAsia="宋体" w:cs="宋体"/>
          <w:i w:val="0"/>
          <w:iCs w:val="0"/>
          <w:color w:val="auto"/>
          <w:sz w:val="24"/>
          <w:szCs w:val="24"/>
          <w:highlight w:val="none"/>
        </w:rPr>
        <w:t>。相关企业（含联合体中的残疾人福利性单位、签订分包意向协议</w:t>
      </w:r>
      <w:r>
        <w:rPr>
          <w:rFonts w:hint="eastAsia" w:ascii="宋体" w:hAnsi="宋体" w:eastAsia="宋体" w:cs="宋体"/>
          <w:i w:val="0"/>
          <w:iCs w:val="0"/>
          <w:color w:val="auto"/>
          <w:sz w:val="24"/>
          <w:szCs w:val="24"/>
          <w:highlight w:val="none"/>
          <w:lang w:val="en-US" w:eastAsia="zh-CN"/>
        </w:rPr>
        <w:t>书</w:t>
      </w:r>
      <w:r>
        <w:rPr>
          <w:rFonts w:hint="eastAsia" w:ascii="宋体" w:hAnsi="宋体" w:eastAsia="宋体" w:cs="宋体"/>
          <w:i w:val="0"/>
          <w:iCs w:val="0"/>
          <w:color w:val="auto"/>
          <w:sz w:val="24"/>
          <w:szCs w:val="24"/>
          <w:highlight w:val="none"/>
        </w:rPr>
        <w:t>的残疾人福利性单位）的具体情况如下：</w:t>
      </w:r>
    </w:p>
    <w:p w14:paraId="3C02D35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b/>
          <w:bCs/>
          <w:i w:val="0"/>
          <w:iCs w:val="0"/>
          <w:color w:val="auto"/>
          <w:sz w:val="24"/>
          <w:szCs w:val="24"/>
          <w:highlight w:val="none"/>
          <w:u w:val="single"/>
        </w:rPr>
        <w:t>标的名称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，制造商为 </w:t>
      </w:r>
      <w:r>
        <w:rPr>
          <w:rFonts w:hint="eastAsia" w:ascii="宋体" w:hAnsi="宋体" w:eastAsia="宋体" w:cs="宋体"/>
          <w:i w:val="0"/>
          <w:iCs w:val="0"/>
          <w:color w:val="auto"/>
          <w:sz w:val="24"/>
          <w:szCs w:val="24"/>
          <w:highlight w:val="none"/>
          <w:u w:val="single"/>
        </w:rPr>
        <w:t>（</w:t>
      </w:r>
      <w:r>
        <w:rPr>
          <w:rFonts w:hint="eastAsia" w:ascii="宋体" w:hAnsi="宋体" w:eastAsia="宋体" w:cs="宋体"/>
          <w:b/>
          <w:bCs/>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，属于残疾人福利性单位；</w:t>
      </w:r>
    </w:p>
    <w:p w14:paraId="7D634C9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 </w:t>
      </w:r>
      <w:r>
        <w:rPr>
          <w:rFonts w:hint="eastAsia" w:ascii="宋体" w:hAnsi="宋体" w:eastAsia="宋体" w:cs="宋体"/>
          <w:i w:val="0"/>
          <w:iCs w:val="0"/>
          <w:color w:val="auto"/>
          <w:sz w:val="24"/>
          <w:szCs w:val="24"/>
          <w:highlight w:val="none"/>
          <w:u w:val="single"/>
        </w:rPr>
        <w:t>（</w:t>
      </w:r>
      <w:r>
        <w:rPr>
          <w:rFonts w:hint="eastAsia" w:ascii="宋体" w:hAnsi="宋体" w:eastAsia="宋体" w:cs="宋体"/>
          <w:b/>
          <w:bCs/>
          <w:i w:val="0"/>
          <w:iCs w:val="0"/>
          <w:color w:val="auto"/>
          <w:sz w:val="24"/>
          <w:szCs w:val="24"/>
          <w:highlight w:val="none"/>
          <w:u w:val="single"/>
        </w:rPr>
        <w:t>标的名称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，制造商为 </w:t>
      </w:r>
      <w:r>
        <w:rPr>
          <w:rFonts w:hint="eastAsia" w:ascii="宋体" w:hAnsi="宋体" w:eastAsia="宋体" w:cs="宋体"/>
          <w:i w:val="0"/>
          <w:iCs w:val="0"/>
          <w:color w:val="auto"/>
          <w:sz w:val="24"/>
          <w:szCs w:val="24"/>
          <w:highlight w:val="none"/>
          <w:u w:val="single"/>
        </w:rPr>
        <w:t>（</w:t>
      </w:r>
      <w:r>
        <w:rPr>
          <w:rFonts w:hint="eastAsia" w:ascii="宋体" w:hAnsi="宋体" w:eastAsia="宋体" w:cs="宋体"/>
          <w:b/>
          <w:bCs/>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，属于残疾人福利性单位；</w:t>
      </w:r>
    </w:p>
    <w:p w14:paraId="6128D0E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p w14:paraId="16D5787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以上企业，不属于大企业的分支机构，不存在控股股东为大企业的情形，也不存在与大企业的负责人为同一人的情形。</w:t>
      </w:r>
    </w:p>
    <w:p w14:paraId="276E2C2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本企业对上述声明内容的真实性负责。如有虚假，将依法承担相应责任。</w:t>
      </w:r>
    </w:p>
    <w:p w14:paraId="6A4FA7C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2" w:firstLineChars="200"/>
        <w:textAlignment w:val="auto"/>
        <w:rPr>
          <w:rFonts w:hint="eastAsia" w:ascii="宋体" w:hAnsi="宋体" w:eastAsia="宋体" w:cs="宋体"/>
          <w:b/>
          <w:bCs/>
          <w:i w:val="0"/>
          <w:iCs w:val="0"/>
          <w:color w:val="auto"/>
          <w:sz w:val="24"/>
          <w:szCs w:val="24"/>
          <w:highlight w:val="none"/>
        </w:rPr>
      </w:pPr>
    </w:p>
    <w:p w14:paraId="71FF178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bCs/>
          <w:color w:val="auto"/>
          <w:sz w:val="24"/>
          <w:szCs w:val="24"/>
          <w:highlight w:val="none"/>
          <w:lang w:val="zh-CN"/>
        </w:rPr>
      </w:pPr>
    </w:p>
    <w:p w14:paraId="67CB83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bCs/>
          <w:color w:val="auto"/>
          <w:sz w:val="24"/>
          <w:szCs w:val="24"/>
          <w:highlight w:val="none"/>
          <w:lang w:val="zh-CN"/>
        </w:rPr>
      </w:pPr>
    </w:p>
    <w:p w14:paraId="6A05C6C0">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bidi="ar"/>
        </w:rPr>
        <w:t>名称（盖章）：</w:t>
      </w:r>
      <w:r>
        <w:rPr>
          <w:rFonts w:hint="eastAsia" w:ascii="宋体" w:hAnsi="宋体" w:eastAsia="宋体" w:cs="宋体"/>
          <w:bCs/>
          <w:color w:val="auto"/>
          <w:sz w:val="24"/>
          <w:szCs w:val="24"/>
          <w:highlight w:val="none"/>
          <w:u w:val="single"/>
          <w:lang w:val="zh-CN"/>
        </w:rPr>
        <w:t xml:space="preserve">              </w:t>
      </w:r>
    </w:p>
    <w:p w14:paraId="31CFC82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firstLine="5280" w:firstLineChars="2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日 </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期：</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年</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月</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日</w:t>
      </w:r>
    </w:p>
    <w:p w14:paraId="473337E4">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sz w:val="30"/>
          <w:szCs w:val="30"/>
          <w:highlight w:val="none"/>
        </w:rPr>
      </w:pPr>
    </w:p>
    <w:p w14:paraId="7F57878B">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sz w:val="30"/>
          <w:szCs w:val="30"/>
          <w:highlight w:val="none"/>
        </w:rPr>
      </w:pPr>
    </w:p>
    <w:p w14:paraId="725C2B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22" w:firstLineChars="200"/>
        <w:textAlignment w:val="auto"/>
        <w:rPr>
          <w:rFonts w:hint="eastAsia" w:ascii="宋体" w:hAnsi="宋体" w:eastAsia="宋体" w:cs="宋体"/>
          <w:bCs/>
          <w:i w:val="0"/>
          <w:iCs w:val="0"/>
          <w:color w:val="auto"/>
          <w:sz w:val="21"/>
          <w:szCs w:val="21"/>
          <w:highlight w:val="none"/>
        </w:rPr>
      </w:pPr>
      <w:r>
        <w:rPr>
          <w:rFonts w:hint="eastAsia" w:ascii="宋体" w:hAnsi="宋体" w:eastAsia="宋体" w:cs="宋体"/>
          <w:b/>
          <w:bCs/>
          <w:i w:val="0"/>
          <w:iCs w:val="0"/>
          <w:color w:val="auto"/>
          <w:sz w:val="21"/>
          <w:szCs w:val="21"/>
          <w:highlight w:val="none"/>
        </w:rPr>
        <w:t>说明：</w:t>
      </w:r>
      <w:r>
        <w:rPr>
          <w:rFonts w:hint="eastAsia" w:ascii="宋体" w:hAnsi="宋体" w:eastAsia="宋体" w:cs="宋体"/>
          <w:bCs/>
          <w:i w:val="0"/>
          <w:iCs w:val="0"/>
          <w:color w:val="auto"/>
          <w:sz w:val="21"/>
          <w:szCs w:val="21"/>
          <w:highlight w:val="none"/>
        </w:rPr>
        <w:t>1、</w:t>
      </w:r>
      <w:r>
        <w:rPr>
          <w:rFonts w:hint="eastAsia" w:ascii="宋体" w:hAnsi="宋体" w:eastAsia="宋体" w:cs="宋体"/>
          <w:bCs/>
          <w:i w:val="0"/>
          <w:iCs w:val="0"/>
          <w:color w:val="auto"/>
          <w:sz w:val="21"/>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382D85CA">
      <w:pPr>
        <w:keepNext w:val="0"/>
        <w:keepLines w:val="0"/>
        <w:pageBreakBefore w:val="0"/>
        <w:widowControl w:val="0"/>
        <w:numPr>
          <w:ilvl w:val="0"/>
          <w:numId w:val="0"/>
        </w:numPr>
        <w:kinsoku/>
        <w:wordWrap w:val="0"/>
        <w:overflowPunct/>
        <w:topLinePunct/>
        <w:autoSpaceDE/>
        <w:autoSpaceDN/>
        <w:bidi w:val="0"/>
        <w:adjustRightInd w:val="0"/>
        <w:snapToGrid w:val="0"/>
        <w:spacing w:beforeAutospacing="0" w:afterAutospacing="0" w:line="360" w:lineRule="auto"/>
        <w:ind w:left="1050" w:leftChars="0" w:firstLine="0" w:firstLine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2、</w:t>
      </w:r>
      <w:r>
        <w:rPr>
          <w:rFonts w:hint="eastAsia" w:ascii="宋体" w:hAnsi="宋体" w:eastAsia="宋体" w:cs="宋体"/>
          <w:i w:val="0"/>
          <w:iCs w:val="0"/>
          <w:color w:val="auto"/>
          <w:sz w:val="21"/>
          <w:szCs w:val="21"/>
          <w:highlight w:val="none"/>
        </w:rPr>
        <w:t>以联合体形式参加的，应</w:t>
      </w:r>
      <w:r>
        <w:rPr>
          <w:rFonts w:hint="eastAsia" w:ascii="宋体" w:hAnsi="宋体" w:eastAsia="宋体" w:cs="宋体"/>
          <w:bCs/>
          <w:i w:val="0"/>
          <w:iCs w:val="0"/>
          <w:color w:val="auto"/>
          <w:sz w:val="21"/>
          <w:szCs w:val="21"/>
          <w:highlight w:val="none"/>
          <w:lang w:val="zh-CN"/>
        </w:rPr>
        <w:t>当</w:t>
      </w:r>
      <w:r>
        <w:rPr>
          <w:rFonts w:hint="eastAsia" w:ascii="宋体" w:hAnsi="宋体" w:eastAsia="宋体" w:cs="宋体"/>
          <w:i w:val="0"/>
          <w:iCs w:val="0"/>
          <w:color w:val="auto"/>
          <w:sz w:val="21"/>
          <w:szCs w:val="21"/>
          <w:highlight w:val="none"/>
        </w:rPr>
        <w:t>由联合体各方盖章。</w:t>
      </w:r>
      <w:bookmarkEnd w:id="301"/>
      <w:bookmarkEnd w:id="302"/>
      <w:bookmarkEnd w:id="303"/>
    </w:p>
    <w:p w14:paraId="4C98B38C">
      <w:pPr>
        <w:keepNext w:val="0"/>
        <w:keepLines w:val="0"/>
        <w:pageBreakBefore w:val="0"/>
        <w:widowControl w:val="0"/>
        <w:numPr>
          <w:ilvl w:val="0"/>
          <w:numId w:val="0"/>
        </w:numPr>
        <w:kinsoku/>
        <w:wordWrap w:val="0"/>
        <w:overflowPunct/>
        <w:topLinePunct/>
        <w:autoSpaceDE/>
        <w:autoSpaceDN/>
        <w:bidi w:val="0"/>
        <w:adjustRightInd w:val="0"/>
        <w:snapToGrid w:val="0"/>
        <w:spacing w:beforeAutospacing="0" w:afterAutospacing="0" w:line="360" w:lineRule="auto"/>
        <w:ind w:left="1050" w:leftChars="0" w:firstLine="0" w:firstLineChars="0"/>
        <w:textAlignment w:val="auto"/>
        <w:rPr>
          <w:rFonts w:hint="eastAsia" w:ascii="宋体" w:hAnsi="宋体" w:eastAsia="宋体" w:cs="宋体"/>
          <w:color w:val="auto"/>
          <w:sz w:val="21"/>
          <w:szCs w:val="21"/>
          <w:highlight w:val="none"/>
        </w:rPr>
      </w:pPr>
    </w:p>
    <w:p w14:paraId="7A47309F">
      <w:pPr>
        <w:keepNext w:val="0"/>
        <w:keepLines w:val="0"/>
        <w:pageBreakBefore w:val="0"/>
        <w:widowControl w:val="0"/>
        <w:numPr>
          <w:ilvl w:val="0"/>
          <w:numId w:val="0"/>
        </w:numPr>
        <w:kinsoku/>
        <w:wordWrap w:val="0"/>
        <w:overflowPunct/>
        <w:topLinePunct/>
        <w:autoSpaceDE/>
        <w:autoSpaceDN/>
        <w:bidi w:val="0"/>
        <w:adjustRightInd w:val="0"/>
        <w:snapToGrid w:val="0"/>
        <w:spacing w:beforeAutospacing="0" w:afterAutospacing="0" w:line="360" w:lineRule="auto"/>
        <w:ind w:left="1050" w:leftChars="0" w:firstLine="0" w:firstLineChars="0"/>
        <w:textAlignment w:val="auto"/>
        <w:rPr>
          <w:rFonts w:hint="eastAsia" w:ascii="宋体" w:hAnsi="宋体" w:eastAsia="宋体" w:cs="宋体"/>
          <w:color w:val="auto"/>
          <w:sz w:val="21"/>
          <w:szCs w:val="21"/>
          <w:highlight w:val="none"/>
        </w:rPr>
        <w:sectPr>
          <w:pgSz w:w="11900" w:h="16838"/>
          <w:pgMar w:top="1134" w:right="1134" w:bottom="1134" w:left="1134" w:header="624" w:footer="624" w:gutter="0"/>
          <w:pgNumType w:fmt="numberInDash"/>
          <w:cols w:space="0" w:num="1"/>
          <w:rtlGutter w:val="0"/>
          <w:docGrid w:linePitch="317" w:charSpace="0"/>
        </w:sectPr>
      </w:pPr>
    </w:p>
    <w:p w14:paraId="0C7491A9">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lang w:val="en-US" w:eastAsia="zh-CN"/>
        </w:rPr>
      </w:pPr>
      <w:bookmarkStart w:id="335" w:name="_Toc26942"/>
      <w:bookmarkStart w:id="336" w:name="_Toc9600"/>
      <w:bookmarkStart w:id="337" w:name="_Toc19257"/>
      <w:bookmarkStart w:id="338" w:name="_Toc16250"/>
      <w:r>
        <w:rPr>
          <w:rFonts w:hint="eastAsia" w:ascii="宋体" w:hAnsi="宋体" w:eastAsia="宋体" w:cs="宋体"/>
          <w:b/>
          <w:color w:val="auto"/>
          <w:sz w:val="28"/>
          <w:szCs w:val="28"/>
          <w:highlight w:val="none"/>
          <w:lang w:val="en-US" w:eastAsia="zh-CN"/>
        </w:rPr>
        <w:t>（三）</w:t>
      </w:r>
      <w:bookmarkEnd w:id="304"/>
      <w:r>
        <w:rPr>
          <w:rFonts w:hint="eastAsia" w:ascii="宋体" w:hAnsi="宋体" w:eastAsia="宋体" w:cs="宋体"/>
          <w:b/>
          <w:color w:val="auto"/>
          <w:sz w:val="28"/>
          <w:szCs w:val="28"/>
          <w:highlight w:val="none"/>
          <w:lang w:val="en-US" w:eastAsia="zh-CN"/>
        </w:rPr>
        <w:t>本项目特定资格资质</w:t>
      </w:r>
      <w:bookmarkEnd w:id="335"/>
      <w:bookmarkEnd w:id="336"/>
      <w:bookmarkEnd w:id="337"/>
      <w:bookmarkEnd w:id="338"/>
    </w:p>
    <w:p w14:paraId="762E43E6">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如有，提供相关资质证明材料并加盖投标人公章</w:t>
      </w:r>
      <w:r>
        <w:rPr>
          <w:rFonts w:hint="eastAsia" w:ascii="宋体" w:hAnsi="宋体" w:eastAsia="宋体" w:cs="宋体"/>
          <w:bCs/>
          <w:color w:val="auto"/>
          <w:sz w:val="21"/>
          <w:szCs w:val="21"/>
          <w:highlight w:val="none"/>
        </w:rPr>
        <w:t>）</w:t>
      </w:r>
    </w:p>
    <w:p w14:paraId="604CF975">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p w14:paraId="2E43881D">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lang w:val="en-US" w:eastAsia="zh-CN"/>
        </w:rPr>
      </w:pPr>
      <w:bookmarkStart w:id="339" w:name="_Toc5537"/>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lang w:val="en-US" w:eastAsia="zh-CN"/>
        </w:rPr>
        <w:t>）</w:t>
      </w:r>
      <w:bookmarkStart w:id="340" w:name="_Toc155185931"/>
      <w:bookmarkStart w:id="341" w:name="_Toc163492924"/>
      <w:r>
        <w:rPr>
          <w:rFonts w:hint="eastAsia" w:ascii="宋体" w:hAnsi="宋体" w:eastAsia="宋体" w:cs="宋体"/>
          <w:b/>
          <w:color w:val="auto"/>
          <w:sz w:val="28"/>
          <w:szCs w:val="28"/>
          <w:highlight w:val="none"/>
          <w:lang w:val="zh-CN" w:eastAsia="zh-CN"/>
        </w:rPr>
        <w:t>联合体协议书</w:t>
      </w:r>
      <w:bookmarkEnd w:id="340"/>
      <w:r>
        <w:rPr>
          <w:rFonts w:hint="eastAsia" w:ascii="宋体" w:hAnsi="宋体" w:eastAsia="宋体" w:cs="宋体"/>
          <w:b/>
          <w:color w:val="auto"/>
          <w:sz w:val="28"/>
          <w:szCs w:val="28"/>
          <w:highlight w:val="none"/>
          <w:lang w:val="zh-CN" w:eastAsia="zh-CN"/>
        </w:rPr>
        <w:t>【如适用】</w:t>
      </w:r>
      <w:bookmarkEnd w:id="339"/>
      <w:bookmarkEnd w:id="341"/>
    </w:p>
    <w:bookmarkEnd w:id="305"/>
    <w:bookmarkEnd w:id="306"/>
    <w:bookmarkEnd w:id="307"/>
    <w:bookmarkEnd w:id="308"/>
    <w:bookmarkEnd w:id="309"/>
    <w:bookmarkEnd w:id="310"/>
    <w:bookmarkEnd w:id="311"/>
    <w:p w14:paraId="53984519">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b/>
          <w:bCs/>
          <w:color w:val="auto"/>
          <w:sz w:val="28"/>
          <w:szCs w:val="28"/>
          <w:highlight w:val="none"/>
          <w:lang w:eastAsia="zh-CN"/>
        </w:rPr>
      </w:pPr>
      <w:bookmarkStart w:id="342" w:name="_Toc27833"/>
      <w:bookmarkStart w:id="343" w:name="_Toc17246"/>
      <w:r>
        <w:rPr>
          <w:rFonts w:hint="eastAsia"/>
          <w:b/>
          <w:bCs/>
          <w:color w:val="auto"/>
          <w:sz w:val="28"/>
          <w:szCs w:val="28"/>
          <w:highlight w:val="none"/>
          <w:lang w:eastAsia="zh-CN"/>
        </w:rPr>
        <w:t>联合体协议书</w:t>
      </w:r>
      <w:bookmarkEnd w:id="342"/>
      <w:bookmarkEnd w:id="343"/>
    </w:p>
    <w:p w14:paraId="688C8E97">
      <w:pPr>
        <w:keepNext w:val="0"/>
        <w:keepLines w:val="0"/>
        <w:pageBreakBefore w:val="0"/>
        <w:widowControl w:val="0"/>
        <w:kinsoku/>
        <w:wordWrap w:val="0"/>
        <w:overflowPunct/>
        <w:topLinePunct/>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rPr>
        <w:t>以联合体形式投标的，提供联合</w:t>
      </w:r>
      <w:r>
        <w:rPr>
          <w:rFonts w:hint="eastAsia" w:cs="宋体"/>
          <w:b/>
          <w:color w:val="auto"/>
          <w:sz w:val="21"/>
          <w:szCs w:val="21"/>
          <w:highlight w:val="none"/>
          <w:lang w:val="en-US" w:eastAsia="zh-CN"/>
        </w:rPr>
        <w:t>体</w:t>
      </w:r>
      <w:r>
        <w:rPr>
          <w:rFonts w:hint="eastAsia" w:ascii="宋体" w:hAnsi="宋体" w:cs="宋体"/>
          <w:b/>
          <w:color w:val="auto"/>
          <w:sz w:val="21"/>
          <w:szCs w:val="21"/>
          <w:highlight w:val="none"/>
        </w:rPr>
        <w:t>协议</w:t>
      </w:r>
      <w:r>
        <w:rPr>
          <w:rFonts w:hint="eastAsia" w:cs="宋体"/>
          <w:b/>
          <w:color w:val="auto"/>
          <w:sz w:val="21"/>
          <w:szCs w:val="21"/>
          <w:highlight w:val="none"/>
          <w:lang w:val="en-US" w:eastAsia="zh-CN"/>
        </w:rPr>
        <w:t>书</w:t>
      </w:r>
      <w:r>
        <w:rPr>
          <w:rFonts w:hint="eastAsia" w:ascii="宋体" w:hAnsi="宋体" w:cs="宋体"/>
          <w:b/>
          <w:color w:val="auto"/>
          <w:sz w:val="21"/>
          <w:szCs w:val="21"/>
          <w:highlight w:val="none"/>
        </w:rPr>
        <w:t>；本项目不接受联合体投标或者投标人不以联合体形式投标的，则不需要提供</w:t>
      </w:r>
      <w:r>
        <w:rPr>
          <w:rFonts w:hint="eastAsia" w:ascii="宋体" w:hAnsi="宋体" w:cs="宋体"/>
          <w:b/>
          <w:color w:val="auto"/>
          <w:sz w:val="21"/>
          <w:szCs w:val="21"/>
          <w:highlight w:val="none"/>
          <w:lang w:eastAsia="zh-CN"/>
        </w:rPr>
        <w:t>】</w:t>
      </w:r>
    </w:p>
    <w:p w14:paraId="35FA902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投标。</w:t>
      </w:r>
    </w:p>
    <w:p w14:paraId="3DD49D3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44CFC3A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1EDB8CE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404BDB5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bookmarkStart w:id="344"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1002C4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8A4BB3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44"/>
    <w:p w14:paraId="2A3281F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1690219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（联合体成员X,…）</w:t>
      </w:r>
      <w:r>
        <w:rPr>
          <w:rFonts w:hint="eastAsia" w:ascii="宋体" w:hAnsi="宋体" w:eastAsia="宋体" w:cs="宋体"/>
          <w:color w:val="auto"/>
          <w:kern w:val="0"/>
          <w:sz w:val="24"/>
          <w:highlight w:val="none"/>
        </w:rPr>
        <w:t>提供的全部货物由小微企业制造，其合同份额占到合同总金额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u w:val="single"/>
          <w:lang w:val="zh-CN"/>
        </w:rPr>
        <w:t>……</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w:t>
      </w:r>
      <w:r>
        <w:rPr>
          <w:rFonts w:hint="eastAsia" w:ascii="宋体" w:hAnsi="宋体" w:eastAsia="宋体" w:cs="宋体"/>
          <w:b/>
          <w:color w:val="auto"/>
          <w:kern w:val="0"/>
          <w:sz w:val="24"/>
          <w:highlight w:val="none"/>
          <w:lang w:val="en-US" w:eastAsia="zh-CN"/>
        </w:rPr>
        <w:t>体</w:t>
      </w:r>
      <w:r>
        <w:rPr>
          <w:rFonts w:hint="eastAsia" w:ascii="宋体" w:hAnsi="宋体" w:eastAsia="宋体" w:cs="宋体"/>
          <w:b/>
          <w:color w:val="auto"/>
          <w:kern w:val="0"/>
          <w:sz w:val="24"/>
          <w:highlight w:val="none"/>
          <w:lang w:val="zh-CN"/>
        </w:rPr>
        <w:t>协议</w:t>
      </w:r>
      <w:r>
        <w:rPr>
          <w:rFonts w:hint="eastAsia" w:ascii="宋体" w:hAnsi="宋体" w:eastAsia="宋体" w:cs="宋体"/>
          <w:b/>
          <w:color w:val="auto"/>
          <w:kern w:val="0"/>
          <w:sz w:val="24"/>
          <w:highlight w:val="none"/>
          <w:lang w:val="en-US" w:eastAsia="zh-CN"/>
        </w:rPr>
        <w:t>书</w:t>
      </w:r>
      <w:r>
        <w:rPr>
          <w:rFonts w:hint="eastAsia" w:ascii="宋体" w:hAnsi="宋体" w:eastAsia="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6911449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要求以联合体形式参加的项目或采购包，供应商按招标文件第一部分招标公告申请人的资格要求中规定的联合</w:t>
      </w:r>
      <w:r>
        <w:rPr>
          <w:rFonts w:hint="eastAsia" w:ascii="宋体" w:hAnsi="宋体" w:eastAsia="宋体" w:cs="宋体"/>
          <w:b/>
          <w:bCs/>
          <w:color w:val="auto"/>
          <w:sz w:val="24"/>
          <w:highlight w:val="none"/>
          <w:lang w:val="en-US" w:eastAsia="zh-CN"/>
        </w:rPr>
        <w:t>体</w:t>
      </w:r>
      <w:r>
        <w:rPr>
          <w:rFonts w:hint="eastAsia" w:ascii="宋体" w:hAnsi="宋体" w:eastAsia="宋体" w:cs="宋体"/>
          <w:b/>
          <w:bCs/>
          <w:color w:val="auto"/>
          <w:sz w:val="24"/>
          <w:highlight w:val="none"/>
        </w:rPr>
        <w:t>协议</w:t>
      </w:r>
      <w:r>
        <w:rPr>
          <w:rFonts w:hint="eastAsia" w:ascii="宋体" w:hAnsi="宋体" w:eastAsia="宋体" w:cs="宋体"/>
          <w:b/>
          <w:bCs/>
          <w:color w:val="auto"/>
          <w:sz w:val="24"/>
          <w:highlight w:val="none"/>
          <w:lang w:val="en-US" w:eastAsia="zh-CN"/>
        </w:rPr>
        <w:t>书</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60CD94A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合同，并就采购合同约定的事项对采购人承担连带责任。</w:t>
      </w:r>
    </w:p>
    <w:p w14:paraId="63B81F3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75FE8BC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3903E7C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5B2546D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3DB1ABA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其他：</w:t>
      </w:r>
      <w:r>
        <w:rPr>
          <w:rFonts w:hint="eastAsia" w:ascii="宋体" w:hAnsi="宋体" w:eastAsia="宋体" w:cs="宋体"/>
          <w:color w:val="auto"/>
          <w:kern w:val="0"/>
          <w:sz w:val="24"/>
          <w:highlight w:val="none"/>
          <w:u w:val="single"/>
          <w:lang w:val="zh-CN"/>
        </w:rPr>
        <w:t>…</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w:t>
      </w:r>
    </w:p>
    <w:p w14:paraId="2324CFB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val="zh-CN"/>
        </w:rPr>
        <w:t>本协议书自签署之日起生效，若未中标，自本次投标有效期结束后自行失效；若中标，自合同书规定的期限之后自行失效。</w:t>
      </w:r>
    </w:p>
    <w:p w14:paraId="7C18D6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lang w:val="zh-CN"/>
        </w:rPr>
        <w:t>本协议书正本一式</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份，联合体成员各执</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份；副本一式</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份，联合体成员各执</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w:t>
      </w:r>
    </w:p>
    <w:p w14:paraId="3B2C10F3">
      <w:pPr>
        <w:snapToGrid w:val="0"/>
        <w:spacing w:line="360" w:lineRule="auto"/>
        <w:ind w:firstLine="576"/>
        <w:rPr>
          <w:rFonts w:hint="eastAsia" w:ascii="宋体" w:hAnsi="宋体" w:eastAsia="宋体" w:cs="宋体"/>
          <w:color w:val="auto"/>
          <w:highlight w:val="none"/>
          <w:lang w:val="zh-CN"/>
        </w:rPr>
      </w:pPr>
    </w:p>
    <w:p w14:paraId="1E6DE1F7">
      <w:pPr>
        <w:snapToGrid w:val="0"/>
        <w:spacing w:line="360" w:lineRule="auto"/>
        <w:ind w:firstLine="576"/>
        <w:rPr>
          <w:rFonts w:hint="eastAsia" w:ascii="宋体" w:hAnsi="宋体" w:eastAsia="宋体" w:cs="宋体"/>
          <w:color w:val="auto"/>
          <w:highlight w:val="none"/>
          <w:lang w:val="zh-CN"/>
        </w:rPr>
      </w:pPr>
    </w:p>
    <w:p w14:paraId="08DA4B7D">
      <w:pPr>
        <w:snapToGrid w:val="0"/>
        <w:spacing w:line="360" w:lineRule="auto"/>
        <w:ind w:firstLine="576"/>
        <w:rPr>
          <w:rFonts w:hint="eastAsia" w:ascii="宋体" w:hAnsi="宋体" w:eastAsia="宋体" w:cs="宋体"/>
          <w:color w:val="auto"/>
          <w:highlight w:val="none"/>
          <w:lang w:val="zh-CN"/>
        </w:rPr>
      </w:pPr>
    </w:p>
    <w:p w14:paraId="38DC6F94">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zh-CN"/>
        </w:rPr>
        <w:t>联合体成员</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lang w:val="en-US" w:eastAsia="zh-CN"/>
        </w:rPr>
        <w:t xml:space="preserve">              </w:t>
      </w:r>
    </w:p>
    <w:p w14:paraId="3A246D90">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lang w:val="en-US" w:eastAsia="zh-CN"/>
        </w:rPr>
        <w:t xml:space="preserve">              </w:t>
      </w:r>
    </w:p>
    <w:p w14:paraId="3915379F">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jc w:val="both"/>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期：</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日</w:t>
      </w:r>
    </w:p>
    <w:p w14:paraId="6CC27412">
      <w:pPr>
        <w:spacing w:line="360" w:lineRule="auto"/>
        <w:ind w:right="420"/>
        <w:rPr>
          <w:rFonts w:hint="eastAsia" w:ascii="宋体" w:hAnsi="宋体" w:eastAsia="宋体" w:cs="宋体"/>
          <w:color w:val="auto"/>
          <w:sz w:val="21"/>
          <w:szCs w:val="21"/>
          <w:highlight w:val="none"/>
        </w:rPr>
      </w:pPr>
    </w:p>
    <w:p w14:paraId="494B3C7C">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7FAA9A94">
      <w:pPr>
        <w:keepNext w:val="0"/>
        <w:keepLines w:val="0"/>
        <w:pageBreakBefore w:val="0"/>
        <w:kinsoku/>
        <w:overflowPunct/>
        <w:topLinePunct w:val="0"/>
        <w:autoSpaceDE/>
        <w:autoSpaceDN/>
        <w:bidi w:val="0"/>
        <w:spacing w:before="157" w:beforeLines="50" w:after="157" w:afterLines="50"/>
        <w:ind w:left="2205" w:leftChars="1050"/>
        <w:textAlignment w:val="auto"/>
        <w:rPr>
          <w:rFonts w:cs="Tahoma"/>
          <w:color w:val="auto"/>
          <w:highlight w:val="none"/>
          <w:u w:val="single"/>
        </w:rPr>
      </w:pPr>
      <w:r>
        <w:rPr>
          <w:rFonts w:cs="Tahoma"/>
          <w:color w:val="auto"/>
          <w:highlight w:val="none"/>
          <w:u w:val="single"/>
        </w:rPr>
        <w:br w:type="page"/>
      </w:r>
    </w:p>
    <w:p w14:paraId="1B46DA07">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lang w:val="zh-CN" w:eastAsia="zh-CN"/>
        </w:rPr>
      </w:pPr>
      <w:bookmarkStart w:id="345" w:name="_Toc156490356"/>
      <w:bookmarkStart w:id="346" w:name="_Toc162299566"/>
      <w:bookmarkStart w:id="347" w:name="_Toc163492925"/>
      <w:bookmarkStart w:id="348" w:name="_Toc25585"/>
      <w:bookmarkStart w:id="349" w:name="_Toc16891"/>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五</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lang w:val="zh-CN" w:eastAsia="zh-CN"/>
        </w:rPr>
        <w:t>分包意向协议书【如适用】</w:t>
      </w:r>
      <w:bookmarkEnd w:id="345"/>
      <w:bookmarkEnd w:id="346"/>
      <w:bookmarkEnd w:id="347"/>
      <w:bookmarkEnd w:id="348"/>
      <w:bookmarkEnd w:id="349"/>
    </w:p>
    <w:p w14:paraId="105C41A5">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b/>
          <w:bCs/>
          <w:color w:val="auto"/>
          <w:sz w:val="28"/>
          <w:szCs w:val="28"/>
          <w:highlight w:val="none"/>
          <w:lang w:val="en-US" w:eastAsia="zh-CN"/>
        </w:rPr>
      </w:pPr>
      <w:bookmarkStart w:id="350" w:name="_Toc22611"/>
      <w:bookmarkStart w:id="351" w:name="_Toc1771"/>
      <w:r>
        <w:rPr>
          <w:rFonts w:hint="eastAsia"/>
          <w:b/>
          <w:bCs/>
          <w:color w:val="auto"/>
          <w:sz w:val="28"/>
          <w:szCs w:val="28"/>
          <w:highlight w:val="none"/>
          <w:lang w:eastAsia="zh-CN"/>
        </w:rPr>
        <w:t>分包意向协议</w:t>
      </w:r>
      <w:r>
        <w:rPr>
          <w:rFonts w:hint="eastAsia"/>
          <w:b/>
          <w:bCs/>
          <w:color w:val="auto"/>
          <w:sz w:val="28"/>
          <w:szCs w:val="28"/>
          <w:highlight w:val="none"/>
          <w:lang w:val="en-US" w:eastAsia="zh-CN"/>
        </w:rPr>
        <w:t>书</w:t>
      </w:r>
      <w:bookmarkEnd w:id="350"/>
      <w:bookmarkEnd w:id="351"/>
    </w:p>
    <w:p w14:paraId="3A75786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rPr>
        <w:t>中标后以分包方式履行合同的，提供分包意向协议</w:t>
      </w:r>
      <w:r>
        <w:rPr>
          <w:rFonts w:hint="eastAsia" w:ascii="宋体" w:hAnsi="宋体" w:eastAsia="宋体" w:cs="宋体"/>
          <w:b/>
          <w:color w:val="auto"/>
          <w:sz w:val="21"/>
          <w:szCs w:val="21"/>
          <w:highlight w:val="none"/>
          <w:lang w:val="en-US" w:eastAsia="zh-CN"/>
        </w:rPr>
        <w:t>书</w:t>
      </w:r>
      <w:r>
        <w:rPr>
          <w:rFonts w:hint="eastAsia" w:ascii="宋体" w:hAnsi="宋体" w:eastAsia="宋体" w:cs="宋体"/>
          <w:b/>
          <w:color w:val="auto"/>
          <w:sz w:val="21"/>
          <w:szCs w:val="21"/>
          <w:highlight w:val="none"/>
        </w:rPr>
        <w:t>；采购人不同意分包或者投标人中标后不以分包方式履行合同的，则不需要提供。</w:t>
      </w:r>
      <w:r>
        <w:rPr>
          <w:rFonts w:hint="eastAsia" w:ascii="宋体" w:hAnsi="宋体" w:eastAsia="宋体" w:cs="宋体"/>
          <w:color w:val="auto"/>
          <w:sz w:val="21"/>
          <w:szCs w:val="21"/>
          <w:highlight w:val="none"/>
          <w:lang w:eastAsia="zh-CN"/>
        </w:rPr>
        <w:t>】</w:t>
      </w:r>
    </w:p>
    <w:p w14:paraId="372B6F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的中标供应商，将依法采取分包方式履行合同。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en-US" w:eastAsia="zh-CN"/>
        </w:rPr>
        <w:t>书</w:t>
      </w:r>
      <w:r>
        <w:rPr>
          <w:rFonts w:hint="eastAsia" w:ascii="宋体" w:hAnsi="宋体" w:eastAsia="宋体" w:cs="宋体"/>
          <w:color w:val="auto"/>
          <w:kern w:val="0"/>
          <w:sz w:val="24"/>
          <w:highlight w:val="none"/>
          <w:lang w:val="zh-CN"/>
        </w:rPr>
        <w:t>。</w:t>
      </w:r>
    </w:p>
    <w:p w14:paraId="09C25F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6618C3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相应资质条件且不得再次分包；</w:t>
      </w:r>
    </w:p>
    <w:p w14:paraId="4B6AE09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bookmarkStart w:id="352" w:name="_Toc7782"/>
      <w:bookmarkStart w:id="353" w:name="_Toc22084"/>
      <w:bookmarkStart w:id="354" w:name="_Toc23351"/>
      <w:bookmarkStart w:id="355" w:name="_Toc29506"/>
      <w:bookmarkStart w:id="356" w:name="_Toc8522"/>
      <w:r>
        <w:rPr>
          <w:rFonts w:hint="eastAsia" w:ascii="宋体" w:hAnsi="宋体" w:eastAsia="宋体" w:cs="宋体"/>
          <w:color w:val="auto"/>
          <w:sz w:val="24"/>
          <w:highlight w:val="none"/>
        </w:rPr>
        <w:t>……</w:t>
      </w:r>
      <w:bookmarkEnd w:id="352"/>
      <w:bookmarkEnd w:id="353"/>
      <w:bookmarkEnd w:id="354"/>
      <w:bookmarkEnd w:id="355"/>
      <w:bookmarkEnd w:id="356"/>
    </w:p>
    <w:p w14:paraId="70A62A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w:t>
      </w:r>
    </w:p>
    <w:p w14:paraId="41978C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6"/>
        <w:textAlignment w:val="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eastAsia="zh-CN"/>
        </w:rPr>
        <w:t>1.</w:t>
      </w:r>
      <w:r>
        <w:rPr>
          <w:rFonts w:hint="eastAsia" w:ascii="宋体" w:hAnsi="宋体" w:eastAsia="宋体" w:cs="宋体"/>
          <w:color w:val="auto"/>
          <w:kern w:val="0"/>
          <w:sz w:val="24"/>
          <w:highlight w:val="none"/>
          <w:u w:val="single"/>
        </w:rPr>
        <w:t>（分包供应商X,……）提供的货物全部由小微企业制造，</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w:t>
      </w:r>
      <w:r>
        <w:rPr>
          <w:rFonts w:hint="eastAsia" w:ascii="宋体" w:hAnsi="宋体" w:eastAsia="宋体" w:cs="宋体"/>
          <w:b/>
          <w:color w:val="auto"/>
          <w:kern w:val="0"/>
          <w:sz w:val="24"/>
          <w:highlight w:val="none"/>
          <w:lang w:val="en-US" w:eastAsia="zh-CN"/>
        </w:rPr>
        <w:t>书</w:t>
      </w:r>
      <w:r>
        <w:rPr>
          <w:rFonts w:hint="eastAsia" w:ascii="宋体" w:hAnsi="宋体" w:eastAsia="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59722C45">
      <w:pPr>
        <w:keepNext w:val="0"/>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lang w:eastAsia="zh-CN"/>
        </w:rPr>
        <w:t>2.</w:t>
      </w:r>
      <w:bookmarkStart w:id="357" w:name="_Hlk101133173"/>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color w:val="auto"/>
          <w:kern w:val="0"/>
          <w:sz w:val="24"/>
          <w:highlight w:val="none"/>
          <w:lang w:val="en-US" w:eastAsia="zh-CN"/>
        </w:rPr>
        <w:t>书</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bookmarkEnd w:id="357"/>
    </w:p>
    <w:p w14:paraId="1347C608">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12EA8C0D">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 xml:space="preserve">                                              </w:t>
      </w:r>
    </w:p>
    <w:p w14:paraId="44838635">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329C2EF1">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 xml:space="preserve">                                              </w:t>
      </w:r>
    </w:p>
    <w:p w14:paraId="66166C43">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21B1704B">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 xml:space="preserve">                                              </w:t>
      </w:r>
    </w:p>
    <w:p w14:paraId="3DA1708C">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354CAE55">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 xml:space="preserve">                                              </w:t>
      </w:r>
    </w:p>
    <w:p w14:paraId="7853FE1C">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123A6BEC">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u w:val="single"/>
          <w:lang w:val="zh-CN"/>
        </w:rPr>
        <w:t xml:space="preserve">                                              </w:t>
      </w:r>
    </w:p>
    <w:p w14:paraId="5015FB7E">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u w:val="single"/>
          <w:lang w:val="zh-CN"/>
        </w:rPr>
      </w:pPr>
    </w:p>
    <w:p w14:paraId="419BD7E7">
      <w:pPr>
        <w:keepNext w:val="0"/>
        <w:keepLines w:val="0"/>
        <w:pageBreakBefore w:val="0"/>
        <w:widowControl w:val="0"/>
        <w:kinsoku/>
        <w:wordWrap w:val="0"/>
        <w:overflowPunct/>
        <w:topLinePunct/>
        <w:autoSpaceDE/>
        <w:autoSpaceDN/>
        <w:bidi w:val="0"/>
        <w:adjustRightInd w:val="0"/>
        <w:snapToGrid w:val="0"/>
        <w:spacing w:line="360" w:lineRule="auto"/>
        <w:ind w:left="0" w:leftChars="0" w:firstLine="5280" w:firstLineChars="2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zh-CN"/>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lang w:val="en-US" w:eastAsia="zh-CN"/>
        </w:rPr>
        <w:t xml:space="preserve">            </w:t>
      </w:r>
    </w:p>
    <w:p w14:paraId="672B09CC">
      <w:pPr>
        <w:keepNext w:val="0"/>
        <w:keepLines w:val="0"/>
        <w:pageBreakBefore w:val="0"/>
        <w:widowControl w:val="0"/>
        <w:kinsoku/>
        <w:wordWrap w:val="0"/>
        <w:overflowPunct/>
        <w:topLinePunct/>
        <w:autoSpaceDE/>
        <w:autoSpaceDN/>
        <w:bidi w:val="0"/>
        <w:adjustRightInd w:val="0"/>
        <w:snapToGrid w:val="0"/>
        <w:spacing w:line="360" w:lineRule="auto"/>
        <w:ind w:left="0" w:leftChars="0" w:firstLine="5280" w:firstLineChars="2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lang w:val="en-US" w:eastAsia="zh-CN"/>
        </w:rPr>
        <w:t xml:space="preserve">            </w:t>
      </w:r>
    </w:p>
    <w:p w14:paraId="473D81F6">
      <w:pPr>
        <w:keepNext w:val="0"/>
        <w:keepLines w:val="0"/>
        <w:pageBreakBefore w:val="0"/>
        <w:widowControl w:val="0"/>
        <w:kinsoku/>
        <w:wordWrap w:val="0"/>
        <w:overflowPunct/>
        <w:topLinePunct/>
        <w:autoSpaceDE/>
        <w:autoSpaceDN/>
        <w:bidi w:val="0"/>
        <w:adjustRightInd w:val="0"/>
        <w:snapToGrid w:val="0"/>
        <w:spacing w:line="360" w:lineRule="auto"/>
        <w:ind w:firstLine="5280" w:firstLineChars="2200"/>
        <w:jc w:val="both"/>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D655210">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66ACC714">
      <w:pPr>
        <w:topLinePunct/>
        <w:ind w:firstLine="420" w:firstLineChars="200"/>
        <w:rPr>
          <w:rFonts w:hint="eastAsia" w:ascii="宋体" w:hAnsi="宋体" w:eastAsia="宋体" w:cs="宋体"/>
          <w:color w:val="auto"/>
          <w:szCs w:val="32"/>
          <w:highlight w:val="none"/>
        </w:rPr>
        <w:sectPr>
          <w:pgSz w:w="11900" w:h="16838"/>
          <w:pgMar w:top="1134" w:right="1134" w:bottom="1134" w:left="1134" w:header="624" w:footer="624" w:gutter="0"/>
          <w:pgNumType w:fmt="numberInDash"/>
          <w:cols w:space="0" w:num="1"/>
          <w:rtlGutter w:val="0"/>
          <w:docGrid w:linePitch="317" w:charSpace="0"/>
        </w:sectPr>
      </w:pPr>
    </w:p>
    <w:p w14:paraId="3F28BDF5">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lang w:val="en-US" w:eastAsia="zh-CN"/>
        </w:rPr>
      </w:pPr>
      <w:bookmarkStart w:id="358" w:name="_Toc10564"/>
      <w:bookmarkStart w:id="359" w:name="_Toc23142"/>
      <w:bookmarkStart w:id="360" w:name="_Toc27610"/>
      <w:r>
        <w:rPr>
          <w:rFonts w:hint="eastAsia" w:ascii="宋体" w:hAnsi="宋体" w:eastAsia="宋体" w:cs="宋体"/>
          <w:b/>
          <w:color w:val="auto"/>
          <w:sz w:val="28"/>
          <w:szCs w:val="28"/>
          <w:highlight w:val="none"/>
          <w:lang w:val="en-US" w:eastAsia="zh-CN"/>
        </w:rPr>
        <w:t>（六）不参与围标串标承诺书</w:t>
      </w:r>
      <w:bookmarkEnd w:id="358"/>
      <w:bookmarkEnd w:id="359"/>
      <w:bookmarkEnd w:id="360"/>
    </w:p>
    <w:p w14:paraId="75FA57C3">
      <w:pPr>
        <w:pStyle w:val="15"/>
        <w:keepNext w:val="0"/>
        <w:keepLines w:val="0"/>
        <w:pageBreakBefore w:val="0"/>
        <w:widowControl/>
        <w:kinsoku/>
        <w:wordWrap w:val="0"/>
        <w:overflowPunct/>
        <w:topLinePunct/>
        <w:autoSpaceDE w:val="0"/>
        <w:autoSpaceDN w:val="0"/>
        <w:bidi w:val="0"/>
        <w:adjustRightInd w:val="0"/>
        <w:snapToGrid w:val="0"/>
        <w:spacing w:before="101" w:line="225" w:lineRule="auto"/>
        <w:jc w:val="center"/>
        <w:textAlignment w:val="baseline"/>
        <w:rPr>
          <w:rFonts w:hint="eastAsia" w:ascii="宋体" w:hAnsi="宋体" w:eastAsia="宋体" w:cs="宋体"/>
          <w:color w:val="auto"/>
          <w:sz w:val="28"/>
          <w:szCs w:val="28"/>
          <w:highlight w:val="none"/>
        </w:rPr>
      </w:pPr>
      <w:r>
        <w:rPr>
          <w:rFonts w:hint="eastAsia" w:ascii="宋体" w:hAnsi="宋体" w:eastAsia="宋体" w:cs="宋体"/>
          <w:b/>
          <w:bCs/>
          <w:color w:val="auto"/>
          <w:spacing w:val="6"/>
          <w:sz w:val="28"/>
          <w:szCs w:val="28"/>
          <w:highlight w:val="none"/>
        </w:rPr>
        <w:t>不参与围标串标承诺书</w:t>
      </w:r>
    </w:p>
    <w:p w14:paraId="326B63E3">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p>
    <w:p w14:paraId="5FD3BFE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本人作为经授权的投标人代表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清楚知晓我单位本项目投标活动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对以下事项作出承诺：</w:t>
      </w:r>
    </w:p>
    <w:p w14:paraId="6D461180">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一、我单位和我本人遵循公开透明、公平竞争、公正和诚实信用的原则</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依法依规参与本项目竞标。</w:t>
      </w:r>
    </w:p>
    <w:p w14:paraId="2CFD8FF0">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二、我单位和我本人在本项目政府采购投标活动中</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未参与围标串标。</w:t>
      </w:r>
    </w:p>
    <w:p w14:paraId="5AFE3034">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三、我单位如被查实在本项目政府采购投标活动中</w:t>
      </w:r>
      <w:r>
        <w:rPr>
          <w:rFonts w:hint="eastAsia" w:cs="宋体"/>
          <w:color w:val="auto"/>
          <w:spacing w:val="-4"/>
          <w:sz w:val="24"/>
          <w:szCs w:val="24"/>
          <w:highlight w:val="none"/>
          <w:lang w:val="en-US" w:eastAsia="zh-CN"/>
        </w:rPr>
        <w:t>或前三年投标活动中，</w:t>
      </w:r>
      <w:r>
        <w:rPr>
          <w:rFonts w:hint="eastAsia" w:ascii="宋体" w:hAnsi="宋体" w:eastAsia="宋体" w:cs="宋体"/>
          <w:color w:val="auto"/>
          <w:spacing w:val="-4"/>
          <w:sz w:val="24"/>
          <w:szCs w:val="24"/>
          <w:highlight w:val="none"/>
        </w:rPr>
        <w:t>存在围标串标的，递交投标文件行为作为实施串通投标违法行为的关键环节</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由我单位及法定代表人承担相应的法律责任，接受相应行政处罚和失信惩戒。</w:t>
      </w:r>
    </w:p>
    <w:p w14:paraId="0AE19CEA">
      <w:pPr>
        <w:keepNext w:val="0"/>
        <w:keepLines w:val="0"/>
        <w:pageBreakBefore w:val="0"/>
        <w:widowControl/>
        <w:kinsoku/>
        <w:wordWrap w:val="0"/>
        <w:overflowPunct/>
        <w:topLinePunct/>
        <w:autoSpaceDE w:val="0"/>
        <w:autoSpaceDN w:val="0"/>
        <w:bidi w:val="0"/>
        <w:adjustRightInd w:val="0"/>
        <w:snapToGrid w:val="0"/>
        <w:spacing w:line="251" w:lineRule="auto"/>
        <w:jc w:val="both"/>
        <w:textAlignment w:val="baseline"/>
        <w:rPr>
          <w:rFonts w:hint="eastAsia" w:ascii="宋体" w:hAnsi="宋体" w:eastAsia="宋体" w:cs="宋体"/>
          <w:color w:val="auto"/>
          <w:sz w:val="21"/>
          <w:highlight w:val="none"/>
        </w:rPr>
      </w:pPr>
    </w:p>
    <w:p w14:paraId="0937AF84">
      <w:pPr>
        <w:keepNext w:val="0"/>
        <w:keepLines w:val="0"/>
        <w:pageBreakBefore w:val="0"/>
        <w:widowControl/>
        <w:kinsoku/>
        <w:wordWrap w:val="0"/>
        <w:overflowPunct/>
        <w:topLinePunct/>
        <w:autoSpaceDE w:val="0"/>
        <w:autoSpaceDN w:val="0"/>
        <w:bidi w:val="0"/>
        <w:adjustRightInd w:val="0"/>
        <w:snapToGrid w:val="0"/>
        <w:spacing w:line="251" w:lineRule="auto"/>
        <w:jc w:val="both"/>
        <w:textAlignment w:val="baseline"/>
        <w:rPr>
          <w:rFonts w:hint="eastAsia" w:ascii="宋体" w:hAnsi="宋体" w:eastAsia="宋体" w:cs="宋体"/>
          <w:color w:val="auto"/>
          <w:sz w:val="21"/>
          <w:highlight w:val="none"/>
        </w:rPr>
      </w:pPr>
    </w:p>
    <w:p w14:paraId="55742D7A">
      <w:pPr>
        <w:keepNext w:val="0"/>
        <w:keepLines w:val="0"/>
        <w:pageBreakBefore w:val="0"/>
        <w:widowControl/>
        <w:kinsoku/>
        <w:wordWrap w:val="0"/>
        <w:overflowPunct/>
        <w:topLinePunct/>
        <w:autoSpaceDE w:val="0"/>
        <w:autoSpaceDN w:val="0"/>
        <w:bidi w:val="0"/>
        <w:adjustRightInd w:val="0"/>
        <w:snapToGrid w:val="0"/>
        <w:spacing w:line="251" w:lineRule="auto"/>
        <w:jc w:val="both"/>
        <w:textAlignment w:val="baseline"/>
        <w:rPr>
          <w:rFonts w:hint="eastAsia" w:ascii="宋体" w:hAnsi="宋体" w:eastAsia="宋体" w:cs="宋体"/>
          <w:color w:val="auto"/>
          <w:sz w:val="21"/>
          <w:highlight w:val="none"/>
        </w:rPr>
      </w:pPr>
    </w:p>
    <w:p w14:paraId="78E89428">
      <w:pPr>
        <w:keepNext w:val="0"/>
        <w:keepLines w:val="0"/>
        <w:pageBreakBefore w:val="0"/>
        <w:widowControl/>
        <w:kinsoku/>
        <w:wordWrap w:val="0"/>
        <w:overflowPunct/>
        <w:topLinePunct/>
        <w:autoSpaceDE w:val="0"/>
        <w:autoSpaceDN w:val="0"/>
        <w:bidi w:val="0"/>
        <w:adjustRightInd w:val="0"/>
        <w:snapToGrid w:val="0"/>
        <w:spacing w:line="251" w:lineRule="auto"/>
        <w:jc w:val="both"/>
        <w:textAlignment w:val="baseline"/>
        <w:rPr>
          <w:rFonts w:hint="eastAsia" w:ascii="宋体" w:hAnsi="宋体" w:eastAsia="宋体" w:cs="宋体"/>
          <w:color w:val="auto"/>
          <w:sz w:val="21"/>
          <w:highlight w:val="none"/>
        </w:rPr>
      </w:pPr>
    </w:p>
    <w:p w14:paraId="011D7C31">
      <w:pPr>
        <w:keepNext w:val="0"/>
        <w:keepLines w:val="0"/>
        <w:pageBreakBefore w:val="0"/>
        <w:widowControl/>
        <w:kinsoku/>
        <w:wordWrap w:val="0"/>
        <w:overflowPunct/>
        <w:topLinePunct/>
        <w:autoSpaceDE w:val="0"/>
        <w:autoSpaceDN w:val="0"/>
        <w:bidi w:val="0"/>
        <w:adjustRightInd w:val="0"/>
        <w:snapToGrid w:val="0"/>
        <w:spacing w:line="251" w:lineRule="auto"/>
        <w:jc w:val="both"/>
        <w:textAlignment w:val="baseline"/>
        <w:rPr>
          <w:rFonts w:hint="eastAsia" w:ascii="宋体" w:hAnsi="宋体" w:eastAsia="宋体" w:cs="宋体"/>
          <w:color w:val="auto"/>
          <w:sz w:val="21"/>
          <w:highlight w:val="none"/>
        </w:rPr>
      </w:pPr>
    </w:p>
    <w:p w14:paraId="3CECEA18">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投标人名称（公章)：</w:t>
      </w:r>
    </w:p>
    <w:p w14:paraId="5A5B8A44">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法定代表人、负责人、本人、或授权代表（签字或盖章）：</w:t>
      </w:r>
    </w:p>
    <w:p w14:paraId="24833689">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日期：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 xml:space="preserve"> 月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日</w:t>
      </w:r>
    </w:p>
    <w:p w14:paraId="4CD58CE7">
      <w:pP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br w:type="page"/>
      </w:r>
    </w:p>
    <w:p w14:paraId="5CF50F8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0305C666">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lang w:val="en-US" w:eastAsia="zh-CN"/>
        </w:rPr>
      </w:pPr>
      <w:bookmarkStart w:id="361" w:name="_Toc23653"/>
      <w:bookmarkStart w:id="362" w:name="_Toc18760"/>
      <w:r>
        <w:rPr>
          <w:rFonts w:hint="eastAsia" w:ascii="宋体" w:hAnsi="宋体" w:eastAsia="宋体" w:cs="宋体"/>
          <w:b/>
          <w:color w:val="auto"/>
          <w:sz w:val="28"/>
          <w:szCs w:val="28"/>
          <w:highlight w:val="none"/>
          <w:lang w:val="en-US" w:eastAsia="zh-CN"/>
        </w:rPr>
        <w:t>（七）不提供虚假材料谋取中标承诺书</w:t>
      </w:r>
      <w:bookmarkEnd w:id="361"/>
      <w:bookmarkEnd w:id="362"/>
    </w:p>
    <w:p w14:paraId="7207E5D9">
      <w:pPr>
        <w:pStyle w:val="15"/>
        <w:keepNext w:val="0"/>
        <w:keepLines w:val="0"/>
        <w:pageBreakBefore w:val="0"/>
        <w:widowControl/>
        <w:kinsoku/>
        <w:wordWrap w:val="0"/>
        <w:overflowPunct/>
        <w:topLinePunct/>
        <w:autoSpaceDE w:val="0"/>
        <w:autoSpaceDN w:val="0"/>
        <w:bidi w:val="0"/>
        <w:adjustRightInd w:val="0"/>
        <w:snapToGrid w:val="0"/>
        <w:spacing w:before="101" w:line="225" w:lineRule="auto"/>
        <w:jc w:val="center"/>
        <w:textAlignment w:val="baseline"/>
        <w:rPr>
          <w:rFonts w:hint="eastAsia" w:ascii="宋体" w:hAnsi="宋体" w:eastAsia="宋体" w:cs="宋体"/>
          <w:b/>
          <w:bCs/>
          <w:color w:val="auto"/>
          <w:spacing w:val="6"/>
          <w:sz w:val="28"/>
          <w:szCs w:val="28"/>
          <w:highlight w:val="none"/>
        </w:rPr>
      </w:pPr>
      <w:r>
        <w:rPr>
          <w:rFonts w:hint="eastAsia" w:ascii="宋体" w:hAnsi="宋体" w:eastAsia="宋体" w:cs="宋体"/>
          <w:b/>
          <w:bCs/>
          <w:color w:val="auto"/>
          <w:spacing w:val="6"/>
          <w:sz w:val="28"/>
          <w:szCs w:val="28"/>
          <w:highlight w:val="none"/>
        </w:rPr>
        <w:t>不</w:t>
      </w:r>
      <w:r>
        <w:rPr>
          <w:rFonts w:hint="eastAsia" w:ascii="宋体" w:hAnsi="宋体" w:eastAsia="宋体" w:cs="宋体"/>
          <w:b/>
          <w:bCs/>
          <w:color w:val="auto"/>
          <w:spacing w:val="6"/>
          <w:sz w:val="28"/>
          <w:szCs w:val="28"/>
          <w:highlight w:val="none"/>
          <w:lang w:val="en-US" w:eastAsia="zh-CN"/>
        </w:rPr>
        <w:t>提供虚假材料谋取中标</w:t>
      </w:r>
      <w:r>
        <w:rPr>
          <w:rFonts w:hint="eastAsia" w:ascii="宋体" w:hAnsi="宋体" w:eastAsia="宋体" w:cs="宋体"/>
          <w:b/>
          <w:bCs/>
          <w:color w:val="auto"/>
          <w:spacing w:val="6"/>
          <w:sz w:val="28"/>
          <w:szCs w:val="28"/>
          <w:highlight w:val="none"/>
        </w:rPr>
        <w:t>承诺书</w:t>
      </w:r>
    </w:p>
    <w:p w14:paraId="40B79CDA">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p>
    <w:p w14:paraId="222C4680">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本人作为经授权的投标人代表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清楚知晓我单位本项目投标活动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对以下事项作出承诺：</w:t>
      </w:r>
    </w:p>
    <w:p w14:paraId="3A106D22">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一、我单位和我本人遵循公开透明、公平竞争、公正和诚实信用的原则</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依法依规参与本项目竞标。</w:t>
      </w:r>
    </w:p>
    <w:p w14:paraId="7112FB2A">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二、我单位和我本人在本项目政府采购投标活动中</w:t>
      </w:r>
      <w:r>
        <w:rPr>
          <w:rFonts w:hint="eastAsia" w:ascii="宋体" w:hAnsi="宋体" w:eastAsia="宋体" w:cs="宋体"/>
          <w:color w:val="auto"/>
          <w:spacing w:val="-4"/>
          <w:sz w:val="24"/>
          <w:szCs w:val="24"/>
          <w:highlight w:val="none"/>
          <w:lang w:eastAsia="zh-CN"/>
        </w:rPr>
        <w:t>，不</w:t>
      </w:r>
      <w:r>
        <w:rPr>
          <w:rFonts w:hint="eastAsia" w:ascii="宋体" w:hAnsi="宋体" w:eastAsia="宋体" w:cs="宋体"/>
          <w:color w:val="auto"/>
          <w:spacing w:val="-4"/>
          <w:sz w:val="24"/>
          <w:szCs w:val="24"/>
          <w:highlight w:val="none"/>
          <w:lang w:val="en-US" w:eastAsia="zh-CN"/>
        </w:rPr>
        <w:t>提供虚假材料谋取中标</w:t>
      </w:r>
      <w:r>
        <w:rPr>
          <w:rFonts w:hint="eastAsia" w:ascii="宋体" w:hAnsi="宋体" w:eastAsia="宋体" w:cs="宋体"/>
          <w:color w:val="auto"/>
          <w:spacing w:val="-4"/>
          <w:sz w:val="24"/>
          <w:szCs w:val="24"/>
          <w:highlight w:val="none"/>
        </w:rPr>
        <w:t>。</w:t>
      </w:r>
    </w:p>
    <w:p w14:paraId="7FC94EF4">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三、我单位如被查实在本项目政府采购投标活动中</w:t>
      </w:r>
      <w:r>
        <w:rPr>
          <w:rFonts w:hint="eastAsia" w:cs="宋体"/>
          <w:color w:val="auto"/>
          <w:spacing w:val="-4"/>
          <w:sz w:val="24"/>
          <w:szCs w:val="24"/>
          <w:highlight w:val="none"/>
          <w:lang w:val="en-US" w:eastAsia="zh-CN"/>
        </w:rPr>
        <w:t>或前三年投标活动中，</w:t>
      </w:r>
      <w:r>
        <w:rPr>
          <w:rFonts w:hint="eastAsia" w:ascii="宋体" w:hAnsi="宋体" w:eastAsia="宋体" w:cs="宋体"/>
          <w:color w:val="auto"/>
          <w:spacing w:val="-4"/>
          <w:sz w:val="24"/>
          <w:szCs w:val="24"/>
          <w:highlight w:val="none"/>
        </w:rPr>
        <w:t>存在</w:t>
      </w:r>
      <w:r>
        <w:rPr>
          <w:rFonts w:hint="eastAsia" w:ascii="宋体" w:hAnsi="宋体" w:eastAsia="宋体" w:cs="宋体"/>
          <w:color w:val="auto"/>
          <w:spacing w:val="-4"/>
          <w:sz w:val="24"/>
          <w:szCs w:val="24"/>
          <w:highlight w:val="none"/>
          <w:lang w:val="en-US" w:eastAsia="zh-CN"/>
        </w:rPr>
        <w:t>提供虚假材料谋取中标</w:t>
      </w:r>
      <w:r>
        <w:rPr>
          <w:rFonts w:hint="eastAsia" w:ascii="宋体" w:hAnsi="宋体" w:eastAsia="宋体" w:cs="宋体"/>
          <w:color w:val="auto"/>
          <w:spacing w:val="-4"/>
          <w:sz w:val="24"/>
          <w:szCs w:val="24"/>
          <w:highlight w:val="none"/>
        </w:rPr>
        <w:t>的，递交投标文件行为作为实施</w:t>
      </w:r>
      <w:r>
        <w:rPr>
          <w:rFonts w:hint="eastAsia" w:ascii="宋体" w:hAnsi="宋体" w:eastAsia="宋体" w:cs="宋体"/>
          <w:color w:val="auto"/>
          <w:spacing w:val="-4"/>
          <w:sz w:val="24"/>
          <w:szCs w:val="24"/>
          <w:highlight w:val="none"/>
          <w:lang w:val="en-US" w:eastAsia="zh-CN"/>
        </w:rPr>
        <w:t>提供虚假材料谋取中标</w:t>
      </w:r>
      <w:r>
        <w:rPr>
          <w:rFonts w:hint="eastAsia" w:cs="宋体"/>
          <w:color w:val="auto"/>
          <w:spacing w:val="-4"/>
          <w:sz w:val="24"/>
          <w:szCs w:val="24"/>
          <w:highlight w:val="none"/>
          <w:lang w:val="en-US" w:eastAsia="zh-CN"/>
        </w:rPr>
        <w:t>的</w:t>
      </w:r>
      <w:r>
        <w:rPr>
          <w:rFonts w:hint="eastAsia" w:ascii="宋体" w:hAnsi="宋体" w:eastAsia="宋体" w:cs="宋体"/>
          <w:color w:val="auto"/>
          <w:spacing w:val="-4"/>
          <w:sz w:val="24"/>
          <w:szCs w:val="24"/>
          <w:highlight w:val="none"/>
        </w:rPr>
        <w:t>违法行为的关键环节</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由我单位及法定代表人承担相应的法律责任，接受相应行政处罚和失信惩戒。</w:t>
      </w:r>
    </w:p>
    <w:p w14:paraId="71F0762A">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p>
    <w:p w14:paraId="4720DD44">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p>
    <w:p w14:paraId="6EC50BFC">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p>
    <w:p w14:paraId="5096CA1D">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投标人名称（公章)：</w:t>
      </w:r>
    </w:p>
    <w:p w14:paraId="3C2E1188">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法定代表人、负责人、本人、或授权代表（签字或盖章）：</w:t>
      </w:r>
    </w:p>
    <w:p w14:paraId="1DA64D3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日期：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 xml:space="preserve"> 月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日</w:t>
      </w:r>
    </w:p>
    <w:p w14:paraId="07A5E1D7">
      <w:pPr>
        <w:keepNext w:val="0"/>
        <w:keepLines w:val="0"/>
        <w:pageBreakBefore w:val="0"/>
        <w:widowControl/>
        <w:kinsoku/>
        <w:wordWrap w:val="0"/>
        <w:overflowPunct/>
        <w:topLinePunct/>
        <w:autoSpaceDE w:val="0"/>
        <w:autoSpaceDN w:val="0"/>
        <w:bidi w:val="0"/>
        <w:adjustRightInd w:val="0"/>
        <w:snapToGrid w:val="0"/>
        <w:spacing w:line="220" w:lineRule="auto"/>
        <w:jc w:val="both"/>
        <w:textAlignment w:val="baseline"/>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30CBB344">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lang w:val="en-US" w:eastAsia="zh-CN"/>
        </w:rPr>
      </w:pPr>
      <w:bookmarkStart w:id="363" w:name="_Toc10354"/>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八</w:t>
      </w:r>
      <w:r>
        <w:rPr>
          <w:rFonts w:hint="eastAsia" w:ascii="宋体" w:hAnsi="宋体" w:eastAsia="宋体" w:cs="宋体"/>
          <w:b/>
          <w:color w:val="auto"/>
          <w:sz w:val="28"/>
          <w:szCs w:val="28"/>
          <w:highlight w:val="none"/>
          <w:lang w:val="en-US" w:eastAsia="zh-CN"/>
        </w:rPr>
        <w:t>）其他资格证明文件</w:t>
      </w:r>
      <w:bookmarkEnd w:id="363"/>
    </w:p>
    <w:p w14:paraId="69FC0CF7">
      <w:pPr>
        <w:topLinePun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投标人认为需提供的其它相关资格证明材料</w:t>
      </w:r>
      <w:r>
        <w:rPr>
          <w:rFonts w:hint="eastAsia" w:ascii="宋体" w:hAnsi="宋体" w:eastAsia="宋体" w:cs="宋体"/>
          <w:color w:val="auto"/>
          <w:sz w:val="21"/>
          <w:szCs w:val="21"/>
          <w:highlight w:val="none"/>
          <w:lang w:eastAsia="zh-CN"/>
        </w:rPr>
        <w:t>）</w:t>
      </w:r>
    </w:p>
    <w:p w14:paraId="216E1F93">
      <w:pPr>
        <w:topLinePunct/>
        <w:ind w:firstLine="480" w:firstLineChars="200"/>
        <w:rPr>
          <w:rFonts w:hint="eastAsia" w:ascii="Times New Roman" w:hAnsi="Times New Roman" w:eastAsia="宋体" w:cs="Times New Roman"/>
          <w:color w:val="auto"/>
          <w:sz w:val="24"/>
          <w:szCs w:val="24"/>
          <w:highlight w:val="none"/>
          <w:lang w:val="en-US" w:eastAsia="zh-CN"/>
        </w:rPr>
      </w:pPr>
    </w:p>
    <w:p w14:paraId="671D03C3">
      <w:pPr>
        <w:topLinePunct/>
        <w:ind w:firstLine="480" w:firstLineChars="200"/>
        <w:rPr>
          <w:rFonts w:hint="eastAsia" w:ascii="Times New Roman" w:hAnsi="Times New Roman" w:eastAsia="宋体" w:cs="Times New Roman"/>
          <w:color w:val="auto"/>
          <w:sz w:val="24"/>
          <w:szCs w:val="24"/>
          <w:highlight w:val="none"/>
        </w:rPr>
      </w:pPr>
    </w:p>
    <w:p w14:paraId="134DE47B">
      <w:pPr>
        <w:topLinePunct/>
        <w:ind w:firstLine="420" w:firstLineChars="200"/>
        <w:rPr>
          <w:rFonts w:hint="eastAsia"/>
          <w:color w:val="auto"/>
          <w:szCs w:val="32"/>
          <w:highlight w:val="none"/>
        </w:rPr>
        <w:sectPr>
          <w:pgSz w:w="11900" w:h="16838"/>
          <w:pgMar w:top="1134" w:right="1134" w:bottom="1134" w:left="1134" w:header="624" w:footer="624" w:gutter="0"/>
          <w:pgNumType w:fmt="numberInDash"/>
          <w:cols w:space="0" w:num="1"/>
          <w:rtlGutter w:val="0"/>
          <w:docGrid w:linePitch="317" w:charSpace="0"/>
        </w:sectPr>
      </w:pPr>
    </w:p>
    <w:bookmarkEnd w:id="240"/>
    <w:bookmarkEnd w:id="241"/>
    <w:bookmarkEnd w:id="242"/>
    <w:bookmarkEnd w:id="243"/>
    <w:bookmarkEnd w:id="244"/>
    <w:bookmarkEnd w:id="245"/>
    <w:bookmarkEnd w:id="246"/>
    <w:bookmarkEnd w:id="247"/>
    <w:bookmarkEnd w:id="248"/>
    <w:bookmarkEnd w:id="249"/>
    <w:bookmarkEnd w:id="250"/>
    <w:bookmarkEnd w:id="251"/>
    <w:p w14:paraId="2E65A3DA">
      <w:pPr>
        <w:pStyle w:val="3"/>
        <w:keepNext/>
        <w:keepLines w:val="0"/>
        <w:pageBreakBefore w:val="0"/>
        <w:widowControl w:val="0"/>
        <w:kinsoku/>
        <w:wordWrap w:val="0"/>
        <w:overflowPunct/>
        <w:topLinePunct/>
        <w:autoSpaceDE/>
        <w:autoSpaceDN/>
        <w:bidi w:val="0"/>
        <w:adjustRightInd w:val="0"/>
        <w:snapToGrid w:val="0"/>
        <w:spacing w:before="0" w:after="0" w:line="360" w:lineRule="auto"/>
        <w:jc w:val="center"/>
        <w:textAlignment w:val="auto"/>
        <w:rPr>
          <w:rFonts w:hint="eastAsia" w:ascii="宋体" w:hAnsi="宋体" w:eastAsia="宋体" w:cs="宋体"/>
          <w:color w:val="auto"/>
          <w:sz w:val="24"/>
          <w:szCs w:val="24"/>
          <w:highlight w:val="none"/>
          <w:lang w:eastAsia="zh-CN"/>
        </w:rPr>
      </w:pPr>
      <w:bookmarkStart w:id="364" w:name="_Toc7648"/>
      <w:bookmarkStart w:id="365" w:name="_Toc8830"/>
      <w:bookmarkStart w:id="366" w:name="_Toc24517"/>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报价文件</w:t>
      </w:r>
      <w:bookmarkEnd w:id="252"/>
      <w:bookmarkEnd w:id="253"/>
      <w:bookmarkEnd w:id="254"/>
      <w:bookmarkEnd w:id="364"/>
      <w:bookmarkEnd w:id="365"/>
      <w:bookmarkEnd w:id="366"/>
    </w:p>
    <w:p w14:paraId="49173854">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sz w:val="24"/>
          <w:szCs w:val="24"/>
          <w:highlight w:val="none"/>
          <w:lang w:eastAsia="zh-CN"/>
        </w:rPr>
      </w:pPr>
      <w:bookmarkStart w:id="367" w:name="_Toc9523"/>
      <w:bookmarkStart w:id="368" w:name="_Toc11580"/>
      <w:bookmarkStart w:id="369" w:name="_Toc14443"/>
      <w:bookmarkStart w:id="370" w:name="_Toc18889"/>
      <w:r>
        <w:rPr>
          <w:rFonts w:hint="eastAsia" w:ascii="宋体" w:hAnsi="宋体" w:eastAsia="宋体" w:cs="宋体"/>
          <w:color w:val="auto"/>
          <w:sz w:val="24"/>
          <w:szCs w:val="24"/>
          <w:highlight w:val="none"/>
          <w:lang w:eastAsia="zh-CN"/>
        </w:rPr>
        <w:t>（一）</w:t>
      </w:r>
      <w:bookmarkEnd w:id="367"/>
      <w:bookmarkEnd w:id="368"/>
      <w:bookmarkEnd w:id="369"/>
      <w:r>
        <w:rPr>
          <w:rFonts w:hint="eastAsia" w:ascii="宋体" w:hAnsi="宋体" w:eastAsia="宋体" w:cs="宋体"/>
          <w:color w:val="auto"/>
          <w:sz w:val="24"/>
          <w:szCs w:val="24"/>
          <w:highlight w:val="none"/>
          <w:lang w:eastAsia="zh-CN"/>
        </w:rPr>
        <w:t>开标一览表</w:t>
      </w:r>
      <w:bookmarkEnd w:id="370"/>
    </w:p>
    <w:p w14:paraId="2DA1A5A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14:paraId="64FBAB1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tbl>
      <w:tblPr>
        <w:tblStyle w:val="35"/>
        <w:tblpPr w:leftFromText="180" w:rightFromText="180" w:vertAnchor="text" w:horzAnchor="page" w:tblpXSpec="center" w:tblpY="8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7686"/>
      </w:tblGrid>
      <w:tr w14:paraId="66BA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813" w:type="dxa"/>
            <w:noWrap w:val="0"/>
            <w:vAlign w:val="center"/>
          </w:tcPr>
          <w:p w14:paraId="555800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p w14:paraId="6699D7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（元）</w:t>
            </w:r>
          </w:p>
        </w:tc>
        <w:tc>
          <w:tcPr>
            <w:tcW w:w="7686" w:type="dxa"/>
            <w:noWrap w:val="0"/>
            <w:vAlign w:val="center"/>
          </w:tcPr>
          <w:p w14:paraId="417035AF">
            <w:pPr>
              <w:keepNext w:val="0"/>
              <w:keepLines w:val="0"/>
              <w:pageBreakBefore w:val="0"/>
              <w:widowControl w:val="0"/>
              <w:tabs>
                <w:tab w:val="left" w:pos="9135"/>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p w14:paraId="3B4B068B">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大写：</w:t>
            </w:r>
          </w:p>
        </w:tc>
      </w:tr>
      <w:tr w14:paraId="4DEA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13" w:type="dxa"/>
            <w:noWrap w:val="0"/>
            <w:vAlign w:val="center"/>
          </w:tcPr>
          <w:p w14:paraId="51240C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合同履约期限</w:t>
            </w:r>
          </w:p>
        </w:tc>
        <w:tc>
          <w:tcPr>
            <w:tcW w:w="7686" w:type="dxa"/>
            <w:noWrap w:val="0"/>
            <w:vAlign w:val="center"/>
          </w:tcPr>
          <w:p w14:paraId="5271559B">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1"/>
                <w:szCs w:val="22"/>
                <w:highlight w:val="none"/>
              </w:rPr>
            </w:pPr>
          </w:p>
        </w:tc>
      </w:tr>
      <w:tr w14:paraId="3706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13" w:type="dxa"/>
            <w:noWrap w:val="0"/>
            <w:vAlign w:val="center"/>
          </w:tcPr>
          <w:p w14:paraId="246095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质保期</w:t>
            </w:r>
          </w:p>
        </w:tc>
        <w:tc>
          <w:tcPr>
            <w:tcW w:w="7686" w:type="dxa"/>
            <w:noWrap w:val="0"/>
            <w:vAlign w:val="center"/>
          </w:tcPr>
          <w:p w14:paraId="623B902A">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1"/>
                <w:szCs w:val="22"/>
                <w:highlight w:val="none"/>
                <w:lang w:val="en-US" w:eastAsia="zh-CN"/>
              </w:rPr>
            </w:pPr>
          </w:p>
        </w:tc>
      </w:tr>
      <w:tr w14:paraId="2E02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13" w:type="dxa"/>
            <w:noWrap w:val="0"/>
            <w:vAlign w:val="center"/>
          </w:tcPr>
          <w:p w14:paraId="7BCEE5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项目负责人</w:t>
            </w:r>
          </w:p>
        </w:tc>
        <w:tc>
          <w:tcPr>
            <w:tcW w:w="7686" w:type="dxa"/>
            <w:noWrap w:val="0"/>
            <w:vAlign w:val="center"/>
          </w:tcPr>
          <w:p w14:paraId="29A14265">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1"/>
                <w:szCs w:val="22"/>
                <w:highlight w:val="none"/>
                <w:lang w:val="en-US" w:eastAsia="zh-CN"/>
              </w:rPr>
            </w:pPr>
          </w:p>
        </w:tc>
      </w:tr>
      <w:tr w14:paraId="0E2B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813" w:type="dxa"/>
            <w:noWrap w:val="0"/>
            <w:vAlign w:val="center"/>
          </w:tcPr>
          <w:p w14:paraId="6834B7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备注</w:t>
            </w:r>
          </w:p>
        </w:tc>
        <w:tc>
          <w:tcPr>
            <w:tcW w:w="7686" w:type="dxa"/>
            <w:noWrap w:val="0"/>
            <w:vAlign w:val="center"/>
          </w:tcPr>
          <w:p w14:paraId="3E5167D9">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投标报价为所投产品</w:t>
            </w:r>
            <w:r>
              <w:rPr>
                <w:rFonts w:hint="eastAsia" w:ascii="宋体" w:hAnsi="宋体" w:eastAsia="宋体" w:cs="宋体"/>
                <w:color w:val="auto"/>
                <w:sz w:val="24"/>
                <w:highlight w:val="none"/>
                <w:lang w:val="en-US" w:eastAsia="zh-CN"/>
              </w:rPr>
              <w:t>的报价合计</w:t>
            </w:r>
            <w:r>
              <w:rPr>
                <w:rFonts w:hint="eastAsia" w:ascii="宋体" w:hAnsi="宋体" w:eastAsia="宋体" w:cs="宋体"/>
                <w:color w:val="auto"/>
                <w:sz w:val="24"/>
                <w:highlight w:val="none"/>
                <w:lang w:eastAsia="zh-CN"/>
              </w:rPr>
              <w:t>（含直接成本、运输、搬运、税金、管理费、各类劳保、保险等一切费用）；</w:t>
            </w:r>
          </w:p>
          <w:p w14:paraId="02A723EE">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1"/>
                <w:szCs w:val="22"/>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投标报价保留小数点后</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lang w:eastAsia="zh-CN"/>
              </w:rPr>
              <w:t>位，</w:t>
            </w:r>
            <w:r>
              <w:rPr>
                <w:rFonts w:hint="eastAsia" w:ascii="宋体" w:hAnsi="宋体" w:eastAsia="宋体" w:cs="宋体"/>
                <w:b w:val="0"/>
                <w:bCs w:val="0"/>
                <w:color w:val="auto"/>
                <w:sz w:val="24"/>
                <w:szCs w:val="24"/>
                <w:highlight w:val="none"/>
                <w:lang w:val="en-US" w:eastAsia="zh-CN"/>
              </w:rPr>
              <w:t>换算必须一致，</w:t>
            </w:r>
            <w:r>
              <w:rPr>
                <w:rFonts w:hint="eastAsia" w:ascii="宋体" w:hAnsi="宋体" w:eastAsia="宋体" w:cs="宋体"/>
                <w:color w:val="auto"/>
                <w:sz w:val="24"/>
                <w:highlight w:val="none"/>
                <w:lang w:eastAsia="zh-CN"/>
              </w:rPr>
              <w:t>否则为无效报价。</w:t>
            </w:r>
          </w:p>
        </w:tc>
      </w:tr>
    </w:tbl>
    <w:p w14:paraId="7984CE1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274226F7">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598201D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402FC56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w:t>
      </w:r>
    </w:p>
    <w:p w14:paraId="275613ED">
      <w:pPr>
        <w:pStyle w:val="34"/>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highlight w:val="none"/>
        </w:rPr>
      </w:pPr>
    </w:p>
    <w:p w14:paraId="72AF9E6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0CE467D0">
      <w:pPr>
        <w:pStyle w:val="34"/>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highlight w:val="none"/>
        </w:rPr>
      </w:pPr>
    </w:p>
    <w:p w14:paraId="6CDA7AC0">
      <w:pPr>
        <w:pStyle w:val="34"/>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w:t>
      </w:r>
    </w:p>
    <w:p w14:paraId="4782984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sectPr>
          <w:pgSz w:w="11900" w:h="16838"/>
          <w:pgMar w:top="1134" w:right="1134" w:bottom="1134" w:left="1134" w:header="624" w:footer="624" w:gutter="0"/>
          <w:pgNumType w:fmt="numberInDash"/>
          <w:cols w:space="0" w:num="1"/>
          <w:rtlGutter w:val="0"/>
          <w:docGrid w:linePitch="317" w:charSpace="0"/>
        </w:sectPr>
      </w:pPr>
    </w:p>
    <w:p w14:paraId="36CFC311">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sz w:val="24"/>
          <w:szCs w:val="24"/>
          <w:highlight w:val="none"/>
          <w:lang w:eastAsia="zh-CN"/>
        </w:rPr>
      </w:pPr>
      <w:bookmarkStart w:id="371" w:name="_Toc12415"/>
      <w:bookmarkStart w:id="372" w:name="_Toc20633"/>
      <w:bookmarkStart w:id="373" w:name="_Toc3858"/>
      <w:bookmarkStart w:id="374" w:name="_Toc28789"/>
      <w:bookmarkStart w:id="375" w:name="_Toc32692"/>
      <w:r>
        <w:rPr>
          <w:rFonts w:hint="eastAsia" w:ascii="宋体" w:hAnsi="宋体" w:eastAsia="宋体" w:cs="宋体"/>
          <w:color w:val="auto"/>
          <w:sz w:val="24"/>
          <w:szCs w:val="24"/>
          <w:highlight w:val="none"/>
          <w:lang w:eastAsia="zh-CN"/>
        </w:rPr>
        <w:t>（二）</w:t>
      </w:r>
      <w:bookmarkEnd w:id="371"/>
      <w:bookmarkEnd w:id="372"/>
      <w:r>
        <w:rPr>
          <w:rFonts w:hint="eastAsia" w:ascii="宋体" w:hAnsi="宋体" w:eastAsia="宋体" w:cs="宋体"/>
          <w:color w:val="auto"/>
          <w:sz w:val="24"/>
          <w:szCs w:val="24"/>
          <w:highlight w:val="none"/>
          <w:lang w:eastAsia="zh-CN"/>
        </w:rPr>
        <w:t>报价明细表</w:t>
      </w:r>
      <w:bookmarkEnd w:id="373"/>
      <w:bookmarkEnd w:id="374"/>
      <w:bookmarkEnd w:id="375"/>
    </w:p>
    <w:p w14:paraId="7CD23AC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14:paraId="231F81B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tbl>
      <w:tblPr>
        <w:tblStyle w:val="35"/>
        <w:tblW w:w="10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944"/>
        <w:gridCol w:w="876"/>
        <w:gridCol w:w="1176"/>
        <w:gridCol w:w="1669"/>
        <w:gridCol w:w="1308"/>
        <w:gridCol w:w="820"/>
        <w:gridCol w:w="1626"/>
      </w:tblGrid>
      <w:tr w14:paraId="2ABA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833" w:type="dxa"/>
            <w:noWrap w:val="0"/>
            <w:vAlign w:val="center"/>
          </w:tcPr>
          <w:p w14:paraId="59761D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44" w:type="dxa"/>
            <w:noWrap w:val="0"/>
            <w:vAlign w:val="center"/>
          </w:tcPr>
          <w:p w14:paraId="51ECEE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标的</w:t>
            </w:r>
            <w:r>
              <w:rPr>
                <w:rFonts w:hint="eastAsia" w:ascii="宋体" w:hAnsi="宋体" w:eastAsia="宋体" w:cs="宋体"/>
                <w:color w:val="auto"/>
                <w:sz w:val="21"/>
                <w:szCs w:val="21"/>
                <w:highlight w:val="none"/>
              </w:rPr>
              <w:t>名称</w:t>
            </w:r>
          </w:p>
        </w:tc>
        <w:tc>
          <w:tcPr>
            <w:tcW w:w="876" w:type="dxa"/>
            <w:noWrap w:val="0"/>
            <w:vAlign w:val="center"/>
          </w:tcPr>
          <w:p w14:paraId="79B88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176" w:type="dxa"/>
            <w:noWrap w:val="0"/>
            <w:vAlign w:val="center"/>
          </w:tcPr>
          <w:p w14:paraId="2D0F7C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规格</w:t>
            </w:r>
            <w:r>
              <w:rPr>
                <w:rFonts w:hint="eastAsia" w:ascii="宋体" w:hAnsi="宋体" w:eastAsia="宋体" w:cs="宋体"/>
                <w:color w:val="auto"/>
                <w:sz w:val="21"/>
                <w:szCs w:val="21"/>
                <w:highlight w:val="none"/>
              </w:rPr>
              <w:t>型号</w:t>
            </w:r>
          </w:p>
        </w:tc>
        <w:tc>
          <w:tcPr>
            <w:tcW w:w="1669" w:type="dxa"/>
            <w:noWrap w:val="0"/>
            <w:vAlign w:val="center"/>
          </w:tcPr>
          <w:p w14:paraId="5595ED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投标产品注册（备案）证名称</w:t>
            </w:r>
          </w:p>
        </w:tc>
        <w:tc>
          <w:tcPr>
            <w:tcW w:w="1308" w:type="dxa"/>
            <w:noWrap w:val="0"/>
            <w:vAlign w:val="center"/>
          </w:tcPr>
          <w:p w14:paraId="29199A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注册（备案）证号</w:t>
            </w:r>
          </w:p>
        </w:tc>
        <w:tc>
          <w:tcPr>
            <w:tcW w:w="820" w:type="dxa"/>
            <w:shd w:val="clear" w:color="auto" w:fill="auto"/>
            <w:noWrap w:val="0"/>
            <w:vAlign w:val="center"/>
          </w:tcPr>
          <w:p w14:paraId="6E23B9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单位</w:t>
            </w:r>
          </w:p>
        </w:tc>
        <w:tc>
          <w:tcPr>
            <w:tcW w:w="1626" w:type="dxa"/>
            <w:noWrap w:val="0"/>
            <w:vAlign w:val="center"/>
          </w:tcPr>
          <w:p w14:paraId="61B28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总价（元）</w:t>
            </w:r>
          </w:p>
        </w:tc>
      </w:tr>
      <w:tr w14:paraId="5F4F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3" w:type="dxa"/>
            <w:noWrap w:val="0"/>
            <w:vAlign w:val="center"/>
          </w:tcPr>
          <w:p w14:paraId="546938EF">
            <w:pPr>
              <w:numPr>
                <w:ilvl w:val="0"/>
                <w:numId w:val="0"/>
              </w:numPr>
              <w:spacing w:line="400" w:lineRule="atLeast"/>
              <w:ind w:left="454" w:leftChars="0" w:hanging="454"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p>
        </w:tc>
        <w:tc>
          <w:tcPr>
            <w:tcW w:w="1944" w:type="dxa"/>
            <w:noWrap w:val="0"/>
            <w:vAlign w:val="center"/>
          </w:tcPr>
          <w:p w14:paraId="456FCB8C">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876" w:type="dxa"/>
            <w:noWrap w:val="0"/>
            <w:vAlign w:val="center"/>
          </w:tcPr>
          <w:p w14:paraId="1B2B9F85">
            <w:pPr>
              <w:spacing w:line="400" w:lineRule="atLeast"/>
              <w:jc w:val="center"/>
              <w:rPr>
                <w:rFonts w:hint="eastAsia" w:ascii="宋体" w:hAnsi="宋体" w:eastAsia="宋体" w:cs="宋体"/>
                <w:color w:val="auto"/>
                <w:sz w:val="21"/>
                <w:szCs w:val="21"/>
                <w:highlight w:val="none"/>
              </w:rPr>
            </w:pPr>
          </w:p>
        </w:tc>
        <w:tc>
          <w:tcPr>
            <w:tcW w:w="1176" w:type="dxa"/>
            <w:noWrap w:val="0"/>
            <w:vAlign w:val="center"/>
          </w:tcPr>
          <w:p w14:paraId="56AEAC7C">
            <w:pPr>
              <w:spacing w:line="400" w:lineRule="atLeast"/>
              <w:jc w:val="center"/>
              <w:rPr>
                <w:rFonts w:hint="eastAsia" w:ascii="宋体" w:hAnsi="宋体" w:eastAsia="宋体" w:cs="宋体"/>
                <w:color w:val="auto"/>
                <w:sz w:val="21"/>
                <w:szCs w:val="21"/>
                <w:highlight w:val="none"/>
              </w:rPr>
            </w:pPr>
          </w:p>
        </w:tc>
        <w:tc>
          <w:tcPr>
            <w:tcW w:w="1669" w:type="dxa"/>
            <w:noWrap w:val="0"/>
            <w:vAlign w:val="center"/>
          </w:tcPr>
          <w:p w14:paraId="05B23CD9">
            <w:pPr>
              <w:spacing w:line="400" w:lineRule="atLeast"/>
              <w:jc w:val="center"/>
              <w:rPr>
                <w:rFonts w:hint="eastAsia" w:ascii="宋体" w:hAnsi="宋体" w:eastAsia="宋体" w:cs="宋体"/>
                <w:color w:val="auto"/>
                <w:sz w:val="21"/>
                <w:szCs w:val="21"/>
                <w:highlight w:val="none"/>
              </w:rPr>
            </w:pPr>
          </w:p>
        </w:tc>
        <w:tc>
          <w:tcPr>
            <w:tcW w:w="1308" w:type="dxa"/>
            <w:noWrap w:val="0"/>
            <w:vAlign w:val="center"/>
          </w:tcPr>
          <w:p w14:paraId="03622C72">
            <w:pPr>
              <w:spacing w:line="400" w:lineRule="atLeast"/>
              <w:jc w:val="center"/>
              <w:rPr>
                <w:rFonts w:hint="eastAsia" w:ascii="宋体" w:hAnsi="宋体" w:eastAsia="宋体" w:cs="宋体"/>
                <w:color w:val="auto"/>
                <w:sz w:val="21"/>
                <w:szCs w:val="21"/>
                <w:highlight w:val="none"/>
              </w:rPr>
            </w:pPr>
          </w:p>
        </w:tc>
        <w:tc>
          <w:tcPr>
            <w:tcW w:w="820" w:type="dxa"/>
            <w:shd w:val="clear" w:color="auto" w:fill="auto"/>
            <w:noWrap w:val="0"/>
            <w:vAlign w:val="center"/>
          </w:tcPr>
          <w:p w14:paraId="5BC5435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1626" w:type="dxa"/>
            <w:noWrap w:val="0"/>
            <w:vAlign w:val="center"/>
          </w:tcPr>
          <w:p w14:paraId="212EB9E5">
            <w:pPr>
              <w:spacing w:line="400" w:lineRule="atLeast"/>
              <w:jc w:val="center"/>
              <w:rPr>
                <w:rFonts w:hint="eastAsia" w:ascii="宋体" w:hAnsi="宋体" w:eastAsia="宋体" w:cs="宋体"/>
                <w:color w:val="auto"/>
                <w:sz w:val="21"/>
                <w:szCs w:val="21"/>
                <w:highlight w:val="none"/>
              </w:rPr>
            </w:pPr>
          </w:p>
        </w:tc>
      </w:tr>
      <w:tr w14:paraId="572B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3" w:type="dxa"/>
            <w:noWrap w:val="0"/>
            <w:vAlign w:val="center"/>
          </w:tcPr>
          <w:p w14:paraId="0243DD32">
            <w:pPr>
              <w:numPr>
                <w:ilvl w:val="0"/>
                <w:numId w:val="0"/>
              </w:numPr>
              <w:spacing w:line="400" w:lineRule="atLeast"/>
              <w:ind w:left="454" w:leftChars="0" w:hanging="454"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p>
        </w:tc>
        <w:tc>
          <w:tcPr>
            <w:tcW w:w="1944" w:type="dxa"/>
            <w:noWrap w:val="0"/>
            <w:vAlign w:val="center"/>
          </w:tcPr>
          <w:p w14:paraId="0E4485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c>
          <w:tcPr>
            <w:tcW w:w="876" w:type="dxa"/>
            <w:noWrap w:val="0"/>
            <w:vAlign w:val="center"/>
          </w:tcPr>
          <w:p w14:paraId="6CEDDED9">
            <w:pPr>
              <w:spacing w:line="400" w:lineRule="atLeast"/>
              <w:jc w:val="center"/>
              <w:rPr>
                <w:rFonts w:hint="eastAsia" w:ascii="宋体" w:hAnsi="宋体" w:eastAsia="宋体" w:cs="宋体"/>
                <w:color w:val="auto"/>
                <w:sz w:val="21"/>
                <w:szCs w:val="21"/>
                <w:highlight w:val="none"/>
              </w:rPr>
            </w:pPr>
          </w:p>
        </w:tc>
        <w:tc>
          <w:tcPr>
            <w:tcW w:w="1176" w:type="dxa"/>
            <w:noWrap w:val="0"/>
            <w:vAlign w:val="center"/>
          </w:tcPr>
          <w:p w14:paraId="4FF4190D">
            <w:pPr>
              <w:spacing w:line="400" w:lineRule="atLeast"/>
              <w:jc w:val="center"/>
              <w:rPr>
                <w:rFonts w:hint="eastAsia" w:ascii="宋体" w:hAnsi="宋体" w:eastAsia="宋体" w:cs="宋体"/>
                <w:color w:val="auto"/>
                <w:sz w:val="21"/>
                <w:szCs w:val="21"/>
                <w:highlight w:val="none"/>
              </w:rPr>
            </w:pPr>
          </w:p>
        </w:tc>
        <w:tc>
          <w:tcPr>
            <w:tcW w:w="1669" w:type="dxa"/>
            <w:noWrap w:val="0"/>
            <w:vAlign w:val="center"/>
          </w:tcPr>
          <w:p w14:paraId="7422670C">
            <w:pPr>
              <w:spacing w:line="400" w:lineRule="atLeast"/>
              <w:jc w:val="center"/>
              <w:rPr>
                <w:rFonts w:hint="eastAsia" w:ascii="宋体" w:hAnsi="宋体" w:eastAsia="宋体" w:cs="宋体"/>
                <w:color w:val="auto"/>
                <w:sz w:val="21"/>
                <w:szCs w:val="21"/>
                <w:highlight w:val="none"/>
              </w:rPr>
            </w:pPr>
          </w:p>
        </w:tc>
        <w:tc>
          <w:tcPr>
            <w:tcW w:w="1308" w:type="dxa"/>
            <w:noWrap w:val="0"/>
            <w:vAlign w:val="center"/>
          </w:tcPr>
          <w:p w14:paraId="36540E92">
            <w:pPr>
              <w:spacing w:line="400" w:lineRule="atLeast"/>
              <w:jc w:val="center"/>
              <w:rPr>
                <w:rFonts w:hint="eastAsia" w:ascii="宋体" w:hAnsi="宋体" w:eastAsia="宋体" w:cs="宋体"/>
                <w:color w:val="auto"/>
                <w:sz w:val="21"/>
                <w:szCs w:val="21"/>
                <w:highlight w:val="none"/>
              </w:rPr>
            </w:pPr>
          </w:p>
        </w:tc>
        <w:tc>
          <w:tcPr>
            <w:tcW w:w="820" w:type="dxa"/>
            <w:shd w:val="clear" w:color="auto" w:fill="auto"/>
            <w:noWrap w:val="0"/>
            <w:vAlign w:val="center"/>
          </w:tcPr>
          <w:p w14:paraId="2657E3D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1626" w:type="dxa"/>
            <w:noWrap w:val="0"/>
            <w:vAlign w:val="center"/>
          </w:tcPr>
          <w:p w14:paraId="38095772">
            <w:pPr>
              <w:spacing w:line="400" w:lineRule="atLeast"/>
              <w:jc w:val="center"/>
              <w:rPr>
                <w:rFonts w:hint="eastAsia" w:ascii="宋体" w:hAnsi="宋体" w:eastAsia="宋体" w:cs="宋体"/>
                <w:color w:val="auto"/>
                <w:sz w:val="21"/>
                <w:szCs w:val="21"/>
                <w:highlight w:val="none"/>
              </w:rPr>
            </w:pPr>
          </w:p>
        </w:tc>
      </w:tr>
      <w:tr w14:paraId="26EE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3" w:type="dxa"/>
            <w:noWrap w:val="0"/>
            <w:vAlign w:val="center"/>
          </w:tcPr>
          <w:p w14:paraId="69BC3125">
            <w:pPr>
              <w:numPr>
                <w:ilvl w:val="0"/>
                <w:numId w:val="0"/>
              </w:numPr>
              <w:spacing w:line="400" w:lineRule="atLeast"/>
              <w:ind w:left="454" w:leftChars="0" w:hanging="454"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p>
        </w:tc>
        <w:tc>
          <w:tcPr>
            <w:tcW w:w="1944" w:type="dxa"/>
            <w:noWrap w:val="0"/>
            <w:vAlign w:val="center"/>
          </w:tcPr>
          <w:p w14:paraId="435EF5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c>
          <w:tcPr>
            <w:tcW w:w="876" w:type="dxa"/>
            <w:noWrap w:val="0"/>
            <w:vAlign w:val="center"/>
          </w:tcPr>
          <w:p w14:paraId="326B7A6C">
            <w:pPr>
              <w:spacing w:line="400" w:lineRule="atLeast"/>
              <w:jc w:val="center"/>
              <w:rPr>
                <w:rFonts w:hint="eastAsia" w:ascii="宋体" w:hAnsi="宋体" w:eastAsia="宋体" w:cs="宋体"/>
                <w:color w:val="auto"/>
                <w:sz w:val="21"/>
                <w:szCs w:val="21"/>
                <w:highlight w:val="none"/>
              </w:rPr>
            </w:pPr>
          </w:p>
        </w:tc>
        <w:tc>
          <w:tcPr>
            <w:tcW w:w="1176" w:type="dxa"/>
            <w:noWrap w:val="0"/>
            <w:vAlign w:val="center"/>
          </w:tcPr>
          <w:p w14:paraId="6D30BDA9">
            <w:pPr>
              <w:spacing w:line="400" w:lineRule="atLeast"/>
              <w:jc w:val="center"/>
              <w:rPr>
                <w:rFonts w:hint="eastAsia" w:ascii="宋体" w:hAnsi="宋体" w:eastAsia="宋体" w:cs="宋体"/>
                <w:color w:val="auto"/>
                <w:sz w:val="21"/>
                <w:szCs w:val="21"/>
                <w:highlight w:val="none"/>
              </w:rPr>
            </w:pPr>
          </w:p>
        </w:tc>
        <w:tc>
          <w:tcPr>
            <w:tcW w:w="1669" w:type="dxa"/>
            <w:noWrap w:val="0"/>
            <w:vAlign w:val="center"/>
          </w:tcPr>
          <w:p w14:paraId="742BF7AA">
            <w:pPr>
              <w:spacing w:line="400" w:lineRule="atLeast"/>
              <w:jc w:val="center"/>
              <w:rPr>
                <w:rFonts w:hint="eastAsia" w:ascii="宋体" w:hAnsi="宋体" w:eastAsia="宋体" w:cs="宋体"/>
                <w:color w:val="auto"/>
                <w:sz w:val="21"/>
                <w:szCs w:val="21"/>
                <w:highlight w:val="none"/>
              </w:rPr>
            </w:pPr>
          </w:p>
        </w:tc>
        <w:tc>
          <w:tcPr>
            <w:tcW w:w="1308" w:type="dxa"/>
            <w:noWrap w:val="0"/>
            <w:vAlign w:val="center"/>
          </w:tcPr>
          <w:p w14:paraId="5A1CE0E1">
            <w:pPr>
              <w:spacing w:line="400" w:lineRule="atLeast"/>
              <w:jc w:val="center"/>
              <w:rPr>
                <w:rFonts w:hint="eastAsia" w:ascii="宋体" w:hAnsi="宋体" w:eastAsia="宋体" w:cs="宋体"/>
                <w:color w:val="auto"/>
                <w:sz w:val="21"/>
                <w:szCs w:val="21"/>
                <w:highlight w:val="none"/>
              </w:rPr>
            </w:pPr>
          </w:p>
        </w:tc>
        <w:tc>
          <w:tcPr>
            <w:tcW w:w="820" w:type="dxa"/>
            <w:shd w:val="clear" w:color="auto" w:fill="auto"/>
            <w:noWrap w:val="0"/>
            <w:vAlign w:val="center"/>
          </w:tcPr>
          <w:p w14:paraId="2420D12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1626" w:type="dxa"/>
            <w:noWrap w:val="0"/>
            <w:vAlign w:val="center"/>
          </w:tcPr>
          <w:p w14:paraId="7EF030AB">
            <w:pPr>
              <w:spacing w:line="400" w:lineRule="atLeast"/>
              <w:jc w:val="center"/>
              <w:rPr>
                <w:rFonts w:hint="eastAsia" w:ascii="宋体" w:hAnsi="宋体" w:eastAsia="宋体" w:cs="宋体"/>
                <w:color w:val="auto"/>
                <w:sz w:val="21"/>
                <w:szCs w:val="21"/>
                <w:highlight w:val="none"/>
              </w:rPr>
            </w:pPr>
          </w:p>
        </w:tc>
      </w:tr>
      <w:tr w14:paraId="0B76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3" w:type="dxa"/>
            <w:noWrap w:val="0"/>
            <w:vAlign w:val="center"/>
          </w:tcPr>
          <w:p w14:paraId="2947775C">
            <w:pPr>
              <w:numPr>
                <w:ilvl w:val="0"/>
                <w:numId w:val="0"/>
              </w:numPr>
              <w:spacing w:line="400" w:lineRule="atLeast"/>
              <w:ind w:left="454" w:leftChars="0" w:hanging="454"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w:t>
            </w:r>
          </w:p>
        </w:tc>
        <w:tc>
          <w:tcPr>
            <w:tcW w:w="1944" w:type="dxa"/>
            <w:noWrap w:val="0"/>
            <w:vAlign w:val="center"/>
          </w:tcPr>
          <w:p w14:paraId="47AF99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c>
          <w:tcPr>
            <w:tcW w:w="876" w:type="dxa"/>
            <w:noWrap w:val="0"/>
            <w:vAlign w:val="center"/>
          </w:tcPr>
          <w:p w14:paraId="41F5D428">
            <w:pPr>
              <w:spacing w:line="400" w:lineRule="atLeast"/>
              <w:jc w:val="center"/>
              <w:rPr>
                <w:rFonts w:hint="eastAsia" w:ascii="宋体" w:hAnsi="宋体" w:eastAsia="宋体" w:cs="宋体"/>
                <w:color w:val="auto"/>
                <w:sz w:val="21"/>
                <w:szCs w:val="21"/>
                <w:highlight w:val="none"/>
              </w:rPr>
            </w:pPr>
          </w:p>
        </w:tc>
        <w:tc>
          <w:tcPr>
            <w:tcW w:w="1176" w:type="dxa"/>
            <w:noWrap w:val="0"/>
            <w:vAlign w:val="center"/>
          </w:tcPr>
          <w:p w14:paraId="61C85DB2">
            <w:pPr>
              <w:spacing w:line="400" w:lineRule="atLeast"/>
              <w:jc w:val="center"/>
              <w:rPr>
                <w:rFonts w:hint="eastAsia" w:ascii="宋体" w:hAnsi="宋体" w:eastAsia="宋体" w:cs="宋体"/>
                <w:color w:val="auto"/>
                <w:sz w:val="21"/>
                <w:szCs w:val="21"/>
                <w:highlight w:val="none"/>
              </w:rPr>
            </w:pPr>
          </w:p>
        </w:tc>
        <w:tc>
          <w:tcPr>
            <w:tcW w:w="1669" w:type="dxa"/>
            <w:noWrap w:val="0"/>
            <w:vAlign w:val="center"/>
          </w:tcPr>
          <w:p w14:paraId="2C92AC5E">
            <w:pPr>
              <w:spacing w:line="400" w:lineRule="atLeast"/>
              <w:jc w:val="center"/>
              <w:rPr>
                <w:rFonts w:hint="eastAsia" w:ascii="宋体" w:hAnsi="宋体" w:eastAsia="宋体" w:cs="宋体"/>
                <w:color w:val="auto"/>
                <w:sz w:val="21"/>
                <w:szCs w:val="21"/>
                <w:highlight w:val="none"/>
              </w:rPr>
            </w:pPr>
          </w:p>
        </w:tc>
        <w:tc>
          <w:tcPr>
            <w:tcW w:w="1308" w:type="dxa"/>
            <w:noWrap w:val="0"/>
            <w:vAlign w:val="center"/>
          </w:tcPr>
          <w:p w14:paraId="3BA5CA76">
            <w:pPr>
              <w:spacing w:line="400" w:lineRule="atLeast"/>
              <w:jc w:val="center"/>
              <w:rPr>
                <w:rFonts w:hint="eastAsia" w:ascii="宋体" w:hAnsi="宋体" w:eastAsia="宋体" w:cs="宋体"/>
                <w:color w:val="auto"/>
                <w:sz w:val="21"/>
                <w:szCs w:val="21"/>
                <w:highlight w:val="none"/>
              </w:rPr>
            </w:pPr>
          </w:p>
        </w:tc>
        <w:tc>
          <w:tcPr>
            <w:tcW w:w="820" w:type="dxa"/>
            <w:shd w:val="clear" w:color="auto" w:fill="auto"/>
            <w:noWrap w:val="0"/>
            <w:vAlign w:val="center"/>
          </w:tcPr>
          <w:p w14:paraId="3737A3B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1626" w:type="dxa"/>
            <w:noWrap w:val="0"/>
            <w:vAlign w:val="center"/>
          </w:tcPr>
          <w:p w14:paraId="69C3A40B">
            <w:pPr>
              <w:spacing w:line="400" w:lineRule="atLeast"/>
              <w:jc w:val="center"/>
              <w:rPr>
                <w:rFonts w:hint="eastAsia" w:ascii="宋体" w:hAnsi="宋体" w:eastAsia="宋体" w:cs="宋体"/>
                <w:color w:val="auto"/>
                <w:sz w:val="21"/>
                <w:szCs w:val="21"/>
                <w:highlight w:val="none"/>
              </w:rPr>
            </w:pPr>
          </w:p>
        </w:tc>
      </w:tr>
      <w:tr w14:paraId="464D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833" w:type="dxa"/>
            <w:noWrap w:val="0"/>
            <w:vAlign w:val="center"/>
          </w:tcPr>
          <w:p w14:paraId="05D42B37">
            <w:pPr>
              <w:keepNext w:val="0"/>
              <w:keepLines w:val="0"/>
              <w:pageBreakBefore w:val="0"/>
              <w:kinsoku/>
              <w:wordWrap/>
              <w:overflowPunct/>
              <w:topLinePunct w:val="0"/>
              <w:autoSpaceDE/>
              <w:autoSpaceDN/>
              <w:bidi w:val="0"/>
              <w:spacing w:line="2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合计</w:t>
            </w:r>
          </w:p>
          <w:p w14:paraId="2171513A">
            <w:pPr>
              <w:keepNext w:val="0"/>
              <w:keepLines w:val="0"/>
              <w:pageBreakBefore w:val="0"/>
              <w:kinsoku/>
              <w:wordWrap/>
              <w:overflowPunct/>
              <w:topLinePunct w:val="0"/>
              <w:autoSpaceDE/>
              <w:autoSpaceDN/>
              <w:bidi w:val="0"/>
              <w:spacing w:line="2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（元）</w:t>
            </w:r>
          </w:p>
        </w:tc>
        <w:tc>
          <w:tcPr>
            <w:tcW w:w="9419" w:type="dxa"/>
            <w:gridSpan w:val="7"/>
            <w:noWrap w:val="0"/>
            <w:vAlign w:val="center"/>
          </w:tcPr>
          <w:p w14:paraId="0E30E56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小写：</w:t>
            </w:r>
          </w:p>
          <w:p w14:paraId="06714EA7">
            <w:pPr>
              <w:pStyle w:val="34"/>
              <w:keepNext w:val="0"/>
              <w:keepLines w:val="0"/>
              <w:pageBreakBefore w:val="0"/>
              <w:widowControl w:val="0"/>
              <w:kinsoku/>
              <w:wordWrap/>
              <w:overflowPunct/>
              <w:topLinePunct w:val="0"/>
              <w:autoSpaceDE/>
              <w:autoSpaceDN/>
              <w:bidi w:val="0"/>
              <w:adjustRightInd/>
              <w:snapToGrid/>
              <w:spacing w:after="0" w:afterLines="0" w:line="240" w:lineRule="exact"/>
              <w:textAlignment w:val="auto"/>
              <w:rPr>
                <w:rFonts w:hint="eastAsia" w:ascii="宋体" w:hAnsi="宋体" w:eastAsia="宋体" w:cs="宋体"/>
                <w:color w:val="auto"/>
                <w:sz w:val="21"/>
                <w:szCs w:val="21"/>
                <w:highlight w:val="none"/>
                <w:lang w:eastAsia="zh-CN"/>
              </w:rPr>
            </w:pPr>
          </w:p>
          <w:p w14:paraId="6E85C74E">
            <w:pPr>
              <w:pStyle w:val="34"/>
              <w:keepNext w:val="0"/>
              <w:keepLines w:val="0"/>
              <w:pageBreakBefore w:val="0"/>
              <w:widowControl w:val="0"/>
              <w:kinsoku/>
              <w:wordWrap/>
              <w:overflowPunct/>
              <w:topLinePunct w:val="0"/>
              <w:autoSpaceDE/>
              <w:autoSpaceDN/>
              <w:bidi w:val="0"/>
              <w:adjustRightInd/>
              <w:snapToGrid/>
              <w:spacing w:after="0" w:afterLines="0" w:line="240" w:lineRule="exact"/>
              <w:ind w:left="0" w:leftChars="0" w:firstLine="0" w:firstLine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大写：</w:t>
            </w:r>
          </w:p>
        </w:tc>
      </w:tr>
      <w:tr w14:paraId="01AE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833" w:type="dxa"/>
            <w:noWrap w:val="0"/>
            <w:vAlign w:val="center"/>
          </w:tcPr>
          <w:p w14:paraId="780395A2">
            <w:pPr>
              <w:keepNext w:val="0"/>
              <w:keepLines w:val="0"/>
              <w:pageBreakBefore w:val="0"/>
              <w:kinsoku/>
              <w:wordWrap/>
              <w:overflowPunct/>
              <w:topLinePunct w:val="0"/>
              <w:autoSpaceDE/>
              <w:autoSpaceDN/>
              <w:bidi w:val="0"/>
              <w:spacing w:line="2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备注</w:t>
            </w:r>
          </w:p>
        </w:tc>
        <w:tc>
          <w:tcPr>
            <w:tcW w:w="9419" w:type="dxa"/>
            <w:gridSpan w:val="7"/>
            <w:noWrap w:val="0"/>
            <w:vAlign w:val="center"/>
          </w:tcPr>
          <w:p w14:paraId="1A76E2A6">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1.报价明细表合计</w:t>
            </w:r>
            <w:r>
              <w:rPr>
                <w:rFonts w:hint="eastAsia" w:ascii="宋体" w:hAnsi="宋体" w:eastAsia="宋体" w:cs="宋体"/>
                <w:color w:val="auto"/>
                <w:sz w:val="21"/>
                <w:szCs w:val="21"/>
                <w:highlight w:val="none"/>
                <w:lang w:eastAsia="zh-CN"/>
              </w:rPr>
              <w:t>为所投产品的</w:t>
            </w:r>
            <w:r>
              <w:rPr>
                <w:rFonts w:hint="eastAsia" w:ascii="宋体" w:hAnsi="宋体" w:eastAsia="宋体" w:cs="宋体"/>
                <w:color w:val="auto"/>
                <w:sz w:val="21"/>
                <w:szCs w:val="21"/>
                <w:highlight w:val="none"/>
                <w:lang w:val="en-US" w:eastAsia="zh-CN"/>
              </w:rPr>
              <w:t>报价合计</w:t>
            </w:r>
            <w:r>
              <w:rPr>
                <w:rFonts w:hint="eastAsia" w:ascii="宋体" w:hAnsi="宋体" w:eastAsia="宋体" w:cs="宋体"/>
                <w:color w:val="auto"/>
                <w:sz w:val="21"/>
                <w:szCs w:val="21"/>
                <w:highlight w:val="none"/>
                <w:lang w:eastAsia="zh-CN"/>
              </w:rPr>
              <w:t>（含直接成本、运输、搬运、税金、管理费、各类劳保、保险等一切费用）；</w:t>
            </w:r>
          </w:p>
          <w:p w14:paraId="1FA7397A">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2.报价保留小数点后两位，换算必须一致，否则为无效报价。</w:t>
            </w:r>
          </w:p>
          <w:p w14:paraId="2DBA549A">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3.此表格必须填写所投全部产品，可根据需求自行增减行</w:t>
            </w:r>
            <w:r>
              <w:rPr>
                <w:rFonts w:hint="eastAsia" w:ascii="宋体" w:hAnsi="宋体" w:cs="宋体"/>
                <w:color w:val="auto"/>
                <w:sz w:val="21"/>
                <w:szCs w:val="21"/>
                <w:highlight w:val="none"/>
                <w:lang w:val="en-US" w:eastAsia="zh-CN"/>
              </w:rPr>
              <w:t>。</w:t>
            </w:r>
          </w:p>
        </w:tc>
      </w:tr>
    </w:tbl>
    <w:p w14:paraId="2E65FC8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eastAsia="zh-CN"/>
        </w:rPr>
      </w:pPr>
    </w:p>
    <w:p w14:paraId="062930C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eastAsia="zh-CN"/>
        </w:rPr>
      </w:pPr>
    </w:p>
    <w:p w14:paraId="4969761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1D8D5BC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w:t>
      </w:r>
    </w:p>
    <w:p w14:paraId="6A1C402E">
      <w:pPr>
        <w:pStyle w:val="34"/>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highlight w:val="none"/>
        </w:rPr>
      </w:pPr>
    </w:p>
    <w:p w14:paraId="6EADC96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3D8E73BD">
      <w:pPr>
        <w:pStyle w:val="34"/>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highlight w:val="none"/>
        </w:rPr>
      </w:pPr>
    </w:p>
    <w:p w14:paraId="548BC64D">
      <w:pPr>
        <w:pStyle w:val="34"/>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p>
    <w:p w14:paraId="02A8F76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rPr>
        <w:sectPr>
          <w:pgSz w:w="11900" w:h="16838"/>
          <w:pgMar w:top="1134" w:right="1134" w:bottom="1134" w:left="1134" w:header="624" w:footer="624" w:gutter="0"/>
          <w:pgNumType w:fmt="numberInDash"/>
          <w:cols w:space="0" w:num="1"/>
          <w:rtlGutter w:val="0"/>
          <w:docGrid w:linePitch="317" w:charSpace="0"/>
        </w:sectPr>
      </w:pPr>
    </w:p>
    <w:p w14:paraId="175F2D08">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4"/>
          <w:szCs w:val="24"/>
          <w:highlight w:val="none"/>
          <w:lang w:val="en-US" w:eastAsia="zh-CN"/>
        </w:rPr>
      </w:pPr>
      <w:bookmarkStart w:id="376" w:name="_Toc20538"/>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bookmarkStart w:id="377" w:name="_Toc8737"/>
      <w:r>
        <w:rPr>
          <w:rFonts w:hint="eastAsia" w:ascii="Times New Roman" w:hAnsi="Times New Roman" w:eastAsia="宋体" w:cs="Times New Roman"/>
          <w:color w:val="auto"/>
          <w:sz w:val="24"/>
          <w:szCs w:val="24"/>
          <w:highlight w:val="none"/>
          <w:lang w:val="en-US" w:eastAsia="zh-CN"/>
        </w:rPr>
        <w:t>关于符合本国产品标准的声明函或财政部规定的其他</w:t>
      </w:r>
      <w:bookmarkEnd w:id="377"/>
      <w:r>
        <w:rPr>
          <w:rFonts w:hint="eastAsia" w:ascii="Times New Roman" w:hAnsi="Times New Roman" w:eastAsia="宋体" w:cs="Times New Roman"/>
          <w:color w:val="auto"/>
          <w:sz w:val="24"/>
          <w:szCs w:val="24"/>
          <w:highlight w:val="none"/>
          <w:lang w:val="en-US" w:eastAsia="zh-CN"/>
        </w:rPr>
        <w:t>证明文件</w:t>
      </w:r>
      <w:bookmarkEnd w:id="376"/>
    </w:p>
    <w:p w14:paraId="5A9537D0">
      <w:pPr>
        <w:keepNext w:val="0"/>
        <w:keepLines w:val="0"/>
        <w:pageBreakBefore w:val="0"/>
        <w:widowControl w:val="0"/>
        <w:suppressLineNumbers w:val="0"/>
        <w:kinsoku/>
        <w:wordWrap w:val="0"/>
        <w:overflowPunct/>
        <w:topLinePunct/>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
          <w:bCs/>
          <w:color w:val="auto"/>
          <w:kern w:val="0"/>
          <w:sz w:val="24"/>
          <w:szCs w:val="24"/>
          <w:highlight w:val="none"/>
          <w:lang w:val="en-US" w:eastAsia="zh-CN" w:bidi="ar"/>
        </w:rPr>
      </w:pPr>
    </w:p>
    <w:p w14:paraId="08ED91A5">
      <w:pPr>
        <w:keepNext w:val="0"/>
        <w:keepLines w:val="0"/>
        <w:pageBreakBefore w:val="0"/>
        <w:widowControl w:val="0"/>
        <w:suppressLineNumbers w:val="0"/>
        <w:kinsoku/>
        <w:wordWrap w:val="0"/>
        <w:overflowPunct/>
        <w:topLinePunct/>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关于符合本国产品标准的声明函</w:t>
      </w:r>
    </w:p>
    <w:p w14:paraId="31BCDB1D">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73138318">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，生产厂为</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厂名</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，厂址为</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生产厂址</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的中国境内生产的组件成本占比≥</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规定比例</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关键组件</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在中国境内生产。</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关键工序</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在中国境内完成。</w:t>
      </w:r>
    </w:p>
    <w:p w14:paraId="0BE18498">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，生产厂为</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厂名</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，厂址为</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生产厂址</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的中国境内生产的组件成本占比≥</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规定比例</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关键组件</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在中国境内生产。</w:t>
      </w:r>
      <w:r>
        <w:rPr>
          <w:rFonts w:hint="eastAsia" w:ascii="宋体" w:hAnsi="宋体" w:eastAsia="宋体" w:cs="宋体"/>
          <w:b/>
          <w:bCs/>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b/>
          <w:bCs/>
          <w:color w:val="auto"/>
          <w:kern w:val="0"/>
          <w:sz w:val="24"/>
          <w:szCs w:val="24"/>
          <w:highlight w:val="none"/>
          <w:lang w:val="en-US" w:eastAsia="zh-CN" w:bidi="ar"/>
        </w:rPr>
        <w:t>关键工序</w:t>
      </w:r>
      <w:r>
        <w:rPr>
          <w:rFonts w:hint="eastAsia" w:ascii="宋体" w:hAnsi="宋体" w:eastAsia="宋体" w:cs="宋体"/>
          <w:color w:val="auto"/>
          <w:kern w:val="0"/>
          <w:sz w:val="24"/>
          <w:szCs w:val="24"/>
          <w:highlight w:val="none"/>
          <w:lang w:val="en-US" w:eastAsia="zh-CN" w:bidi="ar"/>
        </w:rPr>
        <w:t>）在中国境内完成。</w:t>
      </w:r>
    </w:p>
    <w:p w14:paraId="6BD4F8AD">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产品名称3</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，生产厂为</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厂名</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，厂址为</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生产厂址</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产品名称3</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的中国境内生产的组件成本占比≥</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规定比例</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产品名称3</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关键组件</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在中国境内生产。</w:t>
      </w:r>
      <w:r>
        <w:rPr>
          <w:rFonts w:hint="eastAsia" w:ascii="宋体" w:hAnsi="宋体" w:eastAsia="宋体" w:cs="宋体"/>
          <w:b/>
          <w:bCs/>
          <w:color w:val="auto"/>
          <w:kern w:val="0"/>
          <w:sz w:val="24"/>
          <w:szCs w:val="24"/>
          <w:highlight w:val="none"/>
          <w:u w:val="single"/>
          <w:lang w:val="en-US" w:eastAsia="zh-CN" w:bidi="ar"/>
        </w:rPr>
        <w:t>（产品名称3）</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b/>
          <w:bCs/>
          <w:color w:val="auto"/>
          <w:kern w:val="0"/>
          <w:sz w:val="24"/>
          <w:szCs w:val="24"/>
          <w:highlight w:val="none"/>
          <w:lang w:val="en-US" w:eastAsia="zh-CN" w:bidi="ar"/>
        </w:rPr>
        <w:t>关键工序</w:t>
      </w:r>
      <w:r>
        <w:rPr>
          <w:rFonts w:hint="eastAsia" w:ascii="宋体" w:hAnsi="宋体" w:eastAsia="宋体" w:cs="宋体"/>
          <w:color w:val="auto"/>
          <w:kern w:val="0"/>
          <w:sz w:val="24"/>
          <w:szCs w:val="24"/>
          <w:highlight w:val="none"/>
          <w:lang w:val="en-US" w:eastAsia="zh-CN" w:bidi="ar"/>
        </w:rPr>
        <w:t>）在中国境内完成。</w:t>
      </w:r>
    </w:p>
    <w:p w14:paraId="1F94D8C6">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p>
    <w:p w14:paraId="6566C4CB">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本公司（单位）对上述声明内容的真实性负责。如有虚假，愿承担相应法律责任。</w:t>
      </w:r>
    </w:p>
    <w:p w14:paraId="1A5FA469">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13DE99E5">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公司（单位）名称（盖章）：</w:t>
      </w:r>
      <w:r>
        <w:rPr>
          <w:rFonts w:hint="eastAsia" w:ascii="宋体" w:hAnsi="宋体" w:eastAsia="宋体" w:cs="宋体"/>
          <w:color w:val="auto"/>
          <w:kern w:val="0"/>
          <w:sz w:val="24"/>
          <w:szCs w:val="24"/>
          <w:highlight w:val="none"/>
          <w:u w:val="single"/>
          <w:lang w:val="en-US" w:eastAsia="zh-CN" w:bidi="ar"/>
        </w:rPr>
        <w:t xml:space="preserve">             </w:t>
      </w:r>
    </w:p>
    <w:p w14:paraId="1DE1D328">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21F540C1">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14:paraId="3D3B7F93">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val="en-US" w:eastAsia="zh-CN" w:bidi="ar"/>
        </w:rPr>
        <w:t>1.产品如有型号，请在“产品名称”栏一并填写。</w:t>
      </w:r>
    </w:p>
    <w:p w14:paraId="4B4EB29A">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2.生产厂名与厂址应与生产厂营业执照载明的相关信息保持一致。</w:t>
      </w:r>
    </w:p>
    <w:p w14:paraId="4119324E">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3.该产品的中国境内生产的组件成本占比相关要求实施前，“规定比例”栏可不填，下同。</w:t>
      </w:r>
    </w:p>
    <w:p w14:paraId="2F77AB91">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4.该产品的关键组件要求实施前，“关键组件”栏可不填，下同。</w:t>
      </w:r>
    </w:p>
    <w:p w14:paraId="338073DE">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5.该产品的关键工序要求实施前，“关键工序”栏可不填，下同。</w:t>
      </w:r>
    </w:p>
    <w:p w14:paraId="7B483522">
      <w:pPr>
        <w:rPr>
          <w:rFonts w:hint="eastAsia" w:ascii="宋体" w:hAnsi="宋体" w:eastAsia="宋体" w:cs="宋体"/>
          <w:b w:val="0"/>
          <w:bCs w:val="0"/>
          <w:i w:val="0"/>
          <w:iCs w:val="0"/>
          <w:color w:val="auto"/>
          <w:kern w:val="0"/>
          <w:sz w:val="21"/>
          <w:szCs w:val="21"/>
          <w:highlight w:val="none"/>
          <w:lang w:val="en-US" w:eastAsia="zh-CN" w:bidi="ar"/>
        </w:rPr>
        <w:sectPr>
          <w:pgSz w:w="11905" w:h="16838"/>
          <w:pgMar w:top="1134" w:right="1134" w:bottom="1134" w:left="1134" w:header="624" w:footer="624" w:gutter="0"/>
          <w:pgBorders>
            <w:top w:val="none" w:sz="0" w:space="0"/>
            <w:left w:val="none" w:sz="0" w:space="0"/>
            <w:bottom w:val="none" w:sz="0" w:space="0"/>
            <w:right w:val="none" w:sz="0" w:space="0"/>
          </w:pgBorders>
          <w:pgNumType w:fmt="numberInDash"/>
          <w:cols w:space="0" w:num="1"/>
          <w:rtlGutter w:val="0"/>
          <w:docGrid w:type="lines" w:linePitch="339" w:charSpace="0"/>
        </w:sectPr>
      </w:pPr>
      <w:r>
        <w:rPr>
          <w:rFonts w:hint="eastAsia" w:ascii="宋体" w:hAnsi="宋体" w:eastAsia="宋体" w:cs="宋体"/>
          <w:b w:val="0"/>
          <w:bCs w:val="0"/>
          <w:i w:val="0"/>
          <w:iCs w:val="0"/>
          <w:color w:val="auto"/>
          <w:kern w:val="0"/>
          <w:sz w:val="21"/>
          <w:szCs w:val="21"/>
          <w:highlight w:val="none"/>
          <w:lang w:val="en-US" w:eastAsia="zh-CN" w:bidi="ar"/>
        </w:rPr>
        <w:br w:type="page"/>
      </w:r>
    </w:p>
    <w:p w14:paraId="2670B862">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本国产品成本占比承诺函</w:t>
      </w:r>
    </w:p>
    <w:p w14:paraId="0F0146AA">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b/>
          <w:bCs/>
          <w:color w:val="auto"/>
          <w:kern w:val="0"/>
          <w:sz w:val="24"/>
          <w:szCs w:val="24"/>
          <w:highlight w:val="none"/>
          <w:lang w:val="en-US" w:eastAsia="zh-CN" w:bidi="ar"/>
        </w:rPr>
        <w:t>采购人/采购代理机构名称</w:t>
      </w:r>
      <w:r>
        <w:rPr>
          <w:rFonts w:hint="eastAsia" w:ascii="宋体" w:hAnsi="宋体" w:eastAsia="宋体" w:cs="宋体"/>
          <w:color w:val="auto"/>
          <w:kern w:val="0"/>
          <w:sz w:val="24"/>
          <w:szCs w:val="24"/>
          <w:highlight w:val="none"/>
          <w:lang w:val="en-US" w:eastAsia="zh-CN" w:bidi="ar"/>
        </w:rPr>
        <w:t>]</w:t>
      </w:r>
    </w:p>
    <w:p w14:paraId="3489DFE4">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本单位就参与[</w:t>
      </w:r>
      <w:r>
        <w:rPr>
          <w:rFonts w:hint="eastAsia" w:ascii="宋体" w:hAnsi="宋体" w:eastAsia="宋体" w:cs="宋体"/>
          <w:b/>
          <w:bCs/>
          <w:color w:val="auto"/>
          <w:kern w:val="0"/>
          <w:sz w:val="24"/>
          <w:szCs w:val="24"/>
          <w:highlight w:val="none"/>
          <w:lang w:val="en-US" w:eastAsia="zh-CN" w:bidi="ar"/>
        </w:rPr>
        <w:t>项目名称、编号</w:t>
      </w:r>
      <w:r>
        <w:rPr>
          <w:rFonts w:hint="eastAsia" w:ascii="宋体" w:hAnsi="宋体" w:eastAsia="宋体" w:cs="宋体"/>
          <w:color w:val="auto"/>
          <w:kern w:val="0"/>
          <w:sz w:val="24"/>
          <w:szCs w:val="24"/>
          <w:highlight w:val="none"/>
          <w:lang w:val="en-US" w:eastAsia="zh-CN" w:bidi="ar"/>
        </w:rPr>
        <w:t>]政府采购项目，郑重承诺如下:</w:t>
      </w:r>
    </w:p>
    <w:p w14:paraId="4A900CC5">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%。本承诺内容真实有效，若存在虚假承诺，愿意承担相应法律责任，放弃中标(成交)资格，并接受政府采购监管部门处罚。</w:t>
      </w:r>
    </w:p>
    <w:p w14:paraId="1F874B0B">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AD536C1">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承诺人（供应商公章）：</w:t>
      </w:r>
      <w:r>
        <w:rPr>
          <w:rFonts w:hint="eastAsia" w:ascii="宋体" w:hAnsi="宋体" w:eastAsia="宋体" w:cs="宋体"/>
          <w:color w:val="auto"/>
          <w:kern w:val="0"/>
          <w:sz w:val="24"/>
          <w:szCs w:val="24"/>
          <w:highlight w:val="none"/>
          <w:u w:val="single"/>
          <w:lang w:val="en-US" w:eastAsia="zh-CN" w:bidi="ar"/>
        </w:rPr>
        <w:t xml:space="preserve">        </w:t>
      </w:r>
    </w:p>
    <w:p w14:paraId="760C0268">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w:t>
      </w:r>
      <w:r>
        <w:rPr>
          <w:rFonts w:hint="eastAsia" w:ascii="宋体" w:hAnsi="宋体" w:eastAsia="宋体" w:cs="宋体"/>
          <w:color w:val="auto"/>
          <w:kern w:val="0"/>
          <w:sz w:val="24"/>
          <w:szCs w:val="24"/>
          <w:highlight w:val="none"/>
          <w:u w:val="single"/>
          <w:lang w:val="en-US" w:eastAsia="zh-CN" w:bidi="ar"/>
        </w:rPr>
        <w:t xml:space="preserve">        </w:t>
      </w:r>
    </w:p>
    <w:p w14:paraId="35D92F31">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p>
    <w:p w14:paraId="058691E5">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6903A6DA">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2FB1BCB1">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189D96B2">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44D07273">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1D556A31">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459C3F17">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85E681B">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9630347">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both"/>
        <w:textAlignment w:val="auto"/>
        <w:rPr>
          <w:rFonts w:hint="default" w:cs="宋体"/>
          <w:strike w:val="0"/>
          <w:dstrike w:val="0"/>
          <w:color w:val="auto"/>
          <w:kern w:val="0"/>
          <w:sz w:val="24"/>
          <w:szCs w:val="24"/>
          <w:highlight w:val="none"/>
          <w:lang w:val="en-US" w:eastAsia="zh-CN" w:bidi="ar"/>
        </w:rPr>
        <w:sectPr>
          <w:pgSz w:w="11905" w:h="16838"/>
          <w:pgMar w:top="1134" w:right="1134" w:bottom="1134" w:left="1134" w:header="624" w:footer="624" w:gutter="0"/>
          <w:pgBorders>
            <w:top w:val="none" w:sz="0" w:space="0"/>
            <w:left w:val="none" w:sz="0" w:space="0"/>
            <w:bottom w:val="none" w:sz="0" w:space="0"/>
            <w:right w:val="none" w:sz="0" w:space="0"/>
          </w:pgBorders>
          <w:pgNumType w:fmt="numberInDash"/>
          <w:cols w:space="0" w:num="1"/>
          <w:rtlGutter w:val="0"/>
          <w:docGrid w:type="lines" w:linePitch="339" w:charSpace="0"/>
        </w:sectPr>
      </w:pPr>
      <w:r>
        <w:rPr>
          <w:rFonts w:hint="eastAsia" w:ascii="宋体" w:hAnsi="宋体" w:eastAsia="宋体" w:cs="宋体"/>
          <w:b/>
          <w:bCs/>
          <w:strike w:val="0"/>
          <w:dstrike w:val="0"/>
          <w:color w:val="auto"/>
          <w:kern w:val="0"/>
          <w:sz w:val="24"/>
          <w:szCs w:val="24"/>
          <w:highlight w:val="none"/>
          <w:lang w:val="en-US" w:eastAsia="zh-CN" w:bidi="ar"/>
        </w:rPr>
        <w:t>注：</w:t>
      </w:r>
      <w:r>
        <w:rPr>
          <w:rFonts w:hint="eastAsia" w:ascii="宋体" w:hAnsi="宋体" w:eastAsia="宋体" w:cs="宋体"/>
          <w:strike w:val="0"/>
          <w:dstrike w:val="0"/>
          <w:color w:val="auto"/>
          <w:kern w:val="0"/>
          <w:sz w:val="24"/>
          <w:szCs w:val="24"/>
          <w:highlight w:val="none"/>
          <w:lang w:val="en-US" w:eastAsia="zh-CN" w:bidi="ar"/>
        </w:rPr>
        <w:t>若供应商所投产品均符合本国产品标准，且已提供《声明函》，可不填写《承诺函》。</w:t>
      </w:r>
    </w:p>
    <w:p w14:paraId="5E3AE8CB">
      <w:pPr>
        <w:pStyle w:val="3"/>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bookmarkStart w:id="378" w:name="_Toc29772"/>
      <w:bookmarkStart w:id="379" w:name="_Toc6466"/>
      <w:bookmarkStart w:id="380" w:name="_Toc29193"/>
      <w:bookmarkStart w:id="381" w:name="_Toc12994"/>
      <w:bookmarkStart w:id="382" w:name="_Toc28608"/>
      <w:bookmarkStart w:id="383" w:name="_Toc22715"/>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商务技术文件</w:t>
      </w:r>
      <w:bookmarkEnd w:id="378"/>
      <w:bookmarkEnd w:id="379"/>
      <w:bookmarkEnd w:id="380"/>
      <w:bookmarkEnd w:id="381"/>
      <w:bookmarkEnd w:id="382"/>
      <w:bookmarkEnd w:id="383"/>
    </w:p>
    <w:p w14:paraId="40BFFF6D">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rPr>
      </w:pPr>
      <w:bookmarkStart w:id="384" w:name="_Toc26141"/>
      <w:bookmarkStart w:id="385" w:name="_Toc16713"/>
      <w:bookmarkStart w:id="386" w:name="_Toc7827"/>
      <w:bookmarkStart w:id="387" w:name="_Toc30480"/>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投标函</w:t>
      </w:r>
      <w:bookmarkEnd w:id="384"/>
      <w:bookmarkEnd w:id="385"/>
      <w:bookmarkEnd w:id="386"/>
      <w:bookmarkEnd w:id="387"/>
    </w:p>
    <w:p w14:paraId="421F679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致：（</w:t>
      </w:r>
      <w:r>
        <w:rPr>
          <w:rFonts w:hint="eastAsia" w:ascii="宋体" w:hAnsi="宋体" w:cs="宋体"/>
          <w:color w:val="auto"/>
          <w:sz w:val="24"/>
          <w:highlight w:val="none"/>
          <w:u w:val="single"/>
          <w:lang w:val="en-US" w:eastAsia="zh-CN"/>
        </w:rPr>
        <w:t>采购人/采购代理机构</w:t>
      </w:r>
      <w:r>
        <w:rPr>
          <w:rFonts w:hint="eastAsia" w:ascii="宋体" w:hAnsi="宋体" w:cs="宋体"/>
          <w:color w:val="auto"/>
          <w:sz w:val="24"/>
          <w:highlight w:val="none"/>
          <w:u w:val="none"/>
          <w:lang w:val="en-US" w:eastAsia="zh-CN"/>
        </w:rPr>
        <w:t>）</w:t>
      </w:r>
    </w:p>
    <w:p w14:paraId="70A9FA43">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根据贵根据贵方</w:t>
      </w:r>
      <w:r>
        <w:rPr>
          <w:rFonts w:hint="eastAsia" w:ascii="宋体" w:hAnsi="宋体" w:cs="宋体"/>
          <w:color w:val="auto"/>
          <w:sz w:val="24"/>
          <w:highlight w:val="none"/>
          <w:u w:val="single"/>
          <w:lang w:val="en-US" w:eastAsia="zh-CN"/>
        </w:rPr>
        <w:t>（项目名称）（项目编号/包号）</w:t>
      </w:r>
      <w:r>
        <w:rPr>
          <w:rFonts w:hint="eastAsia" w:ascii="宋体" w:hAnsi="宋体" w:cs="宋体"/>
          <w:color w:val="auto"/>
          <w:sz w:val="24"/>
          <w:highlight w:val="none"/>
          <w:u w:val="none"/>
          <w:lang w:val="en-US" w:eastAsia="zh-CN"/>
        </w:rPr>
        <w:t>项目的招标公告，签字代表</w:t>
      </w:r>
      <w:r>
        <w:rPr>
          <w:rFonts w:hint="eastAsia" w:ascii="宋体" w:hAnsi="宋体" w:cs="宋体"/>
          <w:color w:val="auto"/>
          <w:sz w:val="24"/>
          <w:highlight w:val="none"/>
          <w:u w:val="single"/>
          <w:lang w:val="en-US" w:eastAsia="zh-CN"/>
        </w:rPr>
        <w:t>（姓名、职务）</w:t>
      </w:r>
      <w:r>
        <w:rPr>
          <w:rFonts w:hint="eastAsia" w:ascii="宋体" w:hAnsi="宋体" w:cs="宋体"/>
          <w:color w:val="auto"/>
          <w:sz w:val="24"/>
          <w:highlight w:val="none"/>
          <w:u w:val="none"/>
          <w:lang w:val="en-US" w:eastAsia="zh-CN"/>
        </w:rPr>
        <w:t>经正式授权并代表投标人</w:t>
      </w:r>
      <w:r>
        <w:rPr>
          <w:rFonts w:hint="eastAsia" w:ascii="宋体" w:hAnsi="宋体" w:cs="宋体"/>
          <w:color w:val="auto"/>
          <w:sz w:val="24"/>
          <w:highlight w:val="none"/>
          <w:u w:val="single"/>
          <w:lang w:val="en-US" w:eastAsia="zh-CN"/>
        </w:rPr>
        <w:t>（投标人名称、地址）</w:t>
      </w:r>
      <w:r>
        <w:rPr>
          <w:rFonts w:hint="eastAsia" w:ascii="宋体" w:hAnsi="宋体" w:cs="宋体"/>
          <w:color w:val="auto"/>
          <w:sz w:val="24"/>
          <w:highlight w:val="none"/>
          <w:u w:val="none"/>
          <w:lang w:val="en-US" w:eastAsia="zh-CN"/>
        </w:rPr>
        <w:t>提交下述文件：</w:t>
      </w:r>
    </w:p>
    <w:p w14:paraId="48283278">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1.资格证明文件；</w:t>
      </w:r>
    </w:p>
    <w:p w14:paraId="07BE274B">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2.投标报价文件；</w:t>
      </w:r>
    </w:p>
    <w:p w14:paraId="5541AF94">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3.商务技术文件。</w:t>
      </w:r>
    </w:p>
    <w:p w14:paraId="436DD0AB">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根据此函，签字代表宣布同意如下：</w:t>
      </w:r>
    </w:p>
    <w:p w14:paraId="37F3587D">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1.所附投标价格表中规定的应提交和交付的货物和相关服务（如有）的投标报价为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p>
    <w:p w14:paraId="0EC9D37D">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2.我方将按招标文件的规定履行合同责任和义务。</w:t>
      </w:r>
    </w:p>
    <w:p w14:paraId="50824902">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3.我方已详细审查全部招标文件，包括第</w:t>
      </w:r>
      <w:r>
        <w:rPr>
          <w:rFonts w:hint="eastAsia" w:ascii="宋体" w:hAnsi="宋体" w:cs="宋体"/>
          <w:color w:val="auto"/>
          <w:sz w:val="24"/>
          <w:highlight w:val="none"/>
          <w:u w:val="single"/>
          <w:lang w:val="en-US" w:eastAsia="zh-CN"/>
        </w:rPr>
        <w:t>（编号、补遗书）（如果有的话）</w:t>
      </w:r>
      <w:r>
        <w:rPr>
          <w:rFonts w:hint="eastAsia" w:ascii="宋体" w:hAnsi="宋体" w:cs="宋体"/>
          <w:color w:val="auto"/>
          <w:sz w:val="24"/>
          <w:highlight w:val="none"/>
          <w:u w:val="none"/>
          <w:lang w:val="en-US" w:eastAsia="zh-CN"/>
        </w:rPr>
        <w:t>。我方完全理解并同意放弃对这方面有不明及误解的权力。</w:t>
      </w:r>
    </w:p>
    <w:p w14:paraId="707957AF">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4.投标有效期为自提交投标文件的截止之日起</w:t>
      </w:r>
      <w:r>
        <w:rPr>
          <w:rFonts w:hint="eastAsia" w:ascii="宋体" w:hAnsi="宋体" w:cs="宋体"/>
          <w:color w:val="auto"/>
          <w:sz w:val="24"/>
          <w:highlight w:val="none"/>
          <w:u w:val="single"/>
          <w:lang w:val="en-US" w:eastAsia="zh-CN"/>
        </w:rPr>
        <w:t>（由投标人填写）</w:t>
      </w:r>
      <w:r>
        <w:rPr>
          <w:rFonts w:hint="eastAsia" w:ascii="宋体" w:hAnsi="宋体" w:cs="宋体"/>
          <w:color w:val="auto"/>
          <w:sz w:val="24"/>
          <w:highlight w:val="none"/>
          <w:u w:val="none"/>
          <w:lang w:val="en-US" w:eastAsia="zh-CN"/>
        </w:rPr>
        <w:t>个日历天。</w:t>
      </w:r>
    </w:p>
    <w:p w14:paraId="6CF62D40">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5.我方同意提供按照贵方招标文件要求的与投标有关的一切数据或资料，采用综合评分法时，我方完全理解贵方不一定接受最低价的投标。</w:t>
      </w:r>
    </w:p>
    <w:p w14:paraId="08818D66">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6.本项目如由中标人支付采购代理服务费，我方同意按投标人须知前附表中规定向采购代理机构支付采购代理服务费。</w:t>
      </w:r>
    </w:p>
    <w:p w14:paraId="310501A7">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7.重要声明：</w:t>
      </w:r>
    </w:p>
    <w:p w14:paraId="067CD045">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1）与我方单位负责人为同一人的其他单位名称：</w:t>
      </w:r>
    </w:p>
    <w:p w14:paraId="602AC75F">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□无；□有，具体单位名称为：</w:t>
      </w:r>
      <w:r>
        <w:rPr>
          <w:rFonts w:hint="eastAsia" w:ascii="宋体" w:hAnsi="宋体" w:cs="宋体"/>
          <w:color w:val="auto"/>
          <w:sz w:val="24"/>
          <w:highlight w:val="none"/>
          <w:u w:val="single"/>
          <w:lang w:val="en-US" w:eastAsia="zh-CN"/>
        </w:rPr>
        <w:t>（由投标人如实填写）</w:t>
      </w:r>
      <w:r>
        <w:rPr>
          <w:rFonts w:hint="eastAsia" w:ascii="宋体" w:hAnsi="宋体" w:cs="宋体"/>
          <w:color w:val="auto"/>
          <w:sz w:val="24"/>
          <w:highlight w:val="none"/>
          <w:u w:val="none"/>
          <w:lang w:val="en-US" w:eastAsia="zh-CN"/>
        </w:rPr>
        <w:t>。</w:t>
      </w:r>
    </w:p>
    <w:p w14:paraId="227A7CBC">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2）与我方存在控股、管理关系的其他单位的名称：</w:t>
      </w:r>
    </w:p>
    <w:p w14:paraId="67B1330A">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□无；□有，具体单位名称为：</w:t>
      </w:r>
      <w:r>
        <w:rPr>
          <w:rFonts w:hint="eastAsia" w:ascii="宋体" w:hAnsi="宋体" w:cs="宋体"/>
          <w:color w:val="auto"/>
          <w:sz w:val="24"/>
          <w:highlight w:val="none"/>
          <w:u w:val="single"/>
          <w:lang w:val="en-US" w:eastAsia="zh-CN"/>
        </w:rPr>
        <w:t>（由投标人如实填写）</w:t>
      </w:r>
      <w:r>
        <w:rPr>
          <w:rFonts w:hint="eastAsia" w:ascii="宋体" w:hAnsi="宋体" w:cs="宋体"/>
          <w:color w:val="auto"/>
          <w:sz w:val="24"/>
          <w:highlight w:val="none"/>
          <w:u w:val="none"/>
          <w:lang w:val="en-US" w:eastAsia="zh-CN"/>
        </w:rPr>
        <w:t>。</w:t>
      </w:r>
    </w:p>
    <w:p w14:paraId="2401FE1E">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3）参与本项目采购活动前，是否为本项目前期准备提供过整体设计、规范编制或者项目管理、监理、检测等服务：</w:t>
      </w:r>
    </w:p>
    <w:p w14:paraId="3E00EB30">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□无；□有，已提供的具体服务内容为：</w:t>
      </w:r>
      <w:r>
        <w:rPr>
          <w:rFonts w:hint="eastAsia" w:ascii="宋体" w:hAnsi="宋体" w:cs="宋体"/>
          <w:color w:val="auto"/>
          <w:sz w:val="24"/>
          <w:highlight w:val="none"/>
          <w:u w:val="single"/>
          <w:lang w:val="en-US" w:eastAsia="zh-CN"/>
        </w:rPr>
        <w:t>（由投标人如实填写）</w:t>
      </w:r>
      <w:r>
        <w:rPr>
          <w:rFonts w:hint="eastAsia" w:ascii="宋体" w:hAnsi="宋体" w:cs="宋体"/>
          <w:color w:val="auto"/>
          <w:sz w:val="24"/>
          <w:highlight w:val="none"/>
          <w:u w:val="none"/>
          <w:lang w:val="en-US" w:eastAsia="zh-CN"/>
        </w:rPr>
        <w:t>。</w:t>
      </w:r>
    </w:p>
    <w:p w14:paraId="2F9CD360">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25E3BAA">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4）我方在本投标文件中所提供的全部资料均真实有效，我方承诺对其真实性负责并承担相应后果。</w:t>
      </w:r>
    </w:p>
    <w:p w14:paraId="371E9E94">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5）</w:t>
      </w:r>
      <w:bookmarkStart w:id="388" w:name="_Hlk161604053"/>
      <w:r>
        <w:rPr>
          <w:rFonts w:hint="eastAsia" w:ascii="宋体" w:hAnsi="宋体" w:cs="宋体"/>
          <w:color w:val="auto"/>
          <w:sz w:val="24"/>
          <w:highlight w:val="none"/>
          <w:u w:val="none"/>
          <w:lang w:val="en-US" w:eastAsia="zh-CN"/>
        </w:rPr>
        <w:t>我方承诺本《投标函》的签章对本投标文件全部内容具有约束力并承担法律责任。</w:t>
      </w:r>
      <w:bookmarkEnd w:id="388"/>
    </w:p>
    <w:p w14:paraId="043DE61F">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p>
    <w:p w14:paraId="3809C54F">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p>
    <w:p w14:paraId="5A5906A2">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p>
    <w:p w14:paraId="184F700B">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投标人名称（公章）：</w:t>
      </w:r>
      <w:r>
        <w:rPr>
          <w:rFonts w:hint="eastAsia" w:ascii="宋体" w:hAnsi="宋体" w:eastAsia="宋体" w:cs="宋体"/>
          <w:b w:val="0"/>
          <w:bCs w:val="0"/>
          <w:color w:val="auto"/>
          <w:kern w:val="0"/>
          <w:sz w:val="24"/>
          <w:szCs w:val="24"/>
          <w:highlight w:val="none"/>
          <w:u w:val="single"/>
          <w:lang w:val="en-US" w:eastAsia="zh-CN"/>
        </w:rPr>
        <w:t xml:space="preserve">                   </w:t>
      </w:r>
    </w:p>
    <w:p w14:paraId="3A2DAF98">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法定代表人或授权代表（签字或印章）：</w:t>
      </w:r>
      <w:r>
        <w:rPr>
          <w:rFonts w:hint="eastAsia" w:ascii="宋体" w:hAnsi="宋体" w:eastAsia="宋体" w:cs="宋体"/>
          <w:b w:val="0"/>
          <w:bCs w:val="0"/>
          <w:color w:val="auto"/>
          <w:kern w:val="0"/>
          <w:sz w:val="24"/>
          <w:szCs w:val="24"/>
          <w:highlight w:val="none"/>
          <w:u w:val="single"/>
          <w:lang w:val="en-US" w:eastAsia="zh-CN"/>
        </w:rPr>
        <w:t xml:space="preserve">                   </w:t>
      </w:r>
    </w:p>
    <w:p w14:paraId="5A233C55">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通讯地址：</w:t>
      </w:r>
      <w:r>
        <w:rPr>
          <w:rFonts w:hint="eastAsia" w:ascii="宋体" w:hAnsi="宋体" w:eastAsia="宋体" w:cs="宋体"/>
          <w:b w:val="0"/>
          <w:bCs w:val="0"/>
          <w:color w:val="auto"/>
          <w:kern w:val="0"/>
          <w:sz w:val="24"/>
          <w:szCs w:val="24"/>
          <w:highlight w:val="none"/>
          <w:u w:val="single"/>
          <w:lang w:val="en-US" w:eastAsia="zh-CN"/>
        </w:rPr>
        <w:t xml:space="preserve">                   </w:t>
      </w:r>
    </w:p>
    <w:p w14:paraId="4F3BD48A">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传    真：</w:t>
      </w:r>
      <w:r>
        <w:rPr>
          <w:rFonts w:hint="eastAsia" w:ascii="宋体" w:hAnsi="宋体" w:eastAsia="宋体" w:cs="宋体"/>
          <w:b w:val="0"/>
          <w:bCs w:val="0"/>
          <w:color w:val="auto"/>
          <w:kern w:val="0"/>
          <w:sz w:val="24"/>
          <w:szCs w:val="24"/>
          <w:highlight w:val="none"/>
          <w:u w:val="single"/>
          <w:lang w:val="en-US" w:eastAsia="zh-CN"/>
        </w:rPr>
        <w:t xml:space="preserve">                   </w:t>
      </w:r>
    </w:p>
    <w:p w14:paraId="0490A2C9">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电    话：</w:t>
      </w:r>
      <w:r>
        <w:rPr>
          <w:rFonts w:hint="eastAsia" w:ascii="宋体" w:hAnsi="宋体" w:eastAsia="宋体" w:cs="宋体"/>
          <w:b w:val="0"/>
          <w:bCs w:val="0"/>
          <w:color w:val="auto"/>
          <w:kern w:val="0"/>
          <w:sz w:val="24"/>
          <w:szCs w:val="24"/>
          <w:highlight w:val="none"/>
          <w:u w:val="single"/>
          <w:lang w:val="en-US" w:eastAsia="zh-CN"/>
        </w:rPr>
        <w:t xml:space="preserve">                   </w:t>
      </w:r>
    </w:p>
    <w:p w14:paraId="71EF285C">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日    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6FDFA660">
      <w:pPr>
        <w:pStyle w:val="22"/>
        <w:keepNext w:val="0"/>
        <w:keepLines w:val="0"/>
        <w:pageBreakBefore w:val="0"/>
        <w:widowControl/>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auto"/>
          <w:sz w:val="24"/>
          <w:highlight w:val="none"/>
        </w:rPr>
      </w:pPr>
    </w:p>
    <w:p w14:paraId="6528167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说明：除可填报项目外，对本投标函的任何修改将被视为非实质性响应投标，从而导致该投标被拒绝。</w:t>
      </w:r>
    </w:p>
    <w:p w14:paraId="6D3F272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sectPr>
          <w:pgSz w:w="11900" w:h="16838"/>
          <w:pgMar w:top="1134" w:right="1134" w:bottom="1134" w:left="1134" w:header="624" w:footer="624" w:gutter="0"/>
          <w:pgNumType w:fmt="numberInDash"/>
          <w:cols w:space="0" w:num="1"/>
          <w:rtlGutter w:val="0"/>
          <w:docGrid w:linePitch="317" w:charSpace="0"/>
        </w:sectPr>
      </w:pPr>
    </w:p>
    <w:p w14:paraId="70F69745">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389" w:name="_Toc15863"/>
      <w:bookmarkStart w:id="390" w:name="_Toc7586"/>
      <w:bookmarkStart w:id="391" w:name="_Toc4074"/>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法定代表人（单位负责人）身份证明</w:t>
      </w:r>
      <w:bookmarkEnd w:id="389"/>
      <w:bookmarkEnd w:id="390"/>
      <w:bookmarkEnd w:id="391"/>
    </w:p>
    <w:p w14:paraId="6BE244A2">
      <w:pPr>
        <w:keepNext w:val="0"/>
        <w:keepLines w:val="0"/>
        <w:pageBreakBefore w:val="0"/>
        <w:widowControl/>
        <w:kinsoku/>
        <w:wordWrap w:val="0"/>
        <w:overflowPunct/>
        <w:topLinePunct/>
        <w:autoSpaceDE w:val="0"/>
        <w:autoSpaceDN w:val="0"/>
        <w:bidi w:val="0"/>
        <w:adjustRightInd w:val="0"/>
        <w:snapToGrid w:val="0"/>
        <w:spacing w:line="303" w:lineRule="auto"/>
        <w:jc w:val="both"/>
        <w:textAlignment w:val="baseline"/>
        <w:rPr>
          <w:rFonts w:hint="eastAsia" w:ascii="宋体" w:hAnsi="宋体" w:eastAsia="宋体" w:cs="宋体"/>
          <w:color w:val="auto"/>
          <w:sz w:val="21"/>
          <w:highlight w:val="none"/>
        </w:rPr>
      </w:pPr>
    </w:p>
    <w:p w14:paraId="7EA6C99B">
      <w:pPr>
        <w:pStyle w:val="15"/>
        <w:keepNext w:val="0"/>
        <w:keepLines w:val="0"/>
        <w:pageBreakBefore w:val="0"/>
        <w:widowControl w:val="0"/>
        <w:kinsoku/>
        <w:wordWrap w:val="0"/>
        <w:overflowPunct/>
        <w:topLinePunct/>
        <w:autoSpaceDE/>
        <w:autoSpaceDN/>
        <w:bidi w:val="0"/>
        <w:adjustRightInd w:val="0"/>
        <w:snapToGrid w:val="0"/>
        <w:spacing w:line="360" w:lineRule="auto"/>
        <w:jc w:val="both"/>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u w:val="single"/>
        </w:rPr>
        <w:t>采购人</w:t>
      </w:r>
      <w:r>
        <w:rPr>
          <w:rFonts w:hint="eastAsia" w:ascii="宋体" w:hAnsi="宋体" w:cs="宋体"/>
          <w:color w:val="auto"/>
          <w:spacing w:val="-1"/>
          <w:sz w:val="24"/>
          <w:szCs w:val="24"/>
          <w:highlight w:val="none"/>
          <w:u w:val="single"/>
          <w:lang w:val="en-US" w:eastAsia="zh-CN"/>
        </w:rPr>
        <w:t>/</w:t>
      </w:r>
      <w:r>
        <w:rPr>
          <w:rFonts w:hint="eastAsia" w:ascii="宋体" w:hAnsi="宋体" w:eastAsia="宋体" w:cs="宋体"/>
          <w:color w:val="auto"/>
          <w:spacing w:val="-1"/>
          <w:sz w:val="24"/>
          <w:szCs w:val="24"/>
          <w:highlight w:val="none"/>
          <w:u w:val="single"/>
        </w:rPr>
        <w:t>采购代理机构</w:t>
      </w:r>
      <w:r>
        <w:rPr>
          <w:rFonts w:hint="eastAsia" w:ascii="宋体" w:hAnsi="宋体" w:eastAsia="宋体" w:cs="宋体"/>
          <w:color w:val="auto"/>
          <w:spacing w:val="-1"/>
          <w:sz w:val="24"/>
          <w:szCs w:val="24"/>
          <w:highlight w:val="none"/>
          <w:lang w:eastAsia="zh-CN"/>
        </w:rPr>
        <w:t>）</w:t>
      </w:r>
    </w:p>
    <w:p w14:paraId="02474436">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both"/>
        <w:textAlignment w:val="baseline"/>
        <w:rPr>
          <w:rFonts w:hint="eastAsia" w:ascii="宋体" w:hAnsi="宋体" w:eastAsia="宋体" w:cs="宋体"/>
          <w:color w:val="auto"/>
          <w:sz w:val="24"/>
          <w:szCs w:val="24"/>
          <w:highlight w:val="none"/>
        </w:rPr>
      </w:pPr>
    </w:p>
    <w:p w14:paraId="6B858B87">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兹证明，</w:t>
      </w:r>
    </w:p>
    <w:p w14:paraId="3370DC0E">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both"/>
        <w:textAlignment w:val="baseline"/>
        <w:rPr>
          <w:rFonts w:hint="eastAsia" w:ascii="宋体" w:hAnsi="宋体" w:eastAsia="宋体" w:cs="宋体"/>
          <w:color w:val="auto"/>
          <w:sz w:val="24"/>
          <w:szCs w:val="24"/>
          <w:highlight w:val="none"/>
        </w:rPr>
      </w:pPr>
    </w:p>
    <w:p w14:paraId="7F5961C9">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76" w:firstLineChars="2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姓名：</w:t>
      </w:r>
      <w:r>
        <w:rPr>
          <w:rFonts w:hint="eastAsia" w:ascii="宋体" w:hAnsi="宋体" w:eastAsia="宋体" w:cs="宋体"/>
          <w:color w:val="auto"/>
          <w:spacing w:val="-1"/>
          <w:sz w:val="24"/>
          <w:szCs w:val="24"/>
          <w:highlight w:val="none"/>
          <w:u w:val="single"/>
        </w:rPr>
        <w:t>________</w:t>
      </w:r>
      <w:r>
        <w:rPr>
          <w:rFonts w:hint="eastAsia" w:ascii="宋体" w:hAnsi="宋体" w:eastAsia="宋体" w:cs="宋体"/>
          <w:color w:val="auto"/>
          <w:spacing w:val="-1"/>
          <w:sz w:val="24"/>
          <w:szCs w:val="24"/>
          <w:highlight w:val="none"/>
        </w:rPr>
        <w:t>性别：</w:t>
      </w:r>
      <w:r>
        <w:rPr>
          <w:rFonts w:hint="eastAsia" w:ascii="宋体" w:hAnsi="宋体" w:eastAsia="宋体" w:cs="宋体"/>
          <w:color w:val="auto"/>
          <w:spacing w:val="-1"/>
          <w:sz w:val="24"/>
          <w:szCs w:val="24"/>
          <w:highlight w:val="none"/>
          <w:u w:val="single"/>
        </w:rPr>
        <w:t>________</w:t>
      </w:r>
      <w:r>
        <w:rPr>
          <w:rFonts w:hint="eastAsia" w:ascii="宋体" w:hAnsi="宋体" w:eastAsia="宋体" w:cs="宋体"/>
          <w:color w:val="auto"/>
          <w:spacing w:val="-1"/>
          <w:sz w:val="24"/>
          <w:szCs w:val="24"/>
          <w:highlight w:val="none"/>
        </w:rPr>
        <w:t>年龄：</w:t>
      </w:r>
      <w:r>
        <w:rPr>
          <w:rFonts w:hint="eastAsia" w:ascii="宋体" w:hAnsi="宋体" w:eastAsia="宋体" w:cs="宋体"/>
          <w:color w:val="auto"/>
          <w:spacing w:val="-1"/>
          <w:sz w:val="24"/>
          <w:szCs w:val="24"/>
          <w:highlight w:val="none"/>
          <w:u w:val="single"/>
        </w:rPr>
        <w:t>________</w:t>
      </w:r>
      <w:r>
        <w:rPr>
          <w:rFonts w:hint="eastAsia" w:ascii="宋体" w:hAnsi="宋体" w:eastAsia="宋体" w:cs="宋体"/>
          <w:color w:val="auto"/>
          <w:spacing w:val="-1"/>
          <w:sz w:val="24"/>
          <w:szCs w:val="24"/>
          <w:highlight w:val="none"/>
        </w:rPr>
        <w:t>职务：</w:t>
      </w:r>
      <w:r>
        <w:rPr>
          <w:rFonts w:hint="eastAsia" w:ascii="宋体" w:hAnsi="宋体" w:eastAsia="宋体" w:cs="宋体"/>
          <w:color w:val="auto"/>
          <w:spacing w:val="-1"/>
          <w:sz w:val="24"/>
          <w:szCs w:val="24"/>
          <w:highlight w:val="none"/>
          <w:u w:val="single"/>
        </w:rPr>
        <w:t>________</w:t>
      </w:r>
    </w:p>
    <w:p w14:paraId="02FE7B4E">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both"/>
        <w:textAlignment w:val="baseline"/>
        <w:rPr>
          <w:rFonts w:hint="eastAsia" w:ascii="宋体" w:hAnsi="宋体" w:eastAsia="宋体" w:cs="宋体"/>
          <w:color w:val="auto"/>
          <w:sz w:val="24"/>
          <w:szCs w:val="24"/>
          <w:highlight w:val="none"/>
        </w:rPr>
      </w:pPr>
    </w:p>
    <w:p w14:paraId="23B14A6E">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系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（投标人名</w:t>
      </w:r>
      <w:r>
        <w:rPr>
          <w:rFonts w:hint="eastAsia" w:ascii="宋体" w:hAnsi="宋体" w:eastAsia="宋体" w:cs="宋体"/>
          <w:color w:val="auto"/>
          <w:spacing w:val="-1"/>
          <w:sz w:val="24"/>
          <w:szCs w:val="24"/>
          <w:highlight w:val="none"/>
        </w:rPr>
        <w:t>称）的法定代表人（单位负责人）。</w:t>
      </w:r>
    </w:p>
    <w:p w14:paraId="7A2CB824">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both"/>
        <w:textAlignment w:val="baseline"/>
        <w:rPr>
          <w:rFonts w:hint="eastAsia" w:ascii="宋体" w:hAnsi="宋体" w:eastAsia="宋体" w:cs="宋体"/>
          <w:color w:val="auto"/>
          <w:sz w:val="24"/>
          <w:szCs w:val="24"/>
          <w:highlight w:val="none"/>
        </w:rPr>
      </w:pPr>
    </w:p>
    <w:p w14:paraId="24A7FBCC">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附：法定代表人（单位负责人）身份证、护照等身份证明文件电子</w:t>
      </w:r>
      <w:r>
        <w:rPr>
          <w:rFonts w:hint="eastAsia" w:cs="宋体"/>
          <w:color w:val="auto"/>
          <w:spacing w:val="-1"/>
          <w:sz w:val="24"/>
          <w:szCs w:val="24"/>
          <w:highlight w:val="none"/>
          <w:lang w:val="en-US" w:eastAsia="zh-CN"/>
        </w:rPr>
        <w:t>扫描</w:t>
      </w:r>
      <w:r>
        <w:rPr>
          <w:rFonts w:hint="eastAsia" w:ascii="宋体" w:hAnsi="宋体" w:eastAsia="宋体" w:cs="宋体"/>
          <w:color w:val="auto"/>
          <w:spacing w:val="-1"/>
          <w:sz w:val="24"/>
          <w:szCs w:val="24"/>
          <w:highlight w:val="none"/>
        </w:rPr>
        <w:t>件：</w:t>
      </w:r>
    </w:p>
    <w:p w14:paraId="2D7169DE">
      <w:pPr>
        <w:keepNext w:val="0"/>
        <w:keepLines w:val="0"/>
        <w:pageBreakBefore w:val="0"/>
        <w:widowControl/>
        <w:kinsoku/>
        <w:wordWrap w:val="0"/>
        <w:overflowPunct/>
        <w:topLinePunct/>
        <w:autoSpaceDE w:val="0"/>
        <w:autoSpaceDN w:val="0"/>
        <w:bidi w:val="0"/>
        <w:adjustRightInd w:val="0"/>
        <w:snapToGrid w:val="0"/>
        <w:spacing w:before="7"/>
        <w:jc w:val="both"/>
        <w:textAlignment w:val="baseline"/>
        <w:rPr>
          <w:rFonts w:hint="eastAsia" w:ascii="宋体" w:hAnsi="宋体" w:eastAsia="宋体" w:cs="宋体"/>
          <w:color w:val="auto"/>
          <w:sz w:val="24"/>
          <w:szCs w:val="24"/>
          <w:highlight w:val="none"/>
        </w:rPr>
      </w:pPr>
    </w:p>
    <w:p w14:paraId="13946A5A">
      <w:pPr>
        <w:keepNext w:val="0"/>
        <w:keepLines w:val="0"/>
        <w:pageBreakBefore w:val="0"/>
        <w:widowControl/>
        <w:kinsoku/>
        <w:wordWrap w:val="0"/>
        <w:overflowPunct/>
        <w:topLinePunct/>
        <w:autoSpaceDE w:val="0"/>
        <w:autoSpaceDN w:val="0"/>
        <w:bidi w:val="0"/>
        <w:adjustRightInd w:val="0"/>
        <w:snapToGrid w:val="0"/>
        <w:spacing w:before="7"/>
        <w:jc w:val="both"/>
        <w:textAlignment w:val="baseline"/>
        <w:rPr>
          <w:rFonts w:hint="eastAsia" w:ascii="宋体" w:hAnsi="宋体" w:eastAsia="宋体" w:cs="宋体"/>
          <w:color w:val="auto"/>
          <w:sz w:val="24"/>
          <w:szCs w:val="24"/>
          <w:highlight w:val="none"/>
        </w:rPr>
      </w:pPr>
    </w:p>
    <w:p w14:paraId="0425321E">
      <w:pPr>
        <w:keepNext w:val="0"/>
        <w:keepLines w:val="0"/>
        <w:pageBreakBefore w:val="0"/>
        <w:widowControl/>
        <w:kinsoku/>
        <w:wordWrap w:val="0"/>
        <w:overflowPunct/>
        <w:topLinePunct/>
        <w:autoSpaceDE w:val="0"/>
        <w:autoSpaceDN w:val="0"/>
        <w:bidi w:val="0"/>
        <w:adjustRightInd w:val="0"/>
        <w:snapToGrid w:val="0"/>
        <w:spacing w:before="6"/>
        <w:jc w:val="both"/>
        <w:textAlignment w:val="baseline"/>
        <w:rPr>
          <w:rFonts w:hint="eastAsia" w:ascii="宋体" w:hAnsi="宋体" w:eastAsia="宋体" w:cs="宋体"/>
          <w:color w:val="auto"/>
          <w:sz w:val="24"/>
          <w:szCs w:val="24"/>
          <w:highlight w:val="none"/>
        </w:rPr>
      </w:pPr>
    </w:p>
    <w:tbl>
      <w:tblPr>
        <w:tblStyle w:val="165"/>
        <w:tblW w:w="946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730"/>
        <w:gridCol w:w="4730"/>
      </w:tblGrid>
      <w:tr w14:paraId="71A0BA6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24" w:hRule="atLeast"/>
          <w:jc w:val="center"/>
        </w:trPr>
        <w:tc>
          <w:tcPr>
            <w:tcW w:w="4730" w:type="dxa"/>
            <w:tcBorders>
              <w:right w:val="single" w:color="auto" w:sz="4" w:space="0"/>
            </w:tcBorders>
            <w:vAlign w:val="top"/>
          </w:tcPr>
          <w:p w14:paraId="7AB20340">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highlight w:val="none"/>
              </w:rPr>
            </w:pPr>
          </w:p>
        </w:tc>
        <w:tc>
          <w:tcPr>
            <w:tcW w:w="4730" w:type="dxa"/>
            <w:tcBorders>
              <w:left w:val="single" w:color="auto" w:sz="4" w:space="0"/>
            </w:tcBorders>
            <w:vAlign w:val="top"/>
          </w:tcPr>
          <w:p w14:paraId="2627E186">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highlight w:val="none"/>
              </w:rPr>
            </w:pPr>
          </w:p>
        </w:tc>
      </w:tr>
    </w:tbl>
    <w:p w14:paraId="4E26357E">
      <w:pPr>
        <w:keepNext w:val="0"/>
        <w:keepLines w:val="0"/>
        <w:pageBreakBefore w:val="0"/>
        <w:widowControl/>
        <w:kinsoku/>
        <w:wordWrap w:val="0"/>
        <w:overflowPunct/>
        <w:topLinePunct/>
        <w:autoSpaceDE w:val="0"/>
        <w:autoSpaceDN w:val="0"/>
        <w:bidi w:val="0"/>
        <w:adjustRightInd w:val="0"/>
        <w:snapToGrid w:val="0"/>
        <w:spacing w:before="6"/>
        <w:jc w:val="both"/>
        <w:textAlignment w:val="baseline"/>
        <w:rPr>
          <w:rFonts w:hint="eastAsia" w:ascii="宋体" w:hAnsi="宋体" w:eastAsia="宋体" w:cs="宋体"/>
          <w:color w:val="auto"/>
          <w:sz w:val="24"/>
          <w:szCs w:val="24"/>
          <w:highlight w:val="none"/>
        </w:rPr>
      </w:pPr>
    </w:p>
    <w:p w14:paraId="1FC9DDD1">
      <w:pPr>
        <w:keepNext w:val="0"/>
        <w:keepLines w:val="0"/>
        <w:pageBreakBefore w:val="0"/>
        <w:widowControl/>
        <w:kinsoku/>
        <w:wordWrap w:val="0"/>
        <w:overflowPunct/>
        <w:topLinePunct/>
        <w:autoSpaceDE w:val="0"/>
        <w:autoSpaceDN w:val="0"/>
        <w:bidi w:val="0"/>
        <w:adjustRightInd w:val="0"/>
        <w:snapToGrid w:val="0"/>
        <w:spacing w:before="6"/>
        <w:jc w:val="both"/>
        <w:textAlignment w:val="baseline"/>
        <w:rPr>
          <w:rFonts w:hint="eastAsia" w:ascii="宋体" w:hAnsi="宋体" w:eastAsia="宋体" w:cs="宋体"/>
          <w:color w:val="auto"/>
          <w:sz w:val="24"/>
          <w:szCs w:val="24"/>
          <w:highlight w:val="none"/>
        </w:rPr>
      </w:pPr>
    </w:p>
    <w:p w14:paraId="6BD2901B">
      <w:pPr>
        <w:keepNext w:val="0"/>
        <w:keepLines w:val="0"/>
        <w:pageBreakBefore w:val="0"/>
        <w:widowControl/>
        <w:kinsoku/>
        <w:wordWrap w:val="0"/>
        <w:overflowPunct/>
        <w:topLinePunct/>
        <w:autoSpaceDE w:val="0"/>
        <w:autoSpaceDN w:val="0"/>
        <w:bidi w:val="0"/>
        <w:adjustRightInd w:val="0"/>
        <w:snapToGrid w:val="0"/>
        <w:spacing w:line="278" w:lineRule="auto"/>
        <w:jc w:val="both"/>
        <w:textAlignment w:val="baseline"/>
        <w:rPr>
          <w:rFonts w:hint="eastAsia" w:ascii="宋体" w:hAnsi="宋体" w:eastAsia="宋体" w:cs="宋体"/>
          <w:color w:val="auto"/>
          <w:sz w:val="21"/>
          <w:highlight w:val="none"/>
        </w:rPr>
      </w:pPr>
    </w:p>
    <w:p w14:paraId="63057E4F">
      <w:pPr>
        <w:keepNext w:val="0"/>
        <w:keepLines w:val="0"/>
        <w:pageBreakBefore w:val="0"/>
        <w:widowControl/>
        <w:kinsoku/>
        <w:wordWrap w:val="0"/>
        <w:overflowPunct/>
        <w:topLinePunct/>
        <w:autoSpaceDE w:val="0"/>
        <w:autoSpaceDN w:val="0"/>
        <w:bidi w:val="0"/>
        <w:adjustRightInd w:val="0"/>
        <w:snapToGrid w:val="0"/>
        <w:spacing w:line="279" w:lineRule="auto"/>
        <w:jc w:val="both"/>
        <w:textAlignment w:val="baseline"/>
        <w:rPr>
          <w:rFonts w:hint="eastAsia" w:ascii="宋体" w:hAnsi="宋体" w:eastAsia="宋体" w:cs="宋体"/>
          <w:color w:val="auto"/>
          <w:sz w:val="21"/>
          <w:highlight w:val="none"/>
        </w:rPr>
      </w:pPr>
    </w:p>
    <w:p w14:paraId="05D491B0">
      <w:pPr>
        <w:keepNext w:val="0"/>
        <w:keepLines w:val="0"/>
        <w:pageBreakBefore w:val="0"/>
        <w:widowControl/>
        <w:kinsoku/>
        <w:wordWrap w:val="0"/>
        <w:overflowPunct/>
        <w:topLinePunct/>
        <w:autoSpaceDE w:val="0"/>
        <w:autoSpaceDN w:val="0"/>
        <w:bidi w:val="0"/>
        <w:adjustRightInd w:val="0"/>
        <w:snapToGrid w:val="0"/>
        <w:spacing w:line="279" w:lineRule="auto"/>
        <w:jc w:val="both"/>
        <w:textAlignment w:val="baseline"/>
        <w:rPr>
          <w:rFonts w:hint="eastAsia" w:ascii="宋体" w:hAnsi="宋体" w:eastAsia="宋体" w:cs="宋体"/>
          <w:color w:val="auto"/>
          <w:sz w:val="21"/>
          <w:highlight w:val="none"/>
        </w:rPr>
      </w:pPr>
    </w:p>
    <w:p w14:paraId="75ACE4B3">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w:t>
      </w:r>
      <w:r>
        <w:rPr>
          <w:rFonts w:hint="eastAsia" w:ascii="宋体" w:hAnsi="宋体" w:eastAsia="宋体" w:cs="宋体"/>
          <w:color w:val="auto"/>
          <w:spacing w:val="-1"/>
          <w:sz w:val="24"/>
          <w:szCs w:val="24"/>
          <w:highlight w:val="none"/>
        </w:rPr>
        <w:t>_____</w:t>
      </w:r>
    </w:p>
    <w:p w14:paraId="36711947">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法定代表人（单位负责人</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1"/>
          <w:sz w:val="24"/>
          <w:szCs w:val="24"/>
          <w:highlight w:val="none"/>
        </w:rPr>
        <w:t>签字或盖章</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1"/>
          <w:sz w:val="24"/>
          <w:szCs w:val="24"/>
          <w:highlight w:val="none"/>
        </w:rPr>
        <w:t>______</w:t>
      </w:r>
      <w:r>
        <w:rPr>
          <w:rFonts w:hint="eastAsia" w:ascii="宋体" w:hAnsi="宋体" w:eastAsia="宋体" w:cs="宋体"/>
          <w:color w:val="auto"/>
          <w:sz w:val="24"/>
          <w:szCs w:val="24"/>
          <w:highlight w:val="none"/>
        </w:rPr>
        <w:t>_</w:t>
      </w:r>
      <w:r>
        <w:rPr>
          <w:rFonts w:hint="eastAsia" w:ascii="宋体" w:hAnsi="宋体" w:eastAsia="宋体" w:cs="宋体"/>
          <w:color w:val="auto"/>
          <w:spacing w:val="-1"/>
          <w:sz w:val="24"/>
          <w:szCs w:val="24"/>
          <w:highlight w:val="none"/>
        </w:rPr>
        <w:t>_____</w:t>
      </w:r>
      <w:r>
        <w:rPr>
          <w:rFonts w:hint="eastAsia" w:ascii="宋体" w:hAnsi="宋体" w:eastAsia="宋体" w:cs="宋体"/>
          <w:color w:val="auto"/>
          <w:spacing w:val="1"/>
          <w:sz w:val="24"/>
          <w:szCs w:val="24"/>
          <w:highlight w:val="none"/>
        </w:rPr>
        <w:t>_</w:t>
      </w:r>
    </w:p>
    <w:p w14:paraId="74866EBA">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日期：_____年______月______日</w:t>
      </w:r>
    </w:p>
    <w:p w14:paraId="08C1E87D">
      <w:pPr>
        <w:keepNext w:val="0"/>
        <w:keepLines w:val="0"/>
        <w:pageBreakBefore w:val="0"/>
        <w:widowControl/>
        <w:kinsoku/>
        <w:wordWrap w:val="0"/>
        <w:overflowPunct/>
        <w:topLinePunct/>
        <w:autoSpaceDE w:val="0"/>
        <w:autoSpaceDN w:val="0"/>
        <w:bidi w:val="0"/>
        <w:adjustRightInd w:val="0"/>
        <w:snapToGrid w:val="0"/>
        <w:spacing w:line="190" w:lineRule="auto"/>
        <w:jc w:val="both"/>
        <w:textAlignment w:val="baseline"/>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2519DFCB">
      <w:pPr>
        <w:keepNext w:val="0"/>
        <w:keepLines w:val="0"/>
        <w:pageBreakBefore w:val="0"/>
        <w:widowControl/>
        <w:kinsoku/>
        <w:wordWrap w:val="0"/>
        <w:overflowPunct/>
        <w:topLinePunct/>
        <w:autoSpaceDE w:val="0"/>
        <w:autoSpaceDN w:val="0"/>
        <w:bidi w:val="0"/>
        <w:adjustRightInd w:val="0"/>
        <w:snapToGrid w:val="0"/>
        <w:spacing w:line="324" w:lineRule="auto"/>
        <w:jc w:val="both"/>
        <w:textAlignment w:val="baseline"/>
        <w:rPr>
          <w:rFonts w:hint="eastAsia" w:ascii="宋体" w:hAnsi="宋体" w:eastAsia="宋体" w:cs="宋体"/>
          <w:color w:val="auto"/>
          <w:sz w:val="21"/>
          <w:highlight w:val="none"/>
        </w:rPr>
      </w:pPr>
    </w:p>
    <w:p w14:paraId="5C5088E9">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392" w:name="_Toc28805"/>
      <w:bookmarkStart w:id="393" w:name="_Toc31298"/>
      <w:bookmarkStart w:id="394" w:name="_Toc2251"/>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授权委托书</w:t>
      </w:r>
      <w:bookmarkEnd w:id="392"/>
      <w:bookmarkEnd w:id="393"/>
      <w:bookmarkEnd w:id="394"/>
    </w:p>
    <w:p w14:paraId="363F1B0F">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（投标人名称</w:t>
      </w:r>
      <w:r>
        <w:rPr>
          <w:rFonts w:hint="eastAsia" w:ascii="宋体" w:hAnsi="宋体" w:eastAsia="宋体" w:cs="宋体"/>
          <w:color w:val="auto"/>
          <w:spacing w:val="-1"/>
          <w:sz w:val="24"/>
          <w:szCs w:val="24"/>
          <w:highlight w:val="none"/>
        </w:rPr>
        <w:t>）的法定代表人（单位负责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现委托</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（姓名）为我方代理人。</w:t>
      </w:r>
      <w:r>
        <w:rPr>
          <w:rFonts w:hint="eastAsia" w:ascii="宋体" w:hAnsi="宋体" w:eastAsia="宋体" w:cs="宋体"/>
          <w:color w:val="auto"/>
          <w:spacing w:val="-4"/>
          <w:sz w:val="24"/>
          <w:szCs w:val="24"/>
          <w:highlight w:val="none"/>
        </w:rPr>
        <w:t>代理人根据授权，以我方名义签署、</w:t>
      </w:r>
      <w:r>
        <w:rPr>
          <w:rFonts w:hint="eastAsia" w:ascii="宋体" w:hAnsi="宋体" w:eastAsia="宋体" w:cs="宋体"/>
          <w:color w:val="auto"/>
          <w:spacing w:val="-3"/>
          <w:sz w:val="24"/>
          <w:szCs w:val="24"/>
          <w:highlight w:val="none"/>
        </w:rPr>
        <w:t>澄清确认、说明、补正、递交、撤回、修改</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（项目名称）投标文件、</w:t>
      </w:r>
      <w:r>
        <w:rPr>
          <w:rFonts w:hint="eastAsia" w:ascii="宋体" w:hAnsi="宋体" w:eastAsia="宋体" w:cs="宋体"/>
          <w:color w:val="auto"/>
          <w:spacing w:val="-1"/>
          <w:sz w:val="24"/>
          <w:szCs w:val="24"/>
          <w:highlight w:val="none"/>
        </w:rPr>
        <w:t>签订合同和处理有关事宜，其法律后果由我方承担。</w:t>
      </w:r>
    </w:p>
    <w:p w14:paraId="4204A777">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委托期限：自本授权委托书签署之日起至投标有效期届满之日止。</w:t>
      </w:r>
    </w:p>
    <w:p w14:paraId="4E5A53C3">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5FB621C8">
      <w:pPr>
        <w:keepNext w:val="0"/>
        <w:keepLines w:val="0"/>
        <w:pageBreakBefore w:val="0"/>
        <w:widowControl/>
        <w:kinsoku/>
        <w:wordWrap w:val="0"/>
        <w:overflowPunct/>
        <w:topLinePunct/>
        <w:autoSpaceDE w:val="0"/>
        <w:autoSpaceDN w:val="0"/>
        <w:bidi w:val="0"/>
        <w:adjustRightInd w:val="0"/>
        <w:snapToGrid w:val="0"/>
        <w:spacing w:line="398" w:lineRule="auto"/>
        <w:jc w:val="both"/>
        <w:textAlignment w:val="baseline"/>
        <w:rPr>
          <w:rFonts w:hint="eastAsia" w:ascii="宋体" w:hAnsi="宋体" w:eastAsia="宋体" w:cs="宋体"/>
          <w:color w:val="auto"/>
          <w:sz w:val="21"/>
          <w:highlight w:val="none"/>
        </w:rPr>
      </w:pPr>
    </w:p>
    <w:p w14:paraId="3192926A">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w:t>
      </w:r>
      <w:r>
        <w:rPr>
          <w:rFonts w:hint="eastAsia" w:ascii="宋体" w:hAnsi="宋体" w:eastAsia="宋体" w:cs="宋体"/>
          <w:color w:val="auto"/>
          <w:spacing w:val="-1"/>
          <w:sz w:val="24"/>
          <w:szCs w:val="24"/>
          <w:highlight w:val="none"/>
        </w:rPr>
        <w:t>_____</w:t>
      </w:r>
    </w:p>
    <w:p w14:paraId="47581C09">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法定代表人（单位负责人</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
          <w:sz w:val="24"/>
          <w:szCs w:val="24"/>
          <w:highlight w:val="none"/>
        </w:rPr>
        <w:t>签字或盖章</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
          <w:sz w:val="24"/>
          <w:szCs w:val="24"/>
          <w:highlight w:val="none"/>
        </w:rPr>
        <w:t>________________</w:t>
      </w:r>
    </w:p>
    <w:p w14:paraId="5E5D8B6B">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委托代理人（签字或盖章</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t>________________</w:t>
      </w:r>
    </w:p>
    <w:p w14:paraId="6383C7C0">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p>
    <w:p w14:paraId="2DCB8397">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日期：_____年______月______日</w:t>
      </w:r>
    </w:p>
    <w:p w14:paraId="779207D3">
      <w:pPr>
        <w:pStyle w:val="15"/>
        <w:keepNext w:val="0"/>
        <w:keepLines w:val="0"/>
        <w:pageBreakBefore w:val="0"/>
        <w:widowControl/>
        <w:kinsoku/>
        <w:wordWrap w:val="0"/>
        <w:overflowPunct/>
        <w:topLinePunct/>
        <w:autoSpaceDE w:val="0"/>
        <w:autoSpaceDN w:val="0"/>
        <w:bidi w:val="0"/>
        <w:adjustRightInd w:val="0"/>
        <w:snapToGrid w:val="0"/>
        <w:spacing w:before="102" w:line="219" w:lineRule="auto"/>
        <w:ind w:left="14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附：法定代表人及委托代理人身份证明文件</w:t>
      </w:r>
      <w:r>
        <w:rPr>
          <w:rFonts w:hint="eastAsia" w:ascii="宋体" w:hAnsi="宋体" w:eastAsia="宋体" w:cs="宋体"/>
          <w:color w:val="auto"/>
          <w:spacing w:val="-1"/>
          <w:sz w:val="24"/>
          <w:szCs w:val="24"/>
          <w:highlight w:val="none"/>
        </w:rPr>
        <w:t>电子</w:t>
      </w:r>
      <w:r>
        <w:rPr>
          <w:rFonts w:hint="eastAsia" w:cs="宋体"/>
          <w:color w:val="auto"/>
          <w:spacing w:val="-1"/>
          <w:sz w:val="24"/>
          <w:szCs w:val="24"/>
          <w:highlight w:val="none"/>
          <w:lang w:val="en-US" w:eastAsia="zh-CN"/>
        </w:rPr>
        <w:t>扫描</w:t>
      </w:r>
      <w:r>
        <w:rPr>
          <w:rFonts w:hint="eastAsia" w:ascii="宋体" w:hAnsi="宋体" w:eastAsia="宋体" w:cs="宋体"/>
          <w:color w:val="auto"/>
          <w:spacing w:val="-1"/>
          <w:sz w:val="24"/>
          <w:szCs w:val="24"/>
          <w:highlight w:val="none"/>
        </w:rPr>
        <w:t>件</w:t>
      </w:r>
      <w:r>
        <w:rPr>
          <w:rFonts w:hint="eastAsia" w:ascii="宋体" w:hAnsi="宋体" w:eastAsia="宋体" w:cs="宋体"/>
          <w:color w:val="auto"/>
          <w:spacing w:val="-2"/>
          <w:sz w:val="24"/>
          <w:szCs w:val="24"/>
          <w:highlight w:val="none"/>
        </w:rPr>
        <w:t>：</w:t>
      </w:r>
    </w:p>
    <w:p w14:paraId="2B17247F">
      <w:pPr>
        <w:pStyle w:val="15"/>
        <w:keepNext w:val="0"/>
        <w:keepLines w:val="0"/>
        <w:pageBreakBefore w:val="0"/>
        <w:widowControl/>
        <w:kinsoku/>
        <w:wordWrap w:val="0"/>
        <w:overflowPunct/>
        <w:topLinePunct/>
        <w:autoSpaceDE w:val="0"/>
        <w:autoSpaceDN w:val="0"/>
        <w:bidi w:val="0"/>
        <w:adjustRightInd w:val="0"/>
        <w:snapToGrid w:val="0"/>
        <w:spacing w:before="102" w:line="219" w:lineRule="auto"/>
        <w:ind w:left="140"/>
        <w:jc w:val="both"/>
        <w:textAlignment w:val="baseline"/>
        <w:rPr>
          <w:rFonts w:hint="eastAsia" w:ascii="宋体" w:hAnsi="宋体" w:eastAsia="宋体" w:cs="宋体"/>
          <w:color w:val="auto"/>
          <w:spacing w:val="-2"/>
          <w:sz w:val="24"/>
          <w:szCs w:val="24"/>
          <w:highlight w:val="none"/>
        </w:rPr>
      </w:pPr>
    </w:p>
    <w:tbl>
      <w:tblPr>
        <w:tblStyle w:val="165"/>
        <w:tblW w:w="946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730"/>
        <w:gridCol w:w="4730"/>
      </w:tblGrid>
      <w:tr w14:paraId="4197300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6" w:hRule="atLeast"/>
          <w:jc w:val="center"/>
        </w:trPr>
        <w:tc>
          <w:tcPr>
            <w:tcW w:w="4730" w:type="dxa"/>
            <w:tcBorders>
              <w:right w:val="single" w:color="auto" w:sz="4" w:space="0"/>
            </w:tcBorders>
            <w:vAlign w:val="top"/>
          </w:tcPr>
          <w:p w14:paraId="2F042D3F">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highlight w:val="none"/>
              </w:rPr>
            </w:pPr>
          </w:p>
        </w:tc>
        <w:tc>
          <w:tcPr>
            <w:tcW w:w="4730" w:type="dxa"/>
            <w:tcBorders>
              <w:left w:val="single" w:color="auto" w:sz="4" w:space="0"/>
            </w:tcBorders>
            <w:vAlign w:val="top"/>
          </w:tcPr>
          <w:p w14:paraId="48F25A60">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highlight w:val="none"/>
              </w:rPr>
            </w:pPr>
          </w:p>
        </w:tc>
      </w:tr>
    </w:tbl>
    <w:p w14:paraId="3A87E115">
      <w:pPr>
        <w:keepNext w:val="0"/>
        <w:keepLines w:val="0"/>
        <w:pageBreakBefore w:val="0"/>
        <w:widowControl/>
        <w:kinsoku/>
        <w:wordWrap w:val="0"/>
        <w:overflowPunct/>
        <w:topLinePunct/>
        <w:autoSpaceDE w:val="0"/>
        <w:autoSpaceDN w:val="0"/>
        <w:bidi w:val="0"/>
        <w:adjustRightInd w:val="0"/>
        <w:snapToGrid w:val="0"/>
        <w:spacing w:line="68" w:lineRule="exact"/>
        <w:jc w:val="both"/>
        <w:textAlignment w:val="baseline"/>
        <w:rPr>
          <w:rFonts w:hint="eastAsia" w:ascii="宋体" w:hAnsi="宋体" w:eastAsia="宋体" w:cs="宋体"/>
          <w:color w:val="auto"/>
          <w:highlight w:val="none"/>
        </w:rPr>
      </w:pPr>
    </w:p>
    <w:p w14:paraId="0E7FB9F2">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说明：</w:t>
      </w:r>
    </w:p>
    <w:p w14:paraId="4B83F1AD">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
          <w:sz w:val="24"/>
          <w:szCs w:val="24"/>
          <w:highlight w:val="none"/>
        </w:rPr>
        <w:t>.若投标人为事业单位或其他组织或分支机构，则法定代表人（单位负责人）</w:t>
      </w:r>
      <w:r>
        <w:rPr>
          <w:rFonts w:hint="eastAsia" w:ascii="宋体" w:hAnsi="宋体" w:eastAsia="宋体" w:cs="宋体"/>
          <w:color w:val="auto"/>
          <w:spacing w:val="-2"/>
          <w:sz w:val="24"/>
          <w:szCs w:val="24"/>
          <w:highlight w:val="none"/>
        </w:rPr>
        <w:t>处的签署人可为单位负责人。</w:t>
      </w:r>
    </w:p>
    <w:p w14:paraId="433C968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2.若投标文件中签字之处均为法定代表人（单位负责人）本人签署，则可不提供本《授权委托书》，但须提供《法定代表人（单位负责人）身份证明》。</w:t>
      </w:r>
    </w:p>
    <w:p w14:paraId="333B4FFC">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3.投标人为自然人的情形，可不提供本《授权委托书》。</w:t>
      </w:r>
    </w:p>
    <w:p w14:paraId="466F7DE8">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4.投标人应随本《授权委托书》同时提供法定代表人（单位负责人）及委托 代理人的有效的身份证、护照等身份证明文件电子件。提供身份证的，应同时提 供身份证双面电子件。</w:t>
      </w:r>
    </w:p>
    <w:p w14:paraId="4372E0B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55DFA69D">
      <w:pPr>
        <w:keepNext w:val="0"/>
        <w:keepLines w:val="0"/>
        <w:pageBreakBefore w:val="0"/>
        <w:widowControl/>
        <w:kinsoku/>
        <w:wordWrap w:val="0"/>
        <w:overflowPunct/>
        <w:topLinePunct/>
        <w:autoSpaceDE w:val="0"/>
        <w:autoSpaceDN w:val="0"/>
        <w:bidi w:val="0"/>
        <w:adjustRightInd w:val="0"/>
        <w:snapToGrid w:val="0"/>
        <w:spacing w:line="324" w:lineRule="auto"/>
        <w:jc w:val="both"/>
        <w:textAlignment w:val="baseline"/>
        <w:rPr>
          <w:rFonts w:hint="eastAsia" w:ascii="宋体" w:hAnsi="宋体" w:eastAsia="宋体" w:cs="宋体"/>
          <w:color w:val="auto"/>
          <w:sz w:val="21"/>
          <w:highlight w:val="none"/>
        </w:rPr>
      </w:pPr>
    </w:p>
    <w:p w14:paraId="64E8605F">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395" w:name="_Toc9341"/>
      <w:bookmarkStart w:id="396" w:name="_Toc28164"/>
      <w:bookmarkStart w:id="397" w:name="_Toc30828"/>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四</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政府采购投标人廉洁自律承诺书</w:t>
      </w:r>
      <w:bookmarkEnd w:id="395"/>
      <w:bookmarkEnd w:id="396"/>
      <w:bookmarkEnd w:id="397"/>
    </w:p>
    <w:p w14:paraId="0A187EDF">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p>
    <w:p w14:paraId="1E8D7A5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u w:val="single"/>
        </w:rPr>
        <w:t>采购人</w:t>
      </w:r>
      <w:r>
        <w:rPr>
          <w:rFonts w:hint="eastAsia" w:ascii="宋体" w:hAnsi="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rPr>
        <w:t>采购代理机构</w:t>
      </w:r>
      <w:r>
        <w:rPr>
          <w:rFonts w:hint="eastAsia" w:ascii="宋体" w:hAnsi="宋体" w:eastAsia="宋体" w:cs="宋体"/>
          <w:color w:val="auto"/>
          <w:spacing w:val="2"/>
          <w:sz w:val="24"/>
          <w:szCs w:val="24"/>
          <w:highlight w:val="none"/>
        </w:rPr>
        <w:t>）：</w:t>
      </w:r>
    </w:p>
    <w:p w14:paraId="042E7F3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我单位响应你单位项目招标要求参加投标。在这次投</w:t>
      </w:r>
      <w:r>
        <w:rPr>
          <w:rFonts w:hint="eastAsia" w:ascii="宋体" w:hAnsi="宋体" w:eastAsia="宋体" w:cs="宋体"/>
          <w:color w:val="auto"/>
          <w:spacing w:val="-4"/>
          <w:sz w:val="24"/>
          <w:szCs w:val="24"/>
          <w:highlight w:val="none"/>
        </w:rPr>
        <w:t>标过程中和中标后，我</w:t>
      </w:r>
      <w:r>
        <w:rPr>
          <w:rFonts w:hint="eastAsia" w:ascii="宋体" w:hAnsi="宋体" w:eastAsia="宋体" w:cs="宋体"/>
          <w:color w:val="auto"/>
          <w:spacing w:val="-1"/>
          <w:sz w:val="24"/>
          <w:szCs w:val="24"/>
          <w:highlight w:val="none"/>
        </w:rPr>
        <w:t>们将严格遵守国家法律法规要求，并郑重承诺：</w:t>
      </w:r>
    </w:p>
    <w:p w14:paraId="262721A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一、不向项目有关人员及部门赠送礼金礼物、有价证券、回扣以及中介费、介绍费、咨询费等好处费；</w:t>
      </w:r>
    </w:p>
    <w:p w14:paraId="0B8FDDE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二、不为项目有关人员及部门报销应由你方单位或个人支付的费用；</w:t>
      </w:r>
    </w:p>
    <w:p w14:paraId="6256012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三、不向项目有关人员及部门提供有可能影响公正的宴请和健身娱乐等活动；</w:t>
      </w:r>
    </w:p>
    <w:p w14:paraId="643DB1A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四、不为项目有关人员及部门出国（境）、旅游等提供方便；</w:t>
      </w:r>
    </w:p>
    <w:p w14:paraId="03D6D43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五、不为项目有关人员个人装修住房、婚丧嫁娶、配偶子女工作安排等提供好处；</w:t>
      </w:r>
    </w:p>
    <w:p w14:paraId="71136AF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六、严格遵守《中华人民共和国政府采购法》《中华人民共和国政府采购法实施条例》《中华人民共和国民法典》等法律法规，诚实守信，合法经营，坚决抵制各种违法违纪行为。</w:t>
      </w:r>
    </w:p>
    <w:p w14:paraId="6D67CB7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如违反上述承诺，你单位有权立即取消我单位投标、中标或在建项目的建设资格，有权拒绝我单位在一定时期内进入你单位进行项目建设或其他经营活动，并通报财政局</w:t>
      </w:r>
      <w:r>
        <w:rPr>
          <w:rFonts w:hint="eastAsia" w:ascii="宋体" w:hAnsi="宋体" w:eastAsia="宋体" w:cs="宋体"/>
          <w:color w:val="auto"/>
          <w:spacing w:val="-2"/>
          <w:sz w:val="24"/>
          <w:szCs w:val="24"/>
          <w:highlight w:val="none"/>
          <w:lang w:val="en-US" w:eastAsia="zh-CN"/>
        </w:rPr>
        <w:t>部门</w:t>
      </w:r>
      <w:r>
        <w:rPr>
          <w:rFonts w:hint="eastAsia" w:ascii="宋体" w:hAnsi="宋体" w:eastAsia="宋体" w:cs="宋体"/>
          <w:color w:val="auto"/>
          <w:spacing w:val="-2"/>
          <w:sz w:val="24"/>
          <w:szCs w:val="24"/>
          <w:highlight w:val="none"/>
        </w:rPr>
        <w:t>。由此引起的相应损失均由我单位承担。</w:t>
      </w:r>
    </w:p>
    <w:p w14:paraId="7E29BA7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6235533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49A8B8B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423105F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20B79EF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7EE245A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956" w:firstLineChars="21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投标人名称（公章)：</w:t>
      </w:r>
    </w:p>
    <w:p w14:paraId="2E5F355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956" w:firstLineChars="21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日</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期：   年   月   日</w:t>
      </w:r>
    </w:p>
    <w:p w14:paraId="7908B620">
      <w:pPr>
        <w:keepNext w:val="0"/>
        <w:keepLines w:val="0"/>
        <w:pageBreakBefore w:val="0"/>
        <w:widowControl/>
        <w:kinsoku/>
        <w:wordWrap w:val="0"/>
        <w:overflowPunct/>
        <w:topLinePunct/>
        <w:autoSpaceDE w:val="0"/>
        <w:autoSpaceDN w:val="0"/>
        <w:bidi w:val="0"/>
        <w:adjustRightInd w:val="0"/>
        <w:snapToGrid w:val="0"/>
        <w:spacing w:line="220" w:lineRule="auto"/>
        <w:jc w:val="both"/>
        <w:textAlignment w:val="baseline"/>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0883696E">
      <w:pPr>
        <w:keepNext w:val="0"/>
        <w:keepLines w:val="0"/>
        <w:pageBreakBefore w:val="0"/>
        <w:widowControl/>
        <w:kinsoku/>
        <w:wordWrap w:val="0"/>
        <w:overflowPunct/>
        <w:topLinePunct/>
        <w:autoSpaceDE w:val="0"/>
        <w:autoSpaceDN w:val="0"/>
        <w:bidi w:val="0"/>
        <w:adjustRightInd w:val="0"/>
        <w:snapToGrid w:val="0"/>
        <w:spacing w:line="324" w:lineRule="auto"/>
        <w:jc w:val="both"/>
        <w:textAlignment w:val="baseline"/>
        <w:rPr>
          <w:rFonts w:hint="eastAsia" w:ascii="宋体" w:hAnsi="宋体" w:eastAsia="宋体" w:cs="宋体"/>
          <w:color w:val="auto"/>
          <w:sz w:val="21"/>
          <w:highlight w:val="none"/>
        </w:rPr>
      </w:pPr>
    </w:p>
    <w:p w14:paraId="334B0068">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398" w:name="_Toc779"/>
      <w:bookmarkStart w:id="399" w:name="_Toc17109"/>
      <w:bookmarkStart w:id="400" w:name="_Toc882"/>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实质性响应一览表</w:t>
      </w:r>
      <w:bookmarkEnd w:id="398"/>
      <w:bookmarkEnd w:id="399"/>
      <w:bookmarkEnd w:id="400"/>
    </w:p>
    <w:p w14:paraId="3EE8304F">
      <w:pPr>
        <w:keepNext w:val="0"/>
        <w:keepLines w:val="0"/>
        <w:pageBreakBefore w:val="0"/>
        <w:widowControl/>
        <w:kinsoku/>
        <w:wordWrap w:val="0"/>
        <w:overflowPunct/>
        <w:topLinePunct/>
        <w:autoSpaceDE w:val="0"/>
        <w:autoSpaceDN w:val="0"/>
        <w:bidi w:val="0"/>
        <w:adjustRightInd w:val="0"/>
        <w:snapToGrid w:val="0"/>
        <w:spacing w:line="354" w:lineRule="auto"/>
        <w:jc w:val="center"/>
        <w:textAlignment w:val="baseline"/>
        <w:rPr>
          <w:rFonts w:hint="eastAsia" w:ascii="宋体" w:hAnsi="宋体" w:eastAsia="宋体" w:cs="宋体"/>
          <w:color w:val="auto"/>
          <w:sz w:val="21"/>
          <w:highlight w:val="none"/>
        </w:rPr>
      </w:pPr>
      <w:r>
        <w:rPr>
          <w:rFonts w:hint="eastAsia" w:ascii="宋体" w:hAnsi="宋体" w:eastAsia="宋体" w:cs="宋体"/>
          <w:color w:val="auto"/>
          <w:sz w:val="21"/>
          <w:highlight w:val="none"/>
          <w:lang w:val="zh-CN" w:eastAsia="zh-CN"/>
        </w:rPr>
        <w:t>【</w:t>
      </w:r>
      <w:r>
        <w:rPr>
          <w:rFonts w:hint="eastAsia" w:ascii="宋体" w:hAnsi="宋体" w:eastAsia="宋体" w:cs="宋体"/>
          <w:color w:val="auto"/>
          <w:sz w:val="21"/>
          <w:highlight w:val="none"/>
          <w:lang w:val="en-US" w:eastAsia="zh-CN"/>
        </w:rPr>
        <w:t>本表须与第五章的一致】</w:t>
      </w:r>
    </w:p>
    <w:p w14:paraId="2C7EF135">
      <w:pPr>
        <w:pStyle w:val="15"/>
        <w:keepNext w:val="0"/>
        <w:keepLines w:val="0"/>
        <w:pageBreakBefore w:val="0"/>
        <w:widowControl/>
        <w:kinsoku/>
        <w:wordWrap w:val="0"/>
        <w:overflowPunct/>
        <w:topLinePunct/>
        <w:autoSpaceDE w:val="0"/>
        <w:autoSpaceDN w:val="0"/>
        <w:bidi w:val="0"/>
        <w:adjustRightInd w:val="0"/>
        <w:snapToGrid w:val="0"/>
        <w:spacing w:before="78" w:line="219" w:lineRule="auto"/>
        <w:ind w:left="809"/>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（投标人须对本附表所有内容逐条响应且无负偏离，否则其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13DC28C7">
      <w:pPr>
        <w:keepNext w:val="0"/>
        <w:keepLines w:val="0"/>
        <w:pageBreakBefore w:val="0"/>
        <w:widowControl/>
        <w:kinsoku/>
        <w:wordWrap w:val="0"/>
        <w:overflowPunct/>
        <w:topLinePunct/>
        <w:autoSpaceDE w:val="0"/>
        <w:autoSpaceDN w:val="0"/>
        <w:bidi w:val="0"/>
        <w:adjustRightInd w:val="0"/>
        <w:snapToGrid w:val="0"/>
        <w:spacing w:line="325" w:lineRule="auto"/>
        <w:jc w:val="both"/>
        <w:textAlignment w:val="baseline"/>
        <w:rPr>
          <w:rFonts w:hint="eastAsia" w:ascii="宋体" w:hAnsi="宋体" w:eastAsia="宋体" w:cs="宋体"/>
          <w:color w:val="auto"/>
          <w:sz w:val="21"/>
          <w:highlight w:val="none"/>
        </w:rPr>
      </w:pPr>
    </w:p>
    <w:tbl>
      <w:tblPr>
        <w:tblStyle w:val="165"/>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1728"/>
        <w:gridCol w:w="3062"/>
        <w:gridCol w:w="2620"/>
        <w:gridCol w:w="1446"/>
      </w:tblGrid>
      <w:tr w14:paraId="4021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724" w:type="dxa"/>
            <w:vMerge w:val="restart"/>
            <w:vAlign w:val="center"/>
          </w:tcPr>
          <w:p w14:paraId="28197015">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序号</w:t>
            </w:r>
          </w:p>
        </w:tc>
        <w:tc>
          <w:tcPr>
            <w:tcW w:w="4790" w:type="dxa"/>
            <w:gridSpan w:val="2"/>
            <w:vAlign w:val="center"/>
          </w:tcPr>
          <w:p w14:paraId="48542C70">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招标文件要求的实质性响应内容</w:t>
            </w:r>
          </w:p>
        </w:tc>
        <w:tc>
          <w:tcPr>
            <w:tcW w:w="2620" w:type="dxa"/>
            <w:vMerge w:val="restart"/>
            <w:vAlign w:val="center"/>
          </w:tcPr>
          <w:p w14:paraId="5BAAB9B0">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投标文件响应的具体内容</w:t>
            </w:r>
          </w:p>
        </w:tc>
        <w:tc>
          <w:tcPr>
            <w:tcW w:w="1446" w:type="dxa"/>
            <w:vMerge w:val="restart"/>
            <w:vAlign w:val="center"/>
          </w:tcPr>
          <w:p w14:paraId="43649853">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14:paraId="715D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724" w:type="dxa"/>
            <w:vMerge w:val="continue"/>
            <w:textDirection w:val="tbRlV"/>
            <w:vAlign w:val="center"/>
          </w:tcPr>
          <w:p w14:paraId="4E6DF421">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highlight w:val="none"/>
                <w:lang w:val="en-US" w:eastAsia="zh-CN"/>
              </w:rPr>
            </w:pPr>
          </w:p>
        </w:tc>
        <w:tc>
          <w:tcPr>
            <w:tcW w:w="1728" w:type="dxa"/>
            <w:vAlign w:val="center"/>
          </w:tcPr>
          <w:p w14:paraId="42C2846E">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实质性要求</w:t>
            </w:r>
          </w:p>
        </w:tc>
        <w:tc>
          <w:tcPr>
            <w:tcW w:w="3062" w:type="dxa"/>
            <w:vAlign w:val="center"/>
          </w:tcPr>
          <w:p w14:paraId="4D5E971C">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招标文件中的规定</w:t>
            </w:r>
          </w:p>
        </w:tc>
        <w:tc>
          <w:tcPr>
            <w:tcW w:w="2620" w:type="dxa"/>
            <w:vMerge w:val="continue"/>
            <w:vAlign w:val="center"/>
          </w:tcPr>
          <w:p w14:paraId="180643EF">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highlight w:val="none"/>
                <w:lang w:val="en-US" w:eastAsia="zh-CN"/>
              </w:rPr>
            </w:pPr>
          </w:p>
        </w:tc>
        <w:tc>
          <w:tcPr>
            <w:tcW w:w="1446" w:type="dxa"/>
            <w:vMerge w:val="continue"/>
            <w:vAlign w:val="center"/>
          </w:tcPr>
          <w:p w14:paraId="6F3E7615">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highlight w:val="none"/>
                <w:lang w:val="en-US" w:eastAsia="zh-CN"/>
              </w:rPr>
            </w:pPr>
          </w:p>
        </w:tc>
      </w:tr>
      <w:tr w14:paraId="58BC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724" w:type="dxa"/>
            <w:vAlign w:val="center"/>
          </w:tcPr>
          <w:p w14:paraId="53EC3578">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728" w:type="dxa"/>
            <w:vAlign w:val="center"/>
          </w:tcPr>
          <w:p w14:paraId="24CB5CB1">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p>
        </w:tc>
        <w:tc>
          <w:tcPr>
            <w:tcW w:w="3062" w:type="dxa"/>
            <w:vAlign w:val="center"/>
          </w:tcPr>
          <w:p w14:paraId="66B3829B">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kern w:val="2"/>
                <w:sz w:val="21"/>
                <w:highlight w:val="none"/>
                <w:lang w:val="en-US" w:eastAsia="zh-CN" w:bidi="ar-SA"/>
              </w:rPr>
            </w:pPr>
          </w:p>
        </w:tc>
        <w:tc>
          <w:tcPr>
            <w:tcW w:w="2620" w:type="dxa"/>
            <w:vAlign w:val="center"/>
          </w:tcPr>
          <w:p w14:paraId="7D20CA28">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snapToGrid w:val="0"/>
                <w:color w:val="auto"/>
                <w:kern w:val="0"/>
                <w:sz w:val="21"/>
                <w:szCs w:val="21"/>
                <w:highlight w:val="none"/>
                <w:lang w:val="en-US" w:eastAsia="zh-CN" w:bidi="ar-SA"/>
              </w:rPr>
            </w:pPr>
          </w:p>
        </w:tc>
        <w:tc>
          <w:tcPr>
            <w:tcW w:w="1446" w:type="dxa"/>
            <w:vAlign w:val="center"/>
          </w:tcPr>
          <w:p w14:paraId="5259AF33">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default" w:ascii="宋体" w:hAnsi="宋体" w:eastAsia="宋体" w:cs="宋体"/>
                <w:snapToGrid w:val="0"/>
                <w:color w:val="auto"/>
                <w:kern w:val="0"/>
                <w:sz w:val="21"/>
                <w:szCs w:val="21"/>
                <w:highlight w:val="none"/>
                <w:lang w:val="en-US" w:eastAsia="zh-CN" w:bidi="ar-SA"/>
              </w:rPr>
            </w:pPr>
          </w:p>
        </w:tc>
      </w:tr>
      <w:tr w14:paraId="7DF5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724" w:type="dxa"/>
            <w:vAlign w:val="center"/>
          </w:tcPr>
          <w:p w14:paraId="7C7D9C07">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2</w:t>
            </w:r>
          </w:p>
        </w:tc>
        <w:tc>
          <w:tcPr>
            <w:tcW w:w="1728" w:type="dxa"/>
            <w:vAlign w:val="center"/>
          </w:tcPr>
          <w:p w14:paraId="29BD70CF">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p>
        </w:tc>
        <w:tc>
          <w:tcPr>
            <w:tcW w:w="3062" w:type="dxa"/>
            <w:vAlign w:val="center"/>
          </w:tcPr>
          <w:p w14:paraId="487E6ECA">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kern w:val="2"/>
                <w:sz w:val="21"/>
                <w:highlight w:val="none"/>
                <w:lang w:val="en-US" w:eastAsia="zh-CN" w:bidi="ar-SA"/>
              </w:rPr>
            </w:pPr>
          </w:p>
        </w:tc>
        <w:tc>
          <w:tcPr>
            <w:tcW w:w="2620" w:type="dxa"/>
            <w:vAlign w:val="center"/>
          </w:tcPr>
          <w:p w14:paraId="497C70D5">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p>
        </w:tc>
        <w:tc>
          <w:tcPr>
            <w:tcW w:w="1446" w:type="dxa"/>
            <w:vAlign w:val="center"/>
          </w:tcPr>
          <w:p w14:paraId="196483E4">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p>
        </w:tc>
      </w:tr>
      <w:tr w14:paraId="1920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6" w:hRule="atLeast"/>
          <w:jc w:val="center"/>
        </w:trPr>
        <w:tc>
          <w:tcPr>
            <w:tcW w:w="724" w:type="dxa"/>
            <w:vAlign w:val="center"/>
          </w:tcPr>
          <w:p w14:paraId="4BDD5C43">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cs="宋体"/>
                <w:color w:val="auto"/>
                <w:highlight w:val="none"/>
                <w:lang w:val="en-US" w:eastAsia="zh-CN"/>
              </w:rPr>
              <w:t>3</w:t>
            </w:r>
          </w:p>
        </w:tc>
        <w:tc>
          <w:tcPr>
            <w:tcW w:w="1728" w:type="dxa"/>
            <w:vAlign w:val="center"/>
          </w:tcPr>
          <w:p w14:paraId="1C3FC865">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p>
        </w:tc>
        <w:tc>
          <w:tcPr>
            <w:tcW w:w="3062" w:type="dxa"/>
            <w:vAlign w:val="center"/>
          </w:tcPr>
          <w:p w14:paraId="2E758BED">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default" w:ascii="宋体" w:hAnsi="宋体" w:eastAsia="宋体" w:cs="宋体"/>
                <w:color w:val="auto"/>
                <w:highlight w:val="none"/>
                <w:lang w:val="en-US" w:eastAsia="zh-CN"/>
              </w:rPr>
            </w:pPr>
          </w:p>
        </w:tc>
        <w:tc>
          <w:tcPr>
            <w:tcW w:w="2620" w:type="dxa"/>
            <w:vAlign w:val="center"/>
          </w:tcPr>
          <w:p w14:paraId="047FA13E">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p>
        </w:tc>
        <w:tc>
          <w:tcPr>
            <w:tcW w:w="1446" w:type="dxa"/>
            <w:vAlign w:val="center"/>
          </w:tcPr>
          <w:p w14:paraId="64BAC77F">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p>
        </w:tc>
      </w:tr>
      <w:tr w14:paraId="1E9F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6" w:hRule="atLeast"/>
          <w:jc w:val="center"/>
        </w:trPr>
        <w:tc>
          <w:tcPr>
            <w:tcW w:w="724" w:type="dxa"/>
            <w:vAlign w:val="center"/>
          </w:tcPr>
          <w:p w14:paraId="4FA0F564">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w:t>
            </w:r>
          </w:p>
        </w:tc>
        <w:tc>
          <w:tcPr>
            <w:tcW w:w="1728" w:type="dxa"/>
            <w:vAlign w:val="center"/>
          </w:tcPr>
          <w:p w14:paraId="4420E335">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p>
        </w:tc>
        <w:tc>
          <w:tcPr>
            <w:tcW w:w="3062" w:type="dxa"/>
            <w:vAlign w:val="center"/>
          </w:tcPr>
          <w:p w14:paraId="76731FE1">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default" w:ascii="宋体" w:hAnsi="宋体" w:eastAsia="宋体" w:cs="宋体"/>
                <w:color w:val="auto"/>
                <w:highlight w:val="none"/>
                <w:lang w:val="en-US" w:eastAsia="zh-CN"/>
              </w:rPr>
            </w:pPr>
          </w:p>
        </w:tc>
        <w:tc>
          <w:tcPr>
            <w:tcW w:w="2620" w:type="dxa"/>
            <w:vAlign w:val="center"/>
          </w:tcPr>
          <w:p w14:paraId="7373F853">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p>
        </w:tc>
        <w:tc>
          <w:tcPr>
            <w:tcW w:w="1446" w:type="dxa"/>
            <w:vAlign w:val="center"/>
          </w:tcPr>
          <w:p w14:paraId="50BA5D35">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p>
        </w:tc>
      </w:tr>
    </w:tbl>
    <w:p w14:paraId="12DB1D76">
      <w:pPr>
        <w:keepNext w:val="0"/>
        <w:keepLines w:val="0"/>
        <w:pageBreakBefore w:val="0"/>
        <w:widowControl/>
        <w:kinsoku/>
        <w:wordWrap w:val="0"/>
        <w:overflowPunct/>
        <w:topLinePunct/>
        <w:autoSpaceDE w:val="0"/>
        <w:autoSpaceDN w:val="0"/>
        <w:bidi w:val="0"/>
        <w:adjustRightInd w:val="0"/>
        <w:snapToGrid w:val="0"/>
        <w:spacing w:line="325" w:lineRule="auto"/>
        <w:jc w:val="both"/>
        <w:textAlignment w:val="baseline"/>
        <w:rPr>
          <w:rFonts w:hint="eastAsia" w:ascii="宋体" w:hAnsi="宋体" w:eastAsia="宋体" w:cs="宋体"/>
          <w:color w:val="auto"/>
          <w:sz w:val="21"/>
          <w:highlight w:val="none"/>
        </w:rPr>
      </w:pPr>
    </w:p>
    <w:p w14:paraId="0506CC82">
      <w:pPr>
        <w:keepNext w:val="0"/>
        <w:keepLines w:val="0"/>
        <w:pageBreakBefore w:val="0"/>
        <w:widowControl/>
        <w:kinsoku/>
        <w:wordWrap w:val="0"/>
        <w:overflowPunct/>
        <w:topLinePunct/>
        <w:autoSpaceDE w:val="0"/>
        <w:autoSpaceDN w:val="0"/>
        <w:bidi w:val="0"/>
        <w:adjustRightInd w:val="0"/>
        <w:snapToGrid w:val="0"/>
        <w:spacing w:line="325" w:lineRule="auto"/>
        <w:jc w:val="both"/>
        <w:textAlignment w:val="baseline"/>
        <w:rPr>
          <w:rFonts w:hint="eastAsia" w:ascii="宋体" w:hAnsi="宋体" w:eastAsia="宋体" w:cs="宋体"/>
          <w:color w:val="auto"/>
          <w:sz w:val="21"/>
          <w:highlight w:val="none"/>
        </w:rPr>
        <w:sectPr>
          <w:pgSz w:w="11905" w:h="16838"/>
          <w:pgMar w:top="1134" w:right="1134" w:bottom="1134" w:left="1134" w:header="737" w:footer="737" w:gutter="0"/>
          <w:pgNumType w:fmt="numberInDash"/>
          <w:cols w:space="0" w:num="1"/>
          <w:rtlGutter w:val="0"/>
          <w:docGrid w:linePitch="0" w:charSpace="0"/>
        </w:sectPr>
      </w:pPr>
    </w:p>
    <w:p w14:paraId="391E0F7A">
      <w:pPr>
        <w:keepNext w:val="0"/>
        <w:keepLines w:val="0"/>
        <w:pageBreakBefore w:val="0"/>
        <w:widowControl/>
        <w:kinsoku/>
        <w:wordWrap w:val="0"/>
        <w:overflowPunct/>
        <w:topLinePunct/>
        <w:autoSpaceDE w:val="0"/>
        <w:autoSpaceDN w:val="0"/>
        <w:bidi w:val="0"/>
        <w:adjustRightInd w:val="0"/>
        <w:snapToGrid w:val="0"/>
        <w:spacing w:line="325" w:lineRule="auto"/>
        <w:jc w:val="both"/>
        <w:textAlignment w:val="baseline"/>
        <w:rPr>
          <w:rFonts w:hint="eastAsia" w:ascii="宋体" w:hAnsi="宋体" w:eastAsia="宋体" w:cs="宋体"/>
          <w:color w:val="auto"/>
          <w:sz w:val="21"/>
          <w:highlight w:val="none"/>
        </w:rPr>
      </w:pPr>
    </w:p>
    <w:p w14:paraId="33A6E201">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401" w:name="_Toc13792"/>
      <w:bookmarkStart w:id="402" w:name="_Toc17975"/>
      <w:bookmarkStart w:id="403" w:name="_Toc2948"/>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六</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商务响应偏离表</w:t>
      </w:r>
      <w:bookmarkEnd w:id="401"/>
      <w:bookmarkEnd w:id="402"/>
      <w:bookmarkEnd w:id="403"/>
    </w:p>
    <w:p w14:paraId="4885B35B">
      <w:pPr>
        <w:pStyle w:val="15"/>
        <w:keepNext w:val="0"/>
        <w:keepLines w:val="0"/>
        <w:pageBreakBefore w:val="0"/>
        <w:widowControl/>
        <w:kinsoku/>
        <w:wordWrap w:val="0"/>
        <w:overflowPunct/>
        <w:topLinePunct/>
        <w:autoSpaceDE w:val="0"/>
        <w:autoSpaceDN w:val="0"/>
        <w:bidi w:val="0"/>
        <w:adjustRightInd w:val="0"/>
        <w:snapToGrid w:val="0"/>
        <w:spacing w:before="305" w:line="221" w:lineRule="auto"/>
        <w:ind w:left="126"/>
        <w:jc w:val="both"/>
        <w:textAlignment w:val="baseline"/>
        <w:rPr>
          <w:rFonts w:hint="default" w:ascii="宋体" w:hAnsi="宋体" w:eastAsia="宋体" w:cs="宋体"/>
          <w:color w:val="auto"/>
          <w:sz w:val="24"/>
          <w:szCs w:val="24"/>
          <w:highlight w:val="none"/>
          <w:lang w:val="en-US"/>
        </w:rPr>
      </w:pPr>
      <w:r>
        <w:rPr>
          <w:rFonts w:hint="eastAsia" w:ascii="宋体" w:hAnsi="宋体" w:eastAsia="宋体" w:cs="宋体"/>
          <w:color w:val="auto"/>
          <w:spacing w:val="-3"/>
          <w:sz w:val="24"/>
          <w:szCs w:val="24"/>
          <w:highlight w:val="none"/>
        </w:rPr>
        <w:t>项目名称：</w:t>
      </w:r>
      <w:r>
        <w:rPr>
          <w:rFonts w:hint="eastAsia" w:cs="宋体"/>
          <w:color w:val="auto"/>
          <w:spacing w:val="-3"/>
          <w:sz w:val="24"/>
          <w:szCs w:val="24"/>
          <w:highlight w:val="none"/>
          <w:u w:val="single"/>
          <w:lang w:val="en-US" w:eastAsia="zh-CN"/>
        </w:rPr>
        <w:t xml:space="preserve">                          </w:t>
      </w:r>
    </w:p>
    <w:p w14:paraId="3DBE1015">
      <w:pPr>
        <w:pStyle w:val="15"/>
        <w:keepNext w:val="0"/>
        <w:keepLines w:val="0"/>
        <w:pageBreakBefore w:val="0"/>
        <w:widowControl/>
        <w:kinsoku/>
        <w:wordWrap w:val="0"/>
        <w:overflowPunct/>
        <w:topLinePunct/>
        <w:autoSpaceDE w:val="0"/>
        <w:autoSpaceDN w:val="0"/>
        <w:bidi w:val="0"/>
        <w:adjustRightInd w:val="0"/>
        <w:snapToGrid w:val="0"/>
        <w:spacing w:before="181" w:line="220" w:lineRule="auto"/>
        <w:ind w:left="126"/>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项目编号/</w:t>
      </w:r>
      <w:r>
        <w:rPr>
          <w:rFonts w:hint="eastAsia" w:ascii="宋体" w:hAnsi="宋体" w:cs="宋体"/>
          <w:color w:val="auto"/>
          <w:spacing w:val="-2"/>
          <w:sz w:val="24"/>
          <w:szCs w:val="24"/>
          <w:highlight w:val="none"/>
          <w:lang w:val="en-US" w:eastAsia="zh-CN"/>
        </w:rPr>
        <w:t>包</w:t>
      </w:r>
      <w:r>
        <w:rPr>
          <w:rFonts w:hint="eastAsia" w:ascii="宋体" w:hAnsi="宋体" w:eastAsia="宋体" w:cs="宋体"/>
          <w:color w:val="auto"/>
          <w:spacing w:val="-2"/>
          <w:sz w:val="24"/>
          <w:szCs w:val="24"/>
          <w:highlight w:val="none"/>
        </w:rPr>
        <w:t>号：</w:t>
      </w:r>
      <w:r>
        <w:rPr>
          <w:rFonts w:hint="eastAsia" w:cs="宋体"/>
          <w:color w:val="auto"/>
          <w:spacing w:val="-3"/>
          <w:sz w:val="24"/>
          <w:szCs w:val="24"/>
          <w:highlight w:val="none"/>
          <w:u w:val="single"/>
          <w:lang w:val="en-US" w:eastAsia="zh-CN"/>
        </w:rPr>
        <w:t xml:space="preserve">                     </w:t>
      </w:r>
    </w:p>
    <w:p w14:paraId="0061AD93">
      <w:pPr>
        <w:keepNext w:val="0"/>
        <w:keepLines w:val="0"/>
        <w:pageBreakBefore w:val="0"/>
        <w:widowControl/>
        <w:kinsoku/>
        <w:wordWrap w:val="0"/>
        <w:overflowPunct/>
        <w:topLinePunct/>
        <w:autoSpaceDE w:val="0"/>
        <w:autoSpaceDN w:val="0"/>
        <w:bidi w:val="0"/>
        <w:adjustRightInd w:val="0"/>
        <w:snapToGrid w:val="0"/>
        <w:spacing w:line="67" w:lineRule="exact"/>
        <w:jc w:val="both"/>
        <w:textAlignment w:val="baseline"/>
        <w:rPr>
          <w:rFonts w:hint="eastAsia" w:ascii="宋体" w:hAnsi="宋体" w:eastAsia="宋体" w:cs="宋体"/>
          <w:color w:val="auto"/>
          <w:highlight w:val="none"/>
        </w:rPr>
      </w:pPr>
    </w:p>
    <w:tbl>
      <w:tblPr>
        <w:tblStyle w:val="165"/>
        <w:tblW w:w="95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2469"/>
        <w:gridCol w:w="2248"/>
        <w:gridCol w:w="2287"/>
        <w:gridCol w:w="1727"/>
      </w:tblGrid>
      <w:tr w14:paraId="03E0F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805" w:type="dxa"/>
            <w:vAlign w:val="center"/>
          </w:tcPr>
          <w:p w14:paraId="1BDBC09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序号</w:t>
            </w:r>
          </w:p>
        </w:tc>
        <w:tc>
          <w:tcPr>
            <w:tcW w:w="2469" w:type="dxa"/>
            <w:vAlign w:val="center"/>
          </w:tcPr>
          <w:p w14:paraId="22AFB15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招标文件的商务条款</w:t>
            </w:r>
          </w:p>
        </w:tc>
        <w:tc>
          <w:tcPr>
            <w:tcW w:w="2248" w:type="dxa"/>
            <w:vAlign w:val="center"/>
          </w:tcPr>
          <w:p w14:paraId="44BA5CA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投标文件的响应</w:t>
            </w:r>
            <w:r>
              <w:rPr>
                <w:rFonts w:hint="eastAsia" w:ascii="宋体" w:hAnsi="宋体" w:eastAsia="宋体" w:cs="宋体"/>
                <w:color w:val="auto"/>
                <w:spacing w:val="-8"/>
                <w:sz w:val="20"/>
                <w:szCs w:val="20"/>
                <w:highlight w:val="none"/>
              </w:rPr>
              <w:t>内容</w:t>
            </w:r>
          </w:p>
        </w:tc>
        <w:tc>
          <w:tcPr>
            <w:tcW w:w="2287" w:type="dxa"/>
            <w:vAlign w:val="center"/>
          </w:tcPr>
          <w:p w14:paraId="0373637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响应情况</w:t>
            </w:r>
          </w:p>
        </w:tc>
        <w:tc>
          <w:tcPr>
            <w:tcW w:w="1727" w:type="dxa"/>
            <w:vAlign w:val="center"/>
          </w:tcPr>
          <w:p w14:paraId="6991F1A6">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7"/>
                <w:sz w:val="20"/>
                <w:szCs w:val="20"/>
                <w:highlight w:val="none"/>
              </w:rPr>
            </w:pPr>
            <w:r>
              <w:rPr>
                <w:rFonts w:hint="eastAsia" w:ascii="宋体" w:hAnsi="宋体" w:eastAsia="宋体" w:cs="宋体"/>
                <w:color w:val="auto"/>
                <w:spacing w:val="7"/>
                <w:sz w:val="20"/>
                <w:szCs w:val="20"/>
                <w:highlight w:val="none"/>
              </w:rPr>
              <w:t>说明及索引</w:t>
            </w:r>
          </w:p>
          <w:p w14:paraId="3AC7198B">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default" w:ascii="宋体" w:hAnsi="宋体" w:eastAsia="宋体" w:cs="宋体"/>
                <w:color w:val="auto"/>
                <w:spacing w:val="7"/>
                <w:sz w:val="20"/>
                <w:szCs w:val="20"/>
                <w:highlight w:val="none"/>
                <w:lang w:val="en-US" w:eastAsia="zh-CN"/>
              </w:rPr>
            </w:pPr>
            <w:r>
              <w:rPr>
                <w:rFonts w:hint="eastAsia" w:cs="宋体"/>
                <w:color w:val="auto"/>
                <w:spacing w:val="7"/>
                <w:sz w:val="20"/>
                <w:szCs w:val="20"/>
                <w:highlight w:val="none"/>
                <w:lang w:val="en-US" w:eastAsia="zh-CN"/>
              </w:rPr>
              <w:t>对应页码</w:t>
            </w:r>
          </w:p>
        </w:tc>
      </w:tr>
      <w:tr w14:paraId="7C2C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805" w:type="dxa"/>
            <w:vAlign w:val="center"/>
          </w:tcPr>
          <w:p w14:paraId="4C1C3A85">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w:t>
            </w:r>
          </w:p>
        </w:tc>
        <w:tc>
          <w:tcPr>
            <w:tcW w:w="2469" w:type="dxa"/>
            <w:vAlign w:val="center"/>
          </w:tcPr>
          <w:p w14:paraId="25295A1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2248" w:type="dxa"/>
            <w:vAlign w:val="center"/>
          </w:tcPr>
          <w:p w14:paraId="5FCE114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2287" w:type="dxa"/>
            <w:vAlign w:val="center"/>
          </w:tcPr>
          <w:p w14:paraId="25510396">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cs="宋体"/>
                <w:color w:val="auto"/>
                <w:spacing w:val="7"/>
                <w:sz w:val="20"/>
                <w:szCs w:val="20"/>
                <w:highlight w:val="none"/>
                <w:lang w:val="en-US" w:eastAsia="zh-CN"/>
              </w:rPr>
              <w:t>无偏离</w:t>
            </w:r>
            <w:r>
              <w:rPr>
                <w:rFonts w:hint="eastAsia" w:ascii="宋体" w:hAnsi="宋体" w:eastAsia="宋体" w:cs="宋体"/>
                <w:color w:val="auto"/>
                <w:spacing w:val="7"/>
                <w:sz w:val="20"/>
                <w:szCs w:val="20"/>
                <w:highlight w:val="none"/>
              </w:rPr>
              <w:t>/正偏离/负偏离</w:t>
            </w:r>
          </w:p>
        </w:tc>
        <w:tc>
          <w:tcPr>
            <w:tcW w:w="1727" w:type="dxa"/>
            <w:vAlign w:val="center"/>
          </w:tcPr>
          <w:p w14:paraId="092CC1DB">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229DB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805" w:type="dxa"/>
            <w:vAlign w:val="center"/>
          </w:tcPr>
          <w:p w14:paraId="7CAA624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2</w:t>
            </w:r>
          </w:p>
        </w:tc>
        <w:tc>
          <w:tcPr>
            <w:tcW w:w="2469" w:type="dxa"/>
            <w:vAlign w:val="center"/>
          </w:tcPr>
          <w:p w14:paraId="3A3F9CB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2248" w:type="dxa"/>
            <w:vAlign w:val="center"/>
          </w:tcPr>
          <w:p w14:paraId="651C906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2287" w:type="dxa"/>
            <w:vAlign w:val="center"/>
          </w:tcPr>
          <w:p w14:paraId="0DDF91B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cs="宋体"/>
                <w:color w:val="auto"/>
                <w:spacing w:val="6"/>
                <w:sz w:val="20"/>
                <w:szCs w:val="20"/>
                <w:highlight w:val="none"/>
                <w:lang w:val="en-US" w:eastAsia="zh-CN"/>
              </w:rPr>
              <w:t>无偏离</w:t>
            </w:r>
            <w:r>
              <w:rPr>
                <w:rFonts w:hint="eastAsia" w:ascii="宋体" w:hAnsi="宋体" w:eastAsia="宋体" w:cs="宋体"/>
                <w:color w:val="auto"/>
                <w:spacing w:val="6"/>
                <w:sz w:val="20"/>
                <w:szCs w:val="20"/>
                <w:highlight w:val="none"/>
              </w:rPr>
              <w:t>/正偏离/负偏离</w:t>
            </w:r>
          </w:p>
        </w:tc>
        <w:tc>
          <w:tcPr>
            <w:tcW w:w="1727" w:type="dxa"/>
            <w:vAlign w:val="center"/>
          </w:tcPr>
          <w:p w14:paraId="4E9305B6">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2AEEA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44744F52">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2D2B9E1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2907FCBB">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5023E97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47C133D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44E5F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805" w:type="dxa"/>
            <w:vAlign w:val="center"/>
          </w:tcPr>
          <w:p w14:paraId="17DC538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53D6569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63126211">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4F77AB1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271AFBE2">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62EC6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5581707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6A6EF105">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19939D6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140DF47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120EB725">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2A5E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805" w:type="dxa"/>
            <w:vAlign w:val="center"/>
          </w:tcPr>
          <w:p w14:paraId="39B621D1">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4EBEEC2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45219DF2">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1E528E63">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6AC3C86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4C6C5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3E9EB94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7CF56CB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20CF5352">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2A198FF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24854A7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649D6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1FFA022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174449D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655A949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68B1E841">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5E30D75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4C367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7A025EA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445C5C2E">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2C9F8DB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0F07ED7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609DEA4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7EBC9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22E091A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26717956">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2184DBC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79DB297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5A8B488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43EB3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51B5AC2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6E24E3E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3396D40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3071D2F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14838A5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04063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03518AD6">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64E7553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675A215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4D8DD774">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733CE26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2D19C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3670FE4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4321472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04C4417E">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170E6A9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23D0FAA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42B68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805" w:type="dxa"/>
            <w:vAlign w:val="center"/>
          </w:tcPr>
          <w:p w14:paraId="7375114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2469" w:type="dxa"/>
            <w:vAlign w:val="center"/>
          </w:tcPr>
          <w:p w14:paraId="25FF50D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2248" w:type="dxa"/>
            <w:vAlign w:val="center"/>
          </w:tcPr>
          <w:p w14:paraId="204D8C85">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2287" w:type="dxa"/>
            <w:vAlign w:val="center"/>
          </w:tcPr>
          <w:p w14:paraId="2E26AED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1727" w:type="dxa"/>
            <w:vAlign w:val="center"/>
          </w:tcPr>
          <w:p w14:paraId="5BC3FE7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bl>
    <w:p w14:paraId="405478AD">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367FF698">
      <w:pPr>
        <w:keepNext w:val="0"/>
        <w:keepLines w:val="0"/>
        <w:pageBreakBefore w:val="0"/>
        <w:widowControl/>
        <w:kinsoku/>
        <w:wordWrap w:val="0"/>
        <w:overflowPunct/>
        <w:topLinePunct/>
        <w:autoSpaceDE w:val="0"/>
        <w:autoSpaceDN w:val="0"/>
        <w:bidi w:val="0"/>
        <w:adjustRightInd w:val="0"/>
        <w:snapToGrid w:val="0"/>
        <w:spacing w:line="266" w:lineRule="auto"/>
        <w:jc w:val="both"/>
        <w:textAlignment w:val="baseline"/>
        <w:rPr>
          <w:rFonts w:hint="eastAsia" w:ascii="宋体" w:hAnsi="宋体" w:eastAsia="宋体" w:cs="宋体"/>
          <w:color w:val="auto"/>
          <w:sz w:val="21"/>
          <w:highlight w:val="none"/>
        </w:rPr>
      </w:pPr>
    </w:p>
    <w:p w14:paraId="429E1918">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注：投标人应按照招标文件“第三章采购需</w:t>
      </w:r>
      <w:r>
        <w:rPr>
          <w:rFonts w:hint="eastAsia" w:ascii="宋体" w:hAnsi="宋体" w:eastAsia="宋体" w:cs="宋体"/>
          <w:color w:val="auto"/>
          <w:spacing w:val="5"/>
          <w:sz w:val="20"/>
          <w:szCs w:val="20"/>
          <w:highlight w:val="none"/>
        </w:rPr>
        <w:t>求”中的商务要求填写，“</w:t>
      </w:r>
      <w:r>
        <w:rPr>
          <w:rFonts w:hint="eastAsia" w:cs="宋体"/>
          <w:color w:val="auto"/>
          <w:spacing w:val="7"/>
          <w:sz w:val="20"/>
          <w:szCs w:val="20"/>
          <w:highlight w:val="none"/>
          <w:lang w:val="en-US" w:eastAsia="zh-CN"/>
        </w:rPr>
        <w:t>无偏离</w:t>
      </w:r>
      <w:r>
        <w:rPr>
          <w:rFonts w:hint="eastAsia" w:ascii="宋体" w:hAnsi="宋体" w:eastAsia="宋体" w:cs="宋体"/>
          <w:color w:val="auto"/>
          <w:spacing w:val="7"/>
          <w:sz w:val="20"/>
          <w:szCs w:val="20"/>
          <w:highlight w:val="none"/>
        </w:rPr>
        <w:t>/正偏离/负偏离</w:t>
      </w:r>
      <w:r>
        <w:rPr>
          <w:rFonts w:hint="eastAsia" w:ascii="宋体" w:hAnsi="宋体" w:eastAsia="宋体" w:cs="宋体"/>
          <w:color w:val="auto"/>
          <w:spacing w:val="5"/>
          <w:sz w:val="20"/>
          <w:szCs w:val="20"/>
          <w:highlight w:val="none"/>
        </w:rPr>
        <w:t>”应</w:t>
      </w:r>
      <w:r>
        <w:rPr>
          <w:rFonts w:hint="eastAsia" w:ascii="宋体" w:hAnsi="宋体" w:eastAsia="宋体" w:cs="宋体"/>
          <w:color w:val="auto"/>
          <w:spacing w:val="6"/>
          <w:sz w:val="20"/>
          <w:szCs w:val="20"/>
          <w:highlight w:val="none"/>
        </w:rPr>
        <w:t>据实填写“</w:t>
      </w:r>
      <w:r>
        <w:rPr>
          <w:rFonts w:hint="eastAsia" w:cs="宋体"/>
          <w:color w:val="auto"/>
          <w:spacing w:val="6"/>
          <w:sz w:val="20"/>
          <w:szCs w:val="20"/>
          <w:highlight w:val="none"/>
          <w:lang w:val="en-US" w:eastAsia="zh-CN"/>
        </w:rPr>
        <w:t>无偏离</w:t>
      </w:r>
      <w:r>
        <w:rPr>
          <w:rFonts w:hint="eastAsia" w:ascii="宋体" w:hAnsi="宋体" w:eastAsia="宋体" w:cs="宋体"/>
          <w:color w:val="auto"/>
          <w:spacing w:val="6"/>
          <w:sz w:val="20"/>
          <w:szCs w:val="20"/>
          <w:highlight w:val="none"/>
        </w:rPr>
        <w:t>”</w:t>
      </w:r>
      <w:r>
        <w:rPr>
          <w:rFonts w:hint="eastAsia" w:cs="宋体"/>
          <w:color w:val="auto"/>
          <w:spacing w:val="6"/>
          <w:sz w:val="20"/>
          <w:szCs w:val="20"/>
          <w:highlight w:val="none"/>
          <w:lang w:val="en-US" w:eastAsia="zh-CN"/>
        </w:rPr>
        <w:t>或</w:t>
      </w:r>
      <w:r>
        <w:rPr>
          <w:rFonts w:hint="eastAsia" w:ascii="宋体" w:hAnsi="宋体" w:eastAsia="宋体" w:cs="宋体"/>
          <w:color w:val="auto"/>
          <w:spacing w:val="6"/>
          <w:sz w:val="20"/>
          <w:szCs w:val="20"/>
          <w:highlight w:val="none"/>
        </w:rPr>
        <w:t>“正偏离”或“负偏离”。</w:t>
      </w:r>
    </w:p>
    <w:p w14:paraId="5C257FA5">
      <w:pPr>
        <w:keepNext w:val="0"/>
        <w:keepLines w:val="0"/>
        <w:pageBreakBefore w:val="0"/>
        <w:widowControl/>
        <w:kinsoku/>
        <w:wordWrap w:val="0"/>
        <w:overflowPunct/>
        <w:topLinePunct/>
        <w:autoSpaceDE w:val="0"/>
        <w:autoSpaceDN w:val="0"/>
        <w:bidi w:val="0"/>
        <w:adjustRightInd w:val="0"/>
        <w:snapToGrid w:val="0"/>
        <w:spacing w:line="278" w:lineRule="auto"/>
        <w:jc w:val="both"/>
        <w:textAlignment w:val="baseline"/>
        <w:rPr>
          <w:rFonts w:hint="eastAsia" w:ascii="宋体" w:hAnsi="宋体" w:eastAsia="宋体" w:cs="宋体"/>
          <w:color w:val="auto"/>
          <w:sz w:val="21"/>
          <w:highlight w:val="none"/>
        </w:rPr>
      </w:pPr>
    </w:p>
    <w:p w14:paraId="3E19059C">
      <w:pPr>
        <w:keepNext w:val="0"/>
        <w:keepLines w:val="0"/>
        <w:pageBreakBefore w:val="0"/>
        <w:widowControl/>
        <w:kinsoku/>
        <w:wordWrap w:val="0"/>
        <w:overflowPunct/>
        <w:topLinePunct/>
        <w:autoSpaceDE w:val="0"/>
        <w:autoSpaceDN w:val="0"/>
        <w:bidi w:val="0"/>
        <w:adjustRightInd w:val="0"/>
        <w:snapToGrid w:val="0"/>
        <w:spacing w:line="278" w:lineRule="auto"/>
        <w:jc w:val="both"/>
        <w:textAlignment w:val="baseline"/>
        <w:rPr>
          <w:rFonts w:hint="eastAsia" w:ascii="宋体" w:hAnsi="宋体" w:eastAsia="宋体" w:cs="宋体"/>
          <w:color w:val="auto"/>
          <w:sz w:val="21"/>
          <w:highlight w:val="none"/>
        </w:rPr>
      </w:pPr>
    </w:p>
    <w:p w14:paraId="319668CB">
      <w:pPr>
        <w:keepNext w:val="0"/>
        <w:keepLines w:val="0"/>
        <w:pageBreakBefore w:val="0"/>
        <w:widowControl/>
        <w:kinsoku/>
        <w:wordWrap w:val="0"/>
        <w:overflowPunct/>
        <w:topLinePunct/>
        <w:autoSpaceDE w:val="0"/>
        <w:autoSpaceDN w:val="0"/>
        <w:bidi w:val="0"/>
        <w:adjustRightInd w:val="0"/>
        <w:snapToGrid w:val="0"/>
        <w:spacing w:line="279" w:lineRule="auto"/>
        <w:jc w:val="both"/>
        <w:textAlignment w:val="baseline"/>
        <w:rPr>
          <w:rFonts w:hint="eastAsia" w:ascii="宋体" w:hAnsi="宋体" w:eastAsia="宋体" w:cs="宋体"/>
          <w:color w:val="auto"/>
          <w:sz w:val="21"/>
          <w:highlight w:val="none"/>
        </w:rPr>
      </w:pPr>
    </w:p>
    <w:p w14:paraId="64E73C47">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投标人名称（公章)：</w:t>
      </w:r>
    </w:p>
    <w:p w14:paraId="6E780ED1">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日      期：</w:t>
      </w:r>
    </w:p>
    <w:p w14:paraId="62B8B8C7">
      <w:pPr>
        <w:keepNext w:val="0"/>
        <w:keepLines w:val="0"/>
        <w:pageBreakBefore w:val="0"/>
        <w:widowControl/>
        <w:kinsoku/>
        <w:wordWrap w:val="0"/>
        <w:overflowPunct/>
        <w:topLinePunct/>
        <w:autoSpaceDE w:val="0"/>
        <w:autoSpaceDN w:val="0"/>
        <w:bidi w:val="0"/>
        <w:adjustRightInd w:val="0"/>
        <w:snapToGrid w:val="0"/>
        <w:spacing w:line="221" w:lineRule="auto"/>
        <w:jc w:val="both"/>
        <w:textAlignment w:val="baseline"/>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55A1B35E">
      <w:pPr>
        <w:keepNext w:val="0"/>
        <w:keepLines w:val="0"/>
        <w:pageBreakBefore w:val="0"/>
        <w:widowControl/>
        <w:kinsoku/>
        <w:wordWrap w:val="0"/>
        <w:overflowPunct/>
        <w:topLinePunct/>
        <w:autoSpaceDE w:val="0"/>
        <w:autoSpaceDN w:val="0"/>
        <w:bidi w:val="0"/>
        <w:adjustRightInd w:val="0"/>
        <w:snapToGrid w:val="0"/>
        <w:spacing w:line="307" w:lineRule="auto"/>
        <w:jc w:val="both"/>
        <w:textAlignment w:val="baseline"/>
        <w:rPr>
          <w:rFonts w:hint="eastAsia" w:ascii="宋体" w:hAnsi="宋体" w:eastAsia="宋体" w:cs="宋体"/>
          <w:color w:val="auto"/>
          <w:sz w:val="21"/>
          <w:highlight w:val="none"/>
        </w:rPr>
      </w:pPr>
    </w:p>
    <w:p w14:paraId="791D3245">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404" w:name="_Toc12554"/>
      <w:bookmarkStart w:id="405" w:name="_Toc4638"/>
      <w:bookmarkStart w:id="406" w:name="_Toc18629"/>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业绩证明文件</w:t>
      </w:r>
      <w:bookmarkEnd w:id="404"/>
      <w:bookmarkEnd w:id="405"/>
      <w:bookmarkEnd w:id="406"/>
    </w:p>
    <w:p w14:paraId="635A8CD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164"/>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rPr>
        <w:t>项目名称：</w:t>
      </w:r>
      <w:r>
        <w:rPr>
          <w:rFonts w:hint="eastAsia" w:cs="宋体"/>
          <w:color w:val="auto"/>
          <w:spacing w:val="-3"/>
          <w:sz w:val="24"/>
          <w:szCs w:val="24"/>
          <w:highlight w:val="none"/>
          <w:u w:val="single"/>
          <w:lang w:val="en-US" w:eastAsia="zh-CN"/>
        </w:rPr>
        <w:t xml:space="preserve">                          </w:t>
      </w:r>
    </w:p>
    <w:p w14:paraId="010E9901">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16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项目编号/包号：</w:t>
      </w:r>
      <w:r>
        <w:rPr>
          <w:rFonts w:hint="eastAsia" w:cs="宋体"/>
          <w:color w:val="auto"/>
          <w:spacing w:val="-3"/>
          <w:sz w:val="24"/>
          <w:szCs w:val="24"/>
          <w:highlight w:val="none"/>
          <w:u w:val="single"/>
          <w:lang w:val="en-US" w:eastAsia="zh-CN"/>
        </w:rPr>
        <w:t xml:space="preserve">                     </w:t>
      </w:r>
    </w:p>
    <w:p w14:paraId="6DD30085">
      <w:pPr>
        <w:keepNext w:val="0"/>
        <w:keepLines w:val="0"/>
        <w:pageBreakBefore w:val="0"/>
        <w:widowControl/>
        <w:kinsoku/>
        <w:wordWrap w:val="0"/>
        <w:overflowPunct/>
        <w:topLinePunct/>
        <w:autoSpaceDE w:val="0"/>
        <w:autoSpaceDN w:val="0"/>
        <w:bidi w:val="0"/>
        <w:adjustRightInd w:val="0"/>
        <w:snapToGrid w:val="0"/>
        <w:spacing w:line="67" w:lineRule="exact"/>
        <w:jc w:val="both"/>
        <w:textAlignment w:val="baseline"/>
        <w:rPr>
          <w:rFonts w:hint="eastAsia" w:ascii="宋体" w:hAnsi="宋体" w:eastAsia="宋体" w:cs="宋体"/>
          <w:color w:val="auto"/>
          <w:highlight w:val="none"/>
        </w:rPr>
      </w:pPr>
    </w:p>
    <w:tbl>
      <w:tblPr>
        <w:tblStyle w:val="165"/>
        <w:tblW w:w="97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167"/>
        <w:gridCol w:w="1347"/>
        <w:gridCol w:w="1219"/>
        <w:gridCol w:w="1385"/>
        <w:gridCol w:w="1299"/>
        <w:gridCol w:w="1215"/>
        <w:gridCol w:w="1275"/>
      </w:tblGrid>
      <w:tr w14:paraId="23C56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jc w:val="center"/>
        </w:trPr>
        <w:tc>
          <w:tcPr>
            <w:tcW w:w="808" w:type="dxa"/>
            <w:vAlign w:val="center"/>
          </w:tcPr>
          <w:p w14:paraId="1557F76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序号</w:t>
            </w:r>
          </w:p>
        </w:tc>
        <w:tc>
          <w:tcPr>
            <w:tcW w:w="1167" w:type="dxa"/>
            <w:vAlign w:val="center"/>
          </w:tcPr>
          <w:p w14:paraId="0AD11833">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完成时间</w:t>
            </w:r>
          </w:p>
        </w:tc>
        <w:tc>
          <w:tcPr>
            <w:tcW w:w="1347" w:type="dxa"/>
            <w:vAlign w:val="center"/>
          </w:tcPr>
          <w:p w14:paraId="4BB2592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项目名称</w:t>
            </w:r>
          </w:p>
        </w:tc>
        <w:tc>
          <w:tcPr>
            <w:tcW w:w="1219" w:type="dxa"/>
            <w:vAlign w:val="center"/>
          </w:tcPr>
          <w:p w14:paraId="1C97DE9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标的内容</w:t>
            </w:r>
          </w:p>
        </w:tc>
        <w:tc>
          <w:tcPr>
            <w:tcW w:w="1385" w:type="dxa"/>
            <w:vAlign w:val="center"/>
          </w:tcPr>
          <w:p w14:paraId="389905A1">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采购人名称</w:t>
            </w:r>
          </w:p>
        </w:tc>
        <w:tc>
          <w:tcPr>
            <w:tcW w:w="1299" w:type="dxa"/>
            <w:vAlign w:val="center"/>
          </w:tcPr>
          <w:p w14:paraId="646A06E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中标（成交）金额</w:t>
            </w:r>
          </w:p>
        </w:tc>
        <w:tc>
          <w:tcPr>
            <w:tcW w:w="1215" w:type="dxa"/>
            <w:vAlign w:val="center"/>
          </w:tcPr>
          <w:p w14:paraId="63BAB23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联系人</w:t>
            </w:r>
          </w:p>
        </w:tc>
        <w:tc>
          <w:tcPr>
            <w:tcW w:w="1275" w:type="dxa"/>
            <w:vAlign w:val="center"/>
          </w:tcPr>
          <w:p w14:paraId="04FAFB5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联系电话</w:t>
            </w:r>
          </w:p>
        </w:tc>
      </w:tr>
      <w:tr w14:paraId="323C2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808" w:type="dxa"/>
            <w:vAlign w:val="center"/>
          </w:tcPr>
          <w:p w14:paraId="350FD82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1</w:t>
            </w:r>
          </w:p>
        </w:tc>
        <w:tc>
          <w:tcPr>
            <w:tcW w:w="1167" w:type="dxa"/>
            <w:vAlign w:val="center"/>
          </w:tcPr>
          <w:p w14:paraId="0ADA55C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47" w:type="dxa"/>
            <w:vAlign w:val="center"/>
          </w:tcPr>
          <w:p w14:paraId="5332AB6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9" w:type="dxa"/>
            <w:vAlign w:val="center"/>
          </w:tcPr>
          <w:p w14:paraId="119A301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85" w:type="dxa"/>
            <w:vAlign w:val="center"/>
          </w:tcPr>
          <w:p w14:paraId="7A08738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99" w:type="dxa"/>
            <w:vAlign w:val="center"/>
          </w:tcPr>
          <w:p w14:paraId="7280D7E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5" w:type="dxa"/>
            <w:vAlign w:val="center"/>
          </w:tcPr>
          <w:p w14:paraId="3D4A8EB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75" w:type="dxa"/>
            <w:vAlign w:val="center"/>
          </w:tcPr>
          <w:p w14:paraId="5B5F33C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r>
      <w:tr w14:paraId="1DBFB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808" w:type="dxa"/>
            <w:vAlign w:val="center"/>
          </w:tcPr>
          <w:p w14:paraId="401E4FA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2</w:t>
            </w:r>
          </w:p>
        </w:tc>
        <w:tc>
          <w:tcPr>
            <w:tcW w:w="1167" w:type="dxa"/>
            <w:vAlign w:val="center"/>
          </w:tcPr>
          <w:p w14:paraId="118D22D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47" w:type="dxa"/>
            <w:vAlign w:val="center"/>
          </w:tcPr>
          <w:p w14:paraId="3426ED6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9" w:type="dxa"/>
            <w:vAlign w:val="center"/>
          </w:tcPr>
          <w:p w14:paraId="2B6E0A1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85" w:type="dxa"/>
            <w:vAlign w:val="center"/>
          </w:tcPr>
          <w:p w14:paraId="11C93DD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99" w:type="dxa"/>
            <w:vAlign w:val="center"/>
          </w:tcPr>
          <w:p w14:paraId="7889674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5" w:type="dxa"/>
            <w:vAlign w:val="center"/>
          </w:tcPr>
          <w:p w14:paraId="68354F2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75" w:type="dxa"/>
            <w:vAlign w:val="center"/>
          </w:tcPr>
          <w:p w14:paraId="38DFD17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r>
      <w:tr w14:paraId="5287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808" w:type="dxa"/>
            <w:vAlign w:val="center"/>
          </w:tcPr>
          <w:p w14:paraId="709FA09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3</w:t>
            </w:r>
          </w:p>
        </w:tc>
        <w:tc>
          <w:tcPr>
            <w:tcW w:w="1167" w:type="dxa"/>
            <w:vAlign w:val="center"/>
          </w:tcPr>
          <w:p w14:paraId="7DC7742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47" w:type="dxa"/>
            <w:vAlign w:val="center"/>
          </w:tcPr>
          <w:p w14:paraId="20A5BFC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9" w:type="dxa"/>
            <w:vAlign w:val="center"/>
          </w:tcPr>
          <w:p w14:paraId="1FA34EC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85" w:type="dxa"/>
            <w:vAlign w:val="center"/>
          </w:tcPr>
          <w:p w14:paraId="3011E3E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99" w:type="dxa"/>
            <w:vAlign w:val="center"/>
          </w:tcPr>
          <w:p w14:paraId="7E7B453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5" w:type="dxa"/>
            <w:vAlign w:val="center"/>
          </w:tcPr>
          <w:p w14:paraId="5B04A3C0">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75" w:type="dxa"/>
            <w:vAlign w:val="center"/>
          </w:tcPr>
          <w:p w14:paraId="287157D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r>
      <w:tr w14:paraId="5F214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808" w:type="dxa"/>
            <w:vAlign w:val="center"/>
          </w:tcPr>
          <w:p w14:paraId="2ADBAC3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4</w:t>
            </w:r>
          </w:p>
        </w:tc>
        <w:tc>
          <w:tcPr>
            <w:tcW w:w="1167" w:type="dxa"/>
            <w:vAlign w:val="center"/>
          </w:tcPr>
          <w:p w14:paraId="0A02D9E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47" w:type="dxa"/>
            <w:vAlign w:val="center"/>
          </w:tcPr>
          <w:p w14:paraId="4564730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9" w:type="dxa"/>
            <w:vAlign w:val="center"/>
          </w:tcPr>
          <w:p w14:paraId="4146BD0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85" w:type="dxa"/>
            <w:vAlign w:val="center"/>
          </w:tcPr>
          <w:p w14:paraId="1706F96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99" w:type="dxa"/>
            <w:vAlign w:val="center"/>
          </w:tcPr>
          <w:p w14:paraId="02FD7A8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5" w:type="dxa"/>
            <w:vAlign w:val="center"/>
          </w:tcPr>
          <w:p w14:paraId="792ADBB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75" w:type="dxa"/>
            <w:vAlign w:val="center"/>
          </w:tcPr>
          <w:p w14:paraId="641B182D">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r>
      <w:tr w14:paraId="17D5F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808" w:type="dxa"/>
            <w:vAlign w:val="center"/>
          </w:tcPr>
          <w:p w14:paraId="6CF389F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5</w:t>
            </w:r>
          </w:p>
        </w:tc>
        <w:tc>
          <w:tcPr>
            <w:tcW w:w="1167" w:type="dxa"/>
            <w:vAlign w:val="center"/>
          </w:tcPr>
          <w:p w14:paraId="236D9FB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47" w:type="dxa"/>
            <w:vAlign w:val="center"/>
          </w:tcPr>
          <w:p w14:paraId="431EAFE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9" w:type="dxa"/>
            <w:vAlign w:val="center"/>
          </w:tcPr>
          <w:p w14:paraId="0779257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85" w:type="dxa"/>
            <w:vAlign w:val="center"/>
          </w:tcPr>
          <w:p w14:paraId="59D179C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99" w:type="dxa"/>
            <w:vAlign w:val="center"/>
          </w:tcPr>
          <w:p w14:paraId="101DF57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5" w:type="dxa"/>
            <w:vAlign w:val="center"/>
          </w:tcPr>
          <w:p w14:paraId="062622E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75" w:type="dxa"/>
            <w:vAlign w:val="center"/>
          </w:tcPr>
          <w:p w14:paraId="7AACE07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r>
      <w:tr w14:paraId="0D663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808" w:type="dxa"/>
            <w:vAlign w:val="center"/>
          </w:tcPr>
          <w:p w14:paraId="2082602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3"/>
                <w:sz w:val="20"/>
                <w:szCs w:val="20"/>
                <w:highlight w:val="none"/>
              </w:rPr>
              <w:t>…</w:t>
            </w:r>
          </w:p>
        </w:tc>
        <w:tc>
          <w:tcPr>
            <w:tcW w:w="1167" w:type="dxa"/>
            <w:vAlign w:val="center"/>
          </w:tcPr>
          <w:p w14:paraId="2816386D">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47" w:type="dxa"/>
            <w:vAlign w:val="center"/>
          </w:tcPr>
          <w:p w14:paraId="4A3F50B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9" w:type="dxa"/>
            <w:vAlign w:val="center"/>
          </w:tcPr>
          <w:p w14:paraId="78A4CDF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85" w:type="dxa"/>
            <w:vAlign w:val="center"/>
          </w:tcPr>
          <w:p w14:paraId="7983ABA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99" w:type="dxa"/>
            <w:vAlign w:val="center"/>
          </w:tcPr>
          <w:p w14:paraId="4F72A9F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5" w:type="dxa"/>
            <w:vAlign w:val="center"/>
          </w:tcPr>
          <w:p w14:paraId="0E07251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75" w:type="dxa"/>
            <w:vAlign w:val="center"/>
          </w:tcPr>
          <w:p w14:paraId="017DC34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r>
    </w:tbl>
    <w:p w14:paraId="1EAD367B">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7659F56D">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16FA0DD7">
      <w:pPr>
        <w:pStyle w:val="15"/>
        <w:keepNext w:val="0"/>
        <w:keepLines w:val="0"/>
        <w:pageBreakBefore w:val="0"/>
        <w:widowControl/>
        <w:kinsoku/>
        <w:wordWrap w:val="0"/>
        <w:overflowPunct/>
        <w:topLinePunct/>
        <w:autoSpaceDE w:val="0"/>
        <w:autoSpaceDN w:val="0"/>
        <w:bidi w:val="0"/>
        <w:adjustRightInd w:val="0"/>
        <w:snapToGrid w:val="0"/>
        <w:spacing w:before="65" w:line="228" w:lineRule="auto"/>
        <w:ind w:left="16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注：投标人须按相关要求提供相应的中标（成交）通知书、采购合同等业绩证明资料。</w:t>
      </w:r>
    </w:p>
    <w:p w14:paraId="31D0E7A5">
      <w:pPr>
        <w:keepNext w:val="0"/>
        <w:keepLines w:val="0"/>
        <w:pageBreakBefore w:val="0"/>
        <w:widowControl/>
        <w:kinsoku/>
        <w:wordWrap w:val="0"/>
        <w:overflowPunct/>
        <w:topLinePunct/>
        <w:autoSpaceDE w:val="0"/>
        <w:autoSpaceDN w:val="0"/>
        <w:bidi w:val="0"/>
        <w:adjustRightInd w:val="0"/>
        <w:snapToGrid w:val="0"/>
        <w:spacing w:line="269" w:lineRule="auto"/>
        <w:jc w:val="both"/>
        <w:textAlignment w:val="baseline"/>
        <w:rPr>
          <w:rFonts w:hint="eastAsia" w:ascii="宋体" w:hAnsi="宋体" w:eastAsia="宋体" w:cs="宋体"/>
          <w:color w:val="auto"/>
          <w:sz w:val="21"/>
          <w:highlight w:val="none"/>
        </w:rPr>
      </w:pPr>
    </w:p>
    <w:p w14:paraId="0AF3FBB8">
      <w:pPr>
        <w:keepNext w:val="0"/>
        <w:keepLines w:val="0"/>
        <w:pageBreakBefore w:val="0"/>
        <w:widowControl/>
        <w:kinsoku/>
        <w:wordWrap w:val="0"/>
        <w:overflowPunct/>
        <w:topLinePunct/>
        <w:autoSpaceDE w:val="0"/>
        <w:autoSpaceDN w:val="0"/>
        <w:bidi w:val="0"/>
        <w:adjustRightInd w:val="0"/>
        <w:snapToGrid w:val="0"/>
        <w:spacing w:line="269" w:lineRule="auto"/>
        <w:jc w:val="both"/>
        <w:textAlignment w:val="baseline"/>
        <w:rPr>
          <w:rFonts w:hint="eastAsia" w:ascii="宋体" w:hAnsi="宋体" w:eastAsia="宋体" w:cs="宋体"/>
          <w:color w:val="auto"/>
          <w:sz w:val="21"/>
          <w:highlight w:val="none"/>
        </w:rPr>
      </w:pPr>
    </w:p>
    <w:p w14:paraId="0D50DC2E">
      <w:pPr>
        <w:keepNext w:val="0"/>
        <w:keepLines w:val="0"/>
        <w:pageBreakBefore w:val="0"/>
        <w:widowControl/>
        <w:kinsoku/>
        <w:wordWrap w:val="0"/>
        <w:overflowPunct/>
        <w:topLinePunct/>
        <w:autoSpaceDE w:val="0"/>
        <w:autoSpaceDN w:val="0"/>
        <w:bidi w:val="0"/>
        <w:adjustRightInd w:val="0"/>
        <w:snapToGrid w:val="0"/>
        <w:spacing w:line="269" w:lineRule="auto"/>
        <w:jc w:val="both"/>
        <w:textAlignment w:val="baseline"/>
        <w:rPr>
          <w:rFonts w:hint="eastAsia" w:ascii="宋体" w:hAnsi="宋体" w:eastAsia="宋体" w:cs="宋体"/>
          <w:color w:val="auto"/>
          <w:sz w:val="21"/>
          <w:highlight w:val="none"/>
        </w:rPr>
      </w:pPr>
    </w:p>
    <w:p w14:paraId="23759CE3">
      <w:pPr>
        <w:keepNext w:val="0"/>
        <w:keepLines w:val="0"/>
        <w:pageBreakBefore w:val="0"/>
        <w:widowControl/>
        <w:kinsoku/>
        <w:wordWrap w:val="0"/>
        <w:overflowPunct/>
        <w:topLinePunct/>
        <w:autoSpaceDE w:val="0"/>
        <w:autoSpaceDN w:val="0"/>
        <w:bidi w:val="0"/>
        <w:adjustRightInd w:val="0"/>
        <w:snapToGrid w:val="0"/>
        <w:spacing w:line="269" w:lineRule="auto"/>
        <w:jc w:val="both"/>
        <w:textAlignment w:val="baseline"/>
        <w:rPr>
          <w:rFonts w:hint="eastAsia" w:ascii="宋体" w:hAnsi="宋体" w:eastAsia="宋体" w:cs="宋体"/>
          <w:color w:val="auto"/>
          <w:sz w:val="21"/>
          <w:highlight w:val="none"/>
        </w:rPr>
      </w:pPr>
    </w:p>
    <w:p w14:paraId="3DC2C30F">
      <w:pPr>
        <w:keepNext w:val="0"/>
        <w:keepLines w:val="0"/>
        <w:pageBreakBefore w:val="0"/>
        <w:widowControl/>
        <w:kinsoku/>
        <w:wordWrap w:val="0"/>
        <w:overflowPunct/>
        <w:topLinePunct/>
        <w:autoSpaceDE w:val="0"/>
        <w:autoSpaceDN w:val="0"/>
        <w:bidi w:val="0"/>
        <w:adjustRightInd w:val="0"/>
        <w:snapToGrid w:val="0"/>
        <w:spacing w:line="269" w:lineRule="auto"/>
        <w:jc w:val="both"/>
        <w:textAlignment w:val="baseline"/>
        <w:rPr>
          <w:rFonts w:hint="eastAsia" w:ascii="宋体" w:hAnsi="宋体" w:eastAsia="宋体" w:cs="宋体"/>
          <w:color w:val="auto"/>
          <w:sz w:val="21"/>
          <w:highlight w:val="none"/>
        </w:rPr>
      </w:pPr>
    </w:p>
    <w:p w14:paraId="04F20C6E">
      <w:pPr>
        <w:keepNext w:val="0"/>
        <w:keepLines w:val="0"/>
        <w:pageBreakBefore w:val="0"/>
        <w:widowControl/>
        <w:kinsoku/>
        <w:wordWrap w:val="0"/>
        <w:overflowPunct/>
        <w:topLinePunct/>
        <w:autoSpaceDE w:val="0"/>
        <w:autoSpaceDN w:val="0"/>
        <w:bidi w:val="0"/>
        <w:adjustRightInd w:val="0"/>
        <w:snapToGrid w:val="0"/>
        <w:spacing w:line="269" w:lineRule="auto"/>
        <w:jc w:val="both"/>
        <w:textAlignment w:val="baseline"/>
        <w:rPr>
          <w:rFonts w:hint="eastAsia" w:ascii="宋体" w:hAnsi="宋体" w:eastAsia="宋体" w:cs="宋体"/>
          <w:color w:val="auto"/>
          <w:sz w:val="21"/>
          <w:highlight w:val="none"/>
        </w:rPr>
      </w:pPr>
    </w:p>
    <w:p w14:paraId="7AB5D6D0">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投标人名称（公章)：</w:t>
      </w:r>
    </w:p>
    <w:p w14:paraId="60D6BE7C">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日      期：</w:t>
      </w:r>
    </w:p>
    <w:p w14:paraId="4B66CDD6">
      <w:pPr>
        <w:keepNext w:val="0"/>
        <w:keepLines w:val="0"/>
        <w:pageBreakBefore w:val="0"/>
        <w:widowControl/>
        <w:kinsoku/>
        <w:wordWrap w:val="0"/>
        <w:overflowPunct/>
        <w:topLinePunct/>
        <w:autoSpaceDE w:val="0"/>
        <w:autoSpaceDN w:val="0"/>
        <w:bidi w:val="0"/>
        <w:adjustRightInd w:val="0"/>
        <w:snapToGrid w:val="0"/>
        <w:spacing w:line="221" w:lineRule="auto"/>
        <w:jc w:val="both"/>
        <w:textAlignment w:val="baseline"/>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7EA6E3F5">
      <w:pPr>
        <w:keepNext w:val="0"/>
        <w:keepLines w:val="0"/>
        <w:pageBreakBefore w:val="0"/>
        <w:widowControl/>
        <w:kinsoku/>
        <w:wordWrap w:val="0"/>
        <w:overflowPunct/>
        <w:topLinePunct/>
        <w:autoSpaceDE w:val="0"/>
        <w:autoSpaceDN w:val="0"/>
        <w:bidi w:val="0"/>
        <w:adjustRightInd w:val="0"/>
        <w:snapToGrid w:val="0"/>
        <w:spacing w:line="324" w:lineRule="auto"/>
        <w:jc w:val="both"/>
        <w:textAlignment w:val="baseline"/>
        <w:rPr>
          <w:rFonts w:hint="eastAsia" w:ascii="宋体" w:hAnsi="宋体" w:eastAsia="宋体" w:cs="宋体"/>
          <w:color w:val="auto"/>
          <w:sz w:val="21"/>
          <w:highlight w:val="none"/>
        </w:rPr>
      </w:pPr>
    </w:p>
    <w:p w14:paraId="473A8835">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407" w:name="_Toc31278"/>
      <w:bookmarkStart w:id="408" w:name="_Toc25390"/>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八</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拟派项目团队</w:t>
      </w:r>
      <w:bookmarkEnd w:id="407"/>
      <w:bookmarkEnd w:id="408"/>
    </w:p>
    <w:p w14:paraId="764A4C8B">
      <w:pPr>
        <w:keepNext w:val="0"/>
        <w:keepLines w:val="0"/>
        <w:pageBreakBefore w:val="0"/>
        <w:widowControl/>
        <w:kinsoku/>
        <w:wordWrap w:val="0"/>
        <w:overflowPunct/>
        <w:topLinePunct/>
        <w:autoSpaceDE w:val="0"/>
        <w:autoSpaceDN w:val="0"/>
        <w:bidi w:val="0"/>
        <w:adjustRightInd w:val="0"/>
        <w:snapToGrid w:val="0"/>
        <w:spacing w:line="192" w:lineRule="exact"/>
        <w:jc w:val="both"/>
        <w:textAlignment w:val="baseline"/>
        <w:rPr>
          <w:rFonts w:hint="eastAsia" w:ascii="宋体" w:hAnsi="宋体" w:eastAsia="宋体" w:cs="宋体"/>
          <w:color w:val="auto"/>
          <w:highlight w:val="none"/>
        </w:rPr>
      </w:pPr>
    </w:p>
    <w:tbl>
      <w:tblPr>
        <w:tblStyle w:val="165"/>
        <w:tblW w:w="96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1118"/>
        <w:gridCol w:w="1542"/>
        <w:gridCol w:w="1122"/>
        <w:gridCol w:w="835"/>
        <w:gridCol w:w="1932"/>
        <w:gridCol w:w="1408"/>
        <w:gridCol w:w="989"/>
      </w:tblGrid>
      <w:tr w14:paraId="34FB6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jc w:val="center"/>
        </w:trPr>
        <w:tc>
          <w:tcPr>
            <w:tcW w:w="670" w:type="dxa"/>
            <w:vAlign w:val="center"/>
          </w:tcPr>
          <w:p w14:paraId="646EDE5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序号</w:t>
            </w:r>
          </w:p>
        </w:tc>
        <w:tc>
          <w:tcPr>
            <w:tcW w:w="1118" w:type="dxa"/>
            <w:vAlign w:val="center"/>
          </w:tcPr>
          <w:p w14:paraId="67525E71">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团队成员</w:t>
            </w:r>
          </w:p>
          <w:p w14:paraId="7B4254B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姓名</w:t>
            </w:r>
          </w:p>
        </w:tc>
        <w:tc>
          <w:tcPr>
            <w:tcW w:w="1542" w:type="dxa"/>
            <w:vAlign w:val="center"/>
          </w:tcPr>
          <w:p w14:paraId="45A9F0F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工作单位</w:t>
            </w:r>
          </w:p>
        </w:tc>
        <w:tc>
          <w:tcPr>
            <w:tcW w:w="1122" w:type="dxa"/>
            <w:vAlign w:val="center"/>
          </w:tcPr>
          <w:p w14:paraId="75630B8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身份证号</w:t>
            </w:r>
          </w:p>
        </w:tc>
        <w:tc>
          <w:tcPr>
            <w:tcW w:w="835" w:type="dxa"/>
            <w:vAlign w:val="center"/>
          </w:tcPr>
          <w:p w14:paraId="0DA4AC1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职称</w:t>
            </w:r>
          </w:p>
        </w:tc>
        <w:tc>
          <w:tcPr>
            <w:tcW w:w="1932" w:type="dxa"/>
            <w:vAlign w:val="center"/>
          </w:tcPr>
          <w:p w14:paraId="503D437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注册证书（岗位证</w:t>
            </w:r>
            <w:r>
              <w:rPr>
                <w:rFonts w:hint="eastAsia" w:ascii="宋体" w:hAnsi="宋体" w:eastAsia="宋体" w:cs="宋体"/>
                <w:color w:val="auto"/>
                <w:spacing w:val="8"/>
                <w:sz w:val="20"/>
                <w:szCs w:val="20"/>
                <w:highlight w:val="none"/>
              </w:rPr>
              <w:t>书）名称及编号</w:t>
            </w:r>
          </w:p>
        </w:tc>
        <w:tc>
          <w:tcPr>
            <w:tcW w:w="1408" w:type="dxa"/>
            <w:vAlign w:val="center"/>
          </w:tcPr>
          <w:p w14:paraId="1093A1B1">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在团队中职</w:t>
            </w:r>
            <w:r>
              <w:rPr>
                <w:rFonts w:hint="eastAsia" w:ascii="宋体" w:hAnsi="宋体" w:eastAsia="宋体" w:cs="宋体"/>
                <w:color w:val="auto"/>
                <w:spacing w:val="5"/>
                <w:sz w:val="20"/>
                <w:szCs w:val="20"/>
                <w:highlight w:val="none"/>
              </w:rPr>
              <w:t>务（岗位）</w:t>
            </w:r>
          </w:p>
        </w:tc>
        <w:tc>
          <w:tcPr>
            <w:tcW w:w="989" w:type="dxa"/>
            <w:vAlign w:val="center"/>
          </w:tcPr>
          <w:p w14:paraId="3E3EB233">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自有/</w:t>
            </w:r>
            <w:r>
              <w:rPr>
                <w:rFonts w:hint="eastAsia" w:ascii="宋体" w:hAnsi="宋体" w:eastAsia="宋体" w:cs="宋体"/>
                <w:color w:val="auto"/>
                <w:spacing w:val="2"/>
                <w:sz w:val="20"/>
                <w:szCs w:val="20"/>
                <w:highlight w:val="none"/>
              </w:rPr>
              <w:t>外聘</w:t>
            </w:r>
          </w:p>
        </w:tc>
      </w:tr>
      <w:tr w14:paraId="010B1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670" w:type="dxa"/>
            <w:vAlign w:val="center"/>
          </w:tcPr>
          <w:p w14:paraId="388B9F2E">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1</w:t>
            </w:r>
          </w:p>
        </w:tc>
        <w:tc>
          <w:tcPr>
            <w:tcW w:w="1118" w:type="dxa"/>
            <w:vAlign w:val="center"/>
          </w:tcPr>
          <w:p w14:paraId="36A1341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0953F61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51DD917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6FE9ABA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32B07A9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2571BEE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2F74C13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69978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670" w:type="dxa"/>
            <w:vAlign w:val="center"/>
          </w:tcPr>
          <w:p w14:paraId="3D685F33">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2</w:t>
            </w:r>
          </w:p>
        </w:tc>
        <w:tc>
          <w:tcPr>
            <w:tcW w:w="1118" w:type="dxa"/>
            <w:vAlign w:val="center"/>
          </w:tcPr>
          <w:p w14:paraId="318DA1A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0B032EC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212D28B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6CCB943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43FD13C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14BD2C7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6C191770">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5583F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70" w:type="dxa"/>
            <w:vAlign w:val="center"/>
          </w:tcPr>
          <w:p w14:paraId="5FA401C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3</w:t>
            </w:r>
          </w:p>
        </w:tc>
        <w:tc>
          <w:tcPr>
            <w:tcW w:w="1118" w:type="dxa"/>
            <w:vAlign w:val="center"/>
          </w:tcPr>
          <w:p w14:paraId="11E53D4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4940796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67A3ABF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5BAED72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7F7F4A0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714758F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02C2E44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2FF60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70" w:type="dxa"/>
            <w:vAlign w:val="center"/>
          </w:tcPr>
          <w:p w14:paraId="3C0323E4">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4</w:t>
            </w:r>
          </w:p>
        </w:tc>
        <w:tc>
          <w:tcPr>
            <w:tcW w:w="1118" w:type="dxa"/>
            <w:vAlign w:val="center"/>
          </w:tcPr>
          <w:p w14:paraId="1661A87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46AEABF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296A9A2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2960F17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286422D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5646457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2D5D9C7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1EC8B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670" w:type="dxa"/>
            <w:vAlign w:val="center"/>
          </w:tcPr>
          <w:p w14:paraId="0CF4A5DB">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5</w:t>
            </w:r>
          </w:p>
        </w:tc>
        <w:tc>
          <w:tcPr>
            <w:tcW w:w="1118" w:type="dxa"/>
            <w:vAlign w:val="center"/>
          </w:tcPr>
          <w:p w14:paraId="2867292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2CFA3E6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12E968E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751A83B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520877B0">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3FE5B20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797EC6E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5DFA7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70" w:type="dxa"/>
            <w:vAlign w:val="center"/>
          </w:tcPr>
          <w:p w14:paraId="219C9B9E">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6</w:t>
            </w:r>
          </w:p>
        </w:tc>
        <w:tc>
          <w:tcPr>
            <w:tcW w:w="1118" w:type="dxa"/>
            <w:vAlign w:val="center"/>
          </w:tcPr>
          <w:p w14:paraId="576E78E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2F98057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6E44BB4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5AA5184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07C04AA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6E77A5B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3D19D4F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720A2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670" w:type="dxa"/>
            <w:vAlign w:val="center"/>
          </w:tcPr>
          <w:p w14:paraId="058BE163">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7</w:t>
            </w:r>
          </w:p>
        </w:tc>
        <w:tc>
          <w:tcPr>
            <w:tcW w:w="1118" w:type="dxa"/>
            <w:vAlign w:val="center"/>
          </w:tcPr>
          <w:p w14:paraId="7CB24E3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564743F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736E9A8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2F99354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563BAC8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6FD4EEB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18F4475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789F0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70" w:type="dxa"/>
            <w:vAlign w:val="center"/>
          </w:tcPr>
          <w:p w14:paraId="682B37D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8</w:t>
            </w:r>
          </w:p>
        </w:tc>
        <w:tc>
          <w:tcPr>
            <w:tcW w:w="1118" w:type="dxa"/>
            <w:vAlign w:val="center"/>
          </w:tcPr>
          <w:p w14:paraId="67DE028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5971BB4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5D588D1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65381AC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246828E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2F75391D">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579DF83D">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7836E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70" w:type="dxa"/>
            <w:vAlign w:val="center"/>
          </w:tcPr>
          <w:p w14:paraId="7568EB2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9</w:t>
            </w:r>
          </w:p>
        </w:tc>
        <w:tc>
          <w:tcPr>
            <w:tcW w:w="1118" w:type="dxa"/>
            <w:vAlign w:val="center"/>
          </w:tcPr>
          <w:p w14:paraId="6ADDB40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5942274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1C4C327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3360D3E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76D9BD4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75FF348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2474D57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1BCE0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jc w:val="center"/>
        </w:trPr>
        <w:tc>
          <w:tcPr>
            <w:tcW w:w="670" w:type="dxa"/>
            <w:vAlign w:val="center"/>
          </w:tcPr>
          <w:p w14:paraId="72F37F8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position w:val="1"/>
                <w:sz w:val="20"/>
                <w:szCs w:val="20"/>
                <w:highlight w:val="none"/>
              </w:rPr>
              <w:t>10</w:t>
            </w:r>
          </w:p>
        </w:tc>
        <w:tc>
          <w:tcPr>
            <w:tcW w:w="1118" w:type="dxa"/>
            <w:vAlign w:val="center"/>
          </w:tcPr>
          <w:p w14:paraId="63EB1C9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36F846FD">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640ECF90">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4AEDE35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0D84984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56B3B4E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268ACD3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bl>
    <w:p w14:paraId="0D722AC7">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highlight w:val="none"/>
        </w:rPr>
      </w:pPr>
    </w:p>
    <w:p w14:paraId="2A8A81C0">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szCs w:val="21"/>
          <w:highlight w:val="none"/>
        </w:rPr>
        <w:sectPr>
          <w:pgSz w:w="11905" w:h="16838"/>
          <w:pgMar w:top="1134" w:right="1134" w:bottom="1134" w:left="1134" w:header="737" w:footer="737" w:gutter="0"/>
          <w:pgNumType w:fmt="numberInDash"/>
          <w:cols w:space="0" w:num="1"/>
          <w:rtlGutter w:val="0"/>
          <w:docGrid w:linePitch="0" w:charSpace="0"/>
        </w:sectPr>
      </w:pPr>
    </w:p>
    <w:p w14:paraId="28CB8D75">
      <w:pPr>
        <w:keepNext w:val="0"/>
        <w:keepLines w:val="0"/>
        <w:pageBreakBefore w:val="0"/>
        <w:widowControl/>
        <w:kinsoku/>
        <w:wordWrap w:val="0"/>
        <w:overflowPunct/>
        <w:topLinePunct/>
        <w:autoSpaceDE w:val="0"/>
        <w:autoSpaceDN w:val="0"/>
        <w:bidi w:val="0"/>
        <w:adjustRightInd w:val="0"/>
        <w:snapToGrid w:val="0"/>
        <w:spacing w:line="325" w:lineRule="auto"/>
        <w:jc w:val="both"/>
        <w:textAlignment w:val="baseline"/>
        <w:rPr>
          <w:rFonts w:hint="eastAsia" w:ascii="宋体" w:hAnsi="宋体" w:eastAsia="宋体" w:cs="宋体"/>
          <w:color w:val="auto"/>
          <w:sz w:val="21"/>
          <w:highlight w:val="none"/>
        </w:rPr>
      </w:pPr>
    </w:p>
    <w:p w14:paraId="58C37CC9">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409" w:name="_Toc2226"/>
      <w:bookmarkStart w:id="410" w:name="_Toc5416"/>
      <w:bookmarkStart w:id="411" w:name="_Toc29878"/>
      <w:bookmarkStart w:id="412" w:name="_Toc4383"/>
      <w:bookmarkStart w:id="413" w:name="_Toc31383"/>
      <w:bookmarkStart w:id="414" w:name="_Toc8028"/>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eastAsia="zh-CN"/>
        </w:rPr>
        <w:t>）所投产品的相关技术、证明资料</w:t>
      </w:r>
      <w:bookmarkEnd w:id="409"/>
      <w:bookmarkEnd w:id="410"/>
      <w:bookmarkEnd w:id="411"/>
      <w:bookmarkEnd w:id="412"/>
    </w:p>
    <w:p w14:paraId="03FF346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提供所投产品</w:t>
      </w:r>
      <w:r>
        <w:rPr>
          <w:rFonts w:hint="eastAsia" w:ascii="宋体" w:hAnsi="宋体" w:eastAsia="宋体" w:cs="宋体"/>
          <w:color w:val="auto"/>
          <w:sz w:val="24"/>
          <w:szCs w:val="24"/>
          <w:highlight w:val="none"/>
          <w:lang w:eastAsia="zh-CN"/>
        </w:rPr>
        <w:t>检测报告</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szCs w:val="24"/>
          <w:highlight w:val="none"/>
          <w:lang w:val="en-US" w:eastAsia="zh-CN"/>
        </w:rPr>
        <w:t>技术白皮书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彩页</w:t>
      </w:r>
      <w:r>
        <w:rPr>
          <w:rFonts w:hint="eastAsia" w:ascii="宋体" w:hAnsi="宋体" w:cs="宋体"/>
          <w:color w:val="auto"/>
          <w:sz w:val="24"/>
          <w:szCs w:val="24"/>
          <w:highlight w:val="none"/>
          <w:lang w:val="en-US" w:eastAsia="zh-CN"/>
        </w:rPr>
        <w:t>/说明书</w:t>
      </w:r>
      <w:r>
        <w:rPr>
          <w:rFonts w:hint="eastAsia" w:ascii="宋体" w:hAnsi="宋体" w:eastAsia="宋体" w:cs="宋体"/>
          <w:color w:val="auto"/>
          <w:sz w:val="24"/>
          <w:szCs w:val="24"/>
          <w:highlight w:val="none"/>
          <w:lang w:val="en-US" w:eastAsia="zh-CN"/>
        </w:rPr>
        <w:t>等</w:t>
      </w:r>
      <w:r>
        <w:rPr>
          <w:rFonts w:hint="eastAsia" w:ascii="宋体" w:hAnsi="宋体" w:cs="宋体"/>
          <w:color w:val="auto"/>
          <w:sz w:val="24"/>
          <w:szCs w:val="24"/>
          <w:highlight w:val="none"/>
          <w:lang w:val="en-US" w:eastAsia="zh-CN"/>
        </w:rPr>
        <w:t>佐证资料</w:t>
      </w:r>
      <w:r>
        <w:rPr>
          <w:rFonts w:hint="eastAsia" w:ascii="宋体" w:hAnsi="宋体" w:eastAsia="宋体" w:cs="宋体"/>
          <w:color w:val="auto"/>
          <w:sz w:val="24"/>
          <w:szCs w:val="24"/>
          <w:highlight w:val="none"/>
          <w:lang w:eastAsia="zh-CN"/>
        </w:rPr>
        <w:t>）</w:t>
      </w:r>
    </w:p>
    <w:p w14:paraId="33E5BF0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295286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47E7D76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4987EB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62CFD9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7F1711E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336CB73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22A75A7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00EC022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3F3A2FF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64BA74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73E324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29E55B8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275B4E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C06EF3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AE694B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28B8BAB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E9BABA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292891D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218CC7C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21BD5DA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3B02E8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0293873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A2B87C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5A647E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E0E3ED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BA4430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B03FFC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0C54169B">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415" w:name="_Toc1351"/>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技术响应偏离表</w:t>
      </w:r>
      <w:bookmarkEnd w:id="413"/>
      <w:bookmarkEnd w:id="414"/>
      <w:bookmarkEnd w:id="415"/>
    </w:p>
    <w:p w14:paraId="446207F2">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125"/>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rPr>
        <w:t>项目名称：</w:t>
      </w:r>
      <w:r>
        <w:rPr>
          <w:rFonts w:hint="eastAsia" w:cs="宋体"/>
          <w:color w:val="auto"/>
          <w:spacing w:val="-3"/>
          <w:sz w:val="24"/>
          <w:szCs w:val="24"/>
          <w:highlight w:val="none"/>
          <w:u w:val="single"/>
          <w:lang w:val="en-US" w:eastAsia="zh-CN"/>
        </w:rPr>
        <w:t xml:space="preserve">                         </w:t>
      </w:r>
    </w:p>
    <w:p w14:paraId="47F25A7D">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12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项目编号/包号：</w:t>
      </w:r>
      <w:r>
        <w:rPr>
          <w:rFonts w:hint="eastAsia" w:cs="宋体"/>
          <w:color w:val="auto"/>
          <w:spacing w:val="-3"/>
          <w:sz w:val="24"/>
          <w:szCs w:val="24"/>
          <w:highlight w:val="none"/>
          <w:u w:val="single"/>
          <w:lang w:val="en-US" w:eastAsia="zh-CN"/>
        </w:rPr>
        <w:t xml:space="preserve">                         </w:t>
      </w:r>
    </w:p>
    <w:tbl>
      <w:tblPr>
        <w:tblStyle w:val="16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2345"/>
        <w:gridCol w:w="2358"/>
        <w:gridCol w:w="2328"/>
        <w:gridCol w:w="1837"/>
      </w:tblGrid>
      <w:tr w14:paraId="08793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jc w:val="center"/>
        </w:trPr>
        <w:tc>
          <w:tcPr>
            <w:tcW w:w="789" w:type="dxa"/>
            <w:vAlign w:val="center"/>
          </w:tcPr>
          <w:p w14:paraId="5E87817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序号</w:t>
            </w:r>
          </w:p>
        </w:tc>
        <w:tc>
          <w:tcPr>
            <w:tcW w:w="2345" w:type="dxa"/>
            <w:vAlign w:val="center"/>
          </w:tcPr>
          <w:p w14:paraId="33C4333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招标文件技术</w:t>
            </w:r>
            <w:r>
              <w:rPr>
                <w:rFonts w:hint="eastAsia" w:ascii="宋体" w:hAnsi="宋体" w:eastAsia="宋体" w:cs="宋体"/>
                <w:color w:val="auto"/>
                <w:spacing w:val="7"/>
                <w:sz w:val="20"/>
                <w:szCs w:val="20"/>
                <w:highlight w:val="none"/>
              </w:rPr>
              <w:t>要求条款</w:t>
            </w:r>
          </w:p>
        </w:tc>
        <w:tc>
          <w:tcPr>
            <w:tcW w:w="2358" w:type="dxa"/>
            <w:vAlign w:val="center"/>
          </w:tcPr>
          <w:p w14:paraId="5BE9074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投标文件内容对应简述</w:t>
            </w:r>
          </w:p>
        </w:tc>
        <w:tc>
          <w:tcPr>
            <w:tcW w:w="2328" w:type="dxa"/>
            <w:vAlign w:val="center"/>
          </w:tcPr>
          <w:p w14:paraId="37BFA5E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响应情况</w:t>
            </w:r>
          </w:p>
        </w:tc>
        <w:tc>
          <w:tcPr>
            <w:tcW w:w="1837" w:type="dxa"/>
            <w:vAlign w:val="center"/>
          </w:tcPr>
          <w:p w14:paraId="22C269FB">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证明资料及索引</w:t>
            </w:r>
          </w:p>
          <w:p w14:paraId="20D417A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default" w:ascii="宋体" w:hAnsi="宋体" w:eastAsia="宋体" w:cs="宋体"/>
                <w:color w:val="auto"/>
                <w:spacing w:val="8"/>
                <w:sz w:val="20"/>
                <w:szCs w:val="20"/>
                <w:highlight w:val="none"/>
                <w:lang w:val="en-US" w:eastAsia="zh-CN"/>
              </w:rPr>
            </w:pPr>
            <w:r>
              <w:rPr>
                <w:rFonts w:hint="eastAsia" w:cs="宋体"/>
                <w:color w:val="auto"/>
                <w:spacing w:val="8"/>
                <w:sz w:val="20"/>
                <w:szCs w:val="20"/>
                <w:highlight w:val="none"/>
                <w:lang w:val="en-US" w:eastAsia="zh-CN"/>
              </w:rPr>
              <w:t>对应页码</w:t>
            </w:r>
          </w:p>
        </w:tc>
      </w:tr>
      <w:tr w14:paraId="2A63B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789" w:type="dxa"/>
            <w:vAlign w:val="center"/>
          </w:tcPr>
          <w:p w14:paraId="7DB3EDF3">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1</w:t>
            </w:r>
          </w:p>
        </w:tc>
        <w:tc>
          <w:tcPr>
            <w:tcW w:w="2345" w:type="dxa"/>
            <w:vAlign w:val="center"/>
          </w:tcPr>
          <w:p w14:paraId="3BFF2C54">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position w:val="1"/>
                <w:sz w:val="20"/>
                <w:szCs w:val="20"/>
                <w:highlight w:val="none"/>
              </w:rPr>
              <w:t>********</w:t>
            </w:r>
          </w:p>
        </w:tc>
        <w:tc>
          <w:tcPr>
            <w:tcW w:w="2358" w:type="dxa"/>
            <w:vAlign w:val="center"/>
          </w:tcPr>
          <w:p w14:paraId="72B41CB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3"/>
                <w:position w:val="1"/>
                <w:sz w:val="20"/>
                <w:szCs w:val="20"/>
                <w:highlight w:val="none"/>
              </w:rPr>
              <w:t>******</w:t>
            </w:r>
          </w:p>
        </w:tc>
        <w:tc>
          <w:tcPr>
            <w:tcW w:w="2328" w:type="dxa"/>
            <w:vAlign w:val="center"/>
          </w:tcPr>
          <w:p w14:paraId="412AFED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cs="宋体"/>
                <w:color w:val="auto"/>
                <w:spacing w:val="6"/>
                <w:sz w:val="20"/>
                <w:szCs w:val="20"/>
                <w:highlight w:val="none"/>
                <w:lang w:val="en-US" w:eastAsia="zh-CN"/>
              </w:rPr>
              <w:t>无偏离</w:t>
            </w:r>
            <w:r>
              <w:rPr>
                <w:rFonts w:hint="eastAsia" w:ascii="宋体" w:hAnsi="宋体" w:eastAsia="宋体" w:cs="宋体"/>
                <w:color w:val="auto"/>
                <w:spacing w:val="6"/>
                <w:sz w:val="20"/>
                <w:szCs w:val="20"/>
                <w:highlight w:val="none"/>
              </w:rPr>
              <w:t>/正偏离/负偏离</w:t>
            </w:r>
          </w:p>
        </w:tc>
        <w:tc>
          <w:tcPr>
            <w:tcW w:w="1837" w:type="dxa"/>
            <w:vAlign w:val="center"/>
          </w:tcPr>
          <w:p w14:paraId="3338A44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63F43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789" w:type="dxa"/>
            <w:vAlign w:val="center"/>
          </w:tcPr>
          <w:p w14:paraId="5E331BA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2</w:t>
            </w:r>
          </w:p>
        </w:tc>
        <w:tc>
          <w:tcPr>
            <w:tcW w:w="2345" w:type="dxa"/>
            <w:vAlign w:val="center"/>
          </w:tcPr>
          <w:p w14:paraId="59216B1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position w:val="1"/>
                <w:sz w:val="20"/>
                <w:szCs w:val="20"/>
                <w:highlight w:val="none"/>
              </w:rPr>
              <w:t>********</w:t>
            </w:r>
          </w:p>
        </w:tc>
        <w:tc>
          <w:tcPr>
            <w:tcW w:w="2358" w:type="dxa"/>
            <w:vAlign w:val="center"/>
          </w:tcPr>
          <w:p w14:paraId="11F129F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3"/>
                <w:position w:val="1"/>
                <w:sz w:val="20"/>
                <w:szCs w:val="20"/>
                <w:highlight w:val="none"/>
              </w:rPr>
              <w:t>******</w:t>
            </w:r>
          </w:p>
        </w:tc>
        <w:tc>
          <w:tcPr>
            <w:tcW w:w="2328" w:type="dxa"/>
            <w:vAlign w:val="center"/>
          </w:tcPr>
          <w:p w14:paraId="387EA0E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cs="宋体"/>
                <w:color w:val="auto"/>
                <w:spacing w:val="6"/>
                <w:sz w:val="20"/>
                <w:szCs w:val="20"/>
                <w:highlight w:val="none"/>
                <w:lang w:val="en-US" w:eastAsia="zh-CN"/>
              </w:rPr>
              <w:t>无偏离</w:t>
            </w:r>
            <w:r>
              <w:rPr>
                <w:rFonts w:hint="eastAsia" w:ascii="宋体" w:hAnsi="宋体" w:eastAsia="宋体" w:cs="宋体"/>
                <w:color w:val="auto"/>
                <w:spacing w:val="6"/>
                <w:sz w:val="20"/>
                <w:szCs w:val="20"/>
                <w:highlight w:val="none"/>
              </w:rPr>
              <w:t>/正偏离/负偏离</w:t>
            </w:r>
          </w:p>
        </w:tc>
        <w:tc>
          <w:tcPr>
            <w:tcW w:w="1837" w:type="dxa"/>
            <w:vAlign w:val="center"/>
          </w:tcPr>
          <w:p w14:paraId="45A1BEC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7FCF1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89" w:type="dxa"/>
            <w:vAlign w:val="center"/>
          </w:tcPr>
          <w:p w14:paraId="21CF048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w:t>
            </w:r>
          </w:p>
        </w:tc>
        <w:tc>
          <w:tcPr>
            <w:tcW w:w="2345" w:type="dxa"/>
            <w:vAlign w:val="center"/>
          </w:tcPr>
          <w:p w14:paraId="13F5B42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5B44382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26D47E2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665FBAB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64140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789" w:type="dxa"/>
            <w:vAlign w:val="center"/>
          </w:tcPr>
          <w:p w14:paraId="3094A81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45" w:type="dxa"/>
            <w:vAlign w:val="center"/>
          </w:tcPr>
          <w:p w14:paraId="67D0EB5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068C3D6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52840C5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106B108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690BD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89" w:type="dxa"/>
            <w:vAlign w:val="center"/>
          </w:tcPr>
          <w:p w14:paraId="43A7351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45" w:type="dxa"/>
            <w:vAlign w:val="center"/>
          </w:tcPr>
          <w:p w14:paraId="60EA850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0713FC7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3769F260">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7085490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02A12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789" w:type="dxa"/>
            <w:vAlign w:val="center"/>
          </w:tcPr>
          <w:p w14:paraId="2D33900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45" w:type="dxa"/>
            <w:vAlign w:val="center"/>
          </w:tcPr>
          <w:p w14:paraId="55CE84E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15067BCD">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359513D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3BB77B9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210C4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89" w:type="dxa"/>
            <w:vAlign w:val="center"/>
          </w:tcPr>
          <w:p w14:paraId="2F1A91D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45" w:type="dxa"/>
            <w:vAlign w:val="center"/>
          </w:tcPr>
          <w:p w14:paraId="3B066600">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6D87C36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66A3DB0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68D00BB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20B07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89" w:type="dxa"/>
            <w:vAlign w:val="center"/>
          </w:tcPr>
          <w:p w14:paraId="78DCCB7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45" w:type="dxa"/>
            <w:vAlign w:val="center"/>
          </w:tcPr>
          <w:p w14:paraId="25CA70B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51FE716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3530AAD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3899715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2521E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89" w:type="dxa"/>
            <w:vAlign w:val="center"/>
          </w:tcPr>
          <w:p w14:paraId="753C4F4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45" w:type="dxa"/>
            <w:vAlign w:val="center"/>
          </w:tcPr>
          <w:p w14:paraId="0F3DBCC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00B74F5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0E34A03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3AFB403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1A6FA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89" w:type="dxa"/>
            <w:vAlign w:val="center"/>
          </w:tcPr>
          <w:p w14:paraId="433ACD2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45" w:type="dxa"/>
            <w:vAlign w:val="center"/>
          </w:tcPr>
          <w:p w14:paraId="43AC6D2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5CC82CA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783F2A6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14D4131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5AE09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789" w:type="dxa"/>
            <w:vAlign w:val="center"/>
          </w:tcPr>
          <w:p w14:paraId="7BF80BB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2"/>
                <w:position w:val="3"/>
                <w:sz w:val="20"/>
                <w:szCs w:val="20"/>
                <w:highlight w:val="none"/>
              </w:rPr>
              <w:t>……</w:t>
            </w:r>
          </w:p>
        </w:tc>
        <w:tc>
          <w:tcPr>
            <w:tcW w:w="2345" w:type="dxa"/>
            <w:vAlign w:val="center"/>
          </w:tcPr>
          <w:p w14:paraId="73E04151">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position w:val="3"/>
                <w:sz w:val="20"/>
                <w:szCs w:val="20"/>
                <w:highlight w:val="none"/>
              </w:rPr>
              <w:t>…………</w:t>
            </w:r>
          </w:p>
        </w:tc>
        <w:tc>
          <w:tcPr>
            <w:tcW w:w="2358" w:type="dxa"/>
            <w:vAlign w:val="center"/>
          </w:tcPr>
          <w:p w14:paraId="600FA81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position w:val="3"/>
                <w:sz w:val="20"/>
                <w:szCs w:val="20"/>
                <w:highlight w:val="none"/>
              </w:rPr>
              <w:t>………………</w:t>
            </w:r>
          </w:p>
        </w:tc>
        <w:tc>
          <w:tcPr>
            <w:tcW w:w="2328" w:type="dxa"/>
            <w:vAlign w:val="center"/>
          </w:tcPr>
          <w:p w14:paraId="664982B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position w:val="3"/>
                <w:sz w:val="20"/>
                <w:szCs w:val="20"/>
                <w:highlight w:val="none"/>
              </w:rPr>
              <w:t>…………</w:t>
            </w:r>
          </w:p>
        </w:tc>
        <w:tc>
          <w:tcPr>
            <w:tcW w:w="1837" w:type="dxa"/>
            <w:vAlign w:val="center"/>
          </w:tcPr>
          <w:p w14:paraId="1D733500">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bl>
    <w:p w14:paraId="7F27BB25">
      <w:pPr>
        <w:keepNext w:val="0"/>
        <w:keepLines w:val="0"/>
        <w:pageBreakBefore w:val="0"/>
        <w:widowControl/>
        <w:kinsoku/>
        <w:wordWrap w:val="0"/>
        <w:overflowPunct/>
        <w:topLinePunct/>
        <w:autoSpaceDE w:val="0"/>
        <w:autoSpaceDN w:val="0"/>
        <w:bidi w:val="0"/>
        <w:adjustRightInd w:val="0"/>
        <w:snapToGrid w:val="0"/>
        <w:spacing w:line="264" w:lineRule="auto"/>
        <w:jc w:val="both"/>
        <w:textAlignment w:val="baseline"/>
        <w:rPr>
          <w:rFonts w:hint="eastAsia" w:ascii="宋体" w:hAnsi="宋体" w:eastAsia="宋体" w:cs="宋体"/>
          <w:color w:val="auto"/>
          <w:sz w:val="21"/>
          <w:highlight w:val="none"/>
        </w:rPr>
      </w:pPr>
    </w:p>
    <w:p w14:paraId="615F1226">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6E45194C">
      <w:pPr>
        <w:pStyle w:val="15"/>
        <w:keepNext w:val="0"/>
        <w:keepLines w:val="0"/>
        <w:pageBreakBefore w:val="0"/>
        <w:widowControl/>
        <w:kinsoku/>
        <w:wordWrap w:val="0"/>
        <w:overflowPunct/>
        <w:topLinePunct/>
        <w:autoSpaceDE w:val="0"/>
        <w:autoSpaceDN w:val="0"/>
        <w:bidi w:val="0"/>
        <w:adjustRightInd w:val="0"/>
        <w:snapToGrid w:val="0"/>
        <w:spacing w:before="65" w:line="433" w:lineRule="auto"/>
        <w:ind w:left="120" w:right="111" w:firstLine="423"/>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说明：投标人应按照招标文件“第三章采购需求”中的技术要求填写，“</w:t>
      </w:r>
      <w:r>
        <w:rPr>
          <w:rFonts w:hint="eastAsia" w:cs="宋体"/>
          <w:color w:val="auto"/>
          <w:spacing w:val="6"/>
          <w:sz w:val="20"/>
          <w:szCs w:val="20"/>
          <w:highlight w:val="none"/>
          <w:lang w:val="en-US" w:eastAsia="zh-CN"/>
        </w:rPr>
        <w:t>无偏离</w:t>
      </w:r>
      <w:r>
        <w:rPr>
          <w:rFonts w:hint="eastAsia" w:ascii="宋体" w:hAnsi="宋体" w:eastAsia="宋体" w:cs="宋体"/>
          <w:color w:val="auto"/>
          <w:spacing w:val="6"/>
          <w:sz w:val="20"/>
          <w:szCs w:val="20"/>
          <w:highlight w:val="none"/>
        </w:rPr>
        <w:t>/正偏离/负偏离”应据实填写“</w:t>
      </w:r>
      <w:r>
        <w:rPr>
          <w:rFonts w:hint="eastAsia" w:cs="宋体"/>
          <w:color w:val="auto"/>
          <w:spacing w:val="6"/>
          <w:sz w:val="20"/>
          <w:szCs w:val="20"/>
          <w:highlight w:val="none"/>
          <w:lang w:val="en-US" w:eastAsia="zh-CN"/>
        </w:rPr>
        <w:t>无偏离</w:t>
      </w:r>
      <w:r>
        <w:rPr>
          <w:rFonts w:hint="eastAsia" w:ascii="宋体" w:hAnsi="宋体" w:eastAsia="宋体" w:cs="宋体"/>
          <w:color w:val="auto"/>
          <w:spacing w:val="6"/>
          <w:sz w:val="20"/>
          <w:szCs w:val="20"/>
          <w:highlight w:val="none"/>
        </w:rPr>
        <w:t>”</w:t>
      </w:r>
      <w:r>
        <w:rPr>
          <w:rFonts w:hint="eastAsia" w:cs="宋体"/>
          <w:color w:val="auto"/>
          <w:spacing w:val="6"/>
          <w:sz w:val="20"/>
          <w:szCs w:val="20"/>
          <w:highlight w:val="none"/>
          <w:lang w:val="en-US" w:eastAsia="zh-CN"/>
        </w:rPr>
        <w:t>或</w:t>
      </w:r>
      <w:r>
        <w:rPr>
          <w:rFonts w:hint="eastAsia" w:ascii="宋体" w:hAnsi="宋体" w:eastAsia="宋体" w:cs="宋体"/>
          <w:color w:val="auto"/>
          <w:spacing w:val="6"/>
          <w:sz w:val="20"/>
          <w:szCs w:val="20"/>
          <w:highlight w:val="none"/>
        </w:rPr>
        <w:t>“正偏离”或“负偏离”</w:t>
      </w:r>
      <w:r>
        <w:rPr>
          <w:rFonts w:hint="eastAsia" w:ascii="宋体" w:hAnsi="宋体" w:eastAsia="宋体" w:cs="宋体"/>
          <w:color w:val="auto"/>
          <w:spacing w:val="5"/>
          <w:sz w:val="20"/>
          <w:szCs w:val="20"/>
          <w:highlight w:val="none"/>
        </w:rPr>
        <w:t>。</w:t>
      </w:r>
    </w:p>
    <w:p w14:paraId="185FA648">
      <w:pPr>
        <w:keepNext w:val="0"/>
        <w:keepLines w:val="0"/>
        <w:pageBreakBefore w:val="0"/>
        <w:widowControl/>
        <w:kinsoku/>
        <w:wordWrap w:val="0"/>
        <w:overflowPunct/>
        <w:topLinePunct/>
        <w:autoSpaceDE w:val="0"/>
        <w:autoSpaceDN w:val="0"/>
        <w:bidi w:val="0"/>
        <w:adjustRightInd w:val="0"/>
        <w:snapToGrid w:val="0"/>
        <w:spacing w:line="370" w:lineRule="auto"/>
        <w:jc w:val="both"/>
        <w:textAlignment w:val="baseline"/>
        <w:rPr>
          <w:rFonts w:hint="eastAsia" w:ascii="宋体" w:hAnsi="宋体" w:eastAsia="宋体" w:cs="宋体"/>
          <w:color w:val="auto"/>
          <w:sz w:val="21"/>
          <w:highlight w:val="none"/>
        </w:rPr>
      </w:pPr>
    </w:p>
    <w:p w14:paraId="4D3B0527">
      <w:pPr>
        <w:pStyle w:val="15"/>
        <w:keepNext w:val="0"/>
        <w:keepLines w:val="0"/>
        <w:pageBreakBefore w:val="0"/>
        <w:widowControl/>
        <w:kinsoku/>
        <w:wordWrap w:val="0"/>
        <w:overflowPunct/>
        <w:topLinePunct/>
        <w:autoSpaceDE w:val="0"/>
        <w:autoSpaceDN w:val="0"/>
        <w:bidi w:val="0"/>
        <w:adjustRightInd w:val="0"/>
        <w:snapToGrid w:val="0"/>
        <w:spacing w:before="78" w:line="219" w:lineRule="auto"/>
        <w:ind w:left="60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投标人名称（公章)：</w:t>
      </w:r>
    </w:p>
    <w:p w14:paraId="0B59250B">
      <w:pPr>
        <w:pStyle w:val="15"/>
        <w:keepNext w:val="0"/>
        <w:keepLines w:val="0"/>
        <w:pageBreakBefore w:val="0"/>
        <w:widowControl/>
        <w:kinsoku/>
        <w:wordWrap w:val="0"/>
        <w:overflowPunct/>
        <w:topLinePunct/>
        <w:autoSpaceDE w:val="0"/>
        <w:autoSpaceDN w:val="0"/>
        <w:bidi w:val="0"/>
        <w:adjustRightInd w:val="0"/>
        <w:snapToGrid w:val="0"/>
        <w:spacing w:before="78" w:line="219" w:lineRule="auto"/>
        <w:ind w:left="605"/>
        <w:jc w:val="both"/>
        <w:textAlignment w:val="baseline"/>
        <w:rPr>
          <w:rFonts w:hint="eastAsia" w:ascii="宋体" w:hAnsi="宋体" w:eastAsia="宋体" w:cs="宋体"/>
          <w:color w:val="auto"/>
          <w:spacing w:val="-2"/>
          <w:sz w:val="24"/>
          <w:szCs w:val="24"/>
          <w:highlight w:val="none"/>
        </w:rPr>
      </w:pPr>
    </w:p>
    <w:p w14:paraId="0904CAC7">
      <w:pPr>
        <w:pStyle w:val="15"/>
        <w:keepNext w:val="0"/>
        <w:keepLines w:val="0"/>
        <w:pageBreakBefore w:val="0"/>
        <w:widowControl/>
        <w:kinsoku/>
        <w:wordWrap w:val="0"/>
        <w:overflowPunct/>
        <w:topLinePunct/>
        <w:autoSpaceDE w:val="0"/>
        <w:autoSpaceDN w:val="0"/>
        <w:bidi w:val="0"/>
        <w:adjustRightInd w:val="0"/>
        <w:snapToGrid w:val="0"/>
        <w:spacing w:before="78" w:line="219" w:lineRule="auto"/>
        <w:ind w:left="605"/>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日      期：</w:t>
      </w:r>
    </w:p>
    <w:p w14:paraId="7B63B7D3">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10FB646F">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35F30D5A">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3C20C474">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6644FE15">
      <w:pPr>
        <w:pStyle w:val="15"/>
        <w:keepNext w:val="0"/>
        <w:keepLines w:val="0"/>
        <w:pageBreakBefore w:val="0"/>
        <w:widowControl/>
        <w:kinsoku/>
        <w:wordWrap w:val="0"/>
        <w:overflowPunct/>
        <w:topLinePunct/>
        <w:autoSpaceDE w:val="0"/>
        <w:autoSpaceDN w:val="0"/>
        <w:bidi w:val="0"/>
        <w:adjustRightInd w:val="0"/>
        <w:snapToGrid w:val="0"/>
        <w:spacing w:before="65" w:line="433" w:lineRule="auto"/>
        <w:ind w:left="120" w:right="111" w:firstLine="4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备注：投标人在本表中须标注技术响应的实际数值或内容，照搬照抄采购文件内容、不</w:t>
      </w:r>
      <w:r>
        <w:rPr>
          <w:rFonts w:hint="eastAsia" w:ascii="宋体" w:hAnsi="宋体" w:eastAsia="宋体" w:cs="宋体"/>
          <w:color w:val="auto"/>
          <w:spacing w:val="8"/>
          <w:sz w:val="20"/>
          <w:szCs w:val="20"/>
          <w:highlight w:val="none"/>
        </w:rPr>
        <w:t>注明实际响应内容者</w:t>
      </w:r>
      <w:r>
        <w:rPr>
          <w:rFonts w:hint="eastAsia" w:ascii="宋体" w:hAnsi="宋体" w:eastAsia="宋体" w:cs="宋体"/>
          <w:b/>
          <w:bCs/>
          <w:color w:val="auto"/>
          <w:spacing w:val="8"/>
          <w:sz w:val="20"/>
          <w:szCs w:val="20"/>
          <w:highlight w:val="none"/>
        </w:rPr>
        <w:t>视为未响应</w:t>
      </w:r>
      <w:r>
        <w:rPr>
          <w:rFonts w:hint="eastAsia" w:ascii="宋体" w:hAnsi="宋体" w:eastAsia="宋体" w:cs="宋体"/>
          <w:color w:val="auto"/>
          <w:spacing w:val="8"/>
          <w:sz w:val="20"/>
          <w:szCs w:val="20"/>
          <w:highlight w:val="none"/>
        </w:rPr>
        <w:t>。</w:t>
      </w:r>
    </w:p>
    <w:p w14:paraId="243E5DF7">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60C828B5">
      <w:pPr>
        <w:keepNext w:val="0"/>
        <w:keepLines w:val="0"/>
        <w:pageBreakBefore w:val="0"/>
        <w:widowControl/>
        <w:kinsoku/>
        <w:wordWrap w:val="0"/>
        <w:overflowPunct/>
        <w:topLinePunct/>
        <w:autoSpaceDE w:val="0"/>
        <w:autoSpaceDN w:val="0"/>
        <w:bidi w:val="0"/>
        <w:adjustRightInd w:val="0"/>
        <w:snapToGrid w:val="0"/>
        <w:spacing w:line="433" w:lineRule="auto"/>
        <w:jc w:val="both"/>
        <w:textAlignment w:val="baseline"/>
        <w:rPr>
          <w:rFonts w:hint="eastAsia" w:ascii="宋体" w:hAnsi="宋体" w:eastAsia="宋体" w:cs="宋体"/>
          <w:color w:val="auto"/>
          <w:sz w:val="20"/>
          <w:szCs w:val="20"/>
          <w:highlight w:val="none"/>
        </w:rPr>
        <w:sectPr>
          <w:pgSz w:w="11905" w:h="16838"/>
          <w:pgMar w:top="1134" w:right="1134" w:bottom="1134" w:left="1134" w:header="737" w:footer="737" w:gutter="0"/>
          <w:pgNumType w:fmt="numberInDash"/>
          <w:cols w:space="0" w:num="1"/>
          <w:rtlGutter w:val="0"/>
          <w:docGrid w:linePitch="0" w:charSpace="0"/>
        </w:sectPr>
      </w:pPr>
    </w:p>
    <w:p w14:paraId="483C2593">
      <w:pPr>
        <w:keepNext w:val="0"/>
        <w:keepLines w:val="0"/>
        <w:pageBreakBefore w:val="0"/>
        <w:widowControl/>
        <w:kinsoku/>
        <w:wordWrap w:val="0"/>
        <w:overflowPunct/>
        <w:topLinePunct/>
        <w:autoSpaceDE w:val="0"/>
        <w:autoSpaceDN w:val="0"/>
        <w:bidi w:val="0"/>
        <w:adjustRightInd w:val="0"/>
        <w:snapToGrid w:val="0"/>
        <w:spacing w:line="433" w:lineRule="auto"/>
        <w:jc w:val="both"/>
        <w:textAlignment w:val="baseline"/>
        <w:rPr>
          <w:rFonts w:hint="eastAsia" w:ascii="宋体" w:hAnsi="宋体" w:eastAsia="宋体" w:cs="宋体"/>
          <w:color w:val="auto"/>
          <w:sz w:val="20"/>
          <w:szCs w:val="20"/>
          <w:highlight w:val="none"/>
        </w:rPr>
      </w:pPr>
    </w:p>
    <w:p w14:paraId="2DE1DAEE">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416" w:name="_Toc6951"/>
      <w:bookmarkStart w:id="417" w:name="_Toc17846"/>
      <w:bookmarkStart w:id="418" w:name="_Toc2819"/>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十</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项目实施（服务）方案</w:t>
      </w:r>
      <w:bookmarkEnd w:id="416"/>
      <w:bookmarkEnd w:id="417"/>
      <w:bookmarkEnd w:id="418"/>
    </w:p>
    <w:p w14:paraId="129F061D">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13" w:firstLine="468"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投标人应按照招标文件的要求，</w:t>
      </w:r>
      <w:r>
        <w:rPr>
          <w:rFonts w:hint="eastAsia" w:ascii="宋体" w:hAnsi="宋体" w:eastAsia="宋体" w:cs="宋体"/>
          <w:color w:val="auto"/>
          <w:spacing w:val="-3"/>
          <w:sz w:val="24"/>
          <w:szCs w:val="24"/>
          <w:highlight w:val="none"/>
          <w:lang w:val="en-US" w:eastAsia="zh-CN"/>
        </w:rPr>
        <w:t>提供详细的供货及相关服务方案</w:t>
      </w:r>
      <w:r>
        <w:rPr>
          <w:rFonts w:hint="eastAsia" w:ascii="宋体" w:hAnsi="宋体" w:eastAsia="宋体" w:cs="宋体"/>
          <w:color w:val="auto"/>
          <w:spacing w:val="-3"/>
          <w:sz w:val="24"/>
          <w:szCs w:val="24"/>
          <w:highlight w:val="none"/>
        </w:rPr>
        <w:t>，包</w:t>
      </w:r>
      <w:r>
        <w:rPr>
          <w:rFonts w:hint="eastAsia" w:ascii="宋体" w:hAnsi="宋体" w:eastAsia="宋体" w:cs="宋体"/>
          <w:color w:val="auto"/>
          <w:spacing w:val="-4"/>
          <w:sz w:val="24"/>
          <w:szCs w:val="24"/>
          <w:highlight w:val="none"/>
        </w:rPr>
        <w:t>括文字描述或图表</w:t>
      </w:r>
      <w:r>
        <w:rPr>
          <w:rFonts w:hint="eastAsia" w:ascii="宋体" w:hAnsi="宋体" w:eastAsia="宋体" w:cs="宋体"/>
          <w:color w:val="auto"/>
          <w:spacing w:val="-2"/>
          <w:sz w:val="24"/>
          <w:szCs w:val="24"/>
          <w:highlight w:val="none"/>
        </w:rPr>
        <w:t>显示。格式自拟。</w:t>
      </w:r>
    </w:p>
    <w:p w14:paraId="12B224F3">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13" w:firstLine="472" w:firstLineChars="200"/>
        <w:jc w:val="both"/>
        <w:textAlignment w:val="baseline"/>
        <w:rPr>
          <w:rFonts w:hint="eastAsia" w:ascii="宋体" w:hAnsi="宋体" w:eastAsia="宋体" w:cs="宋体"/>
          <w:color w:val="auto"/>
          <w:spacing w:val="-2"/>
          <w:sz w:val="24"/>
          <w:szCs w:val="24"/>
          <w:highlight w:val="none"/>
        </w:rPr>
        <w:sectPr>
          <w:type w:val="continuous"/>
          <w:pgSz w:w="11905" w:h="16838"/>
          <w:pgMar w:top="1134" w:right="1134" w:bottom="1134" w:left="1134" w:header="737" w:footer="737" w:gutter="0"/>
          <w:pgNumType w:fmt="numberInDash"/>
          <w:cols w:space="0" w:num="1"/>
          <w:rtlGutter w:val="0"/>
          <w:docGrid w:linePitch="0" w:charSpace="0"/>
        </w:sectPr>
      </w:pPr>
    </w:p>
    <w:p w14:paraId="6F8CD0F8">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13" w:firstLine="472" w:firstLineChars="200"/>
        <w:jc w:val="both"/>
        <w:textAlignment w:val="baseline"/>
        <w:rPr>
          <w:rFonts w:hint="eastAsia" w:ascii="宋体" w:hAnsi="宋体" w:eastAsia="宋体" w:cs="宋体"/>
          <w:color w:val="auto"/>
          <w:spacing w:val="-2"/>
          <w:sz w:val="24"/>
          <w:szCs w:val="24"/>
          <w:highlight w:val="none"/>
        </w:rPr>
      </w:pPr>
    </w:p>
    <w:p w14:paraId="155017EA">
      <w:pPr>
        <w:pStyle w:val="4"/>
        <w:pageBreakBefore w:val="0"/>
        <w:tabs>
          <w:tab w:val="left" w:pos="540"/>
        </w:tabs>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bookmarkStart w:id="419" w:name="_Toc10547"/>
      <w:bookmarkStart w:id="420" w:name="_Toc12919"/>
      <w:bookmarkStart w:id="421" w:name="_Toc24164"/>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十二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投标保证金</w:t>
      </w:r>
      <w:bookmarkEnd w:id="419"/>
    </w:p>
    <w:p w14:paraId="3F0942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提供投标保证金或电子保函缴纳凭证截图并加盖</w:t>
      </w:r>
      <w:r>
        <w:rPr>
          <w:rFonts w:hint="eastAsia" w:ascii="宋体" w:hAnsi="宋体" w:eastAsia="宋体" w:cs="宋体"/>
          <w:bCs/>
          <w:color w:val="auto"/>
          <w:szCs w:val="21"/>
          <w:highlight w:val="none"/>
          <w:lang w:eastAsia="zh-CN"/>
        </w:rPr>
        <w:t>投标人</w:t>
      </w:r>
      <w:r>
        <w:rPr>
          <w:rFonts w:hint="eastAsia" w:ascii="宋体" w:hAnsi="宋体" w:eastAsia="宋体" w:cs="宋体"/>
          <w:color w:val="auto"/>
          <w:sz w:val="21"/>
          <w:szCs w:val="21"/>
          <w:highlight w:val="none"/>
          <w:lang w:eastAsia="zh-CN"/>
        </w:rPr>
        <w:t>公章</w:t>
      </w:r>
      <w:r>
        <w:rPr>
          <w:rFonts w:hint="eastAsia" w:ascii="宋体" w:hAnsi="宋体" w:eastAsia="宋体" w:cs="宋体"/>
          <w:color w:val="auto"/>
          <w:sz w:val="21"/>
          <w:szCs w:val="21"/>
          <w:highlight w:val="none"/>
        </w:rPr>
        <w:t>）</w:t>
      </w:r>
    </w:p>
    <w:p w14:paraId="542516A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sectPr>
          <w:pgSz w:w="11905" w:h="16838"/>
          <w:pgMar w:top="1134" w:right="1134" w:bottom="1134" w:left="1134" w:header="737" w:footer="737" w:gutter="0"/>
          <w:pgNumType w:fmt="numberInDash"/>
          <w:cols w:space="0" w:num="1"/>
          <w:rtlGutter w:val="0"/>
          <w:docGrid w:linePitch="0" w:charSpace="0"/>
        </w:sectPr>
      </w:pPr>
    </w:p>
    <w:p w14:paraId="0FB6850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p>
    <w:p w14:paraId="77247E5B">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cs="宋体"/>
          <w:color w:val="auto"/>
          <w:sz w:val="24"/>
          <w:szCs w:val="24"/>
          <w:highlight w:val="none"/>
          <w:lang w:eastAsia="zh-CN"/>
        </w:rPr>
      </w:pPr>
      <w:bookmarkStart w:id="422" w:name="_Toc19145"/>
      <w:r>
        <w:rPr>
          <w:rFonts w:hint="eastAsia" w:ascii="宋体" w:hAnsi="宋体" w:cs="宋体"/>
          <w:color w:val="auto"/>
          <w:sz w:val="24"/>
          <w:szCs w:val="24"/>
          <w:highlight w:val="none"/>
          <w:lang w:eastAsia="zh-CN"/>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）其他文件</w:t>
      </w:r>
      <w:bookmarkEnd w:id="420"/>
      <w:bookmarkEnd w:id="421"/>
      <w:bookmarkEnd w:id="422"/>
    </w:p>
    <w:p w14:paraId="493698B6">
      <w:pPr>
        <w:pStyle w:val="15"/>
        <w:keepNext w:val="0"/>
        <w:keepLines w:val="0"/>
        <w:pageBreakBefore w:val="0"/>
        <w:widowControl w:val="0"/>
        <w:kinsoku/>
        <w:wordWrap w:val="0"/>
        <w:overflowPunct/>
        <w:topLinePunct/>
        <w:autoSpaceDE/>
        <w:autoSpaceDN/>
        <w:bidi w:val="0"/>
        <w:adjustRightInd w:val="0"/>
        <w:snapToGrid w:val="0"/>
        <w:spacing w:line="360" w:lineRule="auto"/>
        <w:ind w:left="0"/>
        <w:jc w:val="both"/>
        <w:textAlignment w:val="baseline"/>
        <w:rPr>
          <w:rFonts w:hint="eastAsia" w:ascii="宋体" w:hAnsi="宋体" w:eastAsia="宋体" w:cs="宋体"/>
          <w:color w:val="auto"/>
          <w:sz w:val="24"/>
          <w:szCs w:val="24"/>
          <w:highlight w:val="none"/>
        </w:rPr>
      </w:pPr>
      <w:r>
        <w:rPr>
          <w:rFonts w:hint="eastAsia" w:ascii="宋体" w:hAnsi="宋体" w:cs="宋体"/>
          <w:b/>
          <w:bCs/>
          <w:color w:val="auto"/>
          <w:spacing w:val="-3"/>
          <w:sz w:val="24"/>
          <w:szCs w:val="24"/>
          <w:highlight w:val="none"/>
          <w:lang w:val="en-US" w:eastAsia="zh-CN"/>
        </w:rPr>
        <w:t>1.</w:t>
      </w:r>
      <w:r>
        <w:rPr>
          <w:rFonts w:hint="eastAsia" w:ascii="宋体" w:hAnsi="宋体" w:eastAsia="宋体" w:cs="宋体"/>
          <w:b/>
          <w:bCs/>
          <w:color w:val="auto"/>
          <w:spacing w:val="-3"/>
          <w:sz w:val="24"/>
          <w:szCs w:val="24"/>
          <w:highlight w:val="none"/>
        </w:rPr>
        <w:t>招标文件要求提供的其它商务、技术资料和证明材料；</w:t>
      </w:r>
    </w:p>
    <w:p w14:paraId="3F89BC91">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1.1供应商信息采集表</w:t>
      </w:r>
    </w:p>
    <w:p w14:paraId="39EDBF9B">
      <w:pPr>
        <w:keepNext w:val="0"/>
        <w:keepLines w:val="0"/>
        <w:pageBreakBefore w:val="0"/>
        <w:widowControl/>
        <w:kinsoku/>
        <w:wordWrap w:val="0"/>
        <w:overflowPunct/>
        <w:topLinePunct/>
        <w:autoSpaceDE w:val="0"/>
        <w:autoSpaceDN w:val="0"/>
        <w:bidi w:val="0"/>
        <w:adjustRightInd w:val="0"/>
        <w:snapToGrid w:val="0"/>
        <w:spacing w:line="67" w:lineRule="exact"/>
        <w:jc w:val="both"/>
        <w:textAlignment w:val="baseline"/>
        <w:rPr>
          <w:rFonts w:hint="eastAsia" w:ascii="宋体" w:hAnsi="宋体" w:eastAsia="宋体" w:cs="宋体"/>
          <w:color w:val="auto"/>
          <w:highlight w:val="none"/>
        </w:rPr>
      </w:pPr>
    </w:p>
    <w:tbl>
      <w:tblPr>
        <w:tblStyle w:val="165"/>
        <w:tblW w:w="9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1"/>
        <w:gridCol w:w="2765"/>
        <w:gridCol w:w="1853"/>
      </w:tblGrid>
      <w:tr w14:paraId="338A4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4881" w:type="dxa"/>
            <w:vAlign w:val="center"/>
          </w:tcPr>
          <w:p w14:paraId="3CD3576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供应商名称</w:t>
            </w:r>
          </w:p>
        </w:tc>
        <w:tc>
          <w:tcPr>
            <w:tcW w:w="2765" w:type="dxa"/>
            <w:vAlign w:val="center"/>
          </w:tcPr>
          <w:p w14:paraId="0774A6C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供应商实际控制人性别</w:t>
            </w:r>
          </w:p>
        </w:tc>
        <w:tc>
          <w:tcPr>
            <w:tcW w:w="1853" w:type="dxa"/>
            <w:vAlign w:val="center"/>
          </w:tcPr>
          <w:p w14:paraId="799AD07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highlight w:val="none"/>
              </w:rPr>
              <w:t>外商投资类型</w:t>
            </w:r>
          </w:p>
        </w:tc>
      </w:tr>
      <w:tr w14:paraId="6C27F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81" w:type="dxa"/>
            <w:vAlign w:val="center"/>
          </w:tcPr>
          <w:p w14:paraId="4983A1EA">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2765" w:type="dxa"/>
            <w:vAlign w:val="center"/>
          </w:tcPr>
          <w:p w14:paraId="5295D43D">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1853" w:type="dxa"/>
            <w:vAlign w:val="center"/>
          </w:tcPr>
          <w:p w14:paraId="7A1AA315">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r>
      <w:tr w14:paraId="0E4BB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81" w:type="dxa"/>
            <w:vAlign w:val="center"/>
          </w:tcPr>
          <w:p w14:paraId="400413F0">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2765" w:type="dxa"/>
            <w:vAlign w:val="center"/>
          </w:tcPr>
          <w:p w14:paraId="1CDB376C">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1853" w:type="dxa"/>
            <w:vAlign w:val="center"/>
          </w:tcPr>
          <w:p w14:paraId="1B9A4C3E">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r>
      <w:tr w14:paraId="55837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81" w:type="dxa"/>
            <w:vAlign w:val="center"/>
          </w:tcPr>
          <w:p w14:paraId="5DA3FAB6">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2765" w:type="dxa"/>
            <w:vAlign w:val="center"/>
          </w:tcPr>
          <w:p w14:paraId="32BF7581">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1853" w:type="dxa"/>
            <w:vAlign w:val="center"/>
          </w:tcPr>
          <w:p w14:paraId="6B15770D">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r>
      <w:tr w14:paraId="4F321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881" w:type="dxa"/>
            <w:vAlign w:val="center"/>
          </w:tcPr>
          <w:p w14:paraId="43DD567C">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2765" w:type="dxa"/>
            <w:vAlign w:val="center"/>
          </w:tcPr>
          <w:p w14:paraId="7F256AC6">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1853" w:type="dxa"/>
            <w:vAlign w:val="center"/>
          </w:tcPr>
          <w:p w14:paraId="69EB7131">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r>
    </w:tbl>
    <w:p w14:paraId="0837FD76">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jc w:val="both"/>
        <w:textAlignment w:val="baseline"/>
        <w:rPr>
          <w:rFonts w:hint="eastAsia" w:ascii="宋体" w:hAnsi="宋体" w:eastAsia="宋体" w:cs="宋体"/>
          <w:color w:val="auto"/>
          <w:spacing w:val="9"/>
          <w:sz w:val="20"/>
          <w:szCs w:val="20"/>
          <w:highlight w:val="none"/>
        </w:rPr>
      </w:pPr>
    </w:p>
    <w:p w14:paraId="5ABEF6FB">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注：1.供应商如为联合体，则应填写联合体</w:t>
      </w:r>
      <w:r>
        <w:rPr>
          <w:rFonts w:hint="eastAsia" w:ascii="宋体" w:hAnsi="宋体" w:eastAsia="宋体" w:cs="宋体"/>
          <w:color w:val="auto"/>
          <w:spacing w:val="8"/>
          <w:sz w:val="24"/>
          <w:szCs w:val="24"/>
          <w:highlight w:val="none"/>
        </w:rPr>
        <w:t>各成员信息。</w:t>
      </w:r>
    </w:p>
    <w:p w14:paraId="2CE0D7B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2.“供应商实际控制人性别”按供应商实际控制人性别划分请填写“</w:t>
      </w:r>
      <w:r>
        <w:rPr>
          <w:rFonts w:hint="eastAsia" w:ascii="宋体" w:hAnsi="宋体" w:eastAsia="宋体" w:cs="宋体"/>
          <w:color w:val="auto"/>
          <w:spacing w:val="4"/>
          <w:sz w:val="24"/>
          <w:szCs w:val="24"/>
          <w:highlight w:val="none"/>
        </w:rPr>
        <w:t>男”或“女”，指</w:t>
      </w:r>
      <w:r>
        <w:rPr>
          <w:rFonts w:hint="eastAsia" w:ascii="宋体" w:hAnsi="宋体" w:eastAsia="宋体" w:cs="宋体"/>
          <w:color w:val="auto"/>
          <w:spacing w:val="7"/>
          <w:sz w:val="24"/>
          <w:szCs w:val="24"/>
          <w:highlight w:val="none"/>
        </w:rPr>
        <w:t>拥有供应商51%以上绝对所有权的性</w:t>
      </w:r>
      <w:r>
        <w:rPr>
          <w:rFonts w:hint="eastAsia" w:ascii="宋体" w:hAnsi="宋体" w:cs="宋体"/>
          <w:color w:val="auto"/>
          <w:spacing w:val="7"/>
          <w:sz w:val="24"/>
          <w:szCs w:val="24"/>
          <w:highlight w:val="none"/>
          <w:lang w:val="en-US" w:eastAsia="zh-CN"/>
        </w:rPr>
        <w:t>别</w:t>
      </w:r>
      <w:r>
        <w:rPr>
          <w:rFonts w:hint="eastAsia" w:ascii="宋体" w:hAnsi="宋体" w:eastAsia="宋体" w:cs="宋体"/>
          <w:color w:val="auto"/>
          <w:spacing w:val="7"/>
          <w:sz w:val="24"/>
          <w:szCs w:val="24"/>
          <w:highlight w:val="none"/>
        </w:rPr>
        <w:t>；绝对所有权拥有者可以是一个人，也可以是多人合计</w:t>
      </w:r>
      <w:r>
        <w:rPr>
          <w:rFonts w:hint="eastAsia" w:ascii="宋体" w:hAnsi="宋体" w:eastAsia="宋体" w:cs="宋体"/>
          <w:color w:val="auto"/>
          <w:spacing w:val="3"/>
          <w:sz w:val="24"/>
          <w:szCs w:val="24"/>
          <w:highlight w:val="none"/>
        </w:rPr>
        <w:t>计算。</w:t>
      </w:r>
    </w:p>
    <w:p w14:paraId="1351F7E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3.“外商投资类型”请填写“外商单独投资”</w:t>
      </w:r>
      <w:r>
        <w:rPr>
          <w:rFonts w:hint="eastAsia" w:ascii="宋体" w:hAnsi="宋体" w:eastAsia="宋体" w:cs="宋体"/>
          <w:color w:val="auto"/>
          <w:spacing w:val="5"/>
          <w:sz w:val="24"/>
          <w:szCs w:val="24"/>
          <w:highlight w:val="none"/>
        </w:rPr>
        <w:t>、“外商部分投资”或“内资”。</w:t>
      </w:r>
    </w:p>
    <w:p w14:paraId="1A5B582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6"/>
          <w:sz w:val="24"/>
          <w:szCs w:val="24"/>
          <w:highlight w:val="none"/>
        </w:rPr>
      </w:pPr>
    </w:p>
    <w:p w14:paraId="248CA5D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6"/>
          <w:sz w:val="24"/>
          <w:szCs w:val="24"/>
          <w:highlight w:val="none"/>
        </w:rPr>
      </w:pPr>
    </w:p>
    <w:p w14:paraId="642318D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6"/>
          <w:sz w:val="24"/>
          <w:szCs w:val="24"/>
          <w:highlight w:val="none"/>
        </w:rPr>
      </w:pPr>
    </w:p>
    <w:p w14:paraId="4788FA7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1.2其它商务、技术资料和证明材料</w:t>
      </w:r>
    </w:p>
    <w:p w14:paraId="4C4E2CF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6"/>
          <w:sz w:val="24"/>
          <w:szCs w:val="24"/>
          <w:highlight w:val="none"/>
        </w:rPr>
      </w:pPr>
    </w:p>
    <w:p w14:paraId="40D90A8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6"/>
          <w:sz w:val="24"/>
          <w:szCs w:val="24"/>
          <w:highlight w:val="none"/>
        </w:rPr>
      </w:pPr>
    </w:p>
    <w:p w14:paraId="22E85F08">
      <w:pPr>
        <w:pStyle w:val="15"/>
        <w:keepNext w:val="0"/>
        <w:keepLines w:val="0"/>
        <w:pageBreakBefore w:val="0"/>
        <w:widowControl/>
        <w:kinsoku/>
        <w:wordWrap w:val="0"/>
        <w:overflowPunct/>
        <w:topLinePunct/>
        <w:autoSpaceDE w:val="0"/>
        <w:autoSpaceDN w:val="0"/>
        <w:bidi w:val="0"/>
        <w:adjustRightInd w:val="0"/>
        <w:snapToGrid w:val="0"/>
        <w:spacing w:before="79" w:line="219" w:lineRule="auto"/>
        <w:ind w:left="34"/>
        <w:jc w:val="both"/>
        <w:textAlignment w:val="baseline"/>
        <w:rPr>
          <w:rFonts w:hint="eastAsia" w:ascii="宋体" w:hAnsi="宋体" w:eastAsia="宋体" w:cs="宋体"/>
          <w:color w:val="auto"/>
          <w:sz w:val="24"/>
          <w:szCs w:val="24"/>
          <w:highlight w:val="none"/>
        </w:rPr>
      </w:pPr>
      <w:r>
        <w:rPr>
          <w:rFonts w:hint="eastAsia" w:ascii="宋体" w:hAnsi="宋体" w:cs="宋体"/>
          <w:b/>
          <w:bCs/>
          <w:color w:val="auto"/>
          <w:spacing w:val="-3"/>
          <w:sz w:val="24"/>
          <w:szCs w:val="24"/>
          <w:highlight w:val="none"/>
          <w:lang w:val="en-US" w:eastAsia="zh-CN"/>
        </w:rPr>
        <w:t>2.</w:t>
      </w:r>
      <w:r>
        <w:rPr>
          <w:rFonts w:hint="eastAsia" w:ascii="宋体" w:hAnsi="宋体" w:eastAsia="宋体" w:cs="宋体"/>
          <w:b/>
          <w:bCs/>
          <w:color w:val="auto"/>
          <w:spacing w:val="-3"/>
          <w:sz w:val="24"/>
          <w:szCs w:val="24"/>
          <w:highlight w:val="none"/>
        </w:rPr>
        <w:t>投标人认为需要提供的其它商务、技术资料和说明。</w:t>
      </w:r>
    </w:p>
    <w:p w14:paraId="7BD627A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1C88B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55B42DD5">
      <w:pPr>
        <w:pStyle w:val="2"/>
        <w:keepNext/>
        <w:keepLines/>
        <w:pageBreakBefore w:val="0"/>
        <w:widowControl w:val="0"/>
        <w:numPr>
          <w:ilvl w:val="0"/>
          <w:numId w:val="0"/>
        </w:numPr>
        <w:tabs>
          <w:tab w:val="left" w:pos="4701"/>
        </w:tabs>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
          <w:bCs w:val="0"/>
          <w:color w:val="auto"/>
          <w:sz w:val="32"/>
          <w:szCs w:val="32"/>
          <w:highlight w:val="none"/>
        </w:rPr>
      </w:pPr>
      <w:bookmarkStart w:id="423" w:name="_Toc10821"/>
      <w:bookmarkStart w:id="424" w:name="_Toc4754"/>
      <w:r>
        <w:rPr>
          <w:rFonts w:hint="eastAsia" w:ascii="宋体" w:hAnsi="宋体" w:eastAsia="宋体" w:cs="宋体"/>
          <w:b/>
          <w:bCs w:val="0"/>
          <w:color w:val="auto"/>
          <w:sz w:val="32"/>
          <w:szCs w:val="32"/>
          <w:highlight w:val="none"/>
        </w:rPr>
        <w:t>第</w:t>
      </w:r>
      <w:r>
        <w:rPr>
          <w:rFonts w:hint="eastAsia" w:ascii="宋体" w:hAnsi="宋体" w:eastAsia="宋体" w:cs="宋体"/>
          <w:b/>
          <w:bCs w:val="0"/>
          <w:color w:val="auto"/>
          <w:sz w:val="32"/>
          <w:szCs w:val="32"/>
          <w:highlight w:val="none"/>
          <w:lang w:val="en-US" w:eastAsia="zh-CN"/>
        </w:rPr>
        <w:t>八章</w:t>
      </w:r>
      <w:r>
        <w:rPr>
          <w:rFonts w:hint="eastAsia" w:ascii="宋体" w:hAnsi="宋体" w:eastAsia="宋体" w:cs="宋体"/>
          <w:b/>
          <w:bCs w:val="0"/>
          <w:color w:val="auto"/>
          <w:sz w:val="32"/>
          <w:szCs w:val="32"/>
          <w:highlight w:val="none"/>
        </w:rPr>
        <w:t xml:space="preserve"> 附件</w:t>
      </w:r>
      <w:bookmarkEnd w:id="255"/>
      <w:bookmarkEnd w:id="256"/>
      <w:bookmarkEnd w:id="257"/>
      <w:bookmarkEnd w:id="258"/>
      <w:bookmarkEnd w:id="423"/>
      <w:bookmarkEnd w:id="424"/>
    </w:p>
    <w:p w14:paraId="7085DB5F">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bCs/>
          <w:color w:val="auto"/>
          <w:spacing w:val="-4"/>
          <w:sz w:val="24"/>
          <w:szCs w:val="24"/>
          <w:highlight w:val="none"/>
          <w:lang w:eastAsia="zh-CN"/>
        </w:rPr>
      </w:pPr>
      <w:r>
        <w:rPr>
          <w:rFonts w:hint="eastAsia" w:ascii="宋体" w:hAnsi="宋体" w:eastAsia="宋体" w:cs="宋体"/>
          <w:b/>
          <w:bCs/>
          <w:color w:val="auto"/>
          <w:spacing w:val="-4"/>
          <w:sz w:val="24"/>
          <w:szCs w:val="24"/>
          <w:highlight w:val="none"/>
        </w:rPr>
        <w:t>附件1</w:t>
      </w:r>
    </w:p>
    <w:p w14:paraId="7D45F849">
      <w:pPr>
        <w:keepNext w:val="0"/>
        <w:keepLines w:val="0"/>
        <w:pageBreakBefore w:val="0"/>
        <w:widowControl/>
        <w:kinsoku/>
        <w:wordWrap w:val="0"/>
        <w:overflowPunct/>
        <w:topLinePunct/>
        <w:autoSpaceDE w:val="0"/>
        <w:autoSpaceDN w:val="0"/>
        <w:bidi w:val="0"/>
        <w:adjustRightInd w:val="0"/>
        <w:snapToGrid w:val="0"/>
        <w:spacing w:line="245" w:lineRule="auto"/>
        <w:jc w:val="both"/>
        <w:textAlignment w:val="baseline"/>
        <w:rPr>
          <w:rFonts w:hint="eastAsia" w:ascii="宋体" w:hAnsi="宋体" w:eastAsia="宋体" w:cs="宋体"/>
          <w:color w:val="auto"/>
          <w:sz w:val="21"/>
          <w:highlight w:val="none"/>
        </w:rPr>
      </w:pPr>
    </w:p>
    <w:p w14:paraId="3AA52983">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5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（一）关于“中小企业声明函”的填写要求</w:t>
      </w:r>
    </w:p>
    <w:p w14:paraId="6D514E13">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“中小企业声明函”具体填写要求如下：</w:t>
      </w:r>
    </w:p>
    <w:p w14:paraId="4F706EEF">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1.“单位名称”应填写采购人名称。</w:t>
      </w:r>
    </w:p>
    <w:p w14:paraId="5826C5D4">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2.“项目名称”应按照采购文件中确定的项目名称填写。对于分包方式面向中小企业采购的项目，应标明中小企业的具体分包内容；对于以联合体方式面向</w:t>
      </w:r>
      <w:r>
        <w:rPr>
          <w:rFonts w:hint="eastAsia" w:ascii="宋体" w:hAnsi="宋体" w:eastAsia="宋体" w:cs="宋体"/>
          <w:color w:val="auto"/>
          <w:spacing w:val="-1"/>
          <w:sz w:val="24"/>
          <w:szCs w:val="24"/>
          <w:highlight w:val="none"/>
        </w:rPr>
        <w:t>中小企业采购的项目，应标明联合体中中小企业所承担的具体</w:t>
      </w:r>
      <w:r>
        <w:rPr>
          <w:rFonts w:hint="eastAsia" w:ascii="宋体" w:hAnsi="宋体" w:eastAsia="宋体" w:cs="宋体"/>
          <w:color w:val="auto"/>
          <w:spacing w:val="-2"/>
          <w:sz w:val="24"/>
          <w:szCs w:val="24"/>
          <w:highlight w:val="none"/>
        </w:rPr>
        <w:t>内容。</w:t>
      </w:r>
    </w:p>
    <w:p w14:paraId="2AA24DB1">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3.“标的名称”应填写采购文件中细化载明的采购标的名称。对于分</w:t>
      </w:r>
      <w:r>
        <w:rPr>
          <w:rFonts w:hint="eastAsia" w:ascii="宋体" w:hAnsi="宋体" w:eastAsia="宋体" w:cs="宋体"/>
          <w:color w:val="auto"/>
          <w:spacing w:val="-5"/>
          <w:sz w:val="24"/>
          <w:szCs w:val="24"/>
          <w:highlight w:val="none"/>
        </w:rPr>
        <w:t>包方式</w:t>
      </w:r>
      <w:r>
        <w:rPr>
          <w:rFonts w:hint="eastAsia" w:ascii="宋体" w:hAnsi="宋体" w:eastAsia="宋体" w:cs="宋体"/>
          <w:color w:val="auto"/>
          <w:spacing w:val="-4"/>
          <w:sz w:val="24"/>
          <w:szCs w:val="24"/>
          <w:highlight w:val="none"/>
        </w:rPr>
        <w:t>面向中小企业采购的项目，“标的名称”应填写采购文件中注明的分包给中小企</w:t>
      </w:r>
      <w:r>
        <w:rPr>
          <w:rFonts w:hint="eastAsia" w:ascii="宋体" w:hAnsi="宋体" w:eastAsia="宋体" w:cs="宋体"/>
          <w:color w:val="auto"/>
          <w:spacing w:val="2"/>
          <w:sz w:val="24"/>
          <w:szCs w:val="24"/>
          <w:highlight w:val="none"/>
        </w:rPr>
        <w:t>业的采购标的名称；对于以联合体方式面向中小企业采购的项目，“标的名称”</w:t>
      </w:r>
      <w:r>
        <w:rPr>
          <w:rFonts w:hint="eastAsia" w:ascii="宋体" w:hAnsi="宋体" w:eastAsia="宋体" w:cs="宋体"/>
          <w:color w:val="auto"/>
          <w:sz w:val="24"/>
          <w:szCs w:val="24"/>
          <w:highlight w:val="none"/>
        </w:rPr>
        <w:t>应填写采购文件中注明的联合体中中小企业</w:t>
      </w:r>
      <w:r>
        <w:rPr>
          <w:rFonts w:hint="eastAsia" w:ascii="宋体" w:hAnsi="宋体" w:eastAsia="宋体" w:cs="宋体"/>
          <w:color w:val="auto"/>
          <w:spacing w:val="-1"/>
          <w:sz w:val="24"/>
          <w:szCs w:val="24"/>
          <w:highlight w:val="none"/>
        </w:rPr>
        <w:t>承担的采购标的名称。</w:t>
      </w:r>
    </w:p>
    <w:p w14:paraId="32A10EE8">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4.“采购文件中明确的所属行业”应填写采购文件中明确的采购标的所属行</w:t>
      </w:r>
      <w:r>
        <w:rPr>
          <w:rFonts w:hint="eastAsia" w:ascii="宋体" w:hAnsi="宋体" w:eastAsia="宋体" w:cs="宋体"/>
          <w:color w:val="auto"/>
          <w:spacing w:val="-3"/>
          <w:sz w:val="24"/>
          <w:szCs w:val="24"/>
          <w:highlight w:val="none"/>
        </w:rPr>
        <w:t>业，并应确保与采购标的涉及的货物制造商/服务承接商/工程承建商（根据项目</w:t>
      </w:r>
      <w:r>
        <w:rPr>
          <w:rFonts w:hint="eastAsia" w:ascii="宋体" w:hAnsi="宋体" w:eastAsia="宋体" w:cs="宋体"/>
          <w:color w:val="auto"/>
          <w:spacing w:val="-1"/>
          <w:sz w:val="24"/>
          <w:szCs w:val="24"/>
          <w:highlight w:val="none"/>
        </w:rPr>
        <w:t>属性确定）本身的所属行业保持一致。</w:t>
      </w:r>
    </w:p>
    <w:p w14:paraId="6E998357">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4"/>
          <w:sz w:val="24"/>
          <w:szCs w:val="24"/>
          <w:highlight w:val="none"/>
        </w:rPr>
        <w:t>对于分包方式面向中小企业采购的项目，“采购文件中明确的所属行业”应</w:t>
      </w:r>
      <w:r>
        <w:rPr>
          <w:rFonts w:hint="eastAsia" w:ascii="宋体" w:hAnsi="宋体" w:eastAsia="宋体" w:cs="宋体"/>
          <w:color w:val="auto"/>
          <w:spacing w:val="-3"/>
          <w:sz w:val="24"/>
          <w:szCs w:val="24"/>
          <w:highlight w:val="none"/>
        </w:rPr>
        <w:t>按照采购文件中注明的分包给中小企业的采购标的所属行业填写，并应确保与该分包部分采购标的涉及的货物制造商/服务承接商/工程承建商（根据项目属性确定）本身的所属行业保持一致。</w:t>
      </w:r>
    </w:p>
    <w:p w14:paraId="4CAF2A64">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29CCEBFB">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5.“企业名称”应填写投标（响应）的货物制造商/服务承接商/工程承建商（根据项目属性确定）。</w:t>
      </w:r>
    </w:p>
    <w:p w14:paraId="7777594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对于分包方式面向中小企业采购的项目，“企业名称”应填写分包部分采购标的对应的货物制造商/服务承接商/工程承建商（根据项目属性确定）。</w:t>
      </w:r>
    </w:p>
    <w:p w14:paraId="6B5B93B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对于以联合体方式面向中小企业采购的项目，“企业名称”应填写联合体中中小企业承担采购标的对应的货物制造商/服务承接商/工程承建商（根据项目属性确定）。</w:t>
      </w:r>
    </w:p>
    <w:p w14:paraId="7824641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6.从业人员、资产总额指标以上年度末数据为依据，营业收入指标以上年度累计数据为依据。无上年度数据的新成立企业可不填报。</w:t>
      </w:r>
    </w:p>
    <w:p w14:paraId="180F8C1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09E0601">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3A17547">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54" w:firstLineChars="200"/>
        <w:jc w:val="both"/>
        <w:textAlignment w:val="baseline"/>
        <w:rPr>
          <w:rFonts w:hint="eastAsia" w:ascii="宋体" w:hAnsi="宋体" w:eastAsia="宋体" w:cs="宋体"/>
          <w:b/>
          <w:bCs/>
          <w:color w:val="auto"/>
          <w:spacing w:val="-7"/>
          <w:sz w:val="24"/>
          <w:szCs w:val="24"/>
          <w:highlight w:val="none"/>
        </w:rPr>
      </w:pPr>
      <w:r>
        <w:rPr>
          <w:rFonts w:hint="eastAsia" w:ascii="宋体" w:hAnsi="宋体" w:eastAsia="宋体" w:cs="宋体"/>
          <w:b/>
          <w:bCs/>
          <w:color w:val="auto"/>
          <w:spacing w:val="-7"/>
          <w:sz w:val="24"/>
          <w:szCs w:val="24"/>
          <w:highlight w:val="none"/>
        </w:rPr>
        <w:t>（二）关于“中小企业声明函”的提交要求</w:t>
      </w:r>
    </w:p>
    <w:p w14:paraId="02A015BD">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6C700DF">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2.鼓励供应商在投标（响应）时一并提供对货物制造商、服务承接商、工程承建商相关信息的核实核验情况以及其他佐证材料。</w:t>
      </w:r>
    </w:p>
    <w:p w14:paraId="5A84B7EC">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FC6C486">
      <w:pPr>
        <w:keepNext w:val="0"/>
        <w:keepLines w:val="0"/>
        <w:pageBreakBefore w:val="0"/>
        <w:widowControl/>
        <w:kinsoku/>
        <w:wordWrap w:val="0"/>
        <w:overflowPunct/>
        <w:topLinePunct/>
        <w:autoSpaceDE w:val="0"/>
        <w:autoSpaceDN w:val="0"/>
        <w:bidi w:val="0"/>
        <w:adjustRightInd w:val="0"/>
        <w:snapToGrid w:val="0"/>
        <w:spacing w:line="336" w:lineRule="auto"/>
        <w:jc w:val="both"/>
        <w:textAlignment w:val="baseline"/>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3581E54E">
      <w:pPr>
        <w:keepNext w:val="0"/>
        <w:keepLines w:val="0"/>
        <w:pageBreakBefore w:val="0"/>
        <w:widowControl/>
        <w:kinsoku/>
        <w:wordWrap w:val="0"/>
        <w:overflowPunct/>
        <w:topLinePunct/>
        <w:autoSpaceDE w:val="0"/>
        <w:autoSpaceDN w:val="0"/>
        <w:bidi w:val="0"/>
        <w:adjustRightInd w:val="0"/>
        <w:snapToGrid w:val="0"/>
        <w:spacing w:line="341" w:lineRule="auto"/>
        <w:jc w:val="both"/>
        <w:textAlignment w:val="baseline"/>
        <w:rPr>
          <w:rFonts w:hint="eastAsia" w:ascii="宋体" w:hAnsi="宋体" w:eastAsia="宋体" w:cs="宋体"/>
          <w:color w:val="auto"/>
          <w:sz w:val="21"/>
          <w:highlight w:val="none"/>
        </w:rPr>
      </w:pPr>
    </w:p>
    <w:p w14:paraId="50DBB8BB">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附件2</w:t>
      </w:r>
    </w:p>
    <w:p w14:paraId="763DC882">
      <w:pPr>
        <w:pStyle w:val="15"/>
        <w:keepNext w:val="0"/>
        <w:keepLines w:val="0"/>
        <w:pageBreakBefore w:val="0"/>
        <w:widowControl/>
        <w:kinsoku/>
        <w:wordWrap w:val="0"/>
        <w:overflowPunct/>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31"/>
          <w:szCs w:val="31"/>
          <w:highlight w:val="none"/>
        </w:rPr>
      </w:pPr>
      <w:r>
        <w:rPr>
          <w:rFonts w:hint="eastAsia" w:ascii="宋体" w:hAnsi="宋体" w:eastAsia="宋体" w:cs="宋体"/>
          <w:b/>
          <w:bCs/>
          <w:color w:val="auto"/>
          <w:spacing w:val="6"/>
          <w:sz w:val="31"/>
          <w:szCs w:val="31"/>
          <w:highlight w:val="none"/>
        </w:rPr>
        <w:t>关于印发中小企业划型标准规定的通知</w:t>
      </w:r>
    </w:p>
    <w:p w14:paraId="7013028A">
      <w:pPr>
        <w:pStyle w:val="15"/>
        <w:keepNext w:val="0"/>
        <w:keepLines w:val="0"/>
        <w:pageBreakBefore w:val="0"/>
        <w:widowControl/>
        <w:kinsoku/>
        <w:wordWrap w:val="0"/>
        <w:overflowPunct/>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工信部联企业〔2011〕300号</w:t>
      </w:r>
    </w:p>
    <w:p w14:paraId="3340AD15">
      <w:pPr>
        <w:keepNext w:val="0"/>
        <w:keepLines w:val="0"/>
        <w:pageBreakBefore w:val="0"/>
        <w:widowControl/>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color w:val="auto"/>
          <w:sz w:val="21"/>
          <w:highlight w:val="none"/>
        </w:rPr>
      </w:pPr>
    </w:p>
    <w:p w14:paraId="43F4847C">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各省、自治区、直辖市人民政府，国务院各部委、各直属机构及有关单位：</w:t>
      </w:r>
    </w:p>
    <w:p w14:paraId="292BE842">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为贯彻落实《中华人民共和国中小企业促进法》和《国务院关于进</w:t>
      </w:r>
      <w:r>
        <w:rPr>
          <w:rFonts w:hint="eastAsia" w:ascii="宋体" w:hAnsi="宋体" w:eastAsia="宋体" w:cs="宋体"/>
          <w:color w:val="auto"/>
          <w:spacing w:val="-4"/>
          <w:sz w:val="24"/>
          <w:szCs w:val="24"/>
          <w:highlight w:val="none"/>
        </w:rPr>
        <w:t>一步促进</w:t>
      </w:r>
      <w:r>
        <w:rPr>
          <w:rFonts w:hint="eastAsia" w:ascii="宋体" w:hAnsi="宋体" w:eastAsia="宋体" w:cs="宋体"/>
          <w:color w:val="auto"/>
          <w:spacing w:val="-1"/>
          <w:sz w:val="24"/>
          <w:szCs w:val="24"/>
          <w:highlight w:val="none"/>
        </w:rPr>
        <w:t>中小企业发展的若干意见》（国发〔2009〕36号</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工业和信息化部、</w:t>
      </w:r>
      <w:r>
        <w:rPr>
          <w:rFonts w:hint="eastAsia" w:ascii="宋体" w:hAnsi="宋体" w:eastAsia="宋体" w:cs="宋体"/>
          <w:color w:val="auto"/>
          <w:spacing w:val="-2"/>
          <w:sz w:val="24"/>
          <w:szCs w:val="24"/>
          <w:highlight w:val="none"/>
        </w:rPr>
        <w:t>国家统</w:t>
      </w:r>
      <w:r>
        <w:rPr>
          <w:rFonts w:hint="eastAsia" w:ascii="宋体" w:hAnsi="宋体" w:eastAsia="宋体" w:cs="宋体"/>
          <w:color w:val="auto"/>
          <w:spacing w:val="-3"/>
          <w:sz w:val="24"/>
          <w:szCs w:val="24"/>
          <w:highlight w:val="none"/>
        </w:rPr>
        <w:t>计局、发展改革委、财政部研究制定了《中小企业划型标准规定》。经国务院同</w:t>
      </w:r>
      <w:r>
        <w:rPr>
          <w:rFonts w:hint="eastAsia" w:ascii="宋体" w:hAnsi="宋体" w:eastAsia="宋体" w:cs="宋体"/>
          <w:color w:val="auto"/>
          <w:spacing w:val="-1"/>
          <w:sz w:val="24"/>
          <w:szCs w:val="24"/>
          <w:highlight w:val="none"/>
        </w:rPr>
        <w:t>意，现印发给你们，请遵照执行。</w:t>
      </w:r>
    </w:p>
    <w:p w14:paraId="32822123">
      <w:pPr>
        <w:pStyle w:val="15"/>
        <w:keepNext w:val="0"/>
        <w:keepLines w:val="0"/>
        <w:pageBreakBefore w:val="0"/>
        <w:widowControl/>
        <w:kinsoku/>
        <w:wordWrap w:val="0"/>
        <w:overflowPunct/>
        <w:topLinePunct/>
        <w:autoSpaceDE w:val="0"/>
        <w:autoSpaceDN w:val="0"/>
        <w:bidi w:val="0"/>
        <w:adjustRightInd w:val="0"/>
        <w:snapToGrid w:val="0"/>
        <w:spacing w:before="74" w:line="277" w:lineRule="auto"/>
        <w:ind w:left="21" w:right="80" w:firstLine="482"/>
        <w:jc w:val="both"/>
        <w:textAlignment w:val="baseline"/>
        <w:rPr>
          <w:rFonts w:hint="eastAsia" w:ascii="宋体" w:hAnsi="宋体" w:eastAsia="宋体" w:cs="宋体"/>
          <w:color w:val="auto"/>
          <w:spacing w:val="-1"/>
          <w:sz w:val="24"/>
          <w:szCs w:val="24"/>
          <w:highlight w:val="none"/>
        </w:rPr>
      </w:pPr>
    </w:p>
    <w:p w14:paraId="65049FD6">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firstLine="5679" w:firstLineChars="2448"/>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工业和信息化部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4"/>
          <w:sz w:val="24"/>
          <w:szCs w:val="24"/>
          <w:highlight w:val="none"/>
        </w:rPr>
        <w:t>国家统计局</w:t>
      </w:r>
    </w:p>
    <w:p w14:paraId="07A5F80E">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firstLine="5728" w:firstLineChars="2448"/>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国家发展和改革委员会  财政部</w:t>
      </w:r>
    </w:p>
    <w:p w14:paraId="25935667">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firstLine="5777" w:firstLineChars="2448"/>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二○一一年六月十八日</w:t>
      </w:r>
    </w:p>
    <w:p w14:paraId="24E4E684">
      <w:pPr>
        <w:keepNext w:val="0"/>
        <w:keepLines w:val="0"/>
        <w:pageBreakBefore w:val="0"/>
        <w:widowControl/>
        <w:kinsoku/>
        <w:wordWrap w:val="0"/>
        <w:overflowPunct/>
        <w:topLinePunct/>
        <w:autoSpaceDE w:val="0"/>
        <w:autoSpaceDN w:val="0"/>
        <w:bidi w:val="0"/>
        <w:adjustRightInd w:val="0"/>
        <w:snapToGrid w:val="0"/>
        <w:spacing w:line="337" w:lineRule="auto"/>
        <w:jc w:val="both"/>
        <w:textAlignment w:val="baseline"/>
        <w:rPr>
          <w:rFonts w:hint="eastAsia" w:ascii="宋体" w:hAnsi="宋体" w:eastAsia="宋体" w:cs="宋体"/>
          <w:color w:val="auto"/>
          <w:sz w:val="21"/>
          <w:highlight w:val="none"/>
        </w:rPr>
      </w:pPr>
    </w:p>
    <w:p w14:paraId="11B119D8">
      <w:pPr>
        <w:pStyle w:val="15"/>
        <w:keepNext w:val="0"/>
        <w:keepLines w:val="0"/>
        <w:pageBreakBefore w:val="0"/>
        <w:widowControl w:val="0"/>
        <w:kinsoku/>
        <w:wordWrap w:val="0"/>
        <w:overflowPunct/>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8"/>
          <w:szCs w:val="28"/>
          <w:highlight w:val="none"/>
        </w:rPr>
      </w:pPr>
      <w:r>
        <w:rPr>
          <w:rFonts w:hint="eastAsia" w:ascii="宋体" w:hAnsi="宋体" w:eastAsia="宋体" w:cs="宋体"/>
          <w:b/>
          <w:bCs/>
          <w:color w:val="auto"/>
          <w:spacing w:val="-6"/>
          <w:sz w:val="28"/>
          <w:szCs w:val="28"/>
          <w:highlight w:val="none"/>
        </w:rPr>
        <w:t>中小企业划型标准规定</w:t>
      </w:r>
    </w:p>
    <w:p w14:paraId="4471C3A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一、根据《中华人民共和国中小企业促进法》和《国务院关于进一</w:t>
      </w:r>
      <w:r>
        <w:rPr>
          <w:rFonts w:hint="eastAsia" w:ascii="宋体" w:hAnsi="宋体" w:eastAsia="宋体" w:cs="宋体"/>
          <w:color w:val="auto"/>
          <w:spacing w:val="-4"/>
          <w:sz w:val="24"/>
          <w:szCs w:val="24"/>
          <w:highlight w:val="none"/>
        </w:rPr>
        <w:t>步促进中</w:t>
      </w:r>
      <w:r>
        <w:rPr>
          <w:rFonts w:hint="eastAsia" w:ascii="宋体" w:hAnsi="宋体" w:eastAsia="宋体" w:cs="宋体"/>
          <w:color w:val="auto"/>
          <w:spacing w:val="-3"/>
          <w:sz w:val="24"/>
          <w:szCs w:val="24"/>
          <w:highlight w:val="none"/>
        </w:rPr>
        <w:t>小企业发展的若干意见》(国发〔2009〕36号)，制定本规定。</w:t>
      </w:r>
    </w:p>
    <w:p w14:paraId="15D6589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二、中小企业划分为中型、小型、微型三种类型，具体标准根据企</w:t>
      </w:r>
      <w:r>
        <w:rPr>
          <w:rFonts w:hint="eastAsia" w:ascii="宋体" w:hAnsi="宋体" w:eastAsia="宋体" w:cs="宋体"/>
          <w:color w:val="auto"/>
          <w:spacing w:val="-4"/>
          <w:sz w:val="24"/>
          <w:szCs w:val="24"/>
          <w:highlight w:val="none"/>
        </w:rPr>
        <w:t>业从业人</w:t>
      </w:r>
      <w:r>
        <w:rPr>
          <w:rFonts w:hint="eastAsia" w:ascii="宋体" w:hAnsi="宋体" w:eastAsia="宋体" w:cs="宋体"/>
          <w:color w:val="auto"/>
          <w:spacing w:val="-1"/>
          <w:sz w:val="24"/>
          <w:szCs w:val="24"/>
          <w:highlight w:val="none"/>
        </w:rPr>
        <w:t>员、营业收入、资产总额等指标，结合行业特点制定。</w:t>
      </w:r>
    </w:p>
    <w:p w14:paraId="1EC00B1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三、本规定适用的行业包括：农、林、牧、渔业，工业（包括采矿业，制造业，电力、热力、燃气及水生产和供应业</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建筑业，批发业，零售业，交通运输业（不含铁路运输业</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仓储业，邮政业，住宿业，餐饮业，信息传输业（包</w:t>
      </w:r>
      <w:r>
        <w:rPr>
          <w:rFonts w:hint="eastAsia" w:ascii="宋体" w:hAnsi="宋体" w:eastAsia="宋体" w:cs="宋体"/>
          <w:color w:val="auto"/>
          <w:spacing w:val="-2"/>
          <w:sz w:val="24"/>
          <w:szCs w:val="24"/>
          <w:highlight w:val="none"/>
        </w:rPr>
        <w:t>括电信、互联网和相关服务</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2"/>
          <w:sz w:val="24"/>
          <w:szCs w:val="24"/>
          <w:highlight w:val="none"/>
        </w:rPr>
        <w:t>软件和信息技术服务业，房</w:t>
      </w:r>
      <w:r>
        <w:rPr>
          <w:rFonts w:hint="eastAsia" w:ascii="宋体" w:hAnsi="宋体" w:eastAsia="宋体" w:cs="宋体"/>
          <w:color w:val="auto"/>
          <w:spacing w:val="-3"/>
          <w:sz w:val="24"/>
          <w:szCs w:val="24"/>
          <w:highlight w:val="none"/>
        </w:rPr>
        <w:t>地产开发经营，物业</w:t>
      </w:r>
      <w:r>
        <w:rPr>
          <w:rFonts w:hint="eastAsia" w:ascii="宋体" w:hAnsi="宋体" w:eastAsia="宋体" w:cs="宋体"/>
          <w:color w:val="auto"/>
          <w:spacing w:val="-7"/>
          <w:sz w:val="24"/>
          <w:szCs w:val="24"/>
          <w:highlight w:val="none"/>
        </w:rPr>
        <w:t>管理，租赁和商务服务业，其他未列明行业（包括科学研究和技术服</w:t>
      </w:r>
      <w:r>
        <w:rPr>
          <w:rFonts w:hint="eastAsia" w:ascii="宋体" w:hAnsi="宋体" w:eastAsia="宋体" w:cs="宋体"/>
          <w:color w:val="auto"/>
          <w:spacing w:val="-8"/>
          <w:sz w:val="24"/>
          <w:szCs w:val="24"/>
          <w:highlight w:val="none"/>
        </w:rPr>
        <w:t>务业，水利、</w:t>
      </w:r>
      <w:r>
        <w:rPr>
          <w:rFonts w:hint="eastAsia" w:ascii="宋体" w:hAnsi="宋体" w:eastAsia="宋体" w:cs="宋体"/>
          <w:color w:val="auto"/>
          <w:spacing w:val="-3"/>
          <w:sz w:val="24"/>
          <w:szCs w:val="24"/>
          <w:highlight w:val="none"/>
        </w:rPr>
        <w:t>环境和公共设施管理业，居民服务、修理和其他服务业，社会工作，文化、体育</w:t>
      </w:r>
      <w:r>
        <w:rPr>
          <w:rFonts w:hint="eastAsia" w:ascii="宋体" w:hAnsi="宋体" w:eastAsia="宋体" w:cs="宋体"/>
          <w:color w:val="auto"/>
          <w:spacing w:val="-2"/>
          <w:sz w:val="24"/>
          <w:szCs w:val="24"/>
          <w:highlight w:val="none"/>
        </w:rPr>
        <w:t>和娱乐业等）。</w:t>
      </w:r>
    </w:p>
    <w:p w14:paraId="0FC57BA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四、各行业划型标准为：</w:t>
      </w:r>
    </w:p>
    <w:p w14:paraId="6E505FD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（一）农、林、牧、渔业。</w:t>
      </w:r>
      <w:r>
        <w:rPr>
          <w:rFonts w:hint="eastAsia" w:ascii="宋体" w:hAnsi="宋体" w:eastAsia="宋体" w:cs="宋体"/>
          <w:color w:val="auto"/>
          <w:spacing w:val="-4"/>
          <w:sz w:val="24"/>
          <w:szCs w:val="24"/>
          <w:highlight w:val="none"/>
        </w:rPr>
        <w:t>营业收入20000万元以下的为中小微型企业。其</w:t>
      </w:r>
      <w:r>
        <w:rPr>
          <w:rFonts w:hint="eastAsia" w:ascii="宋体" w:hAnsi="宋体" w:eastAsia="宋体" w:cs="宋体"/>
          <w:color w:val="auto"/>
          <w:spacing w:val="-2"/>
          <w:sz w:val="24"/>
          <w:szCs w:val="24"/>
          <w:highlight w:val="none"/>
        </w:rPr>
        <w:t>中，营业收入500万元及以上的为中型企业，营业收入50万元及以上的为小型</w:t>
      </w:r>
      <w:r>
        <w:rPr>
          <w:rFonts w:hint="eastAsia" w:ascii="宋体" w:hAnsi="宋体" w:eastAsia="宋体" w:cs="宋体"/>
          <w:color w:val="auto"/>
          <w:spacing w:val="-3"/>
          <w:sz w:val="24"/>
          <w:szCs w:val="24"/>
          <w:highlight w:val="none"/>
        </w:rPr>
        <w:t>企业，营业收入50万元以下的为微型企业。</w:t>
      </w:r>
    </w:p>
    <w:p w14:paraId="400F52E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（二）工业。</w:t>
      </w:r>
      <w:r>
        <w:rPr>
          <w:rFonts w:hint="eastAsia" w:ascii="宋体" w:hAnsi="宋体" w:eastAsia="宋体" w:cs="宋体"/>
          <w:color w:val="auto"/>
          <w:sz w:val="24"/>
          <w:szCs w:val="24"/>
          <w:highlight w:val="none"/>
        </w:rPr>
        <w:t>从业人员1000人以下或营业</w:t>
      </w:r>
      <w:r>
        <w:rPr>
          <w:rFonts w:hint="eastAsia" w:ascii="宋体" w:hAnsi="宋体" w:eastAsia="宋体" w:cs="宋体"/>
          <w:color w:val="auto"/>
          <w:spacing w:val="-1"/>
          <w:sz w:val="24"/>
          <w:szCs w:val="24"/>
          <w:highlight w:val="none"/>
        </w:rPr>
        <w:t>收入40000万元以下的为中小微</w:t>
      </w:r>
      <w:r>
        <w:rPr>
          <w:rFonts w:hint="eastAsia" w:ascii="宋体" w:hAnsi="宋体" w:eastAsia="宋体" w:cs="宋体"/>
          <w:color w:val="auto"/>
          <w:spacing w:val="-2"/>
          <w:sz w:val="24"/>
          <w:szCs w:val="24"/>
          <w:highlight w:val="none"/>
        </w:rPr>
        <w:t>型企业。其中，从业人员300人及以上，且营业收入</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2000</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2"/>
          <w:sz w:val="24"/>
          <w:szCs w:val="24"/>
          <w:highlight w:val="none"/>
        </w:rPr>
        <w:t>万元及以上的为中型企业；从业人员20人及以上，且营业收入300万元及以上的为小型企业；从业</w:t>
      </w:r>
      <w:r>
        <w:rPr>
          <w:rFonts w:hint="eastAsia" w:ascii="宋体" w:hAnsi="宋体" w:eastAsia="宋体" w:cs="宋体"/>
          <w:color w:val="auto"/>
          <w:spacing w:val="-3"/>
          <w:sz w:val="24"/>
          <w:szCs w:val="24"/>
          <w:highlight w:val="none"/>
        </w:rPr>
        <w:t>人员20人以下或营业收入300万元以下的为微型企业。</w:t>
      </w:r>
    </w:p>
    <w:p w14:paraId="0DCFC9E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（三）建筑业。</w:t>
      </w:r>
      <w:r>
        <w:rPr>
          <w:rFonts w:hint="eastAsia" w:ascii="宋体" w:hAnsi="宋体" w:eastAsia="宋体" w:cs="宋体"/>
          <w:color w:val="auto"/>
          <w:spacing w:val="-2"/>
          <w:sz w:val="24"/>
          <w:szCs w:val="24"/>
          <w:highlight w:val="none"/>
        </w:rPr>
        <w:t>营业收入80000万元以下或资产总额80000万元以下的为中小微型企业。其中，营业收入6000万元及以上，</w:t>
      </w:r>
      <w:r>
        <w:rPr>
          <w:rFonts w:hint="eastAsia" w:ascii="宋体" w:hAnsi="宋体" w:eastAsia="宋体" w:cs="宋体"/>
          <w:color w:val="auto"/>
          <w:spacing w:val="-3"/>
          <w:sz w:val="24"/>
          <w:szCs w:val="24"/>
          <w:highlight w:val="none"/>
        </w:rPr>
        <w:t>且资产总额5000万元及以上的</w:t>
      </w:r>
      <w:r>
        <w:rPr>
          <w:rFonts w:hint="eastAsia" w:ascii="宋体" w:hAnsi="宋体" w:eastAsia="宋体" w:cs="宋体"/>
          <w:color w:val="auto"/>
          <w:spacing w:val="-4"/>
          <w:sz w:val="24"/>
          <w:szCs w:val="24"/>
          <w:highlight w:val="none"/>
        </w:rPr>
        <w:t>为中型企业；营业收入300万元及以上，且资产总额</w:t>
      </w:r>
      <w:r>
        <w:rPr>
          <w:rFonts w:hint="eastAsia" w:ascii="宋体" w:hAnsi="宋体" w:eastAsia="宋体" w:cs="宋体"/>
          <w:color w:val="auto"/>
          <w:spacing w:val="-5"/>
          <w:sz w:val="24"/>
          <w:szCs w:val="24"/>
          <w:highlight w:val="none"/>
        </w:rPr>
        <w:t>300万元及以上的为小型企</w:t>
      </w:r>
      <w:r>
        <w:rPr>
          <w:rFonts w:hint="eastAsia" w:ascii="宋体" w:hAnsi="宋体" w:eastAsia="宋体" w:cs="宋体"/>
          <w:color w:val="auto"/>
          <w:spacing w:val="-2"/>
          <w:sz w:val="24"/>
          <w:szCs w:val="24"/>
          <w:highlight w:val="none"/>
        </w:rPr>
        <w:t>业；营业收入300万元以下或资产总额300万元以下的为微</w:t>
      </w:r>
      <w:r>
        <w:rPr>
          <w:rFonts w:hint="eastAsia" w:ascii="宋体" w:hAnsi="宋体" w:eastAsia="宋体" w:cs="宋体"/>
          <w:color w:val="auto"/>
          <w:spacing w:val="-3"/>
          <w:sz w:val="24"/>
          <w:szCs w:val="24"/>
          <w:highlight w:val="none"/>
        </w:rPr>
        <w:t>型企业。</w:t>
      </w:r>
    </w:p>
    <w:p w14:paraId="5689053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（四）批发业。</w:t>
      </w:r>
      <w:r>
        <w:rPr>
          <w:rFonts w:hint="eastAsia" w:ascii="宋体" w:hAnsi="宋体" w:eastAsia="宋体" w:cs="宋体"/>
          <w:color w:val="auto"/>
          <w:spacing w:val="-2"/>
          <w:sz w:val="24"/>
          <w:szCs w:val="24"/>
          <w:highlight w:val="none"/>
        </w:rPr>
        <w:t>从业人员200人以下或营业收入40000万元以下的为中小微</w:t>
      </w:r>
      <w:r>
        <w:rPr>
          <w:rFonts w:hint="eastAsia" w:ascii="宋体" w:hAnsi="宋体" w:eastAsia="宋体" w:cs="宋体"/>
          <w:color w:val="auto"/>
          <w:spacing w:val="-4"/>
          <w:sz w:val="24"/>
          <w:szCs w:val="24"/>
          <w:highlight w:val="none"/>
        </w:rPr>
        <w:t>型企业。其中，从业人员20人及以上，且营业收入5000万元及以上的</w:t>
      </w:r>
      <w:r>
        <w:rPr>
          <w:rFonts w:hint="eastAsia" w:ascii="宋体" w:hAnsi="宋体" w:eastAsia="宋体" w:cs="宋体"/>
          <w:color w:val="auto"/>
          <w:spacing w:val="-5"/>
          <w:sz w:val="24"/>
          <w:szCs w:val="24"/>
          <w:highlight w:val="none"/>
        </w:rPr>
        <w:t>为中型企</w:t>
      </w:r>
      <w:r>
        <w:rPr>
          <w:rFonts w:hint="eastAsia" w:ascii="宋体" w:hAnsi="宋体" w:eastAsia="宋体" w:cs="宋体"/>
          <w:color w:val="auto"/>
          <w:spacing w:val="-2"/>
          <w:sz w:val="24"/>
          <w:szCs w:val="24"/>
          <w:highlight w:val="none"/>
        </w:rPr>
        <w:t>业；从业人员5人及以上，且营业收入1000万元及以上的为小型</w:t>
      </w:r>
      <w:r>
        <w:rPr>
          <w:rFonts w:hint="eastAsia" w:ascii="宋体" w:hAnsi="宋体" w:eastAsia="宋体" w:cs="宋体"/>
          <w:color w:val="auto"/>
          <w:spacing w:val="-3"/>
          <w:sz w:val="24"/>
          <w:szCs w:val="24"/>
          <w:highlight w:val="none"/>
        </w:rPr>
        <w:t>企业；从业人员5人以下或营业收入1000万元以下的为微型</w:t>
      </w:r>
      <w:r>
        <w:rPr>
          <w:rFonts w:hint="eastAsia" w:ascii="宋体" w:hAnsi="宋体" w:eastAsia="宋体" w:cs="宋体"/>
          <w:color w:val="auto"/>
          <w:spacing w:val="-4"/>
          <w:sz w:val="24"/>
          <w:szCs w:val="24"/>
          <w:highlight w:val="none"/>
        </w:rPr>
        <w:t>企业。</w:t>
      </w:r>
    </w:p>
    <w:p w14:paraId="18FD587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（五）零售业。</w:t>
      </w:r>
      <w:r>
        <w:rPr>
          <w:rFonts w:hint="eastAsia" w:ascii="宋体" w:hAnsi="宋体" w:eastAsia="宋体" w:cs="宋体"/>
          <w:color w:val="auto"/>
          <w:spacing w:val="-4"/>
          <w:sz w:val="24"/>
          <w:szCs w:val="24"/>
          <w:highlight w:val="none"/>
        </w:rPr>
        <w:t>从业人员300人以下或营业收入20000万元以下的为中小微</w:t>
      </w:r>
      <w:r>
        <w:rPr>
          <w:rFonts w:hint="eastAsia" w:ascii="宋体" w:hAnsi="宋体" w:eastAsia="宋体" w:cs="宋体"/>
          <w:color w:val="auto"/>
          <w:spacing w:val="-2"/>
          <w:sz w:val="24"/>
          <w:szCs w:val="24"/>
          <w:highlight w:val="none"/>
        </w:rPr>
        <w:t>型企业。其中，从业人员50人及以上，且营业收入500万元及以上的为中型企</w:t>
      </w:r>
      <w:r>
        <w:rPr>
          <w:rFonts w:hint="eastAsia" w:ascii="宋体" w:hAnsi="宋体" w:eastAsia="宋体" w:cs="宋体"/>
          <w:color w:val="auto"/>
          <w:spacing w:val="-3"/>
          <w:sz w:val="24"/>
          <w:szCs w:val="24"/>
          <w:highlight w:val="none"/>
        </w:rPr>
        <w:t>业；从业人员10人及以上，且营业收入100万元及以上的为小型企业；从业人</w:t>
      </w:r>
      <w:r>
        <w:rPr>
          <w:rFonts w:hint="eastAsia" w:ascii="宋体" w:hAnsi="宋体" w:eastAsia="宋体" w:cs="宋体"/>
          <w:color w:val="auto"/>
          <w:spacing w:val="-4"/>
          <w:sz w:val="24"/>
          <w:szCs w:val="24"/>
          <w:highlight w:val="none"/>
        </w:rPr>
        <w:t>员10人以下或营业收入100万元以下的为微型企业。</w:t>
      </w:r>
    </w:p>
    <w:p w14:paraId="4E64CB4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（六）交通运输业。</w:t>
      </w:r>
      <w:r>
        <w:rPr>
          <w:rFonts w:hint="eastAsia" w:ascii="宋体" w:hAnsi="宋体" w:eastAsia="宋体" w:cs="宋体"/>
          <w:color w:val="auto"/>
          <w:spacing w:val="-3"/>
          <w:sz w:val="24"/>
          <w:szCs w:val="24"/>
          <w:highlight w:val="none"/>
        </w:rPr>
        <w:t>从业人员1000人以下或营业收入30000万元以下的为</w:t>
      </w:r>
      <w:r>
        <w:rPr>
          <w:rFonts w:hint="eastAsia" w:ascii="宋体" w:hAnsi="宋体" w:eastAsia="宋体" w:cs="宋体"/>
          <w:color w:val="auto"/>
          <w:spacing w:val="-2"/>
          <w:sz w:val="24"/>
          <w:szCs w:val="24"/>
          <w:highlight w:val="none"/>
        </w:rPr>
        <w:t>中小微型企业。其中，从业人员300人及以上，且营业收入3000万元及以上的</w:t>
      </w:r>
      <w:r>
        <w:rPr>
          <w:rFonts w:hint="eastAsia" w:ascii="宋体" w:hAnsi="宋体" w:eastAsia="宋体" w:cs="宋体"/>
          <w:color w:val="auto"/>
          <w:spacing w:val="-6"/>
          <w:sz w:val="24"/>
          <w:szCs w:val="24"/>
          <w:highlight w:val="none"/>
        </w:rPr>
        <w:t>为中型企业；从业人员20人及以上，且营业收入200万元及以上的为小型企业；</w:t>
      </w:r>
      <w:r>
        <w:rPr>
          <w:rFonts w:hint="eastAsia" w:ascii="宋体" w:hAnsi="宋体" w:eastAsia="宋体" w:cs="宋体"/>
          <w:color w:val="auto"/>
          <w:spacing w:val="-2"/>
          <w:sz w:val="24"/>
          <w:szCs w:val="24"/>
          <w:highlight w:val="none"/>
        </w:rPr>
        <w:t>从业人员20人以下或营业收入200万元</w:t>
      </w:r>
      <w:r>
        <w:rPr>
          <w:rFonts w:hint="eastAsia" w:ascii="宋体" w:hAnsi="宋体" w:eastAsia="宋体" w:cs="宋体"/>
          <w:color w:val="auto"/>
          <w:spacing w:val="-3"/>
          <w:sz w:val="24"/>
          <w:szCs w:val="24"/>
          <w:highlight w:val="none"/>
        </w:rPr>
        <w:t>以下的为微型企业。</w:t>
      </w:r>
    </w:p>
    <w:p w14:paraId="68DD2B9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（七）仓储业。</w:t>
      </w:r>
      <w:r>
        <w:rPr>
          <w:rFonts w:hint="eastAsia" w:ascii="宋体" w:hAnsi="宋体" w:eastAsia="宋体" w:cs="宋体"/>
          <w:color w:val="auto"/>
          <w:spacing w:val="-4"/>
          <w:sz w:val="24"/>
          <w:szCs w:val="24"/>
          <w:highlight w:val="none"/>
        </w:rPr>
        <w:t>从业人员200人以下或营业收入30000万元以下的为中小微</w:t>
      </w:r>
      <w:r>
        <w:rPr>
          <w:rFonts w:hint="eastAsia" w:ascii="宋体" w:hAnsi="宋体" w:eastAsia="宋体" w:cs="宋体"/>
          <w:color w:val="auto"/>
          <w:spacing w:val="-3"/>
          <w:sz w:val="24"/>
          <w:szCs w:val="24"/>
          <w:highlight w:val="none"/>
        </w:rPr>
        <w:t>型企业。其中，从业人员100人及以上，且营业收入1000万元及以上的为中型</w:t>
      </w:r>
      <w:r>
        <w:rPr>
          <w:rFonts w:hint="eastAsia" w:ascii="宋体" w:hAnsi="宋体" w:eastAsia="宋体" w:cs="宋体"/>
          <w:color w:val="auto"/>
          <w:spacing w:val="-2"/>
          <w:sz w:val="24"/>
          <w:szCs w:val="24"/>
          <w:highlight w:val="none"/>
        </w:rPr>
        <w:t>企业；从业人员20人及以上，且营业收入100万元及以上的为</w:t>
      </w:r>
      <w:r>
        <w:rPr>
          <w:rFonts w:hint="eastAsia" w:ascii="宋体" w:hAnsi="宋体" w:eastAsia="宋体" w:cs="宋体"/>
          <w:color w:val="auto"/>
          <w:spacing w:val="-3"/>
          <w:sz w:val="24"/>
          <w:szCs w:val="24"/>
          <w:highlight w:val="none"/>
        </w:rPr>
        <w:t>小型企业；从业人员20人以下或营业收入100万元以下的为微型企业。</w:t>
      </w:r>
    </w:p>
    <w:p w14:paraId="4B103A6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（八）邮政业。</w:t>
      </w:r>
      <w:r>
        <w:rPr>
          <w:rFonts w:hint="eastAsia" w:ascii="宋体" w:hAnsi="宋体" w:eastAsia="宋体" w:cs="宋体"/>
          <w:color w:val="auto"/>
          <w:spacing w:val="-3"/>
          <w:sz w:val="24"/>
          <w:szCs w:val="24"/>
          <w:highlight w:val="none"/>
        </w:rPr>
        <w:t>从业人员1000人以下或营业收入30000万元以下的为中小</w:t>
      </w:r>
      <w:r>
        <w:rPr>
          <w:rFonts w:hint="eastAsia" w:ascii="宋体" w:hAnsi="宋体" w:eastAsia="宋体" w:cs="宋体"/>
          <w:color w:val="auto"/>
          <w:spacing w:val="-2"/>
          <w:sz w:val="24"/>
          <w:szCs w:val="24"/>
          <w:highlight w:val="none"/>
        </w:rPr>
        <w:t>微型企业。其中，从业人员300人及以上，且营业收入2000万元及以上的为中型企业；从业人员20人及以上，且营业收入100万元及以上的为小型</w:t>
      </w:r>
      <w:r>
        <w:rPr>
          <w:rFonts w:hint="eastAsia" w:ascii="宋体" w:hAnsi="宋体" w:eastAsia="宋体" w:cs="宋体"/>
          <w:color w:val="auto"/>
          <w:spacing w:val="-3"/>
          <w:sz w:val="24"/>
          <w:szCs w:val="24"/>
          <w:highlight w:val="none"/>
        </w:rPr>
        <w:t>企业；从业人员20人以下或营业收入100万元以下的为微型企业。</w:t>
      </w:r>
    </w:p>
    <w:p w14:paraId="05696D0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（九）住宿业。</w:t>
      </w:r>
      <w:r>
        <w:rPr>
          <w:rFonts w:hint="eastAsia" w:ascii="宋体" w:hAnsi="宋体" w:eastAsia="宋体" w:cs="宋体"/>
          <w:color w:val="auto"/>
          <w:spacing w:val="-4"/>
          <w:sz w:val="24"/>
          <w:szCs w:val="24"/>
          <w:highlight w:val="none"/>
        </w:rPr>
        <w:t>从业人员300人以下或营业收入10000万</w:t>
      </w:r>
      <w:r>
        <w:rPr>
          <w:rFonts w:hint="eastAsia" w:ascii="宋体" w:hAnsi="宋体" w:eastAsia="宋体" w:cs="宋体"/>
          <w:color w:val="auto"/>
          <w:spacing w:val="-5"/>
          <w:sz w:val="24"/>
          <w:szCs w:val="24"/>
          <w:highlight w:val="none"/>
        </w:rPr>
        <w:t>元以下的为中小微</w:t>
      </w:r>
      <w:r>
        <w:rPr>
          <w:rFonts w:hint="eastAsia" w:ascii="宋体" w:hAnsi="宋体" w:eastAsia="宋体" w:cs="宋体"/>
          <w:color w:val="auto"/>
          <w:spacing w:val="-2"/>
          <w:sz w:val="24"/>
          <w:szCs w:val="24"/>
          <w:highlight w:val="none"/>
        </w:rPr>
        <w:t>型企业。其中，从业人员100人及以上，且营业收入2000万元及以</w:t>
      </w:r>
      <w:r>
        <w:rPr>
          <w:rFonts w:hint="eastAsia" w:ascii="宋体" w:hAnsi="宋体" w:eastAsia="宋体" w:cs="宋体"/>
          <w:color w:val="auto"/>
          <w:spacing w:val="-3"/>
          <w:sz w:val="24"/>
          <w:szCs w:val="24"/>
          <w:highlight w:val="none"/>
        </w:rPr>
        <w:t>上的为中型企业；从业人员10人及以上，且营业收入100万元及以上的为小型企业；从业</w:t>
      </w:r>
      <w:r>
        <w:rPr>
          <w:rFonts w:hint="eastAsia" w:ascii="宋体" w:hAnsi="宋体" w:eastAsia="宋体" w:cs="宋体"/>
          <w:color w:val="auto"/>
          <w:spacing w:val="-4"/>
          <w:sz w:val="24"/>
          <w:szCs w:val="24"/>
          <w:highlight w:val="none"/>
        </w:rPr>
        <w:t>人员10人以下或营业收入100万元以下的为微型企业。</w:t>
      </w:r>
    </w:p>
    <w:p w14:paraId="01C4CF7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（十）餐饮业。</w:t>
      </w:r>
      <w:r>
        <w:rPr>
          <w:rFonts w:hint="eastAsia" w:ascii="宋体" w:hAnsi="宋体" w:eastAsia="宋体" w:cs="宋体"/>
          <w:color w:val="auto"/>
          <w:spacing w:val="-4"/>
          <w:sz w:val="24"/>
          <w:szCs w:val="24"/>
          <w:highlight w:val="none"/>
        </w:rPr>
        <w:t>从业人员300人以下或营业收入10000万</w:t>
      </w:r>
      <w:r>
        <w:rPr>
          <w:rFonts w:hint="eastAsia" w:ascii="宋体" w:hAnsi="宋体" w:eastAsia="宋体" w:cs="宋体"/>
          <w:color w:val="auto"/>
          <w:spacing w:val="-5"/>
          <w:sz w:val="24"/>
          <w:szCs w:val="24"/>
          <w:highlight w:val="none"/>
        </w:rPr>
        <w:t>元以下的为中小微</w:t>
      </w:r>
      <w:r>
        <w:rPr>
          <w:rFonts w:hint="eastAsia" w:ascii="宋体" w:hAnsi="宋体" w:eastAsia="宋体" w:cs="宋体"/>
          <w:color w:val="auto"/>
          <w:spacing w:val="-2"/>
          <w:sz w:val="24"/>
          <w:szCs w:val="24"/>
          <w:highlight w:val="none"/>
        </w:rPr>
        <w:t>型企业。其中，从业人员100人及以上，且营业收入2000万元及以</w:t>
      </w:r>
      <w:r>
        <w:rPr>
          <w:rFonts w:hint="eastAsia" w:ascii="宋体" w:hAnsi="宋体" w:eastAsia="宋体" w:cs="宋体"/>
          <w:color w:val="auto"/>
          <w:spacing w:val="-3"/>
          <w:sz w:val="24"/>
          <w:szCs w:val="24"/>
          <w:highlight w:val="none"/>
        </w:rPr>
        <w:t>上的为中型企业；从业人员10人及以上，且营业收入100万元及以上的为小型企业；从业</w:t>
      </w:r>
      <w:r>
        <w:rPr>
          <w:rFonts w:hint="eastAsia" w:ascii="宋体" w:hAnsi="宋体" w:eastAsia="宋体" w:cs="宋体"/>
          <w:color w:val="auto"/>
          <w:spacing w:val="-4"/>
          <w:sz w:val="24"/>
          <w:szCs w:val="24"/>
          <w:highlight w:val="none"/>
        </w:rPr>
        <w:t>人员10人以下或营业收入100万元以下的为微型企业。</w:t>
      </w:r>
    </w:p>
    <w:p w14:paraId="31C6FD8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1"/>
          <w:highlight w:val="none"/>
        </w:rPr>
      </w:pPr>
      <w:r>
        <w:rPr>
          <w:rFonts w:hint="eastAsia" w:ascii="宋体" w:hAnsi="宋体" w:eastAsia="宋体" w:cs="宋体"/>
          <w:b/>
          <w:bCs/>
          <w:color w:val="auto"/>
          <w:spacing w:val="-4"/>
          <w:sz w:val="24"/>
          <w:szCs w:val="24"/>
          <w:highlight w:val="none"/>
        </w:rPr>
        <w:t>（十一）信息传输业。</w:t>
      </w:r>
      <w:r>
        <w:rPr>
          <w:rFonts w:hint="eastAsia" w:ascii="宋体" w:hAnsi="宋体" w:eastAsia="宋体" w:cs="宋体"/>
          <w:color w:val="auto"/>
          <w:spacing w:val="-4"/>
          <w:sz w:val="24"/>
          <w:szCs w:val="24"/>
          <w:highlight w:val="none"/>
        </w:rPr>
        <w:t>从业人员2000人以下或营业收入100000万元以下的</w:t>
      </w:r>
      <w:r>
        <w:rPr>
          <w:rFonts w:hint="eastAsia" w:ascii="宋体" w:hAnsi="宋体" w:eastAsia="宋体" w:cs="宋体"/>
          <w:color w:val="auto"/>
          <w:spacing w:val="-2"/>
          <w:sz w:val="24"/>
          <w:szCs w:val="24"/>
          <w:highlight w:val="none"/>
        </w:rPr>
        <w:t>为中小微型企业。其中，从业人员100人及</w:t>
      </w:r>
      <w:r>
        <w:rPr>
          <w:rFonts w:hint="eastAsia" w:ascii="宋体" w:hAnsi="宋体" w:eastAsia="宋体" w:cs="宋体"/>
          <w:color w:val="auto"/>
          <w:spacing w:val="-3"/>
          <w:sz w:val="24"/>
          <w:szCs w:val="24"/>
          <w:highlight w:val="none"/>
        </w:rPr>
        <w:t>以上，且营业收入1000万元及以上的为中型企业；从业人员10人及以上，且营业收入100万元及以上的为小型企业；从业人员10人以下或营业收入100</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万元以下的为微型企业。</w:t>
      </w:r>
    </w:p>
    <w:p w14:paraId="449127E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（十二）软件和信息技术服务业。</w:t>
      </w:r>
      <w:r>
        <w:rPr>
          <w:rFonts w:hint="eastAsia" w:ascii="宋体" w:hAnsi="宋体" w:eastAsia="宋体" w:cs="宋体"/>
          <w:color w:val="auto"/>
          <w:spacing w:val="-4"/>
          <w:sz w:val="24"/>
          <w:szCs w:val="24"/>
          <w:highlight w:val="none"/>
        </w:rPr>
        <w:t>从业人员300人以下或营业收入</w:t>
      </w:r>
      <w:r>
        <w:rPr>
          <w:rFonts w:hint="eastAsia" w:ascii="宋体" w:hAnsi="宋体" w:eastAsia="宋体" w:cs="宋体"/>
          <w:color w:val="auto"/>
          <w:spacing w:val="-5"/>
          <w:sz w:val="24"/>
          <w:szCs w:val="24"/>
          <w:highlight w:val="none"/>
        </w:rPr>
        <w:t>10000万</w:t>
      </w:r>
      <w:r>
        <w:rPr>
          <w:rFonts w:hint="eastAsia" w:ascii="宋体" w:hAnsi="宋体" w:eastAsia="宋体" w:cs="宋体"/>
          <w:color w:val="auto"/>
          <w:spacing w:val="-3"/>
          <w:sz w:val="24"/>
          <w:szCs w:val="24"/>
          <w:highlight w:val="none"/>
        </w:rPr>
        <w:t>元以下的为中小微型企业。其中，从业人员100人及以上，且营业收入1000万</w:t>
      </w:r>
      <w:r>
        <w:rPr>
          <w:rFonts w:hint="eastAsia" w:ascii="宋体" w:hAnsi="宋体" w:eastAsia="宋体" w:cs="宋体"/>
          <w:color w:val="auto"/>
          <w:spacing w:val="-5"/>
          <w:sz w:val="24"/>
          <w:szCs w:val="24"/>
          <w:highlight w:val="none"/>
        </w:rPr>
        <w:t>元及以上的为中型企业；从业人员10人及以上，且营业收入50万元及以上的为</w:t>
      </w:r>
      <w:r>
        <w:rPr>
          <w:rFonts w:hint="eastAsia" w:ascii="宋体" w:hAnsi="宋体" w:eastAsia="宋体" w:cs="宋体"/>
          <w:color w:val="auto"/>
          <w:spacing w:val="-3"/>
          <w:sz w:val="24"/>
          <w:szCs w:val="24"/>
          <w:highlight w:val="none"/>
        </w:rPr>
        <w:t>小型企业；从业人员10人以下或营业收入50万元以下的为微型企业。</w:t>
      </w:r>
    </w:p>
    <w:p w14:paraId="23325E8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（十三）房地产开发经营。</w:t>
      </w:r>
      <w:r>
        <w:rPr>
          <w:rFonts w:hint="eastAsia" w:ascii="宋体" w:hAnsi="宋体" w:eastAsia="宋体" w:cs="宋体"/>
          <w:color w:val="auto"/>
          <w:spacing w:val="-2"/>
          <w:sz w:val="24"/>
          <w:szCs w:val="24"/>
          <w:highlight w:val="none"/>
        </w:rPr>
        <w:t>营业收入200</w:t>
      </w:r>
      <w:r>
        <w:rPr>
          <w:rFonts w:hint="eastAsia" w:ascii="宋体" w:hAnsi="宋体" w:eastAsia="宋体" w:cs="宋体"/>
          <w:color w:val="auto"/>
          <w:spacing w:val="-3"/>
          <w:sz w:val="24"/>
          <w:szCs w:val="24"/>
          <w:highlight w:val="none"/>
        </w:rPr>
        <w:t>000万元以下或资产总额10000万元以下的为中小微型企业。其中，营业收入1000万元及以上，且资产总额5000</w:t>
      </w:r>
      <w:r>
        <w:rPr>
          <w:rFonts w:hint="eastAsia" w:ascii="宋体" w:hAnsi="宋体" w:eastAsia="宋体" w:cs="宋体"/>
          <w:color w:val="auto"/>
          <w:spacing w:val="-2"/>
          <w:sz w:val="24"/>
          <w:szCs w:val="24"/>
          <w:highlight w:val="none"/>
        </w:rPr>
        <w:t>万元及以上的为中型企业；营业收入100万元及以上，且资产总</w:t>
      </w:r>
      <w:r>
        <w:rPr>
          <w:rFonts w:hint="eastAsia" w:ascii="宋体" w:hAnsi="宋体" w:eastAsia="宋体" w:cs="宋体"/>
          <w:color w:val="auto"/>
          <w:spacing w:val="-3"/>
          <w:sz w:val="24"/>
          <w:szCs w:val="24"/>
          <w:highlight w:val="none"/>
        </w:rPr>
        <w:t>额2000万元及</w:t>
      </w:r>
      <w:r>
        <w:rPr>
          <w:rFonts w:hint="eastAsia" w:ascii="宋体" w:hAnsi="宋体" w:eastAsia="宋体" w:cs="宋体"/>
          <w:color w:val="auto"/>
          <w:spacing w:val="-2"/>
          <w:sz w:val="24"/>
          <w:szCs w:val="24"/>
          <w:highlight w:val="none"/>
        </w:rPr>
        <w:t>以上的为小型企业；营业收入100万元以下或资产总额2000</w:t>
      </w:r>
      <w:r>
        <w:rPr>
          <w:rFonts w:hint="eastAsia" w:ascii="宋体" w:hAnsi="宋体" w:eastAsia="宋体" w:cs="宋体"/>
          <w:color w:val="auto"/>
          <w:spacing w:val="-3"/>
          <w:sz w:val="24"/>
          <w:szCs w:val="24"/>
          <w:highlight w:val="none"/>
        </w:rPr>
        <w:t>万元以下的为微型</w:t>
      </w:r>
      <w:r>
        <w:rPr>
          <w:rFonts w:hint="eastAsia" w:ascii="宋体" w:hAnsi="宋体" w:eastAsia="宋体" w:cs="宋体"/>
          <w:color w:val="auto"/>
          <w:spacing w:val="-4"/>
          <w:sz w:val="24"/>
          <w:szCs w:val="24"/>
          <w:highlight w:val="none"/>
        </w:rPr>
        <w:t>企业。</w:t>
      </w:r>
    </w:p>
    <w:p w14:paraId="5063E4C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（十四）物业管理。</w:t>
      </w:r>
      <w:r>
        <w:rPr>
          <w:rFonts w:hint="eastAsia" w:ascii="宋体" w:hAnsi="宋体" w:eastAsia="宋体" w:cs="宋体"/>
          <w:color w:val="auto"/>
          <w:spacing w:val="-4"/>
          <w:sz w:val="24"/>
          <w:szCs w:val="24"/>
          <w:highlight w:val="none"/>
        </w:rPr>
        <w:t>从业人员1000人以下或营业收入5000万</w:t>
      </w:r>
      <w:r>
        <w:rPr>
          <w:rFonts w:hint="eastAsia" w:ascii="宋体" w:hAnsi="宋体" w:eastAsia="宋体" w:cs="宋体"/>
          <w:color w:val="auto"/>
          <w:spacing w:val="-5"/>
          <w:sz w:val="24"/>
          <w:szCs w:val="24"/>
          <w:highlight w:val="none"/>
        </w:rPr>
        <w:t>元以下的为中</w:t>
      </w:r>
      <w:r>
        <w:rPr>
          <w:rFonts w:hint="eastAsia" w:ascii="宋体" w:hAnsi="宋体" w:eastAsia="宋体" w:cs="宋体"/>
          <w:color w:val="auto"/>
          <w:spacing w:val="-2"/>
          <w:sz w:val="24"/>
          <w:szCs w:val="24"/>
          <w:highlight w:val="none"/>
        </w:rPr>
        <w:t>小微型企业。其中，从业人员300人及以上，且营业收入1000</w:t>
      </w:r>
      <w:r>
        <w:rPr>
          <w:rFonts w:hint="eastAsia" w:ascii="宋体" w:hAnsi="宋体" w:eastAsia="宋体" w:cs="宋体"/>
          <w:color w:val="auto"/>
          <w:spacing w:val="-3"/>
          <w:sz w:val="24"/>
          <w:szCs w:val="24"/>
          <w:highlight w:val="none"/>
        </w:rPr>
        <w:t>万元及以上的为</w:t>
      </w:r>
      <w:r>
        <w:rPr>
          <w:rFonts w:hint="eastAsia" w:ascii="宋体" w:hAnsi="宋体" w:eastAsia="宋体" w:cs="宋体"/>
          <w:color w:val="auto"/>
          <w:spacing w:val="-4"/>
          <w:sz w:val="24"/>
          <w:szCs w:val="24"/>
          <w:highlight w:val="none"/>
        </w:rPr>
        <w:t>中型企业；从业人员100人及以上，且营业收入</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500</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4"/>
          <w:sz w:val="24"/>
          <w:szCs w:val="24"/>
          <w:highlight w:val="none"/>
        </w:rPr>
        <w:t>万元及以上的为小型企业；</w:t>
      </w:r>
      <w:r>
        <w:rPr>
          <w:rFonts w:hint="eastAsia" w:ascii="宋体" w:hAnsi="宋体" w:eastAsia="宋体" w:cs="宋体"/>
          <w:color w:val="auto"/>
          <w:spacing w:val="-3"/>
          <w:sz w:val="24"/>
          <w:szCs w:val="24"/>
          <w:highlight w:val="none"/>
        </w:rPr>
        <w:t>从业人员100人以下或营业收入500万元以下的为微型企业。</w:t>
      </w:r>
    </w:p>
    <w:p w14:paraId="468B97C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（十五）租赁和商务服务业。</w:t>
      </w:r>
      <w:r>
        <w:rPr>
          <w:rFonts w:hint="eastAsia" w:ascii="宋体" w:hAnsi="宋体" w:eastAsia="宋体" w:cs="宋体"/>
          <w:color w:val="auto"/>
          <w:spacing w:val="-3"/>
          <w:sz w:val="24"/>
          <w:szCs w:val="24"/>
          <w:highlight w:val="none"/>
        </w:rPr>
        <w:t>从业人员300人以下或资产总额120000万元</w:t>
      </w:r>
      <w:r>
        <w:rPr>
          <w:rFonts w:hint="eastAsia" w:ascii="宋体" w:hAnsi="宋体" w:eastAsia="宋体" w:cs="宋体"/>
          <w:color w:val="auto"/>
          <w:sz w:val="24"/>
          <w:szCs w:val="24"/>
          <w:highlight w:val="none"/>
        </w:rPr>
        <w:t>以下的为中小微型企业。其中，从业人员100人及以上，且资产总额800</w:t>
      </w:r>
      <w:r>
        <w:rPr>
          <w:rFonts w:hint="eastAsia" w:ascii="宋体" w:hAnsi="宋体" w:eastAsia="宋体" w:cs="宋体"/>
          <w:color w:val="auto"/>
          <w:spacing w:val="-1"/>
          <w:sz w:val="24"/>
          <w:szCs w:val="24"/>
          <w:highlight w:val="none"/>
        </w:rPr>
        <w:t>0万元</w:t>
      </w:r>
      <w:r>
        <w:rPr>
          <w:rFonts w:hint="eastAsia" w:ascii="宋体" w:hAnsi="宋体" w:eastAsia="宋体" w:cs="宋体"/>
          <w:color w:val="auto"/>
          <w:spacing w:val="-3"/>
          <w:sz w:val="24"/>
          <w:szCs w:val="24"/>
          <w:highlight w:val="none"/>
        </w:rPr>
        <w:t>及以上的为中型企业；从业人员10人及以上，且资产总额100万元及以上的为小型企业；从业人员10人以下或资产总额100万元以下的为微型企业。</w:t>
      </w:r>
    </w:p>
    <w:p w14:paraId="02CBC57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（十六）其他未列明行业。</w:t>
      </w:r>
      <w:r>
        <w:rPr>
          <w:rFonts w:hint="eastAsia" w:ascii="宋体" w:hAnsi="宋体" w:eastAsia="宋体" w:cs="宋体"/>
          <w:color w:val="auto"/>
          <w:spacing w:val="-4"/>
          <w:sz w:val="24"/>
          <w:szCs w:val="24"/>
          <w:highlight w:val="none"/>
        </w:rPr>
        <w:t>从业人员300人以下的为中小微型企业。其中，从业</w:t>
      </w:r>
      <w:r>
        <w:rPr>
          <w:rFonts w:hint="eastAsia" w:ascii="宋体" w:hAnsi="宋体" w:eastAsia="宋体" w:cs="宋体"/>
          <w:color w:val="auto"/>
          <w:spacing w:val="-3"/>
          <w:sz w:val="24"/>
          <w:szCs w:val="24"/>
          <w:highlight w:val="none"/>
        </w:rPr>
        <w:t>人员100人及以上的为中型企业；从业人员10人及以上的为小型企业；从业人</w:t>
      </w:r>
      <w:r>
        <w:rPr>
          <w:rFonts w:hint="eastAsia" w:ascii="宋体" w:hAnsi="宋体" w:eastAsia="宋体" w:cs="宋体"/>
          <w:color w:val="auto"/>
          <w:spacing w:val="-4"/>
          <w:sz w:val="24"/>
          <w:szCs w:val="24"/>
          <w:highlight w:val="none"/>
        </w:rPr>
        <w:t>员10人以下的为微型企业。</w:t>
      </w:r>
    </w:p>
    <w:p w14:paraId="099513F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五、企业类型的划分以统计部门的统计数据为依据。</w:t>
      </w:r>
    </w:p>
    <w:p w14:paraId="1DEA014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六、本规定适用于在中华人民共和国境内依法设立的各类所有制和各</w:t>
      </w:r>
      <w:r>
        <w:rPr>
          <w:rFonts w:hint="eastAsia" w:ascii="宋体" w:hAnsi="宋体" w:eastAsia="宋体" w:cs="宋体"/>
          <w:color w:val="auto"/>
          <w:spacing w:val="-4"/>
          <w:sz w:val="24"/>
          <w:szCs w:val="24"/>
          <w:highlight w:val="none"/>
        </w:rPr>
        <w:t>种组织</w:t>
      </w:r>
      <w:r>
        <w:rPr>
          <w:rFonts w:hint="eastAsia" w:ascii="宋体" w:hAnsi="宋体" w:eastAsia="宋体" w:cs="宋体"/>
          <w:color w:val="auto"/>
          <w:spacing w:val="-1"/>
          <w:sz w:val="24"/>
          <w:szCs w:val="24"/>
          <w:highlight w:val="none"/>
        </w:rPr>
        <w:t>形式的企业。个体工商户和本规定以外的行业，参照本规定进行划型。</w:t>
      </w:r>
    </w:p>
    <w:p w14:paraId="34D98D8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七、本规定的中型企业标准上限即为大型企业标准的下限，国家统计部门据此制定大中小微型企业的统计分类。国务院有关部门据此进行相关数据分析，不</w:t>
      </w:r>
      <w:r>
        <w:rPr>
          <w:rFonts w:hint="eastAsia" w:ascii="宋体" w:hAnsi="宋体" w:eastAsia="宋体" w:cs="宋体"/>
          <w:color w:val="auto"/>
          <w:spacing w:val="-1"/>
          <w:sz w:val="24"/>
          <w:szCs w:val="24"/>
          <w:highlight w:val="none"/>
        </w:rPr>
        <w:t>得制定与本规定不一致的企业划型标准。</w:t>
      </w:r>
    </w:p>
    <w:p w14:paraId="74FD409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八、本规定由工业和信息化部、国家统计局会同有关部门根</w:t>
      </w:r>
      <w:r>
        <w:rPr>
          <w:rFonts w:hint="eastAsia" w:ascii="宋体" w:hAnsi="宋体" w:eastAsia="宋体" w:cs="宋体"/>
          <w:color w:val="auto"/>
          <w:spacing w:val="-4"/>
          <w:sz w:val="24"/>
          <w:szCs w:val="24"/>
          <w:highlight w:val="none"/>
        </w:rPr>
        <w:t>据《国民经济行</w:t>
      </w:r>
      <w:r>
        <w:rPr>
          <w:rFonts w:hint="eastAsia" w:ascii="宋体" w:hAnsi="宋体" w:eastAsia="宋体" w:cs="宋体"/>
          <w:color w:val="auto"/>
          <w:spacing w:val="-1"/>
          <w:sz w:val="24"/>
          <w:szCs w:val="24"/>
          <w:highlight w:val="none"/>
        </w:rPr>
        <w:t>业分类》修订情况和企业发展变化情况适时修订。</w:t>
      </w:r>
    </w:p>
    <w:p w14:paraId="5E06E2A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九、本规定由工业和信息化部、国家统计局会同有关部门负责解释。</w:t>
      </w:r>
    </w:p>
    <w:p w14:paraId="23F79C3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十、本规定自发布之日起执行，原国家经贸委、原国家计委、财政部和国家统计</w:t>
      </w:r>
      <w:r>
        <w:rPr>
          <w:rFonts w:hint="eastAsia" w:ascii="宋体" w:hAnsi="宋体" w:eastAsia="宋体" w:cs="宋体"/>
          <w:color w:val="auto"/>
          <w:spacing w:val="-2"/>
          <w:sz w:val="24"/>
          <w:szCs w:val="24"/>
          <w:highlight w:val="none"/>
        </w:rPr>
        <w:t>局2003年颁布的《中小企业标准暂行规定》同时废止。</w:t>
      </w:r>
    </w:p>
    <w:p w14:paraId="5C2DE854">
      <w:pPr>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auto"/>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5364ACA9">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附件3：</w:t>
      </w:r>
    </w:p>
    <w:p w14:paraId="4DC41B6E">
      <w:pPr>
        <w:keepNext w:val="0"/>
        <w:keepLines w:val="0"/>
        <w:pageBreakBefore w:val="0"/>
        <w:widowControl/>
        <w:kinsoku/>
        <w:wordWrap w:val="0"/>
        <w:overflowPunct/>
        <w:topLinePunct/>
        <w:autoSpaceDE w:val="0"/>
        <w:autoSpaceDN w:val="0"/>
        <w:bidi w:val="0"/>
        <w:adjustRightInd w:val="0"/>
        <w:snapToGrid w:val="0"/>
        <w:spacing w:line="348" w:lineRule="auto"/>
        <w:jc w:val="both"/>
        <w:textAlignment w:val="baseline"/>
        <w:rPr>
          <w:rFonts w:hint="eastAsia" w:ascii="宋体" w:hAnsi="宋体" w:eastAsia="宋体" w:cs="宋体"/>
          <w:color w:val="auto"/>
          <w:sz w:val="21"/>
          <w:highlight w:val="none"/>
        </w:rPr>
      </w:pPr>
    </w:p>
    <w:p w14:paraId="5CB2B3F7">
      <w:pPr>
        <w:pStyle w:val="15"/>
        <w:keepNext w:val="0"/>
        <w:keepLines w:val="0"/>
        <w:pageBreakBefore w:val="0"/>
        <w:widowControl/>
        <w:kinsoku/>
        <w:wordWrap w:val="0"/>
        <w:overflowPunct/>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31"/>
          <w:szCs w:val="31"/>
          <w:highlight w:val="none"/>
        </w:rPr>
      </w:pPr>
      <w:r>
        <w:rPr>
          <w:rFonts w:hint="eastAsia" w:ascii="宋体" w:hAnsi="宋体" w:eastAsia="宋体" w:cs="宋体"/>
          <w:b/>
          <w:bCs/>
          <w:color w:val="auto"/>
          <w:spacing w:val="6"/>
          <w:sz w:val="31"/>
          <w:szCs w:val="31"/>
          <w:highlight w:val="none"/>
        </w:rPr>
        <w:t>关于印发《金融业企业划型标准规定》的通知</w:t>
      </w:r>
    </w:p>
    <w:p w14:paraId="24C6A8CE">
      <w:pPr>
        <w:pStyle w:val="15"/>
        <w:keepNext w:val="0"/>
        <w:keepLines w:val="0"/>
        <w:pageBreakBefore w:val="0"/>
        <w:widowControl/>
        <w:kinsoku/>
        <w:wordWrap w:val="0"/>
        <w:overflowPunct/>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银发〔2015〕309号</w:t>
      </w:r>
    </w:p>
    <w:p w14:paraId="48F0FC4D">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为进一步贯彻落实《中华人民共和国中小企业促进法》、《国</w:t>
      </w:r>
      <w:r>
        <w:rPr>
          <w:rFonts w:hint="eastAsia" w:ascii="宋体" w:hAnsi="宋体" w:eastAsia="宋体" w:cs="宋体"/>
          <w:color w:val="auto"/>
          <w:spacing w:val="-4"/>
          <w:sz w:val="24"/>
          <w:szCs w:val="24"/>
          <w:highlight w:val="none"/>
        </w:rPr>
        <w:t>务院关于进一</w:t>
      </w:r>
      <w:r>
        <w:rPr>
          <w:rFonts w:hint="eastAsia" w:ascii="宋体" w:hAnsi="宋体" w:eastAsia="宋体" w:cs="宋体"/>
          <w:color w:val="auto"/>
          <w:spacing w:val="-1"/>
          <w:sz w:val="24"/>
          <w:szCs w:val="24"/>
          <w:highlight w:val="none"/>
        </w:rPr>
        <w:t>步促进中小企业发展的若干意见》（国发〔2009〕36号）、《国务院办公厅关于金融支持小微企业发展的实施意见》（国办发〔2013〕87号</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推动中小金融机构健康发展，加大金融对实体经济的支</w:t>
      </w:r>
      <w:r>
        <w:rPr>
          <w:rFonts w:hint="eastAsia" w:ascii="宋体" w:hAnsi="宋体" w:eastAsia="宋体" w:cs="宋体"/>
          <w:color w:val="auto"/>
          <w:spacing w:val="-2"/>
          <w:sz w:val="24"/>
          <w:szCs w:val="24"/>
          <w:highlight w:val="none"/>
        </w:rPr>
        <w:t>持，人民银行会同银监会、证监会、</w:t>
      </w:r>
      <w:r>
        <w:rPr>
          <w:rFonts w:hint="eastAsia" w:ascii="宋体" w:hAnsi="宋体" w:eastAsia="宋体" w:cs="宋体"/>
          <w:color w:val="auto"/>
          <w:spacing w:val="-1"/>
          <w:sz w:val="24"/>
          <w:szCs w:val="24"/>
          <w:highlight w:val="none"/>
        </w:rPr>
        <w:t>保监会和国家统计局联合研究制定了《金融</w:t>
      </w:r>
      <w:r>
        <w:rPr>
          <w:rFonts w:hint="eastAsia" w:ascii="宋体" w:hAnsi="宋体" w:eastAsia="宋体" w:cs="宋体"/>
          <w:color w:val="auto"/>
          <w:spacing w:val="-2"/>
          <w:sz w:val="24"/>
          <w:szCs w:val="24"/>
          <w:highlight w:val="none"/>
        </w:rPr>
        <w:t>业企业划型标准规定》（见附件）。</w:t>
      </w:r>
      <w:r>
        <w:rPr>
          <w:rFonts w:hint="eastAsia" w:ascii="宋体" w:hAnsi="宋体" w:eastAsia="宋体" w:cs="宋体"/>
          <w:color w:val="auto"/>
          <w:spacing w:val="-1"/>
          <w:sz w:val="24"/>
          <w:szCs w:val="24"/>
          <w:highlight w:val="none"/>
        </w:rPr>
        <w:t>经国务院同意，现印发给你们，请遵照执行。</w:t>
      </w:r>
    </w:p>
    <w:p w14:paraId="1B8C8C0E">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请人民银行上海总部，各分行、营业管理部、省会（首府）城市中心支行、</w:t>
      </w:r>
      <w:r>
        <w:rPr>
          <w:rFonts w:hint="eastAsia" w:ascii="宋体" w:hAnsi="宋体" w:eastAsia="宋体" w:cs="宋体"/>
          <w:color w:val="auto"/>
          <w:spacing w:val="-3"/>
          <w:sz w:val="24"/>
          <w:szCs w:val="24"/>
          <w:highlight w:val="none"/>
        </w:rPr>
        <w:t>副省级城市中心支行会同所在省（区、市）银监局、证监局、保监局、统计局将</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本通知联合转发至辖内相关机构。</w:t>
      </w:r>
    </w:p>
    <w:p w14:paraId="3847FDD8">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5DBE0EB0">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附件：金融业企业划型标准规定</w:t>
      </w:r>
    </w:p>
    <w:p w14:paraId="516CA044">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1CD74FE5">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2ADF2506">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5678" w:firstLineChars="2406"/>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中国人民银行</w:t>
      </w:r>
    </w:p>
    <w:p w14:paraId="130929B4">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5678" w:firstLineChars="2406"/>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中国银行业监督管理委员会</w:t>
      </w:r>
    </w:p>
    <w:p w14:paraId="274FCEDE">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5678" w:firstLineChars="2406"/>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中国证券监督管理委员会</w:t>
      </w:r>
    </w:p>
    <w:p w14:paraId="699DE596">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5678" w:firstLineChars="2406"/>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中国保险监督管理委员会</w:t>
      </w:r>
    </w:p>
    <w:p w14:paraId="5F2C342D">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5678" w:firstLineChars="2406"/>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中华人民共和国国家统计局</w:t>
      </w:r>
    </w:p>
    <w:p w14:paraId="3C0D83CA">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171871F8">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6381" w:firstLineChars="2704"/>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2015年9月28日</w:t>
      </w:r>
    </w:p>
    <w:p w14:paraId="030F62C8">
      <w:pPr>
        <w:keepNext w:val="0"/>
        <w:keepLines w:val="0"/>
        <w:pageBreakBefore w:val="0"/>
        <w:widowControl/>
        <w:kinsoku/>
        <w:wordWrap w:val="0"/>
        <w:overflowPunct/>
        <w:topLinePunct/>
        <w:autoSpaceDE w:val="0"/>
        <w:autoSpaceDN w:val="0"/>
        <w:bidi w:val="0"/>
        <w:adjustRightInd w:val="0"/>
        <w:snapToGrid w:val="0"/>
        <w:spacing w:line="220" w:lineRule="auto"/>
        <w:jc w:val="both"/>
        <w:textAlignment w:val="baseline"/>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7A06FE07">
      <w:pPr>
        <w:pStyle w:val="15"/>
        <w:keepNext w:val="0"/>
        <w:keepLines w:val="0"/>
        <w:pageBreakBefore w:val="0"/>
        <w:widowControl w:val="0"/>
        <w:kinsoku/>
        <w:wordWrap w:val="0"/>
        <w:overflowPunct/>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金融业企业划型标准规定</w:t>
      </w:r>
    </w:p>
    <w:p w14:paraId="2C46CFDD">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一、根据《中华人民共和国中小企业促进法》、《国务院关</w:t>
      </w:r>
      <w:r>
        <w:rPr>
          <w:rFonts w:hint="eastAsia" w:ascii="宋体" w:hAnsi="宋体" w:eastAsia="宋体" w:cs="宋体"/>
          <w:color w:val="auto"/>
          <w:spacing w:val="-4"/>
          <w:sz w:val="24"/>
          <w:szCs w:val="24"/>
          <w:highlight w:val="none"/>
        </w:rPr>
        <w:t>于进一步促进中</w:t>
      </w:r>
      <w:r>
        <w:rPr>
          <w:rFonts w:hint="eastAsia" w:ascii="宋体" w:hAnsi="宋体" w:eastAsia="宋体" w:cs="宋体"/>
          <w:color w:val="auto"/>
          <w:spacing w:val="-1"/>
          <w:sz w:val="24"/>
          <w:szCs w:val="24"/>
          <w:highlight w:val="none"/>
        </w:rPr>
        <w:t>小企业发展的若干意见》（国发〔2009〕36号）和《国务院办公厅关于金融支持小微企业发展的实施意见》（国办发〔2013〕87</w:t>
      </w:r>
      <w:r>
        <w:rPr>
          <w:rFonts w:hint="eastAsia" w:ascii="宋体" w:hAnsi="宋体" w:eastAsia="宋体" w:cs="宋体"/>
          <w:color w:val="auto"/>
          <w:spacing w:val="-2"/>
          <w:sz w:val="24"/>
          <w:szCs w:val="24"/>
          <w:highlight w:val="none"/>
        </w:rPr>
        <w:t>号</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2"/>
          <w:sz w:val="24"/>
          <w:szCs w:val="24"/>
          <w:highlight w:val="none"/>
        </w:rPr>
        <w:t>制定本规定。</w:t>
      </w:r>
    </w:p>
    <w:p w14:paraId="7ECD6023">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二、适用范围。本规定适用于从事《国民经济行业分类》（GB/T475</w:t>
      </w:r>
      <w:r>
        <w:rPr>
          <w:rFonts w:hint="eastAsia" w:ascii="宋体" w:hAnsi="宋体" w:eastAsia="宋体" w:cs="宋体"/>
          <w:color w:val="auto"/>
          <w:spacing w:val="-4"/>
          <w:sz w:val="24"/>
          <w:szCs w:val="24"/>
          <w:highlight w:val="none"/>
        </w:rPr>
        <w:t>4-2011）</w:t>
      </w:r>
      <w:r>
        <w:rPr>
          <w:rFonts w:hint="eastAsia" w:ascii="宋体" w:hAnsi="宋体" w:eastAsia="宋体" w:cs="宋体"/>
          <w:color w:val="auto"/>
          <w:spacing w:val="-6"/>
          <w:sz w:val="24"/>
          <w:szCs w:val="24"/>
          <w:highlight w:val="none"/>
        </w:rPr>
        <w:t>中J门类（金融业）活动的企业。</w:t>
      </w:r>
    </w:p>
    <w:p w14:paraId="72C05D39">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3"/>
          <w:sz w:val="24"/>
          <w:szCs w:val="24"/>
          <w:highlight w:val="none"/>
        </w:rPr>
        <w:t>三、行业分类。采用复合分类方法对金融业企业进行分类。首先</w:t>
      </w:r>
      <w:r>
        <w:rPr>
          <w:rFonts w:hint="eastAsia" w:ascii="宋体" w:hAnsi="宋体" w:eastAsia="宋体" w:cs="宋体"/>
          <w:color w:val="auto"/>
          <w:spacing w:val="-4"/>
          <w:sz w:val="24"/>
          <w:szCs w:val="24"/>
          <w:highlight w:val="none"/>
        </w:rPr>
        <w:t>，按《国民</w:t>
      </w:r>
      <w:r>
        <w:rPr>
          <w:rFonts w:hint="eastAsia" w:ascii="宋体" w:hAnsi="宋体" w:eastAsia="宋体" w:cs="宋体"/>
          <w:color w:val="auto"/>
          <w:spacing w:val="-3"/>
          <w:sz w:val="24"/>
          <w:szCs w:val="24"/>
          <w:highlight w:val="none"/>
        </w:rPr>
        <w:t>经济行业分类》将金融业企业分为货币金融服务、资本市场服务、保险业、其他</w:t>
      </w:r>
      <w:r>
        <w:rPr>
          <w:rFonts w:hint="eastAsia" w:ascii="宋体" w:hAnsi="宋体" w:eastAsia="宋体" w:cs="宋体"/>
          <w:color w:val="auto"/>
          <w:spacing w:val="-8"/>
          <w:sz w:val="24"/>
          <w:szCs w:val="24"/>
          <w:highlight w:val="none"/>
        </w:rPr>
        <w:t>金融业四大类。其次，将货币金融服务分为货币银行服务和非货币银行服务两类，</w:t>
      </w:r>
      <w:r>
        <w:rPr>
          <w:rFonts w:hint="eastAsia" w:ascii="宋体" w:hAnsi="宋体" w:eastAsia="宋体" w:cs="宋体"/>
          <w:color w:val="auto"/>
          <w:spacing w:val="-3"/>
          <w:sz w:val="24"/>
          <w:szCs w:val="24"/>
          <w:highlight w:val="none"/>
        </w:rPr>
        <w:t>将其他金融业分为金融信托与管理服务、控股公司服务和其他未包括的金融业三</w:t>
      </w:r>
      <w:r>
        <w:rPr>
          <w:rFonts w:hint="eastAsia" w:ascii="宋体" w:hAnsi="宋体" w:eastAsia="宋体" w:cs="宋体"/>
          <w:color w:val="auto"/>
          <w:spacing w:val="-1"/>
          <w:sz w:val="24"/>
          <w:szCs w:val="24"/>
          <w:highlight w:val="none"/>
        </w:rPr>
        <w:t>类。最后，按经济性质将货币银行服务类金融企</w:t>
      </w:r>
      <w:r>
        <w:rPr>
          <w:rFonts w:hint="eastAsia" w:ascii="宋体" w:hAnsi="宋体" w:eastAsia="宋体" w:cs="宋体"/>
          <w:color w:val="auto"/>
          <w:spacing w:val="-8"/>
          <w:sz w:val="24"/>
          <w:szCs w:val="24"/>
          <w:highlight w:val="none"/>
        </w:rPr>
        <w:t>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3043C8D">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四、划型标准指标。采用一个完整会计年度中四个季度末法人并表口径的资产总额（信托公司为信托资产）平均值作为划型指标，该指标以监管部门数据为准。</w:t>
      </w:r>
    </w:p>
    <w:p w14:paraId="30F18547">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五、指标标准值。依据指标标准值，将各类金融业企业划分为大、中、小、微四个规模类型，中型企业标准上限及以上的为大型企业。</w:t>
      </w:r>
    </w:p>
    <w:p w14:paraId="69515EFF">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805B8DA">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7D5625C0">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3880B5D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5CE1D124">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342AE645">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7CF1A5B6">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289A2336">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4EB46089">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0117EB36">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七、标准值的评估和调整。金融业企业划型标准工作组每五年对划型标准值受经济发展与通货膨胀等因素的影响程度进行评估和调整。</w:t>
      </w:r>
    </w:p>
    <w:p w14:paraId="11D7B7D5">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八、本规定的中型金融业企业标准上限即为大型金融业企业下限。国务院有关部门据此进行相关数据的统计分析，不得制定与本规定不一致的金融业企业划型标准。</w:t>
      </w:r>
    </w:p>
    <w:p w14:paraId="498B2A2B">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九、融资担保公司参照本规定中“除贷款公司、小额贷款公司、典当行以外的其他金融机构”标准划型。</w:t>
      </w:r>
    </w:p>
    <w:p w14:paraId="37903A8A">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十、本规定由人民银行会同银监会、证监会、保监会和统计局负责解释。</w:t>
      </w:r>
    </w:p>
    <w:p w14:paraId="1F49B1B6">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十一、本规定自发布之日起实施。</w:t>
      </w:r>
    </w:p>
    <w:p w14:paraId="44BB92F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附：</w:t>
      </w:r>
      <w:r>
        <w:rPr>
          <w:rFonts w:hint="eastAsia" w:ascii="宋体" w:hAnsi="宋体" w:eastAsia="宋体" w:cs="宋体"/>
          <w:color w:val="auto"/>
          <w:spacing w:val="-8"/>
          <w:sz w:val="24"/>
          <w:szCs w:val="24"/>
          <w:highlight w:val="none"/>
        </w:rPr>
        <w:t>金融业企业划型标准</w:t>
      </w:r>
    </w:p>
    <w:p w14:paraId="30FCE93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sectPr>
          <w:headerReference r:id="rId11" w:type="default"/>
          <w:footerReference r:id="rId12" w:type="default"/>
          <w:type w:val="continuous"/>
          <w:pgSz w:w="11900" w:h="16838"/>
          <w:pgMar w:top="1134" w:right="1134" w:bottom="1134" w:left="1134" w:header="624" w:footer="624" w:gutter="0"/>
          <w:pgNumType w:fmt="numberInDash"/>
          <w:cols w:space="0" w:num="1"/>
          <w:rtlGutter w:val="0"/>
          <w:docGrid w:linePitch="416" w:charSpace="0"/>
        </w:sectPr>
      </w:pPr>
    </w:p>
    <w:p w14:paraId="49786268">
      <w:pPr>
        <w:pStyle w:val="15"/>
        <w:keepNext w:val="0"/>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rPr>
        <w:t>金融业企业划型标准</w:t>
      </w:r>
    </w:p>
    <w:tbl>
      <w:tblPr>
        <w:tblStyle w:val="165"/>
        <w:tblpPr w:leftFromText="180" w:rightFromText="180" w:vertAnchor="text" w:horzAnchor="page" w:tblpX="1188" w:tblpY="268"/>
        <w:tblOverlap w:val="never"/>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2"/>
        <w:gridCol w:w="1312"/>
        <w:gridCol w:w="2041"/>
        <w:gridCol w:w="1284"/>
        <w:gridCol w:w="3658"/>
      </w:tblGrid>
      <w:tr w14:paraId="7C8A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rPr>
        <w:tc>
          <w:tcPr>
            <w:tcW w:w="2574" w:type="dxa"/>
            <w:gridSpan w:val="2"/>
            <w:vAlign w:val="top"/>
          </w:tcPr>
          <w:p w14:paraId="0201FC99">
            <w:pPr>
              <w:pStyle w:val="164"/>
              <w:keepNext w:val="0"/>
              <w:keepLines w:val="0"/>
              <w:pageBreakBefore w:val="0"/>
              <w:widowControl w:val="0"/>
              <w:kinsoku/>
              <w:wordWrap w:val="0"/>
              <w:overflowPunct/>
              <w:topLinePunct/>
              <w:autoSpaceDE/>
              <w:autoSpaceDN/>
              <w:bidi w:val="0"/>
              <w:adjustRightInd w:val="0"/>
              <w:snapToGrid w:val="0"/>
              <w:spacing w:before="78" w:line="229" w:lineRule="auto"/>
              <w:ind w:left="932"/>
              <w:jc w:val="both"/>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rPr>
              <w:t>行业</w:t>
            </w:r>
          </w:p>
        </w:tc>
        <w:tc>
          <w:tcPr>
            <w:tcW w:w="2041" w:type="dxa"/>
            <w:vAlign w:val="top"/>
          </w:tcPr>
          <w:p w14:paraId="07C4D1B8">
            <w:pPr>
              <w:pStyle w:val="164"/>
              <w:keepNext w:val="0"/>
              <w:keepLines w:val="0"/>
              <w:pageBreakBefore w:val="0"/>
              <w:widowControl w:val="0"/>
              <w:kinsoku/>
              <w:wordWrap w:val="0"/>
              <w:overflowPunct/>
              <w:topLinePunct/>
              <w:autoSpaceDE/>
              <w:autoSpaceDN/>
              <w:bidi w:val="0"/>
              <w:adjustRightInd w:val="0"/>
              <w:snapToGrid w:val="0"/>
              <w:spacing w:before="79" w:line="228" w:lineRule="auto"/>
              <w:ind w:left="690"/>
              <w:jc w:val="both"/>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pacing w:val="9"/>
                <w:sz w:val="20"/>
                <w:szCs w:val="20"/>
                <w:highlight w:val="none"/>
              </w:rPr>
              <w:t>类别</w:t>
            </w:r>
          </w:p>
        </w:tc>
        <w:tc>
          <w:tcPr>
            <w:tcW w:w="1284" w:type="dxa"/>
            <w:vAlign w:val="top"/>
          </w:tcPr>
          <w:p w14:paraId="41FD8605">
            <w:pPr>
              <w:pStyle w:val="164"/>
              <w:keepNext w:val="0"/>
              <w:keepLines w:val="0"/>
              <w:pageBreakBefore w:val="0"/>
              <w:widowControl w:val="0"/>
              <w:kinsoku/>
              <w:wordWrap w:val="0"/>
              <w:overflowPunct/>
              <w:topLinePunct/>
              <w:autoSpaceDE/>
              <w:autoSpaceDN/>
              <w:bidi w:val="0"/>
              <w:adjustRightInd w:val="0"/>
              <w:snapToGrid w:val="0"/>
              <w:spacing w:before="79" w:line="228" w:lineRule="auto"/>
              <w:ind w:left="353"/>
              <w:jc w:val="both"/>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pacing w:val="9"/>
                <w:sz w:val="20"/>
                <w:szCs w:val="20"/>
                <w:highlight w:val="none"/>
              </w:rPr>
              <w:t>类型</w:t>
            </w:r>
          </w:p>
        </w:tc>
        <w:tc>
          <w:tcPr>
            <w:tcW w:w="3658" w:type="dxa"/>
            <w:vAlign w:val="top"/>
          </w:tcPr>
          <w:p w14:paraId="5D8F095A">
            <w:pPr>
              <w:pStyle w:val="164"/>
              <w:keepNext w:val="0"/>
              <w:keepLines w:val="0"/>
              <w:pageBreakBefore w:val="0"/>
              <w:widowControl w:val="0"/>
              <w:kinsoku/>
              <w:wordWrap w:val="0"/>
              <w:overflowPunct/>
              <w:topLinePunct/>
              <w:autoSpaceDE/>
              <w:autoSpaceDN/>
              <w:bidi w:val="0"/>
              <w:adjustRightInd w:val="0"/>
              <w:snapToGrid w:val="0"/>
              <w:spacing w:before="79" w:line="228" w:lineRule="auto"/>
              <w:ind w:left="1195"/>
              <w:jc w:val="both"/>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pacing w:val="13"/>
                <w:sz w:val="20"/>
                <w:szCs w:val="20"/>
                <w:highlight w:val="none"/>
              </w:rPr>
              <w:t>资产总额</w:t>
            </w:r>
          </w:p>
        </w:tc>
      </w:tr>
      <w:tr w14:paraId="623D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1262" w:type="dxa"/>
            <w:vMerge w:val="restart"/>
            <w:vAlign w:val="center"/>
          </w:tcPr>
          <w:p w14:paraId="36625E4C">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9"/>
                <w:sz w:val="20"/>
                <w:szCs w:val="20"/>
                <w:highlight w:val="none"/>
              </w:rPr>
              <w:t>货币金融</w:t>
            </w:r>
            <w:r>
              <w:rPr>
                <w:rFonts w:hint="eastAsia" w:ascii="宋体" w:hAnsi="宋体" w:eastAsia="宋体" w:cs="宋体"/>
                <w:color w:val="auto"/>
                <w:spacing w:val="10"/>
                <w:sz w:val="20"/>
                <w:szCs w:val="20"/>
                <w:highlight w:val="none"/>
              </w:rPr>
              <w:t>服务</w:t>
            </w:r>
          </w:p>
        </w:tc>
        <w:tc>
          <w:tcPr>
            <w:tcW w:w="1312" w:type="dxa"/>
            <w:vMerge w:val="restart"/>
            <w:vAlign w:val="center"/>
          </w:tcPr>
          <w:p w14:paraId="5094A1EB">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1"/>
                <w:sz w:val="20"/>
                <w:szCs w:val="20"/>
                <w:highlight w:val="none"/>
              </w:rPr>
              <w:t>货币银行</w:t>
            </w:r>
            <w:r>
              <w:rPr>
                <w:rFonts w:hint="eastAsia" w:ascii="宋体" w:hAnsi="宋体" w:eastAsia="宋体" w:cs="宋体"/>
                <w:color w:val="auto"/>
                <w:spacing w:val="10"/>
                <w:sz w:val="20"/>
                <w:szCs w:val="20"/>
                <w:highlight w:val="none"/>
              </w:rPr>
              <w:t>服务</w:t>
            </w:r>
          </w:p>
        </w:tc>
        <w:tc>
          <w:tcPr>
            <w:tcW w:w="2041" w:type="dxa"/>
            <w:vMerge w:val="restart"/>
            <w:vAlign w:val="center"/>
          </w:tcPr>
          <w:p w14:paraId="35D3EB0F">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25"/>
                <w:sz w:val="20"/>
                <w:szCs w:val="20"/>
                <w:highlight w:val="none"/>
              </w:rPr>
              <w:t>银行业存款类金</w:t>
            </w:r>
            <w:r>
              <w:rPr>
                <w:rFonts w:hint="eastAsia" w:ascii="宋体" w:hAnsi="宋体" w:eastAsia="宋体" w:cs="宋体"/>
                <w:color w:val="auto"/>
                <w:spacing w:val="13"/>
                <w:sz w:val="20"/>
                <w:szCs w:val="20"/>
                <w:highlight w:val="none"/>
              </w:rPr>
              <w:t>融机构</w:t>
            </w:r>
          </w:p>
        </w:tc>
        <w:tc>
          <w:tcPr>
            <w:tcW w:w="1284" w:type="dxa"/>
            <w:vAlign w:val="top"/>
          </w:tcPr>
          <w:p w14:paraId="69D631E0">
            <w:pPr>
              <w:pStyle w:val="164"/>
              <w:keepNext w:val="0"/>
              <w:keepLines w:val="0"/>
              <w:pageBreakBefore w:val="0"/>
              <w:widowControl w:val="0"/>
              <w:kinsoku/>
              <w:wordWrap w:val="0"/>
              <w:overflowPunct/>
              <w:topLinePunct/>
              <w:autoSpaceDE/>
              <w:autoSpaceDN/>
              <w:bidi w:val="0"/>
              <w:adjustRightInd w:val="0"/>
              <w:snapToGrid w:val="0"/>
              <w:spacing w:before="75"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5EC01634">
            <w:pPr>
              <w:pStyle w:val="164"/>
              <w:keepNext w:val="0"/>
              <w:keepLines w:val="0"/>
              <w:pageBreakBefore w:val="0"/>
              <w:widowControl w:val="0"/>
              <w:kinsoku/>
              <w:wordWrap w:val="0"/>
              <w:overflowPunct/>
              <w:topLinePunct/>
              <w:autoSpaceDE/>
              <w:autoSpaceDN/>
              <w:bidi w:val="0"/>
              <w:adjustRightInd w:val="0"/>
              <w:snapToGrid w:val="0"/>
              <w:spacing w:before="75" w:line="228" w:lineRule="auto"/>
              <w:ind w:left="16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5000亿元（含）至40000亿元</w:t>
            </w:r>
          </w:p>
        </w:tc>
      </w:tr>
      <w:tr w14:paraId="0EFF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1262" w:type="dxa"/>
            <w:vMerge w:val="continue"/>
            <w:vAlign w:val="center"/>
          </w:tcPr>
          <w:p w14:paraId="1600C350">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35B22AB0">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27FD0F03">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210D6CCB">
            <w:pPr>
              <w:pStyle w:val="164"/>
              <w:keepNext w:val="0"/>
              <w:keepLines w:val="0"/>
              <w:pageBreakBefore w:val="0"/>
              <w:widowControl w:val="0"/>
              <w:kinsoku/>
              <w:wordWrap w:val="0"/>
              <w:overflowPunct/>
              <w:topLinePunct/>
              <w:autoSpaceDE/>
              <w:autoSpaceDN/>
              <w:bidi w:val="0"/>
              <w:adjustRightInd w:val="0"/>
              <w:snapToGrid w:val="0"/>
              <w:spacing w:before="74"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17246631">
            <w:pPr>
              <w:pStyle w:val="164"/>
              <w:keepNext w:val="0"/>
              <w:keepLines w:val="0"/>
              <w:pageBreakBefore w:val="0"/>
              <w:widowControl w:val="0"/>
              <w:kinsoku/>
              <w:wordWrap w:val="0"/>
              <w:overflowPunct/>
              <w:topLinePunct/>
              <w:autoSpaceDE/>
              <w:autoSpaceDN/>
              <w:bidi w:val="0"/>
              <w:adjustRightInd w:val="0"/>
              <w:snapToGrid w:val="0"/>
              <w:spacing w:before="74" w:line="228" w:lineRule="auto"/>
              <w:ind w:left="33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50亿元（含）至5000亿元</w:t>
            </w:r>
          </w:p>
        </w:tc>
      </w:tr>
      <w:tr w14:paraId="4360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35EEFFEC">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77B595EF">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659FBB7F">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6A037FA1">
            <w:pPr>
              <w:pStyle w:val="164"/>
              <w:keepNext w:val="0"/>
              <w:keepLines w:val="0"/>
              <w:pageBreakBefore w:val="0"/>
              <w:widowControl w:val="0"/>
              <w:kinsoku/>
              <w:wordWrap w:val="0"/>
              <w:overflowPunct/>
              <w:topLinePunct/>
              <w:autoSpaceDE/>
              <w:autoSpaceDN/>
              <w:bidi w:val="0"/>
              <w:adjustRightInd w:val="0"/>
              <w:snapToGrid w:val="0"/>
              <w:spacing w:before="76"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23B8FE3C">
            <w:pPr>
              <w:pStyle w:val="164"/>
              <w:keepNext w:val="0"/>
              <w:keepLines w:val="0"/>
              <w:pageBreakBefore w:val="0"/>
              <w:widowControl w:val="0"/>
              <w:kinsoku/>
              <w:wordWrap w:val="0"/>
              <w:overflowPunct/>
              <w:topLinePunct/>
              <w:autoSpaceDE/>
              <w:autoSpaceDN/>
              <w:bidi w:val="0"/>
              <w:adjustRightInd w:val="0"/>
              <w:snapToGrid w:val="0"/>
              <w:spacing w:before="76" w:line="229" w:lineRule="auto"/>
              <w:ind w:left="1053"/>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50亿元以下</w:t>
            </w:r>
          </w:p>
        </w:tc>
      </w:tr>
      <w:tr w14:paraId="557F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583A2519">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restart"/>
            <w:vAlign w:val="center"/>
          </w:tcPr>
          <w:p w14:paraId="1439E6CE">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1"/>
                <w:sz w:val="20"/>
                <w:szCs w:val="20"/>
                <w:highlight w:val="none"/>
              </w:rPr>
              <w:t>非货币银</w:t>
            </w:r>
            <w:r>
              <w:rPr>
                <w:rFonts w:hint="eastAsia" w:ascii="宋体" w:hAnsi="宋体" w:eastAsia="宋体" w:cs="宋体"/>
                <w:color w:val="auto"/>
                <w:spacing w:val="13"/>
                <w:sz w:val="20"/>
                <w:szCs w:val="20"/>
                <w:highlight w:val="none"/>
              </w:rPr>
              <w:t>行服务</w:t>
            </w:r>
          </w:p>
        </w:tc>
        <w:tc>
          <w:tcPr>
            <w:tcW w:w="2041" w:type="dxa"/>
            <w:vMerge w:val="restart"/>
            <w:vAlign w:val="center"/>
          </w:tcPr>
          <w:p w14:paraId="698B466D">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25"/>
                <w:sz w:val="20"/>
                <w:szCs w:val="20"/>
                <w:highlight w:val="none"/>
              </w:rPr>
              <w:t>银行业非存款类</w:t>
            </w:r>
            <w:r>
              <w:rPr>
                <w:rFonts w:hint="eastAsia" w:ascii="宋体" w:hAnsi="宋体" w:eastAsia="宋体" w:cs="宋体"/>
                <w:color w:val="auto"/>
                <w:spacing w:val="15"/>
                <w:sz w:val="20"/>
                <w:szCs w:val="20"/>
                <w:highlight w:val="none"/>
              </w:rPr>
              <w:t>金融机构</w:t>
            </w:r>
          </w:p>
        </w:tc>
        <w:tc>
          <w:tcPr>
            <w:tcW w:w="1284" w:type="dxa"/>
            <w:vAlign w:val="top"/>
          </w:tcPr>
          <w:p w14:paraId="0FF6366C">
            <w:pPr>
              <w:pStyle w:val="164"/>
              <w:keepNext w:val="0"/>
              <w:keepLines w:val="0"/>
              <w:pageBreakBefore w:val="0"/>
              <w:widowControl w:val="0"/>
              <w:kinsoku/>
              <w:wordWrap w:val="0"/>
              <w:overflowPunct/>
              <w:topLinePunct/>
              <w:autoSpaceDE/>
              <w:autoSpaceDN/>
              <w:bidi w:val="0"/>
              <w:adjustRightInd w:val="0"/>
              <w:snapToGrid w:val="0"/>
              <w:spacing w:before="76"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46B29400">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274"/>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200亿元（含）至1000亿元</w:t>
            </w:r>
          </w:p>
        </w:tc>
      </w:tr>
      <w:tr w14:paraId="5FAE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4040C2AC">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290AB43F">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5B9C2747">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626471B4">
            <w:pPr>
              <w:pStyle w:val="164"/>
              <w:keepNext w:val="0"/>
              <w:keepLines w:val="0"/>
              <w:pageBreakBefore w:val="0"/>
              <w:widowControl w:val="0"/>
              <w:kinsoku/>
              <w:wordWrap w:val="0"/>
              <w:overflowPunct/>
              <w:topLinePunct/>
              <w:autoSpaceDE/>
              <w:autoSpaceDN/>
              <w:bidi w:val="0"/>
              <w:adjustRightInd w:val="0"/>
              <w:snapToGrid w:val="0"/>
              <w:spacing w:before="76"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50A2D561">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386"/>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50亿元（含）至200亿元</w:t>
            </w:r>
          </w:p>
        </w:tc>
      </w:tr>
      <w:tr w14:paraId="4874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5CC4E69F">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21DB0985">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2BF26D4C">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3EF554AB">
            <w:pPr>
              <w:pStyle w:val="164"/>
              <w:keepNext w:val="0"/>
              <w:keepLines w:val="0"/>
              <w:pageBreakBefore w:val="0"/>
              <w:widowControl w:val="0"/>
              <w:kinsoku/>
              <w:wordWrap w:val="0"/>
              <w:overflowPunct/>
              <w:topLinePunct/>
              <w:autoSpaceDE/>
              <w:autoSpaceDN/>
              <w:bidi w:val="0"/>
              <w:adjustRightInd w:val="0"/>
              <w:snapToGrid w:val="0"/>
              <w:spacing w:before="75"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7DC1EED4">
            <w:pPr>
              <w:pStyle w:val="164"/>
              <w:keepNext w:val="0"/>
              <w:keepLines w:val="0"/>
              <w:pageBreakBefore w:val="0"/>
              <w:widowControl w:val="0"/>
              <w:kinsoku/>
              <w:wordWrap w:val="0"/>
              <w:overflowPunct/>
              <w:topLinePunct/>
              <w:autoSpaceDE/>
              <w:autoSpaceDN/>
              <w:bidi w:val="0"/>
              <w:adjustRightInd w:val="0"/>
              <w:snapToGrid w:val="0"/>
              <w:spacing w:before="75" w:line="229" w:lineRule="auto"/>
              <w:ind w:left="1053"/>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50亿元以下</w:t>
            </w:r>
          </w:p>
        </w:tc>
      </w:tr>
      <w:tr w14:paraId="0CA5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3DE3EB51">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35E43583">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restart"/>
            <w:vAlign w:val="center"/>
          </w:tcPr>
          <w:p w14:paraId="1D4606B6">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4"/>
                <w:sz w:val="20"/>
                <w:szCs w:val="20"/>
                <w:highlight w:val="none"/>
              </w:rPr>
              <w:t>贷款公司、小额</w:t>
            </w:r>
            <w:r>
              <w:rPr>
                <w:rFonts w:hint="eastAsia" w:ascii="宋体" w:hAnsi="宋体" w:eastAsia="宋体" w:cs="宋体"/>
                <w:color w:val="auto"/>
                <w:spacing w:val="26"/>
                <w:sz w:val="20"/>
                <w:szCs w:val="20"/>
                <w:highlight w:val="none"/>
              </w:rPr>
              <w:t>贷款公司及典当</w:t>
            </w:r>
            <w:r>
              <w:rPr>
                <w:rFonts w:hint="eastAsia" w:ascii="宋体" w:hAnsi="宋体" w:eastAsia="宋体" w:cs="宋体"/>
                <w:color w:val="auto"/>
                <w:spacing w:val="3"/>
                <w:sz w:val="20"/>
                <w:szCs w:val="20"/>
                <w:highlight w:val="none"/>
              </w:rPr>
              <w:t>行</w:t>
            </w:r>
          </w:p>
        </w:tc>
        <w:tc>
          <w:tcPr>
            <w:tcW w:w="1284" w:type="dxa"/>
            <w:vAlign w:val="top"/>
          </w:tcPr>
          <w:p w14:paraId="7C035325">
            <w:pPr>
              <w:pStyle w:val="164"/>
              <w:keepNext w:val="0"/>
              <w:keepLines w:val="0"/>
              <w:pageBreakBefore w:val="0"/>
              <w:widowControl w:val="0"/>
              <w:kinsoku/>
              <w:wordWrap w:val="0"/>
              <w:overflowPunct/>
              <w:topLinePunct/>
              <w:autoSpaceDE/>
              <w:autoSpaceDN/>
              <w:bidi w:val="0"/>
              <w:adjustRightInd w:val="0"/>
              <w:snapToGrid w:val="0"/>
              <w:spacing w:before="76"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6945340C">
            <w:pPr>
              <w:pStyle w:val="164"/>
              <w:keepNext w:val="0"/>
              <w:keepLines w:val="0"/>
              <w:pageBreakBefore w:val="0"/>
              <w:widowControl w:val="0"/>
              <w:kinsoku/>
              <w:wordWrap w:val="0"/>
              <w:overflowPunct/>
              <w:topLinePunct/>
              <w:autoSpaceDE/>
              <w:autoSpaceDN/>
              <w:bidi w:val="0"/>
              <w:adjustRightInd w:val="0"/>
              <w:snapToGrid w:val="0"/>
              <w:spacing w:before="76" w:line="228" w:lineRule="auto"/>
              <w:ind w:left="274"/>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200亿元（含）至1000亿元</w:t>
            </w:r>
          </w:p>
        </w:tc>
      </w:tr>
      <w:tr w14:paraId="140E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6001A969">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070A8A90">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7FE5AD00">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25A95E6B">
            <w:pPr>
              <w:pStyle w:val="164"/>
              <w:keepNext w:val="0"/>
              <w:keepLines w:val="0"/>
              <w:pageBreakBefore w:val="0"/>
              <w:widowControl w:val="0"/>
              <w:kinsoku/>
              <w:wordWrap w:val="0"/>
              <w:overflowPunct/>
              <w:topLinePunct/>
              <w:autoSpaceDE/>
              <w:autoSpaceDN/>
              <w:bidi w:val="0"/>
              <w:adjustRightInd w:val="0"/>
              <w:snapToGrid w:val="0"/>
              <w:spacing w:before="76"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0563B041">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386"/>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50亿元（含）至200亿元</w:t>
            </w:r>
          </w:p>
        </w:tc>
      </w:tr>
      <w:tr w14:paraId="4EED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5BF33591">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449F619E">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458572BD">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51B3A88B">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3A6C9B50">
            <w:pPr>
              <w:pStyle w:val="164"/>
              <w:keepNext w:val="0"/>
              <w:keepLines w:val="0"/>
              <w:pageBreakBefore w:val="0"/>
              <w:widowControl w:val="0"/>
              <w:kinsoku/>
              <w:wordWrap w:val="0"/>
              <w:overflowPunct/>
              <w:topLinePunct/>
              <w:autoSpaceDE/>
              <w:autoSpaceDN/>
              <w:bidi w:val="0"/>
              <w:adjustRightInd w:val="0"/>
              <w:snapToGrid w:val="0"/>
              <w:spacing w:before="77" w:line="229" w:lineRule="auto"/>
              <w:ind w:left="1053"/>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50亿元以下</w:t>
            </w:r>
          </w:p>
        </w:tc>
      </w:tr>
      <w:tr w14:paraId="11D7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2574" w:type="dxa"/>
            <w:gridSpan w:val="2"/>
            <w:vMerge w:val="restart"/>
            <w:vAlign w:val="center"/>
          </w:tcPr>
          <w:p w14:paraId="759F0DAF">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6"/>
                <w:sz w:val="20"/>
                <w:szCs w:val="20"/>
                <w:highlight w:val="none"/>
              </w:rPr>
              <w:t>资本市场服务</w:t>
            </w:r>
          </w:p>
        </w:tc>
        <w:tc>
          <w:tcPr>
            <w:tcW w:w="2041" w:type="dxa"/>
            <w:vMerge w:val="restart"/>
            <w:vAlign w:val="center"/>
          </w:tcPr>
          <w:p w14:paraId="36E7F038">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8"/>
                <w:sz w:val="20"/>
                <w:szCs w:val="20"/>
                <w:highlight w:val="none"/>
              </w:rPr>
              <w:t>证券业金融机构</w:t>
            </w:r>
          </w:p>
        </w:tc>
        <w:tc>
          <w:tcPr>
            <w:tcW w:w="1284" w:type="dxa"/>
            <w:vAlign w:val="top"/>
          </w:tcPr>
          <w:p w14:paraId="09776F53">
            <w:pPr>
              <w:pStyle w:val="164"/>
              <w:keepNext w:val="0"/>
              <w:keepLines w:val="0"/>
              <w:pageBreakBefore w:val="0"/>
              <w:widowControl w:val="0"/>
              <w:kinsoku/>
              <w:wordWrap w:val="0"/>
              <w:overflowPunct/>
              <w:topLinePunct/>
              <w:autoSpaceDE/>
              <w:autoSpaceDN/>
              <w:bidi w:val="0"/>
              <w:adjustRightInd w:val="0"/>
              <w:snapToGrid w:val="0"/>
              <w:spacing w:before="75"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76853E45">
            <w:pPr>
              <w:pStyle w:val="164"/>
              <w:keepNext w:val="0"/>
              <w:keepLines w:val="0"/>
              <w:pageBreakBefore w:val="0"/>
              <w:widowControl w:val="0"/>
              <w:kinsoku/>
              <w:wordWrap w:val="0"/>
              <w:overflowPunct/>
              <w:topLinePunct/>
              <w:autoSpaceDE/>
              <w:autoSpaceDN/>
              <w:bidi w:val="0"/>
              <w:adjustRightInd w:val="0"/>
              <w:snapToGrid w:val="0"/>
              <w:spacing w:before="75" w:line="228" w:lineRule="auto"/>
              <w:ind w:left="287"/>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100亿元（含）至1000亿元</w:t>
            </w:r>
          </w:p>
        </w:tc>
      </w:tr>
      <w:tr w14:paraId="7330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2574" w:type="dxa"/>
            <w:gridSpan w:val="2"/>
            <w:vMerge w:val="continue"/>
            <w:vAlign w:val="center"/>
          </w:tcPr>
          <w:p w14:paraId="14D00384">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174BD84A">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03C86FD0">
            <w:pPr>
              <w:pStyle w:val="164"/>
              <w:keepNext w:val="0"/>
              <w:keepLines w:val="0"/>
              <w:pageBreakBefore w:val="0"/>
              <w:widowControl w:val="0"/>
              <w:kinsoku/>
              <w:wordWrap w:val="0"/>
              <w:overflowPunct/>
              <w:topLinePunct/>
              <w:autoSpaceDE/>
              <w:autoSpaceDN/>
              <w:bidi w:val="0"/>
              <w:adjustRightInd w:val="0"/>
              <w:snapToGrid w:val="0"/>
              <w:spacing w:before="75"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4ACE1EF4">
            <w:pPr>
              <w:pStyle w:val="164"/>
              <w:keepNext w:val="0"/>
              <w:keepLines w:val="0"/>
              <w:pageBreakBefore w:val="0"/>
              <w:widowControl w:val="0"/>
              <w:kinsoku/>
              <w:wordWrap w:val="0"/>
              <w:overflowPunct/>
              <w:topLinePunct/>
              <w:autoSpaceDE/>
              <w:autoSpaceDN/>
              <w:bidi w:val="0"/>
              <w:adjustRightInd w:val="0"/>
              <w:snapToGrid w:val="0"/>
              <w:spacing w:before="76" w:line="228" w:lineRule="auto"/>
              <w:ind w:left="397"/>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10亿元（含）至100亿元</w:t>
            </w:r>
          </w:p>
        </w:tc>
      </w:tr>
      <w:tr w14:paraId="7483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2574" w:type="dxa"/>
            <w:gridSpan w:val="2"/>
            <w:vMerge w:val="continue"/>
            <w:vAlign w:val="center"/>
          </w:tcPr>
          <w:p w14:paraId="09AF5D2D">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06154088">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6964CB94">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62C3B552">
            <w:pPr>
              <w:pStyle w:val="164"/>
              <w:keepNext w:val="0"/>
              <w:keepLines w:val="0"/>
              <w:pageBreakBefore w:val="0"/>
              <w:widowControl w:val="0"/>
              <w:kinsoku/>
              <w:wordWrap w:val="0"/>
              <w:overflowPunct/>
              <w:topLinePunct/>
              <w:autoSpaceDE/>
              <w:autoSpaceDN/>
              <w:bidi w:val="0"/>
              <w:adjustRightInd w:val="0"/>
              <w:snapToGrid w:val="0"/>
              <w:spacing w:before="76" w:line="229" w:lineRule="auto"/>
              <w:ind w:left="106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10亿元以下</w:t>
            </w:r>
          </w:p>
        </w:tc>
      </w:tr>
      <w:tr w14:paraId="33FA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2574" w:type="dxa"/>
            <w:gridSpan w:val="2"/>
            <w:vMerge w:val="restart"/>
            <w:vAlign w:val="center"/>
          </w:tcPr>
          <w:p w14:paraId="4D5FF807">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4"/>
                <w:sz w:val="20"/>
                <w:szCs w:val="20"/>
                <w:highlight w:val="none"/>
              </w:rPr>
              <w:t>保险业</w:t>
            </w:r>
          </w:p>
        </w:tc>
        <w:tc>
          <w:tcPr>
            <w:tcW w:w="2041" w:type="dxa"/>
            <w:vMerge w:val="restart"/>
            <w:vAlign w:val="center"/>
          </w:tcPr>
          <w:p w14:paraId="2296ADE1">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8"/>
                <w:sz w:val="20"/>
                <w:szCs w:val="20"/>
                <w:highlight w:val="none"/>
              </w:rPr>
              <w:t>保险业金融机构</w:t>
            </w:r>
          </w:p>
        </w:tc>
        <w:tc>
          <w:tcPr>
            <w:tcW w:w="1284" w:type="dxa"/>
            <w:vAlign w:val="top"/>
          </w:tcPr>
          <w:p w14:paraId="0EB164C4">
            <w:pPr>
              <w:pStyle w:val="164"/>
              <w:keepNext w:val="0"/>
              <w:keepLines w:val="0"/>
              <w:pageBreakBefore w:val="0"/>
              <w:widowControl w:val="0"/>
              <w:kinsoku/>
              <w:wordWrap w:val="0"/>
              <w:overflowPunct/>
              <w:topLinePunct/>
              <w:autoSpaceDE/>
              <w:autoSpaceDN/>
              <w:bidi w:val="0"/>
              <w:adjustRightInd w:val="0"/>
              <w:snapToGrid w:val="0"/>
              <w:spacing w:before="77"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31C240B6">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27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400亿元（含）至5000亿元</w:t>
            </w:r>
          </w:p>
        </w:tc>
      </w:tr>
      <w:tr w14:paraId="6B95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2574" w:type="dxa"/>
            <w:gridSpan w:val="2"/>
            <w:vMerge w:val="continue"/>
            <w:vAlign w:val="center"/>
          </w:tcPr>
          <w:p w14:paraId="43C35056">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438DCBB3">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60659D93">
            <w:pPr>
              <w:pStyle w:val="164"/>
              <w:keepNext w:val="0"/>
              <w:keepLines w:val="0"/>
              <w:pageBreakBefore w:val="0"/>
              <w:widowControl w:val="0"/>
              <w:kinsoku/>
              <w:wordWrap w:val="0"/>
              <w:overflowPunct/>
              <w:topLinePunct/>
              <w:autoSpaceDE/>
              <w:autoSpaceDN/>
              <w:bidi w:val="0"/>
              <w:adjustRightInd w:val="0"/>
              <w:snapToGrid w:val="0"/>
              <w:spacing w:before="74"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252A999C">
            <w:pPr>
              <w:pStyle w:val="164"/>
              <w:keepNext w:val="0"/>
              <w:keepLines w:val="0"/>
              <w:pageBreakBefore w:val="0"/>
              <w:widowControl w:val="0"/>
              <w:kinsoku/>
              <w:wordWrap w:val="0"/>
              <w:overflowPunct/>
              <w:topLinePunct/>
              <w:autoSpaceDE/>
              <w:autoSpaceDN/>
              <w:bidi w:val="0"/>
              <w:adjustRightInd w:val="0"/>
              <w:snapToGrid w:val="0"/>
              <w:spacing w:before="75" w:line="228" w:lineRule="auto"/>
              <w:ind w:left="384"/>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20亿元（含）至400亿元</w:t>
            </w:r>
          </w:p>
        </w:tc>
      </w:tr>
      <w:tr w14:paraId="6836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2574" w:type="dxa"/>
            <w:gridSpan w:val="2"/>
            <w:vMerge w:val="continue"/>
            <w:vAlign w:val="center"/>
          </w:tcPr>
          <w:p w14:paraId="18818426">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2792BAD5">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2A7DD141">
            <w:pPr>
              <w:pStyle w:val="164"/>
              <w:keepNext w:val="0"/>
              <w:keepLines w:val="0"/>
              <w:pageBreakBefore w:val="0"/>
              <w:widowControl w:val="0"/>
              <w:kinsoku/>
              <w:wordWrap w:val="0"/>
              <w:overflowPunct/>
              <w:topLinePunct/>
              <w:autoSpaceDE/>
              <w:autoSpaceDN/>
              <w:bidi w:val="0"/>
              <w:adjustRightInd w:val="0"/>
              <w:snapToGrid w:val="0"/>
              <w:spacing w:before="76"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5192842D">
            <w:pPr>
              <w:pStyle w:val="164"/>
              <w:keepNext w:val="0"/>
              <w:keepLines w:val="0"/>
              <w:pageBreakBefore w:val="0"/>
              <w:widowControl w:val="0"/>
              <w:kinsoku/>
              <w:wordWrap w:val="0"/>
              <w:overflowPunct/>
              <w:topLinePunct/>
              <w:autoSpaceDE/>
              <w:autoSpaceDN/>
              <w:bidi w:val="0"/>
              <w:adjustRightInd w:val="0"/>
              <w:snapToGrid w:val="0"/>
              <w:spacing w:before="76" w:line="229" w:lineRule="auto"/>
              <w:ind w:left="105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20亿元以下</w:t>
            </w:r>
          </w:p>
        </w:tc>
      </w:tr>
      <w:tr w14:paraId="536C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restart"/>
            <w:vAlign w:val="center"/>
          </w:tcPr>
          <w:p w14:paraId="3B69DF6D">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20"/>
                <w:sz w:val="20"/>
                <w:szCs w:val="20"/>
                <w:highlight w:val="none"/>
              </w:rPr>
              <w:t>其他金融</w:t>
            </w:r>
            <w:r>
              <w:rPr>
                <w:rFonts w:hint="eastAsia" w:ascii="宋体" w:hAnsi="宋体" w:eastAsia="宋体" w:cs="宋体"/>
                <w:color w:val="auto"/>
                <w:spacing w:val="1"/>
                <w:sz w:val="20"/>
                <w:szCs w:val="20"/>
                <w:highlight w:val="none"/>
              </w:rPr>
              <w:t>业</w:t>
            </w:r>
          </w:p>
        </w:tc>
        <w:tc>
          <w:tcPr>
            <w:tcW w:w="1312" w:type="dxa"/>
            <w:vMerge w:val="restart"/>
            <w:vAlign w:val="center"/>
          </w:tcPr>
          <w:p w14:paraId="4FC5D437">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2"/>
                <w:sz w:val="20"/>
                <w:szCs w:val="20"/>
                <w:highlight w:val="none"/>
              </w:rPr>
              <w:t>金融信托</w:t>
            </w:r>
            <w:r>
              <w:rPr>
                <w:rFonts w:hint="eastAsia" w:ascii="宋体" w:hAnsi="宋体" w:eastAsia="宋体" w:cs="宋体"/>
                <w:color w:val="auto"/>
                <w:spacing w:val="31"/>
                <w:sz w:val="20"/>
                <w:szCs w:val="20"/>
                <w:highlight w:val="none"/>
              </w:rPr>
              <w:t>与管理服</w:t>
            </w:r>
            <w:r>
              <w:rPr>
                <w:rFonts w:hint="eastAsia" w:ascii="宋体" w:hAnsi="宋体" w:eastAsia="宋体" w:cs="宋体"/>
                <w:color w:val="auto"/>
                <w:sz w:val="20"/>
                <w:szCs w:val="20"/>
                <w:highlight w:val="none"/>
              </w:rPr>
              <w:t>务</w:t>
            </w:r>
          </w:p>
        </w:tc>
        <w:tc>
          <w:tcPr>
            <w:tcW w:w="2041" w:type="dxa"/>
            <w:vMerge w:val="restart"/>
            <w:vAlign w:val="center"/>
          </w:tcPr>
          <w:p w14:paraId="3B00A8B4">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6"/>
                <w:sz w:val="20"/>
                <w:szCs w:val="20"/>
                <w:highlight w:val="none"/>
              </w:rPr>
              <w:t>信托公司</w:t>
            </w:r>
          </w:p>
        </w:tc>
        <w:tc>
          <w:tcPr>
            <w:tcW w:w="1284" w:type="dxa"/>
            <w:vAlign w:val="top"/>
          </w:tcPr>
          <w:p w14:paraId="765D11C5">
            <w:pPr>
              <w:pStyle w:val="164"/>
              <w:keepNext w:val="0"/>
              <w:keepLines w:val="0"/>
              <w:pageBreakBefore w:val="0"/>
              <w:widowControl w:val="0"/>
              <w:kinsoku/>
              <w:wordWrap w:val="0"/>
              <w:overflowPunct/>
              <w:topLinePunct/>
              <w:autoSpaceDE/>
              <w:autoSpaceDN/>
              <w:bidi w:val="0"/>
              <w:adjustRightInd w:val="0"/>
              <w:snapToGrid w:val="0"/>
              <w:spacing w:before="76"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1BC6B4D4">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27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400亿元（含）至1000亿元</w:t>
            </w:r>
          </w:p>
        </w:tc>
      </w:tr>
      <w:tr w14:paraId="3D94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014FE5B9">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0C69217B">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5F71FF30">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062C678C">
            <w:pPr>
              <w:pStyle w:val="164"/>
              <w:keepNext w:val="0"/>
              <w:keepLines w:val="0"/>
              <w:pageBreakBefore w:val="0"/>
              <w:widowControl w:val="0"/>
              <w:kinsoku/>
              <w:wordWrap w:val="0"/>
              <w:overflowPunct/>
              <w:topLinePunct/>
              <w:autoSpaceDE/>
              <w:autoSpaceDN/>
              <w:bidi w:val="0"/>
              <w:adjustRightInd w:val="0"/>
              <w:snapToGrid w:val="0"/>
              <w:spacing w:before="76"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2A839FB9">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384"/>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20亿元（含）至400亿元</w:t>
            </w:r>
          </w:p>
        </w:tc>
      </w:tr>
      <w:tr w14:paraId="4911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1F7337D2">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5099BBCE">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11E9AC5C">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0ECDC78A">
            <w:pPr>
              <w:pStyle w:val="164"/>
              <w:keepNext w:val="0"/>
              <w:keepLines w:val="0"/>
              <w:pageBreakBefore w:val="0"/>
              <w:widowControl w:val="0"/>
              <w:kinsoku/>
              <w:wordWrap w:val="0"/>
              <w:overflowPunct/>
              <w:topLinePunct/>
              <w:autoSpaceDE/>
              <w:autoSpaceDN/>
              <w:bidi w:val="0"/>
              <w:adjustRightInd w:val="0"/>
              <w:snapToGrid w:val="0"/>
              <w:spacing w:before="75"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67DA0BBB">
            <w:pPr>
              <w:pStyle w:val="164"/>
              <w:keepNext w:val="0"/>
              <w:keepLines w:val="0"/>
              <w:pageBreakBefore w:val="0"/>
              <w:widowControl w:val="0"/>
              <w:kinsoku/>
              <w:wordWrap w:val="0"/>
              <w:overflowPunct/>
              <w:topLinePunct/>
              <w:autoSpaceDE/>
              <w:autoSpaceDN/>
              <w:bidi w:val="0"/>
              <w:adjustRightInd w:val="0"/>
              <w:snapToGrid w:val="0"/>
              <w:spacing w:before="75" w:line="229" w:lineRule="auto"/>
              <w:ind w:left="105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20亿元以下</w:t>
            </w:r>
          </w:p>
        </w:tc>
      </w:tr>
      <w:tr w14:paraId="3EF5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775FC5BA">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restart"/>
            <w:vAlign w:val="center"/>
          </w:tcPr>
          <w:p w14:paraId="56A829CC">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2"/>
                <w:sz w:val="20"/>
                <w:szCs w:val="20"/>
                <w:highlight w:val="none"/>
              </w:rPr>
              <w:t>控股公司</w:t>
            </w:r>
            <w:r>
              <w:rPr>
                <w:rFonts w:hint="eastAsia" w:ascii="宋体" w:hAnsi="宋体" w:eastAsia="宋体" w:cs="宋体"/>
                <w:color w:val="auto"/>
                <w:spacing w:val="10"/>
                <w:sz w:val="20"/>
                <w:szCs w:val="20"/>
                <w:highlight w:val="none"/>
              </w:rPr>
              <w:t>服务</w:t>
            </w:r>
          </w:p>
        </w:tc>
        <w:tc>
          <w:tcPr>
            <w:tcW w:w="2041" w:type="dxa"/>
            <w:vMerge w:val="restart"/>
            <w:vAlign w:val="center"/>
          </w:tcPr>
          <w:p w14:paraId="0418FD0F">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7"/>
                <w:sz w:val="20"/>
                <w:szCs w:val="20"/>
                <w:highlight w:val="none"/>
              </w:rPr>
              <w:t>金融控股公司</w:t>
            </w:r>
          </w:p>
        </w:tc>
        <w:tc>
          <w:tcPr>
            <w:tcW w:w="1284" w:type="dxa"/>
            <w:vAlign w:val="top"/>
          </w:tcPr>
          <w:p w14:paraId="6A853AC3">
            <w:pPr>
              <w:pStyle w:val="164"/>
              <w:keepNext w:val="0"/>
              <w:keepLines w:val="0"/>
              <w:pageBreakBefore w:val="0"/>
              <w:widowControl w:val="0"/>
              <w:kinsoku/>
              <w:wordWrap w:val="0"/>
              <w:overflowPunct/>
              <w:topLinePunct/>
              <w:autoSpaceDE/>
              <w:autoSpaceDN/>
              <w:bidi w:val="0"/>
              <w:adjustRightInd w:val="0"/>
              <w:snapToGrid w:val="0"/>
              <w:spacing w:before="76"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4FFCE6FF">
            <w:pPr>
              <w:pStyle w:val="164"/>
              <w:keepNext w:val="0"/>
              <w:keepLines w:val="0"/>
              <w:pageBreakBefore w:val="0"/>
              <w:widowControl w:val="0"/>
              <w:kinsoku/>
              <w:wordWrap w:val="0"/>
              <w:overflowPunct/>
              <w:topLinePunct/>
              <w:autoSpaceDE/>
              <w:autoSpaceDN/>
              <w:bidi w:val="0"/>
              <w:adjustRightInd w:val="0"/>
              <w:snapToGrid w:val="0"/>
              <w:spacing w:before="76" w:line="228" w:lineRule="auto"/>
              <w:ind w:left="16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5000亿元（含）至40000亿元</w:t>
            </w:r>
          </w:p>
        </w:tc>
      </w:tr>
      <w:tr w14:paraId="2F24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5C8C3054">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6D27BA73">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05903A95">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374380C1">
            <w:pPr>
              <w:pStyle w:val="164"/>
              <w:keepNext w:val="0"/>
              <w:keepLines w:val="0"/>
              <w:pageBreakBefore w:val="0"/>
              <w:widowControl w:val="0"/>
              <w:kinsoku/>
              <w:wordWrap w:val="0"/>
              <w:overflowPunct/>
              <w:topLinePunct/>
              <w:autoSpaceDE/>
              <w:autoSpaceDN/>
              <w:bidi w:val="0"/>
              <w:adjustRightInd w:val="0"/>
              <w:snapToGrid w:val="0"/>
              <w:spacing w:before="76"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7206FD39">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33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50亿元（含）至5000亿元</w:t>
            </w:r>
          </w:p>
        </w:tc>
      </w:tr>
      <w:tr w14:paraId="0E33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583F16EB">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70EE660F">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182827D2">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159A1087">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378CD22E">
            <w:pPr>
              <w:pStyle w:val="164"/>
              <w:keepNext w:val="0"/>
              <w:keepLines w:val="0"/>
              <w:pageBreakBefore w:val="0"/>
              <w:widowControl w:val="0"/>
              <w:kinsoku/>
              <w:wordWrap w:val="0"/>
              <w:overflowPunct/>
              <w:topLinePunct/>
              <w:autoSpaceDE/>
              <w:autoSpaceDN/>
              <w:bidi w:val="0"/>
              <w:adjustRightInd w:val="0"/>
              <w:snapToGrid w:val="0"/>
              <w:spacing w:before="77" w:line="229" w:lineRule="auto"/>
              <w:ind w:left="1053"/>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50亿元以下</w:t>
            </w:r>
          </w:p>
        </w:tc>
      </w:tr>
      <w:tr w14:paraId="2C1B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1262" w:type="dxa"/>
            <w:vMerge w:val="continue"/>
            <w:vAlign w:val="center"/>
          </w:tcPr>
          <w:p w14:paraId="07BF41D8">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restart"/>
            <w:vAlign w:val="center"/>
          </w:tcPr>
          <w:p w14:paraId="24CD67DE">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2"/>
                <w:sz w:val="20"/>
                <w:szCs w:val="20"/>
                <w:highlight w:val="none"/>
              </w:rPr>
              <w:t>其他未包括的金融</w:t>
            </w:r>
            <w:r>
              <w:rPr>
                <w:rFonts w:hint="eastAsia" w:ascii="宋体" w:hAnsi="宋体" w:eastAsia="宋体" w:cs="宋体"/>
                <w:color w:val="auto"/>
                <w:spacing w:val="1"/>
                <w:sz w:val="20"/>
                <w:szCs w:val="20"/>
                <w:highlight w:val="none"/>
              </w:rPr>
              <w:t>业</w:t>
            </w:r>
          </w:p>
        </w:tc>
        <w:tc>
          <w:tcPr>
            <w:tcW w:w="2041" w:type="dxa"/>
            <w:vMerge w:val="restart"/>
            <w:vAlign w:val="center"/>
          </w:tcPr>
          <w:p w14:paraId="30384030">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除贷款公司、小</w:t>
            </w:r>
            <w:r>
              <w:rPr>
                <w:rFonts w:hint="eastAsia" w:ascii="宋体" w:hAnsi="宋体" w:eastAsia="宋体" w:cs="宋体"/>
                <w:color w:val="auto"/>
                <w:spacing w:val="19"/>
                <w:sz w:val="20"/>
                <w:szCs w:val="20"/>
                <w:highlight w:val="none"/>
              </w:rPr>
              <w:t>额贷款公司、典</w:t>
            </w:r>
            <w:r>
              <w:rPr>
                <w:rFonts w:hint="eastAsia" w:ascii="宋体" w:hAnsi="宋体" w:eastAsia="宋体" w:cs="宋体"/>
                <w:color w:val="auto"/>
                <w:spacing w:val="25"/>
                <w:sz w:val="20"/>
                <w:szCs w:val="20"/>
                <w:highlight w:val="none"/>
              </w:rPr>
              <w:t>当行以外的其他</w:t>
            </w:r>
            <w:r>
              <w:rPr>
                <w:rFonts w:hint="eastAsia" w:ascii="宋体" w:hAnsi="宋体" w:eastAsia="宋体" w:cs="宋体"/>
                <w:color w:val="auto"/>
                <w:spacing w:val="15"/>
                <w:sz w:val="20"/>
                <w:szCs w:val="20"/>
                <w:highlight w:val="none"/>
              </w:rPr>
              <w:t>金融机构</w:t>
            </w:r>
          </w:p>
        </w:tc>
        <w:tc>
          <w:tcPr>
            <w:tcW w:w="1284" w:type="dxa"/>
            <w:vAlign w:val="top"/>
          </w:tcPr>
          <w:p w14:paraId="15242CCE">
            <w:pPr>
              <w:pStyle w:val="164"/>
              <w:keepNext w:val="0"/>
              <w:keepLines w:val="0"/>
              <w:pageBreakBefore w:val="0"/>
              <w:widowControl w:val="0"/>
              <w:kinsoku/>
              <w:wordWrap w:val="0"/>
              <w:overflowPunct/>
              <w:topLinePunct/>
              <w:autoSpaceDE/>
              <w:autoSpaceDN/>
              <w:bidi w:val="0"/>
              <w:adjustRightInd w:val="0"/>
              <w:snapToGrid w:val="0"/>
              <w:spacing w:before="161"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75ECCAED">
            <w:pPr>
              <w:pStyle w:val="164"/>
              <w:keepNext w:val="0"/>
              <w:keepLines w:val="0"/>
              <w:pageBreakBefore w:val="0"/>
              <w:widowControl w:val="0"/>
              <w:kinsoku/>
              <w:wordWrap w:val="0"/>
              <w:overflowPunct/>
              <w:topLinePunct/>
              <w:autoSpaceDE/>
              <w:autoSpaceDN/>
              <w:bidi w:val="0"/>
              <w:adjustRightInd w:val="0"/>
              <w:snapToGrid w:val="0"/>
              <w:spacing w:before="162" w:line="228" w:lineRule="auto"/>
              <w:ind w:left="274"/>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200亿元（含）至1000亿元</w:t>
            </w:r>
          </w:p>
        </w:tc>
      </w:tr>
      <w:tr w14:paraId="2534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62" w:type="dxa"/>
            <w:vMerge w:val="continue"/>
            <w:vAlign w:val="top"/>
          </w:tcPr>
          <w:p w14:paraId="7AE4FC43">
            <w:pPr>
              <w:keepNext w:val="0"/>
              <w:keepLines w:val="0"/>
              <w:pageBreakBefore w:val="0"/>
              <w:widowControl w:val="0"/>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highlight w:val="none"/>
              </w:rPr>
            </w:pPr>
          </w:p>
        </w:tc>
        <w:tc>
          <w:tcPr>
            <w:tcW w:w="1312" w:type="dxa"/>
            <w:vMerge w:val="continue"/>
            <w:vAlign w:val="top"/>
          </w:tcPr>
          <w:p w14:paraId="054FCB5F">
            <w:pPr>
              <w:keepNext w:val="0"/>
              <w:keepLines w:val="0"/>
              <w:pageBreakBefore w:val="0"/>
              <w:widowControl w:val="0"/>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highlight w:val="none"/>
              </w:rPr>
            </w:pPr>
          </w:p>
        </w:tc>
        <w:tc>
          <w:tcPr>
            <w:tcW w:w="2041" w:type="dxa"/>
            <w:vMerge w:val="continue"/>
            <w:vAlign w:val="top"/>
          </w:tcPr>
          <w:p w14:paraId="55EBC4D9">
            <w:pPr>
              <w:keepNext w:val="0"/>
              <w:keepLines w:val="0"/>
              <w:pageBreakBefore w:val="0"/>
              <w:widowControl w:val="0"/>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highlight w:val="none"/>
              </w:rPr>
            </w:pPr>
          </w:p>
        </w:tc>
        <w:tc>
          <w:tcPr>
            <w:tcW w:w="1284" w:type="dxa"/>
            <w:vAlign w:val="top"/>
          </w:tcPr>
          <w:p w14:paraId="5AB3404B">
            <w:pPr>
              <w:pStyle w:val="164"/>
              <w:keepNext w:val="0"/>
              <w:keepLines w:val="0"/>
              <w:pageBreakBefore w:val="0"/>
              <w:widowControl w:val="0"/>
              <w:kinsoku/>
              <w:wordWrap w:val="0"/>
              <w:overflowPunct/>
              <w:topLinePunct/>
              <w:autoSpaceDE/>
              <w:autoSpaceDN/>
              <w:bidi w:val="0"/>
              <w:adjustRightInd w:val="0"/>
              <w:snapToGrid w:val="0"/>
              <w:spacing w:before="125"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4CBBD2F0">
            <w:pPr>
              <w:pStyle w:val="164"/>
              <w:keepNext w:val="0"/>
              <w:keepLines w:val="0"/>
              <w:pageBreakBefore w:val="0"/>
              <w:widowControl w:val="0"/>
              <w:kinsoku/>
              <w:wordWrap w:val="0"/>
              <w:overflowPunct/>
              <w:topLinePunct/>
              <w:autoSpaceDE/>
              <w:autoSpaceDN/>
              <w:bidi w:val="0"/>
              <w:adjustRightInd w:val="0"/>
              <w:snapToGrid w:val="0"/>
              <w:spacing w:before="126" w:line="228" w:lineRule="auto"/>
              <w:ind w:left="386"/>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50亿元（含）至200亿元</w:t>
            </w:r>
          </w:p>
        </w:tc>
      </w:tr>
      <w:tr w14:paraId="13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1262" w:type="dxa"/>
            <w:vMerge w:val="continue"/>
            <w:vAlign w:val="top"/>
          </w:tcPr>
          <w:p w14:paraId="46426DA8">
            <w:pPr>
              <w:keepNext w:val="0"/>
              <w:keepLines w:val="0"/>
              <w:pageBreakBefore w:val="0"/>
              <w:widowControl w:val="0"/>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highlight w:val="none"/>
              </w:rPr>
            </w:pPr>
          </w:p>
        </w:tc>
        <w:tc>
          <w:tcPr>
            <w:tcW w:w="1312" w:type="dxa"/>
            <w:vMerge w:val="continue"/>
            <w:vAlign w:val="top"/>
          </w:tcPr>
          <w:p w14:paraId="4240DBAF">
            <w:pPr>
              <w:keepNext w:val="0"/>
              <w:keepLines w:val="0"/>
              <w:pageBreakBefore w:val="0"/>
              <w:widowControl w:val="0"/>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highlight w:val="none"/>
              </w:rPr>
            </w:pPr>
          </w:p>
        </w:tc>
        <w:tc>
          <w:tcPr>
            <w:tcW w:w="2041" w:type="dxa"/>
            <w:vMerge w:val="continue"/>
            <w:vAlign w:val="top"/>
          </w:tcPr>
          <w:p w14:paraId="4A73647F">
            <w:pPr>
              <w:keepNext w:val="0"/>
              <w:keepLines w:val="0"/>
              <w:pageBreakBefore w:val="0"/>
              <w:widowControl w:val="0"/>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highlight w:val="none"/>
              </w:rPr>
            </w:pPr>
          </w:p>
        </w:tc>
        <w:tc>
          <w:tcPr>
            <w:tcW w:w="1284" w:type="dxa"/>
            <w:vAlign w:val="top"/>
          </w:tcPr>
          <w:p w14:paraId="58CF53F4">
            <w:pPr>
              <w:pStyle w:val="164"/>
              <w:keepNext w:val="0"/>
              <w:keepLines w:val="0"/>
              <w:pageBreakBefore w:val="0"/>
              <w:widowControl w:val="0"/>
              <w:kinsoku/>
              <w:wordWrap w:val="0"/>
              <w:overflowPunct/>
              <w:topLinePunct/>
              <w:autoSpaceDE/>
              <w:autoSpaceDN/>
              <w:bidi w:val="0"/>
              <w:adjustRightInd w:val="0"/>
              <w:snapToGrid w:val="0"/>
              <w:spacing w:before="133"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61CA368D">
            <w:pPr>
              <w:pStyle w:val="164"/>
              <w:keepNext w:val="0"/>
              <w:keepLines w:val="0"/>
              <w:pageBreakBefore w:val="0"/>
              <w:widowControl w:val="0"/>
              <w:kinsoku/>
              <w:wordWrap w:val="0"/>
              <w:overflowPunct/>
              <w:topLinePunct/>
              <w:autoSpaceDE/>
              <w:autoSpaceDN/>
              <w:bidi w:val="0"/>
              <w:adjustRightInd w:val="0"/>
              <w:snapToGrid w:val="0"/>
              <w:spacing w:before="132" w:line="229" w:lineRule="auto"/>
              <w:ind w:left="1053"/>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50亿元以下</w:t>
            </w:r>
          </w:p>
        </w:tc>
      </w:tr>
    </w:tbl>
    <w:p w14:paraId="1BB241F8">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color w:val="auto"/>
          <w:spacing w:val="-4"/>
          <w:sz w:val="21"/>
          <w:szCs w:val="21"/>
          <w:highlight w:val="none"/>
        </w:rPr>
      </w:pPr>
    </w:p>
    <w:p w14:paraId="7E23EFF2">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color w:val="auto"/>
          <w:spacing w:val="-4"/>
          <w:sz w:val="21"/>
          <w:szCs w:val="21"/>
          <w:highlight w:val="none"/>
          <w:lang w:eastAsia="zh-CN"/>
        </w:rPr>
      </w:pPr>
    </w:p>
    <w:sectPr>
      <w:pgSz w:w="11900" w:h="16838"/>
      <w:pgMar w:top="1134" w:right="1134" w:bottom="1134" w:left="1134" w:header="624" w:footer="624" w:gutter="0"/>
      <w:pgNumType w:fmt="numberInDash"/>
      <w:cols w:space="0" w:num="1"/>
      <w:rtlGutter w:val="0"/>
      <w:docGrid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Helvetica">
    <w:altName w:val="Arial"/>
    <w:panose1 w:val="020B05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382D">
    <w:pPr>
      <w:pStyle w:val="25"/>
      <w:tabs>
        <w:tab w:val="center" w:pos="4818"/>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4B045">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79C61">
    <w:pPr>
      <w:pStyle w:val="25"/>
      <w:tabs>
        <w:tab w:val="center" w:pos="4818"/>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2E590">
                          <w:pPr>
                            <w:pStyle w:val="2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C2E590">
                    <w:pPr>
                      <w:pStyle w:val="2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85F1F">
    <w:pPr>
      <w:pStyle w:val="15"/>
      <w:spacing w:line="239"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3709B">
                          <w:pPr>
                            <w:pStyle w:val="25"/>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E43709B">
                    <w:pPr>
                      <w:pStyle w:val="25"/>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D2B35">
    <w:pPr>
      <w:pStyle w:val="15"/>
      <w:spacing w:line="239"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839D3">
                          <w:pPr>
                            <w:pStyle w:val="25"/>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0839D3">
                    <w:pPr>
                      <w:pStyle w:val="25"/>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B04CF">
    <w:pPr>
      <w:pStyle w:val="25"/>
      <w:tabs>
        <w:tab w:val="center" w:pos="4818"/>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C8EE5">
                          <w:pPr>
                            <w:pStyle w:val="25"/>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7C8EE5">
                    <w:pPr>
                      <w:pStyle w:val="25"/>
                    </w:pPr>
                    <w:r>
                      <w:fldChar w:fldCharType="begin"/>
                    </w:r>
                    <w:r>
                      <w:instrText xml:space="preserve"> PAGE  \* MERGEFORMAT </w:instrText>
                    </w:r>
                    <w:r>
                      <w:fldChar w:fldCharType="separate"/>
                    </w:r>
                    <w:r>
                      <w:t>- 53 -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18E20">
    <w:pPr>
      <w:tabs>
        <w:tab w:val="center" w:pos="4819"/>
      </w:tabs>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334FB">
                          <w:pPr>
                            <w:pStyle w:val="25"/>
                          </w:pPr>
                          <w:r>
                            <w:fldChar w:fldCharType="begin"/>
                          </w:r>
                          <w:r>
                            <w:instrText xml:space="preserve"> PAGE  \* MERGEFORMAT </w:instrText>
                          </w:r>
                          <w:r>
                            <w:fldChar w:fldCharType="separate"/>
                          </w:r>
                          <w:r>
                            <w:t>- 115 -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F334FB">
                    <w:pPr>
                      <w:pStyle w:val="25"/>
                    </w:pPr>
                    <w:r>
                      <w:fldChar w:fldCharType="begin"/>
                    </w:r>
                    <w:r>
                      <w:instrText xml:space="preserve"> PAGE  \* MERGEFORMAT </w:instrText>
                    </w:r>
                    <w:r>
                      <w:fldChar w:fldCharType="separate"/>
                    </w:r>
                    <w:r>
                      <w:t>- 115 -</w:t>
                    </w:r>
                    <w:r>
                      <w:fldChar w:fldCharType="end"/>
                    </w:r>
                  </w:p>
                </w:txbxContent>
              </v:textbox>
            </v:shape>
          </w:pict>
        </mc:Fallback>
      </mc:AlternateContent>
    </w:r>
    <w:r>
      <w:rPr>
        <w:lang w:val="en-US"/>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CD98">
    <w:pPr>
      <w:pStyle w:val="26"/>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7CE0">
    <w:pPr>
      <w:pStyle w:val="26"/>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E697A">
    <w:pPr>
      <w:pStyle w:val="26"/>
      <w:pBdr>
        <w:bottom w:val="none" w:color="auto" w:sz="0" w:space="1"/>
      </w:pBdr>
      <w:rPr>
        <w:b/>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3BBFDF4A"/>
    <w:multiLevelType w:val="singleLevel"/>
    <w:tmpl w:val="3BBFDF4A"/>
    <w:lvl w:ilvl="0" w:tentative="0">
      <w:start w:val="23"/>
      <w:numFmt w:val="decimal"/>
      <w:suff w:val="space"/>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5"/>
  </w:num>
  <w:num w:numId="2">
    <w:abstractNumId w:val="7"/>
  </w:num>
  <w:num w:numId="3">
    <w:abstractNumId w:val="1"/>
  </w:num>
  <w:num w:numId="4">
    <w:abstractNumId w:val="4"/>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2UzZWRjNjVkNzUwZDk4ZTczZTViZmJkYjQ1OTMifQ=="/>
  </w:docVars>
  <w:rsids>
    <w:rsidRoot w:val="00172A27"/>
    <w:rsid w:val="00070C9A"/>
    <w:rsid w:val="00372762"/>
    <w:rsid w:val="00375912"/>
    <w:rsid w:val="003A3B8D"/>
    <w:rsid w:val="003A4DB8"/>
    <w:rsid w:val="003D1318"/>
    <w:rsid w:val="003D64C6"/>
    <w:rsid w:val="0044587C"/>
    <w:rsid w:val="0049300C"/>
    <w:rsid w:val="004E2611"/>
    <w:rsid w:val="00503E1A"/>
    <w:rsid w:val="00550768"/>
    <w:rsid w:val="00564D94"/>
    <w:rsid w:val="0059742D"/>
    <w:rsid w:val="005F37BB"/>
    <w:rsid w:val="00655ACF"/>
    <w:rsid w:val="006634B6"/>
    <w:rsid w:val="007C0F2D"/>
    <w:rsid w:val="0081553F"/>
    <w:rsid w:val="00880D6E"/>
    <w:rsid w:val="008930FE"/>
    <w:rsid w:val="008B6379"/>
    <w:rsid w:val="008C1CB9"/>
    <w:rsid w:val="008C6C96"/>
    <w:rsid w:val="00A64976"/>
    <w:rsid w:val="00AB652D"/>
    <w:rsid w:val="00B30A5B"/>
    <w:rsid w:val="00BF6EF8"/>
    <w:rsid w:val="00CF4A2D"/>
    <w:rsid w:val="00D456F3"/>
    <w:rsid w:val="00DE0E12"/>
    <w:rsid w:val="00DF07E1"/>
    <w:rsid w:val="00EC2532"/>
    <w:rsid w:val="00FB6A78"/>
    <w:rsid w:val="0112363F"/>
    <w:rsid w:val="012F5F9F"/>
    <w:rsid w:val="01395070"/>
    <w:rsid w:val="013C06BC"/>
    <w:rsid w:val="01441350"/>
    <w:rsid w:val="01516055"/>
    <w:rsid w:val="01531224"/>
    <w:rsid w:val="017B2F92"/>
    <w:rsid w:val="018722F8"/>
    <w:rsid w:val="01905CB7"/>
    <w:rsid w:val="019404F8"/>
    <w:rsid w:val="01956EB1"/>
    <w:rsid w:val="019F2B3A"/>
    <w:rsid w:val="01AB4B73"/>
    <w:rsid w:val="01B42948"/>
    <w:rsid w:val="01B67A7D"/>
    <w:rsid w:val="01BF4BBF"/>
    <w:rsid w:val="01DB7ED5"/>
    <w:rsid w:val="01EF37B4"/>
    <w:rsid w:val="0232464D"/>
    <w:rsid w:val="0244122B"/>
    <w:rsid w:val="02445A7A"/>
    <w:rsid w:val="02452A4D"/>
    <w:rsid w:val="02470CCC"/>
    <w:rsid w:val="024C374E"/>
    <w:rsid w:val="025263E9"/>
    <w:rsid w:val="025916FC"/>
    <w:rsid w:val="025A7A16"/>
    <w:rsid w:val="0261662C"/>
    <w:rsid w:val="026B5C3C"/>
    <w:rsid w:val="02737565"/>
    <w:rsid w:val="0282586F"/>
    <w:rsid w:val="028E3814"/>
    <w:rsid w:val="029A5256"/>
    <w:rsid w:val="029C1CD6"/>
    <w:rsid w:val="02A50EBE"/>
    <w:rsid w:val="02BE47EC"/>
    <w:rsid w:val="02CB1CF7"/>
    <w:rsid w:val="02CB61D1"/>
    <w:rsid w:val="02E00FC0"/>
    <w:rsid w:val="02E4212A"/>
    <w:rsid w:val="02F8130B"/>
    <w:rsid w:val="02F879D0"/>
    <w:rsid w:val="030160F0"/>
    <w:rsid w:val="03035935"/>
    <w:rsid w:val="03045209"/>
    <w:rsid w:val="03174F3D"/>
    <w:rsid w:val="031C2927"/>
    <w:rsid w:val="032D650E"/>
    <w:rsid w:val="032E14A4"/>
    <w:rsid w:val="033700FD"/>
    <w:rsid w:val="037B196F"/>
    <w:rsid w:val="038727F6"/>
    <w:rsid w:val="0397592C"/>
    <w:rsid w:val="03C5064A"/>
    <w:rsid w:val="03DA48E8"/>
    <w:rsid w:val="03DB240E"/>
    <w:rsid w:val="03E47515"/>
    <w:rsid w:val="041D4256"/>
    <w:rsid w:val="04206073"/>
    <w:rsid w:val="045158CF"/>
    <w:rsid w:val="0458421C"/>
    <w:rsid w:val="045B5DD4"/>
    <w:rsid w:val="0463595F"/>
    <w:rsid w:val="046C361A"/>
    <w:rsid w:val="0475016D"/>
    <w:rsid w:val="047A5986"/>
    <w:rsid w:val="047A616D"/>
    <w:rsid w:val="048077BB"/>
    <w:rsid w:val="048A1193"/>
    <w:rsid w:val="048A4261"/>
    <w:rsid w:val="04912ACD"/>
    <w:rsid w:val="049701B6"/>
    <w:rsid w:val="04992E63"/>
    <w:rsid w:val="04C9670A"/>
    <w:rsid w:val="04D07A99"/>
    <w:rsid w:val="04E90B5B"/>
    <w:rsid w:val="04EF0559"/>
    <w:rsid w:val="05191990"/>
    <w:rsid w:val="051C4CBE"/>
    <w:rsid w:val="051E5B03"/>
    <w:rsid w:val="05280493"/>
    <w:rsid w:val="052A7EFB"/>
    <w:rsid w:val="054162A1"/>
    <w:rsid w:val="05466333"/>
    <w:rsid w:val="054B711F"/>
    <w:rsid w:val="05684659"/>
    <w:rsid w:val="056F4375"/>
    <w:rsid w:val="058058AC"/>
    <w:rsid w:val="058663AA"/>
    <w:rsid w:val="058B7F85"/>
    <w:rsid w:val="058C5071"/>
    <w:rsid w:val="05A679C7"/>
    <w:rsid w:val="05A71A95"/>
    <w:rsid w:val="05C426B9"/>
    <w:rsid w:val="05C73B1A"/>
    <w:rsid w:val="05D443DF"/>
    <w:rsid w:val="05F7737D"/>
    <w:rsid w:val="061E3339"/>
    <w:rsid w:val="062C0CFF"/>
    <w:rsid w:val="063324E8"/>
    <w:rsid w:val="06450013"/>
    <w:rsid w:val="064D2375"/>
    <w:rsid w:val="067357FE"/>
    <w:rsid w:val="069C62F3"/>
    <w:rsid w:val="06A917A9"/>
    <w:rsid w:val="06E743BD"/>
    <w:rsid w:val="06FE7850"/>
    <w:rsid w:val="07026A9C"/>
    <w:rsid w:val="07055B02"/>
    <w:rsid w:val="0708176C"/>
    <w:rsid w:val="07200622"/>
    <w:rsid w:val="072E2BDA"/>
    <w:rsid w:val="073410EE"/>
    <w:rsid w:val="07375BAD"/>
    <w:rsid w:val="073A25C9"/>
    <w:rsid w:val="073B3C8D"/>
    <w:rsid w:val="074443FC"/>
    <w:rsid w:val="075C73C2"/>
    <w:rsid w:val="07666BB9"/>
    <w:rsid w:val="07842398"/>
    <w:rsid w:val="078F42A9"/>
    <w:rsid w:val="079B55D5"/>
    <w:rsid w:val="079C2F47"/>
    <w:rsid w:val="079C3C62"/>
    <w:rsid w:val="07B76CEE"/>
    <w:rsid w:val="07CE215F"/>
    <w:rsid w:val="07E51AAD"/>
    <w:rsid w:val="07F94C6F"/>
    <w:rsid w:val="081E6D6D"/>
    <w:rsid w:val="08431A06"/>
    <w:rsid w:val="085744CD"/>
    <w:rsid w:val="085A5376"/>
    <w:rsid w:val="085F4CBA"/>
    <w:rsid w:val="0879522B"/>
    <w:rsid w:val="08A26026"/>
    <w:rsid w:val="08A2799E"/>
    <w:rsid w:val="08A35177"/>
    <w:rsid w:val="08A74D92"/>
    <w:rsid w:val="08B2363B"/>
    <w:rsid w:val="08D57A2A"/>
    <w:rsid w:val="08D77648"/>
    <w:rsid w:val="08E43160"/>
    <w:rsid w:val="08E6788B"/>
    <w:rsid w:val="08ED43F5"/>
    <w:rsid w:val="08F20D38"/>
    <w:rsid w:val="08F31FA8"/>
    <w:rsid w:val="08FC0E5C"/>
    <w:rsid w:val="09037AD8"/>
    <w:rsid w:val="09087992"/>
    <w:rsid w:val="091B2D32"/>
    <w:rsid w:val="09291595"/>
    <w:rsid w:val="0935436E"/>
    <w:rsid w:val="09370024"/>
    <w:rsid w:val="09561F72"/>
    <w:rsid w:val="096B4096"/>
    <w:rsid w:val="097D2346"/>
    <w:rsid w:val="097F1A8E"/>
    <w:rsid w:val="09864BCA"/>
    <w:rsid w:val="09866978"/>
    <w:rsid w:val="09885D9B"/>
    <w:rsid w:val="09887DDF"/>
    <w:rsid w:val="09897F76"/>
    <w:rsid w:val="098D4491"/>
    <w:rsid w:val="099C43EE"/>
    <w:rsid w:val="09BB1C1D"/>
    <w:rsid w:val="09C74534"/>
    <w:rsid w:val="09CC0C15"/>
    <w:rsid w:val="09D9302B"/>
    <w:rsid w:val="09FE1206"/>
    <w:rsid w:val="0A283ED3"/>
    <w:rsid w:val="0A3449EF"/>
    <w:rsid w:val="0A3757B8"/>
    <w:rsid w:val="0A5847B8"/>
    <w:rsid w:val="0A5B1BB3"/>
    <w:rsid w:val="0A690774"/>
    <w:rsid w:val="0A92725D"/>
    <w:rsid w:val="0A9F4E7B"/>
    <w:rsid w:val="0AA55524"/>
    <w:rsid w:val="0AC054F0"/>
    <w:rsid w:val="0AC22443"/>
    <w:rsid w:val="0AC97A2B"/>
    <w:rsid w:val="0AD57BB7"/>
    <w:rsid w:val="0AD71C9D"/>
    <w:rsid w:val="0AD71ECB"/>
    <w:rsid w:val="0AD91265"/>
    <w:rsid w:val="0ADF3032"/>
    <w:rsid w:val="0AE0030A"/>
    <w:rsid w:val="0AE43636"/>
    <w:rsid w:val="0AF05CC3"/>
    <w:rsid w:val="0AF16211"/>
    <w:rsid w:val="0AFD0EBC"/>
    <w:rsid w:val="0B097861"/>
    <w:rsid w:val="0B1A5DFD"/>
    <w:rsid w:val="0B5036E2"/>
    <w:rsid w:val="0B6F0576"/>
    <w:rsid w:val="0B760061"/>
    <w:rsid w:val="0B7C0033"/>
    <w:rsid w:val="0B82348B"/>
    <w:rsid w:val="0B885626"/>
    <w:rsid w:val="0B9510F4"/>
    <w:rsid w:val="0B9F55F2"/>
    <w:rsid w:val="0BA15CEB"/>
    <w:rsid w:val="0BA53A2D"/>
    <w:rsid w:val="0BA650B0"/>
    <w:rsid w:val="0BA927BE"/>
    <w:rsid w:val="0BAA5656"/>
    <w:rsid w:val="0BB6346A"/>
    <w:rsid w:val="0BC419DA"/>
    <w:rsid w:val="0BD66878"/>
    <w:rsid w:val="0BE67BA2"/>
    <w:rsid w:val="0BF24799"/>
    <w:rsid w:val="0C0319FE"/>
    <w:rsid w:val="0C0B4BD7"/>
    <w:rsid w:val="0C28640C"/>
    <w:rsid w:val="0C33219C"/>
    <w:rsid w:val="0C3B3AD8"/>
    <w:rsid w:val="0C4B588B"/>
    <w:rsid w:val="0C4F1BEB"/>
    <w:rsid w:val="0C62191E"/>
    <w:rsid w:val="0C6272E4"/>
    <w:rsid w:val="0C6B4933"/>
    <w:rsid w:val="0C6D2071"/>
    <w:rsid w:val="0C7209BF"/>
    <w:rsid w:val="0C740124"/>
    <w:rsid w:val="0C7B4D47"/>
    <w:rsid w:val="0C9431DA"/>
    <w:rsid w:val="0C9870EE"/>
    <w:rsid w:val="0CAE505C"/>
    <w:rsid w:val="0CB531DB"/>
    <w:rsid w:val="0CB626E8"/>
    <w:rsid w:val="0CD81BE1"/>
    <w:rsid w:val="0CE01A37"/>
    <w:rsid w:val="0CE92AC3"/>
    <w:rsid w:val="0CEB671D"/>
    <w:rsid w:val="0CEE4F60"/>
    <w:rsid w:val="0D0765FA"/>
    <w:rsid w:val="0D0B1DAE"/>
    <w:rsid w:val="0D2E7A52"/>
    <w:rsid w:val="0D410109"/>
    <w:rsid w:val="0D565429"/>
    <w:rsid w:val="0D57004B"/>
    <w:rsid w:val="0D7B6AD7"/>
    <w:rsid w:val="0D841421"/>
    <w:rsid w:val="0D872355"/>
    <w:rsid w:val="0D9652D2"/>
    <w:rsid w:val="0D9B4506"/>
    <w:rsid w:val="0DA03F2B"/>
    <w:rsid w:val="0DE46363"/>
    <w:rsid w:val="0DE819AF"/>
    <w:rsid w:val="0DF35649"/>
    <w:rsid w:val="0E113A26"/>
    <w:rsid w:val="0E1F006C"/>
    <w:rsid w:val="0E296EAC"/>
    <w:rsid w:val="0E43752E"/>
    <w:rsid w:val="0E497933"/>
    <w:rsid w:val="0E572FD9"/>
    <w:rsid w:val="0E713F8B"/>
    <w:rsid w:val="0E7E359A"/>
    <w:rsid w:val="0E9C279A"/>
    <w:rsid w:val="0E9D6C3E"/>
    <w:rsid w:val="0E9F498E"/>
    <w:rsid w:val="0EA7186A"/>
    <w:rsid w:val="0EB5462F"/>
    <w:rsid w:val="0EB77150"/>
    <w:rsid w:val="0ED36852"/>
    <w:rsid w:val="0ED40186"/>
    <w:rsid w:val="0EEF3DE0"/>
    <w:rsid w:val="0EF97B08"/>
    <w:rsid w:val="0EFD1328"/>
    <w:rsid w:val="0F1B72CD"/>
    <w:rsid w:val="0F1B7B63"/>
    <w:rsid w:val="0F285D0A"/>
    <w:rsid w:val="0F325853"/>
    <w:rsid w:val="0F34137B"/>
    <w:rsid w:val="0F3B55DE"/>
    <w:rsid w:val="0F410A6C"/>
    <w:rsid w:val="0F450BDC"/>
    <w:rsid w:val="0F503516"/>
    <w:rsid w:val="0F6100E7"/>
    <w:rsid w:val="0F7D4D51"/>
    <w:rsid w:val="0F855C71"/>
    <w:rsid w:val="0F9B4836"/>
    <w:rsid w:val="0FB35FED"/>
    <w:rsid w:val="0FCB1150"/>
    <w:rsid w:val="0FD77F2D"/>
    <w:rsid w:val="0FD83CA6"/>
    <w:rsid w:val="0FE812B5"/>
    <w:rsid w:val="0FEE6F54"/>
    <w:rsid w:val="0FF60A41"/>
    <w:rsid w:val="0FF80688"/>
    <w:rsid w:val="0FFF1F71"/>
    <w:rsid w:val="100D6112"/>
    <w:rsid w:val="10196798"/>
    <w:rsid w:val="101F093D"/>
    <w:rsid w:val="1020743C"/>
    <w:rsid w:val="10283879"/>
    <w:rsid w:val="102F20C9"/>
    <w:rsid w:val="10615A49"/>
    <w:rsid w:val="106531E4"/>
    <w:rsid w:val="106B4B1A"/>
    <w:rsid w:val="10776A03"/>
    <w:rsid w:val="107B4D5D"/>
    <w:rsid w:val="1087314D"/>
    <w:rsid w:val="108C51BC"/>
    <w:rsid w:val="108D54EB"/>
    <w:rsid w:val="10982784"/>
    <w:rsid w:val="10A242D4"/>
    <w:rsid w:val="10A73DA4"/>
    <w:rsid w:val="10B262A5"/>
    <w:rsid w:val="10C250EC"/>
    <w:rsid w:val="10D12696"/>
    <w:rsid w:val="10D42FEE"/>
    <w:rsid w:val="10DB3A4D"/>
    <w:rsid w:val="10DF0024"/>
    <w:rsid w:val="10F670C6"/>
    <w:rsid w:val="1105768E"/>
    <w:rsid w:val="110D7D3C"/>
    <w:rsid w:val="1126243E"/>
    <w:rsid w:val="112B6A46"/>
    <w:rsid w:val="112D2C32"/>
    <w:rsid w:val="113B0990"/>
    <w:rsid w:val="113E2750"/>
    <w:rsid w:val="11406595"/>
    <w:rsid w:val="114F1D45"/>
    <w:rsid w:val="115438B3"/>
    <w:rsid w:val="115A0E16"/>
    <w:rsid w:val="11660E72"/>
    <w:rsid w:val="11722D65"/>
    <w:rsid w:val="11884BA9"/>
    <w:rsid w:val="118E7C9A"/>
    <w:rsid w:val="11AF29A7"/>
    <w:rsid w:val="11AF371E"/>
    <w:rsid w:val="11B81FE1"/>
    <w:rsid w:val="11B853C9"/>
    <w:rsid w:val="11BE371C"/>
    <w:rsid w:val="11E22BBA"/>
    <w:rsid w:val="11E44B84"/>
    <w:rsid w:val="11F94920"/>
    <w:rsid w:val="120945EA"/>
    <w:rsid w:val="120D5E88"/>
    <w:rsid w:val="12216F0B"/>
    <w:rsid w:val="122C141F"/>
    <w:rsid w:val="123563C8"/>
    <w:rsid w:val="123622F2"/>
    <w:rsid w:val="125A2B3F"/>
    <w:rsid w:val="12687563"/>
    <w:rsid w:val="12694E30"/>
    <w:rsid w:val="12751FBA"/>
    <w:rsid w:val="127B38E1"/>
    <w:rsid w:val="127D0657"/>
    <w:rsid w:val="128F2D41"/>
    <w:rsid w:val="12A425D6"/>
    <w:rsid w:val="12AE7AA1"/>
    <w:rsid w:val="12B013AF"/>
    <w:rsid w:val="12BC340B"/>
    <w:rsid w:val="12CB564B"/>
    <w:rsid w:val="12D61B20"/>
    <w:rsid w:val="12DF4EF6"/>
    <w:rsid w:val="12F6691D"/>
    <w:rsid w:val="12F806C8"/>
    <w:rsid w:val="12FB6EB0"/>
    <w:rsid w:val="1301229B"/>
    <w:rsid w:val="131C7F9B"/>
    <w:rsid w:val="135263DA"/>
    <w:rsid w:val="135875D7"/>
    <w:rsid w:val="135A0C34"/>
    <w:rsid w:val="13685FEC"/>
    <w:rsid w:val="1371171F"/>
    <w:rsid w:val="13730EC3"/>
    <w:rsid w:val="137A57A0"/>
    <w:rsid w:val="139121A4"/>
    <w:rsid w:val="139B2D92"/>
    <w:rsid w:val="13A5113C"/>
    <w:rsid w:val="13AE5449"/>
    <w:rsid w:val="13B63B68"/>
    <w:rsid w:val="13BA68E2"/>
    <w:rsid w:val="13BD743A"/>
    <w:rsid w:val="13C7650B"/>
    <w:rsid w:val="13DA67BB"/>
    <w:rsid w:val="13E7462D"/>
    <w:rsid w:val="13E93C38"/>
    <w:rsid w:val="13F5732B"/>
    <w:rsid w:val="13FD056E"/>
    <w:rsid w:val="14151024"/>
    <w:rsid w:val="142C7D33"/>
    <w:rsid w:val="142F79EE"/>
    <w:rsid w:val="143A0EF1"/>
    <w:rsid w:val="146B4947"/>
    <w:rsid w:val="146B5AD1"/>
    <w:rsid w:val="14754401"/>
    <w:rsid w:val="14847F08"/>
    <w:rsid w:val="14903006"/>
    <w:rsid w:val="149B0031"/>
    <w:rsid w:val="14A322C1"/>
    <w:rsid w:val="14B60A59"/>
    <w:rsid w:val="14CB05BE"/>
    <w:rsid w:val="14D47A52"/>
    <w:rsid w:val="14F15014"/>
    <w:rsid w:val="14F9337C"/>
    <w:rsid w:val="14FC0436"/>
    <w:rsid w:val="1504469A"/>
    <w:rsid w:val="150A12D5"/>
    <w:rsid w:val="1512624C"/>
    <w:rsid w:val="15175270"/>
    <w:rsid w:val="151D3723"/>
    <w:rsid w:val="15304E1A"/>
    <w:rsid w:val="15352D72"/>
    <w:rsid w:val="1543362F"/>
    <w:rsid w:val="154F4A0A"/>
    <w:rsid w:val="155211A5"/>
    <w:rsid w:val="157D7DFD"/>
    <w:rsid w:val="15966195"/>
    <w:rsid w:val="159F1D57"/>
    <w:rsid w:val="15A3007C"/>
    <w:rsid w:val="15A43DFF"/>
    <w:rsid w:val="15B552F2"/>
    <w:rsid w:val="15B66837"/>
    <w:rsid w:val="15B85F67"/>
    <w:rsid w:val="15E6711C"/>
    <w:rsid w:val="16075BEE"/>
    <w:rsid w:val="16086561"/>
    <w:rsid w:val="160D2BC9"/>
    <w:rsid w:val="160F7CF5"/>
    <w:rsid w:val="16157A01"/>
    <w:rsid w:val="16232C2C"/>
    <w:rsid w:val="163B5B8B"/>
    <w:rsid w:val="164976AB"/>
    <w:rsid w:val="164E081E"/>
    <w:rsid w:val="16650027"/>
    <w:rsid w:val="16680BED"/>
    <w:rsid w:val="166B1206"/>
    <w:rsid w:val="167F317C"/>
    <w:rsid w:val="168F464C"/>
    <w:rsid w:val="16A11871"/>
    <w:rsid w:val="16B04BCB"/>
    <w:rsid w:val="16B60B8D"/>
    <w:rsid w:val="16B87371"/>
    <w:rsid w:val="16C44F84"/>
    <w:rsid w:val="16F06772"/>
    <w:rsid w:val="16FE70BD"/>
    <w:rsid w:val="17017F86"/>
    <w:rsid w:val="1706655B"/>
    <w:rsid w:val="170A0BE8"/>
    <w:rsid w:val="17141A67"/>
    <w:rsid w:val="1716691C"/>
    <w:rsid w:val="171A5397"/>
    <w:rsid w:val="173A5E51"/>
    <w:rsid w:val="176743AA"/>
    <w:rsid w:val="17683CA8"/>
    <w:rsid w:val="17784BE1"/>
    <w:rsid w:val="178D1819"/>
    <w:rsid w:val="17A20A2C"/>
    <w:rsid w:val="17B466A2"/>
    <w:rsid w:val="17C8368A"/>
    <w:rsid w:val="17C90AA4"/>
    <w:rsid w:val="17D04058"/>
    <w:rsid w:val="17D43A37"/>
    <w:rsid w:val="17E94879"/>
    <w:rsid w:val="17F2365A"/>
    <w:rsid w:val="17FD7D94"/>
    <w:rsid w:val="18091E48"/>
    <w:rsid w:val="18095344"/>
    <w:rsid w:val="181810E3"/>
    <w:rsid w:val="18187335"/>
    <w:rsid w:val="182E12B0"/>
    <w:rsid w:val="182E277A"/>
    <w:rsid w:val="18500B72"/>
    <w:rsid w:val="18505546"/>
    <w:rsid w:val="185F31B6"/>
    <w:rsid w:val="18722EE9"/>
    <w:rsid w:val="1877066F"/>
    <w:rsid w:val="187D363C"/>
    <w:rsid w:val="18961297"/>
    <w:rsid w:val="189A5F3D"/>
    <w:rsid w:val="18A4080D"/>
    <w:rsid w:val="18BE6AD2"/>
    <w:rsid w:val="18C07889"/>
    <w:rsid w:val="18C3152C"/>
    <w:rsid w:val="18C707FF"/>
    <w:rsid w:val="18EF1596"/>
    <w:rsid w:val="18F822B9"/>
    <w:rsid w:val="190B38A2"/>
    <w:rsid w:val="190B50EC"/>
    <w:rsid w:val="191223CD"/>
    <w:rsid w:val="191532B1"/>
    <w:rsid w:val="192862A4"/>
    <w:rsid w:val="1934019F"/>
    <w:rsid w:val="1935744B"/>
    <w:rsid w:val="19537B31"/>
    <w:rsid w:val="195B507D"/>
    <w:rsid w:val="1984168A"/>
    <w:rsid w:val="19856C4C"/>
    <w:rsid w:val="19946E8F"/>
    <w:rsid w:val="19A53E13"/>
    <w:rsid w:val="19C9440F"/>
    <w:rsid w:val="1A0E189A"/>
    <w:rsid w:val="1A22449B"/>
    <w:rsid w:val="1A2B4A5D"/>
    <w:rsid w:val="1A345F7C"/>
    <w:rsid w:val="1A43009A"/>
    <w:rsid w:val="1A463793"/>
    <w:rsid w:val="1A475EB2"/>
    <w:rsid w:val="1A4B1C25"/>
    <w:rsid w:val="1A720603"/>
    <w:rsid w:val="1A8213DE"/>
    <w:rsid w:val="1A8A4E6B"/>
    <w:rsid w:val="1A8C7B66"/>
    <w:rsid w:val="1A963E62"/>
    <w:rsid w:val="1AAE5CA7"/>
    <w:rsid w:val="1AB07CF9"/>
    <w:rsid w:val="1ABA54F5"/>
    <w:rsid w:val="1AD1664E"/>
    <w:rsid w:val="1ADC3F5D"/>
    <w:rsid w:val="1ADD03C2"/>
    <w:rsid w:val="1AF93E52"/>
    <w:rsid w:val="1AFD50AB"/>
    <w:rsid w:val="1B18480A"/>
    <w:rsid w:val="1B191A64"/>
    <w:rsid w:val="1B32070E"/>
    <w:rsid w:val="1B3A5AA4"/>
    <w:rsid w:val="1B4548E5"/>
    <w:rsid w:val="1B472FA4"/>
    <w:rsid w:val="1B55264E"/>
    <w:rsid w:val="1B734C50"/>
    <w:rsid w:val="1B9232C1"/>
    <w:rsid w:val="1B984402"/>
    <w:rsid w:val="1BA248F6"/>
    <w:rsid w:val="1BB878EB"/>
    <w:rsid w:val="1BBE7284"/>
    <w:rsid w:val="1BC218BC"/>
    <w:rsid w:val="1BD143CB"/>
    <w:rsid w:val="1BEC4D61"/>
    <w:rsid w:val="1BF268FD"/>
    <w:rsid w:val="1BFC0741"/>
    <w:rsid w:val="1C314E69"/>
    <w:rsid w:val="1C485D0F"/>
    <w:rsid w:val="1C5E5533"/>
    <w:rsid w:val="1C631C0C"/>
    <w:rsid w:val="1C6B2D2D"/>
    <w:rsid w:val="1C726B7C"/>
    <w:rsid w:val="1C7600BF"/>
    <w:rsid w:val="1C812471"/>
    <w:rsid w:val="1C986C96"/>
    <w:rsid w:val="1C993E5B"/>
    <w:rsid w:val="1C9A625E"/>
    <w:rsid w:val="1CA52E83"/>
    <w:rsid w:val="1CA55D81"/>
    <w:rsid w:val="1CBC78B8"/>
    <w:rsid w:val="1CBF68DF"/>
    <w:rsid w:val="1CC402DB"/>
    <w:rsid w:val="1CC623AA"/>
    <w:rsid w:val="1CCD7C31"/>
    <w:rsid w:val="1CE825F6"/>
    <w:rsid w:val="1CEC2B3E"/>
    <w:rsid w:val="1CEC6B5E"/>
    <w:rsid w:val="1CEE4694"/>
    <w:rsid w:val="1D0C4F8F"/>
    <w:rsid w:val="1D0E464A"/>
    <w:rsid w:val="1D1938BF"/>
    <w:rsid w:val="1D3516EA"/>
    <w:rsid w:val="1D366769"/>
    <w:rsid w:val="1D3A09A3"/>
    <w:rsid w:val="1D5030CD"/>
    <w:rsid w:val="1D5331B8"/>
    <w:rsid w:val="1D621A43"/>
    <w:rsid w:val="1D677893"/>
    <w:rsid w:val="1D6909C9"/>
    <w:rsid w:val="1D7C237A"/>
    <w:rsid w:val="1D801048"/>
    <w:rsid w:val="1D8670E1"/>
    <w:rsid w:val="1D9D3B76"/>
    <w:rsid w:val="1DAC0C4B"/>
    <w:rsid w:val="1DB0484E"/>
    <w:rsid w:val="1DB55626"/>
    <w:rsid w:val="1DB60283"/>
    <w:rsid w:val="1DC632C4"/>
    <w:rsid w:val="1DD50EE3"/>
    <w:rsid w:val="1DE478AE"/>
    <w:rsid w:val="1DEC729A"/>
    <w:rsid w:val="1DEE4157"/>
    <w:rsid w:val="1DFF4D80"/>
    <w:rsid w:val="1E0125C1"/>
    <w:rsid w:val="1E1B7B7F"/>
    <w:rsid w:val="1E320A25"/>
    <w:rsid w:val="1E44704D"/>
    <w:rsid w:val="1E6A43BA"/>
    <w:rsid w:val="1E715012"/>
    <w:rsid w:val="1E784E61"/>
    <w:rsid w:val="1EA01E32"/>
    <w:rsid w:val="1EA851F6"/>
    <w:rsid w:val="1EC2431C"/>
    <w:rsid w:val="1EDA11E1"/>
    <w:rsid w:val="1EDB2E6A"/>
    <w:rsid w:val="1EDF6DFF"/>
    <w:rsid w:val="1EF34658"/>
    <w:rsid w:val="1EFC4C0E"/>
    <w:rsid w:val="1F14175E"/>
    <w:rsid w:val="1F187C4C"/>
    <w:rsid w:val="1F2B5944"/>
    <w:rsid w:val="1F316F2E"/>
    <w:rsid w:val="1F3C5F68"/>
    <w:rsid w:val="1F414859"/>
    <w:rsid w:val="1F4545FE"/>
    <w:rsid w:val="1F5F7EE2"/>
    <w:rsid w:val="1F9B42EE"/>
    <w:rsid w:val="1FA60C2C"/>
    <w:rsid w:val="1FA801E8"/>
    <w:rsid w:val="1FAD4807"/>
    <w:rsid w:val="1FB05EDC"/>
    <w:rsid w:val="1FB574C8"/>
    <w:rsid w:val="1FC009D6"/>
    <w:rsid w:val="1FC63B1B"/>
    <w:rsid w:val="1FC758EE"/>
    <w:rsid w:val="1FD04999"/>
    <w:rsid w:val="1FD33C4C"/>
    <w:rsid w:val="1FD77217"/>
    <w:rsid w:val="1FDC333E"/>
    <w:rsid w:val="1FF10140"/>
    <w:rsid w:val="1FFC34B3"/>
    <w:rsid w:val="1FFC753C"/>
    <w:rsid w:val="201C6C99"/>
    <w:rsid w:val="20234AC9"/>
    <w:rsid w:val="203340C0"/>
    <w:rsid w:val="203B492A"/>
    <w:rsid w:val="204F55D9"/>
    <w:rsid w:val="20501F55"/>
    <w:rsid w:val="20515ADA"/>
    <w:rsid w:val="20582645"/>
    <w:rsid w:val="20605D1D"/>
    <w:rsid w:val="206A6068"/>
    <w:rsid w:val="207417C9"/>
    <w:rsid w:val="2076313B"/>
    <w:rsid w:val="208B0B2F"/>
    <w:rsid w:val="20905CA5"/>
    <w:rsid w:val="20A75793"/>
    <w:rsid w:val="20AC7526"/>
    <w:rsid w:val="20B87907"/>
    <w:rsid w:val="20BA4585"/>
    <w:rsid w:val="20BD4861"/>
    <w:rsid w:val="20F70FD5"/>
    <w:rsid w:val="21025123"/>
    <w:rsid w:val="21132D32"/>
    <w:rsid w:val="211865F8"/>
    <w:rsid w:val="211F4BB3"/>
    <w:rsid w:val="21430468"/>
    <w:rsid w:val="21513061"/>
    <w:rsid w:val="2169341D"/>
    <w:rsid w:val="218617B3"/>
    <w:rsid w:val="218705A7"/>
    <w:rsid w:val="21A23BBE"/>
    <w:rsid w:val="21BA320B"/>
    <w:rsid w:val="21C03271"/>
    <w:rsid w:val="21CB262D"/>
    <w:rsid w:val="21D90C4B"/>
    <w:rsid w:val="21FA3C68"/>
    <w:rsid w:val="222F1E4B"/>
    <w:rsid w:val="226550EE"/>
    <w:rsid w:val="226C794E"/>
    <w:rsid w:val="22752B92"/>
    <w:rsid w:val="2279289A"/>
    <w:rsid w:val="2279484D"/>
    <w:rsid w:val="227979C9"/>
    <w:rsid w:val="22AA17FF"/>
    <w:rsid w:val="22B370B6"/>
    <w:rsid w:val="22BA5A19"/>
    <w:rsid w:val="22C344FF"/>
    <w:rsid w:val="22C52081"/>
    <w:rsid w:val="22D16A5E"/>
    <w:rsid w:val="22FF7A6F"/>
    <w:rsid w:val="23060E7F"/>
    <w:rsid w:val="230A782E"/>
    <w:rsid w:val="23160915"/>
    <w:rsid w:val="231B6B6E"/>
    <w:rsid w:val="231E77CA"/>
    <w:rsid w:val="2329689A"/>
    <w:rsid w:val="232D6E8D"/>
    <w:rsid w:val="233F610F"/>
    <w:rsid w:val="23405EA3"/>
    <w:rsid w:val="234436D4"/>
    <w:rsid w:val="234B4A63"/>
    <w:rsid w:val="236472EF"/>
    <w:rsid w:val="23650D54"/>
    <w:rsid w:val="236C05D2"/>
    <w:rsid w:val="236C49D9"/>
    <w:rsid w:val="237925D6"/>
    <w:rsid w:val="237C1D9B"/>
    <w:rsid w:val="238547C2"/>
    <w:rsid w:val="238720A4"/>
    <w:rsid w:val="238B3F7B"/>
    <w:rsid w:val="238F4A20"/>
    <w:rsid w:val="23A502B3"/>
    <w:rsid w:val="23A67EEB"/>
    <w:rsid w:val="23AE001C"/>
    <w:rsid w:val="23BA6BB5"/>
    <w:rsid w:val="23BC326A"/>
    <w:rsid w:val="23C71F25"/>
    <w:rsid w:val="23CC6FFD"/>
    <w:rsid w:val="23D8503E"/>
    <w:rsid w:val="23DC56BB"/>
    <w:rsid w:val="23E311D5"/>
    <w:rsid w:val="24015B4E"/>
    <w:rsid w:val="24054FF8"/>
    <w:rsid w:val="242D0482"/>
    <w:rsid w:val="2436154C"/>
    <w:rsid w:val="24386823"/>
    <w:rsid w:val="243F4086"/>
    <w:rsid w:val="244F430E"/>
    <w:rsid w:val="245277EF"/>
    <w:rsid w:val="24661428"/>
    <w:rsid w:val="246D27B7"/>
    <w:rsid w:val="24883A94"/>
    <w:rsid w:val="249145FE"/>
    <w:rsid w:val="24AB32DF"/>
    <w:rsid w:val="24B4348C"/>
    <w:rsid w:val="24C119E7"/>
    <w:rsid w:val="24C602A0"/>
    <w:rsid w:val="24CF0D54"/>
    <w:rsid w:val="24E0567E"/>
    <w:rsid w:val="24E65264"/>
    <w:rsid w:val="24ED38F7"/>
    <w:rsid w:val="24FA5C63"/>
    <w:rsid w:val="250A44A9"/>
    <w:rsid w:val="251336D7"/>
    <w:rsid w:val="251D2D43"/>
    <w:rsid w:val="251E715D"/>
    <w:rsid w:val="25203CCD"/>
    <w:rsid w:val="25257EF9"/>
    <w:rsid w:val="252C5ECC"/>
    <w:rsid w:val="2537727E"/>
    <w:rsid w:val="253A4D8F"/>
    <w:rsid w:val="2544623B"/>
    <w:rsid w:val="25450700"/>
    <w:rsid w:val="254C6870"/>
    <w:rsid w:val="254D6B2F"/>
    <w:rsid w:val="254F5386"/>
    <w:rsid w:val="25526A26"/>
    <w:rsid w:val="255312E6"/>
    <w:rsid w:val="257A33DD"/>
    <w:rsid w:val="2588726F"/>
    <w:rsid w:val="25937FCC"/>
    <w:rsid w:val="259A56C4"/>
    <w:rsid w:val="25B3069D"/>
    <w:rsid w:val="25C72DD0"/>
    <w:rsid w:val="25D229F4"/>
    <w:rsid w:val="25E371D4"/>
    <w:rsid w:val="25EE0EA3"/>
    <w:rsid w:val="25F3318F"/>
    <w:rsid w:val="25F75596"/>
    <w:rsid w:val="262178AA"/>
    <w:rsid w:val="26492DAF"/>
    <w:rsid w:val="26527EB6"/>
    <w:rsid w:val="26876DE5"/>
    <w:rsid w:val="269E0235"/>
    <w:rsid w:val="26AC4BE0"/>
    <w:rsid w:val="26BE19EF"/>
    <w:rsid w:val="26CC7C68"/>
    <w:rsid w:val="26E52AD8"/>
    <w:rsid w:val="26FD62E4"/>
    <w:rsid w:val="27194E78"/>
    <w:rsid w:val="271F4035"/>
    <w:rsid w:val="27286E69"/>
    <w:rsid w:val="27383550"/>
    <w:rsid w:val="274421F4"/>
    <w:rsid w:val="27445F0D"/>
    <w:rsid w:val="27534A28"/>
    <w:rsid w:val="276023CE"/>
    <w:rsid w:val="27873867"/>
    <w:rsid w:val="27A46FAF"/>
    <w:rsid w:val="27C3500E"/>
    <w:rsid w:val="27D90B28"/>
    <w:rsid w:val="27FE6547"/>
    <w:rsid w:val="28182978"/>
    <w:rsid w:val="28242475"/>
    <w:rsid w:val="2842328A"/>
    <w:rsid w:val="284F6DB5"/>
    <w:rsid w:val="2852116C"/>
    <w:rsid w:val="28773F6A"/>
    <w:rsid w:val="287D7ED0"/>
    <w:rsid w:val="28816C46"/>
    <w:rsid w:val="289131B4"/>
    <w:rsid w:val="289742A6"/>
    <w:rsid w:val="28B035B3"/>
    <w:rsid w:val="28B56623"/>
    <w:rsid w:val="28BC18B3"/>
    <w:rsid w:val="28C55650"/>
    <w:rsid w:val="28E828E7"/>
    <w:rsid w:val="28EB63A0"/>
    <w:rsid w:val="28F60FCD"/>
    <w:rsid w:val="28F6721F"/>
    <w:rsid w:val="29201CD1"/>
    <w:rsid w:val="2936586D"/>
    <w:rsid w:val="2942789E"/>
    <w:rsid w:val="294A756A"/>
    <w:rsid w:val="295421FD"/>
    <w:rsid w:val="29670395"/>
    <w:rsid w:val="29842A7C"/>
    <w:rsid w:val="299716FE"/>
    <w:rsid w:val="299D3B3E"/>
    <w:rsid w:val="29C64B42"/>
    <w:rsid w:val="29CC4423"/>
    <w:rsid w:val="29D37560"/>
    <w:rsid w:val="29E4441C"/>
    <w:rsid w:val="29E91861"/>
    <w:rsid w:val="29EF49E2"/>
    <w:rsid w:val="29FC02BC"/>
    <w:rsid w:val="2A027B49"/>
    <w:rsid w:val="2A0616E3"/>
    <w:rsid w:val="2A09364C"/>
    <w:rsid w:val="2A0C35E1"/>
    <w:rsid w:val="2A157B78"/>
    <w:rsid w:val="2A342A03"/>
    <w:rsid w:val="2A382EBA"/>
    <w:rsid w:val="2A3B2F4F"/>
    <w:rsid w:val="2A467D32"/>
    <w:rsid w:val="2A4D4C2B"/>
    <w:rsid w:val="2A571C68"/>
    <w:rsid w:val="2A577B8D"/>
    <w:rsid w:val="2A61691A"/>
    <w:rsid w:val="2A6A4A10"/>
    <w:rsid w:val="2A7A52D0"/>
    <w:rsid w:val="2A7C55A1"/>
    <w:rsid w:val="2A904270"/>
    <w:rsid w:val="2AA44EF8"/>
    <w:rsid w:val="2AA8672E"/>
    <w:rsid w:val="2AA9206F"/>
    <w:rsid w:val="2AB56C65"/>
    <w:rsid w:val="2AB7478C"/>
    <w:rsid w:val="2ABE5C09"/>
    <w:rsid w:val="2AC05D36"/>
    <w:rsid w:val="2AC905A4"/>
    <w:rsid w:val="2ACA1805"/>
    <w:rsid w:val="2ACD757B"/>
    <w:rsid w:val="2ACE4221"/>
    <w:rsid w:val="2AD2618A"/>
    <w:rsid w:val="2ADF3CE2"/>
    <w:rsid w:val="2ADF57F6"/>
    <w:rsid w:val="2B034DF3"/>
    <w:rsid w:val="2B0D50FB"/>
    <w:rsid w:val="2B146082"/>
    <w:rsid w:val="2B1F55A9"/>
    <w:rsid w:val="2B30453E"/>
    <w:rsid w:val="2B343C6F"/>
    <w:rsid w:val="2B5446D0"/>
    <w:rsid w:val="2B5D3B18"/>
    <w:rsid w:val="2B642897"/>
    <w:rsid w:val="2B6528FC"/>
    <w:rsid w:val="2B801A74"/>
    <w:rsid w:val="2B84661A"/>
    <w:rsid w:val="2B8E7BE2"/>
    <w:rsid w:val="2B8F74B6"/>
    <w:rsid w:val="2B976D6A"/>
    <w:rsid w:val="2B9B40AD"/>
    <w:rsid w:val="2BA45355"/>
    <w:rsid w:val="2BA454DE"/>
    <w:rsid w:val="2BB21E66"/>
    <w:rsid w:val="2BB42A96"/>
    <w:rsid w:val="2BC97AA1"/>
    <w:rsid w:val="2BD17ACF"/>
    <w:rsid w:val="2BD70DB6"/>
    <w:rsid w:val="2BE67C11"/>
    <w:rsid w:val="2BEB56B4"/>
    <w:rsid w:val="2C03095E"/>
    <w:rsid w:val="2C0C4FAB"/>
    <w:rsid w:val="2C106849"/>
    <w:rsid w:val="2C1A76C8"/>
    <w:rsid w:val="2C1B2DCF"/>
    <w:rsid w:val="2C4B4A54"/>
    <w:rsid w:val="2C4E4561"/>
    <w:rsid w:val="2C51018F"/>
    <w:rsid w:val="2C526E62"/>
    <w:rsid w:val="2C532BDA"/>
    <w:rsid w:val="2C536595"/>
    <w:rsid w:val="2C576226"/>
    <w:rsid w:val="2C5E3182"/>
    <w:rsid w:val="2C61616A"/>
    <w:rsid w:val="2C65483C"/>
    <w:rsid w:val="2C6E531E"/>
    <w:rsid w:val="2C840586"/>
    <w:rsid w:val="2CB01CF4"/>
    <w:rsid w:val="2CB73169"/>
    <w:rsid w:val="2CDF7FCA"/>
    <w:rsid w:val="2CF51A3A"/>
    <w:rsid w:val="2D0A773C"/>
    <w:rsid w:val="2D1D71A5"/>
    <w:rsid w:val="2D2D05C7"/>
    <w:rsid w:val="2D346567"/>
    <w:rsid w:val="2D4029A2"/>
    <w:rsid w:val="2D435AA1"/>
    <w:rsid w:val="2D4F6EFD"/>
    <w:rsid w:val="2D5A4C42"/>
    <w:rsid w:val="2D5B7C7A"/>
    <w:rsid w:val="2D617311"/>
    <w:rsid w:val="2D6D453A"/>
    <w:rsid w:val="2D75121F"/>
    <w:rsid w:val="2D893AC7"/>
    <w:rsid w:val="2D8A2289"/>
    <w:rsid w:val="2D9E1C33"/>
    <w:rsid w:val="2DBE0F5A"/>
    <w:rsid w:val="2DDE7701"/>
    <w:rsid w:val="2DF57EE2"/>
    <w:rsid w:val="2E0979F4"/>
    <w:rsid w:val="2E0D08A3"/>
    <w:rsid w:val="2E0F325C"/>
    <w:rsid w:val="2E103B34"/>
    <w:rsid w:val="2E1275F1"/>
    <w:rsid w:val="2E1472D4"/>
    <w:rsid w:val="2E211ABB"/>
    <w:rsid w:val="2E246097"/>
    <w:rsid w:val="2E4B5350"/>
    <w:rsid w:val="2E525FE5"/>
    <w:rsid w:val="2E577696"/>
    <w:rsid w:val="2E5A20A7"/>
    <w:rsid w:val="2E840E29"/>
    <w:rsid w:val="2E925DBF"/>
    <w:rsid w:val="2E956AFF"/>
    <w:rsid w:val="2EA43279"/>
    <w:rsid w:val="2EB86D24"/>
    <w:rsid w:val="2EC042E5"/>
    <w:rsid w:val="2ED362D4"/>
    <w:rsid w:val="2F08794B"/>
    <w:rsid w:val="2F0A7DE0"/>
    <w:rsid w:val="2F171C9D"/>
    <w:rsid w:val="2F1C5505"/>
    <w:rsid w:val="2F276925"/>
    <w:rsid w:val="2F4B7212"/>
    <w:rsid w:val="2F4D002F"/>
    <w:rsid w:val="2F5862E9"/>
    <w:rsid w:val="2F5C3B54"/>
    <w:rsid w:val="2F5D79A6"/>
    <w:rsid w:val="2F5F538F"/>
    <w:rsid w:val="2F6E39A3"/>
    <w:rsid w:val="2F70684D"/>
    <w:rsid w:val="2F77273B"/>
    <w:rsid w:val="2F7C07E6"/>
    <w:rsid w:val="2F8A35B4"/>
    <w:rsid w:val="2F8E13EB"/>
    <w:rsid w:val="2F982F65"/>
    <w:rsid w:val="2F9A1324"/>
    <w:rsid w:val="2F9D21CA"/>
    <w:rsid w:val="2F9F1551"/>
    <w:rsid w:val="2FAB69DE"/>
    <w:rsid w:val="2FBE036A"/>
    <w:rsid w:val="2FBE1284"/>
    <w:rsid w:val="2FBE4BBB"/>
    <w:rsid w:val="2FBF7401"/>
    <w:rsid w:val="2FC22F28"/>
    <w:rsid w:val="2FCA6D0F"/>
    <w:rsid w:val="2FCB233F"/>
    <w:rsid w:val="2FD557B3"/>
    <w:rsid w:val="2FD7142C"/>
    <w:rsid w:val="2FD85DE6"/>
    <w:rsid w:val="2FDB1110"/>
    <w:rsid w:val="2FDD2EE6"/>
    <w:rsid w:val="2FF3395D"/>
    <w:rsid w:val="2FF67B04"/>
    <w:rsid w:val="300707AC"/>
    <w:rsid w:val="30156A33"/>
    <w:rsid w:val="3018048E"/>
    <w:rsid w:val="301954F6"/>
    <w:rsid w:val="301D2398"/>
    <w:rsid w:val="302762F3"/>
    <w:rsid w:val="302F2452"/>
    <w:rsid w:val="302F675F"/>
    <w:rsid w:val="30396599"/>
    <w:rsid w:val="30411F7C"/>
    <w:rsid w:val="304A60A2"/>
    <w:rsid w:val="308568D1"/>
    <w:rsid w:val="30990E18"/>
    <w:rsid w:val="309C2994"/>
    <w:rsid w:val="30A21A3A"/>
    <w:rsid w:val="30A46CC6"/>
    <w:rsid w:val="30A729F3"/>
    <w:rsid w:val="30BC23AE"/>
    <w:rsid w:val="30BF39E6"/>
    <w:rsid w:val="30D209AA"/>
    <w:rsid w:val="30ED712E"/>
    <w:rsid w:val="30EF2E37"/>
    <w:rsid w:val="30FC4416"/>
    <w:rsid w:val="30FC500D"/>
    <w:rsid w:val="30FC62F5"/>
    <w:rsid w:val="31026FFF"/>
    <w:rsid w:val="310F6C24"/>
    <w:rsid w:val="311A3CC6"/>
    <w:rsid w:val="312D77EB"/>
    <w:rsid w:val="313E1F02"/>
    <w:rsid w:val="31430F8A"/>
    <w:rsid w:val="3148438F"/>
    <w:rsid w:val="31507E17"/>
    <w:rsid w:val="315928B0"/>
    <w:rsid w:val="315E0057"/>
    <w:rsid w:val="317F1976"/>
    <w:rsid w:val="318C423B"/>
    <w:rsid w:val="319B6B3A"/>
    <w:rsid w:val="31A67308"/>
    <w:rsid w:val="31AA6DF8"/>
    <w:rsid w:val="31B511BB"/>
    <w:rsid w:val="31C755B5"/>
    <w:rsid w:val="31C83722"/>
    <w:rsid w:val="31CA5C5E"/>
    <w:rsid w:val="31ED6472"/>
    <w:rsid w:val="31FA5F63"/>
    <w:rsid w:val="3207249C"/>
    <w:rsid w:val="32381187"/>
    <w:rsid w:val="323B4470"/>
    <w:rsid w:val="323D1A1A"/>
    <w:rsid w:val="324A40CE"/>
    <w:rsid w:val="324E37D9"/>
    <w:rsid w:val="3254376E"/>
    <w:rsid w:val="327214B2"/>
    <w:rsid w:val="327D1486"/>
    <w:rsid w:val="32820059"/>
    <w:rsid w:val="32821B23"/>
    <w:rsid w:val="3289176D"/>
    <w:rsid w:val="328B38CB"/>
    <w:rsid w:val="32900BB9"/>
    <w:rsid w:val="329A742D"/>
    <w:rsid w:val="329D695D"/>
    <w:rsid w:val="329F26D5"/>
    <w:rsid w:val="32A04859"/>
    <w:rsid w:val="32B02085"/>
    <w:rsid w:val="32F04CDF"/>
    <w:rsid w:val="32F71FD7"/>
    <w:rsid w:val="33002927"/>
    <w:rsid w:val="33154745"/>
    <w:rsid w:val="33197287"/>
    <w:rsid w:val="331A6E59"/>
    <w:rsid w:val="332211C5"/>
    <w:rsid w:val="33340929"/>
    <w:rsid w:val="333F4925"/>
    <w:rsid w:val="33456DE6"/>
    <w:rsid w:val="33497AB2"/>
    <w:rsid w:val="335A2AA0"/>
    <w:rsid w:val="336B25B7"/>
    <w:rsid w:val="337F0EBB"/>
    <w:rsid w:val="337F2820"/>
    <w:rsid w:val="33B03948"/>
    <w:rsid w:val="33B43F5E"/>
    <w:rsid w:val="33CD52B8"/>
    <w:rsid w:val="33CF7DBA"/>
    <w:rsid w:val="33D03552"/>
    <w:rsid w:val="33DC5263"/>
    <w:rsid w:val="33E50B1A"/>
    <w:rsid w:val="33EC7B9C"/>
    <w:rsid w:val="33EF4D0A"/>
    <w:rsid w:val="34032411"/>
    <w:rsid w:val="340D4A2F"/>
    <w:rsid w:val="34265A2E"/>
    <w:rsid w:val="342C7702"/>
    <w:rsid w:val="344001AE"/>
    <w:rsid w:val="346F64F3"/>
    <w:rsid w:val="34825E0A"/>
    <w:rsid w:val="34A00986"/>
    <w:rsid w:val="34A22009"/>
    <w:rsid w:val="34B14942"/>
    <w:rsid w:val="34D0301A"/>
    <w:rsid w:val="34DF14AF"/>
    <w:rsid w:val="34DF21B5"/>
    <w:rsid w:val="34E32559"/>
    <w:rsid w:val="34ED312C"/>
    <w:rsid w:val="34F32864"/>
    <w:rsid w:val="34FB201B"/>
    <w:rsid w:val="34FB3190"/>
    <w:rsid w:val="351723C4"/>
    <w:rsid w:val="3522139B"/>
    <w:rsid w:val="35254D25"/>
    <w:rsid w:val="35325A82"/>
    <w:rsid w:val="353676CF"/>
    <w:rsid w:val="35441312"/>
    <w:rsid w:val="35515E16"/>
    <w:rsid w:val="355763FB"/>
    <w:rsid w:val="356F1DE6"/>
    <w:rsid w:val="357D4824"/>
    <w:rsid w:val="35891F84"/>
    <w:rsid w:val="35A528F9"/>
    <w:rsid w:val="35BA1DCF"/>
    <w:rsid w:val="35BC359E"/>
    <w:rsid w:val="35C06AAE"/>
    <w:rsid w:val="35CE070B"/>
    <w:rsid w:val="35DC3C1A"/>
    <w:rsid w:val="35DD4DB4"/>
    <w:rsid w:val="35EF3EB5"/>
    <w:rsid w:val="35F5085E"/>
    <w:rsid w:val="35F772C9"/>
    <w:rsid w:val="36252EF1"/>
    <w:rsid w:val="363A401E"/>
    <w:rsid w:val="36603C3A"/>
    <w:rsid w:val="36696F9E"/>
    <w:rsid w:val="367100B3"/>
    <w:rsid w:val="368371E9"/>
    <w:rsid w:val="369167D9"/>
    <w:rsid w:val="3697072A"/>
    <w:rsid w:val="369A2264"/>
    <w:rsid w:val="36A43329"/>
    <w:rsid w:val="36BD3E66"/>
    <w:rsid w:val="36CF10AF"/>
    <w:rsid w:val="36D54E30"/>
    <w:rsid w:val="36D87F64"/>
    <w:rsid w:val="36D96200"/>
    <w:rsid w:val="36E075CF"/>
    <w:rsid w:val="36E45642"/>
    <w:rsid w:val="36E67F1E"/>
    <w:rsid w:val="36EF52AD"/>
    <w:rsid w:val="36F93223"/>
    <w:rsid w:val="370451FC"/>
    <w:rsid w:val="370A06A0"/>
    <w:rsid w:val="370D0E17"/>
    <w:rsid w:val="37136F3C"/>
    <w:rsid w:val="372E1665"/>
    <w:rsid w:val="37305E0B"/>
    <w:rsid w:val="373D5333"/>
    <w:rsid w:val="37465815"/>
    <w:rsid w:val="374709C4"/>
    <w:rsid w:val="3747458A"/>
    <w:rsid w:val="376B044A"/>
    <w:rsid w:val="37701B4C"/>
    <w:rsid w:val="377203B8"/>
    <w:rsid w:val="37936580"/>
    <w:rsid w:val="37A20571"/>
    <w:rsid w:val="37A46016"/>
    <w:rsid w:val="37B54749"/>
    <w:rsid w:val="37EF1A09"/>
    <w:rsid w:val="37F11A23"/>
    <w:rsid w:val="380A1621"/>
    <w:rsid w:val="382402DC"/>
    <w:rsid w:val="38392A8D"/>
    <w:rsid w:val="384A57DD"/>
    <w:rsid w:val="384C4026"/>
    <w:rsid w:val="3851592F"/>
    <w:rsid w:val="385B0E4C"/>
    <w:rsid w:val="388163D9"/>
    <w:rsid w:val="38A02D03"/>
    <w:rsid w:val="38A30A45"/>
    <w:rsid w:val="38AB4E8A"/>
    <w:rsid w:val="38CC58A6"/>
    <w:rsid w:val="38DE5A9B"/>
    <w:rsid w:val="38F20621"/>
    <w:rsid w:val="38F848ED"/>
    <w:rsid w:val="39194863"/>
    <w:rsid w:val="39255A3C"/>
    <w:rsid w:val="393918F3"/>
    <w:rsid w:val="39401290"/>
    <w:rsid w:val="39437493"/>
    <w:rsid w:val="39523143"/>
    <w:rsid w:val="396B78FC"/>
    <w:rsid w:val="39842625"/>
    <w:rsid w:val="398D3369"/>
    <w:rsid w:val="39972160"/>
    <w:rsid w:val="39B221EB"/>
    <w:rsid w:val="39B34CB8"/>
    <w:rsid w:val="39C85F2C"/>
    <w:rsid w:val="39D6265A"/>
    <w:rsid w:val="39EE17A8"/>
    <w:rsid w:val="39F552D0"/>
    <w:rsid w:val="3A0472C2"/>
    <w:rsid w:val="3A1A2A53"/>
    <w:rsid w:val="3A282FB0"/>
    <w:rsid w:val="3A2B2AA0"/>
    <w:rsid w:val="3A2D75CA"/>
    <w:rsid w:val="3A630BBF"/>
    <w:rsid w:val="3A6C5593"/>
    <w:rsid w:val="3A7206CF"/>
    <w:rsid w:val="3A7D0687"/>
    <w:rsid w:val="3A8F5E4C"/>
    <w:rsid w:val="3A972991"/>
    <w:rsid w:val="3A9F1100"/>
    <w:rsid w:val="3AD35612"/>
    <w:rsid w:val="3AEA630E"/>
    <w:rsid w:val="3AFA4B35"/>
    <w:rsid w:val="3AFD268F"/>
    <w:rsid w:val="3B040569"/>
    <w:rsid w:val="3B3755D1"/>
    <w:rsid w:val="3B3807D5"/>
    <w:rsid w:val="3B4756B8"/>
    <w:rsid w:val="3B5D7801"/>
    <w:rsid w:val="3B7512B0"/>
    <w:rsid w:val="3B79002D"/>
    <w:rsid w:val="3B821274"/>
    <w:rsid w:val="3B9E6E1C"/>
    <w:rsid w:val="3BB20F3E"/>
    <w:rsid w:val="3BB80364"/>
    <w:rsid w:val="3BB80C52"/>
    <w:rsid w:val="3BB871F2"/>
    <w:rsid w:val="3BE21CBF"/>
    <w:rsid w:val="3BEC6D4B"/>
    <w:rsid w:val="3BFB225A"/>
    <w:rsid w:val="3BFC5E11"/>
    <w:rsid w:val="3C1A1F2D"/>
    <w:rsid w:val="3C1F4887"/>
    <w:rsid w:val="3C203190"/>
    <w:rsid w:val="3C2247A9"/>
    <w:rsid w:val="3C441EDA"/>
    <w:rsid w:val="3C4B4D85"/>
    <w:rsid w:val="3C5B6BB4"/>
    <w:rsid w:val="3C6F55B5"/>
    <w:rsid w:val="3C7324DC"/>
    <w:rsid w:val="3C77694D"/>
    <w:rsid w:val="3C805325"/>
    <w:rsid w:val="3C850B8E"/>
    <w:rsid w:val="3C860462"/>
    <w:rsid w:val="3C8841DA"/>
    <w:rsid w:val="3C8C1F1C"/>
    <w:rsid w:val="3C945797"/>
    <w:rsid w:val="3CBD4D7A"/>
    <w:rsid w:val="3CDE6BF6"/>
    <w:rsid w:val="3CE84C78"/>
    <w:rsid w:val="3CF0118C"/>
    <w:rsid w:val="3CF67395"/>
    <w:rsid w:val="3D257463"/>
    <w:rsid w:val="3D371845"/>
    <w:rsid w:val="3D6B2005"/>
    <w:rsid w:val="3D702789"/>
    <w:rsid w:val="3D705DD6"/>
    <w:rsid w:val="3D7A1134"/>
    <w:rsid w:val="3D7B0837"/>
    <w:rsid w:val="3D917B58"/>
    <w:rsid w:val="3D933E35"/>
    <w:rsid w:val="3DA22BCB"/>
    <w:rsid w:val="3DBA7FD5"/>
    <w:rsid w:val="3DBE12CE"/>
    <w:rsid w:val="3DDD7EE2"/>
    <w:rsid w:val="3DE35F83"/>
    <w:rsid w:val="3DF21A9C"/>
    <w:rsid w:val="3E1A6C5D"/>
    <w:rsid w:val="3E256BCD"/>
    <w:rsid w:val="3E2E1B5F"/>
    <w:rsid w:val="3E3116AA"/>
    <w:rsid w:val="3E365509"/>
    <w:rsid w:val="3E3839DE"/>
    <w:rsid w:val="3E51319D"/>
    <w:rsid w:val="3E5D531F"/>
    <w:rsid w:val="3E6B6D58"/>
    <w:rsid w:val="3E6F38A3"/>
    <w:rsid w:val="3E794BA4"/>
    <w:rsid w:val="3E7C1B1C"/>
    <w:rsid w:val="3E83486D"/>
    <w:rsid w:val="3E8A5C2A"/>
    <w:rsid w:val="3EA90437"/>
    <w:rsid w:val="3EAA4BCC"/>
    <w:rsid w:val="3EBC016B"/>
    <w:rsid w:val="3ED36D6B"/>
    <w:rsid w:val="3ED73ED9"/>
    <w:rsid w:val="3EDC25BB"/>
    <w:rsid w:val="3EDC37C7"/>
    <w:rsid w:val="3EF67EB8"/>
    <w:rsid w:val="3EF95E5F"/>
    <w:rsid w:val="3EFD3673"/>
    <w:rsid w:val="3F1A4E59"/>
    <w:rsid w:val="3F1C623C"/>
    <w:rsid w:val="3F1C799D"/>
    <w:rsid w:val="3F2A5B41"/>
    <w:rsid w:val="3F387866"/>
    <w:rsid w:val="3F3C12AC"/>
    <w:rsid w:val="3F410AB2"/>
    <w:rsid w:val="3F8032FD"/>
    <w:rsid w:val="3F9D7DD4"/>
    <w:rsid w:val="3FBA0B4E"/>
    <w:rsid w:val="3FD17F36"/>
    <w:rsid w:val="3FD414E4"/>
    <w:rsid w:val="3FD87226"/>
    <w:rsid w:val="3FE518F1"/>
    <w:rsid w:val="3FF36A09"/>
    <w:rsid w:val="40114C67"/>
    <w:rsid w:val="401569C3"/>
    <w:rsid w:val="401D10DD"/>
    <w:rsid w:val="402D6370"/>
    <w:rsid w:val="404B5C4A"/>
    <w:rsid w:val="40510B52"/>
    <w:rsid w:val="40512B35"/>
    <w:rsid w:val="405766A5"/>
    <w:rsid w:val="407F76A2"/>
    <w:rsid w:val="40942067"/>
    <w:rsid w:val="4097760C"/>
    <w:rsid w:val="409B7C9D"/>
    <w:rsid w:val="40AD1E61"/>
    <w:rsid w:val="40B572FC"/>
    <w:rsid w:val="40C45E46"/>
    <w:rsid w:val="40CF452D"/>
    <w:rsid w:val="40D20119"/>
    <w:rsid w:val="40D36012"/>
    <w:rsid w:val="40D669C7"/>
    <w:rsid w:val="40D95004"/>
    <w:rsid w:val="40E439A9"/>
    <w:rsid w:val="4106677A"/>
    <w:rsid w:val="41083B3B"/>
    <w:rsid w:val="410858E9"/>
    <w:rsid w:val="410C29B1"/>
    <w:rsid w:val="410D0D6D"/>
    <w:rsid w:val="4110479E"/>
    <w:rsid w:val="41162375"/>
    <w:rsid w:val="414F5A5F"/>
    <w:rsid w:val="4162149D"/>
    <w:rsid w:val="41652FF9"/>
    <w:rsid w:val="41790595"/>
    <w:rsid w:val="41807753"/>
    <w:rsid w:val="418C2076"/>
    <w:rsid w:val="41940E64"/>
    <w:rsid w:val="419A7311"/>
    <w:rsid w:val="41A06E9D"/>
    <w:rsid w:val="41A60089"/>
    <w:rsid w:val="41B7415B"/>
    <w:rsid w:val="41BA4733"/>
    <w:rsid w:val="41DE0CC3"/>
    <w:rsid w:val="41DF5420"/>
    <w:rsid w:val="41E921F9"/>
    <w:rsid w:val="4206414E"/>
    <w:rsid w:val="421D07CB"/>
    <w:rsid w:val="421F30A2"/>
    <w:rsid w:val="42411284"/>
    <w:rsid w:val="42491C72"/>
    <w:rsid w:val="426B29F8"/>
    <w:rsid w:val="426D5C02"/>
    <w:rsid w:val="426E5A6F"/>
    <w:rsid w:val="42703746"/>
    <w:rsid w:val="42730000"/>
    <w:rsid w:val="4279766F"/>
    <w:rsid w:val="42A476A0"/>
    <w:rsid w:val="42B2236F"/>
    <w:rsid w:val="42BD57B8"/>
    <w:rsid w:val="42C83582"/>
    <w:rsid w:val="42DB1FE5"/>
    <w:rsid w:val="42E61C5A"/>
    <w:rsid w:val="42E76650"/>
    <w:rsid w:val="42F5314F"/>
    <w:rsid w:val="43023E54"/>
    <w:rsid w:val="430F7C30"/>
    <w:rsid w:val="434C58D6"/>
    <w:rsid w:val="43566A75"/>
    <w:rsid w:val="43704B3C"/>
    <w:rsid w:val="437D70DF"/>
    <w:rsid w:val="43891805"/>
    <w:rsid w:val="43AD4425"/>
    <w:rsid w:val="43AD4526"/>
    <w:rsid w:val="43B12664"/>
    <w:rsid w:val="43B364D1"/>
    <w:rsid w:val="43B45FD6"/>
    <w:rsid w:val="43E55E00"/>
    <w:rsid w:val="43F7497A"/>
    <w:rsid w:val="43F806C7"/>
    <w:rsid w:val="43FA5A0D"/>
    <w:rsid w:val="43FF2C2F"/>
    <w:rsid w:val="44123325"/>
    <w:rsid w:val="44173F66"/>
    <w:rsid w:val="441A2526"/>
    <w:rsid w:val="44350418"/>
    <w:rsid w:val="44352E99"/>
    <w:rsid w:val="443D58AA"/>
    <w:rsid w:val="44402978"/>
    <w:rsid w:val="444E7AB7"/>
    <w:rsid w:val="44550A6E"/>
    <w:rsid w:val="44603BEE"/>
    <w:rsid w:val="44886064"/>
    <w:rsid w:val="44913E48"/>
    <w:rsid w:val="4493196E"/>
    <w:rsid w:val="44935E12"/>
    <w:rsid w:val="44B51122"/>
    <w:rsid w:val="44B5725A"/>
    <w:rsid w:val="44B71B00"/>
    <w:rsid w:val="44C20B3B"/>
    <w:rsid w:val="44D22496"/>
    <w:rsid w:val="44DD0E3B"/>
    <w:rsid w:val="44EA0184"/>
    <w:rsid w:val="44EA2395"/>
    <w:rsid w:val="451938A0"/>
    <w:rsid w:val="451B1634"/>
    <w:rsid w:val="45521829"/>
    <w:rsid w:val="45527545"/>
    <w:rsid w:val="45600DF0"/>
    <w:rsid w:val="457F1905"/>
    <w:rsid w:val="45991206"/>
    <w:rsid w:val="45A73923"/>
    <w:rsid w:val="45C03432"/>
    <w:rsid w:val="45CD6B5F"/>
    <w:rsid w:val="45D87F80"/>
    <w:rsid w:val="461216D0"/>
    <w:rsid w:val="46310D47"/>
    <w:rsid w:val="46333F1D"/>
    <w:rsid w:val="4633585C"/>
    <w:rsid w:val="46364CA7"/>
    <w:rsid w:val="463D0473"/>
    <w:rsid w:val="46462CAA"/>
    <w:rsid w:val="465D66D7"/>
    <w:rsid w:val="465E5763"/>
    <w:rsid w:val="46711BF1"/>
    <w:rsid w:val="46731A57"/>
    <w:rsid w:val="4678549D"/>
    <w:rsid w:val="467C3F5E"/>
    <w:rsid w:val="46866572"/>
    <w:rsid w:val="46BE5C65"/>
    <w:rsid w:val="46D5192D"/>
    <w:rsid w:val="46DF045D"/>
    <w:rsid w:val="46DF2183"/>
    <w:rsid w:val="46DF4FAF"/>
    <w:rsid w:val="46E72156"/>
    <w:rsid w:val="46EB3CE3"/>
    <w:rsid w:val="46F877D3"/>
    <w:rsid w:val="46FF7347"/>
    <w:rsid w:val="470514AB"/>
    <w:rsid w:val="47097744"/>
    <w:rsid w:val="47321912"/>
    <w:rsid w:val="47564504"/>
    <w:rsid w:val="475703A8"/>
    <w:rsid w:val="477749D5"/>
    <w:rsid w:val="4780267D"/>
    <w:rsid w:val="47996C23"/>
    <w:rsid w:val="47AE736E"/>
    <w:rsid w:val="47AF0A85"/>
    <w:rsid w:val="47C337F6"/>
    <w:rsid w:val="47CE41E5"/>
    <w:rsid w:val="47CF0282"/>
    <w:rsid w:val="47D45EBC"/>
    <w:rsid w:val="47D77BC6"/>
    <w:rsid w:val="47E271E8"/>
    <w:rsid w:val="48013092"/>
    <w:rsid w:val="480617D0"/>
    <w:rsid w:val="48150129"/>
    <w:rsid w:val="481C18CE"/>
    <w:rsid w:val="48310F25"/>
    <w:rsid w:val="48313090"/>
    <w:rsid w:val="484216E1"/>
    <w:rsid w:val="48481C0E"/>
    <w:rsid w:val="484B0B57"/>
    <w:rsid w:val="484C255F"/>
    <w:rsid w:val="484F2050"/>
    <w:rsid w:val="485373A4"/>
    <w:rsid w:val="48595781"/>
    <w:rsid w:val="485C6E1D"/>
    <w:rsid w:val="486024AF"/>
    <w:rsid w:val="48710F10"/>
    <w:rsid w:val="487E5091"/>
    <w:rsid w:val="48920D0F"/>
    <w:rsid w:val="48934632"/>
    <w:rsid w:val="48F06924"/>
    <w:rsid w:val="48F70B64"/>
    <w:rsid w:val="48F7696F"/>
    <w:rsid w:val="48FC3F85"/>
    <w:rsid w:val="49051DF8"/>
    <w:rsid w:val="49194C78"/>
    <w:rsid w:val="49284A09"/>
    <w:rsid w:val="49366D6C"/>
    <w:rsid w:val="49620B10"/>
    <w:rsid w:val="49706721"/>
    <w:rsid w:val="49A87CE8"/>
    <w:rsid w:val="49C600F0"/>
    <w:rsid w:val="49CE7FF4"/>
    <w:rsid w:val="49D04449"/>
    <w:rsid w:val="49D15412"/>
    <w:rsid w:val="49F230EF"/>
    <w:rsid w:val="4A0D37BD"/>
    <w:rsid w:val="4A1672C9"/>
    <w:rsid w:val="4A280DAA"/>
    <w:rsid w:val="4A2C089A"/>
    <w:rsid w:val="4A2D69C4"/>
    <w:rsid w:val="4A2F0CF3"/>
    <w:rsid w:val="4A58408B"/>
    <w:rsid w:val="4A730D09"/>
    <w:rsid w:val="4A813CB6"/>
    <w:rsid w:val="4A871BDA"/>
    <w:rsid w:val="4A8858A7"/>
    <w:rsid w:val="4A887FBE"/>
    <w:rsid w:val="4A934F81"/>
    <w:rsid w:val="4AA30562"/>
    <w:rsid w:val="4AA461AF"/>
    <w:rsid w:val="4AB7656D"/>
    <w:rsid w:val="4ABD676B"/>
    <w:rsid w:val="4AC97E97"/>
    <w:rsid w:val="4ACB17A7"/>
    <w:rsid w:val="4AD80B11"/>
    <w:rsid w:val="4ADE4635"/>
    <w:rsid w:val="4AE37191"/>
    <w:rsid w:val="4AF56EDE"/>
    <w:rsid w:val="4AF916D2"/>
    <w:rsid w:val="4B091777"/>
    <w:rsid w:val="4B144DCA"/>
    <w:rsid w:val="4B1D6435"/>
    <w:rsid w:val="4B1F496B"/>
    <w:rsid w:val="4B2477C4"/>
    <w:rsid w:val="4B386DCB"/>
    <w:rsid w:val="4B490FD8"/>
    <w:rsid w:val="4B4C6F48"/>
    <w:rsid w:val="4B664DEC"/>
    <w:rsid w:val="4B6909DF"/>
    <w:rsid w:val="4B6E0A3F"/>
    <w:rsid w:val="4B7D17E3"/>
    <w:rsid w:val="4B8B671C"/>
    <w:rsid w:val="4BA26772"/>
    <w:rsid w:val="4BC24644"/>
    <w:rsid w:val="4BCF55A0"/>
    <w:rsid w:val="4BEB21B5"/>
    <w:rsid w:val="4BF87A61"/>
    <w:rsid w:val="4BFF1D88"/>
    <w:rsid w:val="4C365CD6"/>
    <w:rsid w:val="4C373527"/>
    <w:rsid w:val="4C592F59"/>
    <w:rsid w:val="4C5F6FC2"/>
    <w:rsid w:val="4C6A32C1"/>
    <w:rsid w:val="4C6F7AB6"/>
    <w:rsid w:val="4C7B1A82"/>
    <w:rsid w:val="4C903814"/>
    <w:rsid w:val="4C972A0D"/>
    <w:rsid w:val="4CA63312"/>
    <w:rsid w:val="4CBC202A"/>
    <w:rsid w:val="4CBF676E"/>
    <w:rsid w:val="4CD80866"/>
    <w:rsid w:val="4CD873B3"/>
    <w:rsid w:val="4CF51418"/>
    <w:rsid w:val="4CFA7DEE"/>
    <w:rsid w:val="4D1C6851"/>
    <w:rsid w:val="4D1D271C"/>
    <w:rsid w:val="4D201453"/>
    <w:rsid w:val="4D3161C8"/>
    <w:rsid w:val="4D317562"/>
    <w:rsid w:val="4D332DD7"/>
    <w:rsid w:val="4D4203D5"/>
    <w:rsid w:val="4D4C2381"/>
    <w:rsid w:val="4D535B5D"/>
    <w:rsid w:val="4D5A571F"/>
    <w:rsid w:val="4D7473AF"/>
    <w:rsid w:val="4D7F6F33"/>
    <w:rsid w:val="4D8C33FE"/>
    <w:rsid w:val="4DA30385"/>
    <w:rsid w:val="4DA61AD0"/>
    <w:rsid w:val="4DAA3271"/>
    <w:rsid w:val="4DAB7D28"/>
    <w:rsid w:val="4DAF585E"/>
    <w:rsid w:val="4DBA6EB2"/>
    <w:rsid w:val="4DBE72D0"/>
    <w:rsid w:val="4DC54E88"/>
    <w:rsid w:val="4DC65200"/>
    <w:rsid w:val="4DF01E53"/>
    <w:rsid w:val="4DFB4A26"/>
    <w:rsid w:val="4DFF0074"/>
    <w:rsid w:val="4E104969"/>
    <w:rsid w:val="4E16405E"/>
    <w:rsid w:val="4E21448E"/>
    <w:rsid w:val="4E2667D5"/>
    <w:rsid w:val="4E28581D"/>
    <w:rsid w:val="4E2D4BE1"/>
    <w:rsid w:val="4E2F6BAB"/>
    <w:rsid w:val="4E4361B3"/>
    <w:rsid w:val="4E4B7F08"/>
    <w:rsid w:val="4E5568B0"/>
    <w:rsid w:val="4E5873B3"/>
    <w:rsid w:val="4E727F13"/>
    <w:rsid w:val="4E757CC9"/>
    <w:rsid w:val="4E7607F1"/>
    <w:rsid w:val="4E78611C"/>
    <w:rsid w:val="4E793F94"/>
    <w:rsid w:val="4E802F63"/>
    <w:rsid w:val="4E835CB0"/>
    <w:rsid w:val="4E8F13F8"/>
    <w:rsid w:val="4E97212A"/>
    <w:rsid w:val="4E986F7B"/>
    <w:rsid w:val="4E994080"/>
    <w:rsid w:val="4E9B184D"/>
    <w:rsid w:val="4EAF6F1E"/>
    <w:rsid w:val="4EB24174"/>
    <w:rsid w:val="4ECB42B9"/>
    <w:rsid w:val="4EDF0996"/>
    <w:rsid w:val="4EE47996"/>
    <w:rsid w:val="4EE6164B"/>
    <w:rsid w:val="4EF56D8D"/>
    <w:rsid w:val="4EF85FAB"/>
    <w:rsid w:val="4F1174D9"/>
    <w:rsid w:val="4F26120E"/>
    <w:rsid w:val="4F2F397A"/>
    <w:rsid w:val="4F430C26"/>
    <w:rsid w:val="4F473A81"/>
    <w:rsid w:val="4F544D36"/>
    <w:rsid w:val="4F5742F9"/>
    <w:rsid w:val="4F577831"/>
    <w:rsid w:val="4F602DDA"/>
    <w:rsid w:val="4F66141F"/>
    <w:rsid w:val="4F6C1F0F"/>
    <w:rsid w:val="4F876573"/>
    <w:rsid w:val="4F880431"/>
    <w:rsid w:val="4F8F785D"/>
    <w:rsid w:val="4F9A62A6"/>
    <w:rsid w:val="4F9E448C"/>
    <w:rsid w:val="4F9E636D"/>
    <w:rsid w:val="4FC44C76"/>
    <w:rsid w:val="4FE047F5"/>
    <w:rsid w:val="4FE350BD"/>
    <w:rsid w:val="4FE614EB"/>
    <w:rsid w:val="4FEB08B0"/>
    <w:rsid w:val="5038161B"/>
    <w:rsid w:val="5049382D"/>
    <w:rsid w:val="505446A7"/>
    <w:rsid w:val="505B3C87"/>
    <w:rsid w:val="506750BB"/>
    <w:rsid w:val="50AC48B5"/>
    <w:rsid w:val="50B60E94"/>
    <w:rsid w:val="50CA074E"/>
    <w:rsid w:val="50CC56D2"/>
    <w:rsid w:val="50DB5C40"/>
    <w:rsid w:val="50EA5464"/>
    <w:rsid w:val="50FC089B"/>
    <w:rsid w:val="50FF5AB8"/>
    <w:rsid w:val="510065DD"/>
    <w:rsid w:val="51071719"/>
    <w:rsid w:val="510729D5"/>
    <w:rsid w:val="51081769"/>
    <w:rsid w:val="512818C9"/>
    <w:rsid w:val="512E4EF8"/>
    <w:rsid w:val="51606BA1"/>
    <w:rsid w:val="516E5324"/>
    <w:rsid w:val="518B4ECC"/>
    <w:rsid w:val="51AC406F"/>
    <w:rsid w:val="51BA1469"/>
    <w:rsid w:val="51C645BD"/>
    <w:rsid w:val="51CD6D00"/>
    <w:rsid w:val="51D10E8F"/>
    <w:rsid w:val="51DA5080"/>
    <w:rsid w:val="51DF2696"/>
    <w:rsid w:val="51DF4444"/>
    <w:rsid w:val="51E073BF"/>
    <w:rsid w:val="51E7337D"/>
    <w:rsid w:val="51EE4E19"/>
    <w:rsid w:val="51F3643F"/>
    <w:rsid w:val="5202458D"/>
    <w:rsid w:val="520774F7"/>
    <w:rsid w:val="52105452"/>
    <w:rsid w:val="52224F0E"/>
    <w:rsid w:val="5237409C"/>
    <w:rsid w:val="523C56D2"/>
    <w:rsid w:val="5244074B"/>
    <w:rsid w:val="52566F79"/>
    <w:rsid w:val="5257047F"/>
    <w:rsid w:val="525C0910"/>
    <w:rsid w:val="525C73BC"/>
    <w:rsid w:val="525D3936"/>
    <w:rsid w:val="526037D7"/>
    <w:rsid w:val="52764531"/>
    <w:rsid w:val="52AF2069"/>
    <w:rsid w:val="52B92D58"/>
    <w:rsid w:val="52BE22B2"/>
    <w:rsid w:val="52E53CDC"/>
    <w:rsid w:val="52FA414D"/>
    <w:rsid w:val="530B27D5"/>
    <w:rsid w:val="530E2508"/>
    <w:rsid w:val="53397B84"/>
    <w:rsid w:val="533E519B"/>
    <w:rsid w:val="53471F12"/>
    <w:rsid w:val="534A700C"/>
    <w:rsid w:val="5364772A"/>
    <w:rsid w:val="536B70CD"/>
    <w:rsid w:val="538928BA"/>
    <w:rsid w:val="53893971"/>
    <w:rsid w:val="53915C12"/>
    <w:rsid w:val="539409B7"/>
    <w:rsid w:val="53A30901"/>
    <w:rsid w:val="53C658BC"/>
    <w:rsid w:val="53CB7133"/>
    <w:rsid w:val="53DE4248"/>
    <w:rsid w:val="53DF24DA"/>
    <w:rsid w:val="53F57F4F"/>
    <w:rsid w:val="54097AF0"/>
    <w:rsid w:val="540A5A6E"/>
    <w:rsid w:val="54102FDB"/>
    <w:rsid w:val="54172BAA"/>
    <w:rsid w:val="542677FB"/>
    <w:rsid w:val="542A370B"/>
    <w:rsid w:val="5435341A"/>
    <w:rsid w:val="543C576A"/>
    <w:rsid w:val="54424E4C"/>
    <w:rsid w:val="544F3B03"/>
    <w:rsid w:val="545A049F"/>
    <w:rsid w:val="54646210"/>
    <w:rsid w:val="548337AD"/>
    <w:rsid w:val="548865A1"/>
    <w:rsid w:val="5494729F"/>
    <w:rsid w:val="54A57A31"/>
    <w:rsid w:val="54A8681C"/>
    <w:rsid w:val="54C165F9"/>
    <w:rsid w:val="54CF07A0"/>
    <w:rsid w:val="54D521A7"/>
    <w:rsid w:val="54DE09E3"/>
    <w:rsid w:val="54EF2BF0"/>
    <w:rsid w:val="55361B2A"/>
    <w:rsid w:val="55497EBA"/>
    <w:rsid w:val="554A7E27"/>
    <w:rsid w:val="55514626"/>
    <w:rsid w:val="555C7B5A"/>
    <w:rsid w:val="556167CF"/>
    <w:rsid w:val="5562770E"/>
    <w:rsid w:val="55705593"/>
    <w:rsid w:val="55725059"/>
    <w:rsid w:val="55986DE4"/>
    <w:rsid w:val="55F3393E"/>
    <w:rsid w:val="560029EF"/>
    <w:rsid w:val="5604766F"/>
    <w:rsid w:val="561D19DF"/>
    <w:rsid w:val="563D2A8F"/>
    <w:rsid w:val="564D4072"/>
    <w:rsid w:val="565F5230"/>
    <w:rsid w:val="56657940"/>
    <w:rsid w:val="568C3447"/>
    <w:rsid w:val="56BB0619"/>
    <w:rsid w:val="56BC0DE5"/>
    <w:rsid w:val="56C32616"/>
    <w:rsid w:val="56D40519"/>
    <w:rsid w:val="56D45732"/>
    <w:rsid w:val="56E36653"/>
    <w:rsid w:val="56FC3B52"/>
    <w:rsid w:val="57286C68"/>
    <w:rsid w:val="573174F0"/>
    <w:rsid w:val="57391AD1"/>
    <w:rsid w:val="57415259"/>
    <w:rsid w:val="57871560"/>
    <w:rsid w:val="5789367F"/>
    <w:rsid w:val="57A67586"/>
    <w:rsid w:val="57B211C3"/>
    <w:rsid w:val="57B404D3"/>
    <w:rsid w:val="57BF7F48"/>
    <w:rsid w:val="57EC1669"/>
    <w:rsid w:val="57ED2030"/>
    <w:rsid w:val="57EF22CD"/>
    <w:rsid w:val="57F10A2D"/>
    <w:rsid w:val="57F55CA9"/>
    <w:rsid w:val="582726A1"/>
    <w:rsid w:val="58387191"/>
    <w:rsid w:val="587B73E9"/>
    <w:rsid w:val="58863EAD"/>
    <w:rsid w:val="588B45AA"/>
    <w:rsid w:val="589875E7"/>
    <w:rsid w:val="58A0329A"/>
    <w:rsid w:val="58B1734F"/>
    <w:rsid w:val="58B33A3C"/>
    <w:rsid w:val="58BC779B"/>
    <w:rsid w:val="58D61A21"/>
    <w:rsid w:val="58D914E4"/>
    <w:rsid w:val="58DC5CC9"/>
    <w:rsid w:val="58E417C1"/>
    <w:rsid w:val="58ED1577"/>
    <w:rsid w:val="59011144"/>
    <w:rsid w:val="59022D44"/>
    <w:rsid w:val="591F19A0"/>
    <w:rsid w:val="592B57CE"/>
    <w:rsid w:val="5945561B"/>
    <w:rsid w:val="59552283"/>
    <w:rsid w:val="596151BD"/>
    <w:rsid w:val="596735F8"/>
    <w:rsid w:val="59732736"/>
    <w:rsid w:val="59747B68"/>
    <w:rsid w:val="59771DC7"/>
    <w:rsid w:val="5990393D"/>
    <w:rsid w:val="59910286"/>
    <w:rsid w:val="599124C8"/>
    <w:rsid w:val="59914276"/>
    <w:rsid w:val="59950A06"/>
    <w:rsid w:val="59953F58"/>
    <w:rsid w:val="59971C1E"/>
    <w:rsid w:val="59980F3F"/>
    <w:rsid w:val="59981AA8"/>
    <w:rsid w:val="59AF284F"/>
    <w:rsid w:val="59B40F6D"/>
    <w:rsid w:val="59C03AED"/>
    <w:rsid w:val="59C03FFF"/>
    <w:rsid w:val="59CA6735"/>
    <w:rsid w:val="59CD4864"/>
    <w:rsid w:val="59CF4785"/>
    <w:rsid w:val="59DD77C9"/>
    <w:rsid w:val="59E448A1"/>
    <w:rsid w:val="5A03030D"/>
    <w:rsid w:val="5A1629CD"/>
    <w:rsid w:val="5A225816"/>
    <w:rsid w:val="5A2739C7"/>
    <w:rsid w:val="5A2A0227"/>
    <w:rsid w:val="5A321A35"/>
    <w:rsid w:val="5A381C66"/>
    <w:rsid w:val="5A69114C"/>
    <w:rsid w:val="5A6951F3"/>
    <w:rsid w:val="5A8738CB"/>
    <w:rsid w:val="5AB04BD0"/>
    <w:rsid w:val="5AB05C6F"/>
    <w:rsid w:val="5ABC3575"/>
    <w:rsid w:val="5AC60206"/>
    <w:rsid w:val="5AC751F0"/>
    <w:rsid w:val="5AE563AD"/>
    <w:rsid w:val="5AE740C9"/>
    <w:rsid w:val="5AF64F59"/>
    <w:rsid w:val="5B16743A"/>
    <w:rsid w:val="5B433E2C"/>
    <w:rsid w:val="5B443723"/>
    <w:rsid w:val="5B4C3EC4"/>
    <w:rsid w:val="5B4F3D05"/>
    <w:rsid w:val="5B510CEF"/>
    <w:rsid w:val="5B6C2370"/>
    <w:rsid w:val="5B6D40AB"/>
    <w:rsid w:val="5B801186"/>
    <w:rsid w:val="5B88609D"/>
    <w:rsid w:val="5BC00E43"/>
    <w:rsid w:val="5BC02EB1"/>
    <w:rsid w:val="5BC525D8"/>
    <w:rsid w:val="5BD956B5"/>
    <w:rsid w:val="5BE36E2D"/>
    <w:rsid w:val="5BEF1C84"/>
    <w:rsid w:val="5BF8169D"/>
    <w:rsid w:val="5BFB4902"/>
    <w:rsid w:val="5C004D65"/>
    <w:rsid w:val="5C072444"/>
    <w:rsid w:val="5C076A71"/>
    <w:rsid w:val="5C160E60"/>
    <w:rsid w:val="5C302FF6"/>
    <w:rsid w:val="5C4341C0"/>
    <w:rsid w:val="5C531CB7"/>
    <w:rsid w:val="5C551CAC"/>
    <w:rsid w:val="5C565075"/>
    <w:rsid w:val="5C593045"/>
    <w:rsid w:val="5C594399"/>
    <w:rsid w:val="5C7119BF"/>
    <w:rsid w:val="5C804A0F"/>
    <w:rsid w:val="5C8E55FA"/>
    <w:rsid w:val="5CAB38A1"/>
    <w:rsid w:val="5CC04E72"/>
    <w:rsid w:val="5D3E5EBD"/>
    <w:rsid w:val="5D41123A"/>
    <w:rsid w:val="5D447BAF"/>
    <w:rsid w:val="5D5D4D13"/>
    <w:rsid w:val="5D775E79"/>
    <w:rsid w:val="5D8C20E8"/>
    <w:rsid w:val="5D9E0C3D"/>
    <w:rsid w:val="5DAE418C"/>
    <w:rsid w:val="5DC14099"/>
    <w:rsid w:val="5DC62DB8"/>
    <w:rsid w:val="5DCA3FAE"/>
    <w:rsid w:val="5DD07337"/>
    <w:rsid w:val="5DDA7FB9"/>
    <w:rsid w:val="5DE82AF2"/>
    <w:rsid w:val="5E072CDC"/>
    <w:rsid w:val="5E0A77C1"/>
    <w:rsid w:val="5E250B41"/>
    <w:rsid w:val="5E2772DF"/>
    <w:rsid w:val="5E2B4AEB"/>
    <w:rsid w:val="5E2E2E79"/>
    <w:rsid w:val="5E2F405E"/>
    <w:rsid w:val="5E371164"/>
    <w:rsid w:val="5E3B36E2"/>
    <w:rsid w:val="5E4A0E97"/>
    <w:rsid w:val="5E6137A3"/>
    <w:rsid w:val="5E6B55B7"/>
    <w:rsid w:val="5E7A0A62"/>
    <w:rsid w:val="5E7C1ED6"/>
    <w:rsid w:val="5E8F0FA0"/>
    <w:rsid w:val="5E900E65"/>
    <w:rsid w:val="5E920286"/>
    <w:rsid w:val="5EA04F5B"/>
    <w:rsid w:val="5EAD46FB"/>
    <w:rsid w:val="5EB11F42"/>
    <w:rsid w:val="5EBD4FAB"/>
    <w:rsid w:val="5ED65066"/>
    <w:rsid w:val="5EEA61D6"/>
    <w:rsid w:val="5EF92A5D"/>
    <w:rsid w:val="5F196827"/>
    <w:rsid w:val="5F2E1B32"/>
    <w:rsid w:val="5F4A1DC7"/>
    <w:rsid w:val="5F4B136B"/>
    <w:rsid w:val="5F6C2DF3"/>
    <w:rsid w:val="5F88734A"/>
    <w:rsid w:val="5F887EC9"/>
    <w:rsid w:val="5F906D7E"/>
    <w:rsid w:val="5F9A5E4E"/>
    <w:rsid w:val="5FCF5AF8"/>
    <w:rsid w:val="5FD44EBD"/>
    <w:rsid w:val="5FE43A4D"/>
    <w:rsid w:val="5FEA2932"/>
    <w:rsid w:val="5FFA1662"/>
    <w:rsid w:val="600F2399"/>
    <w:rsid w:val="602A584D"/>
    <w:rsid w:val="60390E14"/>
    <w:rsid w:val="6042276E"/>
    <w:rsid w:val="60597AB8"/>
    <w:rsid w:val="606371D1"/>
    <w:rsid w:val="606D0B67"/>
    <w:rsid w:val="60706C5A"/>
    <w:rsid w:val="60966616"/>
    <w:rsid w:val="60996106"/>
    <w:rsid w:val="60CA62C0"/>
    <w:rsid w:val="60CF595A"/>
    <w:rsid w:val="60E470EC"/>
    <w:rsid w:val="6106379C"/>
    <w:rsid w:val="610F0176"/>
    <w:rsid w:val="61141960"/>
    <w:rsid w:val="61331A86"/>
    <w:rsid w:val="613F6CAD"/>
    <w:rsid w:val="6149714B"/>
    <w:rsid w:val="61511552"/>
    <w:rsid w:val="616109D2"/>
    <w:rsid w:val="616D308D"/>
    <w:rsid w:val="616F57F4"/>
    <w:rsid w:val="6171498D"/>
    <w:rsid w:val="61802915"/>
    <w:rsid w:val="61946FF9"/>
    <w:rsid w:val="61A1702E"/>
    <w:rsid w:val="61C13B66"/>
    <w:rsid w:val="61CA7F5A"/>
    <w:rsid w:val="61CE1DDF"/>
    <w:rsid w:val="61E230C5"/>
    <w:rsid w:val="61E810F3"/>
    <w:rsid w:val="62012A19"/>
    <w:rsid w:val="6206617C"/>
    <w:rsid w:val="62116717"/>
    <w:rsid w:val="621E4B15"/>
    <w:rsid w:val="62330DB6"/>
    <w:rsid w:val="62344338"/>
    <w:rsid w:val="623F6B2B"/>
    <w:rsid w:val="62422A2A"/>
    <w:rsid w:val="624F1172"/>
    <w:rsid w:val="62516C98"/>
    <w:rsid w:val="62707B80"/>
    <w:rsid w:val="62781CCC"/>
    <w:rsid w:val="62832BCA"/>
    <w:rsid w:val="62883262"/>
    <w:rsid w:val="62887B7E"/>
    <w:rsid w:val="62947A01"/>
    <w:rsid w:val="62993AB4"/>
    <w:rsid w:val="62A310FB"/>
    <w:rsid w:val="62A72D5C"/>
    <w:rsid w:val="62AE733A"/>
    <w:rsid w:val="62C00BC3"/>
    <w:rsid w:val="62C64FDD"/>
    <w:rsid w:val="62D016EF"/>
    <w:rsid w:val="62D10EBA"/>
    <w:rsid w:val="62DD422B"/>
    <w:rsid w:val="62ED493B"/>
    <w:rsid w:val="62FD7573"/>
    <w:rsid w:val="62FF0B97"/>
    <w:rsid w:val="63007CFD"/>
    <w:rsid w:val="63016CFF"/>
    <w:rsid w:val="630D536A"/>
    <w:rsid w:val="631F18CE"/>
    <w:rsid w:val="63381C06"/>
    <w:rsid w:val="635022E4"/>
    <w:rsid w:val="63564074"/>
    <w:rsid w:val="63575AE0"/>
    <w:rsid w:val="63590A83"/>
    <w:rsid w:val="63591D69"/>
    <w:rsid w:val="63602487"/>
    <w:rsid w:val="63684E5D"/>
    <w:rsid w:val="636B718D"/>
    <w:rsid w:val="63720BB3"/>
    <w:rsid w:val="638F732E"/>
    <w:rsid w:val="63BB0CF2"/>
    <w:rsid w:val="63C139AA"/>
    <w:rsid w:val="63D027BA"/>
    <w:rsid w:val="63D25BB7"/>
    <w:rsid w:val="63D65EC3"/>
    <w:rsid w:val="63E20D74"/>
    <w:rsid w:val="63EB57F5"/>
    <w:rsid w:val="63F4020B"/>
    <w:rsid w:val="63F455F6"/>
    <w:rsid w:val="6401649C"/>
    <w:rsid w:val="64412D3D"/>
    <w:rsid w:val="644B52F2"/>
    <w:rsid w:val="646378BC"/>
    <w:rsid w:val="646A5DEF"/>
    <w:rsid w:val="64763F71"/>
    <w:rsid w:val="647C5CDC"/>
    <w:rsid w:val="64846C6C"/>
    <w:rsid w:val="64887435"/>
    <w:rsid w:val="64915553"/>
    <w:rsid w:val="64AA1C04"/>
    <w:rsid w:val="64BD20F7"/>
    <w:rsid w:val="64CC0566"/>
    <w:rsid w:val="64E5256D"/>
    <w:rsid w:val="64F102BF"/>
    <w:rsid w:val="65001921"/>
    <w:rsid w:val="650F0E53"/>
    <w:rsid w:val="652B297D"/>
    <w:rsid w:val="65322E16"/>
    <w:rsid w:val="654523B9"/>
    <w:rsid w:val="655A374A"/>
    <w:rsid w:val="6566736B"/>
    <w:rsid w:val="65737ACE"/>
    <w:rsid w:val="657A4758"/>
    <w:rsid w:val="657F5151"/>
    <w:rsid w:val="6587477F"/>
    <w:rsid w:val="658D44BF"/>
    <w:rsid w:val="659402CE"/>
    <w:rsid w:val="659709FE"/>
    <w:rsid w:val="65D66206"/>
    <w:rsid w:val="65E10333"/>
    <w:rsid w:val="66024F02"/>
    <w:rsid w:val="66042274"/>
    <w:rsid w:val="660A2164"/>
    <w:rsid w:val="661371FD"/>
    <w:rsid w:val="66263F98"/>
    <w:rsid w:val="66265470"/>
    <w:rsid w:val="66282522"/>
    <w:rsid w:val="66501015"/>
    <w:rsid w:val="66646212"/>
    <w:rsid w:val="66684F6D"/>
    <w:rsid w:val="666B6904"/>
    <w:rsid w:val="667634C4"/>
    <w:rsid w:val="668C5EFA"/>
    <w:rsid w:val="66940880"/>
    <w:rsid w:val="66C20841"/>
    <w:rsid w:val="66C46FD7"/>
    <w:rsid w:val="66CA0DC7"/>
    <w:rsid w:val="66CD3627"/>
    <w:rsid w:val="66E159D7"/>
    <w:rsid w:val="66EA1EFB"/>
    <w:rsid w:val="66F00CF0"/>
    <w:rsid w:val="66F81DD8"/>
    <w:rsid w:val="67077D99"/>
    <w:rsid w:val="670D2D54"/>
    <w:rsid w:val="6711755F"/>
    <w:rsid w:val="67193A54"/>
    <w:rsid w:val="671E6FA3"/>
    <w:rsid w:val="672B65FB"/>
    <w:rsid w:val="67380427"/>
    <w:rsid w:val="673C2FD6"/>
    <w:rsid w:val="674B5D3B"/>
    <w:rsid w:val="6757191E"/>
    <w:rsid w:val="67571A3F"/>
    <w:rsid w:val="6759039D"/>
    <w:rsid w:val="676072E5"/>
    <w:rsid w:val="676E3E49"/>
    <w:rsid w:val="67980EC5"/>
    <w:rsid w:val="67982C74"/>
    <w:rsid w:val="67B52867"/>
    <w:rsid w:val="67B96358"/>
    <w:rsid w:val="67BA52E0"/>
    <w:rsid w:val="67C12E69"/>
    <w:rsid w:val="67D13B37"/>
    <w:rsid w:val="67DD37AB"/>
    <w:rsid w:val="67E8172E"/>
    <w:rsid w:val="67FB2B5F"/>
    <w:rsid w:val="68104620"/>
    <w:rsid w:val="68182E34"/>
    <w:rsid w:val="682D5AB2"/>
    <w:rsid w:val="68447D40"/>
    <w:rsid w:val="684D7F02"/>
    <w:rsid w:val="68571827"/>
    <w:rsid w:val="685A261F"/>
    <w:rsid w:val="685D3B66"/>
    <w:rsid w:val="686C23FA"/>
    <w:rsid w:val="686E1C26"/>
    <w:rsid w:val="687A186F"/>
    <w:rsid w:val="687C2D7D"/>
    <w:rsid w:val="687D2104"/>
    <w:rsid w:val="68802085"/>
    <w:rsid w:val="68806EDC"/>
    <w:rsid w:val="689308C1"/>
    <w:rsid w:val="68A33DF6"/>
    <w:rsid w:val="68AF0B20"/>
    <w:rsid w:val="68B02AC5"/>
    <w:rsid w:val="68D423D1"/>
    <w:rsid w:val="68EA74FF"/>
    <w:rsid w:val="68F802EB"/>
    <w:rsid w:val="68F85F11"/>
    <w:rsid w:val="690862BC"/>
    <w:rsid w:val="69240F39"/>
    <w:rsid w:val="692662CA"/>
    <w:rsid w:val="694B3192"/>
    <w:rsid w:val="694C1F68"/>
    <w:rsid w:val="695C0D58"/>
    <w:rsid w:val="69751EA5"/>
    <w:rsid w:val="697A067C"/>
    <w:rsid w:val="699346E7"/>
    <w:rsid w:val="69971E7D"/>
    <w:rsid w:val="699D2598"/>
    <w:rsid w:val="699D6C67"/>
    <w:rsid w:val="69A00505"/>
    <w:rsid w:val="69A603D3"/>
    <w:rsid w:val="69B55D5F"/>
    <w:rsid w:val="69BC16C1"/>
    <w:rsid w:val="69D964E9"/>
    <w:rsid w:val="69F877D5"/>
    <w:rsid w:val="6A030317"/>
    <w:rsid w:val="6A130F85"/>
    <w:rsid w:val="6A1572D0"/>
    <w:rsid w:val="6A1614A3"/>
    <w:rsid w:val="6A3318D2"/>
    <w:rsid w:val="6A3C60AF"/>
    <w:rsid w:val="6A6D488B"/>
    <w:rsid w:val="6A9439FF"/>
    <w:rsid w:val="6A976B99"/>
    <w:rsid w:val="6AA7050C"/>
    <w:rsid w:val="6AB46016"/>
    <w:rsid w:val="6ADE3093"/>
    <w:rsid w:val="6B144D07"/>
    <w:rsid w:val="6B286A04"/>
    <w:rsid w:val="6B2A636D"/>
    <w:rsid w:val="6B405AFC"/>
    <w:rsid w:val="6B4E646B"/>
    <w:rsid w:val="6B6441A6"/>
    <w:rsid w:val="6B6C3583"/>
    <w:rsid w:val="6B6C6BA5"/>
    <w:rsid w:val="6B726E54"/>
    <w:rsid w:val="6B8C191B"/>
    <w:rsid w:val="6BA27C91"/>
    <w:rsid w:val="6BA60FB5"/>
    <w:rsid w:val="6BBD15EA"/>
    <w:rsid w:val="6BC93E86"/>
    <w:rsid w:val="6BDB3A77"/>
    <w:rsid w:val="6BF415A2"/>
    <w:rsid w:val="6C0948E4"/>
    <w:rsid w:val="6C10033B"/>
    <w:rsid w:val="6C1B5045"/>
    <w:rsid w:val="6C234F6D"/>
    <w:rsid w:val="6C2F4C45"/>
    <w:rsid w:val="6C480E82"/>
    <w:rsid w:val="6C5B4508"/>
    <w:rsid w:val="6C680BDB"/>
    <w:rsid w:val="6C6C3178"/>
    <w:rsid w:val="6C8163CC"/>
    <w:rsid w:val="6C8367F7"/>
    <w:rsid w:val="6C904329"/>
    <w:rsid w:val="6C95328A"/>
    <w:rsid w:val="6C957A68"/>
    <w:rsid w:val="6C9E5ECD"/>
    <w:rsid w:val="6CB2505C"/>
    <w:rsid w:val="6CB939C4"/>
    <w:rsid w:val="6CCC550B"/>
    <w:rsid w:val="6CE64481"/>
    <w:rsid w:val="6CEB1A97"/>
    <w:rsid w:val="6D146CB2"/>
    <w:rsid w:val="6D2C47E1"/>
    <w:rsid w:val="6D484498"/>
    <w:rsid w:val="6D4D62AE"/>
    <w:rsid w:val="6D4E73B3"/>
    <w:rsid w:val="6D507FB0"/>
    <w:rsid w:val="6D58434D"/>
    <w:rsid w:val="6D605FE2"/>
    <w:rsid w:val="6D6C2EC7"/>
    <w:rsid w:val="6D726182"/>
    <w:rsid w:val="6D7458A2"/>
    <w:rsid w:val="6D77332B"/>
    <w:rsid w:val="6D78782F"/>
    <w:rsid w:val="6D7952B6"/>
    <w:rsid w:val="6D8B1660"/>
    <w:rsid w:val="6D9739CD"/>
    <w:rsid w:val="6D9756F1"/>
    <w:rsid w:val="6DA305C4"/>
    <w:rsid w:val="6DB4457F"/>
    <w:rsid w:val="6DB63234"/>
    <w:rsid w:val="6DC42DDC"/>
    <w:rsid w:val="6DCC58A0"/>
    <w:rsid w:val="6DCE221A"/>
    <w:rsid w:val="6DD23302"/>
    <w:rsid w:val="6DD64368"/>
    <w:rsid w:val="6DE3437A"/>
    <w:rsid w:val="6DE62427"/>
    <w:rsid w:val="6DFF1D8F"/>
    <w:rsid w:val="6E396833"/>
    <w:rsid w:val="6E421A04"/>
    <w:rsid w:val="6E9A19C7"/>
    <w:rsid w:val="6E9A3775"/>
    <w:rsid w:val="6EA77C40"/>
    <w:rsid w:val="6EC31FC8"/>
    <w:rsid w:val="6ECD364C"/>
    <w:rsid w:val="6ED047B8"/>
    <w:rsid w:val="6EEB17E5"/>
    <w:rsid w:val="6EF047B1"/>
    <w:rsid w:val="6EFA2466"/>
    <w:rsid w:val="6F0621E0"/>
    <w:rsid w:val="6F16502D"/>
    <w:rsid w:val="6F2D2EA3"/>
    <w:rsid w:val="6F314282"/>
    <w:rsid w:val="6F3B6711"/>
    <w:rsid w:val="6F3D6533"/>
    <w:rsid w:val="6F3E05A4"/>
    <w:rsid w:val="6F5B3D6A"/>
    <w:rsid w:val="6F6873CF"/>
    <w:rsid w:val="6F734C38"/>
    <w:rsid w:val="6F9757F1"/>
    <w:rsid w:val="6F996F20"/>
    <w:rsid w:val="6FB171DD"/>
    <w:rsid w:val="6FBA2432"/>
    <w:rsid w:val="6FC717C1"/>
    <w:rsid w:val="6FD12C41"/>
    <w:rsid w:val="6FD15666"/>
    <w:rsid w:val="6FDC4535"/>
    <w:rsid w:val="6FE9316B"/>
    <w:rsid w:val="701920B3"/>
    <w:rsid w:val="70197BC1"/>
    <w:rsid w:val="702A0B29"/>
    <w:rsid w:val="703025E3"/>
    <w:rsid w:val="70360D5C"/>
    <w:rsid w:val="7036571F"/>
    <w:rsid w:val="70484D6F"/>
    <w:rsid w:val="70495C48"/>
    <w:rsid w:val="704A2F79"/>
    <w:rsid w:val="704B6D0E"/>
    <w:rsid w:val="70682C9E"/>
    <w:rsid w:val="707E42B8"/>
    <w:rsid w:val="708656D8"/>
    <w:rsid w:val="70933C77"/>
    <w:rsid w:val="709D579F"/>
    <w:rsid w:val="70A54800"/>
    <w:rsid w:val="70A64653"/>
    <w:rsid w:val="70AA42D3"/>
    <w:rsid w:val="70AD67FB"/>
    <w:rsid w:val="70B128CC"/>
    <w:rsid w:val="70D25448"/>
    <w:rsid w:val="70D8519D"/>
    <w:rsid w:val="70E6287D"/>
    <w:rsid w:val="70E8358A"/>
    <w:rsid w:val="70F110AE"/>
    <w:rsid w:val="70FA07B8"/>
    <w:rsid w:val="710E2B34"/>
    <w:rsid w:val="71257C6E"/>
    <w:rsid w:val="712D3970"/>
    <w:rsid w:val="71384405"/>
    <w:rsid w:val="71444E9C"/>
    <w:rsid w:val="714C7A23"/>
    <w:rsid w:val="714E0847"/>
    <w:rsid w:val="715431A2"/>
    <w:rsid w:val="716176F0"/>
    <w:rsid w:val="716E0C57"/>
    <w:rsid w:val="71834994"/>
    <w:rsid w:val="71902C0D"/>
    <w:rsid w:val="719400E8"/>
    <w:rsid w:val="71972D4F"/>
    <w:rsid w:val="71A33CA3"/>
    <w:rsid w:val="71E33685"/>
    <w:rsid w:val="71F31536"/>
    <w:rsid w:val="71FE226D"/>
    <w:rsid w:val="72126147"/>
    <w:rsid w:val="721460A1"/>
    <w:rsid w:val="72155F09"/>
    <w:rsid w:val="72201F3D"/>
    <w:rsid w:val="72286F8B"/>
    <w:rsid w:val="722D6127"/>
    <w:rsid w:val="722E2B7A"/>
    <w:rsid w:val="725C375F"/>
    <w:rsid w:val="725F3206"/>
    <w:rsid w:val="72637025"/>
    <w:rsid w:val="72936221"/>
    <w:rsid w:val="729D5C8D"/>
    <w:rsid w:val="72A05B33"/>
    <w:rsid w:val="72A72905"/>
    <w:rsid w:val="72A853D4"/>
    <w:rsid w:val="72A9042B"/>
    <w:rsid w:val="72A94019"/>
    <w:rsid w:val="72A9681C"/>
    <w:rsid w:val="72A97EB7"/>
    <w:rsid w:val="72AD282E"/>
    <w:rsid w:val="72C33BAE"/>
    <w:rsid w:val="72CE1C3F"/>
    <w:rsid w:val="72E2393D"/>
    <w:rsid w:val="72EE22E1"/>
    <w:rsid w:val="72F01BB6"/>
    <w:rsid w:val="731A0E71"/>
    <w:rsid w:val="731E338E"/>
    <w:rsid w:val="732950C8"/>
    <w:rsid w:val="732E0930"/>
    <w:rsid w:val="732F769D"/>
    <w:rsid w:val="73320DE3"/>
    <w:rsid w:val="7343627C"/>
    <w:rsid w:val="734846FC"/>
    <w:rsid w:val="73595538"/>
    <w:rsid w:val="738E04AD"/>
    <w:rsid w:val="7397677E"/>
    <w:rsid w:val="739E7864"/>
    <w:rsid w:val="73A85696"/>
    <w:rsid w:val="73B01345"/>
    <w:rsid w:val="73BD695F"/>
    <w:rsid w:val="73D443E5"/>
    <w:rsid w:val="73D72A64"/>
    <w:rsid w:val="73F12089"/>
    <w:rsid w:val="73FF76A9"/>
    <w:rsid w:val="74060235"/>
    <w:rsid w:val="740B5D69"/>
    <w:rsid w:val="7419338E"/>
    <w:rsid w:val="74220495"/>
    <w:rsid w:val="7428266D"/>
    <w:rsid w:val="742E508B"/>
    <w:rsid w:val="74365374"/>
    <w:rsid w:val="744775B1"/>
    <w:rsid w:val="7457599A"/>
    <w:rsid w:val="745913EB"/>
    <w:rsid w:val="745E075F"/>
    <w:rsid w:val="74620891"/>
    <w:rsid w:val="7463798E"/>
    <w:rsid w:val="74716D26"/>
    <w:rsid w:val="7472162A"/>
    <w:rsid w:val="749D42F3"/>
    <w:rsid w:val="74A146B3"/>
    <w:rsid w:val="74AE64EB"/>
    <w:rsid w:val="74B62BF8"/>
    <w:rsid w:val="74CE6EE8"/>
    <w:rsid w:val="74D177C5"/>
    <w:rsid w:val="74D80985"/>
    <w:rsid w:val="751E4B1E"/>
    <w:rsid w:val="75533326"/>
    <w:rsid w:val="755343C4"/>
    <w:rsid w:val="755F791C"/>
    <w:rsid w:val="756E5A5A"/>
    <w:rsid w:val="75842A89"/>
    <w:rsid w:val="75874327"/>
    <w:rsid w:val="7589722D"/>
    <w:rsid w:val="75966566"/>
    <w:rsid w:val="759727BC"/>
    <w:rsid w:val="75A6116B"/>
    <w:rsid w:val="75AE075A"/>
    <w:rsid w:val="75B31F12"/>
    <w:rsid w:val="75B73ED4"/>
    <w:rsid w:val="75BA64AB"/>
    <w:rsid w:val="75C6737C"/>
    <w:rsid w:val="75F53987"/>
    <w:rsid w:val="76090462"/>
    <w:rsid w:val="760B4F58"/>
    <w:rsid w:val="760F43C7"/>
    <w:rsid w:val="76297751"/>
    <w:rsid w:val="762A4AF7"/>
    <w:rsid w:val="76432944"/>
    <w:rsid w:val="76483AE3"/>
    <w:rsid w:val="765B295C"/>
    <w:rsid w:val="765B5EE0"/>
    <w:rsid w:val="76755608"/>
    <w:rsid w:val="768B2322"/>
    <w:rsid w:val="768E2FD2"/>
    <w:rsid w:val="768F16E6"/>
    <w:rsid w:val="76BB072D"/>
    <w:rsid w:val="76BE541D"/>
    <w:rsid w:val="76CB4475"/>
    <w:rsid w:val="76DE760C"/>
    <w:rsid w:val="76FD0D45"/>
    <w:rsid w:val="77004BFC"/>
    <w:rsid w:val="7709573C"/>
    <w:rsid w:val="77163AB7"/>
    <w:rsid w:val="77390241"/>
    <w:rsid w:val="77530F33"/>
    <w:rsid w:val="77553960"/>
    <w:rsid w:val="77756B2D"/>
    <w:rsid w:val="77A642CD"/>
    <w:rsid w:val="77B2245D"/>
    <w:rsid w:val="77B27D81"/>
    <w:rsid w:val="77B708D4"/>
    <w:rsid w:val="77C35AEB"/>
    <w:rsid w:val="77D221D2"/>
    <w:rsid w:val="77DF044B"/>
    <w:rsid w:val="77EA751B"/>
    <w:rsid w:val="77F90964"/>
    <w:rsid w:val="781C51FB"/>
    <w:rsid w:val="781E6FB1"/>
    <w:rsid w:val="783E2C05"/>
    <w:rsid w:val="784F55D0"/>
    <w:rsid w:val="78656BA2"/>
    <w:rsid w:val="786C6182"/>
    <w:rsid w:val="7881542C"/>
    <w:rsid w:val="78B024E2"/>
    <w:rsid w:val="78B65773"/>
    <w:rsid w:val="78D12489"/>
    <w:rsid w:val="78E35ACE"/>
    <w:rsid w:val="79041E7B"/>
    <w:rsid w:val="79164340"/>
    <w:rsid w:val="793547C6"/>
    <w:rsid w:val="79466851"/>
    <w:rsid w:val="79655A8F"/>
    <w:rsid w:val="796706F8"/>
    <w:rsid w:val="796C624D"/>
    <w:rsid w:val="79712AA1"/>
    <w:rsid w:val="79756206"/>
    <w:rsid w:val="797B776E"/>
    <w:rsid w:val="79841D05"/>
    <w:rsid w:val="798C01D8"/>
    <w:rsid w:val="79975481"/>
    <w:rsid w:val="79A36B61"/>
    <w:rsid w:val="79BA4CCB"/>
    <w:rsid w:val="79D40AD2"/>
    <w:rsid w:val="79D85B2F"/>
    <w:rsid w:val="79EB4278"/>
    <w:rsid w:val="79EF11EF"/>
    <w:rsid w:val="79F86227"/>
    <w:rsid w:val="79FE147C"/>
    <w:rsid w:val="79FE7CBB"/>
    <w:rsid w:val="7A0423EA"/>
    <w:rsid w:val="7A1D058F"/>
    <w:rsid w:val="7A2B5337"/>
    <w:rsid w:val="7A465FDC"/>
    <w:rsid w:val="7A4A1DDF"/>
    <w:rsid w:val="7A692869"/>
    <w:rsid w:val="7A6A539B"/>
    <w:rsid w:val="7A7204C5"/>
    <w:rsid w:val="7A811C8D"/>
    <w:rsid w:val="7A995229"/>
    <w:rsid w:val="7A995845"/>
    <w:rsid w:val="7A9E283F"/>
    <w:rsid w:val="7AB4796D"/>
    <w:rsid w:val="7ACD7972"/>
    <w:rsid w:val="7ADB2323"/>
    <w:rsid w:val="7ADE0E8D"/>
    <w:rsid w:val="7AF124C7"/>
    <w:rsid w:val="7B06723F"/>
    <w:rsid w:val="7B0F53E0"/>
    <w:rsid w:val="7B1C3B93"/>
    <w:rsid w:val="7B1F40AC"/>
    <w:rsid w:val="7B410B1E"/>
    <w:rsid w:val="7B533629"/>
    <w:rsid w:val="7B5A2755"/>
    <w:rsid w:val="7B641393"/>
    <w:rsid w:val="7B6D2E92"/>
    <w:rsid w:val="7B755D47"/>
    <w:rsid w:val="7B9A6B62"/>
    <w:rsid w:val="7B9E1D8B"/>
    <w:rsid w:val="7BA94FF8"/>
    <w:rsid w:val="7BAD0F8C"/>
    <w:rsid w:val="7BB8348D"/>
    <w:rsid w:val="7BBA390B"/>
    <w:rsid w:val="7BC0145D"/>
    <w:rsid w:val="7BC45653"/>
    <w:rsid w:val="7BDA78A7"/>
    <w:rsid w:val="7BDB7C84"/>
    <w:rsid w:val="7BDE06A1"/>
    <w:rsid w:val="7BFA5853"/>
    <w:rsid w:val="7BFC46F8"/>
    <w:rsid w:val="7C1B2C0F"/>
    <w:rsid w:val="7C1D7794"/>
    <w:rsid w:val="7C234D8C"/>
    <w:rsid w:val="7C324FED"/>
    <w:rsid w:val="7C4F1832"/>
    <w:rsid w:val="7C52743D"/>
    <w:rsid w:val="7C5E5DE2"/>
    <w:rsid w:val="7C75312C"/>
    <w:rsid w:val="7C7F109D"/>
    <w:rsid w:val="7C7F1265"/>
    <w:rsid w:val="7C7F3E8A"/>
    <w:rsid w:val="7C8941A6"/>
    <w:rsid w:val="7C9149ED"/>
    <w:rsid w:val="7CB66B06"/>
    <w:rsid w:val="7CB7529B"/>
    <w:rsid w:val="7CB83F83"/>
    <w:rsid w:val="7CBB2614"/>
    <w:rsid w:val="7CCD2F68"/>
    <w:rsid w:val="7CDA1368"/>
    <w:rsid w:val="7CEA0F25"/>
    <w:rsid w:val="7CEB383B"/>
    <w:rsid w:val="7CF01D54"/>
    <w:rsid w:val="7CF866D8"/>
    <w:rsid w:val="7CFF653F"/>
    <w:rsid w:val="7D140B97"/>
    <w:rsid w:val="7D1D6D86"/>
    <w:rsid w:val="7D417BA4"/>
    <w:rsid w:val="7D53513E"/>
    <w:rsid w:val="7D8321D8"/>
    <w:rsid w:val="7D8B20AD"/>
    <w:rsid w:val="7DA0753A"/>
    <w:rsid w:val="7DA24D68"/>
    <w:rsid w:val="7DB5590A"/>
    <w:rsid w:val="7DBA173E"/>
    <w:rsid w:val="7DBE6BE3"/>
    <w:rsid w:val="7DC66335"/>
    <w:rsid w:val="7DC906C3"/>
    <w:rsid w:val="7DCB5865"/>
    <w:rsid w:val="7DCC4E86"/>
    <w:rsid w:val="7DD56578"/>
    <w:rsid w:val="7DDA3B8E"/>
    <w:rsid w:val="7DDA465A"/>
    <w:rsid w:val="7DE0540C"/>
    <w:rsid w:val="7DF772E9"/>
    <w:rsid w:val="7DFD787D"/>
    <w:rsid w:val="7E024E93"/>
    <w:rsid w:val="7E0B01EB"/>
    <w:rsid w:val="7E0D1B15"/>
    <w:rsid w:val="7E12792C"/>
    <w:rsid w:val="7E441DDA"/>
    <w:rsid w:val="7E521976"/>
    <w:rsid w:val="7E5727F0"/>
    <w:rsid w:val="7E6873EC"/>
    <w:rsid w:val="7E81400A"/>
    <w:rsid w:val="7E933D3D"/>
    <w:rsid w:val="7E9B7D1A"/>
    <w:rsid w:val="7E9E08EC"/>
    <w:rsid w:val="7EB0669D"/>
    <w:rsid w:val="7EB72F42"/>
    <w:rsid w:val="7EC65EC0"/>
    <w:rsid w:val="7ECD6A91"/>
    <w:rsid w:val="7EFE38AC"/>
    <w:rsid w:val="7F0013D2"/>
    <w:rsid w:val="7F156779"/>
    <w:rsid w:val="7F1B26B0"/>
    <w:rsid w:val="7F250E39"/>
    <w:rsid w:val="7F276D1D"/>
    <w:rsid w:val="7F3343B8"/>
    <w:rsid w:val="7F390D88"/>
    <w:rsid w:val="7F5D4A77"/>
    <w:rsid w:val="7F721173"/>
    <w:rsid w:val="7F7D7413"/>
    <w:rsid w:val="7F7E49ED"/>
    <w:rsid w:val="7F9F0E2D"/>
    <w:rsid w:val="7FA363E2"/>
    <w:rsid w:val="7FB363F6"/>
    <w:rsid w:val="7FBD3767"/>
    <w:rsid w:val="7FC76394"/>
    <w:rsid w:val="7FDA52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1" w:name="index 1" w:locked="1"/>
    <w:lsdException w:uiPriority="1" w:name="index 2" w:locked="1"/>
    <w:lsdException w:uiPriority="1" w:name="index 3" w:locked="1"/>
    <w:lsdException w:uiPriority="1" w:name="index 4" w:locked="1"/>
    <w:lsdException w:uiPriority="1" w:name="index 5" w:locked="1"/>
    <w:lsdException w:uiPriority="1" w:name="index 6" w:locked="1"/>
    <w:lsdException w:uiPriority="1" w:name="index 7" w:locked="1"/>
    <w:lsdException w:uiPriority="1" w:name="index 8" w:locked="1"/>
    <w:lsdException w:uiPriority="1"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1" w:name="toc 4" w:locked="1"/>
    <w:lsdException w:uiPriority="1" w:name="toc 5" w:locked="1"/>
    <w:lsdException w:uiPriority="1" w:name="toc 6" w:locked="1"/>
    <w:lsdException w:uiPriority="1" w:name="toc 7" w:locked="1"/>
    <w:lsdException w:uiPriority="1" w:name="toc 8" w:locked="1"/>
    <w:lsdException w:uiPriority="1" w:name="toc 9" w:locked="1"/>
    <w:lsdException w:qFormat="1" w:unhideWhenUsed="0" w:uiPriority="99" w:semiHidden="0" w:name="Normal Indent"/>
    <w:lsdException w:uiPriority="1" w:name="footnote text" w:locked="1"/>
    <w:lsdException w:uiPriority="1" w:name="annotation text" w:locked="1"/>
    <w:lsdException w:qFormat="1" w:unhideWhenUsed="0" w:uiPriority="99" w:semiHidden="0" w:name="header"/>
    <w:lsdException w:qFormat="1" w:unhideWhenUsed="0" w:uiPriority="99" w:semiHidden="0" w:name="footer"/>
    <w:lsdException w:uiPriority="1" w:name="index heading" w:locked="1"/>
    <w:lsdException w:qFormat="1" w:uiPriority="1" w:name="caption" w:locked="1"/>
    <w:lsdException w:uiPriority="1" w:name="table of figures" w:locked="1"/>
    <w:lsdException w:uiPriority="1" w:name="envelope address" w:locked="1"/>
    <w:lsdException w:uiPriority="1" w:name="envelope return" w:locked="1"/>
    <w:lsdException w:uiPriority="1" w:name="footnote reference" w:locked="1"/>
    <w:lsdException w:uiPriority="1" w:name="annotation reference" w:locked="1"/>
    <w:lsdException w:uiPriority="1" w:name="line number" w:locked="1"/>
    <w:lsdException w:qFormat="1" w:unhideWhenUsed="0" w:uiPriority="99" w:semiHidden="0" w:name="page number"/>
    <w:lsdException w:uiPriority="1" w:name="endnote reference" w:locked="1"/>
    <w:lsdException w:uiPriority="1" w:name="endnote text" w:locked="1"/>
    <w:lsdException w:uiPriority="1" w:name="table of authorities" w:locked="1"/>
    <w:lsdException w:uiPriority="1" w:name="macro" w:locked="1"/>
    <w:lsdException w:qFormat="1" w:unhideWhenUsed="0" w:uiPriority="0" w:semiHidden="0" w:name="toa heading" w:locked="1"/>
    <w:lsdException w:qFormat="1" w:unhideWhenUsed="0" w:uiPriority="99" w:semiHidden="0" w:name="List" w:locked="1"/>
    <w:lsdException w:uiPriority="1" w:name="List Bullet" w:locked="1"/>
    <w:lsdException w:uiPriority="1" w:name="List Number" w:locked="1"/>
    <w:lsdException w:qFormat="1" w:unhideWhenUsed="0" w:uiPriority="0" w:semiHidden="0" w:name="List 2" w:locked="1"/>
    <w:lsdException w:uiPriority="1" w:name="List 3" w:locked="1"/>
    <w:lsdException w:uiPriority="1" w:name="List 4" w:locked="1"/>
    <w:lsdException w:uiPriority="1" w:name="List 5" w:locked="1"/>
    <w:lsdException w:uiPriority="1" w:name="List Bullet 2" w:locked="1"/>
    <w:lsdException w:uiPriority="1" w:name="List Bullet 3" w:locked="1"/>
    <w:lsdException w:uiPriority="1" w:name="List Bullet 4" w:locked="1"/>
    <w:lsdException w:uiPriority="1" w:name="List Bullet 5" w:locked="1"/>
    <w:lsdException w:uiPriority="1" w:name="List Number 2" w:locked="1"/>
    <w:lsdException w:uiPriority="1" w:name="List Number 3" w:locked="1"/>
    <w:lsdException w:uiPriority="1" w:name="List Number 4" w:locked="1"/>
    <w:lsdException w:uiPriority="1" w:name="List Number 5" w:locked="1"/>
    <w:lsdException w:qFormat="1" w:unhideWhenUsed="0" w:uiPriority="0" w:semiHidden="0" w:name="Title" w:locked="1"/>
    <w:lsdException w:uiPriority="1" w:name="Closing" w:locked="1"/>
    <w:lsdException w:uiPriority="1"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1" w:name="List Continue" w:locked="1"/>
    <w:lsdException w:uiPriority="1" w:name="List Continue 2" w:locked="1"/>
    <w:lsdException w:uiPriority="1" w:name="List Continue 3" w:locked="1"/>
    <w:lsdException w:uiPriority="1" w:name="List Continue 4" w:locked="1"/>
    <w:lsdException w:uiPriority="1" w:name="List Continue 5" w:locked="1"/>
    <w:lsdException w:uiPriority="1"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1" w:name="Note Heading" w:locked="1"/>
    <w:lsdException w:qFormat="1" w:unhideWhenUsed="0" w:uiPriority="99" w:semiHidden="0" w:name="Body Text 2"/>
    <w:lsdException w:uiPriority="1" w:name="Body Text 3" w:locked="1"/>
    <w:lsdException w:qFormat="1" w:unhideWhenUsed="0" w:uiPriority="99" w:semiHidden="0" w:name="Body Text Indent 2"/>
    <w:lsdException w:qFormat="1" w:unhideWhenUsed="0" w:uiPriority="99" w:semiHidden="0" w:name="Body Text Indent 3"/>
    <w:lsdException w:uiPriority="1"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1" w:name="E-mail Signature" w:locked="1"/>
    <w:lsdException w:qFormat="1" w:unhideWhenUsed="0" w:uiPriority="99" w:semiHidden="0" w:name="Normal (Web)"/>
    <w:lsdException w:uiPriority="1" w:name="HTML Acronym" w:locked="1"/>
    <w:lsdException w:uiPriority="1" w:name="HTML Address" w:locked="1"/>
    <w:lsdException w:uiPriority="1" w:name="HTML Cite" w:locked="1"/>
    <w:lsdException w:uiPriority="1" w:name="HTML Code" w:locked="1"/>
    <w:lsdException w:uiPriority="1" w:name="HTML Definition" w:locked="1"/>
    <w:lsdException w:uiPriority="1" w:name="HTML Keyboard" w:locked="1"/>
    <w:lsdException w:uiPriority="1" w:name="HTML Preformatted" w:locked="1"/>
    <w:lsdException w:qFormat="1" w:unhideWhenUsed="0" w:uiPriority="0" w:semiHidden="0" w:name="HTML Sample" w:locked="1"/>
    <w:lsdException w:uiPriority="1" w:name="HTML Typewriter" w:locked="1"/>
    <w:lsdException w:uiPriority="1" w:name="HTML Variable" w:locked="1"/>
    <w:lsdException w:qFormat="1" w:uiPriority="99" w:semiHidden="0" w:name="Normal Table"/>
    <w:lsdException w:uiPriority="1" w:name="annotation subject" w:locked="1"/>
    <w:lsdException w:uiPriority="1" w:name="Table Simple 1" w:locked="1"/>
    <w:lsdException w:uiPriority="1" w:name="Table Simple 2" w:locked="1"/>
    <w:lsdException w:uiPriority="1" w:name="Table Simple 3" w:locked="1"/>
    <w:lsdException w:uiPriority="1" w:name="Table Classic 1" w:locked="1"/>
    <w:lsdException w:uiPriority="1" w:name="Table Classic 2" w:locked="1"/>
    <w:lsdException w:uiPriority="1" w:name="Table Classic 3" w:locked="1"/>
    <w:lsdException w:uiPriority="1" w:name="Table Classic 4" w:locked="1"/>
    <w:lsdException w:uiPriority="1" w:name="Table Colorful 1" w:locked="1"/>
    <w:lsdException w:uiPriority="1" w:name="Table Colorful 2" w:locked="1"/>
    <w:lsdException w:uiPriority="1" w:name="Table Colorful 3" w:locked="1"/>
    <w:lsdException w:uiPriority="1" w:name="Table Columns 1" w:locked="1"/>
    <w:lsdException w:uiPriority="1" w:name="Table Columns 2" w:locked="1"/>
    <w:lsdException w:uiPriority="1" w:name="Table Columns 3" w:locked="1"/>
    <w:lsdException w:uiPriority="1" w:name="Table Columns 4" w:locked="1"/>
    <w:lsdException w:uiPriority="1" w:name="Table Columns 5" w:locked="1"/>
    <w:lsdException w:uiPriority="1" w:name="Table Grid 1" w:locked="1"/>
    <w:lsdException w:uiPriority="1" w:name="Table Grid 2" w:locked="1"/>
    <w:lsdException w:uiPriority="1" w:name="Table Grid 3" w:locked="1"/>
    <w:lsdException w:uiPriority="1" w:name="Table Grid 4" w:locked="1"/>
    <w:lsdException w:uiPriority="1" w:name="Table Grid 5" w:locked="1"/>
    <w:lsdException w:uiPriority="1" w:name="Table Grid 6" w:locked="1"/>
    <w:lsdException w:uiPriority="1" w:name="Table Grid 7" w:locked="1"/>
    <w:lsdException w:uiPriority="1" w:name="Table Grid 8" w:locked="1"/>
    <w:lsdException w:uiPriority="1" w:name="Table List 1" w:locked="1"/>
    <w:lsdException w:uiPriority="1" w:name="Table List 2" w:locked="1"/>
    <w:lsdException w:uiPriority="1" w:name="Table List 3" w:locked="1"/>
    <w:lsdException w:uiPriority="1" w:name="Table List 4" w:locked="1"/>
    <w:lsdException w:uiPriority="1" w:name="Table List 5" w:locked="1"/>
    <w:lsdException w:uiPriority="1" w:name="Table List 6" w:locked="1"/>
    <w:lsdException w:uiPriority="1" w:name="Table List 7" w:locked="1"/>
    <w:lsdException w:uiPriority="1" w:name="Table List 8" w:locked="1"/>
    <w:lsdException w:uiPriority="1" w:name="Table 3D effects 1" w:locked="1"/>
    <w:lsdException w:uiPriority="1" w:name="Table 3D effects 2" w:locked="1"/>
    <w:lsdException w:uiPriority="1" w:name="Table 3D effects 3" w:locked="1"/>
    <w:lsdException w:uiPriority="1" w:name="Table Contemporary" w:locked="1"/>
    <w:lsdException w:uiPriority="1" w:name="Table Elegant" w:locked="1"/>
    <w:lsdException w:uiPriority="1" w:name="Table Professional" w:locked="1"/>
    <w:lsdException w:uiPriority="1" w:name="Table Subtle 1" w:locked="1"/>
    <w:lsdException w:uiPriority="1" w:name="Table Subtle 2" w:locked="1"/>
    <w:lsdException w:uiPriority="1" w:name="Table Web 1" w:locked="1"/>
    <w:lsdException w:uiPriority="1" w:name="Table Web 2" w:locked="1"/>
    <w:lsdException w:uiPriority="1" w:name="Table Web 3" w:locked="1"/>
    <w:lsdException w:qFormat="1" w:unhideWhenUsed="0" w:uiPriority="99" w:name="Balloon Text"/>
    <w:lsdException w:qFormat="1" w:unhideWhenUsed="0" w:uiPriority="99" w:semiHidden="0" w:name="Table Grid"/>
    <w:lsdException w:uiPriority="1"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link w:val="49"/>
    <w:autoRedefine/>
    <w:qFormat/>
    <w:uiPriority w:val="99"/>
    <w:pPr>
      <w:keepNext/>
      <w:numPr>
        <w:ilvl w:val="0"/>
        <w:numId w:val="1"/>
      </w:numPr>
      <w:outlineLvl w:val="0"/>
    </w:pPr>
    <w:rPr>
      <w:b/>
    </w:rPr>
  </w:style>
  <w:style w:type="paragraph" w:styleId="3">
    <w:name w:val="heading 2"/>
    <w:basedOn w:val="1"/>
    <w:next w:val="1"/>
    <w:link w:val="50"/>
    <w:autoRedefine/>
    <w:qFormat/>
    <w:uiPriority w:val="99"/>
    <w:pPr>
      <w:keepNext/>
      <w:keepLines/>
      <w:spacing w:before="260" w:after="260" w:line="416" w:lineRule="auto"/>
      <w:outlineLvl w:val="1"/>
    </w:pPr>
    <w:rPr>
      <w:rFonts w:ascii="Arial" w:hAnsi="Arial" w:eastAsia="黑体"/>
      <w:b/>
      <w:sz w:val="32"/>
    </w:rPr>
  </w:style>
  <w:style w:type="paragraph" w:styleId="4">
    <w:name w:val="heading 3"/>
    <w:basedOn w:val="1"/>
    <w:next w:val="1"/>
    <w:link w:val="51"/>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52"/>
    <w:autoRedefine/>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3"/>
    <w:autoRedefine/>
    <w:qFormat/>
    <w:uiPriority w:val="99"/>
    <w:pPr>
      <w:keepNext/>
      <w:keepLines/>
      <w:tabs>
        <w:tab w:val="left" w:pos="1440"/>
      </w:tabs>
      <w:spacing w:before="280" w:after="290" w:line="372" w:lineRule="auto"/>
      <w:ind w:left="1440" w:hanging="900"/>
      <w:outlineLvl w:val="4"/>
    </w:pPr>
    <w:rPr>
      <w:b/>
      <w:sz w:val="28"/>
    </w:rPr>
  </w:style>
  <w:style w:type="paragraph" w:styleId="7">
    <w:name w:val="heading 6"/>
    <w:basedOn w:val="1"/>
    <w:next w:val="1"/>
    <w:link w:val="54"/>
    <w:autoRedefine/>
    <w:qFormat/>
    <w:uiPriority w:val="99"/>
    <w:pPr>
      <w:keepNext/>
      <w:keepLines/>
      <w:tabs>
        <w:tab w:val="left" w:pos="1440"/>
      </w:tabs>
      <w:spacing w:before="240" w:after="64" w:line="317" w:lineRule="auto"/>
      <w:ind w:left="1440" w:hanging="900"/>
      <w:outlineLvl w:val="5"/>
    </w:pPr>
    <w:rPr>
      <w:rFonts w:ascii="Arial" w:hAnsi="Arial" w:eastAsia="黑体"/>
      <w:b/>
      <w:sz w:val="24"/>
    </w:rPr>
  </w:style>
  <w:style w:type="paragraph" w:styleId="8">
    <w:name w:val="heading 7"/>
    <w:basedOn w:val="1"/>
    <w:next w:val="1"/>
    <w:link w:val="55"/>
    <w:autoRedefine/>
    <w:qFormat/>
    <w:uiPriority w:val="99"/>
    <w:pPr>
      <w:keepNext/>
      <w:keepLines/>
      <w:tabs>
        <w:tab w:val="left" w:pos="1440"/>
      </w:tabs>
      <w:spacing w:before="240" w:after="64" w:line="317" w:lineRule="auto"/>
      <w:ind w:left="1440" w:hanging="900"/>
      <w:outlineLvl w:val="6"/>
    </w:pPr>
    <w:rPr>
      <w:b/>
      <w:sz w:val="24"/>
    </w:rPr>
  </w:style>
  <w:style w:type="paragraph" w:styleId="9">
    <w:name w:val="heading 8"/>
    <w:basedOn w:val="1"/>
    <w:next w:val="1"/>
    <w:link w:val="56"/>
    <w:autoRedefine/>
    <w:qFormat/>
    <w:uiPriority w:val="99"/>
    <w:pPr>
      <w:keepNext/>
      <w:keepLines/>
      <w:tabs>
        <w:tab w:val="left" w:pos="1440"/>
      </w:tabs>
      <w:spacing w:before="240" w:after="64" w:line="317" w:lineRule="auto"/>
      <w:ind w:left="1440" w:hanging="900"/>
      <w:outlineLvl w:val="7"/>
    </w:pPr>
    <w:rPr>
      <w:rFonts w:ascii="Arial" w:hAnsi="Arial" w:eastAsia="黑体"/>
      <w:sz w:val="24"/>
    </w:rPr>
  </w:style>
  <w:style w:type="paragraph" w:styleId="10">
    <w:name w:val="heading 9"/>
    <w:basedOn w:val="1"/>
    <w:next w:val="1"/>
    <w:link w:val="57"/>
    <w:autoRedefine/>
    <w:qFormat/>
    <w:uiPriority w:val="99"/>
    <w:pPr>
      <w:keepNext/>
      <w:keepLines/>
      <w:tabs>
        <w:tab w:val="left" w:pos="1440"/>
      </w:tabs>
      <w:spacing w:before="240" w:after="64" w:line="317" w:lineRule="auto"/>
      <w:ind w:left="1440" w:hanging="900"/>
      <w:outlineLvl w:val="8"/>
    </w:pPr>
    <w:rPr>
      <w:rFonts w:ascii="Arial" w:hAnsi="Arial" w:eastAsia="黑体"/>
    </w:rPr>
  </w:style>
  <w:style w:type="character" w:default="1" w:styleId="37">
    <w:name w:val="Default Paragraph Font"/>
    <w:autoRedefine/>
    <w:unhideWhenUsed/>
    <w:qFormat/>
    <w:uiPriority w:val="1"/>
  </w:style>
  <w:style w:type="table" w:default="1" w:styleId="35">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next w:val="1"/>
    <w:autoRedefine/>
    <w:qFormat/>
    <w:uiPriority w:val="99"/>
    <w:pPr>
      <w:ind w:firstLine="420" w:firstLineChars="200"/>
    </w:pPr>
    <w:rPr>
      <w:szCs w:val="24"/>
    </w:rPr>
  </w:style>
  <w:style w:type="paragraph" w:styleId="12">
    <w:name w:val="Document Map"/>
    <w:basedOn w:val="1"/>
    <w:link w:val="58"/>
    <w:autoRedefine/>
    <w:qFormat/>
    <w:uiPriority w:val="99"/>
    <w:pPr>
      <w:shd w:val="clear" w:color="auto" w:fill="000080"/>
    </w:pPr>
  </w:style>
  <w:style w:type="paragraph" w:styleId="13">
    <w:name w:val="toa heading"/>
    <w:basedOn w:val="1"/>
    <w:next w:val="1"/>
    <w:autoRedefine/>
    <w:qFormat/>
    <w:locked/>
    <w:uiPriority w:val="0"/>
    <w:pPr>
      <w:spacing w:before="120"/>
    </w:pPr>
    <w:rPr>
      <w:rFonts w:ascii="Arial" w:hAnsi="Arial"/>
      <w:sz w:val="24"/>
      <w:szCs w:val="21"/>
    </w:rPr>
  </w:style>
  <w:style w:type="paragraph" w:styleId="14">
    <w:name w:val="Salutation"/>
    <w:basedOn w:val="1"/>
    <w:next w:val="1"/>
    <w:link w:val="59"/>
    <w:autoRedefine/>
    <w:qFormat/>
    <w:uiPriority w:val="99"/>
    <w:rPr>
      <w:rFonts w:ascii="宋体"/>
      <w:b/>
      <w:sz w:val="28"/>
    </w:rPr>
  </w:style>
  <w:style w:type="paragraph" w:styleId="15">
    <w:name w:val="Body Text"/>
    <w:basedOn w:val="1"/>
    <w:link w:val="47"/>
    <w:autoRedefine/>
    <w:qFormat/>
    <w:uiPriority w:val="99"/>
    <w:rPr>
      <w:rFonts w:ascii="Arial" w:hAnsi="Arial"/>
      <w:sz w:val="24"/>
    </w:rPr>
  </w:style>
  <w:style w:type="paragraph" w:styleId="16">
    <w:name w:val="Body Text Indent"/>
    <w:basedOn w:val="1"/>
    <w:next w:val="17"/>
    <w:link w:val="60"/>
    <w:autoRedefine/>
    <w:qFormat/>
    <w:uiPriority w:val="99"/>
    <w:pPr>
      <w:ind w:firstLine="480"/>
    </w:pPr>
    <w:rPr>
      <w:rFonts w:ascii="宋体" w:hAnsi="宋体"/>
      <w:sz w:val="24"/>
    </w:rPr>
  </w:style>
  <w:style w:type="paragraph" w:styleId="17">
    <w:name w:val="Body Text First Indent 2"/>
    <w:basedOn w:val="16"/>
    <w:next w:val="18"/>
    <w:autoRedefine/>
    <w:qFormat/>
    <w:locked/>
    <w:uiPriority w:val="0"/>
    <w:pPr>
      <w:spacing w:after="120" w:line="240" w:lineRule="auto"/>
      <w:ind w:left="420" w:leftChars="200"/>
    </w:pPr>
    <w:rPr>
      <w:rFonts w:ascii="Times New Roman" w:hAnsi="Times New Roman"/>
      <w:szCs w:val="24"/>
    </w:rPr>
  </w:style>
  <w:style w:type="paragraph" w:styleId="18">
    <w:name w:val="Normal (Web)"/>
    <w:basedOn w:val="1"/>
    <w:autoRedefine/>
    <w:qFormat/>
    <w:uiPriority w:val="99"/>
    <w:pPr>
      <w:widowControl/>
      <w:spacing w:before="100" w:beforeAutospacing="1" w:after="100" w:afterAutospacing="1"/>
      <w:jc w:val="left"/>
    </w:pPr>
    <w:rPr>
      <w:rFonts w:ascii="Arial Unicode MS" w:hAnsi="Arial Unicode MS" w:cs="Arial Unicode MS"/>
      <w:kern w:val="0"/>
      <w:sz w:val="24"/>
      <w:szCs w:val="24"/>
    </w:rPr>
  </w:style>
  <w:style w:type="paragraph" w:styleId="19">
    <w:name w:val="List 2"/>
    <w:basedOn w:val="1"/>
    <w:next w:val="20"/>
    <w:autoRedefine/>
    <w:qFormat/>
    <w:locked/>
    <w:uiPriority w:val="0"/>
    <w:pPr>
      <w:ind w:left="100" w:leftChars="200" w:hanging="200" w:hangingChars="200"/>
    </w:pPr>
  </w:style>
  <w:style w:type="paragraph" w:styleId="20">
    <w:name w:val="Plain Text"/>
    <w:basedOn w:val="1"/>
    <w:link w:val="61"/>
    <w:autoRedefine/>
    <w:qFormat/>
    <w:uiPriority w:val="99"/>
    <w:rPr>
      <w:rFonts w:ascii="宋体" w:hAnsi="Courier New"/>
    </w:rPr>
  </w:style>
  <w:style w:type="paragraph" w:styleId="21">
    <w:name w:val="toc 3"/>
    <w:basedOn w:val="1"/>
    <w:next w:val="1"/>
    <w:autoRedefine/>
    <w:qFormat/>
    <w:uiPriority w:val="99"/>
    <w:pPr>
      <w:ind w:left="840" w:leftChars="400"/>
    </w:pPr>
  </w:style>
  <w:style w:type="paragraph" w:styleId="22">
    <w:name w:val="Date"/>
    <w:basedOn w:val="1"/>
    <w:next w:val="1"/>
    <w:link w:val="62"/>
    <w:autoRedefine/>
    <w:qFormat/>
    <w:uiPriority w:val="99"/>
    <w:pPr>
      <w:ind w:left="100"/>
    </w:pPr>
    <w:rPr>
      <w:sz w:val="24"/>
    </w:rPr>
  </w:style>
  <w:style w:type="paragraph" w:styleId="23">
    <w:name w:val="Body Text Indent 2"/>
    <w:basedOn w:val="1"/>
    <w:link w:val="63"/>
    <w:autoRedefine/>
    <w:qFormat/>
    <w:uiPriority w:val="99"/>
    <w:pPr>
      <w:ind w:firstLine="435"/>
    </w:pPr>
    <w:rPr>
      <w:rFonts w:ascii="宋体" w:hAnsi="宋体"/>
      <w:sz w:val="24"/>
    </w:rPr>
  </w:style>
  <w:style w:type="paragraph" w:styleId="24">
    <w:name w:val="Balloon Text"/>
    <w:basedOn w:val="1"/>
    <w:link w:val="64"/>
    <w:autoRedefine/>
    <w:semiHidden/>
    <w:qFormat/>
    <w:uiPriority w:val="99"/>
    <w:rPr>
      <w:sz w:val="18"/>
      <w:szCs w:val="18"/>
    </w:rPr>
  </w:style>
  <w:style w:type="paragraph" w:styleId="25">
    <w:name w:val="footer"/>
    <w:basedOn w:val="1"/>
    <w:link w:val="65"/>
    <w:autoRedefine/>
    <w:qFormat/>
    <w:uiPriority w:val="99"/>
    <w:pPr>
      <w:tabs>
        <w:tab w:val="center" w:pos="4153"/>
        <w:tab w:val="right" w:pos="8306"/>
      </w:tabs>
      <w:snapToGrid w:val="0"/>
      <w:jc w:val="left"/>
    </w:pPr>
    <w:rPr>
      <w:sz w:val="18"/>
    </w:rPr>
  </w:style>
  <w:style w:type="paragraph" w:styleId="26">
    <w:name w:val="header"/>
    <w:basedOn w:val="1"/>
    <w:link w:val="66"/>
    <w:autoRedefine/>
    <w:qFormat/>
    <w:uiPriority w:val="99"/>
    <w:pPr>
      <w:pBdr>
        <w:bottom w:val="single" w:color="auto" w:sz="6" w:space="1"/>
      </w:pBdr>
      <w:tabs>
        <w:tab w:val="center" w:pos="4153"/>
        <w:tab w:val="right" w:pos="8306"/>
      </w:tabs>
      <w:snapToGrid w:val="0"/>
      <w:jc w:val="center"/>
    </w:pPr>
    <w:rPr>
      <w:sz w:val="18"/>
    </w:rPr>
  </w:style>
  <w:style w:type="paragraph" w:styleId="27">
    <w:name w:val="toc 1"/>
    <w:basedOn w:val="1"/>
    <w:next w:val="1"/>
    <w:autoRedefine/>
    <w:qFormat/>
    <w:uiPriority w:val="99"/>
  </w:style>
  <w:style w:type="paragraph" w:styleId="28">
    <w:name w:val="Subtitle"/>
    <w:basedOn w:val="1"/>
    <w:next w:val="1"/>
    <w:link w:val="67"/>
    <w:autoRedefine/>
    <w:qFormat/>
    <w:uiPriority w:val="99"/>
    <w:pPr>
      <w:spacing w:before="240" w:after="60" w:line="312" w:lineRule="auto"/>
      <w:jc w:val="center"/>
      <w:outlineLvl w:val="1"/>
    </w:pPr>
    <w:rPr>
      <w:rFonts w:ascii="Cambria" w:hAnsi="Cambria"/>
      <w:b/>
      <w:bCs/>
      <w:kern w:val="28"/>
      <w:sz w:val="32"/>
      <w:szCs w:val="32"/>
    </w:rPr>
  </w:style>
  <w:style w:type="paragraph" w:styleId="29">
    <w:name w:val="List"/>
    <w:basedOn w:val="1"/>
    <w:autoRedefine/>
    <w:qFormat/>
    <w:locked/>
    <w:uiPriority w:val="99"/>
    <w:pPr>
      <w:adjustRightInd w:val="0"/>
      <w:spacing w:line="312" w:lineRule="atLeast"/>
      <w:ind w:left="200" w:hanging="200" w:hangingChars="200"/>
      <w:textAlignment w:val="baseline"/>
    </w:pPr>
    <w:rPr>
      <w:rFonts w:eastAsia="仿宋"/>
      <w:kern w:val="0"/>
      <w:sz w:val="32"/>
      <w:szCs w:val="20"/>
    </w:rPr>
  </w:style>
  <w:style w:type="paragraph" w:styleId="30">
    <w:name w:val="Body Text Indent 3"/>
    <w:basedOn w:val="1"/>
    <w:link w:val="68"/>
    <w:autoRedefine/>
    <w:qFormat/>
    <w:uiPriority w:val="99"/>
    <w:pPr>
      <w:ind w:left="471" w:hanging="471" w:hangingChars="200"/>
    </w:pPr>
    <w:rPr>
      <w:rFonts w:ascii="Arial" w:hAnsi="Arial" w:cs="Arial"/>
      <w:b/>
      <w:bCs/>
      <w:sz w:val="24"/>
    </w:rPr>
  </w:style>
  <w:style w:type="paragraph" w:styleId="31">
    <w:name w:val="toc 2"/>
    <w:basedOn w:val="1"/>
    <w:next w:val="1"/>
    <w:autoRedefine/>
    <w:qFormat/>
    <w:uiPriority w:val="99"/>
    <w:pPr>
      <w:ind w:left="420" w:leftChars="200"/>
    </w:pPr>
  </w:style>
  <w:style w:type="paragraph" w:styleId="32">
    <w:name w:val="Body Text 2"/>
    <w:basedOn w:val="1"/>
    <w:link w:val="69"/>
    <w:autoRedefine/>
    <w:qFormat/>
    <w:uiPriority w:val="99"/>
    <w:pPr>
      <w:spacing w:line="360" w:lineRule="auto"/>
    </w:pPr>
    <w:rPr>
      <w:b/>
      <w:sz w:val="28"/>
      <w:szCs w:val="21"/>
    </w:rPr>
  </w:style>
  <w:style w:type="paragraph" w:styleId="33">
    <w:name w:val="Title"/>
    <w:basedOn w:val="1"/>
    <w:next w:val="1"/>
    <w:autoRedefine/>
    <w:qFormat/>
    <w:locked/>
    <w:uiPriority w:val="0"/>
    <w:pPr>
      <w:spacing w:before="240" w:after="60"/>
      <w:jc w:val="center"/>
      <w:outlineLvl w:val="0"/>
    </w:pPr>
    <w:rPr>
      <w:rFonts w:ascii="Cambria" w:hAnsi="Cambria"/>
      <w:b/>
      <w:bCs/>
      <w:sz w:val="32"/>
      <w:szCs w:val="32"/>
    </w:rPr>
  </w:style>
  <w:style w:type="paragraph" w:styleId="34">
    <w:name w:val="Body Text First Indent"/>
    <w:basedOn w:val="15"/>
    <w:next w:val="1"/>
    <w:link w:val="48"/>
    <w:autoRedefine/>
    <w:qFormat/>
    <w:uiPriority w:val="99"/>
    <w:pPr>
      <w:spacing w:after="120"/>
      <w:ind w:firstLine="420" w:firstLineChars="100"/>
    </w:pPr>
  </w:style>
  <w:style w:type="table" w:styleId="36">
    <w:name w:val="Table Grid"/>
    <w:basedOn w:val="3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autoRedefine/>
    <w:qFormat/>
    <w:uiPriority w:val="99"/>
    <w:rPr>
      <w:rFonts w:cs="Times New Roman"/>
      <w:b/>
    </w:rPr>
  </w:style>
  <w:style w:type="character" w:styleId="39">
    <w:name w:val="page number"/>
    <w:autoRedefine/>
    <w:qFormat/>
    <w:uiPriority w:val="99"/>
    <w:rPr>
      <w:rFonts w:cs="Times New Roman"/>
    </w:rPr>
  </w:style>
  <w:style w:type="character" w:styleId="40">
    <w:name w:val="FollowedHyperlink"/>
    <w:autoRedefine/>
    <w:qFormat/>
    <w:uiPriority w:val="99"/>
    <w:rPr>
      <w:rFonts w:cs="Times New Roman"/>
      <w:color w:val="800080"/>
      <w:u w:val="single"/>
    </w:rPr>
  </w:style>
  <w:style w:type="character" w:styleId="41">
    <w:name w:val="Emphasis"/>
    <w:basedOn w:val="37"/>
    <w:autoRedefine/>
    <w:qFormat/>
    <w:uiPriority w:val="99"/>
    <w:rPr>
      <w:rFonts w:cs="Times New Roman"/>
      <w:color w:val="CC0033"/>
    </w:rPr>
  </w:style>
  <w:style w:type="character" w:styleId="42">
    <w:name w:val="Hyperlink"/>
    <w:autoRedefine/>
    <w:qFormat/>
    <w:uiPriority w:val="99"/>
    <w:rPr>
      <w:rFonts w:cs="Times New Roman"/>
      <w:color w:val="0000FF"/>
      <w:u w:val="single"/>
    </w:rPr>
  </w:style>
  <w:style w:type="character" w:styleId="43">
    <w:name w:val="HTML Sample"/>
    <w:autoRedefine/>
    <w:qFormat/>
    <w:locked/>
    <w:uiPriority w:val="0"/>
    <w:rPr>
      <w:rFonts w:ascii="Courier New" w:hAnsi="Courier New"/>
    </w:rPr>
  </w:style>
  <w:style w:type="paragraph" w:customStyle="1" w:styleId="44">
    <w:name w:val="Default"/>
    <w:next w:val="45"/>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大标题"/>
    <w:basedOn w:val="1"/>
    <w:next w:val="17"/>
    <w:autoRedefine/>
    <w:qFormat/>
    <w:uiPriority w:val="0"/>
    <w:pPr>
      <w:jc w:val="center"/>
    </w:pPr>
    <w:rPr>
      <w:rFonts w:ascii="Arial" w:hAnsi="Arial" w:eastAsia="宋体" w:cs="Times New Roman"/>
      <w:b/>
      <w:sz w:val="28"/>
      <w:szCs w:val="24"/>
    </w:rPr>
  </w:style>
  <w:style w:type="paragraph" w:customStyle="1" w:styleId="46">
    <w:name w:val="TOAHeading"/>
    <w:basedOn w:val="1"/>
    <w:next w:val="1"/>
    <w:autoRedefine/>
    <w:qFormat/>
    <w:uiPriority w:val="0"/>
    <w:pPr>
      <w:spacing w:before="120"/>
      <w:jc w:val="both"/>
      <w:textAlignment w:val="baseline"/>
    </w:pPr>
    <w:rPr>
      <w:rFonts w:ascii="Arial" w:hAnsi="Arial" w:eastAsia="宋体"/>
      <w:kern w:val="2"/>
      <w:sz w:val="24"/>
      <w:szCs w:val="22"/>
      <w:lang w:val="en-US" w:eastAsia="zh-CN" w:bidi="ar-SA"/>
    </w:rPr>
  </w:style>
  <w:style w:type="character" w:customStyle="1" w:styleId="47">
    <w:name w:val="正文文本 字符"/>
    <w:link w:val="15"/>
    <w:autoRedefine/>
    <w:semiHidden/>
    <w:qFormat/>
    <w:locked/>
    <w:uiPriority w:val="99"/>
    <w:rPr>
      <w:rFonts w:cs="Times New Roman"/>
      <w:sz w:val="20"/>
      <w:szCs w:val="20"/>
    </w:rPr>
  </w:style>
  <w:style w:type="character" w:customStyle="1" w:styleId="48">
    <w:name w:val="正文文本首行缩进 字符"/>
    <w:link w:val="34"/>
    <w:autoRedefine/>
    <w:semiHidden/>
    <w:qFormat/>
    <w:locked/>
    <w:uiPriority w:val="99"/>
    <w:rPr>
      <w:rFonts w:cs="Times New Roman"/>
      <w:sz w:val="20"/>
      <w:szCs w:val="20"/>
    </w:rPr>
  </w:style>
  <w:style w:type="character" w:customStyle="1" w:styleId="49">
    <w:name w:val="标题 1 字符"/>
    <w:link w:val="2"/>
    <w:autoRedefine/>
    <w:qFormat/>
    <w:locked/>
    <w:uiPriority w:val="99"/>
    <w:rPr>
      <w:rFonts w:cs="Times New Roman"/>
      <w:b/>
      <w:kern w:val="2"/>
      <w:sz w:val="21"/>
    </w:rPr>
  </w:style>
  <w:style w:type="character" w:customStyle="1" w:styleId="50">
    <w:name w:val="标题 2 字符"/>
    <w:link w:val="3"/>
    <w:autoRedefine/>
    <w:qFormat/>
    <w:locked/>
    <w:uiPriority w:val="99"/>
    <w:rPr>
      <w:rFonts w:ascii="Arial" w:hAnsi="Arial" w:eastAsia="黑体" w:cs="Times New Roman"/>
      <w:b/>
      <w:kern w:val="2"/>
      <w:sz w:val="32"/>
    </w:rPr>
  </w:style>
  <w:style w:type="character" w:customStyle="1" w:styleId="51">
    <w:name w:val="标题 3 字符"/>
    <w:link w:val="4"/>
    <w:autoRedefine/>
    <w:semiHidden/>
    <w:qFormat/>
    <w:locked/>
    <w:uiPriority w:val="99"/>
    <w:rPr>
      <w:rFonts w:cs="Times New Roman"/>
      <w:b/>
      <w:bCs/>
      <w:sz w:val="32"/>
      <w:szCs w:val="32"/>
    </w:rPr>
  </w:style>
  <w:style w:type="character" w:customStyle="1" w:styleId="52">
    <w:name w:val="标题 4 字符"/>
    <w:link w:val="5"/>
    <w:autoRedefine/>
    <w:semiHidden/>
    <w:qFormat/>
    <w:locked/>
    <w:uiPriority w:val="99"/>
    <w:rPr>
      <w:rFonts w:ascii="Cambria" w:hAnsi="Cambria" w:eastAsia="宋体" w:cs="Times New Roman"/>
      <w:b/>
      <w:bCs/>
      <w:sz w:val="28"/>
      <w:szCs w:val="28"/>
    </w:rPr>
  </w:style>
  <w:style w:type="character" w:customStyle="1" w:styleId="53">
    <w:name w:val="标题 5 字符"/>
    <w:link w:val="6"/>
    <w:autoRedefine/>
    <w:qFormat/>
    <w:locked/>
    <w:uiPriority w:val="99"/>
    <w:rPr>
      <w:rFonts w:cs="Times New Roman"/>
      <w:b/>
      <w:kern w:val="2"/>
      <w:sz w:val="28"/>
    </w:rPr>
  </w:style>
  <w:style w:type="character" w:customStyle="1" w:styleId="54">
    <w:name w:val="标题 6 字符"/>
    <w:link w:val="7"/>
    <w:autoRedefine/>
    <w:qFormat/>
    <w:locked/>
    <w:uiPriority w:val="99"/>
    <w:rPr>
      <w:rFonts w:ascii="Arial" w:hAnsi="Arial" w:eastAsia="黑体" w:cs="Times New Roman"/>
      <w:b/>
      <w:kern w:val="2"/>
      <w:sz w:val="24"/>
    </w:rPr>
  </w:style>
  <w:style w:type="character" w:customStyle="1" w:styleId="55">
    <w:name w:val="标题 7 字符"/>
    <w:link w:val="8"/>
    <w:autoRedefine/>
    <w:qFormat/>
    <w:locked/>
    <w:uiPriority w:val="99"/>
    <w:rPr>
      <w:rFonts w:cs="Times New Roman"/>
      <w:b/>
      <w:kern w:val="2"/>
      <w:sz w:val="24"/>
    </w:rPr>
  </w:style>
  <w:style w:type="character" w:customStyle="1" w:styleId="56">
    <w:name w:val="标题 8 字符"/>
    <w:link w:val="9"/>
    <w:autoRedefine/>
    <w:qFormat/>
    <w:locked/>
    <w:uiPriority w:val="99"/>
    <w:rPr>
      <w:rFonts w:ascii="Arial" w:hAnsi="Arial" w:eastAsia="黑体" w:cs="Times New Roman"/>
      <w:kern w:val="2"/>
      <w:sz w:val="24"/>
    </w:rPr>
  </w:style>
  <w:style w:type="character" w:customStyle="1" w:styleId="57">
    <w:name w:val="标题 9 字符"/>
    <w:link w:val="10"/>
    <w:autoRedefine/>
    <w:qFormat/>
    <w:locked/>
    <w:uiPriority w:val="99"/>
    <w:rPr>
      <w:rFonts w:ascii="Arial" w:hAnsi="Arial" w:eastAsia="黑体" w:cs="Times New Roman"/>
      <w:kern w:val="2"/>
      <w:sz w:val="21"/>
    </w:rPr>
  </w:style>
  <w:style w:type="character" w:customStyle="1" w:styleId="58">
    <w:name w:val="文档结构图 字符"/>
    <w:link w:val="12"/>
    <w:autoRedefine/>
    <w:semiHidden/>
    <w:qFormat/>
    <w:locked/>
    <w:uiPriority w:val="99"/>
    <w:rPr>
      <w:rFonts w:cs="Times New Roman"/>
      <w:sz w:val="2"/>
    </w:rPr>
  </w:style>
  <w:style w:type="character" w:customStyle="1" w:styleId="59">
    <w:name w:val="称呼 字符"/>
    <w:link w:val="14"/>
    <w:autoRedefine/>
    <w:semiHidden/>
    <w:qFormat/>
    <w:locked/>
    <w:uiPriority w:val="99"/>
    <w:rPr>
      <w:rFonts w:cs="Times New Roman"/>
      <w:sz w:val="20"/>
      <w:szCs w:val="20"/>
    </w:rPr>
  </w:style>
  <w:style w:type="character" w:customStyle="1" w:styleId="60">
    <w:name w:val="正文文本缩进 字符"/>
    <w:link w:val="16"/>
    <w:autoRedefine/>
    <w:semiHidden/>
    <w:qFormat/>
    <w:locked/>
    <w:uiPriority w:val="99"/>
    <w:rPr>
      <w:rFonts w:cs="Times New Roman"/>
      <w:sz w:val="20"/>
      <w:szCs w:val="20"/>
    </w:rPr>
  </w:style>
  <w:style w:type="character" w:customStyle="1" w:styleId="61">
    <w:name w:val="纯文本 字符"/>
    <w:link w:val="20"/>
    <w:autoRedefine/>
    <w:semiHidden/>
    <w:qFormat/>
    <w:locked/>
    <w:uiPriority w:val="99"/>
    <w:rPr>
      <w:rFonts w:ascii="宋体" w:hAnsi="Courier New" w:cs="Courier New"/>
      <w:sz w:val="21"/>
      <w:szCs w:val="21"/>
    </w:rPr>
  </w:style>
  <w:style w:type="character" w:customStyle="1" w:styleId="62">
    <w:name w:val="日期 字符"/>
    <w:link w:val="22"/>
    <w:autoRedefine/>
    <w:semiHidden/>
    <w:qFormat/>
    <w:locked/>
    <w:uiPriority w:val="99"/>
    <w:rPr>
      <w:rFonts w:cs="Times New Roman"/>
      <w:sz w:val="20"/>
      <w:szCs w:val="20"/>
    </w:rPr>
  </w:style>
  <w:style w:type="character" w:customStyle="1" w:styleId="63">
    <w:name w:val="正文文本缩进 2 字符"/>
    <w:link w:val="23"/>
    <w:autoRedefine/>
    <w:semiHidden/>
    <w:qFormat/>
    <w:locked/>
    <w:uiPriority w:val="99"/>
    <w:rPr>
      <w:rFonts w:cs="Times New Roman"/>
      <w:sz w:val="20"/>
      <w:szCs w:val="20"/>
    </w:rPr>
  </w:style>
  <w:style w:type="character" w:customStyle="1" w:styleId="64">
    <w:name w:val="批注框文本 字符"/>
    <w:link w:val="24"/>
    <w:autoRedefine/>
    <w:semiHidden/>
    <w:qFormat/>
    <w:locked/>
    <w:uiPriority w:val="99"/>
    <w:rPr>
      <w:rFonts w:cs="Times New Roman"/>
      <w:sz w:val="2"/>
    </w:rPr>
  </w:style>
  <w:style w:type="character" w:customStyle="1" w:styleId="65">
    <w:name w:val="页脚 字符"/>
    <w:link w:val="25"/>
    <w:autoRedefine/>
    <w:semiHidden/>
    <w:qFormat/>
    <w:locked/>
    <w:uiPriority w:val="99"/>
    <w:rPr>
      <w:rFonts w:cs="Times New Roman"/>
      <w:sz w:val="18"/>
      <w:szCs w:val="18"/>
    </w:rPr>
  </w:style>
  <w:style w:type="character" w:customStyle="1" w:styleId="66">
    <w:name w:val="页眉 字符"/>
    <w:link w:val="26"/>
    <w:autoRedefine/>
    <w:semiHidden/>
    <w:qFormat/>
    <w:locked/>
    <w:uiPriority w:val="99"/>
    <w:rPr>
      <w:rFonts w:cs="Times New Roman"/>
      <w:sz w:val="18"/>
      <w:szCs w:val="18"/>
    </w:rPr>
  </w:style>
  <w:style w:type="character" w:customStyle="1" w:styleId="67">
    <w:name w:val="副标题 字符"/>
    <w:link w:val="28"/>
    <w:autoRedefine/>
    <w:qFormat/>
    <w:locked/>
    <w:uiPriority w:val="99"/>
    <w:rPr>
      <w:rFonts w:ascii="Cambria" w:hAnsi="Cambria" w:eastAsia="宋体" w:cs="Times New Roman"/>
      <w:b/>
      <w:bCs/>
      <w:kern w:val="28"/>
      <w:sz w:val="32"/>
      <w:szCs w:val="32"/>
      <w:lang w:val="en-US" w:eastAsia="zh-CN" w:bidi="ar-SA"/>
    </w:rPr>
  </w:style>
  <w:style w:type="character" w:customStyle="1" w:styleId="68">
    <w:name w:val="正文文本缩进 3 字符"/>
    <w:link w:val="30"/>
    <w:autoRedefine/>
    <w:semiHidden/>
    <w:qFormat/>
    <w:locked/>
    <w:uiPriority w:val="99"/>
    <w:rPr>
      <w:rFonts w:cs="Times New Roman"/>
      <w:sz w:val="16"/>
      <w:szCs w:val="16"/>
    </w:rPr>
  </w:style>
  <w:style w:type="character" w:customStyle="1" w:styleId="69">
    <w:name w:val="正文文本 2 字符"/>
    <w:link w:val="32"/>
    <w:autoRedefine/>
    <w:semiHidden/>
    <w:qFormat/>
    <w:locked/>
    <w:uiPriority w:val="99"/>
    <w:rPr>
      <w:rFonts w:cs="Times New Roman"/>
      <w:sz w:val="20"/>
      <w:szCs w:val="20"/>
    </w:rPr>
  </w:style>
  <w:style w:type="character" w:customStyle="1" w:styleId="70">
    <w:name w:val="15"/>
    <w:autoRedefine/>
    <w:qFormat/>
    <w:uiPriority w:val="99"/>
    <w:rPr>
      <w:rFonts w:ascii="Times New Roman" w:hAnsi="Times New Roman" w:cs="Times New Roman"/>
      <w:b/>
      <w:bCs/>
    </w:rPr>
  </w:style>
  <w:style w:type="character" w:customStyle="1" w:styleId="71">
    <w:name w:val="font11"/>
    <w:autoRedefine/>
    <w:qFormat/>
    <w:uiPriority w:val="99"/>
    <w:rPr>
      <w:rFonts w:ascii="宋体" w:hAnsi="宋体" w:eastAsia="宋体"/>
      <w:color w:val="000000"/>
      <w:sz w:val="21"/>
      <w:u w:val="none"/>
    </w:rPr>
  </w:style>
  <w:style w:type="character" w:customStyle="1" w:styleId="72">
    <w:name w:val="ca-2"/>
    <w:autoRedefine/>
    <w:qFormat/>
    <w:uiPriority w:val="99"/>
    <w:rPr>
      <w:rFonts w:cs="Times New Roman"/>
    </w:rPr>
  </w:style>
  <w:style w:type="character" w:customStyle="1" w:styleId="73">
    <w:name w:val="z-窗体顶端 Char"/>
    <w:link w:val="74"/>
    <w:autoRedefine/>
    <w:semiHidden/>
    <w:qFormat/>
    <w:locked/>
    <w:uiPriority w:val="99"/>
    <w:rPr>
      <w:rFonts w:ascii="Arial" w:hAnsi="Arial" w:cs="Arial"/>
      <w:vanish/>
      <w:sz w:val="16"/>
      <w:szCs w:val="16"/>
    </w:rPr>
  </w:style>
  <w:style w:type="paragraph" w:customStyle="1" w:styleId="74">
    <w:name w:val="HTML Top of Form"/>
    <w:basedOn w:val="1"/>
    <w:link w:val="73"/>
    <w:autoRedefine/>
    <w:qFormat/>
    <w:uiPriority w:val="99"/>
    <w:pPr>
      <w:ind w:firstLine="420" w:firstLineChars="200"/>
    </w:pPr>
  </w:style>
  <w:style w:type="character" w:customStyle="1" w:styleId="75">
    <w:name w:val="Footer Char"/>
    <w:autoRedefine/>
    <w:qFormat/>
    <w:locked/>
    <w:uiPriority w:val="99"/>
    <w:rPr>
      <w:kern w:val="2"/>
      <w:sz w:val="18"/>
    </w:rPr>
  </w:style>
  <w:style w:type="character" w:customStyle="1" w:styleId="76">
    <w:name w:val="css21"/>
    <w:autoRedefine/>
    <w:qFormat/>
    <w:uiPriority w:val="99"/>
    <w:rPr>
      <w:sz w:val="18"/>
    </w:rPr>
  </w:style>
  <w:style w:type="character" w:customStyle="1" w:styleId="77">
    <w:name w:val="Char Char2"/>
    <w:autoRedefine/>
    <w:qFormat/>
    <w:uiPriority w:val="99"/>
    <w:rPr>
      <w:kern w:val="2"/>
      <w:sz w:val="18"/>
    </w:rPr>
  </w:style>
  <w:style w:type="character" w:customStyle="1" w:styleId="78">
    <w:name w:val="明显参考1"/>
    <w:autoRedefine/>
    <w:qFormat/>
    <w:uiPriority w:val="99"/>
    <w:rPr>
      <w:b/>
      <w:smallCaps/>
      <w:color w:val="C0504D"/>
      <w:spacing w:val="5"/>
      <w:u w:val="single"/>
    </w:rPr>
  </w:style>
  <w:style w:type="character" w:customStyle="1" w:styleId="79">
    <w:name w:val="apple-converted-space"/>
    <w:autoRedefine/>
    <w:qFormat/>
    <w:uiPriority w:val="99"/>
    <w:rPr>
      <w:rFonts w:cs="Times New Roman"/>
    </w:rPr>
  </w:style>
  <w:style w:type="character" w:customStyle="1" w:styleId="80">
    <w:name w:val="ca-12"/>
    <w:autoRedefine/>
    <w:qFormat/>
    <w:uiPriority w:val="99"/>
  </w:style>
  <w:style w:type="character" w:customStyle="1" w:styleId="81">
    <w:name w:val="Header Char"/>
    <w:autoRedefine/>
    <w:qFormat/>
    <w:locked/>
    <w:uiPriority w:val="99"/>
    <w:rPr>
      <w:kern w:val="2"/>
      <w:sz w:val="18"/>
    </w:rPr>
  </w:style>
  <w:style w:type="character" w:customStyle="1" w:styleId="82">
    <w:name w:val="font31"/>
    <w:autoRedefine/>
    <w:qFormat/>
    <w:uiPriority w:val="99"/>
    <w:rPr>
      <w:rFonts w:ascii="Arial" w:hAnsi="Arial"/>
      <w:color w:val="000000"/>
      <w:sz w:val="21"/>
      <w:u w:val="none"/>
    </w:rPr>
  </w:style>
  <w:style w:type="character" w:customStyle="1" w:styleId="83">
    <w:name w:val="Body Text First Indent Char"/>
    <w:autoRedefine/>
    <w:qFormat/>
    <w:locked/>
    <w:uiPriority w:val="99"/>
    <w:rPr>
      <w:rFonts w:ascii="Arial" w:hAnsi="Arial"/>
      <w:kern w:val="2"/>
      <w:sz w:val="24"/>
    </w:rPr>
  </w:style>
  <w:style w:type="character" w:customStyle="1" w:styleId="84">
    <w:name w:val="正文文字 Char"/>
    <w:autoRedefine/>
    <w:qFormat/>
    <w:uiPriority w:val="99"/>
    <w:rPr>
      <w:rFonts w:ascii="Arial" w:hAnsi="Arial" w:eastAsia="宋体"/>
      <w:kern w:val="2"/>
      <w:sz w:val="24"/>
      <w:lang w:val="en-US" w:eastAsia="zh-CN"/>
    </w:rPr>
  </w:style>
  <w:style w:type="character" w:customStyle="1" w:styleId="85">
    <w:name w:val="ca-3"/>
    <w:autoRedefine/>
    <w:qFormat/>
    <w:uiPriority w:val="99"/>
    <w:rPr>
      <w:rFonts w:cs="Times New Roman"/>
    </w:rPr>
  </w:style>
  <w:style w:type="character" w:customStyle="1" w:styleId="86">
    <w:name w:val="ca-1"/>
    <w:autoRedefine/>
    <w:qFormat/>
    <w:uiPriority w:val="99"/>
    <w:rPr>
      <w:rFonts w:cs="Times New Roman"/>
    </w:rPr>
  </w:style>
  <w:style w:type="character" w:customStyle="1" w:styleId="87">
    <w:name w:val="正文文字 Char1"/>
    <w:link w:val="88"/>
    <w:autoRedefine/>
    <w:qFormat/>
    <w:locked/>
    <w:uiPriority w:val="99"/>
    <w:rPr>
      <w:rFonts w:ascii="宋体" w:eastAsia="宋体"/>
      <w:color w:val="000000"/>
      <w:sz w:val="28"/>
      <w:lang w:val="en-US" w:eastAsia="zh-CN"/>
    </w:rPr>
  </w:style>
  <w:style w:type="paragraph" w:customStyle="1" w:styleId="88">
    <w:name w:val="正文文字"/>
    <w:basedOn w:val="1"/>
    <w:link w:val="87"/>
    <w:autoRedefine/>
    <w:qFormat/>
    <w:uiPriority w:val="99"/>
    <w:pPr>
      <w:widowControl/>
      <w:spacing w:line="2375" w:lineRule="atLeast"/>
      <w:ind w:firstLine="419"/>
      <w:textAlignment w:val="baseline"/>
    </w:pPr>
    <w:rPr>
      <w:rFonts w:ascii="宋体"/>
      <w:color w:val="000000"/>
      <w:kern w:val="0"/>
      <w:sz w:val="28"/>
    </w:rPr>
  </w:style>
  <w:style w:type="character" w:customStyle="1" w:styleId="89">
    <w:name w:val="Body Text Char"/>
    <w:autoRedefine/>
    <w:qFormat/>
    <w:locked/>
    <w:uiPriority w:val="99"/>
    <w:rPr>
      <w:rFonts w:ascii="Arial" w:hAnsi="Arial"/>
      <w:kern w:val="2"/>
      <w:sz w:val="24"/>
    </w:rPr>
  </w:style>
  <w:style w:type="character" w:customStyle="1" w:styleId="90">
    <w:name w:val="font01"/>
    <w:basedOn w:val="37"/>
    <w:autoRedefine/>
    <w:qFormat/>
    <w:uiPriority w:val="0"/>
    <w:rPr>
      <w:rFonts w:hint="eastAsia" w:ascii="宋体" w:hAnsi="宋体" w:eastAsia="宋体" w:cs="宋体"/>
      <w:color w:val="000000"/>
      <w:sz w:val="22"/>
      <w:szCs w:val="22"/>
      <w:u w:val="none"/>
    </w:rPr>
  </w:style>
  <w:style w:type="character" w:customStyle="1" w:styleId="91">
    <w:name w:val="样式 正文缩进 + 首行缩进:  2 字符 Char"/>
    <w:link w:val="92"/>
    <w:autoRedefine/>
    <w:qFormat/>
    <w:locked/>
    <w:uiPriority w:val="99"/>
    <w:rPr>
      <w:sz w:val="24"/>
    </w:rPr>
  </w:style>
  <w:style w:type="paragraph" w:customStyle="1" w:styleId="92">
    <w:name w:val="样式 正文缩进 + 首行缩进:  2 字符"/>
    <w:basedOn w:val="11"/>
    <w:link w:val="91"/>
    <w:autoRedefine/>
    <w:qFormat/>
    <w:uiPriority w:val="99"/>
    <w:pPr>
      <w:spacing w:line="360" w:lineRule="auto"/>
      <w:ind w:firstLine="200"/>
    </w:pPr>
    <w:rPr>
      <w:kern w:val="0"/>
      <w:sz w:val="24"/>
      <w:szCs w:val="20"/>
    </w:rPr>
  </w:style>
  <w:style w:type="character" w:customStyle="1" w:styleId="93">
    <w:name w:val="NormalCharacter"/>
    <w:autoRedefine/>
    <w:semiHidden/>
    <w:qFormat/>
    <w:uiPriority w:val="0"/>
  </w:style>
  <w:style w:type="character" w:customStyle="1" w:styleId="94">
    <w:name w:val="书籍标题1"/>
    <w:autoRedefine/>
    <w:qFormat/>
    <w:uiPriority w:val="99"/>
    <w:rPr>
      <w:b/>
      <w:smallCaps/>
      <w:spacing w:val="5"/>
    </w:rPr>
  </w:style>
  <w:style w:type="character" w:customStyle="1" w:styleId="95">
    <w:name w:val="grame"/>
    <w:autoRedefine/>
    <w:qFormat/>
    <w:uiPriority w:val="99"/>
    <w:rPr>
      <w:rFonts w:cs="Times New Roman"/>
    </w:rPr>
  </w:style>
  <w:style w:type="character" w:customStyle="1" w:styleId="96">
    <w:name w:val="样式 仿宋"/>
    <w:autoRedefine/>
    <w:qFormat/>
    <w:uiPriority w:val="99"/>
    <w:rPr>
      <w:rFonts w:ascii="仿宋" w:hAnsi="仿宋" w:eastAsia="仿宋"/>
      <w:kern w:val="1"/>
    </w:rPr>
  </w:style>
  <w:style w:type="character" w:customStyle="1" w:styleId="97">
    <w:name w:val="ca-5"/>
    <w:autoRedefine/>
    <w:qFormat/>
    <w:uiPriority w:val="99"/>
    <w:rPr>
      <w:rFonts w:cs="Times New Roman"/>
    </w:rPr>
  </w:style>
  <w:style w:type="character" w:customStyle="1" w:styleId="98">
    <w:name w:val="p21"/>
    <w:autoRedefine/>
    <w:qFormat/>
    <w:uiPriority w:val="99"/>
    <w:rPr>
      <w:rFonts w:ascii="Arial" w:hAnsi="Arial"/>
      <w:color w:val="333333"/>
      <w:sz w:val="18"/>
      <w:u w:val="none"/>
    </w:rPr>
  </w:style>
  <w:style w:type="character" w:customStyle="1" w:styleId="99">
    <w:name w:val="无"/>
    <w:autoRedefine/>
    <w:qFormat/>
    <w:uiPriority w:val="99"/>
  </w:style>
  <w:style w:type="character" w:customStyle="1" w:styleId="100">
    <w:name w:val="style25"/>
    <w:autoRedefine/>
    <w:qFormat/>
    <w:uiPriority w:val="99"/>
  </w:style>
  <w:style w:type="character" w:customStyle="1" w:styleId="101">
    <w:name w:val="Char Char1"/>
    <w:autoRedefine/>
    <w:qFormat/>
    <w:uiPriority w:val="99"/>
    <w:rPr>
      <w:kern w:val="2"/>
      <w:sz w:val="18"/>
    </w:rPr>
  </w:style>
  <w:style w:type="character" w:customStyle="1" w:styleId="102">
    <w:name w:val="Document Map Char"/>
    <w:autoRedefine/>
    <w:qFormat/>
    <w:locked/>
    <w:uiPriority w:val="99"/>
    <w:rPr>
      <w:kern w:val="2"/>
      <w:sz w:val="21"/>
      <w:shd w:val="clear" w:color="auto" w:fill="000080"/>
    </w:rPr>
  </w:style>
  <w:style w:type="character" w:customStyle="1" w:styleId="103">
    <w:name w:val="标题 1 Char Char"/>
    <w:autoRedefine/>
    <w:qFormat/>
    <w:uiPriority w:val="0"/>
    <w:rPr>
      <w:rFonts w:hint="eastAsia" w:ascii="宋体" w:hAnsi="宋体" w:eastAsia="宋体"/>
      <w:b/>
      <w:spacing w:val="-2"/>
      <w:sz w:val="24"/>
      <w:lang w:val="en-US" w:eastAsia="zh-CN" w:bidi="ar-SA"/>
    </w:rPr>
  </w:style>
  <w:style w:type="character" w:customStyle="1" w:styleId="104">
    <w:name w:val="font21"/>
    <w:autoRedefine/>
    <w:qFormat/>
    <w:uiPriority w:val="99"/>
    <w:rPr>
      <w:rFonts w:ascii="宋体" w:hAnsi="宋体" w:eastAsia="宋体"/>
      <w:color w:val="000000"/>
      <w:sz w:val="21"/>
      <w:u w:val="none"/>
    </w:rPr>
  </w:style>
  <w:style w:type="character" w:customStyle="1" w:styleId="105">
    <w:name w:val="纯文本 Char Char Char Char Char Char"/>
    <w:autoRedefine/>
    <w:qFormat/>
    <w:locked/>
    <w:uiPriority w:val="99"/>
    <w:rPr>
      <w:rFonts w:ascii="宋体" w:hAnsi="Courier New" w:eastAsia="宋体"/>
      <w:kern w:val="2"/>
      <w:sz w:val="21"/>
      <w:lang w:val="en-US" w:eastAsia="zh-CN"/>
    </w:rPr>
  </w:style>
  <w:style w:type="character" w:customStyle="1" w:styleId="106">
    <w:name w:val="Plain Text Char"/>
    <w:autoRedefine/>
    <w:qFormat/>
    <w:locked/>
    <w:uiPriority w:val="99"/>
    <w:rPr>
      <w:rFonts w:ascii="宋体" w:hAnsi="Courier New" w:eastAsia="宋体"/>
      <w:kern w:val="2"/>
      <w:sz w:val="21"/>
      <w:lang w:val="en-US" w:eastAsia="zh-CN"/>
    </w:rPr>
  </w:style>
  <w:style w:type="character" w:customStyle="1" w:styleId="107">
    <w:name w:val="Char Char"/>
    <w:autoRedefine/>
    <w:qFormat/>
    <w:uiPriority w:val="99"/>
    <w:rPr>
      <w:kern w:val="2"/>
      <w:sz w:val="18"/>
    </w:rPr>
  </w:style>
  <w:style w:type="character" w:customStyle="1" w:styleId="108">
    <w:name w:val="marklong"/>
    <w:autoRedefine/>
    <w:qFormat/>
    <w:uiPriority w:val="99"/>
    <w:rPr>
      <w:rFonts w:cs="Times New Roman"/>
    </w:rPr>
  </w:style>
  <w:style w:type="character" w:customStyle="1" w:styleId="109">
    <w:name w:val="H3 Char1"/>
    <w:autoRedefine/>
    <w:qFormat/>
    <w:uiPriority w:val="99"/>
    <w:rPr>
      <w:rFonts w:eastAsia="宋体" w:cs="Times New Roman"/>
      <w:b/>
      <w:bCs/>
      <w:kern w:val="2"/>
      <w:sz w:val="24"/>
      <w:szCs w:val="24"/>
      <w:lang w:val="en-US" w:eastAsia="zh-CN" w:bidi="ar-SA"/>
    </w:rPr>
  </w:style>
  <w:style w:type="character" w:customStyle="1" w:styleId="110">
    <w:name w:val="unnamed1"/>
    <w:autoRedefine/>
    <w:qFormat/>
    <w:uiPriority w:val="99"/>
    <w:rPr>
      <w:rFonts w:cs="Times New Roman"/>
    </w:rPr>
  </w:style>
  <w:style w:type="character" w:customStyle="1" w:styleId="111">
    <w:name w:val="ca-4"/>
    <w:autoRedefine/>
    <w:qFormat/>
    <w:uiPriority w:val="99"/>
    <w:rPr>
      <w:rFonts w:cs="Times New Roman"/>
    </w:rPr>
  </w:style>
  <w:style w:type="paragraph" w:customStyle="1" w:styleId="112">
    <w:name w:val="Char1"/>
    <w:basedOn w:val="1"/>
    <w:autoRedefine/>
    <w:qFormat/>
    <w:uiPriority w:val="99"/>
    <w:pPr>
      <w:widowControl/>
      <w:spacing w:after="160" w:line="240" w:lineRule="exact"/>
      <w:jc w:val="left"/>
    </w:pPr>
    <w:rPr>
      <w:rFonts w:ascii="Verdana" w:hAnsi="Verdana"/>
      <w:kern w:val="0"/>
      <w:sz w:val="20"/>
      <w:lang w:eastAsia="en-US"/>
    </w:rPr>
  </w:style>
  <w:style w:type="paragraph" w:customStyle="1" w:styleId="113">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4">
    <w:name w:val="pa-0"/>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1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宋体加黑"/>
    <w:basedOn w:val="1"/>
    <w:autoRedefine/>
    <w:qFormat/>
    <w:uiPriority w:val="99"/>
    <w:pPr>
      <w:spacing w:line="360" w:lineRule="auto"/>
      <w:jc w:val="center"/>
    </w:pPr>
    <w:rPr>
      <w:rFonts w:ascii="宋体" w:hAnsi="宋体"/>
      <w:b/>
      <w:szCs w:val="24"/>
    </w:rPr>
  </w:style>
  <w:style w:type="paragraph" w:customStyle="1" w:styleId="117">
    <w:name w:val="段"/>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pa-8"/>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19">
    <w:name w:val="pa-1"/>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20">
    <w:name w:val="style9"/>
    <w:basedOn w:val="1"/>
    <w:autoRedefine/>
    <w:qFormat/>
    <w:uiPriority w:val="99"/>
    <w:pPr>
      <w:widowControl/>
      <w:spacing w:line="300" w:lineRule="atLeast"/>
      <w:jc w:val="left"/>
    </w:pPr>
    <w:rPr>
      <w:rFonts w:ascii="宋体" w:hAnsi="宋体" w:cs="宋体"/>
      <w:kern w:val="0"/>
      <w:sz w:val="24"/>
      <w:szCs w:val="24"/>
    </w:rPr>
  </w:style>
  <w:style w:type="paragraph" w:customStyle="1" w:styleId="121">
    <w:name w:val="pa-4"/>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22">
    <w:name w:val="普通 (Web)"/>
    <w:basedOn w:val="1"/>
    <w:autoRedefine/>
    <w:qFormat/>
    <w:uiPriority w:val="99"/>
    <w:pPr>
      <w:widowControl/>
      <w:spacing w:before="100" w:beforeAutospacing="1" w:after="100" w:afterAutospacing="1"/>
      <w:jc w:val="left"/>
    </w:pPr>
    <w:rPr>
      <w:rFonts w:ascii="宋体" w:hAnsi="宋体"/>
      <w:kern w:val="0"/>
      <w:sz w:val="24"/>
      <w:szCs w:val="24"/>
    </w:rPr>
  </w:style>
  <w:style w:type="paragraph" w:customStyle="1" w:styleId="123">
    <w:name w:val="列出段落2"/>
    <w:basedOn w:val="1"/>
    <w:autoRedefine/>
    <w:qFormat/>
    <w:uiPriority w:val="99"/>
    <w:pPr>
      <w:ind w:firstLine="420" w:firstLineChars="200"/>
    </w:pPr>
    <w:rPr>
      <w:rFonts w:ascii="宋体" w:hAnsi="Courier New"/>
    </w:rPr>
  </w:style>
  <w:style w:type="paragraph" w:customStyle="1" w:styleId="124">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pa-2"/>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26">
    <w:name w:val="Char"/>
    <w:basedOn w:val="1"/>
    <w:autoRedefine/>
    <w:qFormat/>
    <w:uiPriority w:val="99"/>
    <w:rPr>
      <w:rFonts w:ascii="Tahoma" w:hAnsi="Tahoma" w:cs="仿宋_GB2312"/>
      <w:sz w:val="24"/>
      <w:szCs w:val="28"/>
    </w:rPr>
  </w:style>
  <w:style w:type="paragraph" w:customStyle="1" w:styleId="127">
    <w:name w:val="p0"/>
    <w:basedOn w:val="1"/>
    <w:autoRedefine/>
    <w:qFormat/>
    <w:uiPriority w:val="99"/>
    <w:pPr>
      <w:widowControl/>
    </w:pPr>
    <w:rPr>
      <w:kern w:val="0"/>
      <w:szCs w:val="21"/>
    </w:rPr>
  </w:style>
  <w:style w:type="paragraph" w:customStyle="1" w:styleId="128">
    <w:name w:val="我们蓝色"/>
    <w:basedOn w:val="1"/>
    <w:autoRedefine/>
    <w:qFormat/>
    <w:uiPriority w:val="99"/>
    <w:pPr>
      <w:spacing w:line="360" w:lineRule="auto"/>
    </w:pPr>
    <w:rPr>
      <w:color w:val="00B0F0"/>
      <w:szCs w:val="24"/>
    </w:rPr>
  </w:style>
  <w:style w:type="paragraph" w:customStyle="1" w:styleId="129">
    <w:name w:val="_Style 2"/>
    <w:basedOn w:val="1"/>
    <w:autoRedefine/>
    <w:qFormat/>
    <w:uiPriority w:val="99"/>
    <w:pPr>
      <w:ind w:firstLine="420" w:firstLineChars="200"/>
    </w:pPr>
  </w:style>
  <w:style w:type="paragraph" w:customStyle="1" w:styleId="130">
    <w:name w:val="pa-7"/>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31">
    <w:name w:val="ecx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32">
    <w:name w:val="正文文本_0"/>
    <w:basedOn w:val="133"/>
    <w:autoRedefine/>
    <w:qFormat/>
    <w:uiPriority w:val="0"/>
    <w:pPr>
      <w:spacing w:after="120"/>
    </w:pPr>
    <w:rPr>
      <w:kern w:val="0"/>
      <w:sz w:val="20"/>
    </w:rPr>
  </w:style>
  <w:style w:type="paragraph" w:customStyle="1" w:styleId="1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style16"/>
    <w:basedOn w:val="1"/>
    <w:autoRedefine/>
    <w:qFormat/>
    <w:uiPriority w:val="99"/>
    <w:pPr>
      <w:widowControl/>
      <w:spacing w:before="100" w:beforeAutospacing="1" w:after="100" w:afterAutospacing="1"/>
      <w:jc w:val="left"/>
    </w:pPr>
    <w:rPr>
      <w:rFonts w:ascii="宋体" w:hAnsi="宋体" w:cs="宋体"/>
      <w:kern w:val="0"/>
      <w:sz w:val="24"/>
    </w:rPr>
  </w:style>
  <w:style w:type="paragraph" w:styleId="135">
    <w:name w:val="List Paragraph"/>
    <w:basedOn w:val="1"/>
    <w:autoRedefine/>
    <w:qFormat/>
    <w:uiPriority w:val="99"/>
    <w:pPr>
      <w:ind w:firstLine="420" w:firstLineChars="200"/>
    </w:pPr>
    <w:rPr>
      <w:rFonts w:ascii="Calibri" w:hAnsi="Calibri"/>
      <w:szCs w:val="22"/>
    </w:rPr>
  </w:style>
  <w:style w:type="paragraph" w:customStyle="1" w:styleId="136">
    <w:name w:val="Body 1"/>
    <w:autoRedefine/>
    <w:qFormat/>
    <w:uiPriority w:val="99"/>
    <w:pPr>
      <w:outlineLvl w:val="0"/>
    </w:pPr>
    <w:rPr>
      <w:rFonts w:ascii="Calibri" w:hAnsi="Calibri" w:eastAsia="宋体" w:cs="Times New Roman"/>
      <w:color w:val="000000"/>
      <w:sz w:val="24"/>
      <w:szCs w:val="22"/>
      <w:lang w:val="en-US" w:eastAsia="zh-CN" w:bidi="ar-SA"/>
    </w:rPr>
  </w:style>
  <w:style w:type="paragraph" w:customStyle="1" w:styleId="137">
    <w:name w:val="List Paragraph1"/>
    <w:basedOn w:val="1"/>
    <w:autoRedefine/>
    <w:qFormat/>
    <w:uiPriority w:val="99"/>
    <w:pPr>
      <w:ind w:firstLine="420" w:firstLineChars="200"/>
    </w:pPr>
    <w:rPr>
      <w:rFonts w:ascii="Calibri" w:hAnsi="Calibri" w:cs="Calibri"/>
      <w:szCs w:val="21"/>
    </w:rPr>
  </w:style>
  <w:style w:type="paragraph" w:customStyle="1" w:styleId="138">
    <w:name w:val="_Style 70"/>
    <w:basedOn w:val="1"/>
    <w:next w:val="135"/>
    <w:autoRedefine/>
    <w:qFormat/>
    <w:uiPriority w:val="99"/>
    <w:pPr>
      <w:ind w:firstLine="420" w:firstLineChars="200"/>
    </w:pPr>
    <w:rPr>
      <w:rFonts w:ascii="Calibri" w:hAnsi="Calibri"/>
      <w:szCs w:val="22"/>
    </w:rPr>
  </w:style>
  <w:style w:type="paragraph" w:customStyle="1" w:styleId="139">
    <w:name w:val="style6"/>
    <w:basedOn w:val="1"/>
    <w:autoRedefine/>
    <w:qFormat/>
    <w:uiPriority w:val="99"/>
    <w:pPr>
      <w:widowControl/>
      <w:spacing w:line="300" w:lineRule="atLeast"/>
      <w:jc w:val="left"/>
    </w:pPr>
    <w:rPr>
      <w:rFonts w:ascii="宋体" w:hAnsi="宋体" w:cs="宋体"/>
      <w:kern w:val="0"/>
      <w:sz w:val="24"/>
      <w:szCs w:val="24"/>
    </w:rPr>
  </w:style>
  <w:style w:type="paragraph" w:customStyle="1" w:styleId="140">
    <w:name w:val="条目2"/>
    <w:basedOn w:val="20"/>
    <w:autoRedefine/>
    <w:qFormat/>
    <w:uiPriority w:val="99"/>
    <w:pPr>
      <w:tabs>
        <w:tab w:val="left" w:pos="420"/>
      </w:tabs>
      <w:spacing w:line="360" w:lineRule="auto"/>
      <w:ind w:left="420" w:hanging="420"/>
    </w:pPr>
    <w:rPr>
      <w:color w:val="000000"/>
      <w:sz w:val="30"/>
    </w:rPr>
  </w:style>
  <w:style w:type="paragraph" w:customStyle="1" w:styleId="141">
    <w:name w:val="列出段落1"/>
    <w:basedOn w:val="1"/>
    <w:autoRedefine/>
    <w:qFormat/>
    <w:uiPriority w:val="99"/>
    <w:pPr>
      <w:ind w:firstLine="420" w:firstLineChars="200"/>
    </w:pPr>
  </w:style>
  <w:style w:type="paragraph" w:customStyle="1" w:styleId="142">
    <w:name w:val="正文缩进1"/>
    <w:basedOn w:val="1"/>
    <w:autoRedefine/>
    <w:qFormat/>
    <w:uiPriority w:val="99"/>
    <w:pPr>
      <w:ind w:firstLine="420" w:firstLineChars="200"/>
    </w:pPr>
    <w:rPr>
      <w:rFonts w:ascii="Calibri" w:hAnsi="Calibri"/>
    </w:rPr>
  </w:style>
  <w:style w:type="paragraph" w:customStyle="1" w:styleId="143">
    <w:name w:val="条目3"/>
    <w:basedOn w:val="20"/>
    <w:autoRedefine/>
    <w:qFormat/>
    <w:uiPriority w:val="99"/>
    <w:pPr>
      <w:tabs>
        <w:tab w:val="left" w:pos="960"/>
        <w:tab w:val="left" w:pos="2940"/>
      </w:tabs>
      <w:spacing w:line="360" w:lineRule="auto"/>
      <w:ind w:left="2940" w:hanging="420"/>
    </w:pPr>
    <w:rPr>
      <w:color w:val="000000"/>
      <w:sz w:val="30"/>
    </w:rPr>
  </w:style>
  <w:style w:type="paragraph" w:customStyle="1" w:styleId="144">
    <w:name w:val="缺省文本"/>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无间隔2"/>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 A"/>
    <w:autoRedefine/>
    <w:qFormat/>
    <w:uiPriority w:val="99"/>
    <w:pPr>
      <w:widowControl w:val="0"/>
      <w:jc w:val="both"/>
    </w:pPr>
    <w:rPr>
      <w:rFonts w:ascii="Calibri" w:hAnsi="Calibri" w:eastAsia="宋体" w:cs="Calibri"/>
      <w:color w:val="000000"/>
      <w:kern w:val="2"/>
      <w:sz w:val="21"/>
      <w:szCs w:val="21"/>
      <w:lang w:val="en-US" w:eastAsia="zh-CN" w:bidi="ar-SA"/>
    </w:rPr>
  </w:style>
  <w:style w:type="paragraph" w:customStyle="1" w:styleId="147">
    <w:name w:val="pa-6"/>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48">
    <w:name w:val="无间隔1"/>
    <w:autoRedefine/>
    <w:qFormat/>
    <w:uiPriority w:val="99"/>
    <w:rPr>
      <w:rFonts w:ascii="Calibri" w:hAnsi="Calibri" w:eastAsia="宋体" w:cs="Times New Roman"/>
      <w:sz w:val="22"/>
      <w:szCs w:val="22"/>
      <w:lang w:val="en-US" w:eastAsia="zh-CN" w:bidi="ar-SA"/>
    </w:rPr>
  </w:style>
  <w:style w:type="paragraph" w:customStyle="1" w:styleId="149">
    <w:name w:val="1 Char Char Char Char"/>
    <w:basedOn w:val="1"/>
    <w:autoRedefine/>
    <w:qFormat/>
    <w:uiPriority w:val="99"/>
    <w:rPr>
      <w:rFonts w:ascii="Tahoma" w:hAnsi="Tahoma"/>
      <w:sz w:val="24"/>
    </w:rPr>
  </w:style>
  <w:style w:type="paragraph" w:customStyle="1" w:styleId="150">
    <w:name w:val="我们红色"/>
    <w:basedOn w:val="1"/>
    <w:autoRedefine/>
    <w:qFormat/>
    <w:uiPriority w:val="99"/>
    <w:pPr>
      <w:spacing w:line="360" w:lineRule="auto"/>
    </w:pPr>
    <w:rPr>
      <w:rFonts w:ascii="宋体" w:hAnsi="宋体" w:cs="宋体"/>
      <w:color w:val="FF0000"/>
      <w:kern w:val="0"/>
      <w:szCs w:val="21"/>
    </w:rPr>
  </w:style>
  <w:style w:type="paragraph" w:customStyle="1" w:styleId="151">
    <w:name w:val="中等深浅网格 21"/>
    <w:autoRedefine/>
    <w:qFormat/>
    <w:uiPriority w:val="1"/>
    <w:rPr>
      <w:rFonts w:ascii="Calibri" w:hAnsi="Calibri" w:eastAsia="宋体" w:cs="Times New Roman"/>
      <w:sz w:val="22"/>
      <w:szCs w:val="22"/>
      <w:lang w:val="en-US" w:eastAsia="zh-CN" w:bidi="ar-SA"/>
    </w:rPr>
  </w:style>
  <w:style w:type="paragraph" w:customStyle="1" w:styleId="152">
    <w:name w:val="pa-5"/>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53">
    <w:name w:val="标书正文"/>
    <w:basedOn w:val="1"/>
    <w:autoRedefine/>
    <w:qFormat/>
    <w:uiPriority w:val="99"/>
    <w:pPr>
      <w:spacing w:line="560" w:lineRule="exact"/>
      <w:ind w:firstLine="723" w:firstLineChars="200"/>
      <w:jc w:val="center"/>
    </w:pPr>
    <w:rPr>
      <w:rFonts w:ascii="仿宋_GB2312" w:eastAsia="仿宋_GB2312"/>
      <w:b/>
      <w:sz w:val="36"/>
    </w:rPr>
  </w:style>
  <w:style w:type="paragraph" w:customStyle="1" w:styleId="154">
    <w:name w:val="ecxmsolistparagraph"/>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55">
    <w:name w:val="188"/>
    <w:basedOn w:val="1"/>
    <w:autoRedefine/>
    <w:qFormat/>
    <w:uiPriority w:val="0"/>
    <w:pPr>
      <w:widowControl/>
      <w:spacing w:line="240" w:lineRule="auto"/>
      <w:ind w:left="720"/>
      <w:contextualSpacing/>
      <w:jc w:val="left"/>
      <w:textAlignment w:val="auto"/>
    </w:pPr>
    <w:rPr>
      <w:rFonts w:ascii="Calibri" w:hAnsi="Calibri" w:eastAsia="宋体"/>
      <w:sz w:val="24"/>
      <w:szCs w:val="24"/>
      <w:lang w:val="en-US" w:eastAsia="en-US" w:bidi="ar-SA"/>
    </w:rPr>
  </w:style>
  <w:style w:type="paragraph" w:customStyle="1" w:styleId="156">
    <w:name w:val="WPS Plain"/>
    <w:basedOn w:val="1"/>
    <w:autoRedefine/>
    <w:qFormat/>
    <w:uiPriority w:val="0"/>
    <w:pPr>
      <w:widowControl/>
      <w:adjustRightInd/>
      <w:spacing w:line="240" w:lineRule="auto"/>
      <w:jc w:val="left"/>
      <w:textAlignment w:val="auto"/>
    </w:pPr>
    <w:rPr>
      <w:rFonts w:ascii="Times New Roman" w:hAnsi="Calibri" w:eastAsia="宋体" w:cs="Times New Roman"/>
      <w:sz w:val="24"/>
      <w:szCs w:val="24"/>
    </w:rPr>
  </w:style>
  <w:style w:type="paragraph" w:customStyle="1" w:styleId="157">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文本3"/>
    <w:basedOn w:val="1"/>
    <w:autoRedefine/>
    <w:qFormat/>
    <w:uiPriority w:val="0"/>
    <w:pPr>
      <w:shd w:val="clear" w:color="auto" w:fill="FFFFFF"/>
      <w:spacing w:after="120" w:line="0" w:lineRule="atLeast"/>
      <w:jc w:val="left"/>
    </w:pPr>
    <w:rPr>
      <w:rFonts w:ascii="MingLiU" w:hAnsi="MingLiU" w:eastAsia="MingLiU"/>
      <w:spacing w:val="9"/>
      <w:sz w:val="18"/>
      <w:szCs w:val="18"/>
      <w:lang w:bidi="ug-CN"/>
    </w:rPr>
  </w:style>
  <w:style w:type="character" w:customStyle="1" w:styleId="159">
    <w:name w:val="正文文本1"/>
    <w:autoRedefine/>
    <w:qFormat/>
    <w:uiPriority w:val="0"/>
    <w:rPr>
      <w:rFonts w:hint="eastAsia" w:ascii="MingLiU" w:hAnsi="MingLiU" w:eastAsia="MingLiU" w:cs="MingLiU"/>
      <w:color w:val="000000"/>
      <w:spacing w:val="9"/>
      <w:w w:val="100"/>
      <w:position w:val="0"/>
      <w:sz w:val="18"/>
      <w:szCs w:val="18"/>
      <w:u w:val="none"/>
      <w:lang w:val="zh-CN"/>
    </w:rPr>
  </w:style>
  <w:style w:type="character" w:customStyle="1" w:styleId="160">
    <w:name w:val="font161"/>
    <w:basedOn w:val="37"/>
    <w:autoRedefine/>
    <w:qFormat/>
    <w:uiPriority w:val="0"/>
    <w:rPr>
      <w:rFonts w:ascii="Calibri" w:hAnsi="Calibri" w:cs="Calibri"/>
      <w:color w:val="000000"/>
      <w:sz w:val="20"/>
      <w:szCs w:val="20"/>
      <w:u w:val="none"/>
    </w:rPr>
  </w:style>
  <w:style w:type="character" w:customStyle="1" w:styleId="161">
    <w:name w:val="font91"/>
    <w:basedOn w:val="37"/>
    <w:autoRedefine/>
    <w:qFormat/>
    <w:uiPriority w:val="0"/>
    <w:rPr>
      <w:rFonts w:hint="eastAsia" w:ascii="宋体" w:hAnsi="宋体" w:eastAsia="宋体" w:cs="宋体"/>
      <w:color w:val="000000"/>
      <w:sz w:val="20"/>
      <w:szCs w:val="20"/>
      <w:u w:val="none"/>
    </w:rPr>
  </w:style>
  <w:style w:type="paragraph" w:customStyle="1" w:styleId="162">
    <w:name w:val="答复表头"/>
    <w:basedOn w:val="163"/>
    <w:next w:val="1"/>
    <w:autoRedefine/>
    <w:qFormat/>
    <w:uiPriority w:val="0"/>
    <w:pPr>
      <w:tabs>
        <w:tab w:val="left" w:pos="480"/>
      </w:tabs>
    </w:pPr>
    <w:rPr>
      <w:rFonts w:ascii="Calibri" w:hAnsi="Calibri" w:eastAsia="宋体" w:cs="Times New Roman"/>
      <w:b/>
    </w:rPr>
  </w:style>
  <w:style w:type="paragraph" w:customStyle="1" w:styleId="163">
    <w:name w:val="正表头"/>
    <w:basedOn w:val="1"/>
    <w:autoRedefine/>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rPr>
  </w:style>
  <w:style w:type="paragraph" w:customStyle="1" w:styleId="164">
    <w:name w:val="Table Text"/>
    <w:basedOn w:val="1"/>
    <w:semiHidden/>
    <w:qFormat/>
    <w:uiPriority w:val="0"/>
    <w:rPr>
      <w:rFonts w:ascii="宋体" w:hAnsi="宋体" w:eastAsia="宋体" w:cs="宋体"/>
      <w:sz w:val="24"/>
      <w:szCs w:val="24"/>
      <w:lang w:val="en-US" w:eastAsia="en-US" w:bidi="ar-SA"/>
    </w:rPr>
  </w:style>
  <w:style w:type="table" w:customStyle="1" w:styleId="165">
    <w:name w:val="Table Normal"/>
    <w:semiHidden/>
    <w:unhideWhenUsed/>
    <w:qFormat/>
    <w:uiPriority w:val="0"/>
    <w:tblPr>
      <w:tblCellMar>
        <w:top w:w="0" w:type="dxa"/>
        <w:left w:w="0" w:type="dxa"/>
        <w:bottom w:w="0" w:type="dxa"/>
        <w:right w:w="0" w:type="dxa"/>
      </w:tblCellMar>
    </w:tblPr>
  </w:style>
  <w:style w:type="paragraph" w:styleId="166">
    <w:name w:val="No Spacing"/>
    <w:autoRedefine/>
    <w:qFormat/>
    <w:uiPriority w:val="1"/>
    <w:pPr>
      <w:widowControl w:val="0"/>
    </w:pPr>
    <w:rPr>
      <w:rFonts w:ascii="宋体" w:hAnsi="宋体" w:eastAsia="宋体" w:cstheme="minorBidi"/>
      <w:kern w:val="2"/>
      <w:sz w:val="24"/>
      <w:szCs w:val="22"/>
      <w:lang w:val="en-US" w:eastAsia="zh-CN" w:bidi="ar-SA"/>
    </w:rPr>
  </w:style>
  <w:style w:type="paragraph" w:customStyle="1" w:styleId="16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68">
    <w:name w:val="正文缩进2"/>
    <w:basedOn w:val="1"/>
    <w:autoRedefine/>
    <w:qFormat/>
    <w:uiPriority w:val="0"/>
    <w:pPr>
      <w:wordWrap w:val="0"/>
      <w:ind w:firstLine="480"/>
    </w:pPr>
    <w:rPr>
      <w:iCs/>
      <w:shd w:val="clear" w:color="auto" w:fill="FFFFFF" w:themeFill="background1"/>
      <w:lang w:val="zh-CN"/>
    </w:rPr>
  </w:style>
  <w:style w:type="paragraph" w:customStyle="1" w:styleId="16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0">
    <w:name w:val="表格文字"/>
    <w:qFormat/>
    <w:uiPriority w:val="0"/>
    <w:pPr>
      <w:jc w:val="center"/>
    </w:pPr>
    <w:rPr>
      <w:rFonts w:ascii="Times New Roman" w:hAnsi="Times New Roman" w:eastAsia="宋体" w:cstheme="minorBidi"/>
      <w:kern w:val="2"/>
      <w:sz w:val="21"/>
      <w:szCs w:val="21"/>
      <w:lang w:val="en-US" w:eastAsia="zh-CN" w:bidi="ar-SA"/>
    </w:rPr>
  </w:style>
  <w:style w:type="table" w:customStyle="1" w:styleId="171">
    <w:name w:val="表格样式-可研"/>
    <w:basedOn w:val="35"/>
    <w:qFormat/>
    <w:uiPriority w:val="99"/>
    <w:pPr>
      <w:jc w:val="center"/>
    </w:pPr>
    <w:rPr>
      <w:rFonts w:cs="宋体"/>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jc w:val="center"/>
    </w:trPr>
    <w:tcPr>
      <w:vAlign w:val="center"/>
    </w:tcPr>
    <w:tblStylePr w:type="firstRow">
      <w:pPr>
        <w:jc w:val="center"/>
      </w:pPr>
      <w:rPr>
        <w:rFonts w:ascii="黑体" w:hAnsi="黑体" w:eastAsia="黑体"/>
        <w:b w:val="0"/>
        <w:bCs/>
        <w:i w:val="0"/>
        <w:color w:val="auto"/>
        <w:sz w:val="21"/>
      </w:rPr>
      <w:tblPr/>
      <w:trPr>
        <w:tblHeader/>
      </w:tr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xjtc</Company>
  <Pages>118</Pages>
  <Words>5870</Words>
  <Characters>6549</Characters>
  <Lines>0</Lines>
  <Paragraphs>0</Paragraphs>
  <TotalTime>0</TotalTime>
  <ScaleCrop>false</ScaleCrop>
  <LinksUpToDate>false</LinksUpToDate>
  <CharactersWithSpaces>6982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新疆中诺</cp:lastModifiedBy>
  <cp:lastPrinted>2022-08-10T01:09:00Z</cp:lastPrinted>
  <dcterms:modified xsi:type="dcterms:W3CDTF">2026-04-20T03:45:28Z</dcterms:modified>
  <dc:title>第一部份 投标邀请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51A152BCFF83496CBAC6FBB72B29F109_13</vt:lpwstr>
  </property>
  <property fmtid="{D5CDD505-2E9C-101B-9397-08002B2CF9AE}" pid="4" name="KSOTemplateDocerSaveRecord">
    <vt:lpwstr>eyJoZGlkIjoiN2ViYWUzZWIzMDNlM2VjOTAwZDUwMDQzYTRiZDRhMDkiLCJ1c2VySWQiOiI1NzAwMjgzMDcifQ==</vt:lpwstr>
  </property>
</Properties>
</file>