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TC269H0C6</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项目名称: 新疆医科大学第一附属医院</w:t>
      </w:r>
      <w:r>
        <w:rPr>
          <w:rFonts w:hint="eastAsia" w:cs="宋体"/>
          <w:b/>
          <w:bCs/>
          <w:sz w:val="24"/>
          <w:highlight w:val="none"/>
          <w:lang w:eastAsia="zh-CN"/>
        </w:rPr>
        <w:t>造血干细胞抗原CD34检测试剂盒（流式细胞仪法）</w:t>
      </w:r>
      <w:r>
        <w:rPr>
          <w:rFonts w:hint="eastAsia" w:ascii="宋体" w:hAnsi="宋体" w:eastAsia="宋体" w:cs="宋体"/>
          <w:b/>
          <w:bCs/>
          <w:sz w:val="24"/>
          <w:highlight w:val="none"/>
        </w:rPr>
        <w:t>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99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63492811"/>
      <w:bookmarkStart w:id="2" w:name="_Toc155185859"/>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12293"/>
            <w:bookmarkStart w:id="6" w:name="_Toc1899"/>
            <w:bookmarkStart w:id="7" w:name="_Toc27128"/>
            <w:bookmarkStart w:id="8" w:name="_Toc10915"/>
            <w:bookmarkStart w:id="9" w:name="_Toc9180"/>
            <w:bookmarkStart w:id="10" w:name="_Toc27552"/>
            <w:bookmarkStart w:id="11" w:name="_Toc35393798"/>
            <w:bookmarkStart w:id="12" w:name="_Toc35393629"/>
            <w:bookmarkStart w:id="13" w:name="_Toc28359089"/>
            <w:bookmarkStart w:id="14" w:name="_Toc140132745"/>
            <w:bookmarkStart w:id="15" w:name="_Toc155185860"/>
            <w:bookmarkStart w:id="16" w:name="_Toc109899829"/>
            <w:bookmarkStart w:id="17" w:name="_Toc109900248"/>
            <w:bookmarkStart w:id="18" w:name="_Toc44583628"/>
            <w:bookmarkStart w:id="19" w:name="_Toc109899410"/>
            <w:bookmarkStart w:id="20" w:name="_Toc28359012"/>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single"/>
                <w:shd w:val="clear" w:color="auto" w:fill="FFFFFF" w:themeFill="background1"/>
                <w:lang w:val="hr-HR" w:eastAsia="zh-CN" w:bidi="ar-SA"/>
              </w:rPr>
              <w:t>造血干细胞抗原CD34检测试剂盒（流式细胞仪法）</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采购项目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19</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4038"/>
      <w:bookmarkStart w:id="22" w:name="_Toc32125"/>
      <w:bookmarkStart w:id="23" w:name="_Toc21391"/>
      <w:bookmarkStart w:id="24" w:name="_Toc6854"/>
      <w:bookmarkStart w:id="25" w:name="_Toc25986"/>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TC269H0C6</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造血干细胞抗原CD34检测试剂盒（流式细胞仪法）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val="hr-HR"/>
        </w:rPr>
        <w:t>预算</w:t>
      </w:r>
      <w:r>
        <w:rPr>
          <w:rFonts w:hint="eastAsia" w:cs="宋体"/>
          <w:color w:val="auto"/>
          <w:sz w:val="24"/>
          <w:szCs w:val="24"/>
          <w:highlight w:val="none"/>
          <w:shd w:val="clear" w:color="auto" w:fill="auto"/>
          <w:lang w:val="hr-HR"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val="hr-HR"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50000</w:t>
      </w:r>
    </w:p>
    <w:p w14:paraId="2AAD34D4">
      <w:pPr>
        <w:pStyle w:val="40"/>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hr-HR" w:eastAsia="zh-CN"/>
        </w:rPr>
        <w:t>125</w:t>
      </w:r>
      <w:r>
        <w:rPr>
          <w:rFonts w:hint="eastAsia" w:cs="宋体"/>
          <w:color w:val="auto"/>
          <w:sz w:val="24"/>
          <w:szCs w:val="24"/>
          <w:highlight w:val="none"/>
          <w:shd w:val="clear" w:color="auto" w:fill="auto"/>
          <w:lang w:val="en-US" w:eastAsia="zh-CN"/>
        </w:rPr>
        <w:t xml:space="preserve">   </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新疆医科大学第一附属医院</w:t>
      </w:r>
      <w:r>
        <w:rPr>
          <w:rFonts w:hint="eastAsia" w:cstheme="minorBidi"/>
          <w:iCs/>
          <w:color w:val="auto"/>
          <w:kern w:val="2"/>
          <w:sz w:val="24"/>
          <w:szCs w:val="24"/>
          <w:highlight w:val="none"/>
          <w:u w:val="none"/>
          <w:shd w:val="clear" w:color="auto" w:fill="FFFFFF" w:themeFill="background1"/>
          <w:lang w:val="hr-HR" w:eastAsia="zh-CN" w:bidi="ar-SA"/>
        </w:rPr>
        <w:t>造血干细胞抗原CD34检测试剂盒（流式细胞仪法）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采购项目</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50000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w:t>
      </w:r>
      <w:r>
        <w:rPr>
          <w:rFonts w:hint="eastAsia"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采购造血干细胞抗原CD34检测试剂盒（流式细胞仪法），技术参数清单详见采购需求。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color w:val="auto"/>
          <w:sz w:val="24"/>
          <w:highlight w:val="none"/>
          <w:u w:val="single"/>
          <w:shd w:val="clear" w:color="auto" w:fill="auto"/>
          <w:lang w:val="en-US" w:eastAsia="zh-CN"/>
        </w:rPr>
        <w:t>125元/测试</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35393799"/>
      <w:bookmarkStart w:id="28" w:name="_Toc28359013"/>
      <w:bookmarkStart w:id="29" w:name="_Toc44583629"/>
      <w:bookmarkStart w:id="30" w:name="_Toc35393630"/>
      <w:bookmarkStart w:id="31" w:name="_Toc28359090"/>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09899411"/>
      <w:bookmarkStart w:id="33" w:name="_Toc17974"/>
      <w:bookmarkStart w:id="34" w:name="_Toc9660"/>
      <w:bookmarkStart w:id="35" w:name="_Toc109899830"/>
      <w:bookmarkStart w:id="36" w:name="_Toc15695"/>
      <w:bookmarkStart w:id="37" w:name="_Toc14552"/>
      <w:bookmarkStart w:id="38" w:name="_Toc17328"/>
      <w:bookmarkStart w:id="39" w:name="_Toc140132746"/>
      <w:bookmarkStart w:id="40" w:name="_Toc155185861"/>
      <w:bookmarkStart w:id="41" w:name="_Toc109900249"/>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28359014"/>
      <w:bookmarkStart w:id="44" w:name="_Toc28359091"/>
      <w:bookmarkStart w:id="45" w:name="_Toc35393800"/>
      <w:bookmarkStart w:id="46" w:name="_Toc44583630"/>
      <w:bookmarkStart w:id="47"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专门面向中小企业采购，</w:t>
      </w:r>
      <w:r>
        <w:rPr>
          <w:rFonts w:hint="eastAsia" w:cs="宋体"/>
          <w:color w:val="auto"/>
          <w:sz w:val="24"/>
          <w:highlight w:val="none"/>
          <w:lang w:val="en-US" w:eastAsia="zh-CN"/>
        </w:rPr>
        <w:t>供应商如为中小企业，</w:t>
      </w:r>
      <w:r>
        <w:rPr>
          <w:rFonts w:hint="eastAsia" w:ascii="宋体" w:hAnsi="宋体" w:eastAsia="宋体" w:cs="宋体"/>
          <w:color w:val="auto"/>
          <w:sz w:val="24"/>
          <w:highlight w:val="none"/>
          <w:lang w:val="en-US" w:eastAsia="zh-CN"/>
        </w:rPr>
        <w:t>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67F6740A">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（1）所投产品若为进口产品时投标人须提供厂家或中国总代针对本项目所投产品的授权证明文件（如为中国总代出具的授权证明文件，须有总代与厂家关系的文件）。</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2）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(5)投标人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532"/>
      <w:bookmarkStart w:id="49" w:name="_Toc140132747"/>
      <w:bookmarkStart w:id="50" w:name="_Toc109900250"/>
      <w:bookmarkStart w:id="51" w:name="_Toc109899831"/>
      <w:bookmarkStart w:id="52" w:name="_Toc16687"/>
      <w:bookmarkStart w:id="53" w:name="_Toc10741"/>
      <w:bookmarkStart w:id="54" w:name="_Toc24509"/>
      <w:bookmarkStart w:id="55" w:name="_Toc13473"/>
      <w:bookmarkStart w:id="56" w:name="_Toc109899412"/>
      <w:bookmarkStart w:id="57"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35393801"/>
      <w:bookmarkStart w:id="60" w:name="_Hlk130457327"/>
      <w:bookmarkStart w:id="61" w:name="_Toc35393632"/>
      <w:bookmarkStart w:id="62" w:name="_Toc28359015"/>
      <w:bookmarkStart w:id="63" w:name="_Toc28359092"/>
      <w:bookmarkStart w:id="64" w:name="_Hlk130457261"/>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28</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08</w:t>
      </w:r>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55185863"/>
      <w:bookmarkStart w:id="67" w:name="_Toc109899832"/>
      <w:bookmarkStart w:id="68" w:name="_Toc140132748"/>
      <w:bookmarkStart w:id="69" w:name="_Toc109900251"/>
      <w:bookmarkStart w:id="70" w:name="_Toc109899413"/>
      <w:bookmarkStart w:id="71" w:name="_Toc30285"/>
      <w:bookmarkStart w:id="72" w:name="_Toc11313"/>
      <w:bookmarkStart w:id="73" w:name="_Toc25593"/>
      <w:bookmarkStart w:id="74" w:name="_Toc31089"/>
      <w:bookmarkStart w:id="75" w:name="_Toc5152"/>
      <w:bookmarkStart w:id="76" w:name="_Hlk130457395"/>
      <w:bookmarkStart w:id="77" w:name="_Toc44583633"/>
      <w:bookmarkStart w:id="78" w:name="_Toc28359094"/>
      <w:bookmarkStart w:id="79" w:name="_Toc35393803"/>
      <w:bookmarkStart w:id="80" w:name="_Toc35393634"/>
      <w:bookmarkStart w:id="81" w:name="_Toc28359017"/>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109900252"/>
      <w:bookmarkStart w:id="84" w:name="_Toc155185864"/>
      <w:bookmarkStart w:id="85" w:name="_Toc140132749"/>
      <w:bookmarkStart w:id="86" w:name="_Toc22506"/>
      <w:bookmarkStart w:id="87" w:name="_Toc22987"/>
      <w:bookmarkStart w:id="88" w:name="_Toc5825"/>
      <w:bookmarkStart w:id="89" w:name="_Toc27965"/>
      <w:bookmarkStart w:id="90" w:name="_Toc109899833"/>
      <w:bookmarkStart w:id="91" w:name="_Toc109899414"/>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05</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19</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 xml:space="preserve">日 </w:t>
      </w:r>
      <w:r>
        <w:rPr>
          <w:rFonts w:hint="eastAsia" w:ascii="宋体" w:hAnsi="宋体" w:cs="宋体"/>
          <w:b w:val="0"/>
          <w:bCs w:val="0"/>
          <w:iCs/>
          <w:color w:val="auto"/>
          <w:kern w:val="2"/>
          <w:sz w:val="24"/>
          <w:szCs w:val="24"/>
          <w:highlight w:val="none"/>
          <w:shd w:val="clear" w:color="auto" w:fill="FFFFFF" w:themeFill="background1"/>
          <w:lang w:val="en-US" w:eastAsia="zh-CN" w:bidi="ar-SA"/>
        </w:rPr>
        <w:t>10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40132750"/>
      <w:bookmarkStart w:id="96" w:name="_Toc32450"/>
      <w:bookmarkStart w:id="97" w:name="_Toc35393804"/>
      <w:bookmarkStart w:id="98" w:name="_Toc44583634"/>
      <w:bookmarkStart w:id="99" w:name="_Toc155185865"/>
      <w:bookmarkStart w:id="100" w:name="_Toc13171"/>
      <w:bookmarkStart w:id="101" w:name="_Toc35393635"/>
      <w:bookmarkStart w:id="102" w:name="_Toc299"/>
      <w:bookmarkStart w:id="103" w:name="_Toc109899415"/>
      <w:bookmarkStart w:id="104" w:name="_Toc109899834"/>
      <w:bookmarkStart w:id="105" w:name="_Toc19698"/>
      <w:bookmarkStart w:id="106" w:name="_Toc109900253"/>
      <w:bookmarkStart w:id="107" w:name="_Toc10290"/>
      <w:bookmarkStart w:id="108" w:name="_Toc28359096"/>
      <w:bookmarkStart w:id="109" w:name="_Toc35393806"/>
      <w:bookmarkStart w:id="110" w:name="_Toc35393637"/>
      <w:bookmarkStart w:id="111"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109899416"/>
      <w:bookmarkStart w:id="113" w:name="_Toc35393805"/>
      <w:bookmarkStart w:id="114" w:name="_Toc35393636"/>
      <w:bookmarkStart w:id="115" w:name="_Toc155185866"/>
      <w:bookmarkStart w:id="116" w:name="_Toc28359095"/>
      <w:bookmarkStart w:id="117" w:name="_Toc109900254"/>
      <w:bookmarkStart w:id="118" w:name="_Toc28359018"/>
      <w:bookmarkStart w:id="119" w:name="_Toc44583635"/>
      <w:bookmarkStart w:id="120" w:name="_Toc140132751"/>
      <w:bookmarkStart w:id="121" w:name="_Toc109899835"/>
      <w:bookmarkStart w:id="122" w:name="_Toc15605"/>
      <w:bookmarkStart w:id="123" w:name="_Toc21406"/>
      <w:bookmarkStart w:id="124" w:name="_Toc22952"/>
      <w:bookmarkStart w:id="125" w:name="_Toc10776"/>
      <w:bookmarkStart w:id="126" w:name="_Toc17135"/>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63492819"/>
      <w:bookmarkStart w:id="128" w:name="_Toc12151"/>
      <w:bookmarkStart w:id="129" w:name="_Toc155185867"/>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163492820"/>
      <w:bookmarkStart w:id="131" w:name="_Toc155185868"/>
      <w:bookmarkStart w:id="132" w:name="_Toc27886"/>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w:t>
            </w:r>
            <w:r>
              <w:rPr>
                <w:rFonts w:hint="eastAsia" w:cs="宋体"/>
                <w:b/>
                <w:bCs w:val="0"/>
                <w:color w:val="auto"/>
                <w:szCs w:val="28"/>
                <w:highlight w:val="none"/>
                <w:shd w:val="clear" w:color="FFFFFF" w:fill="D9D9D9"/>
                <w:lang w:val="en-US" w:eastAsia="zh-CN"/>
              </w:rPr>
              <w:t>125元/测试</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伍佰元整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时请在汇款时注明“TC269H0C6保证金”，对因未注明项目简称及汇款事由而造成保证金不能及时到账的，后果由投标人自负。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造血干细胞抗原CD34检测试剂盒（流式细胞仪法）</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25167"/>
      <w:bookmarkStart w:id="135" w:name="_Toc163492821"/>
      <w:bookmarkStart w:id="136"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55185870"/>
      <w:bookmarkStart w:id="138" w:name="_Toc163492822"/>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31233"/>
      <w:bookmarkStart w:id="140" w:name="_Toc109900050"/>
      <w:bookmarkStart w:id="141" w:name="_Toc163492823"/>
      <w:bookmarkStart w:id="142" w:name="_Toc109897532"/>
      <w:bookmarkStart w:id="143" w:name="_Toc109899631"/>
      <w:bookmarkStart w:id="144" w:name="_Toc155095689"/>
      <w:bookmarkStart w:id="145" w:name="_Toc109900469"/>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63492825"/>
      <w:bookmarkStart w:id="148" w:name="_Toc140132758"/>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40132760"/>
      <w:bookmarkStart w:id="150" w:name="_Toc163492826"/>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63492828"/>
      <w:bookmarkStart w:id="153" w:name="_Toc140132761"/>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63492829"/>
      <w:bookmarkStart w:id="155" w:name="_Toc140132762"/>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63492830"/>
      <w:bookmarkStart w:id="157" w:name="_Toc140132763"/>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64"/>
      <w:bookmarkStart w:id="159" w:name="_Toc163492831"/>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40132768"/>
      <w:bookmarkStart w:id="166" w:name="_Toc163492835"/>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63492837"/>
      <w:bookmarkStart w:id="170" w:name="_Toc155185872"/>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40132773"/>
      <w:bookmarkStart w:id="176" w:name="_Toc163492840"/>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63492842"/>
      <w:bookmarkStart w:id="181" w:name="_Toc155185873"/>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55185874"/>
      <w:bookmarkStart w:id="193" w:name="_Toc163492847"/>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63492848"/>
      <w:bookmarkStart w:id="195" w:name="_Toc155185875"/>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40132779"/>
      <w:bookmarkStart w:id="197" w:name="_Toc163492849"/>
      <w:bookmarkStart w:id="198" w:name="_Toc155185876"/>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63492850"/>
      <w:bookmarkStart w:id="200" w:name="_Toc14013278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63492853"/>
      <w:bookmarkStart w:id="20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63492854"/>
      <w:bookmarkStart w:id="207" w:name="_Toc155185877"/>
      <w:bookmarkStart w:id="208" w:name="_Toc140132785"/>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40132789"/>
      <w:bookmarkStart w:id="214" w:name="_Toc155185878"/>
      <w:bookmarkStart w:id="215" w:name="_Toc163492856"/>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63492857"/>
      <w:bookmarkStart w:id="217" w:name="_Toc140132790"/>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63492858"/>
      <w:bookmarkStart w:id="219" w:name="_Toc140132791"/>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63492859"/>
      <w:bookmarkStart w:id="221" w:name="_Toc155185879"/>
      <w:bookmarkStart w:id="222" w:name="_Toc140132792"/>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40132793"/>
      <w:bookmarkStart w:id="224" w:name="_Toc163492860"/>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40132795"/>
      <w:bookmarkStart w:id="228" w:name="_Toc163492862"/>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40132797"/>
      <w:bookmarkStart w:id="233" w:name="_Toc163492864"/>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40132798"/>
      <w:bookmarkStart w:id="235" w:name="_Toc163492865"/>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55185881"/>
      <w:bookmarkStart w:id="237" w:name="_Toc140132799"/>
      <w:bookmarkStart w:id="238" w:name="_Toc163492866"/>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40132802"/>
      <w:bookmarkStart w:id="244" w:name="_Toc163492869"/>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40132803"/>
      <w:bookmarkStart w:id="246" w:name="_Toc155185882"/>
      <w:bookmarkStart w:id="247" w:name="_Toc163492870"/>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40132804"/>
      <w:bookmarkStart w:id="249" w:name="_Toc163492871"/>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40132805"/>
      <w:bookmarkStart w:id="251" w:name="_Toc163492872"/>
      <w:bookmarkStart w:id="252" w:name="_Toc155185883"/>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40132806"/>
      <w:bookmarkStart w:id="254" w:name="_Toc163492873"/>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63492875"/>
      <w:bookmarkStart w:id="258" w:name="_Toc140132766"/>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40132810"/>
      <w:bookmarkStart w:id="269" w:name="_Toc163492883"/>
      <w:bookmarkStart w:id="270" w:name="_Toc155185886"/>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63492884"/>
      <w:bookmarkStart w:id="272" w:name="_Toc155185887"/>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55185888"/>
      <w:bookmarkStart w:id="274" w:name="_Toc163492885"/>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55185889"/>
      <w:bookmarkStart w:id="277" w:name="_Toc163492886"/>
      <w:bookmarkStart w:id="278" w:name="_Toc140132812"/>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6A800A1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7" w:type="dxa"/>
            <w:shd w:val="clear" w:color="auto" w:fill="auto"/>
            <w:vAlign w:val="center"/>
          </w:tcPr>
          <w:p w14:paraId="6E90515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造血干细胞抗原CD34检测试剂盒（流式细胞仪法）</w:t>
            </w:r>
          </w:p>
        </w:tc>
        <w:tc>
          <w:tcPr>
            <w:tcW w:w="957" w:type="dxa"/>
            <w:shd w:val="clear" w:color="auto" w:fill="auto"/>
            <w:vAlign w:val="center"/>
          </w:tcPr>
          <w:p w14:paraId="5E8304C4">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接受进口</w:t>
            </w:r>
          </w:p>
        </w:tc>
        <w:tc>
          <w:tcPr>
            <w:tcW w:w="1860" w:type="dxa"/>
            <w:shd w:val="clear" w:color="auto" w:fill="auto"/>
            <w:vAlign w:val="center"/>
          </w:tcPr>
          <w:p w14:paraId="0053A86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50000</w:t>
            </w:r>
          </w:p>
        </w:tc>
        <w:tc>
          <w:tcPr>
            <w:tcW w:w="793" w:type="dxa"/>
            <w:shd w:val="clear" w:color="auto" w:fill="auto"/>
            <w:vAlign w:val="center"/>
          </w:tcPr>
          <w:p w14:paraId="700AE1EF">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测试</w:t>
            </w:r>
          </w:p>
        </w:tc>
        <w:tc>
          <w:tcPr>
            <w:tcW w:w="1142" w:type="dxa"/>
            <w:shd w:val="clear" w:color="auto" w:fill="auto"/>
            <w:vAlign w:val="center"/>
          </w:tcPr>
          <w:p w14:paraId="67C4BAB3">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1"/>
                <w:szCs w:val="21"/>
                <w:highlight w:val="none"/>
                <w:u w:val="none"/>
                <w:shd w:val="clear" w:color="auto" w:fill="auto"/>
                <w:lang w:val="en-US" w:eastAsia="zh-CN" w:bidi="ar"/>
              </w:rPr>
              <w:t>125</w:t>
            </w:r>
          </w:p>
        </w:tc>
      </w:tr>
    </w:tbl>
    <w:p w14:paraId="5790A774">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造血干细胞抗原CD34检测试剂盒（流式细胞仪法）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5B2498A7">
            <w:pPr>
              <w:keepNext w:val="0"/>
              <w:keepLines w:val="0"/>
              <w:widowControl/>
              <w:suppressLineNumbers w:val="0"/>
              <w:jc w:val="left"/>
              <w:textAlignment w:val="center"/>
              <w:rPr>
                <w:rFonts w:hint="eastAsia" w:ascii="宋体" w:hAnsi="宋体" w:eastAsia="宋体" w:cs="宋体"/>
                <w:i w:val="0"/>
                <w:iCs w:val="0"/>
                <w:color w:val="000000" w:themeColor="text1"/>
                <w:kern w:val="0"/>
                <w:sz w:val="32"/>
                <w:szCs w:val="32"/>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1、主要技术参数：该产品用于脐带血样本的活性双阳性CD45+/CD34+造血干细胞群进行绝对计数（细胞/ul）及CD34+相对计数（%CD34+）。</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2.检测指标包含CD45检测试剂（FITC），CD34检测试剂(PE)，7-氨基放线菌素D（7-AAD），绝对计数管，冻干荧光微球。</w:t>
            </w:r>
          </w:p>
        </w:tc>
      </w:tr>
    </w:tbl>
    <w:p w14:paraId="60F6F559">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3492892"/>
      <w:bookmarkStart w:id="280" w:name="_Toc155185895"/>
      <w:bookmarkStart w:id="281" w:name="_Toc16812"/>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4412"/>
      <w:bookmarkStart w:id="283" w:name="_Toc7549"/>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32303"/>
      <w:bookmarkStart w:id="285" w:name="_Toc5211"/>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67"/>
        <w:gridCol w:w="1787"/>
        <w:gridCol w:w="4062"/>
        <w:gridCol w:w="1163"/>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434"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63"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644"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757"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34"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163"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644"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757"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66" w:hRule="atLeast"/>
          <w:jc w:val="center"/>
        </w:trPr>
        <w:tc>
          <w:tcPr>
            <w:tcW w:w="434"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163"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644"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757"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163"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644"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757"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163"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644"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757"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163"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644"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757"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34"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163"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644"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757"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34"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163"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644"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757"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34"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163"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644"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757"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34"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163"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644"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757"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56" w:hRule="atLeast"/>
          <w:jc w:val="center"/>
        </w:trPr>
        <w:tc>
          <w:tcPr>
            <w:tcW w:w="434"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163"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644"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757"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434"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163"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644"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757"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4291"/>
      <w:bookmarkStart w:id="290" w:name="_Toc163492900"/>
      <w:bookmarkStart w:id="291" w:name="_Toc109899903"/>
      <w:bookmarkStart w:id="292" w:name="_Toc61280402"/>
      <w:bookmarkStart w:id="293" w:name="_Toc272247709"/>
      <w:bookmarkStart w:id="294" w:name="_Toc109900322"/>
      <w:bookmarkStart w:id="295" w:name="_Toc109899484"/>
      <w:bookmarkStart w:id="296" w:name="_Toc140132826"/>
      <w:bookmarkStart w:id="297" w:name="_Toc494561962"/>
      <w:bookmarkStart w:id="298" w:name="_Toc511894518"/>
      <w:bookmarkStart w:id="299" w:name="_Toc155185905"/>
      <w:bookmarkStart w:id="300" w:name="_Toc27889160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056244"/>
      <w:bookmarkStart w:id="303" w:name="_Toc102116048"/>
      <w:bookmarkStart w:id="304" w:name="_Toc102116178"/>
      <w:bookmarkStart w:id="305" w:name="_Toc102057744"/>
      <w:bookmarkStart w:id="306" w:name="_Toc155185907"/>
      <w:bookmarkStart w:id="307" w:name="_Toc102119879"/>
      <w:bookmarkStart w:id="308" w:name="_Toc102114946"/>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116021"/>
      <w:bookmarkStart w:id="311" w:name="_Toc155185913"/>
      <w:bookmarkStart w:id="312" w:name="_Toc102119852"/>
      <w:bookmarkStart w:id="313" w:name="_Toc102056217"/>
      <w:bookmarkStart w:id="314" w:name="_Toc102114919"/>
      <w:bookmarkStart w:id="315" w:name="_Toc102057717"/>
      <w:bookmarkStart w:id="316" w:name="_Toc102116151"/>
      <w:bookmarkStart w:id="317" w:name="_Toc163492906"/>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55185914"/>
      <w:bookmarkStart w:id="319" w:name="_Toc102119853"/>
      <w:bookmarkStart w:id="320" w:name="_Toc102057718"/>
      <w:bookmarkStart w:id="321" w:name="_Toc102114920"/>
      <w:bookmarkStart w:id="322" w:name="_Toc102056218"/>
      <w:bookmarkStart w:id="323" w:name="_Toc102116152"/>
      <w:bookmarkStart w:id="324" w:name="_Toc102116022"/>
      <w:bookmarkStart w:id="325" w:name="_Toc16349290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6716"/>
      <w:bookmarkStart w:id="329" w:name="_Toc163492908"/>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48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383"/>
        <w:gridCol w:w="5041"/>
        <w:gridCol w:w="590"/>
        <w:gridCol w:w="806"/>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56"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9"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256"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9"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8"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6"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9"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8"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256"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9"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8"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6"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9"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8"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256"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9"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8"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9"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6"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9"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8"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6"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9"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8"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256"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9"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8"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256"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9"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8"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256"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9"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8"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56"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9"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8"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56"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9"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8"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56"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9"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8"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9"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110"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110"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2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110" w:type="dxa"/>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2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110" w:type="dxa"/>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22" w:type="dxa"/>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110"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22" w:type="dxa"/>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4110" w:type="dxa"/>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55185917"/>
      <w:bookmarkStart w:id="332" w:name="_Toc16349291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76"/>
        <w:gridCol w:w="1001"/>
        <w:gridCol w:w="6060"/>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50</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个产品的技术参数，每</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扣20分</w:t>
            </w:r>
            <w:r>
              <w:rPr>
                <w:rFonts w:hint="eastAsia"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w:t>
            </w:r>
            <w:r>
              <w:rPr>
                <w:rFonts w:hint="eastAsia" w:ascii="宋体" w:hAnsi="宋体" w:eastAsia="宋体" w:cs="宋体"/>
                <w:color w:val="auto"/>
                <w:sz w:val="20"/>
                <w:szCs w:val="20"/>
                <w:highlight w:val="none"/>
                <w:shd w:val="clear" w:color="FFFFFF" w:fill="D9D9D9"/>
              </w:rPr>
              <w:t>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2E2976F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0.25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20</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4A4D6BC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bookmarkStart w:id="453" w:name="_GoBack"/>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每提供1份</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val="en-US" w:eastAsia="zh-CN"/>
              </w:rPr>
              <w:t>提供</w:t>
            </w:r>
            <w:r>
              <w:rPr>
                <w:rFonts w:hint="eastAsia" w:cs="宋体"/>
                <w:color w:val="auto"/>
                <w:sz w:val="20"/>
                <w:szCs w:val="20"/>
                <w:highlight w:val="none"/>
                <w:shd w:val="clear" w:color="auto" w:fill="auto"/>
                <w:lang w:val="en-US" w:eastAsia="zh-CN"/>
              </w:rPr>
              <w:t>2-3份</w:t>
            </w:r>
            <w:r>
              <w:rPr>
                <w:rFonts w:hint="eastAsia" w:ascii="宋体" w:hAnsi="宋体" w:eastAsia="宋体" w:cs="宋体"/>
                <w:color w:val="auto"/>
                <w:sz w:val="20"/>
                <w:szCs w:val="20"/>
                <w:highlight w:val="none"/>
                <w:shd w:val="clear" w:color="auto" w:fill="auto"/>
                <w:lang w:val="en-US" w:eastAsia="zh-CN"/>
              </w:rPr>
              <w:t>得2分，提供</w:t>
            </w:r>
            <w:r>
              <w:rPr>
                <w:rFonts w:hint="eastAsia" w:cs="宋体"/>
                <w:color w:val="auto"/>
                <w:sz w:val="20"/>
                <w:szCs w:val="20"/>
                <w:highlight w:val="none"/>
                <w:shd w:val="clear" w:color="auto" w:fill="auto"/>
                <w:lang w:val="en-US" w:eastAsia="zh-CN"/>
              </w:rPr>
              <w:t>3份</w:t>
            </w:r>
            <w:r>
              <w:rPr>
                <w:rFonts w:hint="eastAsia" w:ascii="宋体" w:hAnsi="宋体" w:eastAsia="宋体" w:cs="宋体"/>
                <w:color w:val="auto"/>
                <w:sz w:val="20"/>
                <w:szCs w:val="20"/>
                <w:highlight w:val="none"/>
                <w:shd w:val="clear" w:color="auto" w:fill="auto"/>
                <w:lang w:val="en-US" w:eastAsia="zh-CN"/>
              </w:rPr>
              <w:t>以上，</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33E1033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bookmarkEnd w:id="453"/>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仅有培训方案，但内容缺失、方案存在缺陷或不合理，得0.5分，未提供不得分。</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5</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1.供应商具有专职维护人员，保证产品的日常维护及故障排除(1分)附专业人员认证资格证书等相应证明材料，否则不得分；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473"/>
      <w:bookmarkStart w:id="335" w:name="_Toc163492912"/>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55185927"/>
      <w:bookmarkStart w:id="345" w:name="_Toc163492921"/>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63492922"/>
      <w:bookmarkStart w:id="347" w:name="_Toc155185928"/>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28292"/>
      <w:bookmarkStart w:id="349" w:name="_Toc11370"/>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7342"/>
      <w:bookmarkStart w:id="351" w:name="_Toc194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7641"/>
      <w:bookmarkStart w:id="35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27833"/>
      <w:bookmarkStart w:id="361" w:name="_Toc17246"/>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62299566"/>
      <w:bookmarkStart w:id="364" w:name="_Toc16891"/>
      <w:bookmarkStart w:id="365" w:name="_Toc156490356"/>
      <w:bookmarkStart w:id="366" w:name="_Toc163492925"/>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1771"/>
      <w:bookmarkStart w:id="368" w:name="_Toc2261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29506"/>
      <w:bookmarkStart w:id="371" w:name="_Toc22084"/>
      <w:bookmarkStart w:id="372" w:name="_Toc23351"/>
      <w:bookmarkStart w:id="373" w:name="_Toc7782"/>
      <w:bookmarkStart w:id="374" w:name="_Toc8522"/>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1007"/>
      <w:bookmarkStart w:id="382" w:name="_Toc29676"/>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2348DC4D">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cs="宋体"/>
          <w:b/>
          <w:bCs/>
          <w:color w:val="auto"/>
          <w:sz w:val="24"/>
          <w:highlight w:val="none"/>
          <w:shd w:val="clear" w:color="auto" w:fill="auto"/>
          <w:lang w:val="en-US" w:eastAsia="zh-CN"/>
        </w:rPr>
        <w:t>所投产品若为进口产品时投标人须提供厂家或中国总代针对本项目所投产品的授权证明文件（如为中国总代出具的授权证明文件，须有总代与厂家关系的文件）。</w:t>
      </w:r>
    </w:p>
    <w:p w14:paraId="4CA36A45">
      <w:pPr>
        <w:pStyle w:val="3"/>
        <w:shd w:val="clear"/>
        <w:bidi w:val="0"/>
        <w:jc w:val="left"/>
        <w:rPr>
          <w:rFonts w:hint="eastAsia"/>
          <w:sz w:val="24"/>
          <w:szCs w:val="24"/>
          <w:highlight w:val="none"/>
          <w:shd w:val="clear" w:color="auto" w:fill="auto"/>
          <w:lang w:val="en-US" w:eastAsia="zh-CN"/>
        </w:rPr>
      </w:pPr>
      <w:r>
        <w:rPr>
          <w:rFonts w:hint="eastAsia"/>
          <w:sz w:val="24"/>
          <w:szCs w:val="24"/>
          <w:highlight w:val="none"/>
          <w:shd w:val="clear" w:color="auto" w:fill="auto"/>
          <w:lang w:val="en-US" w:eastAsia="zh-CN"/>
        </w:rPr>
        <w:t>5.2属于医疗器械管理的产品需根据国家现行有效的《医疗器械监督管理条例》及相关法律法规规定办理医疗器械产品注册或备案。</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63492915"/>
      <w:bookmarkStart w:id="401" w:name="_Toc14917"/>
      <w:bookmarkStart w:id="402" w:name="_Toc25402"/>
      <w:bookmarkStart w:id="403" w:name="_Toc140132831"/>
      <w:bookmarkStart w:id="404" w:name="_Toc3577"/>
      <w:bookmarkStart w:id="405" w:name="_Toc109900327"/>
      <w:bookmarkStart w:id="406" w:name="_Toc109899908"/>
      <w:bookmarkStart w:id="407" w:name="_Toc155185921"/>
      <w:bookmarkStart w:id="408" w:name="_Toc109899489"/>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55185924"/>
      <w:bookmarkStart w:id="411" w:name="_Toc16989"/>
      <w:bookmarkStart w:id="412" w:name="_Toc1634929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55185925"/>
      <w:bookmarkStart w:id="414" w:name="_Toc163492919"/>
      <w:bookmarkStart w:id="415" w:name="_Toc1866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32374"/>
      <w:bookmarkStart w:id="423" w:name="_Toc16349293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163492931"/>
      <w:bookmarkStart w:id="426" w:name="_Toc27603"/>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100090785"/>
            <w:bookmarkStart w:id="430" w:name="_Toc99533293"/>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99533294"/>
            <w:bookmarkStart w:id="432" w:name="_Toc100090786"/>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99533295"/>
            <w:bookmarkStart w:id="434" w:name="_Toc100090787"/>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99533296"/>
            <w:bookmarkStart w:id="436" w:name="_Toc100090788"/>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100090790"/>
            <w:bookmarkStart w:id="440" w:name="_Toc99533298"/>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99533299"/>
            <w:bookmarkStart w:id="442" w:name="_Toc100090791"/>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99533300"/>
            <w:bookmarkStart w:id="444" w:name="_Toc100090792"/>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99533301"/>
            <w:bookmarkStart w:id="446" w:name="_Toc100090793"/>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30796"/>
      <w:bookmarkStart w:id="448" w:name="_Toc16349293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30176"/>
      <w:bookmarkStart w:id="450" w:name="_Toc16349293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7"/>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7"/>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3E50002-08E2-4FE8-9796-8B7F51F1069F}"/>
  </w:font>
  <w:font w:name="Arial">
    <w:panose1 w:val="020B0604020202020204"/>
    <w:charset w:val="01"/>
    <w:family w:val="swiss"/>
    <w:pitch w:val="default"/>
    <w:sig w:usb0="E0002EFF" w:usb1="C000785B" w:usb2="00000009" w:usb3="00000000" w:csb0="400001FF" w:csb1="FFFF0000"/>
    <w:embedRegular r:id="rId2" w:fontKey="{2E99EDD3-66FE-45E4-8024-F95B4E99232F}"/>
  </w:font>
  <w:font w:name="黑体">
    <w:panose1 w:val="02010609060101010101"/>
    <w:charset w:val="86"/>
    <w:family w:val="auto"/>
    <w:pitch w:val="default"/>
    <w:sig w:usb0="800002BF" w:usb1="38CF7CFA" w:usb2="00000016" w:usb3="00000000" w:csb0="00040001" w:csb1="00000000"/>
    <w:embedRegular r:id="rId3" w:fontKey="{DBA9A92A-8AB1-40AA-AB8B-B4F084342E72}"/>
  </w:font>
  <w:font w:name="Courier New">
    <w:panose1 w:val="02070309020205020404"/>
    <w:charset w:val="01"/>
    <w:family w:val="modern"/>
    <w:pitch w:val="default"/>
    <w:sig w:usb0="E0002EFF" w:usb1="C0007843" w:usb2="00000009" w:usb3="00000000" w:csb0="400001FF" w:csb1="FFFF0000"/>
    <w:embedRegular r:id="rId4" w:fontKey="{90389A8F-3930-4C14-96A9-05A13934751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51A6A6B9-4A26-418D-8F83-928102B934F2}"/>
  </w:font>
  <w:font w:name="仿宋">
    <w:panose1 w:val="02010609060101010101"/>
    <w:charset w:val="86"/>
    <w:family w:val="auto"/>
    <w:pitch w:val="default"/>
    <w:sig w:usb0="800002BF" w:usb1="38CF7CFA" w:usb2="00000016" w:usb3="00000000" w:csb0="00040001" w:csb1="00000000"/>
    <w:embedRegular r:id="rId6" w:fontKey="{A67DF64D-FA5E-4B20-B1FF-6AF463A5BD84}"/>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381E1982-C2BB-4323-B409-F8DBA19678F6}"/>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8" w:fontKey="{163F11E7-55F6-4C88-8DB8-1CA7D7F03EA6}"/>
  </w:font>
  <w:font w:name="方正仿宋_GBK">
    <w:panose1 w:val="02000000000000000000"/>
    <w:charset w:val="86"/>
    <w:family w:val="script"/>
    <w:pitch w:val="default"/>
    <w:sig w:usb0="A00002BF" w:usb1="38CF7CFA" w:usb2="00082016" w:usb3="00000000" w:csb0="00040001" w:csb1="00000000"/>
    <w:embedRegular r:id="rId9" w:fontKey="{B940812C-5A6F-49A1-80B6-6AECB8890440}"/>
  </w:font>
  <w:font w:name="FZShuSong-Z01">
    <w:altName w:val="Segoe Print"/>
    <w:panose1 w:val="00000000000000000000"/>
    <w:charset w:val="00"/>
    <w:family w:val="auto"/>
    <w:pitch w:val="default"/>
    <w:sig w:usb0="00000000" w:usb1="00000000" w:usb2="00000000" w:usb3="00000000" w:csb0="00000000" w:csb1="00000000"/>
    <w:embedRegular r:id="rId10" w:fontKey="{A41A38BD-C34A-4992-8AC8-A08DBB138D48}"/>
  </w:font>
  <w:font w:name="方正黑体简体">
    <w:altName w:val="微软雅黑"/>
    <w:panose1 w:val="03000509000000000000"/>
    <w:charset w:val="86"/>
    <w:family w:val="script"/>
    <w:pitch w:val="default"/>
    <w:sig w:usb0="00000000" w:usb1="00000000" w:usb2="00000000" w:usb3="00000000" w:csb0="00040000" w:csb1="00000000"/>
    <w:embedRegular r:id="rId11" w:fontKey="{09530E64-6A5D-46D0-B5AE-5DBF33032B4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12" w:fontKey="{2D1094CD-3E54-4158-BD6F-47A90468BAE2}"/>
  </w:font>
  <w:font w:name="方正小标宋_GBK">
    <w:panose1 w:val="02000000000000000000"/>
    <w:charset w:val="86"/>
    <w:family w:val="auto"/>
    <w:pitch w:val="default"/>
    <w:sig w:usb0="A00002BF" w:usb1="38CF7CFA" w:usb2="00082016" w:usb3="00000000" w:csb0="00040001" w:csb1="00000000"/>
    <w:embedRegular r:id="rId13" w:fontKey="{101A9F4C-243E-4B0A-90A5-21776A46A3F7}"/>
  </w:font>
  <w:font w:name="方正小标宋简体">
    <w:panose1 w:val="03000509000000000000"/>
    <w:charset w:val="86"/>
    <w:family w:val="script"/>
    <w:pitch w:val="default"/>
    <w:sig w:usb0="00000001" w:usb1="080E0000" w:usb2="00000000" w:usb3="00000000" w:csb0="00040000" w:csb1="00000000"/>
    <w:embedRegular r:id="rId14" w:fontKey="{9B660FE2-B5FE-4CE7-9354-939351F1BECA}"/>
  </w:font>
  <w:font w:name="DejaVuSans">
    <w:altName w:val="Segoe Print"/>
    <w:panose1 w:val="00000000000000000000"/>
    <w:charset w:val="00"/>
    <w:family w:val="auto"/>
    <w:pitch w:val="default"/>
    <w:sig w:usb0="00000000" w:usb1="00000000" w:usb2="00000000" w:usb3="00000000" w:csb0="00000000" w:csb1="00000000"/>
    <w:embedRegular r:id="rId15" w:fontKey="{10DD39C4-952F-44D3-81D9-ADEF38FC7A8C}"/>
  </w:font>
  <w:font w:name="WPSEMBED13">
    <w:panose1 w:val="02000000000000000000"/>
    <w:charset w:val="86"/>
    <w:family w:val="auto"/>
    <w:pitch w:val="default"/>
    <w:sig w:usb0="A00002BF" w:usb1="184F6CFA" w:usb2="00000012" w:usb3="00000000" w:csb0="00040001" w:csb1="00000000"/>
  </w:font>
  <w:font w:name="WPSEMBED14">
    <w:panose1 w:val="02000000000000000000"/>
    <w:charset w:val="86"/>
    <w:family w:val="auto"/>
    <w:pitch w:val="default"/>
    <w:sig w:usb0="A00002BF" w:usb1="38CF7CFA" w:usb2="00082016" w:usb3="00000000" w:csb0="00040001" w:csb1="00000000"/>
  </w:font>
  <w:font w:name="WPSEMBED1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ascii="宋体" w:hAnsi="宋体" w:eastAsia="宋体" w:cs="宋体"/>
        <w:sz w:val="18"/>
        <w:szCs w:val="18"/>
        <w:lang w:val="en-US" w:eastAsia="zh-CN"/>
      </w:rPr>
      <w:t>新疆医科大学第一附属医院</w:t>
    </w:r>
    <w:r>
      <w:rPr>
        <w:rFonts w:hint="eastAsia" w:cs="宋体"/>
        <w:sz w:val="18"/>
        <w:szCs w:val="18"/>
        <w:lang w:val="en-US" w:eastAsia="zh-CN"/>
      </w:rPr>
      <w:t>造血干细胞抗原CD34检测试剂盒（流式细胞仪法）</w:t>
    </w:r>
    <w:r>
      <w:rPr>
        <w:rFonts w:hint="eastAsia" w:ascii="宋体" w:hAnsi="宋体" w:eastAsia="宋体" w:cs="宋体"/>
        <w:sz w:val="18"/>
        <w:szCs w:val="18"/>
        <w:lang w:val="en-US" w:eastAsia="zh-CN"/>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3A6B"/>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AD010A"/>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834C2D"/>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17DA9"/>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03C7B"/>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36670"/>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473A9D"/>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977FEF"/>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28841</Words>
  <Characters>31058</Characters>
  <Lines>328</Lines>
  <Paragraphs>92</Paragraphs>
  <TotalTime>21</TotalTime>
  <ScaleCrop>false</ScaleCrop>
  <LinksUpToDate>false</LinksUpToDate>
  <CharactersWithSpaces>31926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2024-12-28T09:33:00Z</cp:lastPrinted>
  <dcterms:modified xsi:type="dcterms:W3CDTF">2026-04-28T08:52:42Z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eyJoZGlkIjoiYjJhYTk3MmE5OTcwNDkyMGZkYzkzMmZmZTA5MDE3YjkiLCJ1c2VySWQiOiIyMDMxNjIxNzkifQ==</vt:lpwstr>
  </property>
</Properties>
</file>