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5B58A3">
      <w:pPr>
        <w:jc w:val="center"/>
        <w:rPr>
          <w:rFonts w:ascii="宋体" w:hAnsi="宋体" w:cs="宋体"/>
          <w:b/>
          <w:color w:val="auto"/>
          <w:spacing w:val="20"/>
          <w:sz w:val="72"/>
          <w:szCs w:val="72"/>
          <w:highlight w:val="none"/>
        </w:rPr>
      </w:pPr>
    </w:p>
    <w:p w14:paraId="5045DF3A">
      <w:pPr>
        <w:jc w:val="center"/>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t>江 阴 市 政 府 采 购</w:t>
      </w:r>
    </w:p>
    <w:p w14:paraId="566CB532">
      <w:pPr>
        <w:rPr>
          <w:rFonts w:hint="eastAsia" w:ascii="宋体" w:hAnsi="宋体" w:cs="宋体"/>
          <w:bCs/>
          <w:color w:val="auto"/>
          <w:sz w:val="72"/>
          <w:szCs w:val="72"/>
          <w:highlight w:val="none"/>
        </w:rPr>
      </w:pPr>
    </w:p>
    <w:p w14:paraId="4F54998F">
      <w:pPr>
        <w:jc w:val="center"/>
        <w:rPr>
          <w:rFonts w:hint="eastAsia"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 xml:space="preserve">  </w:t>
      </w:r>
    </w:p>
    <w:p w14:paraId="44F18F33">
      <w:pPr>
        <w:jc w:val="center"/>
        <w:rPr>
          <w:rFonts w:hint="eastAsia" w:ascii="宋体" w:hAnsi="宋体" w:cs="宋体"/>
          <w:b/>
          <w:bCs/>
          <w:color w:val="auto"/>
          <w:sz w:val="72"/>
          <w:szCs w:val="72"/>
          <w:highlight w:val="none"/>
        </w:rPr>
      </w:pPr>
      <w:r>
        <w:rPr>
          <w:rFonts w:hint="eastAsia" w:ascii="宋体" w:hAnsi="宋体" w:cs="宋体"/>
          <w:bCs/>
          <w:color w:val="auto"/>
          <w:spacing w:val="20"/>
          <w:sz w:val="72"/>
          <w:szCs w:val="72"/>
          <w:highlight w:val="none"/>
        </w:rPr>
        <w:t xml:space="preserve"> </w:t>
      </w:r>
      <w:r>
        <w:rPr>
          <w:rFonts w:hint="eastAsia" w:ascii="宋体" w:hAnsi="宋体" w:cs="宋体"/>
          <w:b/>
          <w:bCs/>
          <w:color w:val="auto"/>
          <w:sz w:val="72"/>
          <w:szCs w:val="72"/>
          <w:highlight w:val="none"/>
        </w:rPr>
        <w:t>公 开 采 购</w:t>
      </w:r>
    </w:p>
    <w:p w14:paraId="080C3EF3">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ed="f"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CtNrfTVAAAACQEAAA8AAAAAAAAAAQAgAAAAIgAAAGRycy9kb3du&#10;cmV2LnhtbFBLAQIUABQAAAAIAIdO4kCvWvE/yQEAAIMDAAAOAAAAAAAAAAEAIAAAACQBAABkcnMv&#10;ZTJvRG9jLnhtbFBLBQYAAAAABgAGAFkBAABfBQAAAAA=&#10;">
                <v:fill on="f" focussize="0,0"/>
                <v:stroke color="#000000" joinstyle="round"/>
                <v:imagedata o:title=""/>
                <o:lock v:ext="edit" aspectratio="f"/>
              </v:line>
            </w:pict>
          </mc:Fallback>
        </mc:AlternateContent>
      </w:r>
      <w:r>
        <w:rPr>
          <w:rFonts w:hint="eastAsia" w:ascii="宋体" w:hAnsi="宋体" w:cs="宋体"/>
          <w:b/>
          <w:bCs/>
          <w:color w:val="auto"/>
          <w:sz w:val="72"/>
          <w:szCs w:val="72"/>
          <w:highlight w:val="none"/>
        </w:rPr>
        <w:t xml:space="preserve"> 采 购 文 件</w:t>
      </w:r>
    </w:p>
    <w:p w14:paraId="6BD388D1">
      <w:pPr>
        <w:jc w:val="center"/>
        <w:rPr>
          <w:rFonts w:hint="eastAsia" w:ascii="宋体" w:hAnsi="宋体" w:cs="宋体"/>
          <w:bCs/>
          <w:color w:val="auto"/>
          <w:sz w:val="30"/>
          <w:highlight w:val="none"/>
        </w:rPr>
      </w:pPr>
    </w:p>
    <w:p w14:paraId="0A5880B1">
      <w:pPr>
        <w:tabs>
          <w:tab w:val="left" w:pos="9921"/>
        </w:tabs>
        <w:rPr>
          <w:rFonts w:hint="eastAsia" w:ascii="宋体" w:hAnsi="宋体" w:cs="宋体"/>
          <w:bCs/>
          <w:color w:val="auto"/>
          <w:sz w:val="30"/>
          <w:highlight w:val="none"/>
        </w:rPr>
      </w:pPr>
    </w:p>
    <w:p w14:paraId="1B9D53A9">
      <w:pPr>
        <w:tabs>
          <w:tab w:val="left" w:pos="9921"/>
        </w:tabs>
        <w:rPr>
          <w:rFonts w:hint="eastAsia" w:ascii="宋体" w:hAnsi="宋体" w:cs="宋体"/>
          <w:bCs/>
          <w:color w:val="auto"/>
          <w:sz w:val="30"/>
          <w:highlight w:val="none"/>
        </w:rPr>
      </w:pPr>
    </w:p>
    <w:p w14:paraId="6C80738C">
      <w:pPr>
        <w:tabs>
          <w:tab w:val="left" w:pos="9921"/>
        </w:tabs>
        <w:rPr>
          <w:rFonts w:hint="eastAsia" w:ascii="宋体" w:hAnsi="宋体" w:cs="宋体"/>
          <w:bCs/>
          <w:color w:val="auto"/>
          <w:sz w:val="30"/>
          <w:highlight w:val="none"/>
        </w:rPr>
      </w:pPr>
    </w:p>
    <w:p w14:paraId="697B1D94">
      <w:pPr>
        <w:tabs>
          <w:tab w:val="left" w:pos="9921"/>
        </w:tabs>
        <w:rPr>
          <w:rFonts w:hint="eastAsia" w:ascii="宋体" w:hAnsi="宋体" w:cs="宋体"/>
          <w:bCs/>
          <w:color w:val="auto"/>
          <w:sz w:val="30"/>
          <w:highlight w:val="none"/>
        </w:rPr>
      </w:pPr>
    </w:p>
    <w:p w14:paraId="40C43486">
      <w:pPr>
        <w:jc w:val="left"/>
        <w:rPr>
          <w:rFonts w:hint="eastAsia" w:ascii="宋体" w:hAnsi="宋体" w:cs="宋体"/>
          <w:bCs/>
          <w:color w:val="auto"/>
          <w:sz w:val="30"/>
          <w:highlight w:val="none"/>
        </w:rPr>
      </w:pPr>
    </w:p>
    <w:p w14:paraId="67BB6C28">
      <w:pPr>
        <w:ind w:firstLine="600"/>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采购编号：</w:t>
      </w:r>
      <w:r>
        <w:rPr>
          <w:rFonts w:hint="eastAsia" w:ascii="宋体" w:hAnsi="宋体" w:cs="宋体"/>
          <w:bCs/>
          <w:color w:val="auto"/>
          <w:sz w:val="30"/>
          <w:szCs w:val="30"/>
          <w:highlight w:val="none"/>
          <w:lang w:eastAsia="zh-CN"/>
        </w:rPr>
        <w:t>JSZC-320281-HAZJ-G2026-0008</w:t>
      </w:r>
    </w:p>
    <w:p w14:paraId="41CB5BAA">
      <w:pPr>
        <w:ind w:firstLine="600"/>
        <w:jc w:val="left"/>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采购项目名称：</w:t>
      </w:r>
      <w:r>
        <w:rPr>
          <w:rFonts w:hint="eastAsia" w:ascii="宋体" w:hAnsi="宋体" w:cs="宋体"/>
          <w:bCs/>
          <w:color w:val="auto"/>
          <w:sz w:val="30"/>
          <w:szCs w:val="30"/>
          <w:highlight w:val="none"/>
          <w:lang w:eastAsia="zh-CN"/>
        </w:rPr>
        <w:t>江阴临港化工园区限值限量在线大气监测设备更换（二期）</w:t>
      </w:r>
    </w:p>
    <w:p w14:paraId="758EFCAE">
      <w:pPr>
        <w:ind w:firstLine="600"/>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采购单位：</w:t>
      </w:r>
      <w:r>
        <w:rPr>
          <w:rFonts w:hint="eastAsia" w:ascii="宋体" w:hAnsi="宋体" w:cs="宋体"/>
          <w:bCs/>
          <w:color w:val="auto"/>
          <w:sz w:val="30"/>
          <w:szCs w:val="30"/>
          <w:highlight w:val="none"/>
          <w:lang w:eastAsia="zh-CN"/>
        </w:rPr>
        <w:t>江阴临港化工园区管理办公室</w:t>
      </w:r>
    </w:p>
    <w:p w14:paraId="1429F3C1">
      <w:pPr>
        <w:ind w:firstLine="600"/>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代理机构：</w:t>
      </w:r>
      <w:r>
        <w:rPr>
          <w:rFonts w:hint="eastAsia" w:ascii="宋体" w:hAnsi="宋体" w:cs="宋体"/>
          <w:bCs/>
          <w:color w:val="auto"/>
          <w:sz w:val="30"/>
          <w:szCs w:val="30"/>
          <w:highlight w:val="none"/>
          <w:lang w:eastAsia="zh-CN"/>
        </w:rPr>
        <w:t>正军项目管理集团有限公司</w:t>
      </w:r>
    </w:p>
    <w:p w14:paraId="40933EA6">
      <w:pPr>
        <w:rPr>
          <w:rFonts w:hint="eastAsia" w:ascii="宋体" w:hAnsi="宋体" w:cs="宋体"/>
          <w:bCs/>
          <w:color w:val="auto"/>
          <w:sz w:val="44"/>
          <w:szCs w:val="44"/>
          <w:highlight w:val="none"/>
        </w:rPr>
      </w:pPr>
    </w:p>
    <w:p w14:paraId="5423425C">
      <w:pPr>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二○二</w:t>
      </w:r>
      <w:r>
        <w:rPr>
          <w:rFonts w:hint="eastAsia" w:ascii="宋体" w:hAnsi="宋体" w:cs="宋体"/>
          <w:bCs/>
          <w:color w:val="auto"/>
          <w:sz w:val="44"/>
          <w:szCs w:val="44"/>
          <w:highlight w:val="none"/>
          <w:lang w:val="en-US" w:eastAsia="zh-CN"/>
        </w:rPr>
        <w:t>六</w:t>
      </w:r>
      <w:r>
        <w:rPr>
          <w:rFonts w:hint="eastAsia" w:ascii="宋体" w:hAnsi="宋体" w:cs="宋体"/>
          <w:bCs/>
          <w:color w:val="auto"/>
          <w:sz w:val="44"/>
          <w:szCs w:val="44"/>
          <w:highlight w:val="none"/>
        </w:rPr>
        <w:t>年</w:t>
      </w:r>
      <w:r>
        <w:rPr>
          <w:rFonts w:hint="eastAsia" w:ascii="宋体" w:hAnsi="宋体" w:cs="宋体"/>
          <w:bCs/>
          <w:color w:val="auto"/>
          <w:sz w:val="44"/>
          <w:szCs w:val="44"/>
          <w:highlight w:val="none"/>
          <w:lang w:val="en-US" w:eastAsia="zh-CN"/>
        </w:rPr>
        <w:t>四</w:t>
      </w:r>
      <w:r>
        <w:rPr>
          <w:rFonts w:hint="eastAsia" w:ascii="宋体" w:hAnsi="宋体" w:cs="宋体"/>
          <w:bCs/>
          <w:color w:val="auto"/>
          <w:sz w:val="44"/>
          <w:szCs w:val="44"/>
          <w:highlight w:val="none"/>
        </w:rPr>
        <w:t>月</w:t>
      </w:r>
    </w:p>
    <w:p w14:paraId="0131695A">
      <w:pPr>
        <w:rPr>
          <w:rStyle w:val="238"/>
          <w:rFonts w:hint="eastAsia" w:ascii="宋体" w:hAnsi="宋体" w:cs="宋体"/>
          <w:bCs/>
          <w:color w:val="auto"/>
          <w:sz w:val="48"/>
          <w:highlight w:val="none"/>
        </w:rPr>
        <w:sectPr>
          <w:headerReference r:id="rId3" w:type="default"/>
          <w:footerReference r:id="rId4" w:type="default"/>
          <w:pgSz w:w="11906" w:h="16838"/>
          <w:pgMar w:top="1440" w:right="1166" w:bottom="1440" w:left="1080" w:header="851" w:footer="992" w:gutter="0"/>
          <w:pgNumType w:start="0"/>
          <w:cols w:space="1701" w:num="1"/>
          <w:docGrid w:linePitch="360" w:charSpace="0"/>
        </w:sectPr>
      </w:pPr>
    </w:p>
    <w:p w14:paraId="26239B6F">
      <w:pPr>
        <w:rPr>
          <w:rStyle w:val="238"/>
          <w:rFonts w:hint="eastAsia" w:ascii="宋体" w:hAnsi="宋体" w:cs="宋体"/>
          <w:bCs/>
          <w:color w:val="auto"/>
          <w:sz w:val="48"/>
          <w:highlight w:val="none"/>
        </w:rPr>
      </w:pPr>
    </w:p>
    <w:p w14:paraId="41D4289E">
      <w:pPr>
        <w:jc w:val="center"/>
        <w:rPr>
          <w:rStyle w:val="238"/>
          <w:rFonts w:hint="eastAsia" w:ascii="宋体" w:hAnsi="宋体" w:cs="宋体"/>
          <w:bCs/>
          <w:color w:val="auto"/>
          <w:sz w:val="48"/>
          <w:highlight w:val="none"/>
        </w:rPr>
      </w:pPr>
      <w:r>
        <w:rPr>
          <w:rStyle w:val="238"/>
          <w:rFonts w:hint="eastAsia" w:ascii="宋体" w:hAnsi="宋体" w:cs="宋体"/>
          <w:bCs/>
          <w:color w:val="auto"/>
          <w:sz w:val="48"/>
          <w:highlight w:val="none"/>
        </w:rPr>
        <w:t>目     录</w:t>
      </w:r>
    </w:p>
    <w:p w14:paraId="2E83B886">
      <w:pPr>
        <w:rPr>
          <w:rFonts w:hint="eastAsia" w:ascii="宋体" w:hAnsi="宋体" w:cs="宋体"/>
          <w:bCs/>
          <w:color w:val="auto"/>
          <w:sz w:val="30"/>
          <w:highlight w:val="none"/>
        </w:rPr>
      </w:pPr>
    </w:p>
    <w:p w14:paraId="6506B24B">
      <w:pPr>
        <w:spacing w:line="720" w:lineRule="auto"/>
        <w:ind w:firstLine="450"/>
        <w:rPr>
          <w:rFonts w:hint="eastAsia" w:ascii="宋体" w:hAnsi="宋体" w:cs="宋体"/>
          <w:bCs/>
          <w:color w:val="auto"/>
          <w:sz w:val="30"/>
          <w:szCs w:val="30"/>
          <w:highlight w:val="none"/>
        </w:rPr>
      </w:pPr>
      <w:r>
        <w:rPr>
          <w:rFonts w:hint="eastAsia" w:ascii="宋体" w:hAnsi="宋体" w:cs="宋体"/>
          <w:bCs/>
          <w:color w:val="auto"/>
          <w:sz w:val="30"/>
          <w:szCs w:val="30"/>
          <w:highlight w:val="none"/>
        </w:rPr>
        <w:t>一、投标</w:t>
      </w:r>
      <w:bookmarkStart w:id="0" w:name="_Hlt529243434"/>
      <w:bookmarkEnd w:id="0"/>
      <w:r>
        <w:rPr>
          <w:rFonts w:hint="eastAsia" w:ascii="宋体" w:hAnsi="宋体" w:cs="宋体"/>
          <w:bCs/>
          <w:color w:val="auto"/>
          <w:sz w:val="30"/>
          <w:szCs w:val="30"/>
          <w:highlight w:val="none"/>
        </w:rPr>
        <w:t>邀请函</w:t>
      </w:r>
    </w:p>
    <w:p w14:paraId="05E02D22">
      <w:pPr>
        <w:tabs>
          <w:tab w:val="left" w:pos="7753"/>
        </w:tabs>
        <w:spacing w:line="720" w:lineRule="auto"/>
        <w:ind w:firstLine="450"/>
        <w:rPr>
          <w:rFonts w:hint="eastAsia" w:ascii="宋体" w:hAnsi="宋体" w:cs="宋体"/>
          <w:bCs/>
          <w:color w:val="auto"/>
          <w:sz w:val="30"/>
          <w:szCs w:val="30"/>
          <w:highlight w:val="none"/>
        </w:rPr>
      </w:pPr>
      <w:r>
        <w:rPr>
          <w:rFonts w:hint="eastAsia" w:ascii="宋体" w:hAnsi="宋体" w:cs="宋体"/>
          <w:bCs/>
          <w:color w:val="auto"/>
          <w:sz w:val="30"/>
          <w:szCs w:val="30"/>
          <w:highlight w:val="none"/>
        </w:rPr>
        <w:t>二、投标人须知</w:t>
      </w:r>
    </w:p>
    <w:p w14:paraId="2899BD30">
      <w:pPr>
        <w:spacing w:line="720" w:lineRule="auto"/>
        <w:ind w:firstLine="450"/>
        <w:rPr>
          <w:rFonts w:hint="eastAsia" w:ascii="宋体" w:hAnsi="宋体" w:cs="宋体"/>
          <w:bCs/>
          <w:color w:val="auto"/>
          <w:sz w:val="30"/>
          <w:szCs w:val="30"/>
          <w:highlight w:val="none"/>
        </w:rPr>
      </w:pPr>
      <w:r>
        <w:rPr>
          <w:rFonts w:hint="eastAsia" w:ascii="宋体" w:hAnsi="宋体" w:cs="宋体"/>
          <w:bCs/>
          <w:color w:val="auto"/>
          <w:sz w:val="30"/>
          <w:szCs w:val="30"/>
          <w:highlight w:val="none"/>
        </w:rPr>
        <w:t>三、项目要求和有关说明</w:t>
      </w:r>
    </w:p>
    <w:p w14:paraId="1636A0F0">
      <w:pPr>
        <w:spacing w:line="720" w:lineRule="auto"/>
        <w:ind w:firstLine="450"/>
        <w:rPr>
          <w:rFonts w:hint="eastAsia" w:ascii="宋体" w:hAnsi="宋体" w:cs="宋体"/>
          <w:bCs/>
          <w:color w:val="auto"/>
          <w:sz w:val="30"/>
          <w:szCs w:val="30"/>
          <w:highlight w:val="none"/>
        </w:rPr>
      </w:pPr>
      <w:r>
        <w:rPr>
          <w:rFonts w:hint="eastAsia" w:ascii="宋体" w:hAnsi="宋体" w:cs="宋体"/>
          <w:bCs/>
          <w:color w:val="auto"/>
          <w:sz w:val="30"/>
          <w:szCs w:val="30"/>
          <w:highlight w:val="none"/>
        </w:rPr>
        <w:t>四、评标方法和评标标准</w:t>
      </w:r>
    </w:p>
    <w:p w14:paraId="3366C852">
      <w:pPr>
        <w:spacing w:line="720" w:lineRule="auto"/>
        <w:ind w:firstLine="450"/>
        <w:rPr>
          <w:rFonts w:hint="eastAsia" w:ascii="宋体" w:hAnsi="宋体" w:cs="宋体"/>
          <w:bCs/>
          <w:color w:val="auto"/>
          <w:sz w:val="30"/>
          <w:szCs w:val="30"/>
          <w:highlight w:val="none"/>
        </w:rPr>
      </w:pPr>
      <w:r>
        <w:rPr>
          <w:rFonts w:hint="eastAsia" w:ascii="宋体" w:hAnsi="宋体" w:cs="宋体"/>
          <w:bCs/>
          <w:color w:val="auto"/>
          <w:sz w:val="30"/>
          <w:szCs w:val="30"/>
          <w:highlight w:val="none"/>
        </w:rPr>
        <w:t>五、合同书（格式）</w:t>
      </w:r>
    </w:p>
    <w:p w14:paraId="247E885B">
      <w:pPr>
        <w:spacing w:line="720" w:lineRule="auto"/>
        <w:ind w:firstLine="450"/>
        <w:rPr>
          <w:rFonts w:hint="eastAsia" w:ascii="宋体" w:hAnsi="宋体" w:cs="宋体"/>
          <w:bCs/>
          <w:color w:val="auto"/>
          <w:sz w:val="30"/>
          <w:szCs w:val="30"/>
          <w:highlight w:val="none"/>
        </w:rPr>
      </w:pPr>
      <w:r>
        <w:rPr>
          <w:rFonts w:hint="eastAsia" w:ascii="宋体" w:hAnsi="宋体" w:cs="宋体"/>
          <w:bCs/>
          <w:color w:val="auto"/>
          <w:sz w:val="30"/>
          <w:szCs w:val="30"/>
          <w:highlight w:val="none"/>
        </w:rPr>
        <w:t>六、投标文件的组成和格式</w:t>
      </w:r>
    </w:p>
    <w:p w14:paraId="42041FAA">
      <w:pPr>
        <w:spacing w:line="720" w:lineRule="auto"/>
        <w:ind w:firstLine="420"/>
        <w:rPr>
          <w:rFonts w:hint="eastAsia" w:ascii="宋体" w:hAnsi="宋体" w:cs="宋体"/>
          <w:bCs/>
          <w:color w:val="auto"/>
          <w:sz w:val="28"/>
          <w:szCs w:val="28"/>
          <w:highlight w:val="none"/>
        </w:rPr>
      </w:pPr>
    </w:p>
    <w:p w14:paraId="14F5CE06">
      <w:pPr>
        <w:spacing w:line="720" w:lineRule="auto"/>
        <w:rPr>
          <w:rFonts w:hint="eastAsia" w:ascii="宋体" w:hAnsi="宋体" w:cs="宋体"/>
          <w:bCs/>
          <w:color w:val="auto"/>
          <w:sz w:val="30"/>
          <w:highlight w:val="none"/>
        </w:rPr>
      </w:pPr>
    </w:p>
    <w:p w14:paraId="20BEA734">
      <w:pPr>
        <w:spacing w:line="480" w:lineRule="auto"/>
        <w:rPr>
          <w:rFonts w:hint="eastAsia" w:ascii="宋体" w:hAnsi="宋体" w:cs="宋体"/>
          <w:bCs/>
          <w:color w:val="auto"/>
          <w:sz w:val="30"/>
          <w:highlight w:val="none"/>
        </w:rPr>
      </w:pPr>
    </w:p>
    <w:p w14:paraId="29E51630">
      <w:pPr>
        <w:rPr>
          <w:rFonts w:hint="eastAsia" w:ascii="宋体" w:hAnsi="宋体" w:cs="宋体"/>
          <w:bCs/>
          <w:color w:val="auto"/>
          <w:sz w:val="28"/>
          <w:highlight w:val="none"/>
        </w:rPr>
      </w:pPr>
    </w:p>
    <w:p w14:paraId="37D7A860">
      <w:pPr>
        <w:rPr>
          <w:rFonts w:hint="eastAsia" w:ascii="宋体" w:hAnsi="宋体" w:cs="宋体"/>
          <w:bCs/>
          <w:color w:val="auto"/>
          <w:sz w:val="32"/>
          <w:szCs w:val="32"/>
          <w:highlight w:val="none"/>
        </w:rPr>
      </w:pPr>
      <w:bookmarkStart w:id="1" w:name="报价方须知前附表"/>
      <w:bookmarkEnd w:id="1"/>
    </w:p>
    <w:p w14:paraId="11594781">
      <w:pPr>
        <w:rPr>
          <w:rFonts w:hint="eastAsia" w:ascii="宋体" w:hAnsi="宋体" w:cs="宋体"/>
          <w:bCs/>
          <w:color w:val="auto"/>
          <w:sz w:val="32"/>
          <w:szCs w:val="32"/>
          <w:highlight w:val="none"/>
        </w:rPr>
      </w:pPr>
    </w:p>
    <w:p w14:paraId="3F21C647">
      <w:pPr>
        <w:rPr>
          <w:rFonts w:hint="eastAsia" w:ascii="宋体" w:hAnsi="宋体" w:cs="宋体"/>
          <w:bCs/>
          <w:color w:val="auto"/>
          <w:sz w:val="32"/>
          <w:szCs w:val="32"/>
          <w:highlight w:val="none"/>
        </w:rPr>
      </w:pPr>
    </w:p>
    <w:p w14:paraId="7043FB67">
      <w:pPr>
        <w:pStyle w:val="206"/>
        <w:ind w:left="0" w:firstLine="0"/>
        <w:rPr>
          <w:rFonts w:hint="eastAsia" w:cs="宋体"/>
          <w:bCs/>
          <w:color w:val="auto"/>
          <w:sz w:val="32"/>
          <w:szCs w:val="32"/>
          <w:highlight w:val="none"/>
        </w:rPr>
      </w:pPr>
    </w:p>
    <w:p w14:paraId="417422B0">
      <w:pPr>
        <w:spacing w:line="400" w:lineRule="exact"/>
        <w:jc w:val="center"/>
        <w:outlineLvl w:val="0"/>
        <w:rPr>
          <w:rFonts w:hint="eastAsia" w:ascii="黑体" w:hAnsi="黑体" w:eastAsia="黑体" w:cs="黑体"/>
          <w:bCs/>
          <w:color w:val="auto"/>
          <w:sz w:val="30"/>
          <w:highlight w:val="none"/>
        </w:rPr>
      </w:pPr>
      <w:r>
        <w:rPr>
          <w:rFonts w:hint="eastAsia" w:ascii="黑体" w:hAnsi="黑体" w:eastAsia="黑体" w:cs="黑体"/>
          <w:bCs/>
          <w:color w:val="auto"/>
          <w:sz w:val="30"/>
          <w:highlight w:val="none"/>
        </w:rPr>
        <w:t>第一章　投标邀请函</w:t>
      </w:r>
    </w:p>
    <w:p w14:paraId="79DA1B4D">
      <w:pPr>
        <w:jc w:val="both"/>
        <w:rPr>
          <w:rFonts w:hint="eastAsia" w:ascii="宋体" w:hAnsi="宋体" w:eastAsia="宋体" w:cs="宋体"/>
          <w:bCs/>
          <w:color w:val="auto"/>
          <w:sz w:val="24"/>
          <w:szCs w:val="24"/>
          <w:highlight w:val="none"/>
          <w:lang w:eastAsia="zh-CN"/>
        </w:rPr>
      </w:pPr>
      <w:r>
        <w:rPr>
          <w:rFonts w:hint="eastAsia" w:ascii="宋体" w:hAnsi="宋体" w:cs="宋体"/>
          <w:b/>
          <w:bCs/>
          <w:color w:val="auto"/>
          <w:sz w:val="28"/>
          <w:highlight w:val="none"/>
        </w:rPr>
        <w:t xml:space="preserve">                   </w:t>
      </w:r>
      <w:r>
        <w:rPr>
          <w:rFonts w:hint="eastAsia" w:ascii="宋体" w:hAnsi="宋体" w:cs="宋体"/>
          <w:bCs/>
          <w:color w:val="auto"/>
          <w:sz w:val="28"/>
          <w:szCs w:val="28"/>
          <w:highlight w:val="none"/>
        </w:rPr>
        <w:t>编号：</w:t>
      </w:r>
      <w:r>
        <w:rPr>
          <w:rFonts w:hint="eastAsia" w:ascii="宋体" w:hAnsi="宋体" w:cs="宋体"/>
          <w:bCs/>
          <w:color w:val="auto"/>
          <w:sz w:val="30"/>
          <w:szCs w:val="30"/>
          <w:highlight w:val="none"/>
          <w:lang w:eastAsia="zh-CN"/>
        </w:rPr>
        <w:t>JSZC-320281-HAZJ-G2026-0008</w:t>
      </w:r>
    </w:p>
    <w:p w14:paraId="77FD495F">
      <w:pPr>
        <w:spacing w:line="360" w:lineRule="auto"/>
        <w:ind w:firstLine="482"/>
        <w:rPr>
          <w:rFonts w:hint="eastAsia" w:ascii="宋体" w:hAnsi="宋体" w:cs="宋体"/>
          <w:bCs/>
          <w:color w:val="auto"/>
          <w:sz w:val="24"/>
          <w:szCs w:val="24"/>
          <w:highlight w:val="none"/>
        </w:rPr>
      </w:pPr>
      <w:r>
        <w:rPr>
          <w:rFonts w:hint="eastAsia" w:ascii="宋体" w:hAnsi="宋体" w:cs="宋体"/>
          <w:b/>
          <w:color w:val="auto"/>
          <w:sz w:val="24"/>
          <w:szCs w:val="24"/>
          <w:highlight w:val="none"/>
        </w:rPr>
        <w:t>项目概况：</w:t>
      </w:r>
      <w:r>
        <w:rPr>
          <w:rFonts w:hint="eastAsia" w:ascii="宋体" w:hAnsi="宋体" w:cs="宋体"/>
          <w:bCs/>
          <w:color w:val="auto"/>
          <w:sz w:val="24"/>
          <w:szCs w:val="24"/>
          <w:highlight w:val="none"/>
        </w:rPr>
        <w:t xml:space="preserve"> </w:t>
      </w:r>
    </w:p>
    <w:p w14:paraId="7709D165">
      <w:pPr>
        <w:pBdr>
          <w:top w:val="single" w:color="000000" w:sz="4" w:space="1"/>
          <w:left w:val="single" w:color="000000" w:sz="4" w:space="4"/>
          <w:bottom w:val="single" w:color="000000" w:sz="4" w:space="1"/>
          <w:right w:val="single" w:color="000000" w:sz="4" w:space="4"/>
        </w:pBdr>
        <w:spacing w:line="400" w:lineRule="exact"/>
        <w:ind w:firstLine="480"/>
        <w:rPr>
          <w:rFonts w:ascii="宋体" w:hAnsi="宋体"/>
          <w:color w:val="auto"/>
          <w:sz w:val="24"/>
          <w:szCs w:val="24"/>
          <w:highlight w:val="none"/>
        </w:rPr>
      </w:pPr>
      <w:r>
        <w:rPr>
          <w:rFonts w:hint="eastAsia" w:ascii="宋体" w:hAnsi="宋体" w:cs="宋体"/>
          <w:color w:val="auto"/>
          <w:sz w:val="24"/>
          <w:szCs w:val="24"/>
          <w:highlight w:val="none"/>
          <w:lang w:eastAsia="zh-CN"/>
        </w:rPr>
        <w:t>江阴临港化工园区限值限量在线大气监测设备更换（二期）JSZC-320281-HAZJ-G2026-0008</w:t>
      </w:r>
      <w:r>
        <w:rPr>
          <w:rFonts w:hint="eastAsia" w:ascii="宋体" w:hAnsi="宋体" w:cs="宋体"/>
          <w:bCs/>
          <w:color w:val="auto"/>
          <w:sz w:val="24"/>
          <w:szCs w:val="24"/>
          <w:highlight w:val="none"/>
        </w:rPr>
        <w:t>的潜在投标人</w:t>
      </w:r>
      <w:bookmarkStart w:id="2" w:name="OLE_LINK7"/>
      <w:r>
        <w:rPr>
          <w:rFonts w:ascii="宋体" w:hAnsi="宋体"/>
          <w:color w:val="auto"/>
          <w:sz w:val="24"/>
          <w:szCs w:val="24"/>
          <w:highlight w:val="none"/>
        </w:rPr>
        <w:t>应在“江苏政府采购网”获取招标文件，并</w:t>
      </w:r>
      <w:r>
        <w:rPr>
          <w:rFonts w:hint="eastAsia" w:ascii="宋体" w:hAnsi="宋体"/>
          <w:color w:val="auto"/>
          <w:sz w:val="24"/>
          <w:szCs w:val="24"/>
          <w:highlight w:val="none"/>
        </w:rPr>
        <w:t>于</w:t>
      </w:r>
      <w:r>
        <w:rPr>
          <w:rFonts w:hint="eastAsia" w:ascii="宋体" w:hAnsi="宋体" w:cs="宋体"/>
          <w:bCs/>
          <w:color w:val="auto"/>
          <w:sz w:val="24"/>
          <w:szCs w:val="24"/>
          <w:highlight w:val="none"/>
        </w:rPr>
        <w:t>202</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 xml:space="preserve">22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9</w:t>
      </w:r>
      <w:r>
        <w:rPr>
          <w:rFonts w:ascii="宋体" w:hAnsi="宋体"/>
          <w:color w:val="auto"/>
          <w:sz w:val="24"/>
          <w:szCs w:val="24"/>
          <w:highlight w:val="none"/>
        </w:rPr>
        <w:t>:</w:t>
      </w:r>
      <w:r>
        <w:rPr>
          <w:rFonts w:hint="eastAsia" w:ascii="宋体" w:hAnsi="宋体"/>
          <w:color w:val="auto"/>
          <w:sz w:val="24"/>
          <w:szCs w:val="24"/>
          <w:highlight w:val="none"/>
        </w:rPr>
        <w:t>0</w:t>
      </w:r>
      <w:r>
        <w:rPr>
          <w:rFonts w:ascii="宋体" w:hAnsi="宋体"/>
          <w:color w:val="auto"/>
          <w:sz w:val="24"/>
          <w:szCs w:val="24"/>
          <w:highlight w:val="none"/>
        </w:rPr>
        <w:t>0 （北京时间）前递交投标文件。</w:t>
      </w:r>
    </w:p>
    <w:bookmarkEnd w:id="2"/>
    <w:p w14:paraId="73E88D5B">
      <w:pPr>
        <w:widowControl/>
        <w:spacing w:line="360" w:lineRule="auto"/>
        <w:ind w:firstLine="482"/>
        <w:jc w:val="left"/>
        <w:rPr>
          <w:rFonts w:ascii="宋体" w:hAnsi="宋体"/>
          <w:b/>
          <w:color w:val="auto"/>
          <w:sz w:val="24"/>
          <w:szCs w:val="28"/>
          <w:highlight w:val="none"/>
        </w:rPr>
      </w:pPr>
      <w:r>
        <w:rPr>
          <w:rFonts w:hint="eastAsia" w:ascii="宋体" w:hAnsi="宋体"/>
          <w:b/>
          <w:color w:val="auto"/>
          <w:sz w:val="24"/>
          <w:szCs w:val="28"/>
          <w:highlight w:val="none"/>
        </w:rPr>
        <w:t>一、项目基本情况：</w:t>
      </w:r>
    </w:p>
    <w:p w14:paraId="592AE121">
      <w:pPr>
        <w:spacing w:line="360" w:lineRule="auto"/>
        <w:ind w:firstLine="480"/>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1、项目编号：</w:t>
      </w:r>
      <w:r>
        <w:rPr>
          <w:rFonts w:hint="eastAsia" w:ascii="宋体" w:hAnsi="宋体"/>
          <w:color w:val="auto"/>
          <w:sz w:val="24"/>
          <w:szCs w:val="28"/>
          <w:highlight w:val="none"/>
          <w:lang w:eastAsia="zh-CN"/>
        </w:rPr>
        <w:t>JSZC-320281-HAZJ-G2026-0008</w:t>
      </w:r>
    </w:p>
    <w:p w14:paraId="793C0D58">
      <w:pPr>
        <w:spacing w:line="360" w:lineRule="auto"/>
        <w:ind w:firstLine="480"/>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2、项目名称：</w:t>
      </w:r>
      <w:r>
        <w:rPr>
          <w:rFonts w:hint="eastAsia" w:ascii="宋体" w:hAnsi="宋体"/>
          <w:color w:val="auto"/>
          <w:sz w:val="24"/>
          <w:szCs w:val="28"/>
          <w:highlight w:val="none"/>
          <w:lang w:eastAsia="zh-CN"/>
        </w:rPr>
        <w:t>江阴临港化工园区限值限量在线大气监测设备更换（二期）</w:t>
      </w:r>
    </w:p>
    <w:p w14:paraId="40934B4E">
      <w:pPr>
        <w:spacing w:line="360" w:lineRule="auto"/>
        <w:ind w:firstLine="480"/>
        <w:rPr>
          <w:rFonts w:ascii="宋体" w:hAnsi="宋体"/>
          <w:color w:val="auto"/>
          <w:sz w:val="24"/>
          <w:highlight w:val="none"/>
          <w:lang w:val="en-US"/>
        </w:rPr>
      </w:pPr>
      <w:r>
        <w:rPr>
          <w:rFonts w:hint="eastAsia" w:ascii="宋体" w:hAnsi="宋体"/>
          <w:color w:val="auto"/>
          <w:sz w:val="24"/>
          <w:szCs w:val="28"/>
          <w:highlight w:val="none"/>
        </w:rPr>
        <w:t>3、本项目预算金额：</w:t>
      </w:r>
      <w:r>
        <w:rPr>
          <w:rFonts w:hint="eastAsia" w:ascii="宋体" w:hAnsi="宋体"/>
          <w:color w:val="auto"/>
          <w:sz w:val="24"/>
          <w:szCs w:val="28"/>
          <w:highlight w:val="none"/>
          <w:lang w:val="en-US" w:eastAsia="zh-CN"/>
        </w:rPr>
        <w:t>340万元</w:t>
      </w:r>
    </w:p>
    <w:p w14:paraId="5A47EB9D">
      <w:pPr>
        <w:spacing w:line="360" w:lineRule="auto"/>
        <w:ind w:firstLine="480"/>
        <w:rPr>
          <w:rFonts w:ascii="宋体" w:hAnsi="宋体"/>
          <w:color w:val="auto"/>
          <w:sz w:val="24"/>
          <w:highlight w:val="none"/>
          <w:lang w:val="en-US"/>
        </w:rPr>
      </w:pPr>
      <w:r>
        <w:rPr>
          <w:rFonts w:hint="eastAsia" w:ascii="宋体" w:hAnsi="宋体"/>
          <w:color w:val="auto"/>
          <w:sz w:val="24"/>
          <w:highlight w:val="none"/>
        </w:rPr>
        <w:t>4、最高限价：</w:t>
      </w:r>
      <w:r>
        <w:rPr>
          <w:rFonts w:hint="eastAsia" w:ascii="宋体" w:hAnsi="宋体"/>
          <w:color w:val="auto"/>
          <w:sz w:val="24"/>
          <w:highlight w:val="none"/>
          <w:lang w:val="en-US" w:eastAsia="zh-CN"/>
        </w:rPr>
        <w:t>340万元</w:t>
      </w:r>
    </w:p>
    <w:p w14:paraId="5326DE61">
      <w:pPr>
        <w:spacing w:line="360" w:lineRule="auto"/>
        <w:ind w:firstLine="480"/>
        <w:rPr>
          <w:rFonts w:ascii="宋体" w:hAnsi="宋体" w:eastAsia="宋体"/>
          <w:color w:val="auto"/>
          <w:sz w:val="24"/>
          <w:szCs w:val="28"/>
          <w:highlight w:val="none"/>
          <w:lang w:val="en-US" w:eastAsia="zh-CN"/>
        </w:rPr>
      </w:pPr>
      <w:r>
        <w:rPr>
          <w:rFonts w:hint="eastAsia" w:ascii="宋体" w:hAnsi="宋体"/>
          <w:color w:val="auto"/>
          <w:sz w:val="24"/>
          <w:highlight w:val="none"/>
        </w:rPr>
        <w:t>5、采购需求：</w:t>
      </w:r>
      <w:r>
        <w:rPr>
          <w:rFonts w:hint="eastAsia" w:ascii="宋体" w:hAnsi="宋体"/>
          <w:color w:val="auto"/>
          <w:sz w:val="24"/>
          <w:szCs w:val="28"/>
          <w:highlight w:val="none"/>
        </w:rPr>
        <w:t>本项目为</w:t>
      </w:r>
      <w:r>
        <w:rPr>
          <w:rFonts w:hint="eastAsia" w:ascii="宋体" w:hAnsi="宋体"/>
          <w:color w:val="auto"/>
          <w:sz w:val="24"/>
          <w:szCs w:val="28"/>
          <w:highlight w:val="none"/>
          <w:lang w:eastAsia="zh-CN"/>
        </w:rPr>
        <w:t>江阴临港化工园区限值限量在线大气监测设备更换（二期）</w:t>
      </w:r>
      <w:r>
        <w:rPr>
          <w:rFonts w:hint="eastAsia" w:ascii="宋体" w:hAnsi="宋体"/>
          <w:color w:val="auto"/>
          <w:sz w:val="24"/>
          <w:szCs w:val="28"/>
          <w:highlight w:val="none"/>
        </w:rPr>
        <w:t>。</w:t>
      </w:r>
      <w:r>
        <w:rPr>
          <w:rFonts w:hint="eastAsia" w:ascii="宋体" w:hAnsi="宋体"/>
          <w:color w:val="auto"/>
          <w:sz w:val="24"/>
          <w:szCs w:val="28"/>
          <w:highlight w:val="none"/>
          <w:lang w:val="en-US" w:eastAsia="zh-CN"/>
        </w:rPr>
        <w:t>主要内容：对</w:t>
      </w:r>
      <w:r>
        <w:rPr>
          <w:rFonts w:hint="eastAsia" w:ascii="宋体" w:hAnsi="宋体" w:eastAsia="宋体" w:cs="宋体"/>
          <w:bCs/>
          <w:color w:val="auto"/>
          <w:sz w:val="24"/>
          <w:szCs w:val="24"/>
        </w:rPr>
        <w:t>江阴临港化工园区</w:t>
      </w:r>
      <w:r>
        <w:rPr>
          <w:rFonts w:hint="eastAsia" w:ascii="宋体" w:hAnsi="宋体" w:eastAsia="宋体" w:cs="宋体"/>
          <w:bCs/>
          <w:color w:val="auto"/>
          <w:sz w:val="24"/>
          <w:szCs w:val="24"/>
          <w:lang w:eastAsia="zh-CN"/>
        </w:rPr>
        <w:t>管理中心空气站和泓海空气站</w:t>
      </w:r>
      <w:r>
        <w:rPr>
          <w:rFonts w:hint="eastAsia" w:ascii="宋体" w:hAnsi="宋体" w:eastAsia="宋体" w:cs="宋体"/>
          <w:bCs/>
          <w:color w:val="auto"/>
          <w:sz w:val="24"/>
          <w:szCs w:val="24"/>
          <w:lang w:val="en-US" w:eastAsia="zh-CN"/>
        </w:rPr>
        <w:t>两个站点</w:t>
      </w:r>
      <w:r>
        <w:rPr>
          <w:rFonts w:hint="eastAsia" w:ascii="宋体" w:hAnsi="宋体" w:eastAsia="宋体" w:cs="宋体"/>
          <w:bCs/>
          <w:color w:val="auto"/>
          <w:sz w:val="24"/>
          <w:szCs w:val="24"/>
          <w:lang w:eastAsia="zh-CN"/>
        </w:rPr>
        <w:t>进行改造</w:t>
      </w:r>
      <w:r>
        <w:rPr>
          <w:rFonts w:hint="eastAsia" w:ascii="宋体" w:hAnsi="宋体" w:eastAsia="宋体" w:cs="宋体"/>
          <w:bCs/>
          <w:color w:val="auto"/>
          <w:sz w:val="24"/>
          <w:szCs w:val="24"/>
          <w:lang w:val="en-US" w:eastAsia="zh-CN"/>
        </w:rPr>
        <w:t>与</w:t>
      </w:r>
      <w:r>
        <w:rPr>
          <w:rFonts w:hint="eastAsia" w:ascii="宋体" w:hAnsi="宋体" w:eastAsia="宋体" w:cs="宋体"/>
          <w:bCs/>
          <w:color w:val="auto"/>
          <w:sz w:val="24"/>
          <w:szCs w:val="24"/>
          <w:lang w:eastAsia="zh-CN"/>
        </w:rPr>
        <w:t>提升</w:t>
      </w:r>
      <w:r>
        <w:rPr>
          <w:rFonts w:hint="eastAsia" w:ascii="宋体" w:hAnsi="宋体"/>
          <w:color w:val="auto"/>
          <w:sz w:val="24"/>
          <w:szCs w:val="28"/>
          <w:highlight w:val="none"/>
          <w:lang w:val="en-US" w:eastAsia="zh-CN"/>
        </w:rPr>
        <w:t>。</w:t>
      </w:r>
    </w:p>
    <w:p w14:paraId="758ABA54">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6、</w:t>
      </w:r>
      <w:r>
        <w:rPr>
          <w:rFonts w:hint="eastAsia" w:ascii="宋体" w:hAnsi="宋体" w:eastAsia="宋体" w:cs="Times New Roman"/>
          <w:color w:val="auto"/>
          <w:sz w:val="24"/>
          <w:highlight w:val="none"/>
          <w:lang w:val="en-US" w:eastAsia="zh-CN"/>
        </w:rPr>
        <w:t>合同履约期</w:t>
      </w:r>
      <w:r>
        <w:rPr>
          <w:rFonts w:hint="eastAsia" w:ascii="宋体" w:hAnsi="宋体" w:eastAsia="宋体" w:cs="Times New Roman"/>
          <w:color w:val="auto"/>
          <w:sz w:val="24"/>
          <w:szCs w:val="28"/>
          <w:highlight w:val="none"/>
          <w:lang w:val="en-US" w:eastAsia="zh-CN"/>
        </w:rPr>
        <w:t>限</w:t>
      </w:r>
      <w:r>
        <w:rPr>
          <w:rFonts w:hint="eastAsia" w:ascii="宋体" w:hAnsi="宋体" w:eastAsia="宋体" w:cs="Times New Roman"/>
          <w:color w:val="auto"/>
          <w:sz w:val="24"/>
          <w:szCs w:val="28"/>
          <w:highlight w:val="none"/>
          <w:lang w:eastAsia="zh-CN"/>
        </w:rPr>
        <w:t>：自合同签订之日起60天内完成。</w:t>
      </w:r>
    </w:p>
    <w:p w14:paraId="524CEBBA">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7、本项目不接受联合体投标。</w:t>
      </w:r>
    </w:p>
    <w:p w14:paraId="2F95C328">
      <w:pPr>
        <w:spacing w:line="360" w:lineRule="auto"/>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8、本项目是否专门面向中小企业：</w:t>
      </w:r>
      <w:r>
        <w:rPr>
          <w:rFonts w:hint="eastAsia" w:ascii="宋体" w:hAnsi="宋体" w:cs="Times New Roman"/>
          <w:color w:val="auto"/>
          <w:sz w:val="24"/>
          <w:highlight w:val="none"/>
          <w:lang w:val="en-US" w:eastAsia="zh-CN"/>
        </w:rPr>
        <w:t>是</w:t>
      </w:r>
      <w:r>
        <w:rPr>
          <w:rFonts w:hint="eastAsia" w:ascii="宋体" w:hAnsi="宋体" w:eastAsia="宋体" w:cs="Times New Roman"/>
          <w:color w:val="auto"/>
          <w:sz w:val="24"/>
          <w:highlight w:val="none"/>
          <w:lang w:val="en-US" w:eastAsia="zh-CN"/>
        </w:rPr>
        <w:t>。</w:t>
      </w:r>
    </w:p>
    <w:p w14:paraId="0C2D0697">
      <w:pPr>
        <w:spacing w:line="360" w:lineRule="auto"/>
        <w:ind w:firstLine="480"/>
        <w:rPr>
          <w:rFonts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9、本项目标的所属行业：其他未列明行业。</w:t>
      </w:r>
    </w:p>
    <w:p w14:paraId="42084117">
      <w:pPr>
        <w:tabs>
          <w:tab w:val="left" w:pos="900"/>
        </w:tabs>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二、投标人资格要求：</w:t>
      </w:r>
    </w:p>
    <w:p w14:paraId="35F6ECFF">
      <w:pPr>
        <w:pBdr>
          <w:top w:val="none" w:color="000000" w:sz="0" w:space="0"/>
          <w:left w:val="none" w:color="000000" w:sz="0" w:space="0"/>
          <w:bottom w:val="none" w:color="000000" w:sz="0" w:space="0"/>
          <w:right w:val="none" w:color="000000" w:sz="0" w:space="0"/>
        </w:pBdr>
        <w:spacing w:line="360" w:lineRule="auto"/>
        <w:ind w:firstLine="480"/>
        <w:rPr>
          <w:color w:val="auto"/>
          <w:highlight w:val="none"/>
        </w:rPr>
      </w:pPr>
      <w:r>
        <w:rPr>
          <w:rFonts w:ascii="宋体" w:hAnsi="宋体" w:cs="宋体"/>
          <w:color w:val="auto"/>
          <w:sz w:val="24"/>
          <w:highlight w:val="none"/>
        </w:rPr>
        <w:t>（一）满足《中华人民共和国政府采购法》第二十二条规定；</w:t>
      </w:r>
    </w:p>
    <w:p w14:paraId="7547E2AD">
      <w:pPr>
        <w:spacing w:line="400" w:lineRule="exact"/>
        <w:ind w:firstLine="480"/>
        <w:rPr>
          <w:rFonts w:hint="eastAsia" w:ascii="宋体" w:hAnsi="宋体"/>
          <w:color w:val="auto"/>
          <w:sz w:val="24"/>
          <w:highlight w:val="none"/>
        </w:rPr>
      </w:pPr>
      <w:r>
        <w:rPr>
          <w:rFonts w:hint="eastAsia" w:ascii="宋体" w:hAnsi="宋体"/>
          <w:color w:val="auto"/>
          <w:sz w:val="24"/>
          <w:highlight w:val="none"/>
        </w:rPr>
        <w:t>1.提供格式条款《关于资格的声明函》</w:t>
      </w:r>
    </w:p>
    <w:p w14:paraId="6E91C816">
      <w:pPr>
        <w:spacing w:line="400" w:lineRule="exact"/>
        <w:ind w:firstLine="48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bCs/>
          <w:color w:val="auto"/>
          <w:sz w:val="24"/>
          <w:highlight w:val="none"/>
        </w:rPr>
        <w:t>法定代表人授权委托书（法定代表人签署投标文件且亲自参与的必须提供《法定代表人亲自投标声明》）</w:t>
      </w:r>
      <w:r>
        <w:rPr>
          <w:rFonts w:hint="eastAsia" w:ascii="宋体" w:hAnsi="宋体" w:cs="宋体"/>
          <w:color w:val="auto"/>
          <w:sz w:val="24"/>
          <w:highlight w:val="none"/>
        </w:rPr>
        <w:t>【授权委托人必须提供本单位近3个月中任意1个月份&lt;可不含投标当月&gt;）为其缴纳社保的证明扫描件】。</w:t>
      </w:r>
    </w:p>
    <w:p w14:paraId="0051F2A4">
      <w:pPr>
        <w:spacing w:line="400" w:lineRule="exact"/>
        <w:ind w:firstLine="480"/>
        <w:rPr>
          <w:rFonts w:hint="eastAsia" w:ascii="宋体" w:hAnsi="宋体"/>
          <w:color w:val="auto"/>
          <w:sz w:val="24"/>
          <w:highlight w:val="none"/>
        </w:rPr>
      </w:pPr>
      <w:r>
        <w:rPr>
          <w:rFonts w:hint="eastAsia" w:ascii="宋体" w:hAnsi="宋体"/>
          <w:color w:val="auto"/>
          <w:sz w:val="24"/>
          <w:highlight w:val="none"/>
        </w:rPr>
        <w:t>3.未被“信用中国”网站、“中国政府采购网”列入失信被执行人、重大税收违法失信主体、政府采购严重违法失信行为信息记录名单（无需提供证明材料）</w:t>
      </w:r>
    </w:p>
    <w:p w14:paraId="3189C858">
      <w:pPr>
        <w:spacing w:line="400" w:lineRule="exact"/>
        <w:ind w:firstLine="480"/>
        <w:rPr>
          <w:rFonts w:hint="eastAsia" w:ascii="宋体" w:hAnsi="宋体"/>
          <w:color w:val="auto"/>
          <w:sz w:val="24"/>
          <w:highlight w:val="none"/>
        </w:rPr>
      </w:pPr>
      <w:r>
        <w:rPr>
          <w:rFonts w:hint="eastAsia" w:ascii="宋体" w:hAnsi="宋体"/>
          <w:color w:val="auto"/>
          <w:sz w:val="24"/>
          <w:highlight w:val="none"/>
        </w:rPr>
        <w:t xml:space="preserve">（二）落实政府采购政策需满足的资格要求： </w:t>
      </w:r>
    </w:p>
    <w:p w14:paraId="1056AAF1">
      <w:pPr>
        <w:spacing w:line="336"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管理局、戒毒管理局(含新疆生产建设兵团)出具的属于监狱企业的证明文件扫描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p>
    <w:p w14:paraId="16A978BA">
      <w:pPr>
        <w:spacing w:line="336" w:lineRule="auto"/>
        <w:ind w:firstLine="480"/>
        <w:rPr>
          <w:rFonts w:hint="eastAsia" w:ascii="宋体" w:hAnsi="宋体" w:eastAsia="宋体" w:cs="宋体"/>
          <w:color w:val="auto"/>
          <w:sz w:val="24"/>
          <w:szCs w:val="24"/>
          <w:highlight w:val="none"/>
          <w:lang w:val="en-US" w:eastAsia="zh-CN"/>
        </w:rPr>
      </w:pPr>
      <w:r>
        <w:rPr>
          <w:rFonts w:hint="eastAsia" w:ascii="宋体" w:hAnsi="宋体"/>
          <w:color w:val="auto"/>
          <w:sz w:val="24"/>
          <w:highlight w:val="none"/>
        </w:rPr>
        <w:t>（三）本项目的特定资格要求：</w:t>
      </w:r>
      <w:r>
        <w:rPr>
          <w:rFonts w:hint="eastAsia" w:ascii="宋体" w:hAnsi="宋体"/>
          <w:color w:val="auto"/>
          <w:sz w:val="24"/>
          <w:highlight w:val="none"/>
          <w:lang w:val="en-US" w:eastAsia="zh-CN"/>
        </w:rPr>
        <w:t>无</w:t>
      </w:r>
    </w:p>
    <w:p w14:paraId="783EF5B2">
      <w:pPr>
        <w:tabs>
          <w:tab w:val="left" w:pos="900"/>
        </w:tabs>
        <w:spacing w:line="324"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三、获取招标文件</w:t>
      </w:r>
    </w:p>
    <w:p w14:paraId="2C2F74BE">
      <w:pPr>
        <w:spacing w:line="324" w:lineRule="auto"/>
        <w:ind w:firstLine="480"/>
        <w:rPr>
          <w:rFonts w:hint="eastAsia" w:ascii="宋体" w:hAnsi="宋体"/>
          <w:color w:val="auto"/>
          <w:sz w:val="24"/>
          <w:highlight w:val="none"/>
        </w:rPr>
      </w:pPr>
      <w:r>
        <w:rPr>
          <w:rFonts w:hint="eastAsia" w:ascii="宋体" w:hAnsi="宋体" w:cs="宋体"/>
          <w:color w:val="auto"/>
          <w:sz w:val="24"/>
          <w:szCs w:val="24"/>
          <w:highlight w:val="none"/>
        </w:rPr>
        <w:t>时间：</w:t>
      </w:r>
      <w:r>
        <w:rPr>
          <w:rFonts w:hint="eastAsia" w:ascii="宋体" w:hAnsi="宋体" w:eastAsia="宋体" w:cs="宋体"/>
          <w:color w:val="auto"/>
          <w:sz w:val="24"/>
          <w:highlight w:val="none"/>
        </w:rPr>
        <w:t>自招标文件公告发布之日起5个工作日</w:t>
      </w:r>
    </w:p>
    <w:p w14:paraId="00213941">
      <w:pPr>
        <w:spacing w:line="400" w:lineRule="exact"/>
        <w:ind w:firstLine="480"/>
        <w:rPr>
          <w:rFonts w:hint="eastAsia" w:ascii="宋体" w:hAnsi="宋体"/>
          <w:color w:val="auto"/>
          <w:sz w:val="24"/>
          <w:highlight w:val="none"/>
        </w:rPr>
      </w:pPr>
      <w:r>
        <w:rPr>
          <w:rFonts w:hint="eastAsia" w:ascii="宋体" w:hAnsi="宋体"/>
          <w:color w:val="auto"/>
          <w:sz w:val="24"/>
          <w:highlight w:val="none"/>
        </w:rPr>
        <w:t>地点：“江苏政府采购网”</w:t>
      </w:r>
    </w:p>
    <w:p w14:paraId="14B957D5">
      <w:pPr>
        <w:spacing w:line="400" w:lineRule="exact"/>
        <w:ind w:firstLine="480"/>
        <w:rPr>
          <w:rFonts w:hint="eastAsia" w:ascii="宋体" w:hAnsi="宋体"/>
          <w:color w:val="auto"/>
          <w:sz w:val="24"/>
          <w:highlight w:val="none"/>
        </w:rPr>
      </w:pPr>
      <w:r>
        <w:rPr>
          <w:rFonts w:hint="eastAsia" w:ascii="宋体" w:hAnsi="宋体"/>
          <w:color w:val="auto"/>
          <w:sz w:val="24"/>
          <w:highlight w:val="none"/>
        </w:rPr>
        <w:t>方式：自行免费下载</w:t>
      </w:r>
    </w:p>
    <w:p w14:paraId="4C2A5DD1">
      <w:pPr>
        <w:spacing w:line="400" w:lineRule="exact"/>
        <w:ind w:firstLine="480"/>
        <w:rPr>
          <w:rFonts w:ascii="宋体" w:hAnsi="宋体"/>
          <w:color w:val="auto"/>
          <w:sz w:val="24"/>
          <w:highlight w:val="none"/>
        </w:rPr>
      </w:pPr>
      <w:r>
        <w:rPr>
          <w:rFonts w:hint="eastAsia" w:ascii="宋体" w:hAnsi="宋体"/>
          <w:color w:val="auto"/>
          <w:sz w:val="24"/>
          <w:highlight w:val="none"/>
        </w:rPr>
        <w:t>售价：0.00元。</w:t>
      </w:r>
    </w:p>
    <w:p w14:paraId="1B4718EB">
      <w:pPr>
        <w:tabs>
          <w:tab w:val="left" w:pos="900"/>
        </w:tabs>
        <w:spacing w:line="324"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四、提交投标文件截止时间、开标时间和地点</w:t>
      </w:r>
    </w:p>
    <w:p w14:paraId="704AD93D">
      <w:pPr>
        <w:spacing w:line="324" w:lineRule="auto"/>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202</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 xml:space="preserve"> 5 </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 xml:space="preserve"> 22 </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:00 （北京时间）</w:t>
      </w:r>
    </w:p>
    <w:p w14:paraId="06CD9FD5">
      <w:pPr>
        <w:spacing w:line="324"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地点：</w:t>
      </w:r>
      <w:r>
        <w:rPr>
          <w:rFonts w:hint="eastAsia" w:ascii="宋体" w:hAnsi="宋体"/>
          <w:color w:val="auto"/>
          <w:sz w:val="24"/>
          <w:highlight w:val="none"/>
        </w:rPr>
        <w:t>苏采云平台</w:t>
      </w:r>
      <w:r>
        <w:rPr>
          <w:rFonts w:hint="eastAsia" w:ascii="宋体" w:hAnsi="宋体" w:cs="宋体"/>
          <w:color w:val="auto"/>
          <w:sz w:val="24"/>
          <w:szCs w:val="24"/>
          <w:highlight w:val="none"/>
        </w:rPr>
        <w:t> </w:t>
      </w:r>
    </w:p>
    <w:p w14:paraId="2261A97E">
      <w:pPr>
        <w:tabs>
          <w:tab w:val="left" w:pos="900"/>
        </w:tabs>
        <w:spacing w:line="324"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五、公告期限</w:t>
      </w:r>
    </w:p>
    <w:p w14:paraId="6C99C00F">
      <w:pPr>
        <w:spacing w:line="324"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自本公告发布之日起5个工作日。</w:t>
      </w:r>
    </w:p>
    <w:p w14:paraId="03F3CDF4">
      <w:pPr>
        <w:tabs>
          <w:tab w:val="left" w:pos="900"/>
        </w:tabs>
        <w:spacing w:line="324"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六、其他补充事宜</w:t>
      </w:r>
    </w:p>
    <w:p w14:paraId="59650A18">
      <w:pPr>
        <w:spacing w:line="400" w:lineRule="exact"/>
        <w:rPr>
          <w:rFonts w:hint="eastAsia" w:ascii="宋体" w:hAnsi="宋体"/>
          <w:color w:val="auto"/>
          <w:sz w:val="24"/>
          <w:highlight w:val="none"/>
        </w:rPr>
      </w:pPr>
      <w:r>
        <w:rPr>
          <w:rFonts w:hint="eastAsia" w:ascii="宋体" w:hAnsi="宋体"/>
          <w:color w:val="auto"/>
          <w:sz w:val="24"/>
          <w:highlight w:val="none"/>
        </w:rPr>
        <w:t>（一）供应商注册</w:t>
      </w:r>
    </w:p>
    <w:p w14:paraId="555889DD">
      <w:pPr>
        <w:spacing w:line="400" w:lineRule="exact"/>
        <w:ind w:firstLine="480"/>
        <w:rPr>
          <w:rFonts w:hint="eastAsia" w:ascii="宋体" w:hAnsi="宋体"/>
          <w:color w:val="auto"/>
          <w:sz w:val="24"/>
          <w:highlight w:val="none"/>
        </w:rPr>
      </w:pPr>
      <w:r>
        <w:rPr>
          <w:rFonts w:hint="eastAsia" w:ascii="宋体" w:hAnsi="宋体"/>
          <w:color w:val="auto"/>
          <w:sz w:val="24"/>
          <w:highlight w:val="none"/>
        </w:rPr>
        <w:t>1.请有意参加本项目采购活动的供应商按以下流程进行操作：</w:t>
      </w:r>
    </w:p>
    <w:p w14:paraId="0B1A463F">
      <w:pPr>
        <w:spacing w:line="400" w:lineRule="exact"/>
        <w:ind w:firstLine="480"/>
        <w:rPr>
          <w:rFonts w:hint="eastAsia" w:ascii="宋体" w:hAnsi="宋体"/>
          <w:color w:val="auto"/>
          <w:sz w:val="24"/>
          <w:highlight w:val="none"/>
        </w:rPr>
      </w:pPr>
      <w:r>
        <w:rPr>
          <w:rFonts w:hint="eastAsia" w:ascii="宋体" w:hAnsi="宋体"/>
          <w:color w:val="auto"/>
          <w:sz w:val="24"/>
          <w:highlight w:val="none"/>
        </w:rPr>
        <w:t>（1）访问“江苏省政府采购（苏采云）平台”（以下简称“苏采云”）进行账号注册，注册完成后需在系统中填写资质信息并提交审核。也可以直接通过http://jszfcg.jsczt.cn/进入注册界面。</w:t>
      </w:r>
    </w:p>
    <w:p w14:paraId="3921401C">
      <w:pPr>
        <w:spacing w:line="400" w:lineRule="exact"/>
        <w:ind w:firstLine="480"/>
        <w:rPr>
          <w:rFonts w:hint="eastAsia" w:ascii="宋体" w:hAnsi="宋体"/>
          <w:color w:val="auto"/>
          <w:sz w:val="24"/>
          <w:highlight w:val="none"/>
        </w:rPr>
      </w:pPr>
      <w:r>
        <w:rPr>
          <w:rFonts w:hint="eastAsia" w:ascii="宋体" w:hAnsi="宋体"/>
          <w:color w:val="auto"/>
          <w:sz w:val="24"/>
          <w:highlight w:val="none"/>
        </w:rPr>
        <w:t>（2）办理“意源”CA数字证书和“方正”电子签章（办理地址：无锡市滨湖区观山路199号12号楼二楼9号、10号窗口 咨询电话：0510-81827781），办理指南链接：http://jsxcmm.com/help/help.html。</w:t>
      </w:r>
    </w:p>
    <w:p w14:paraId="55D9D86C">
      <w:pPr>
        <w:spacing w:line="400" w:lineRule="exact"/>
        <w:ind w:firstLine="480"/>
        <w:rPr>
          <w:rFonts w:hint="eastAsia" w:ascii="宋体" w:hAnsi="宋体"/>
          <w:color w:val="auto"/>
          <w:sz w:val="24"/>
          <w:highlight w:val="none"/>
        </w:rPr>
      </w:pPr>
      <w:r>
        <w:rPr>
          <w:rFonts w:hint="eastAsia" w:ascii="宋体" w:hAnsi="宋体"/>
          <w:color w:val="auto"/>
          <w:sz w:val="24"/>
          <w:highlight w:val="none"/>
        </w:rPr>
        <w:t>（3）CA驱动下载：在“江苏省政府采购（苏采云）平台”账号登录页面，点击“驱动下载”链接中的“政务CA、方正签章控件驱动安装包及安装说明”可以直接下载驱动安装包，安装包中附有驱动安装手册。</w:t>
      </w:r>
    </w:p>
    <w:p w14:paraId="3199FCEF">
      <w:pPr>
        <w:spacing w:line="400" w:lineRule="exact"/>
        <w:ind w:firstLine="480"/>
        <w:rPr>
          <w:rFonts w:hint="eastAsia" w:ascii="宋体" w:hAnsi="宋体"/>
          <w:color w:val="auto"/>
          <w:sz w:val="24"/>
          <w:highlight w:val="none"/>
        </w:rPr>
      </w:pPr>
      <w:r>
        <w:rPr>
          <w:rFonts w:hint="eastAsia" w:ascii="宋体" w:hAnsi="宋体"/>
          <w:color w:val="auto"/>
          <w:sz w:val="24"/>
          <w:highlight w:val="none"/>
        </w:rPr>
        <w:t>2.完成苏采云注册的供应商方可在苏采云中进行CA绑定。登录“江苏省政府采购（苏采云）平台”，插入CA后，点击【账号设置】——【绑定CA】。</w:t>
      </w:r>
    </w:p>
    <w:p w14:paraId="12E1BA66">
      <w:pPr>
        <w:spacing w:line="400" w:lineRule="exact"/>
        <w:ind w:firstLine="480"/>
        <w:rPr>
          <w:rFonts w:hint="eastAsia" w:ascii="宋体" w:hAnsi="宋体"/>
          <w:color w:val="auto"/>
          <w:sz w:val="24"/>
          <w:highlight w:val="none"/>
        </w:rPr>
      </w:pPr>
      <w:r>
        <w:rPr>
          <w:rFonts w:hint="eastAsia" w:ascii="宋体" w:hAnsi="宋体"/>
          <w:color w:val="auto"/>
          <w:sz w:val="24"/>
          <w:highlight w:val="none"/>
        </w:rPr>
        <w:t>3.供应商应按上述要求提供相关材料及注册登记信息，所提供的材料应均是真实的、准确的，若有违背，供应商自行承担由此而产生的一切后果。</w:t>
      </w:r>
    </w:p>
    <w:p w14:paraId="0C55A47D">
      <w:pPr>
        <w:spacing w:line="400" w:lineRule="exact"/>
        <w:ind w:firstLine="480"/>
        <w:rPr>
          <w:rFonts w:hint="eastAsia" w:ascii="宋体" w:hAnsi="宋体"/>
          <w:color w:val="auto"/>
          <w:sz w:val="24"/>
          <w:highlight w:val="none"/>
        </w:rPr>
      </w:pPr>
      <w:r>
        <w:rPr>
          <w:rFonts w:hint="eastAsia" w:ascii="宋体" w:hAnsi="宋体"/>
          <w:color w:val="auto"/>
          <w:sz w:val="24"/>
          <w:highlight w:val="none"/>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299F33C5">
      <w:pPr>
        <w:spacing w:line="400" w:lineRule="exact"/>
        <w:ind w:firstLine="480"/>
        <w:rPr>
          <w:rFonts w:hint="eastAsia" w:ascii="宋体" w:hAnsi="宋体"/>
          <w:color w:val="auto"/>
          <w:sz w:val="24"/>
          <w:highlight w:val="none"/>
        </w:rPr>
      </w:pPr>
      <w:r>
        <w:rPr>
          <w:rFonts w:hint="eastAsia" w:ascii="宋体" w:hAnsi="宋体"/>
          <w:color w:val="auto"/>
          <w:sz w:val="24"/>
          <w:highlight w:val="none"/>
        </w:rPr>
        <w:t>技术服务电话：</w:t>
      </w:r>
      <w:r>
        <w:rPr>
          <w:rFonts w:hint="eastAsia" w:ascii="宋体" w:hAnsi="宋体" w:eastAsia="宋体" w:cs="宋体"/>
          <w:color w:val="auto"/>
          <w:sz w:val="24"/>
          <w:szCs w:val="24"/>
          <w:highlight w:val="none"/>
          <w:lang w:val="en-US" w:eastAsia="zh-CN"/>
        </w:rPr>
        <w:t>0510-</w:t>
      </w:r>
      <w:r>
        <w:rPr>
          <w:rFonts w:hint="eastAsia" w:ascii="宋体" w:hAnsi="宋体" w:eastAsia="宋体" w:cs="Times New Roman"/>
          <w:bCs/>
          <w:color w:val="auto"/>
          <w:sz w:val="24"/>
          <w:highlight w:val="none"/>
          <w:lang w:val="en-US" w:eastAsia="zh-CN"/>
        </w:rPr>
        <w:t>88027623、</w:t>
      </w:r>
      <w:r>
        <w:rPr>
          <w:rFonts w:hint="eastAsia" w:ascii="宋体" w:hAnsi="宋体" w:eastAsia="宋体" w:cs="Times New Roman"/>
          <w:bCs/>
          <w:color w:val="auto"/>
          <w:sz w:val="24"/>
          <w:highlight w:val="none"/>
        </w:rPr>
        <w:t>16651</w:t>
      </w:r>
      <w:r>
        <w:rPr>
          <w:rFonts w:hint="eastAsia" w:ascii="宋体" w:hAnsi="宋体" w:eastAsia="宋体" w:cs="宋体"/>
          <w:color w:val="auto"/>
          <w:sz w:val="24"/>
          <w:szCs w:val="24"/>
          <w:highlight w:val="none"/>
        </w:rPr>
        <w:t>529117</w:t>
      </w:r>
      <w:r>
        <w:rPr>
          <w:rFonts w:hint="eastAsia" w:ascii="宋体" w:hAnsi="宋体"/>
          <w:color w:val="auto"/>
          <w:sz w:val="24"/>
          <w:highlight w:val="none"/>
        </w:rPr>
        <w:t>（服务时间：工作日 9:00-11:30,13:00-17:00）</w:t>
      </w:r>
    </w:p>
    <w:p w14:paraId="078957FA">
      <w:pPr>
        <w:spacing w:line="400" w:lineRule="exact"/>
        <w:ind w:firstLine="480"/>
        <w:rPr>
          <w:rFonts w:hint="eastAsia" w:ascii="宋体" w:hAnsi="宋体"/>
          <w:color w:val="auto"/>
          <w:sz w:val="24"/>
          <w:highlight w:val="none"/>
        </w:rPr>
      </w:pPr>
      <w:r>
        <w:rPr>
          <w:rFonts w:hint="eastAsia" w:ascii="宋体" w:hAnsi="宋体"/>
          <w:color w:val="auto"/>
          <w:sz w:val="24"/>
          <w:highlight w:val="none"/>
        </w:rPr>
        <w:t>（二）获取招标文件，完成项目参与</w:t>
      </w:r>
    </w:p>
    <w:p w14:paraId="6E28A6BA">
      <w:pPr>
        <w:spacing w:line="400" w:lineRule="exact"/>
        <w:ind w:firstLine="480"/>
        <w:rPr>
          <w:rFonts w:hint="eastAsia" w:ascii="宋体" w:hAnsi="宋体"/>
          <w:color w:val="auto"/>
          <w:sz w:val="24"/>
          <w:highlight w:val="none"/>
        </w:rPr>
      </w:pPr>
      <w:r>
        <w:rPr>
          <w:rFonts w:hint="eastAsia" w:ascii="宋体" w:hAnsi="宋体"/>
          <w:color w:val="auto"/>
          <w:sz w:val="24"/>
          <w:highlight w:val="none"/>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7B021EDC">
      <w:pPr>
        <w:tabs>
          <w:tab w:val="left" w:pos="900"/>
        </w:tabs>
        <w:spacing w:line="324" w:lineRule="auto"/>
        <w:ind w:firstLine="480"/>
        <w:rPr>
          <w:rFonts w:hint="eastAsia" w:ascii="宋体" w:hAnsi="宋体"/>
          <w:color w:val="auto"/>
          <w:sz w:val="24"/>
          <w:highlight w:val="none"/>
        </w:rPr>
      </w:pPr>
      <w:r>
        <w:rPr>
          <w:rFonts w:hint="eastAsia" w:ascii="宋体" w:hAnsi="宋体"/>
          <w:color w:val="auto"/>
          <w:sz w:val="24"/>
          <w:highlight w:val="none"/>
        </w:rPr>
        <w:t>2.供应商通过苏采云平台提交数据电文形式的响应文件，通过苏采云平台进入“开标大厅”开启（解密）响应文件。推荐使用谷歌浏览器，参与苏采云平台不见面开标。</w:t>
      </w:r>
    </w:p>
    <w:p w14:paraId="22CE3B52">
      <w:p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七、本次招标联系事项：</w:t>
      </w:r>
    </w:p>
    <w:p w14:paraId="6AF3AA67">
      <w:pPr>
        <w:spacing w:line="400" w:lineRule="exact"/>
        <w:ind w:firstLine="482"/>
        <w:rPr>
          <w:rFonts w:hint="eastAsia" w:ascii="宋体" w:hAnsi="宋体" w:eastAsia="宋体" w:cs="宋体"/>
          <w:b/>
          <w:color w:val="auto"/>
          <w:sz w:val="24"/>
          <w:szCs w:val="24"/>
          <w:highlight w:val="none"/>
          <w:lang w:eastAsia="zh-CN"/>
        </w:rPr>
      </w:pPr>
      <w:bookmarkStart w:id="3" w:name="OLE_LINK8"/>
      <w:r>
        <w:rPr>
          <w:rFonts w:hint="eastAsia" w:ascii="宋体" w:hAnsi="宋体" w:cs="宋体"/>
          <w:b/>
          <w:color w:val="auto"/>
          <w:sz w:val="24"/>
          <w:szCs w:val="24"/>
          <w:highlight w:val="none"/>
          <w:lang w:eastAsia="zh-CN"/>
        </w:rPr>
        <w:t>江阴临港化工园区管理办公室</w:t>
      </w:r>
    </w:p>
    <w:p w14:paraId="457EB700">
      <w:pPr>
        <w:widowControl/>
        <w:spacing w:line="400" w:lineRule="exact"/>
        <w:ind w:firstLine="480"/>
        <w:jc w:val="lef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联 系 人：</w:t>
      </w:r>
      <w:r>
        <w:rPr>
          <w:rFonts w:hint="eastAsia" w:ascii="宋体" w:hAnsi="宋体"/>
          <w:color w:val="auto"/>
          <w:sz w:val="24"/>
          <w:szCs w:val="28"/>
          <w:highlight w:val="none"/>
          <w:lang w:val="en-US" w:eastAsia="zh-CN"/>
        </w:rPr>
        <w:t>钱</w:t>
      </w:r>
      <w:r>
        <w:rPr>
          <w:rFonts w:hint="eastAsia" w:ascii="宋体" w:hAnsi="宋体" w:cs="宋体"/>
          <w:color w:val="auto"/>
          <w:sz w:val="24"/>
          <w:highlight w:val="none"/>
          <w:lang w:eastAsia="zh-CN"/>
        </w:rPr>
        <w:t>先生</w:t>
      </w:r>
    </w:p>
    <w:p w14:paraId="0A54DBE4">
      <w:pPr>
        <w:widowControl/>
        <w:spacing w:line="400" w:lineRule="exact"/>
        <w:ind w:firstLine="480"/>
        <w:jc w:val="lef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联系电话：</w:t>
      </w:r>
      <w:r>
        <w:rPr>
          <w:rFonts w:hint="eastAsia" w:ascii="宋体" w:hAnsi="宋体" w:cs="宋体"/>
          <w:color w:val="auto"/>
          <w:sz w:val="24"/>
          <w:highlight w:val="none"/>
          <w:lang w:eastAsia="zh-CN"/>
        </w:rPr>
        <w:t>0510-86868851</w:t>
      </w:r>
    </w:p>
    <w:p w14:paraId="7366DF55">
      <w:pPr>
        <w:widowControl/>
        <w:spacing w:line="400" w:lineRule="exact"/>
        <w:ind w:firstLine="480"/>
        <w:jc w:val="lef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联系地址：</w:t>
      </w:r>
      <w:r>
        <w:rPr>
          <w:rFonts w:hint="eastAsia" w:ascii="宋体" w:hAnsi="宋体" w:cs="宋体"/>
          <w:bCs/>
          <w:color w:val="auto"/>
          <w:sz w:val="24"/>
          <w:szCs w:val="24"/>
          <w:highlight w:val="none"/>
          <w:lang w:eastAsia="zh-CN"/>
        </w:rPr>
        <w:t>江阴市滨江西路923号</w:t>
      </w:r>
    </w:p>
    <w:bookmarkEnd w:id="3"/>
    <w:p w14:paraId="7D9DABFF">
      <w:pPr>
        <w:spacing w:line="400" w:lineRule="exact"/>
        <w:ind w:firstLine="482"/>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eastAsia="zh-CN"/>
        </w:rPr>
        <w:t>正军项目管理集团有限公司</w:t>
      </w:r>
    </w:p>
    <w:p w14:paraId="23ABC0F6">
      <w:pPr>
        <w:spacing w:line="360" w:lineRule="auto"/>
        <w:ind w:firstLine="480"/>
        <w:rPr>
          <w:rFonts w:hint="eastAsia" w:ascii="宋体" w:hAnsi="宋体"/>
          <w:bCs/>
          <w:color w:val="auto"/>
          <w:sz w:val="24"/>
          <w:highlight w:val="none"/>
        </w:rPr>
      </w:pPr>
      <w:r>
        <w:rPr>
          <w:rFonts w:hint="eastAsia" w:ascii="宋体" w:hAnsi="宋体" w:cs="宋体"/>
          <w:color w:val="auto"/>
          <w:sz w:val="24"/>
          <w:highlight w:val="none"/>
        </w:rPr>
        <w:t>统一社会信用代码：91320</w:t>
      </w:r>
      <w:r>
        <w:rPr>
          <w:rFonts w:hint="eastAsia" w:ascii="宋体" w:hAnsi="宋体" w:cs="宋体"/>
          <w:color w:val="auto"/>
          <w:sz w:val="24"/>
          <w:highlight w:val="none"/>
          <w:lang w:val="en-US" w:eastAsia="zh-CN"/>
        </w:rPr>
        <w:t>8916821718859</w:t>
      </w:r>
      <w:r>
        <w:rPr>
          <w:rFonts w:hint="eastAsia" w:ascii="宋体" w:hAnsi="宋体"/>
          <w:bCs/>
          <w:color w:val="auto"/>
          <w:sz w:val="24"/>
          <w:highlight w:val="none"/>
        </w:rPr>
        <w:t xml:space="preserve">  </w:t>
      </w:r>
    </w:p>
    <w:p w14:paraId="7E3604C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联系人：</w:t>
      </w:r>
      <w:r>
        <w:rPr>
          <w:rFonts w:hint="eastAsia" w:ascii="宋体" w:hAnsi="宋体"/>
          <w:bCs/>
          <w:color w:val="auto"/>
          <w:sz w:val="24"/>
          <w:highlight w:val="none"/>
          <w:lang w:val="en-US" w:eastAsia="zh-CN"/>
        </w:rPr>
        <w:t>胡女士</w:t>
      </w:r>
      <w:r>
        <w:rPr>
          <w:rFonts w:hint="eastAsia" w:ascii="宋体" w:hAnsi="宋体"/>
          <w:bCs/>
          <w:color w:val="auto"/>
          <w:sz w:val="24"/>
          <w:highlight w:val="none"/>
        </w:rPr>
        <w:t xml:space="preserve">       </w:t>
      </w:r>
    </w:p>
    <w:p w14:paraId="3ADAB16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联系电话：18021191</w:t>
      </w:r>
      <w:r>
        <w:rPr>
          <w:rFonts w:hint="eastAsia" w:ascii="宋体" w:hAnsi="宋体"/>
          <w:bCs/>
          <w:color w:val="auto"/>
          <w:sz w:val="24"/>
          <w:highlight w:val="none"/>
          <w:lang w:val="en-US" w:eastAsia="zh-CN"/>
        </w:rPr>
        <w:t>8</w:t>
      </w:r>
      <w:r>
        <w:rPr>
          <w:rFonts w:hint="eastAsia" w:ascii="宋体" w:hAnsi="宋体"/>
          <w:bCs/>
          <w:color w:val="auto"/>
          <w:sz w:val="24"/>
          <w:highlight w:val="none"/>
        </w:rPr>
        <w:t>67</w:t>
      </w:r>
    </w:p>
    <w:p w14:paraId="1E8998FE">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邮箱：</w:t>
      </w:r>
      <w:r>
        <w:rPr>
          <w:rFonts w:hint="eastAsia" w:ascii="宋体" w:hAnsi="宋体"/>
          <w:bCs/>
          <w:color w:val="auto"/>
          <w:sz w:val="24"/>
          <w:highlight w:val="none"/>
        </w:rPr>
        <w:fldChar w:fldCharType="begin"/>
      </w:r>
      <w:r>
        <w:rPr>
          <w:rFonts w:hint="eastAsia" w:ascii="宋体" w:hAnsi="宋体"/>
          <w:bCs/>
          <w:color w:val="auto"/>
          <w:sz w:val="24"/>
          <w:highlight w:val="none"/>
        </w:rPr>
        <w:instrText xml:space="preserve"> HYPERLINK "mailto:36606249@qq.com" </w:instrText>
      </w:r>
      <w:r>
        <w:rPr>
          <w:rFonts w:hint="eastAsia" w:ascii="宋体" w:hAnsi="宋体"/>
          <w:bCs/>
          <w:color w:val="auto"/>
          <w:sz w:val="24"/>
          <w:highlight w:val="none"/>
        </w:rPr>
        <w:fldChar w:fldCharType="separate"/>
      </w:r>
      <w:r>
        <w:rPr>
          <w:rFonts w:hint="eastAsia" w:ascii="宋体" w:hAnsi="宋体"/>
          <w:bCs/>
          <w:color w:val="auto"/>
          <w:sz w:val="24"/>
          <w:highlight w:val="none"/>
          <w:lang w:eastAsia="zh-CN"/>
        </w:rPr>
        <w:t>29689034@qq.com</w:t>
      </w:r>
      <w:r>
        <w:rPr>
          <w:rFonts w:hint="eastAsia" w:ascii="宋体" w:hAnsi="宋体"/>
          <w:bCs/>
          <w:color w:val="auto"/>
          <w:sz w:val="24"/>
          <w:highlight w:val="none"/>
        </w:rPr>
        <w:fldChar w:fldCharType="end"/>
      </w:r>
    </w:p>
    <w:p w14:paraId="6D6453D0">
      <w:pPr>
        <w:spacing w:line="360" w:lineRule="auto"/>
        <w:ind w:firstLine="480"/>
        <w:rPr>
          <w:rFonts w:hint="eastAsia" w:ascii="宋体" w:hAnsi="宋体" w:eastAsia="宋体"/>
          <w:bCs/>
          <w:color w:val="auto"/>
          <w:sz w:val="24"/>
          <w:highlight w:val="none"/>
          <w:lang w:eastAsia="zh-CN"/>
        </w:rPr>
      </w:pPr>
      <w:r>
        <w:rPr>
          <w:rFonts w:hint="eastAsia" w:ascii="宋体" w:hAnsi="宋体"/>
          <w:bCs/>
          <w:color w:val="auto"/>
          <w:sz w:val="24"/>
          <w:highlight w:val="none"/>
        </w:rPr>
        <w:t>联系地址：</w:t>
      </w:r>
      <w:r>
        <w:rPr>
          <w:rFonts w:hint="eastAsia" w:ascii="宋体" w:hAnsi="宋体" w:cs="宋体"/>
          <w:color w:val="auto"/>
          <w:sz w:val="24"/>
          <w:szCs w:val="24"/>
          <w:highlight w:val="none"/>
          <w:lang w:eastAsia="zh-CN"/>
        </w:rPr>
        <w:t>江阴市新华路293号4楼</w:t>
      </w:r>
    </w:p>
    <w:p w14:paraId="5F33874C">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37C67387">
      <w:pPr>
        <w:spacing w:line="400" w:lineRule="exact"/>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highlight w:val="none"/>
        </w:rPr>
        <w:t>202</w:t>
      </w:r>
      <w:r>
        <w:rPr>
          <w:rFonts w:hint="eastAsia" w:ascii="宋体" w:hAnsi="宋体"/>
          <w:color w:val="auto"/>
          <w:sz w:val="24"/>
          <w:highlight w:val="none"/>
          <w:lang w:val="en-US" w:eastAsia="zh-CN"/>
        </w:rPr>
        <w:t>6</w:t>
      </w:r>
      <w:r>
        <w:rPr>
          <w:rFonts w:hint="eastAsia" w:ascii="宋体" w:hAnsi="宋体"/>
          <w:color w:val="auto"/>
          <w:sz w:val="24"/>
          <w:highlight w:val="none"/>
        </w:rPr>
        <w:t>年</w:t>
      </w:r>
      <w:r>
        <w:rPr>
          <w:rFonts w:hint="eastAsia" w:ascii="宋体" w:hAnsi="宋体"/>
          <w:color w:val="auto"/>
          <w:sz w:val="24"/>
          <w:highlight w:val="none"/>
          <w:lang w:val="en-US" w:eastAsia="zh-CN"/>
        </w:rPr>
        <w:t>4</w:t>
      </w:r>
      <w:r>
        <w:rPr>
          <w:rFonts w:hint="eastAsia" w:ascii="宋体" w:hAnsi="宋体"/>
          <w:color w:val="auto"/>
          <w:sz w:val="24"/>
          <w:highlight w:val="none"/>
        </w:rPr>
        <w:t>月</w:t>
      </w:r>
      <w:r>
        <w:rPr>
          <w:rFonts w:hint="eastAsia" w:ascii="宋体" w:hAnsi="宋体"/>
          <w:color w:val="auto"/>
          <w:sz w:val="24"/>
          <w:highlight w:val="none"/>
          <w:lang w:val="en-US" w:eastAsia="zh-CN"/>
        </w:rPr>
        <w:t>27</w:t>
      </w:r>
      <w:r>
        <w:rPr>
          <w:rFonts w:hint="eastAsia" w:ascii="宋体" w:hAnsi="宋体"/>
          <w:color w:val="auto"/>
          <w:sz w:val="24"/>
          <w:highlight w:val="none"/>
        </w:rPr>
        <w:t>日</w:t>
      </w:r>
    </w:p>
    <w:p w14:paraId="416E6ACB">
      <w:pPr>
        <w:spacing w:line="360" w:lineRule="auto"/>
        <w:jc w:val="center"/>
        <w:rPr>
          <w:rFonts w:hint="eastAsia" w:ascii="黑体" w:hAnsi="黑体" w:eastAsia="黑体" w:cs="黑体"/>
          <w:bCs/>
          <w:color w:val="auto"/>
          <w:sz w:val="28"/>
          <w:szCs w:val="28"/>
          <w:highlight w:val="none"/>
        </w:rPr>
      </w:pPr>
      <w:r>
        <w:rPr>
          <w:rFonts w:hint="eastAsia" w:ascii="黑体" w:hAnsi="黑体" w:eastAsia="黑体" w:cs="黑体"/>
          <w:color w:val="auto"/>
          <w:sz w:val="30"/>
          <w:szCs w:val="30"/>
          <w:highlight w:val="none"/>
        </w:rPr>
        <w:br w:type="page" w:clear="all"/>
      </w:r>
      <w:r>
        <w:rPr>
          <w:rFonts w:hint="eastAsia" w:ascii="黑体" w:hAnsi="黑体" w:eastAsia="黑体" w:cs="黑体"/>
          <w:color w:val="auto"/>
          <w:sz w:val="30"/>
          <w:szCs w:val="30"/>
          <w:highlight w:val="none"/>
        </w:rPr>
        <w:t>第二章　</w:t>
      </w:r>
      <w:r>
        <w:rPr>
          <w:rFonts w:hint="eastAsia" w:ascii="黑体" w:hAnsi="黑体" w:eastAsia="黑体" w:cs="黑体"/>
          <w:bCs/>
          <w:color w:val="auto"/>
          <w:sz w:val="28"/>
          <w:szCs w:val="28"/>
          <w:highlight w:val="none"/>
        </w:rPr>
        <w:t xml:space="preserve"> 投标人须知</w:t>
      </w:r>
    </w:p>
    <w:p w14:paraId="71CC71B9">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一、遵循原则</w:t>
      </w:r>
    </w:p>
    <w:p w14:paraId="7FABF62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公开透明原则、公平竞争原则、公正原则和诚实信用原则。</w:t>
      </w:r>
    </w:p>
    <w:p w14:paraId="6931AC4D">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二、招标文件</w:t>
      </w:r>
    </w:p>
    <w:p w14:paraId="753C6954">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1、招标文件包括本文件目录所列全部内容，投标人应仔细阅读，并在投标文件中充分反映招标文件的所有要求。</w:t>
      </w:r>
    </w:p>
    <w:p w14:paraId="1711A6B4">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2、招标文件中的“法定代表人”是指投标人的营业执照或相关部门的有效登记证明文件中的“法定代表人”或“负责人”。</w:t>
      </w:r>
    </w:p>
    <w:p w14:paraId="1663BC78">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3、投标人应在</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下载招标文件及有关资料，按招标文件要求提交全部资料并对招标文件各项内容做出实质性响应，否则投标无效。</w:t>
      </w:r>
    </w:p>
    <w:p w14:paraId="71F8BBB7">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4、投标人一旦参加本项目，即被认为接受了本招标文件中的所有条件和规定。</w:t>
      </w:r>
    </w:p>
    <w:p w14:paraId="037A8674">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5、招标文件仅作为本次采购投标使用。</w:t>
      </w:r>
    </w:p>
    <w:p w14:paraId="1D49FDBA">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三、招标文件的解释</w:t>
      </w:r>
    </w:p>
    <w:p w14:paraId="3649CC5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1、投标单位如有需要对招标文件要求澄清的问题，请以书面形式提出，均应在开标前十五日以书面形式提出（加盖公章），送至采购代理机构（</w:t>
      </w:r>
      <w:r>
        <w:rPr>
          <w:rFonts w:hint="eastAsia" w:ascii="宋体" w:hAnsi="宋体" w:cs="宋体"/>
          <w:bCs/>
          <w:color w:val="auto"/>
          <w:sz w:val="24"/>
          <w:szCs w:val="24"/>
          <w:highlight w:val="none"/>
          <w:lang w:eastAsia="zh-CN"/>
        </w:rPr>
        <w:t>江阴市新华路293号4楼</w:t>
      </w:r>
      <w:r>
        <w:rPr>
          <w:rFonts w:hint="eastAsia" w:ascii="宋体" w:hAnsi="宋体" w:cs="宋体"/>
          <w:color w:val="auto"/>
          <w:sz w:val="24"/>
          <w:szCs w:val="24"/>
          <w:highlight w:val="none"/>
        </w:rPr>
        <w:t>）</w:t>
      </w:r>
    </w:p>
    <w:p w14:paraId="6B53C2F6">
      <w:pPr>
        <w:spacing w:line="360" w:lineRule="auto"/>
        <w:ind w:firstLine="566"/>
        <w:rPr>
          <w:rFonts w:hint="eastAsia" w:ascii="宋体" w:hAnsi="宋体" w:cs="宋体"/>
          <w:color w:val="auto"/>
          <w:sz w:val="24"/>
          <w:szCs w:val="24"/>
          <w:highlight w:val="none"/>
        </w:rPr>
      </w:pPr>
      <w:r>
        <w:rPr>
          <w:rFonts w:hint="eastAsia" w:ascii="宋体" w:hAnsi="宋体" w:cs="宋体"/>
          <w:color w:val="auto"/>
          <w:sz w:val="24"/>
          <w:szCs w:val="24"/>
          <w:highlight w:val="none"/>
        </w:rPr>
        <w:t>2、本文件的最终解释权归采购人。</w:t>
      </w:r>
    </w:p>
    <w:p w14:paraId="1068AEB8">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四、招标文件的补充或修正：</w:t>
      </w:r>
    </w:p>
    <w:p w14:paraId="16FF35C7">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1、代理机构可以对已发出的招标文件进行必要的澄清或者修改。</w:t>
      </w:r>
    </w:p>
    <w:p w14:paraId="07664A81">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4838D06C">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3、澄清或者修改的内容可能影响投标文件编制的，代理机构将在投标截止时间至少15日前发布澄清公告；不足15日的顺延提交投标文件的截止时间和开标时间。</w:t>
      </w:r>
    </w:p>
    <w:p w14:paraId="12024717">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五、投标文件的组成</w:t>
      </w:r>
    </w:p>
    <w:p w14:paraId="50B394EA">
      <w:pPr>
        <w:spacing w:line="360" w:lineRule="auto"/>
        <w:ind w:left="420" w:firstLine="219"/>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投标文件由下列部分组成：</w:t>
      </w:r>
    </w:p>
    <w:p w14:paraId="2B4D4C56">
      <w:pPr>
        <w:spacing w:line="360" w:lineRule="auto"/>
        <w:ind w:firstLine="638"/>
        <w:rPr>
          <w:rFonts w:hint="eastAsia" w:ascii="宋体" w:hAnsi="宋体" w:cs="宋体"/>
          <w:color w:val="auto"/>
          <w:sz w:val="24"/>
          <w:szCs w:val="24"/>
          <w:highlight w:val="none"/>
        </w:rPr>
      </w:pPr>
      <w:r>
        <w:rPr>
          <w:rFonts w:hint="eastAsia" w:ascii="宋体" w:hAnsi="宋体" w:cs="宋体"/>
          <w:color w:val="auto"/>
          <w:sz w:val="24"/>
          <w:szCs w:val="24"/>
          <w:highlight w:val="none"/>
        </w:rPr>
        <w:t>（1）*投标函；</w:t>
      </w:r>
    </w:p>
    <w:p w14:paraId="088E916B">
      <w:pPr>
        <w:spacing w:line="360" w:lineRule="auto"/>
        <w:ind w:firstLine="638"/>
        <w:rPr>
          <w:rFonts w:hint="eastAsia" w:ascii="宋体" w:hAnsi="宋体" w:cs="宋体"/>
          <w:color w:val="auto"/>
          <w:sz w:val="24"/>
          <w:szCs w:val="24"/>
          <w:highlight w:val="none"/>
        </w:rPr>
      </w:pPr>
      <w:r>
        <w:rPr>
          <w:rFonts w:hint="eastAsia" w:ascii="宋体" w:hAnsi="宋体" w:cs="宋体"/>
          <w:color w:val="auto"/>
          <w:sz w:val="24"/>
          <w:szCs w:val="24"/>
          <w:highlight w:val="none"/>
        </w:rPr>
        <w:t>（2）*开标一览表；</w:t>
      </w:r>
    </w:p>
    <w:p w14:paraId="352FF43B">
      <w:pPr>
        <w:spacing w:line="360" w:lineRule="auto"/>
        <w:ind w:firstLine="638"/>
        <w:rPr>
          <w:rFonts w:eastAsia="宋体"/>
          <w:color w:val="auto"/>
          <w:highlight w:val="none"/>
          <w:lang w:val="en-US" w:eastAsia="zh-CN"/>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报价明细表；</w:t>
      </w:r>
    </w:p>
    <w:p w14:paraId="101ABE87">
      <w:pPr>
        <w:spacing w:line="360" w:lineRule="auto"/>
        <w:ind w:firstLine="638"/>
        <w:rPr>
          <w:rFonts w:hint="eastAsia" w:ascii="宋体" w:hAnsi="宋体"/>
          <w:color w:val="auto"/>
          <w:sz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w:t>
      </w:r>
      <w:r>
        <w:rPr>
          <w:rFonts w:hint="eastAsia" w:ascii="宋体" w:hAnsi="宋体"/>
          <w:color w:val="auto"/>
          <w:sz w:val="24"/>
          <w:highlight w:val="none"/>
        </w:rPr>
        <w:t>项目服务方案；</w:t>
      </w:r>
    </w:p>
    <w:p w14:paraId="3A78BF9B">
      <w:pPr>
        <w:spacing w:line="360" w:lineRule="auto"/>
        <w:ind w:firstLine="638"/>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w:t>
      </w:r>
      <w:r>
        <w:rPr>
          <w:rFonts w:hint="eastAsia" w:ascii="宋体" w:hAnsi="宋体"/>
          <w:color w:val="auto"/>
          <w:sz w:val="24"/>
          <w:highlight w:val="none"/>
        </w:rPr>
        <w:t>投标</w:t>
      </w:r>
      <w:r>
        <w:rPr>
          <w:rFonts w:hint="eastAsia" w:ascii="宋体" w:hAnsi="宋体"/>
          <w:bCs/>
          <w:color w:val="auto"/>
          <w:sz w:val="24"/>
          <w:highlight w:val="none"/>
        </w:rPr>
        <w:t>偏离表；</w:t>
      </w:r>
    </w:p>
    <w:p w14:paraId="12DAAC86">
      <w:pPr>
        <w:spacing w:line="360" w:lineRule="auto"/>
        <w:ind w:firstLine="638"/>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）*投标人综合实力；</w:t>
      </w:r>
    </w:p>
    <w:p w14:paraId="1ABB9137">
      <w:pPr>
        <w:spacing w:line="360" w:lineRule="auto"/>
        <w:ind w:firstLine="638"/>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）*资格证明文件：</w:t>
      </w:r>
    </w:p>
    <w:p w14:paraId="233E1C1A">
      <w:pPr>
        <w:spacing w:line="360" w:lineRule="auto"/>
        <w:ind w:firstLine="482"/>
        <w:rPr>
          <w:rFonts w:hint="eastAsia" w:ascii="宋体" w:hAnsi="宋体" w:cs="宋体"/>
          <w:b/>
          <w:bCs/>
          <w:color w:val="auto"/>
          <w:sz w:val="24"/>
          <w:szCs w:val="24"/>
          <w:highlight w:val="none"/>
        </w:rPr>
      </w:pPr>
      <w:bookmarkStart w:id="4" w:name="OLE_LINK9"/>
      <w:r>
        <w:rPr>
          <w:rFonts w:hint="eastAsia" w:ascii="宋体" w:hAnsi="宋体" w:cs="宋体"/>
          <w:b/>
          <w:bCs/>
          <w:color w:val="auto"/>
          <w:sz w:val="24"/>
          <w:szCs w:val="24"/>
          <w:highlight w:val="none"/>
        </w:rPr>
        <w:t>文件1：企业法人营业执照副本或其他有效登记证书（</w:t>
      </w:r>
      <w:r>
        <w:rPr>
          <w:rFonts w:hint="eastAsia" w:ascii="宋体" w:hAnsi="宋体"/>
          <w:b/>
          <w:bCs/>
          <w:color w:val="auto"/>
          <w:sz w:val="24"/>
          <w:highlight w:val="none"/>
        </w:rPr>
        <w:t>扫描件</w:t>
      </w:r>
      <w:r>
        <w:rPr>
          <w:rFonts w:hint="eastAsia" w:ascii="宋体" w:hAnsi="宋体" w:cs="宋体"/>
          <w:b/>
          <w:bCs/>
          <w:color w:val="auto"/>
          <w:sz w:val="24"/>
          <w:szCs w:val="24"/>
          <w:highlight w:val="none"/>
        </w:rPr>
        <w:t>）</w:t>
      </w:r>
    </w:p>
    <w:p w14:paraId="5C4006EC">
      <w:pPr>
        <w:spacing w:line="400" w:lineRule="exact"/>
        <w:ind w:firstLine="482"/>
        <w:rPr>
          <w:rFonts w:ascii="宋体" w:hAnsi="宋体"/>
          <w:bCs/>
          <w:color w:val="auto"/>
          <w:sz w:val="24"/>
          <w:highlight w:val="none"/>
        </w:rPr>
      </w:pPr>
      <w:r>
        <w:rPr>
          <w:rFonts w:hint="eastAsia" w:ascii="宋体" w:hAnsi="宋体" w:cs="宋体"/>
          <w:b/>
          <w:bCs/>
          <w:color w:val="auto"/>
          <w:sz w:val="24"/>
          <w:szCs w:val="24"/>
          <w:highlight w:val="none"/>
        </w:rPr>
        <w:t>文件</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w:t>
      </w:r>
      <w:r>
        <w:rPr>
          <w:rFonts w:hint="eastAsia" w:ascii="宋体" w:hAnsi="宋体"/>
          <w:bCs/>
          <w:color w:val="auto"/>
          <w:sz w:val="24"/>
          <w:highlight w:val="none"/>
        </w:rPr>
        <w:t>法定代表人授权委托书（法定代表人签署投标文件且亲自参与的必须提供《法定代表人亲自投标声明》）</w:t>
      </w:r>
      <w:r>
        <w:rPr>
          <w:rFonts w:hint="eastAsia" w:ascii="宋体" w:hAnsi="宋体" w:cs="宋体"/>
          <w:color w:val="auto"/>
          <w:sz w:val="24"/>
          <w:highlight w:val="none"/>
        </w:rPr>
        <w:t>【授权委托人必须提供本单位近3个月中任意1个月份&lt;可不含投标当月&gt;）为其缴纳社保的证明扫描件】。</w:t>
      </w:r>
    </w:p>
    <w:p w14:paraId="402A105A">
      <w:pPr>
        <w:spacing w:line="400" w:lineRule="exact"/>
        <w:ind w:firstLine="482"/>
        <w:rPr>
          <w:rFonts w:hint="eastAsia" w:ascii="宋体" w:hAnsi="宋体"/>
          <w:b/>
          <w:bCs/>
          <w:color w:val="auto"/>
          <w:sz w:val="24"/>
          <w:szCs w:val="28"/>
          <w:highlight w:val="none"/>
        </w:rPr>
      </w:pPr>
      <w:bookmarkStart w:id="5" w:name="OLE_LINK2"/>
      <w:r>
        <w:rPr>
          <w:rFonts w:hint="eastAsia" w:ascii="宋体" w:hAnsi="宋体" w:cs="宋体"/>
          <w:b/>
          <w:bCs/>
          <w:color w:val="auto"/>
          <w:sz w:val="24"/>
          <w:szCs w:val="24"/>
          <w:highlight w:val="none"/>
        </w:rPr>
        <w:t>文件</w:t>
      </w: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rPr>
        <w:t>：</w:t>
      </w:r>
      <w:r>
        <w:rPr>
          <w:rFonts w:hint="eastAsia" w:ascii="宋体" w:hAnsi="宋体"/>
          <w:b/>
          <w:bCs/>
          <w:color w:val="auto"/>
          <w:sz w:val="24"/>
          <w:szCs w:val="28"/>
          <w:highlight w:val="none"/>
        </w:rPr>
        <w:t>提供格式条款《关于资格的声明函》</w:t>
      </w:r>
    </w:p>
    <w:bookmarkEnd w:id="5"/>
    <w:p w14:paraId="08B4C573">
      <w:pPr>
        <w:spacing w:line="400" w:lineRule="exact"/>
        <w:ind w:firstLine="241"/>
        <w:rPr>
          <w:rFonts w:hint="eastAsia" w:ascii="宋体" w:hAnsi="宋体"/>
          <w:b/>
          <w:bCs/>
          <w:color w:val="auto"/>
          <w:sz w:val="24"/>
          <w:szCs w:val="28"/>
          <w:highlight w:val="none"/>
        </w:rPr>
      </w:pPr>
      <w:r>
        <w:rPr>
          <w:rFonts w:hint="eastAsia" w:ascii="宋体" w:hAnsi="宋体" w:cs="宋体"/>
          <w:b/>
          <w:bCs/>
          <w:color w:val="auto"/>
          <w:sz w:val="24"/>
          <w:szCs w:val="24"/>
          <w:highlight w:val="none"/>
        </w:rPr>
        <w:t xml:space="preserve">  文件</w:t>
      </w:r>
      <w:r>
        <w:rPr>
          <w:rFonts w:hint="eastAsia" w:ascii="宋体" w:hAnsi="宋体" w:cs="宋体"/>
          <w:b/>
          <w:bCs/>
          <w:color w:val="auto"/>
          <w:sz w:val="24"/>
          <w:szCs w:val="24"/>
          <w:highlight w:val="none"/>
          <w:lang w:val="en-US" w:eastAsia="zh-CN"/>
        </w:rPr>
        <w:t>4</w:t>
      </w:r>
      <w:r>
        <w:rPr>
          <w:rFonts w:hint="eastAsia" w:ascii="宋体" w:hAnsi="宋体" w:cs="宋体"/>
          <w:b/>
          <w:bCs/>
          <w:color w:val="auto"/>
          <w:sz w:val="24"/>
          <w:szCs w:val="24"/>
          <w:highlight w:val="none"/>
        </w:rPr>
        <w:t>：</w:t>
      </w:r>
      <w:r>
        <w:rPr>
          <w:rFonts w:hint="eastAsia" w:ascii="宋体" w:hAnsi="宋体"/>
          <w:b/>
          <w:bCs/>
          <w:color w:val="auto"/>
          <w:sz w:val="24"/>
          <w:highlight w:val="none"/>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bookmarkEnd w:id="4"/>
    <w:p w14:paraId="0939B092">
      <w:pPr>
        <w:spacing w:line="360" w:lineRule="auto"/>
        <w:ind w:firstLine="480"/>
        <w:rPr>
          <w:rFonts w:ascii="宋体" w:hAnsi="宋体"/>
          <w:bCs/>
          <w:color w:val="auto"/>
          <w:sz w:val="24"/>
          <w:highlight w:val="none"/>
        </w:rPr>
      </w:pPr>
      <w:r>
        <w:rPr>
          <w:rFonts w:hint="eastAsia" w:ascii="宋体" w:hAnsi="宋体"/>
          <w:color w:val="auto"/>
          <w:sz w:val="24"/>
          <w:szCs w:val="28"/>
          <w:highlight w:val="none"/>
        </w:rPr>
        <w:t>（</w:t>
      </w:r>
      <w:r>
        <w:rPr>
          <w:rFonts w:hint="eastAsia" w:ascii="宋体" w:hAnsi="宋体"/>
          <w:color w:val="auto"/>
          <w:sz w:val="24"/>
          <w:szCs w:val="28"/>
          <w:highlight w:val="none"/>
          <w:lang w:val="en-US" w:eastAsia="zh-CN"/>
        </w:rPr>
        <w:t>8</w:t>
      </w:r>
      <w:r>
        <w:rPr>
          <w:rFonts w:hint="eastAsia" w:ascii="宋体" w:hAnsi="宋体"/>
          <w:color w:val="auto"/>
          <w:sz w:val="24"/>
          <w:szCs w:val="28"/>
          <w:highlight w:val="none"/>
        </w:rPr>
        <w:t>）</w:t>
      </w:r>
      <w:r>
        <w:rPr>
          <w:rFonts w:hint="eastAsia" w:ascii="宋体" w:hAnsi="宋体"/>
          <w:bCs/>
          <w:color w:val="auto"/>
          <w:sz w:val="24"/>
          <w:szCs w:val="28"/>
          <w:highlight w:val="none"/>
        </w:rPr>
        <w:t>评分标准中对应的其它所需证明材料</w:t>
      </w:r>
    </w:p>
    <w:p w14:paraId="0067CD91">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w:t>
      </w:r>
      <w:r>
        <w:rPr>
          <w:rFonts w:hint="eastAsia" w:ascii="宋体" w:hAnsi="宋体"/>
          <w:color w:val="auto"/>
          <w:sz w:val="24"/>
          <w:szCs w:val="28"/>
          <w:highlight w:val="none"/>
          <w:lang w:val="en-US" w:eastAsia="zh-CN"/>
        </w:rPr>
        <w:t>9</w:t>
      </w:r>
      <w:r>
        <w:rPr>
          <w:rFonts w:hint="eastAsia" w:ascii="宋体" w:hAnsi="宋体"/>
          <w:color w:val="auto"/>
          <w:sz w:val="24"/>
          <w:szCs w:val="28"/>
          <w:highlight w:val="none"/>
        </w:rPr>
        <w:t>）投标人</w:t>
      </w:r>
      <w:r>
        <w:rPr>
          <w:rFonts w:ascii="宋体" w:hAnsi="宋体"/>
          <w:color w:val="auto"/>
          <w:sz w:val="24"/>
          <w:szCs w:val="28"/>
          <w:highlight w:val="none"/>
        </w:rPr>
        <w:t>认为需要提供的其他证明文件</w:t>
      </w:r>
    </w:p>
    <w:p w14:paraId="5986C790">
      <w:p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注：</w:t>
      </w:r>
    </w:p>
    <w:p w14:paraId="47690574">
      <w:pPr>
        <w:spacing w:line="400" w:lineRule="exact"/>
        <w:ind w:firstLine="470"/>
        <w:rPr>
          <w:rFonts w:ascii="宋体" w:hAnsi="宋体"/>
          <w:b/>
          <w:color w:val="auto"/>
          <w:sz w:val="24"/>
          <w:highlight w:val="none"/>
        </w:rPr>
      </w:pPr>
      <w:r>
        <w:rPr>
          <w:rFonts w:hint="eastAsia" w:ascii="宋体" w:hAnsi="宋体"/>
          <w:color w:val="auto"/>
          <w:sz w:val="24"/>
          <w:highlight w:val="none"/>
        </w:rPr>
        <w:t>①其中加“*”项目若有缺失或无效，将作为无效投标文件。</w:t>
      </w:r>
    </w:p>
    <w:p w14:paraId="550C0B52">
      <w:pPr>
        <w:spacing w:line="400" w:lineRule="exact"/>
        <w:ind w:firstLine="470"/>
        <w:rPr>
          <w:rFonts w:ascii="Tahoma" w:hAnsi="Tahoma" w:cs="Tahoma"/>
          <w:color w:val="auto"/>
          <w:sz w:val="24"/>
          <w:highlight w:val="none"/>
        </w:rPr>
      </w:pPr>
      <w:r>
        <w:rPr>
          <w:rFonts w:hint="eastAsia" w:ascii="宋体" w:hAnsi="宋体"/>
          <w:color w:val="auto"/>
          <w:sz w:val="24"/>
          <w:highlight w:val="none"/>
        </w:rPr>
        <w:t>②</w:t>
      </w:r>
      <w:r>
        <w:rPr>
          <w:rFonts w:hint="eastAsia" w:ascii="Tahoma" w:hAnsi="Tahoma" w:cs="Tahoma"/>
          <w:color w:val="auto"/>
          <w:sz w:val="24"/>
          <w:highlight w:val="none"/>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74A2ABA3">
      <w:pPr>
        <w:spacing w:line="400" w:lineRule="exact"/>
        <w:ind w:firstLine="470"/>
        <w:rPr>
          <w:rFonts w:ascii="Tahoma" w:hAnsi="Tahoma" w:cs="Tahoma"/>
          <w:color w:val="auto"/>
          <w:sz w:val="24"/>
          <w:highlight w:val="none"/>
        </w:rPr>
      </w:pPr>
      <w:r>
        <w:rPr>
          <w:rFonts w:hint="eastAsia" w:ascii="Tahoma" w:hAnsi="Tahoma" w:cs="Tahoma"/>
          <w:color w:val="auto"/>
          <w:sz w:val="24"/>
          <w:highlight w:val="none"/>
        </w:rPr>
        <w:t>③</w:t>
      </w:r>
      <w:r>
        <w:rPr>
          <w:rFonts w:hint="eastAsia" w:ascii="Tahoma" w:hAnsi="Tahoma" w:cs="Tahoma"/>
          <w:b/>
          <w:bCs/>
          <w:color w:val="auto"/>
          <w:sz w:val="24"/>
          <w:highlight w:val="none"/>
        </w:rPr>
        <w:t>授权委托人提供以人事代理、控股子公司等代收代缴形式缴纳社保的证明，属于无效证明文件。</w:t>
      </w:r>
      <w:r>
        <w:rPr>
          <w:rFonts w:hint="eastAsia" w:ascii="Tahoma" w:hAnsi="Tahoma" w:cs="Tahoma"/>
          <w:color w:val="auto"/>
          <w:sz w:val="24"/>
          <w:highlight w:val="none"/>
        </w:rPr>
        <w:t>新成立的单位若不能提供授权委托人的社保缴纳证明，可提供自成立以来的相关证明。新成立的单位是指营业执照颁发日期在本项目开标之日前六个月内。</w:t>
      </w:r>
    </w:p>
    <w:p w14:paraId="298C9AFB">
      <w:pPr>
        <w:spacing w:line="400" w:lineRule="exact"/>
        <w:ind w:firstLine="470"/>
        <w:rPr>
          <w:rFonts w:ascii="Tahoma" w:hAnsi="Tahoma" w:cs="Tahoma"/>
          <w:color w:val="auto"/>
          <w:sz w:val="24"/>
          <w:highlight w:val="none"/>
        </w:rPr>
      </w:pPr>
      <w:r>
        <w:rPr>
          <w:rFonts w:hint="eastAsia" w:ascii="Tahoma" w:hAnsi="Tahoma" w:cs="Tahoma"/>
          <w:color w:val="auto"/>
          <w:sz w:val="24"/>
          <w:highlight w:val="none"/>
        </w:rPr>
        <w:t>④投标文件构成资料为非中文时应提供中文译版。</w:t>
      </w:r>
    </w:p>
    <w:p w14:paraId="373FD194">
      <w:pPr>
        <w:spacing w:line="400" w:lineRule="exact"/>
        <w:ind w:firstLine="470"/>
        <w:rPr>
          <w:rFonts w:hint="eastAsia" w:ascii="Tahoma" w:hAnsi="Tahoma" w:cs="Tahoma"/>
          <w:color w:val="auto"/>
          <w:sz w:val="24"/>
          <w:highlight w:val="none"/>
        </w:rPr>
      </w:pPr>
      <w:r>
        <w:rPr>
          <w:rFonts w:hint="eastAsia" w:ascii="Tahoma" w:hAnsi="Tahoma" w:cs="Tahoma"/>
          <w:color w:val="auto"/>
          <w:sz w:val="24"/>
          <w:highlight w:val="none"/>
        </w:rPr>
        <w:t>⑤招标文件要求提供证书证件等原件电子件的，投标人提供的电子件应是对证书证件等原件通过扫描、拍照等方式进行数字化的可被电子交易平台识别的数字文件，否则评标委员会可以视其未提供。</w:t>
      </w:r>
    </w:p>
    <w:p w14:paraId="1B329159">
      <w:pPr>
        <w:spacing w:line="400" w:lineRule="exact"/>
        <w:ind w:firstLine="470"/>
        <w:rPr>
          <w:rFonts w:hint="eastAsia" w:ascii="Tahoma" w:hAnsi="Tahoma" w:cs="Tahoma"/>
          <w:color w:val="auto"/>
          <w:sz w:val="24"/>
          <w:highlight w:val="none"/>
        </w:rPr>
      </w:pPr>
      <w:r>
        <w:rPr>
          <w:rFonts w:hint="eastAsia" w:ascii="宋体" w:hAnsi="宋体"/>
          <w:color w:val="auto"/>
          <w:sz w:val="24"/>
          <w:highlight w:val="none"/>
        </w:rPr>
        <w:t>⑥联合体投标的，由联合体牵头单位编制、提交投标文件。</w:t>
      </w:r>
    </w:p>
    <w:p w14:paraId="2972F68B">
      <w:pPr>
        <w:spacing w:line="400" w:lineRule="exact"/>
        <w:ind w:firstLine="470"/>
        <w:rPr>
          <w:rFonts w:ascii="Tahoma" w:hAnsi="Tahoma" w:cs="Tahoma"/>
          <w:color w:val="auto"/>
          <w:sz w:val="24"/>
          <w:highlight w:val="none"/>
        </w:rPr>
      </w:pPr>
      <w:r>
        <w:rPr>
          <w:rFonts w:hint="eastAsia" w:ascii="宋体" w:hAnsi="宋体"/>
          <w:color w:val="auto"/>
          <w:sz w:val="24"/>
          <w:highlight w:val="none"/>
        </w:rPr>
        <w:t>⑦本项目不接受纸质投标文件</w:t>
      </w:r>
      <w:r>
        <w:rPr>
          <w:rFonts w:hint="eastAsia" w:ascii="Tahoma" w:hAnsi="Tahoma" w:cs="Tahoma"/>
          <w:color w:val="auto"/>
          <w:sz w:val="24"/>
          <w:highlight w:val="none"/>
        </w:rPr>
        <w:t>。</w:t>
      </w:r>
    </w:p>
    <w:p w14:paraId="4758E616">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b/>
          <w:color w:val="auto"/>
          <w:sz w:val="24"/>
          <w:szCs w:val="24"/>
          <w:highlight w:val="none"/>
        </w:rPr>
        <w:t>六、投标文件的制作、提交与解密：</w:t>
      </w:r>
    </w:p>
    <w:p w14:paraId="7F288129">
      <w:pPr>
        <w:spacing w:line="360" w:lineRule="auto"/>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6C10B504">
      <w:pPr>
        <w:spacing w:line="360" w:lineRule="auto"/>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2、本项目采用远程不见面交易模式。通过不见面交易系统及相应的配套硬件设备（摄像头、话筒、麦克风等）完成远程解密、开标现场异议及回复、开标唱标、等交互环节。相关要求和说明如下：</w:t>
      </w:r>
    </w:p>
    <w:p w14:paraId="22F0D81C">
      <w:pPr>
        <w:spacing w:line="360" w:lineRule="auto"/>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①远程开标项目的时间均以国家授时中心发布的时间为准；</w:t>
      </w:r>
    </w:p>
    <w:p w14:paraId="40E45F71">
      <w:pPr>
        <w:spacing w:line="360" w:lineRule="auto"/>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②开标当日，投标人不必抵达开标现场；</w:t>
      </w:r>
    </w:p>
    <w:p w14:paraId="21A912E0">
      <w:pPr>
        <w:spacing w:line="360" w:lineRule="auto"/>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5D68B6F6">
      <w:pPr>
        <w:spacing w:line="360" w:lineRule="auto"/>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6511BAFD">
      <w:pPr>
        <w:spacing w:line="360" w:lineRule="auto"/>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4E22CABB">
      <w:pPr>
        <w:spacing w:line="360" w:lineRule="auto"/>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554DCF54">
      <w:pPr>
        <w:spacing w:line="360" w:lineRule="auto"/>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00572894">
      <w:pPr>
        <w:spacing w:line="360" w:lineRule="auto"/>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79335A69">
      <w:pPr>
        <w:spacing w:line="360" w:lineRule="auto"/>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3、投标的有效期为开标后90天。</w:t>
      </w:r>
    </w:p>
    <w:p w14:paraId="3D3A0BEA">
      <w:pPr>
        <w:spacing w:line="360" w:lineRule="auto"/>
        <w:ind w:firstLine="720"/>
        <w:rPr>
          <w:rFonts w:hint="eastAsia" w:ascii="宋体" w:hAnsi="宋体" w:cs="宋体"/>
          <w:bCs/>
          <w:color w:val="auto"/>
          <w:sz w:val="24"/>
          <w:szCs w:val="24"/>
          <w:highlight w:val="none"/>
        </w:rPr>
      </w:pPr>
      <w:r>
        <w:rPr>
          <w:rFonts w:hint="eastAsia" w:ascii="宋体" w:hAnsi="宋体" w:cs="宋体"/>
          <w:color w:val="auto"/>
          <w:sz w:val="24"/>
          <w:szCs w:val="24"/>
          <w:highlight w:val="none"/>
        </w:rPr>
        <w:t>4、投标费用自理。</w:t>
      </w:r>
    </w:p>
    <w:p w14:paraId="31D7F0EF">
      <w:pPr>
        <w:tabs>
          <w:tab w:val="left" w:pos="945"/>
        </w:tabs>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七、无效投标文件的确认：</w:t>
      </w:r>
    </w:p>
    <w:p w14:paraId="12EC3EE7">
      <w:pPr>
        <w:tabs>
          <w:tab w:val="left" w:pos="525"/>
          <w:tab w:val="left" w:pos="945"/>
        </w:tabs>
        <w:spacing w:line="360" w:lineRule="auto"/>
        <w:ind w:left="524"/>
        <w:rPr>
          <w:rFonts w:hint="eastAsia" w:ascii="宋体" w:hAnsi="宋体" w:cs="宋体"/>
          <w:b/>
          <w:color w:val="auto"/>
          <w:sz w:val="24"/>
          <w:szCs w:val="24"/>
          <w:highlight w:val="none"/>
        </w:rPr>
      </w:pPr>
      <w:r>
        <w:rPr>
          <w:rFonts w:hint="eastAsia" w:ascii="宋体" w:hAnsi="宋体" w:cs="宋体"/>
          <w:b/>
          <w:color w:val="auto"/>
          <w:sz w:val="24"/>
          <w:szCs w:val="24"/>
          <w:highlight w:val="none"/>
        </w:rPr>
        <w:t>（一）投标人存在下列情况之一的，其投标无效：</w:t>
      </w:r>
    </w:p>
    <w:p w14:paraId="3718E6D5">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1、投标文件未按招标文件要求签署、盖章的；</w:t>
      </w:r>
    </w:p>
    <w:p w14:paraId="46ED920C">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2、不具备招标文件中规定的资格要求的，未提供格式条款《关于资格的声明函》承</w:t>
      </w:r>
    </w:p>
    <w:p w14:paraId="57F2B01E">
      <w:pPr>
        <w:spacing w:line="360" w:lineRule="auto"/>
        <w:ind w:left="480" w:hanging="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诺书或者对该承诺书作实质性修改的；                                             </w:t>
      </w:r>
    </w:p>
    <w:p w14:paraId="0D80AD73">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3、报价超过招标文件中规定的预算金额或者最高限价的；                       </w:t>
      </w:r>
    </w:p>
    <w:p w14:paraId="08CE8A5C">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4、投标文件含有采购人不能接受的附加条件的；                               </w:t>
      </w:r>
    </w:p>
    <w:p w14:paraId="0F0C7A2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5、投标文件未按规定的期限、地点送达的；                                   </w:t>
      </w:r>
    </w:p>
    <w:p w14:paraId="5AEB1FFA">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6、投标文件内容未实质性响应或不符合法律法规和招标文件中规定的其它实质性要</w:t>
      </w:r>
    </w:p>
    <w:p w14:paraId="5C01855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求的；</w:t>
      </w:r>
    </w:p>
    <w:p w14:paraId="1308DE5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7、投标文件中同一方案有选择性报价且未声明以哪一个为准的；</w:t>
      </w:r>
    </w:p>
    <w:p w14:paraId="18FA17EA">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8、不响应招标文件中的付款方式的。</w:t>
      </w:r>
    </w:p>
    <w:p w14:paraId="39346D55">
      <w:pPr>
        <w:tabs>
          <w:tab w:val="left" w:pos="525"/>
          <w:tab w:val="left" w:pos="945"/>
        </w:tabs>
        <w:spacing w:line="360" w:lineRule="auto"/>
        <w:ind w:left="524"/>
        <w:rPr>
          <w:rFonts w:hint="eastAsia" w:ascii="宋体" w:hAnsi="宋体" w:cs="宋体"/>
          <w:color w:val="auto"/>
          <w:sz w:val="24"/>
          <w:szCs w:val="24"/>
          <w:highlight w:val="none"/>
        </w:rPr>
      </w:pPr>
      <w:r>
        <w:rPr>
          <w:rFonts w:hint="eastAsia" w:ascii="宋体" w:hAnsi="宋体" w:cs="宋体"/>
          <w:bCs/>
          <w:color w:val="auto"/>
          <w:sz w:val="24"/>
          <w:szCs w:val="24"/>
          <w:highlight w:val="none"/>
        </w:rPr>
        <w:t>9、提供虚假材料的（包括工商营业执照、财务报表、资格、资信证明文件等）；</w:t>
      </w:r>
    </w:p>
    <w:p w14:paraId="2E04ED85">
      <w:pPr>
        <w:tabs>
          <w:tab w:val="left" w:pos="525"/>
          <w:tab w:val="left" w:pos="945"/>
        </w:tabs>
        <w:spacing w:line="360" w:lineRule="auto"/>
        <w:ind w:left="524"/>
        <w:rPr>
          <w:rFonts w:hint="eastAsia" w:ascii="宋体" w:hAnsi="宋体" w:cs="宋体"/>
          <w:b/>
          <w:color w:val="auto"/>
          <w:sz w:val="24"/>
          <w:szCs w:val="24"/>
          <w:highlight w:val="none"/>
        </w:rPr>
      </w:pPr>
      <w:r>
        <w:rPr>
          <w:rFonts w:hint="eastAsia" w:ascii="宋体" w:hAnsi="宋体" w:cs="宋体"/>
          <w:b/>
          <w:color w:val="auto"/>
          <w:sz w:val="24"/>
          <w:szCs w:val="24"/>
          <w:highlight w:val="none"/>
        </w:rPr>
        <w:t>（二）投标人有下列情形之一的，视为串通投标，其投标无效，并按《政府采购法》第七十七条规定追究法律责任：</w:t>
      </w:r>
    </w:p>
    <w:p w14:paraId="51F73B5C">
      <w:pPr>
        <w:tabs>
          <w:tab w:val="left" w:pos="525"/>
          <w:tab w:val="left" w:pos="945"/>
        </w:tabs>
        <w:spacing w:line="360" w:lineRule="auto"/>
        <w:ind w:left="524"/>
        <w:rPr>
          <w:rFonts w:hint="eastAsia" w:ascii="宋体" w:hAnsi="宋体" w:cs="宋体"/>
          <w:bCs/>
          <w:color w:val="auto"/>
          <w:sz w:val="24"/>
          <w:szCs w:val="24"/>
          <w:highlight w:val="none"/>
        </w:rPr>
      </w:pPr>
      <w:r>
        <w:rPr>
          <w:rFonts w:hint="eastAsia" w:ascii="宋体" w:hAnsi="宋体" w:cs="宋体"/>
          <w:bCs/>
          <w:color w:val="auto"/>
          <w:sz w:val="24"/>
          <w:szCs w:val="24"/>
          <w:highlight w:val="none"/>
        </w:rPr>
        <w:t>1、投标单位直接或间接从采购人或采购代理机构处获得其他投标单位的投标情况，并修改其投标文件；</w:t>
      </w:r>
    </w:p>
    <w:p w14:paraId="6338192C">
      <w:pPr>
        <w:tabs>
          <w:tab w:val="left" w:pos="525"/>
          <w:tab w:val="left" w:pos="945"/>
        </w:tabs>
        <w:spacing w:line="360" w:lineRule="auto"/>
        <w:ind w:left="524"/>
        <w:rPr>
          <w:rFonts w:hint="eastAsia" w:ascii="宋体" w:hAnsi="宋体" w:cs="宋体"/>
          <w:bCs/>
          <w:color w:val="auto"/>
          <w:sz w:val="24"/>
          <w:szCs w:val="24"/>
          <w:highlight w:val="none"/>
        </w:rPr>
      </w:pPr>
      <w:r>
        <w:rPr>
          <w:rFonts w:hint="eastAsia" w:ascii="宋体" w:hAnsi="宋体" w:cs="宋体"/>
          <w:bCs/>
          <w:color w:val="auto"/>
          <w:sz w:val="24"/>
          <w:szCs w:val="24"/>
          <w:highlight w:val="none"/>
        </w:rPr>
        <w:t>2、评审活动开始前投标单位直接或间接从采购人或采购代理机构处获得评标委员会组成人员情况；</w:t>
      </w:r>
    </w:p>
    <w:p w14:paraId="6636BEFB">
      <w:pPr>
        <w:tabs>
          <w:tab w:val="left" w:pos="525"/>
          <w:tab w:val="left" w:pos="945"/>
        </w:tabs>
        <w:spacing w:line="360" w:lineRule="auto"/>
        <w:ind w:left="524"/>
        <w:rPr>
          <w:rFonts w:hint="eastAsia" w:ascii="宋体" w:hAnsi="宋体" w:cs="宋体"/>
          <w:bCs/>
          <w:color w:val="auto"/>
          <w:sz w:val="24"/>
          <w:szCs w:val="24"/>
          <w:highlight w:val="none"/>
        </w:rPr>
      </w:pPr>
      <w:r>
        <w:rPr>
          <w:rFonts w:hint="eastAsia" w:ascii="宋体" w:hAnsi="宋体" w:cs="宋体"/>
          <w:bCs/>
          <w:color w:val="auto"/>
          <w:sz w:val="24"/>
          <w:szCs w:val="24"/>
          <w:highlight w:val="none"/>
        </w:rPr>
        <w:t>3、投标单位接受采购人或采购代理机构授意撤换、修改投标文件；</w:t>
      </w:r>
    </w:p>
    <w:p w14:paraId="3E30AC1C">
      <w:pPr>
        <w:tabs>
          <w:tab w:val="left" w:pos="525"/>
          <w:tab w:val="left" w:pos="945"/>
        </w:tabs>
        <w:spacing w:line="360" w:lineRule="auto"/>
        <w:ind w:left="524"/>
        <w:rPr>
          <w:rFonts w:hint="eastAsia" w:ascii="宋体" w:hAnsi="宋体" w:cs="宋体"/>
          <w:bCs/>
          <w:color w:val="auto"/>
          <w:sz w:val="24"/>
          <w:szCs w:val="24"/>
          <w:highlight w:val="none"/>
        </w:rPr>
      </w:pPr>
      <w:r>
        <w:rPr>
          <w:rFonts w:hint="eastAsia" w:ascii="宋体" w:hAnsi="宋体" w:cs="宋体"/>
          <w:bCs/>
          <w:color w:val="auto"/>
          <w:sz w:val="24"/>
          <w:szCs w:val="24"/>
          <w:highlight w:val="none"/>
        </w:rPr>
        <w:t>4、投标单位之间协商投标报价、技术方案等投标文件实质性内容；</w:t>
      </w:r>
    </w:p>
    <w:p w14:paraId="5FE73527">
      <w:pPr>
        <w:tabs>
          <w:tab w:val="left" w:pos="525"/>
          <w:tab w:val="left" w:pos="945"/>
        </w:tabs>
        <w:spacing w:line="360" w:lineRule="auto"/>
        <w:ind w:left="524"/>
        <w:rPr>
          <w:rFonts w:hint="eastAsia" w:ascii="宋体" w:hAnsi="宋体" w:cs="宋体"/>
          <w:bCs/>
          <w:color w:val="auto"/>
          <w:sz w:val="24"/>
          <w:szCs w:val="24"/>
          <w:highlight w:val="none"/>
        </w:rPr>
      </w:pPr>
      <w:r>
        <w:rPr>
          <w:rFonts w:hint="eastAsia" w:ascii="宋体" w:hAnsi="宋体" w:cs="宋体"/>
          <w:bCs/>
          <w:color w:val="auto"/>
          <w:sz w:val="24"/>
          <w:szCs w:val="24"/>
          <w:highlight w:val="none"/>
        </w:rPr>
        <w:t>5、属于同一集团、协会、商会等组织成员的投标单位按照该组织要求协同投标；</w:t>
      </w:r>
    </w:p>
    <w:p w14:paraId="6ECF8583">
      <w:pPr>
        <w:tabs>
          <w:tab w:val="left" w:pos="525"/>
          <w:tab w:val="left" w:pos="945"/>
        </w:tabs>
        <w:spacing w:line="360" w:lineRule="auto"/>
        <w:ind w:left="524"/>
        <w:rPr>
          <w:rFonts w:hint="eastAsia" w:ascii="宋体" w:hAnsi="宋体" w:cs="宋体"/>
          <w:bCs/>
          <w:color w:val="auto"/>
          <w:sz w:val="24"/>
          <w:szCs w:val="24"/>
          <w:highlight w:val="none"/>
        </w:rPr>
      </w:pPr>
      <w:r>
        <w:rPr>
          <w:rFonts w:hint="eastAsia" w:ascii="宋体" w:hAnsi="宋体" w:cs="宋体"/>
          <w:bCs/>
          <w:color w:val="auto"/>
          <w:sz w:val="24"/>
          <w:szCs w:val="24"/>
          <w:highlight w:val="none"/>
        </w:rPr>
        <w:t>6、投标单位之间事先约定由某一特定投标单位中标；</w:t>
      </w:r>
    </w:p>
    <w:p w14:paraId="723D2AAF">
      <w:pPr>
        <w:tabs>
          <w:tab w:val="left" w:pos="525"/>
          <w:tab w:val="left" w:pos="945"/>
        </w:tabs>
        <w:spacing w:line="360" w:lineRule="auto"/>
        <w:ind w:left="524"/>
        <w:rPr>
          <w:rFonts w:hint="eastAsia" w:ascii="宋体" w:hAnsi="宋体" w:cs="宋体"/>
          <w:bCs/>
          <w:color w:val="auto"/>
          <w:sz w:val="24"/>
          <w:szCs w:val="24"/>
          <w:highlight w:val="none"/>
        </w:rPr>
      </w:pPr>
      <w:r>
        <w:rPr>
          <w:rFonts w:hint="eastAsia" w:ascii="宋体" w:hAnsi="宋体" w:cs="宋体"/>
          <w:bCs/>
          <w:color w:val="auto"/>
          <w:sz w:val="24"/>
          <w:szCs w:val="24"/>
          <w:highlight w:val="none"/>
        </w:rPr>
        <w:t>7、投标单位之间商定部分投标单位放弃投标或者放弃中标；</w:t>
      </w:r>
    </w:p>
    <w:p w14:paraId="01C412D9">
      <w:pPr>
        <w:tabs>
          <w:tab w:val="left" w:pos="525"/>
          <w:tab w:val="left" w:pos="945"/>
        </w:tabs>
        <w:spacing w:line="360" w:lineRule="auto"/>
        <w:ind w:left="524"/>
        <w:rPr>
          <w:rFonts w:hint="eastAsia" w:ascii="宋体" w:hAnsi="宋体" w:cs="宋体"/>
          <w:bCs/>
          <w:color w:val="auto"/>
          <w:sz w:val="24"/>
          <w:szCs w:val="24"/>
          <w:highlight w:val="none"/>
        </w:rPr>
      </w:pPr>
      <w:r>
        <w:rPr>
          <w:rFonts w:hint="eastAsia" w:ascii="宋体" w:hAnsi="宋体" w:cs="宋体"/>
          <w:bCs/>
          <w:color w:val="auto"/>
          <w:sz w:val="24"/>
          <w:szCs w:val="24"/>
          <w:highlight w:val="none"/>
        </w:rPr>
        <w:t>8、投标单位与采购人或采购代理机构之间、投标单位相互之间为谋求特定投标单位中标成交或者排斥其他投标单位的其他串通行为；</w:t>
      </w:r>
    </w:p>
    <w:p w14:paraId="59F4F4E2">
      <w:pPr>
        <w:tabs>
          <w:tab w:val="left" w:pos="525"/>
          <w:tab w:val="left" w:pos="945"/>
        </w:tabs>
        <w:spacing w:line="360" w:lineRule="auto"/>
        <w:ind w:left="524"/>
        <w:rPr>
          <w:rFonts w:hint="eastAsia" w:ascii="宋体" w:hAnsi="宋体" w:cs="宋体"/>
          <w:bCs/>
          <w:color w:val="auto"/>
          <w:sz w:val="24"/>
          <w:szCs w:val="24"/>
          <w:highlight w:val="none"/>
        </w:rPr>
      </w:pPr>
      <w:r>
        <w:rPr>
          <w:rFonts w:hint="eastAsia" w:ascii="宋体" w:hAnsi="宋体" w:cs="宋体"/>
          <w:bCs/>
          <w:color w:val="auto"/>
          <w:sz w:val="24"/>
          <w:szCs w:val="24"/>
          <w:highlight w:val="none"/>
        </w:rPr>
        <w:t>9、不同投标人的投标文件由同一单位或者个人编制；</w:t>
      </w:r>
    </w:p>
    <w:p w14:paraId="36E2582A">
      <w:pPr>
        <w:tabs>
          <w:tab w:val="left" w:pos="525"/>
          <w:tab w:val="left" w:pos="945"/>
        </w:tabs>
        <w:spacing w:line="360" w:lineRule="auto"/>
        <w:ind w:left="524"/>
        <w:rPr>
          <w:rFonts w:hint="eastAsia" w:ascii="宋体" w:hAnsi="宋体" w:cs="宋体"/>
          <w:bCs/>
          <w:color w:val="auto"/>
          <w:sz w:val="24"/>
          <w:szCs w:val="24"/>
          <w:highlight w:val="none"/>
        </w:rPr>
      </w:pPr>
      <w:r>
        <w:rPr>
          <w:rFonts w:hint="eastAsia" w:ascii="宋体" w:hAnsi="宋体" w:cs="宋体"/>
          <w:bCs/>
          <w:color w:val="auto"/>
          <w:sz w:val="24"/>
          <w:szCs w:val="24"/>
          <w:highlight w:val="none"/>
        </w:rPr>
        <w:t>10、不同投标人委托同一单位或者个人办理投标事宜；</w:t>
      </w:r>
    </w:p>
    <w:p w14:paraId="199C8ABE">
      <w:pPr>
        <w:tabs>
          <w:tab w:val="left" w:pos="525"/>
          <w:tab w:val="left" w:pos="945"/>
        </w:tabs>
        <w:spacing w:line="360" w:lineRule="auto"/>
        <w:ind w:left="524"/>
        <w:rPr>
          <w:rFonts w:hint="eastAsia" w:ascii="宋体" w:hAnsi="宋体" w:cs="宋体"/>
          <w:bCs/>
          <w:color w:val="auto"/>
          <w:sz w:val="24"/>
          <w:szCs w:val="24"/>
          <w:highlight w:val="none"/>
        </w:rPr>
      </w:pPr>
      <w:r>
        <w:rPr>
          <w:rFonts w:hint="eastAsia" w:ascii="宋体" w:hAnsi="宋体" w:cs="宋体"/>
          <w:bCs/>
          <w:color w:val="auto"/>
          <w:sz w:val="24"/>
          <w:szCs w:val="24"/>
          <w:highlight w:val="none"/>
        </w:rPr>
        <w:t>11、不同投标人的投标文件载明的项目管理成员为同一人；</w:t>
      </w:r>
    </w:p>
    <w:p w14:paraId="7C462A54">
      <w:pPr>
        <w:tabs>
          <w:tab w:val="left" w:pos="525"/>
          <w:tab w:val="left" w:pos="945"/>
        </w:tabs>
        <w:spacing w:line="360" w:lineRule="auto"/>
        <w:ind w:left="524"/>
        <w:rPr>
          <w:rFonts w:hint="eastAsia" w:ascii="宋体" w:hAnsi="宋体" w:cs="宋体"/>
          <w:bCs/>
          <w:color w:val="auto"/>
          <w:sz w:val="24"/>
          <w:szCs w:val="24"/>
          <w:highlight w:val="none"/>
        </w:rPr>
      </w:pPr>
      <w:r>
        <w:rPr>
          <w:rFonts w:hint="eastAsia" w:ascii="宋体" w:hAnsi="宋体" w:cs="宋体"/>
          <w:bCs/>
          <w:color w:val="auto"/>
          <w:sz w:val="24"/>
          <w:szCs w:val="24"/>
          <w:highlight w:val="none"/>
        </w:rPr>
        <w:t>12、不同投标人的投标文件异常一致或者投标报价呈规律性差异；</w:t>
      </w:r>
    </w:p>
    <w:p w14:paraId="49E4F4A1">
      <w:pPr>
        <w:tabs>
          <w:tab w:val="left" w:pos="525"/>
          <w:tab w:val="left" w:pos="945"/>
        </w:tabs>
        <w:spacing w:line="360" w:lineRule="auto"/>
        <w:ind w:left="524"/>
        <w:rPr>
          <w:rFonts w:hint="eastAsia" w:ascii="宋体" w:hAnsi="宋体" w:cs="宋体"/>
          <w:bCs/>
          <w:color w:val="auto"/>
          <w:sz w:val="24"/>
          <w:szCs w:val="24"/>
          <w:highlight w:val="none"/>
        </w:rPr>
      </w:pPr>
      <w:r>
        <w:rPr>
          <w:rFonts w:hint="eastAsia" w:ascii="宋体" w:hAnsi="宋体" w:cs="宋体"/>
          <w:bCs/>
          <w:color w:val="auto"/>
          <w:sz w:val="24"/>
          <w:szCs w:val="24"/>
          <w:highlight w:val="none"/>
        </w:rPr>
        <w:t>13、不同投标人的投标文件相互混装；</w:t>
      </w:r>
    </w:p>
    <w:p w14:paraId="53464E94">
      <w:pPr>
        <w:tabs>
          <w:tab w:val="left" w:pos="525"/>
          <w:tab w:val="left" w:pos="945"/>
        </w:tabs>
        <w:spacing w:line="360" w:lineRule="auto"/>
        <w:ind w:left="524"/>
        <w:rPr>
          <w:rFonts w:hint="eastAsia" w:ascii="宋体" w:hAnsi="宋体" w:cs="宋体"/>
          <w:bCs/>
          <w:color w:val="auto"/>
          <w:sz w:val="24"/>
          <w:szCs w:val="24"/>
          <w:highlight w:val="none"/>
        </w:rPr>
      </w:pPr>
      <w:r>
        <w:rPr>
          <w:rFonts w:hint="eastAsia" w:ascii="宋体" w:hAnsi="宋体" w:cs="宋体"/>
          <w:bCs/>
          <w:color w:val="auto"/>
          <w:sz w:val="24"/>
          <w:szCs w:val="24"/>
          <w:highlight w:val="none"/>
        </w:rPr>
        <w:t>14、法律、法规和招标文件规定的其他无效情形。</w:t>
      </w:r>
    </w:p>
    <w:p w14:paraId="1F8B7152">
      <w:pPr>
        <w:tabs>
          <w:tab w:val="left" w:pos="525"/>
          <w:tab w:val="left" w:pos="945"/>
        </w:tabs>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八、开标、评标：</w:t>
      </w:r>
    </w:p>
    <w:p w14:paraId="7D856D33">
      <w:pPr>
        <w:tabs>
          <w:tab w:val="left" w:pos="525"/>
          <w:tab w:val="left" w:pos="945"/>
        </w:tabs>
        <w:spacing w:line="360" w:lineRule="auto"/>
        <w:ind w:left="524"/>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（一）开标</w:t>
      </w:r>
    </w:p>
    <w:p w14:paraId="39D704E9">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1、开标由采购代理机构主持。</w:t>
      </w:r>
    </w:p>
    <w:p w14:paraId="2ED81D98">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2、开标过程由采购代理机构工作人员负责记录。</w:t>
      </w:r>
    </w:p>
    <w:p w14:paraId="7CAA2F1C">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3、投标人未参加开标的，视同认可开标结果。</w:t>
      </w:r>
    </w:p>
    <w:p w14:paraId="7CC6B675">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（二）评标</w:t>
      </w:r>
    </w:p>
    <w:p w14:paraId="76AF1969">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1、采购人依法组成资格审查小组，对投标人的资格进行审查。</w:t>
      </w:r>
    </w:p>
    <w:p w14:paraId="050086D4">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2、采购人代表和评审专家依法组建评标委员会，评审专家实行回避制度。</w:t>
      </w:r>
    </w:p>
    <w:p w14:paraId="0B7C21CB">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3、资格性检查：依据法律法规和招标文件的规定，资格审查小组对投标文件中的资格证明文件进行审查，以确定投标投标单位是否具备投标资格。</w:t>
      </w:r>
    </w:p>
    <w:p w14:paraId="59CADE13">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资格审查小组将在“信用中国”网站（</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"http://www.creditchina.gov.cn"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www.credi</w:t>
      </w:r>
      <w:bookmarkStart w:id="6" w:name="_Hlt531866603"/>
      <w:r>
        <w:rPr>
          <w:rFonts w:hint="eastAsia" w:ascii="宋体" w:hAnsi="宋体" w:cs="宋体"/>
          <w:bCs/>
          <w:color w:val="auto"/>
          <w:sz w:val="24"/>
          <w:szCs w:val="24"/>
          <w:highlight w:val="none"/>
        </w:rPr>
        <w:t>t</w:t>
      </w:r>
      <w:bookmarkEnd w:id="6"/>
      <w:r>
        <w:rPr>
          <w:rFonts w:hint="eastAsia" w:ascii="宋体" w:hAnsi="宋体" w:cs="宋体"/>
          <w:bCs/>
          <w:color w:val="auto"/>
          <w:sz w:val="24"/>
          <w:szCs w:val="24"/>
          <w:highlight w:val="none"/>
        </w:rPr>
        <w: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）、中国政府采购网（</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"http://www.ccgp.gov.cn"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http://www.</w:t>
      </w:r>
      <w:bookmarkStart w:id="7" w:name="_Hlt531866630"/>
      <w:r>
        <w:rPr>
          <w:rFonts w:hint="eastAsia" w:ascii="宋体" w:hAnsi="宋体" w:cs="宋体"/>
          <w:bCs/>
          <w:color w:val="auto"/>
          <w:sz w:val="24"/>
          <w:szCs w:val="24"/>
          <w:highlight w:val="none"/>
        </w:rPr>
        <w:t>c</w:t>
      </w:r>
      <w:bookmarkEnd w:id="7"/>
      <w:r>
        <w:rPr>
          <w:rFonts w:hint="eastAsia" w:ascii="宋体" w:hAnsi="宋体" w:cs="宋体"/>
          <w:bCs/>
          <w:color w:val="auto"/>
          <w:sz w:val="24"/>
          <w:szCs w:val="24"/>
          <w:highlight w:val="none"/>
        </w:rPr>
        <w:t>cgp.gov.cn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）、“信用江苏”网站（</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"http://www.jscredit.gov.cn"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www.jscre</w:t>
      </w:r>
      <w:bookmarkStart w:id="8" w:name="_Hlt531866608"/>
      <w:bookmarkStart w:id="9" w:name="_Hlt531866607"/>
      <w:r>
        <w:rPr>
          <w:rFonts w:hint="eastAsia" w:ascii="宋体" w:hAnsi="宋体" w:cs="宋体"/>
          <w:bCs/>
          <w:color w:val="auto"/>
          <w:sz w:val="24"/>
          <w:szCs w:val="24"/>
          <w:highlight w:val="none"/>
        </w:rPr>
        <w:t>d</w:t>
      </w:r>
      <w:bookmarkEnd w:id="8"/>
      <w:bookmarkEnd w:id="9"/>
      <w:r>
        <w:rPr>
          <w:rFonts w:hint="eastAsia" w:ascii="宋体" w:hAnsi="宋体" w:cs="宋体"/>
          <w:bCs/>
          <w:color w:val="auto"/>
          <w:sz w:val="24"/>
          <w:szCs w:val="24"/>
          <w:highlight w:val="none"/>
        </w:rPr>
        <w:t>it.gov.cn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）对投标单位是否被列入失信被执行人、重大税收违法案件当事人名单、政府采购严重失信行为记录名单情况进行查询，以确定投标单位是否具备参加投标的资格。</w:t>
      </w:r>
    </w:p>
    <w:p w14:paraId="6A45A8E0">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接受联合体的项目，两个以上的自然人、法人或者其他组织组成一个联合体，以一个投标单位的身份共同参加政府采购活动的，联合体成员存在不良信用记录的，视同联合体存在不良应用记录。</w:t>
      </w:r>
    </w:p>
    <w:p w14:paraId="765A84D4">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4、符合性检查：依据招标文件的规定，评标委员会从投标文件的有效性、完整性和对招标文件的响应程度进行审查，以确定是否对招标文件的实质性要求作出响应。</w:t>
      </w:r>
    </w:p>
    <w:p w14:paraId="02E9F09B">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6FD0B5DA">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（1）投标文件没有投标单位法定代表人或授权代表签字和加盖公章</w:t>
      </w:r>
    </w:p>
    <w:p w14:paraId="62B63D8F">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（2）投标文件载明的采购项目的完成期限超过招标文件规定的期限</w:t>
      </w:r>
    </w:p>
    <w:p w14:paraId="20B6F854">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（3）投标文件严重背离招标文件中确定的技术功能要求</w:t>
      </w:r>
    </w:p>
    <w:p w14:paraId="17742BC4">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（4）投标文件附有采购人不能接受的商务条件</w:t>
      </w:r>
    </w:p>
    <w:p w14:paraId="2EC29620">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（5）不符合招标文件中规定的其他实质性要求</w:t>
      </w:r>
    </w:p>
    <w:p w14:paraId="1DF95028">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确定投标文件的响应性只根据投标文件本身的内容，而不寻求外部证据。</w:t>
      </w:r>
    </w:p>
    <w:p w14:paraId="74EC71AE">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如果投标文件没有实质上响应招标文件的要求，采购人将予以拒绝。投标人不得通过修正或撤消不合要求的偏离或保留从而使其投标成为实质上响应的投标。</w:t>
      </w:r>
    </w:p>
    <w:p w14:paraId="3BB58312">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olor w:val="auto"/>
          <w:sz w:val="24"/>
          <w:highlight w:val="none"/>
        </w:rPr>
        <w:t>6、评标办法：投标供应商通过初审的，方可进入比较与评价程序。评标委员会应当按照招标文件中规定的评标方法和标准，对符合性审查合格的投标文件进行商务和技术评估，综合比较与评价。具体办法和标准详见招标文件第五章《评标方法和评标标准》。</w:t>
      </w:r>
    </w:p>
    <w:p w14:paraId="42F27DAE">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7、投标文件的澄清：对于投标文件中含义不明确、同类问题表述不一致或者有明显文字和计算错误的内容，评标委员会应当以书面形式要求投标人作出必要的澄清、说明或者补正。</w:t>
      </w:r>
    </w:p>
    <w:p w14:paraId="2F95F403">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2F3AA992">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8、投标文件报价出现前后不一致的，按照下列规定修正：</w:t>
      </w:r>
    </w:p>
    <w:p w14:paraId="04F42249">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（一）投标文件中开标一览表（报价表）内容与投标文件中相应内容不一致的，以开标一览表（报价表）为准；</w:t>
      </w:r>
    </w:p>
    <w:p w14:paraId="2AABAC11">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（二）大写金额和小写金额不一致的，以大写金额为准；</w:t>
      </w:r>
    </w:p>
    <w:p w14:paraId="42B8B20F">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（三）单价金额小数点或者百分比有明显错位的，以开标一览表的总价为准，并修改单价；</w:t>
      </w:r>
    </w:p>
    <w:p w14:paraId="685841A0">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（四）总价金额与按单价汇总金额不一致的，以单价金额计算结果为准。</w:t>
      </w:r>
    </w:p>
    <w:p w14:paraId="54A1D106">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同时出现两种以上不一致的，按照前款规定的顺序修正。修正后的报价按照《政府采购货物和服务招标投标管理办法》第五十一条第二款的规定经投标人确认后产生约束力，投标人不确认的，其投标无效。</w:t>
      </w:r>
    </w:p>
    <w:p w14:paraId="70156905">
      <w:pPr>
        <w:spacing w:line="360" w:lineRule="auto"/>
        <w:ind w:firstLine="480"/>
        <w:rPr>
          <w:rFonts w:hint="eastAsia" w:ascii="宋体" w:hAnsi="宋体" w:eastAsia="宋体" w:cs="宋体"/>
          <w:color w:val="0000FF"/>
          <w:sz w:val="24"/>
          <w:highlight w:val="none"/>
        </w:rPr>
      </w:pPr>
      <w:r>
        <w:rPr>
          <w:rFonts w:hint="eastAsia" w:ascii="宋体" w:hAnsi="宋体" w:cs="宋体"/>
          <w:bCs/>
          <w:color w:val="0000FF"/>
          <w:sz w:val="24"/>
          <w:szCs w:val="24"/>
          <w:highlight w:val="none"/>
        </w:rPr>
        <w:t>9、</w:t>
      </w:r>
      <w:r>
        <w:rPr>
          <w:rFonts w:hint="eastAsia" w:ascii="宋体" w:hAnsi="宋体" w:eastAsia="宋体" w:cs="宋体"/>
          <w:color w:val="0000FF"/>
          <w:sz w:val="24"/>
          <w:highlight w:val="none"/>
        </w:rPr>
        <w:t>本项目执行“关于推动解决政府采购异常低价问题的通知（财库〔2026〕2号）”文件。评审过程中出现下列情形之一的，评审委员会将启动异常低价投标（响应）审查程序：</w:t>
      </w:r>
    </w:p>
    <w:p w14:paraId="4D02B381">
      <w:pPr>
        <w:spacing w:line="360" w:lineRule="auto"/>
        <w:ind w:firstLine="480"/>
        <w:rPr>
          <w:rFonts w:hint="eastAsia" w:ascii="宋体" w:hAnsi="宋体" w:eastAsia="宋体" w:cs="宋体"/>
          <w:color w:val="0000FF"/>
          <w:sz w:val="24"/>
          <w:highlight w:val="none"/>
        </w:rPr>
      </w:pPr>
      <w:r>
        <w:rPr>
          <w:rFonts w:hint="eastAsia" w:ascii="宋体" w:hAnsi="宋体" w:eastAsia="宋体" w:cs="宋体"/>
          <w:color w:val="0000FF"/>
          <w:sz w:val="24"/>
          <w:highlight w:val="none"/>
          <w:lang w:val="en-US" w:eastAsia="zh-CN"/>
        </w:rPr>
        <w:t>9</w:t>
      </w:r>
      <w:r>
        <w:rPr>
          <w:rFonts w:hint="eastAsia" w:ascii="宋体" w:hAnsi="宋体" w:eastAsia="宋体" w:cs="宋体"/>
          <w:color w:val="0000FF"/>
          <w:sz w:val="24"/>
          <w:highlight w:val="none"/>
        </w:rPr>
        <w:t>.1投标（响应）报价低于全部通过符合性审查供应商投标（响应）报价平均值50%的，即投标（响应）报价&lt;全部通过符合性审查供应商投标（响应）报价平均值×50%；</w:t>
      </w:r>
    </w:p>
    <w:p w14:paraId="2DF90687">
      <w:pPr>
        <w:spacing w:line="360" w:lineRule="auto"/>
        <w:ind w:firstLine="480"/>
        <w:rPr>
          <w:rFonts w:hint="eastAsia" w:ascii="宋体" w:hAnsi="宋体" w:eastAsia="宋体" w:cs="宋体"/>
          <w:color w:val="0000FF"/>
          <w:sz w:val="24"/>
          <w:highlight w:val="none"/>
        </w:rPr>
      </w:pPr>
      <w:r>
        <w:rPr>
          <w:rFonts w:hint="eastAsia" w:ascii="宋体" w:hAnsi="宋体" w:eastAsia="宋体" w:cs="宋体"/>
          <w:color w:val="0000FF"/>
          <w:sz w:val="24"/>
          <w:highlight w:val="none"/>
          <w:lang w:val="en-US" w:eastAsia="zh-CN"/>
        </w:rPr>
        <w:t>9</w:t>
      </w:r>
      <w:r>
        <w:rPr>
          <w:rFonts w:hint="eastAsia" w:ascii="宋体" w:hAnsi="宋体" w:eastAsia="宋体" w:cs="宋体"/>
          <w:color w:val="0000FF"/>
          <w:sz w:val="24"/>
          <w:highlight w:val="none"/>
        </w:rPr>
        <w:t>.2投标（响应）报价低于通过符合性审查的次低报价供应商投标（响应）报价50%的，即投标（响应）报价&lt;通过符合性审查的次低报价供应商投标（响应）报价×50%；</w:t>
      </w:r>
    </w:p>
    <w:p w14:paraId="3F198DB9">
      <w:pPr>
        <w:spacing w:line="360" w:lineRule="auto"/>
        <w:ind w:firstLine="480"/>
        <w:rPr>
          <w:rFonts w:hint="eastAsia" w:ascii="宋体" w:hAnsi="宋体" w:eastAsia="宋体" w:cs="宋体"/>
          <w:color w:val="0000FF"/>
          <w:sz w:val="24"/>
          <w:highlight w:val="none"/>
        </w:rPr>
      </w:pPr>
      <w:r>
        <w:rPr>
          <w:rFonts w:hint="eastAsia" w:ascii="宋体" w:hAnsi="宋体" w:eastAsia="宋体" w:cs="宋体"/>
          <w:color w:val="0000FF"/>
          <w:sz w:val="24"/>
          <w:highlight w:val="none"/>
          <w:lang w:val="en-US" w:eastAsia="zh-CN"/>
        </w:rPr>
        <w:t>9</w:t>
      </w:r>
      <w:r>
        <w:rPr>
          <w:rFonts w:hint="eastAsia" w:ascii="宋体" w:hAnsi="宋体" w:eastAsia="宋体" w:cs="宋体"/>
          <w:color w:val="0000FF"/>
          <w:sz w:val="24"/>
          <w:highlight w:val="none"/>
        </w:rPr>
        <w:t>.3投标（响应）报价低于采购项目最高限价45%的，即投标（响应）报价&lt;采购项目最高限价×45%；</w:t>
      </w:r>
    </w:p>
    <w:p w14:paraId="169E0340">
      <w:pPr>
        <w:spacing w:line="360" w:lineRule="auto"/>
        <w:ind w:firstLine="480"/>
        <w:rPr>
          <w:rFonts w:hint="eastAsia" w:ascii="宋体" w:hAnsi="宋体" w:eastAsia="宋体" w:cs="宋体"/>
          <w:color w:val="0000FF"/>
          <w:sz w:val="24"/>
          <w:highlight w:val="none"/>
        </w:rPr>
      </w:pPr>
      <w:r>
        <w:rPr>
          <w:rFonts w:hint="eastAsia" w:ascii="宋体" w:hAnsi="宋体" w:eastAsia="宋体" w:cs="宋体"/>
          <w:color w:val="0000FF"/>
          <w:sz w:val="24"/>
          <w:highlight w:val="none"/>
          <w:lang w:val="en-US" w:eastAsia="zh-CN"/>
        </w:rPr>
        <w:t>9</w:t>
      </w:r>
      <w:r>
        <w:rPr>
          <w:rFonts w:hint="eastAsia" w:ascii="宋体" w:hAnsi="宋体" w:eastAsia="宋体" w:cs="宋体"/>
          <w:color w:val="0000FF"/>
          <w:sz w:val="24"/>
          <w:highlight w:val="none"/>
        </w:rPr>
        <w:t>.4评审委员会基于专业判断，认为供应商报价过低，有可能影响产品质量或者不能诚信履约的其他情形。</w:t>
      </w:r>
    </w:p>
    <w:p w14:paraId="0659470D">
      <w:pPr>
        <w:spacing w:line="360" w:lineRule="auto"/>
        <w:ind w:firstLine="480"/>
        <w:rPr>
          <w:rFonts w:hint="eastAsia" w:ascii="宋体" w:hAnsi="宋体" w:eastAsia="宋体" w:cs="宋体"/>
          <w:color w:val="0000FF"/>
          <w:sz w:val="24"/>
          <w:highlight w:val="none"/>
        </w:rPr>
      </w:pPr>
      <w:r>
        <w:rPr>
          <w:rFonts w:hint="eastAsia" w:ascii="宋体" w:hAnsi="宋体" w:eastAsia="宋体" w:cs="宋体"/>
          <w:color w:val="0000FF"/>
          <w:sz w:val="24"/>
          <w:highlight w:val="none"/>
        </w:rPr>
        <w:t>评审委员会启动异常低价投标（响应）审查后，属于前述第</w:t>
      </w:r>
      <w:r>
        <w:rPr>
          <w:rFonts w:hint="eastAsia" w:ascii="宋体" w:hAnsi="宋体" w:eastAsia="宋体" w:cs="宋体"/>
          <w:color w:val="0000FF"/>
          <w:sz w:val="24"/>
          <w:highlight w:val="none"/>
          <w:lang w:val="en-US" w:eastAsia="zh-CN"/>
        </w:rPr>
        <w:t>9</w:t>
      </w:r>
      <w:r>
        <w:rPr>
          <w:rFonts w:hint="eastAsia" w:ascii="宋体" w:hAnsi="宋体" w:eastAsia="宋体" w:cs="宋体"/>
          <w:color w:val="0000FF"/>
          <w:sz w:val="24"/>
          <w:highlight w:val="none"/>
        </w:rPr>
        <w:t>.1项至第</w:t>
      </w:r>
      <w:r>
        <w:rPr>
          <w:rFonts w:hint="eastAsia" w:ascii="宋体" w:hAnsi="宋体" w:eastAsia="宋体" w:cs="宋体"/>
          <w:color w:val="0000FF"/>
          <w:sz w:val="24"/>
          <w:highlight w:val="none"/>
          <w:lang w:val="en-US" w:eastAsia="zh-CN"/>
        </w:rPr>
        <w:t>9</w:t>
      </w:r>
      <w:r>
        <w:rPr>
          <w:rFonts w:hint="eastAsia" w:ascii="宋体" w:hAnsi="宋体" w:eastAsia="宋体" w:cs="宋体"/>
          <w:color w:val="0000FF"/>
          <w:sz w:val="24"/>
          <w:highlight w:val="none"/>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0000FF"/>
          <w:sz w:val="24"/>
          <w:highlight w:val="none"/>
          <w:lang w:val="en-US" w:eastAsia="zh-CN"/>
        </w:rPr>
        <w:t>9</w:t>
      </w:r>
      <w:r>
        <w:rPr>
          <w:rFonts w:hint="eastAsia" w:ascii="宋体" w:hAnsi="宋体" w:eastAsia="宋体" w:cs="宋体"/>
          <w:color w:val="0000FF"/>
          <w:sz w:val="24"/>
          <w:highlight w:val="none"/>
        </w:rPr>
        <w:t>.3项情形，供应商已随投标（响应）文件一并提交相关书面说明及必要的证明材料的，在评审现场可不再重复提交。</w:t>
      </w:r>
    </w:p>
    <w:p w14:paraId="46B666C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eastAsia="宋体" w:cs="Times New Roman"/>
          <w:b/>
          <w:color w:val="0000FF"/>
          <w:sz w:val="24"/>
          <w:szCs w:val="24"/>
          <w:highlight w:val="none"/>
        </w:rPr>
      </w:pPr>
      <w:r>
        <w:rPr>
          <w:rFonts w:hint="eastAsia" w:ascii="宋体" w:hAnsi="宋体" w:eastAsia="宋体" w:cs="宋体"/>
          <w:color w:val="0000FF"/>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p>
    <w:p w14:paraId="6B990907">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10、比较和评价：评标委员会应当按照招标文件中规定的评标方法和标准，对符合性审查合格的投标文件进行商务和技术评估，综合比较与评价。</w:t>
      </w:r>
    </w:p>
    <w:p w14:paraId="69339BFB">
      <w:pPr>
        <w:tabs>
          <w:tab w:val="left" w:pos="0"/>
          <w:tab w:val="left" w:pos="945"/>
        </w:tabs>
        <w:spacing w:line="360" w:lineRule="auto"/>
        <w:ind w:left="4" w:firstLine="518"/>
        <w:rPr>
          <w:rFonts w:hint="eastAsia" w:ascii="宋体" w:hAnsi="宋体" w:cs="宋体"/>
          <w:bCs/>
          <w:color w:val="auto"/>
          <w:sz w:val="24"/>
          <w:szCs w:val="24"/>
          <w:highlight w:val="none"/>
        </w:rPr>
      </w:pPr>
      <w:r>
        <w:rPr>
          <w:rFonts w:hint="eastAsia" w:ascii="宋体" w:hAnsi="宋体" w:cs="宋体"/>
          <w:bCs/>
          <w:color w:val="auto"/>
          <w:sz w:val="24"/>
          <w:szCs w:val="24"/>
          <w:highlight w:val="none"/>
        </w:rPr>
        <w:t>11、评标委员会发现招标文件存在歧义、重大缺陷导致评标工作无法进行，或者招标文件内容违反国家有关强制性规定的，应当停止评标工作，与采购人沟通并作书面记录。采购人确认后，应当修改招标文件，重新组织采购活动。</w:t>
      </w:r>
    </w:p>
    <w:p w14:paraId="4C4520FB">
      <w:pPr>
        <w:tabs>
          <w:tab w:val="left" w:pos="945"/>
        </w:tabs>
        <w:spacing w:line="360" w:lineRule="auto"/>
        <w:ind w:firstLine="241"/>
        <w:outlineLvl w:val="0"/>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rPr>
        <w:t>九、</w:t>
      </w:r>
      <w:r>
        <w:rPr>
          <w:rFonts w:hint="eastAsia" w:ascii="宋体" w:hAnsi="宋体" w:cs="宋体"/>
          <w:b/>
          <w:color w:val="auto"/>
          <w:sz w:val="24"/>
          <w:szCs w:val="24"/>
          <w:highlight w:val="none"/>
          <w:lang w:val="zh-CN"/>
        </w:rPr>
        <w:t>确定中标单位：</w:t>
      </w:r>
    </w:p>
    <w:p w14:paraId="42956867">
      <w:pPr>
        <w:tabs>
          <w:tab w:val="left" w:pos="945"/>
        </w:tabs>
        <w:spacing w:line="360" w:lineRule="auto"/>
        <w:ind w:firstLine="566"/>
        <w:outlineLvl w:val="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szCs w:val="28"/>
          <w:highlight w:val="none"/>
        </w:rPr>
        <w:t>评标委员会根据评标方法和评标标准确定综合得分排序前三名为中标候选单位，并依法确定排名第一的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rPr>
          <w:rFonts w:hint="eastAsia" w:ascii="宋体" w:hAnsi="宋体" w:cs="宋体"/>
          <w:color w:val="auto"/>
          <w:sz w:val="24"/>
          <w:highlight w:val="none"/>
        </w:rPr>
        <w:t>。</w:t>
      </w:r>
    </w:p>
    <w:p w14:paraId="1B31636E">
      <w:pPr>
        <w:tabs>
          <w:tab w:val="left" w:pos="945"/>
        </w:tabs>
        <w:spacing w:line="360" w:lineRule="auto"/>
        <w:ind w:firstLine="566"/>
        <w:outlineLvl w:val="0"/>
        <w:rPr>
          <w:rFonts w:hint="eastAsia" w:ascii="宋体" w:hAnsi="宋体" w:cs="宋体"/>
          <w:color w:val="auto"/>
          <w:sz w:val="24"/>
          <w:highlight w:val="none"/>
        </w:rPr>
      </w:pPr>
      <w:r>
        <w:rPr>
          <w:rFonts w:hint="eastAsia" w:ascii="宋体" w:hAnsi="宋体" w:cs="宋体"/>
          <w:color w:val="auto"/>
          <w:sz w:val="24"/>
          <w:highlight w:val="none"/>
        </w:rPr>
        <w:t>2、确定中标单位2个工作日内发布中标公告，并向中标单位发出中标通知书。</w:t>
      </w:r>
    </w:p>
    <w:p w14:paraId="6F944B50">
      <w:pPr>
        <w:tabs>
          <w:tab w:val="left" w:pos="945"/>
        </w:tabs>
        <w:spacing w:line="360" w:lineRule="auto"/>
        <w:ind w:firstLine="566"/>
        <w:outlineLvl w:val="0"/>
        <w:rPr>
          <w:rFonts w:hint="eastAsia" w:ascii="宋体" w:hAnsi="宋体" w:cs="宋体"/>
          <w:color w:val="auto"/>
          <w:sz w:val="24"/>
          <w:highlight w:val="none"/>
        </w:rPr>
      </w:pPr>
      <w:r>
        <w:rPr>
          <w:rFonts w:hint="eastAsia" w:ascii="宋体" w:hAnsi="宋体" w:cs="宋体"/>
          <w:color w:val="auto"/>
          <w:sz w:val="24"/>
          <w:highlight w:val="none"/>
        </w:rPr>
        <w:t>3、投标、评标及确定中标单位的整个过程均由相关部门进行现场监督。</w:t>
      </w:r>
    </w:p>
    <w:p w14:paraId="3B99C6A7">
      <w:pPr>
        <w:tabs>
          <w:tab w:val="left" w:pos="945"/>
        </w:tabs>
        <w:spacing w:line="360" w:lineRule="auto"/>
        <w:ind w:firstLine="566"/>
        <w:outlineLvl w:val="0"/>
        <w:rPr>
          <w:rFonts w:hint="eastAsia" w:ascii="宋体" w:hAnsi="宋体" w:cs="宋体"/>
          <w:b/>
          <w:color w:val="auto"/>
          <w:sz w:val="24"/>
          <w:szCs w:val="24"/>
          <w:highlight w:val="none"/>
          <w:lang w:val="zh-CN"/>
        </w:rPr>
      </w:pPr>
      <w:r>
        <w:rPr>
          <w:rFonts w:hint="eastAsia" w:ascii="宋体" w:hAnsi="宋体" w:cs="宋体"/>
          <w:color w:val="auto"/>
          <w:sz w:val="24"/>
          <w:highlight w:val="none"/>
        </w:rPr>
        <w:t>4、采购人不负责向任何投标单位说明中标或不中标的原因。</w:t>
      </w:r>
    </w:p>
    <w:p w14:paraId="30549399">
      <w:pPr>
        <w:tabs>
          <w:tab w:val="left" w:pos="945"/>
        </w:tabs>
        <w:spacing w:line="360" w:lineRule="auto"/>
        <w:ind w:firstLine="241"/>
        <w:outlineLvl w:val="0"/>
        <w:rPr>
          <w:rFonts w:hint="eastAsia" w:ascii="宋体" w:hAnsi="宋体" w:cs="宋体"/>
          <w:color w:val="auto"/>
          <w:sz w:val="28"/>
          <w:szCs w:val="28"/>
          <w:highlight w:val="none"/>
        </w:rPr>
      </w:pPr>
      <w:r>
        <w:rPr>
          <w:rFonts w:hint="eastAsia" w:ascii="宋体" w:hAnsi="宋体" w:cs="宋体"/>
          <w:b/>
          <w:color w:val="auto"/>
          <w:sz w:val="24"/>
          <w:szCs w:val="24"/>
          <w:highlight w:val="none"/>
          <w:lang w:val="zh-CN"/>
        </w:rPr>
        <w:t>十、质疑处理</w:t>
      </w:r>
      <w:r>
        <w:rPr>
          <w:rFonts w:hint="eastAsia" w:ascii="宋体" w:hAnsi="宋体" w:cs="宋体"/>
          <w:color w:val="auto"/>
          <w:sz w:val="28"/>
          <w:szCs w:val="28"/>
          <w:highlight w:val="none"/>
        </w:rPr>
        <w:t>：</w:t>
      </w:r>
    </w:p>
    <w:p w14:paraId="2C5A4D3B">
      <w:pPr>
        <w:tabs>
          <w:tab w:val="left" w:pos="945"/>
        </w:tabs>
        <w:spacing w:line="360" w:lineRule="auto"/>
        <w:ind w:firstLine="566"/>
        <w:rPr>
          <w:rFonts w:hint="eastAsia" w:ascii="宋体" w:hAnsi="宋体" w:cs="宋体"/>
          <w:color w:val="auto"/>
          <w:sz w:val="24"/>
          <w:highlight w:val="none"/>
        </w:rPr>
      </w:pPr>
      <w:r>
        <w:rPr>
          <w:rFonts w:hint="eastAsia" w:ascii="宋体" w:hAnsi="宋体" w:cs="宋体"/>
          <w:color w:val="auto"/>
          <w:sz w:val="24"/>
          <w:highlight w:val="none"/>
        </w:rPr>
        <w:t>1、投标单位质疑按《中华人民共和国政府采购法》、《中华人民共和国政府采购法实施条例》、《政府采购货物和服务招标投标管理办法》、《江苏省政府采购投标单位监督管理暂行办法》有关规定处理。</w:t>
      </w:r>
    </w:p>
    <w:p w14:paraId="0D972622">
      <w:pPr>
        <w:tabs>
          <w:tab w:val="left" w:pos="945"/>
        </w:tabs>
        <w:spacing w:line="360" w:lineRule="auto"/>
        <w:ind w:firstLine="566"/>
        <w:rPr>
          <w:rFonts w:hint="eastAsia" w:ascii="宋体" w:hAnsi="宋体" w:cs="宋体"/>
          <w:color w:val="auto"/>
          <w:sz w:val="24"/>
          <w:highlight w:val="none"/>
        </w:rPr>
      </w:pPr>
      <w:r>
        <w:rPr>
          <w:rFonts w:hint="eastAsia" w:ascii="宋体" w:hAnsi="宋体" w:cs="宋体"/>
          <w:color w:val="auto"/>
          <w:sz w:val="24"/>
          <w:highlight w:val="none"/>
        </w:rPr>
        <w:t>2、投标单位认为采购文件、采购过程和中标结果使自己的权益受到损害的，可以在知道或者应知其权益受到损害之日起七个工作日内，以书面形式向采购人提出质疑。</w:t>
      </w:r>
    </w:p>
    <w:p w14:paraId="156BCE26">
      <w:pPr>
        <w:tabs>
          <w:tab w:val="left" w:pos="945"/>
        </w:tabs>
        <w:spacing w:line="360" w:lineRule="auto"/>
        <w:ind w:firstLine="566"/>
        <w:rPr>
          <w:rFonts w:hint="eastAsia" w:ascii="宋体" w:hAnsi="宋体" w:cs="宋体"/>
          <w:color w:val="auto"/>
          <w:sz w:val="24"/>
          <w:highlight w:val="none"/>
        </w:rPr>
      </w:pPr>
      <w:r>
        <w:rPr>
          <w:rFonts w:hint="eastAsia" w:ascii="宋体" w:hAnsi="宋体" w:cs="宋体"/>
          <w:color w:val="auto"/>
          <w:sz w:val="24"/>
          <w:highlight w:val="none"/>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6EEE07A2">
      <w:pPr>
        <w:numPr>
          <w:ilvl w:val="0"/>
          <w:numId w:val="4"/>
        </w:numPr>
        <w:tabs>
          <w:tab w:val="left" w:pos="945"/>
        </w:tabs>
        <w:spacing w:line="360" w:lineRule="auto"/>
        <w:ind w:firstLine="566"/>
        <w:rPr>
          <w:rFonts w:hint="eastAsia" w:ascii="宋体" w:hAnsi="宋体" w:cs="宋体"/>
          <w:color w:val="auto"/>
          <w:sz w:val="24"/>
          <w:highlight w:val="none"/>
        </w:rPr>
      </w:pPr>
      <w:r>
        <w:rPr>
          <w:rFonts w:hint="eastAsia" w:ascii="宋体" w:hAnsi="宋体" w:cs="宋体"/>
          <w:color w:val="auto"/>
          <w:sz w:val="24"/>
          <w:highlight w:val="none"/>
        </w:rPr>
        <w:t xml:space="preserve">投标单位提出质疑，提出质疑应当提交质疑函和必要的证明材料。质疑函应当包括下列内容： </w:t>
      </w:r>
    </w:p>
    <w:p w14:paraId="1CD95C49">
      <w:pPr>
        <w:tabs>
          <w:tab w:val="left" w:pos="945"/>
        </w:tabs>
        <w:spacing w:line="360" w:lineRule="auto"/>
        <w:ind w:firstLine="566"/>
        <w:rPr>
          <w:rFonts w:hint="eastAsia" w:ascii="宋体" w:hAnsi="宋体" w:cs="宋体"/>
          <w:color w:val="auto"/>
          <w:sz w:val="24"/>
          <w:highlight w:val="none"/>
        </w:rPr>
      </w:pPr>
      <w:r>
        <w:rPr>
          <w:rFonts w:hint="eastAsia" w:ascii="宋体" w:hAnsi="宋体" w:cs="宋体"/>
          <w:color w:val="auto"/>
          <w:sz w:val="24"/>
          <w:highlight w:val="none"/>
        </w:rPr>
        <w:t>（1）投标单位的姓名或者名称、地址、邮编、联系人及联系电话；</w:t>
      </w:r>
    </w:p>
    <w:p w14:paraId="012E078C">
      <w:pPr>
        <w:tabs>
          <w:tab w:val="left" w:pos="945"/>
        </w:tabs>
        <w:spacing w:line="360" w:lineRule="auto"/>
        <w:ind w:firstLine="566"/>
        <w:rPr>
          <w:rFonts w:hint="eastAsia" w:ascii="宋体" w:hAnsi="宋体" w:cs="宋体"/>
          <w:color w:val="auto"/>
          <w:sz w:val="24"/>
          <w:highlight w:val="none"/>
        </w:rPr>
      </w:pPr>
      <w:r>
        <w:rPr>
          <w:rFonts w:hint="eastAsia" w:ascii="宋体" w:hAnsi="宋体" w:cs="宋体"/>
          <w:color w:val="auto"/>
          <w:sz w:val="24"/>
          <w:highlight w:val="none"/>
        </w:rPr>
        <w:t>（2）质疑项目的名称、编号；</w:t>
      </w:r>
    </w:p>
    <w:p w14:paraId="3B1C6802">
      <w:pPr>
        <w:tabs>
          <w:tab w:val="left" w:pos="945"/>
        </w:tabs>
        <w:spacing w:line="360" w:lineRule="auto"/>
        <w:ind w:firstLine="566"/>
        <w:rPr>
          <w:rFonts w:hint="eastAsia" w:ascii="宋体" w:hAnsi="宋体" w:cs="宋体"/>
          <w:color w:val="auto"/>
          <w:sz w:val="24"/>
          <w:highlight w:val="none"/>
        </w:rPr>
      </w:pPr>
      <w:r>
        <w:rPr>
          <w:rFonts w:hint="eastAsia" w:ascii="宋体" w:hAnsi="宋体" w:cs="宋体"/>
          <w:color w:val="auto"/>
          <w:sz w:val="24"/>
          <w:highlight w:val="none"/>
        </w:rPr>
        <w:t>（3）具体、明确的质疑事项和与质疑事项相关的请求；</w:t>
      </w:r>
    </w:p>
    <w:p w14:paraId="07BB70AB">
      <w:pPr>
        <w:tabs>
          <w:tab w:val="left" w:pos="945"/>
        </w:tabs>
        <w:spacing w:line="360" w:lineRule="auto"/>
        <w:ind w:firstLine="566"/>
        <w:rPr>
          <w:rFonts w:hint="eastAsia" w:ascii="宋体" w:hAnsi="宋体" w:cs="宋体"/>
          <w:color w:val="auto"/>
          <w:sz w:val="24"/>
          <w:highlight w:val="none"/>
        </w:rPr>
      </w:pPr>
      <w:r>
        <w:rPr>
          <w:rFonts w:hint="eastAsia" w:ascii="宋体" w:hAnsi="宋体" w:cs="宋体"/>
          <w:color w:val="auto"/>
          <w:sz w:val="24"/>
          <w:highlight w:val="none"/>
        </w:rPr>
        <w:t>（4）事实依据；</w:t>
      </w:r>
    </w:p>
    <w:p w14:paraId="4D74413E">
      <w:pPr>
        <w:tabs>
          <w:tab w:val="left" w:pos="945"/>
        </w:tabs>
        <w:spacing w:line="360" w:lineRule="auto"/>
        <w:ind w:firstLine="566"/>
        <w:rPr>
          <w:rFonts w:hint="eastAsia" w:ascii="宋体" w:hAnsi="宋体" w:cs="宋体"/>
          <w:color w:val="auto"/>
          <w:sz w:val="24"/>
          <w:highlight w:val="none"/>
        </w:rPr>
      </w:pPr>
      <w:r>
        <w:rPr>
          <w:rFonts w:hint="eastAsia" w:ascii="宋体" w:hAnsi="宋体" w:cs="宋体"/>
          <w:color w:val="auto"/>
          <w:sz w:val="24"/>
          <w:highlight w:val="none"/>
        </w:rPr>
        <w:t>（5）必要的法律依据；</w:t>
      </w:r>
    </w:p>
    <w:p w14:paraId="00D6B13B">
      <w:pPr>
        <w:tabs>
          <w:tab w:val="left" w:pos="945"/>
        </w:tabs>
        <w:spacing w:line="360" w:lineRule="auto"/>
        <w:ind w:firstLine="566"/>
        <w:rPr>
          <w:rFonts w:hint="eastAsia" w:ascii="宋体" w:hAnsi="宋体" w:cs="宋体"/>
          <w:color w:val="auto"/>
          <w:sz w:val="24"/>
          <w:highlight w:val="none"/>
        </w:rPr>
      </w:pPr>
      <w:r>
        <w:rPr>
          <w:rFonts w:hint="eastAsia" w:ascii="宋体" w:hAnsi="宋体" w:cs="宋体"/>
          <w:color w:val="auto"/>
          <w:sz w:val="24"/>
          <w:highlight w:val="none"/>
        </w:rPr>
        <w:t>（6）提出质疑的日期。</w:t>
      </w:r>
    </w:p>
    <w:p w14:paraId="3CB97032">
      <w:pPr>
        <w:tabs>
          <w:tab w:val="left" w:pos="945"/>
        </w:tabs>
        <w:spacing w:line="360" w:lineRule="auto"/>
        <w:ind w:firstLine="566"/>
        <w:rPr>
          <w:rFonts w:hint="eastAsia" w:ascii="宋体" w:hAnsi="宋体" w:cs="宋体"/>
          <w:color w:val="auto"/>
          <w:sz w:val="24"/>
          <w:highlight w:val="none"/>
        </w:rPr>
      </w:pPr>
      <w:r>
        <w:rPr>
          <w:rFonts w:hint="eastAsia" w:ascii="宋体" w:hAnsi="宋体" w:cs="宋体"/>
          <w:color w:val="auto"/>
          <w:sz w:val="24"/>
          <w:highlight w:val="none"/>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3DF22808">
      <w:pPr>
        <w:tabs>
          <w:tab w:val="left" w:pos="945"/>
        </w:tabs>
        <w:spacing w:line="360" w:lineRule="auto"/>
        <w:ind w:firstLine="566"/>
        <w:rPr>
          <w:rFonts w:hint="eastAsia" w:ascii="宋体" w:hAnsi="宋体" w:cs="宋体"/>
          <w:color w:val="auto"/>
          <w:sz w:val="24"/>
          <w:highlight w:val="none"/>
        </w:rPr>
      </w:pPr>
      <w:r>
        <w:rPr>
          <w:rFonts w:hint="eastAsia" w:ascii="宋体" w:hAnsi="宋体" w:cs="宋体"/>
          <w:color w:val="auto"/>
          <w:sz w:val="24"/>
          <w:highlight w:val="none"/>
        </w:rPr>
        <w:t>（7）质疑函格式请到江阴市公共资源交易中心（</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"http://www.jiangyin.gov.cn/ggzy/"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http://www.jiangyi</w:t>
      </w:r>
      <w:bookmarkStart w:id="10" w:name="_Hlt531866654"/>
      <w:bookmarkStart w:id="11" w:name="_Hlt531866653"/>
      <w:r>
        <w:rPr>
          <w:rFonts w:hint="eastAsia" w:ascii="宋体" w:hAnsi="宋体" w:cs="宋体"/>
          <w:color w:val="auto"/>
          <w:sz w:val="24"/>
          <w:highlight w:val="none"/>
        </w:rPr>
        <w:t>n</w:t>
      </w:r>
      <w:bookmarkEnd w:id="10"/>
      <w:bookmarkEnd w:id="11"/>
      <w:r>
        <w:rPr>
          <w:rFonts w:hint="eastAsia" w:ascii="宋体" w:hAnsi="宋体" w:cs="宋体"/>
          <w:color w:val="auto"/>
          <w:sz w:val="24"/>
          <w:highlight w:val="none"/>
        </w:rPr>
        <w:t>.gov.cn/ggzy/</w:t>
      </w:r>
      <w:r>
        <w:rPr>
          <w:rFonts w:hint="eastAsia" w:ascii="宋体" w:hAnsi="宋体" w:cs="宋体"/>
          <w:color w:val="auto"/>
          <w:sz w:val="24"/>
          <w:highlight w:val="none"/>
        </w:rPr>
        <w:fldChar w:fldCharType="end"/>
      </w:r>
      <w:r>
        <w:rPr>
          <w:rFonts w:hint="eastAsia" w:ascii="宋体" w:hAnsi="宋体" w:cs="宋体"/>
          <w:color w:val="auto"/>
          <w:sz w:val="24"/>
          <w:highlight w:val="none"/>
        </w:rPr>
        <w:t>）网站的“政府采购——＞资料下载”中下载《质疑书格式》；</w:t>
      </w:r>
    </w:p>
    <w:p w14:paraId="33F52853">
      <w:pPr>
        <w:tabs>
          <w:tab w:val="left" w:pos="945"/>
        </w:tabs>
        <w:spacing w:line="360" w:lineRule="auto"/>
        <w:ind w:firstLine="566"/>
        <w:rPr>
          <w:rFonts w:hint="eastAsia" w:ascii="宋体" w:hAnsi="宋体" w:cs="宋体"/>
          <w:color w:val="auto"/>
          <w:sz w:val="24"/>
          <w:highlight w:val="none"/>
        </w:rPr>
      </w:pPr>
      <w:r>
        <w:rPr>
          <w:rFonts w:hint="eastAsia" w:ascii="宋体" w:hAnsi="宋体" w:cs="宋体"/>
          <w:color w:val="auto"/>
          <w:sz w:val="24"/>
          <w:highlight w:val="none"/>
        </w:rPr>
        <w:t>（8）未按上述要求提交的质疑函（仅限于原件）采购人有权不予受理。</w:t>
      </w:r>
    </w:p>
    <w:p w14:paraId="127F5398">
      <w:pPr>
        <w:tabs>
          <w:tab w:val="left" w:pos="945"/>
        </w:tabs>
        <w:spacing w:line="360" w:lineRule="auto"/>
        <w:ind w:firstLine="566"/>
        <w:rPr>
          <w:rFonts w:hint="eastAsia" w:ascii="宋体" w:hAnsi="宋体" w:cs="宋体"/>
          <w:color w:val="auto"/>
          <w:sz w:val="24"/>
          <w:highlight w:val="none"/>
        </w:rPr>
      </w:pPr>
      <w:r>
        <w:rPr>
          <w:rFonts w:hint="eastAsia" w:ascii="宋体" w:hAnsi="宋体" w:cs="宋体"/>
          <w:color w:val="auto"/>
          <w:sz w:val="24"/>
          <w:highlight w:val="none"/>
        </w:rPr>
        <w:t>4、投标单位须在法定质疑期内一次性提出针对同一采购程序环节的质疑。提出质疑的投标单位应当是参与所质疑项目采购活动的投标单位。</w:t>
      </w:r>
    </w:p>
    <w:p w14:paraId="5B264CB5">
      <w:pPr>
        <w:spacing w:line="400" w:lineRule="exact"/>
        <w:ind w:firstLine="480"/>
        <w:rPr>
          <w:rFonts w:hint="eastAsia" w:ascii="宋体" w:hAnsi="宋体" w:cs="宋体"/>
          <w:color w:val="auto"/>
          <w:sz w:val="24"/>
          <w:highlight w:val="none"/>
        </w:rPr>
      </w:pPr>
      <w:r>
        <w:rPr>
          <w:rFonts w:hint="eastAsia" w:ascii="宋体" w:hAnsi="宋体"/>
          <w:color w:val="auto"/>
          <w:sz w:val="24"/>
          <w:highlight w:val="none"/>
        </w:rPr>
        <w:t>5、投标单位提交书面质疑函可以采用现场递交或者邮寄递交的形式，现场递交质疑函的请送至代理机构，邮寄递交质疑函（收件地址</w:t>
      </w:r>
      <w:r>
        <w:rPr>
          <w:rFonts w:hint="eastAsia" w:ascii="宋体" w:hAnsi="宋体"/>
          <w:color w:val="auto"/>
          <w:sz w:val="24"/>
          <w:highlight w:val="none"/>
          <w:lang w:eastAsia="zh-CN"/>
        </w:rPr>
        <w:t>江阴市新华路293号4楼</w:t>
      </w:r>
      <w:r>
        <w:rPr>
          <w:rFonts w:hint="eastAsia" w:ascii="宋体" w:hAnsi="宋体"/>
          <w:color w:val="auto"/>
          <w:sz w:val="24"/>
          <w:highlight w:val="none"/>
        </w:rPr>
        <w:t>，收件电话：18021191</w:t>
      </w:r>
      <w:r>
        <w:rPr>
          <w:rFonts w:hint="eastAsia" w:ascii="宋体" w:hAnsi="宋体"/>
          <w:color w:val="auto"/>
          <w:sz w:val="24"/>
          <w:highlight w:val="none"/>
          <w:lang w:val="en-US" w:eastAsia="zh-CN"/>
        </w:rPr>
        <w:t>8</w:t>
      </w:r>
      <w:r>
        <w:rPr>
          <w:rFonts w:hint="eastAsia" w:ascii="宋体" w:hAnsi="宋体"/>
          <w:color w:val="auto"/>
          <w:sz w:val="24"/>
          <w:highlight w:val="none"/>
        </w:rPr>
        <w:t>67）的应当在快递寄出后联系代理机构告知质疑函接收时间及质疑函快递单号，因未告知接收时间导致未及时答复质疑的，将不予承担责任。</w:t>
      </w:r>
    </w:p>
    <w:p w14:paraId="67C1B945">
      <w:pPr>
        <w:tabs>
          <w:tab w:val="left" w:pos="945"/>
        </w:tabs>
        <w:spacing w:line="360" w:lineRule="auto"/>
        <w:ind w:firstLine="566"/>
        <w:rPr>
          <w:rFonts w:hint="eastAsia" w:ascii="宋体" w:hAnsi="宋体" w:cs="宋体"/>
          <w:color w:val="auto"/>
          <w:sz w:val="24"/>
          <w:highlight w:val="none"/>
        </w:rPr>
      </w:pPr>
      <w:r>
        <w:rPr>
          <w:rFonts w:hint="eastAsia" w:ascii="宋体" w:hAnsi="宋体" w:cs="宋体"/>
          <w:color w:val="auto"/>
          <w:sz w:val="24"/>
          <w:highlight w:val="none"/>
        </w:rPr>
        <w:t>6、潜在投标单位依法获取其可质疑的采购文件的，可以对该文件提出质疑。对采购文件提出质疑时，以非书面形式、属于对采购文件解释澄清范围、采购公告期限届满之日起七个工作日之外提交以及匿名的质疑将不予受理。</w:t>
      </w:r>
    </w:p>
    <w:p w14:paraId="610ED7E6">
      <w:pPr>
        <w:tabs>
          <w:tab w:val="left" w:pos="945"/>
        </w:tabs>
        <w:spacing w:line="360" w:lineRule="auto"/>
        <w:ind w:firstLine="566"/>
        <w:rPr>
          <w:rFonts w:hint="eastAsia" w:ascii="宋体" w:hAnsi="宋体" w:cs="宋体"/>
          <w:color w:val="auto"/>
          <w:sz w:val="24"/>
          <w:highlight w:val="none"/>
        </w:rPr>
      </w:pPr>
      <w:r>
        <w:rPr>
          <w:rFonts w:hint="eastAsia" w:ascii="宋体" w:hAnsi="宋体" w:cs="宋体"/>
          <w:color w:val="auto"/>
          <w:sz w:val="24"/>
          <w:highlight w:val="none"/>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07BC8EBD">
      <w:pPr>
        <w:tabs>
          <w:tab w:val="left" w:pos="945"/>
        </w:tabs>
        <w:spacing w:line="360" w:lineRule="auto"/>
        <w:ind w:firstLine="566"/>
        <w:rPr>
          <w:rFonts w:hint="eastAsia" w:ascii="宋体" w:hAnsi="宋体" w:cs="宋体"/>
          <w:color w:val="auto"/>
          <w:sz w:val="24"/>
          <w:highlight w:val="none"/>
        </w:rPr>
      </w:pPr>
      <w:r>
        <w:rPr>
          <w:rFonts w:hint="eastAsia" w:ascii="宋体" w:hAnsi="宋体" w:cs="宋体"/>
          <w:color w:val="auto"/>
          <w:sz w:val="24"/>
          <w:highlight w:val="none"/>
        </w:rPr>
        <w:t>8、投标单位提出质疑的应当有明确的请求和必要的证明材料，投标人提出书面质疑必须有理、有据，不得恶意质疑或提交虚假质疑。否则，一经查实，采购人有权依据政府采购的有关规定，报请政府采购监管部门对该投标人进行相应的行政处罚。</w:t>
      </w:r>
    </w:p>
    <w:p w14:paraId="106E26AA">
      <w:pPr>
        <w:tabs>
          <w:tab w:val="left" w:pos="945"/>
        </w:tabs>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9、采购人及采购代理机构将在收到投标单位的有效书面质疑后七个工作日内作出答复，并以书面形式通知质疑投标单位和其他有关投标单位，但答复的内容不得涉及商业秘密。</w:t>
      </w:r>
      <w:r>
        <w:rPr>
          <w:rFonts w:hint="eastAsia" w:ascii="宋体" w:hAnsi="宋体" w:cs="宋体"/>
          <w:color w:val="0000FF"/>
          <w:sz w:val="24"/>
          <w:highlight w:val="none"/>
        </w:rPr>
        <w:t>采购人及代理机构通知质疑单位现场领取书面质疑回复函，若无法现场领取的，采购人及代理机构可将书面质疑回复函邮寄给质疑单位。邮寄过程可能发生的时间延误或邮件丢失等情形，导致质疑回复函未收到、逾期收到等的责任，由投标单位自行承担。</w:t>
      </w:r>
    </w:p>
    <w:p w14:paraId="05CA99F3">
      <w:pPr>
        <w:tabs>
          <w:tab w:val="left" w:pos="945"/>
        </w:tabs>
        <w:spacing w:line="360" w:lineRule="auto"/>
        <w:ind w:firstLine="482"/>
        <w:outlineLvl w:val="0"/>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十一、采购项目的废标：</w:t>
      </w:r>
    </w:p>
    <w:p w14:paraId="04417B35">
      <w:pPr>
        <w:widowControl/>
        <w:spacing w:line="360" w:lineRule="auto"/>
        <w:ind w:firstLine="568"/>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在评标采购中，出现下列情况之一的，应予废标；</w:t>
      </w:r>
    </w:p>
    <w:p w14:paraId="01DF8C3E">
      <w:pPr>
        <w:widowControl/>
        <w:spacing w:line="360" w:lineRule="auto"/>
        <w:ind w:firstLine="568"/>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1、符合专业条件的投标人或者对招标文件作出实质性响应的投标人不足三家的；</w:t>
      </w:r>
    </w:p>
    <w:p w14:paraId="3158A5EA">
      <w:pPr>
        <w:widowControl/>
        <w:spacing w:line="360" w:lineRule="auto"/>
        <w:ind w:firstLine="568"/>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2、出现影响采购公正的违法、违规行为的；</w:t>
      </w:r>
    </w:p>
    <w:p w14:paraId="30E6052F">
      <w:pPr>
        <w:widowControl/>
        <w:spacing w:line="360" w:lineRule="auto"/>
        <w:ind w:firstLine="568"/>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3、投标单位的报价均超过采购预算，采购人不能支付的；</w:t>
      </w:r>
    </w:p>
    <w:p w14:paraId="5BC589DF">
      <w:pPr>
        <w:widowControl/>
        <w:spacing w:line="360" w:lineRule="auto"/>
        <w:ind w:firstLine="568"/>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4、因重大变故，采购任务取消的。</w:t>
      </w:r>
    </w:p>
    <w:p w14:paraId="1AFD91E6">
      <w:pPr>
        <w:widowControl/>
        <w:spacing w:line="360" w:lineRule="auto"/>
        <w:ind w:firstLine="568"/>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注：如投标人只有两家的，采购人时间紧急，经评标委员会认证且出具了“投标单位资格条件和项目指标等没有歧视性和倾向性”意见的，报经财政部门批准同意，可转为其他采购方式采购。</w:t>
      </w:r>
    </w:p>
    <w:p w14:paraId="784179B6">
      <w:pPr>
        <w:widowControl/>
        <w:spacing w:line="360" w:lineRule="auto"/>
        <w:ind w:firstLine="482"/>
        <w:jc w:val="left"/>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rPr>
        <w:t>十二、</w:t>
      </w:r>
      <w:r>
        <w:rPr>
          <w:rFonts w:hint="eastAsia" w:ascii="宋体" w:hAnsi="宋体" w:cs="宋体"/>
          <w:b/>
          <w:color w:val="auto"/>
          <w:sz w:val="24"/>
          <w:szCs w:val="24"/>
          <w:highlight w:val="none"/>
          <w:lang w:val="zh-CN"/>
        </w:rPr>
        <w:t>投标保证金：</w:t>
      </w:r>
    </w:p>
    <w:p w14:paraId="308F6DA8">
      <w:pPr>
        <w:pStyle w:val="299"/>
        <w:spacing w:line="360" w:lineRule="auto"/>
        <w:ind w:firstLine="480"/>
        <w:rPr>
          <w:rFonts w:hint="eastAsia" w:hAnsi="宋体"/>
          <w:bCs/>
          <w:color w:val="auto"/>
          <w:highlight w:val="none"/>
          <w:lang w:val="zh-CN"/>
        </w:rPr>
      </w:pPr>
      <w:r>
        <w:rPr>
          <w:rFonts w:hint="eastAsia" w:hAnsi="宋体"/>
          <w:b/>
          <w:bCs w:val="0"/>
          <w:color w:val="auto"/>
          <w:highlight w:val="none"/>
          <w:lang w:val="zh-CN"/>
        </w:rPr>
        <w:t>本项目免收</w:t>
      </w:r>
      <w:r>
        <w:rPr>
          <w:rFonts w:hint="eastAsia" w:hAnsi="宋体"/>
          <w:b/>
          <w:bCs w:val="0"/>
          <w:color w:val="auto"/>
          <w:highlight w:val="none"/>
        </w:rPr>
        <w:t>投标</w:t>
      </w:r>
      <w:r>
        <w:rPr>
          <w:rFonts w:hint="eastAsia" w:hAnsi="宋体"/>
          <w:b/>
          <w:bCs w:val="0"/>
          <w:color w:val="auto"/>
          <w:highlight w:val="none"/>
          <w:lang w:val="zh-CN"/>
        </w:rPr>
        <w:t>保证金</w:t>
      </w:r>
      <w:r>
        <w:rPr>
          <w:rFonts w:hint="eastAsia" w:hAnsi="宋体"/>
          <w:bCs/>
          <w:color w:val="auto"/>
          <w:highlight w:val="none"/>
          <w:lang w:val="zh-CN"/>
        </w:rPr>
        <w:t>。</w:t>
      </w:r>
    </w:p>
    <w:p w14:paraId="2045B656">
      <w:pPr>
        <w:widowControl/>
        <w:spacing w:line="360" w:lineRule="auto"/>
        <w:ind w:firstLine="482"/>
        <w:jc w:val="left"/>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rPr>
        <w:t>十三、</w:t>
      </w:r>
      <w:r>
        <w:rPr>
          <w:rFonts w:hint="eastAsia" w:ascii="宋体" w:hAnsi="宋体" w:cs="宋体"/>
          <w:b/>
          <w:color w:val="auto"/>
          <w:sz w:val="24"/>
          <w:szCs w:val="24"/>
          <w:highlight w:val="none"/>
          <w:lang w:val="zh-CN"/>
        </w:rPr>
        <w:t>中标无效的确认：</w:t>
      </w:r>
    </w:p>
    <w:p w14:paraId="44417A5C">
      <w:pPr>
        <w:tabs>
          <w:tab w:val="left" w:pos="735"/>
          <w:tab w:val="left" w:pos="945"/>
          <w:tab w:val="left" w:pos="115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4285C044">
      <w:pPr>
        <w:tabs>
          <w:tab w:val="left" w:pos="735"/>
          <w:tab w:val="left" w:pos="945"/>
          <w:tab w:val="left" w:pos="115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（一）提供虚假材料谋取中标、成交的；</w:t>
      </w:r>
    </w:p>
    <w:p w14:paraId="3B8D0F04">
      <w:pPr>
        <w:tabs>
          <w:tab w:val="left" w:pos="735"/>
          <w:tab w:val="left" w:pos="945"/>
          <w:tab w:val="left" w:pos="115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（二）采取不正当手段诋毁、排挤其他投标单位的；</w:t>
      </w:r>
    </w:p>
    <w:p w14:paraId="424E1525">
      <w:pPr>
        <w:tabs>
          <w:tab w:val="left" w:pos="735"/>
          <w:tab w:val="left" w:pos="945"/>
          <w:tab w:val="left" w:pos="115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（三）与采购人、其他投标单位或者采购代理机构恶意串通的；</w:t>
      </w:r>
    </w:p>
    <w:p w14:paraId="0351EC54">
      <w:pPr>
        <w:tabs>
          <w:tab w:val="left" w:pos="735"/>
          <w:tab w:val="left" w:pos="945"/>
          <w:tab w:val="left" w:pos="115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（四）向采购人、采购代理机构行贿或者提供其他不正当利益的；</w:t>
      </w:r>
    </w:p>
    <w:p w14:paraId="003CC618">
      <w:pPr>
        <w:tabs>
          <w:tab w:val="left" w:pos="735"/>
          <w:tab w:val="left" w:pos="945"/>
          <w:tab w:val="left" w:pos="115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（五）在招标采购过程中与采购人进行协商谈判的；</w:t>
      </w:r>
    </w:p>
    <w:p w14:paraId="2BC9B5D7">
      <w:pPr>
        <w:tabs>
          <w:tab w:val="left" w:pos="735"/>
          <w:tab w:val="left" w:pos="945"/>
          <w:tab w:val="left" w:pos="115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（六）拒绝有关部门监督检查或者提供虚假情况的。</w:t>
      </w:r>
    </w:p>
    <w:p w14:paraId="0B18BF8B">
      <w:pPr>
        <w:tabs>
          <w:tab w:val="left" w:pos="735"/>
          <w:tab w:val="left" w:pos="945"/>
          <w:tab w:val="left" w:pos="115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投标单位有前款第（一）至（五）项情形之一的，中标无效。</w:t>
      </w:r>
    </w:p>
    <w:p w14:paraId="7E2A164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（七）投标文件有下列情形之一的视为未能对招标文件做出实质性响应，属重大偏差，视投标文件为无效标。</w:t>
      </w:r>
    </w:p>
    <w:p w14:paraId="5C7BACEA">
      <w:pPr>
        <w:spacing w:line="360" w:lineRule="auto"/>
        <w:ind w:firstLine="480"/>
        <w:rPr>
          <w:rFonts w:hint="eastAsia" w:ascii="宋体" w:hAnsi="宋体" w:cs="宋体"/>
          <w:color w:val="auto"/>
          <w:sz w:val="24"/>
          <w:szCs w:val="22"/>
          <w:highlight w:val="none"/>
        </w:rPr>
      </w:pPr>
      <w:r>
        <w:rPr>
          <w:rFonts w:hint="eastAsia" w:ascii="宋体" w:hAnsi="宋体" w:cs="宋体"/>
          <w:color w:val="auto"/>
          <w:sz w:val="24"/>
          <w:szCs w:val="22"/>
          <w:highlight w:val="none"/>
        </w:rPr>
        <w:t>1）合同签订后7日内不能确保进入现场完成交接工作的。</w:t>
      </w:r>
    </w:p>
    <w:p w14:paraId="63680915">
      <w:pPr>
        <w:spacing w:line="360" w:lineRule="auto"/>
        <w:ind w:firstLine="480"/>
        <w:rPr>
          <w:rFonts w:hint="eastAsia" w:ascii="宋体" w:hAnsi="宋体" w:cs="宋体"/>
          <w:color w:val="auto"/>
          <w:sz w:val="24"/>
          <w:szCs w:val="22"/>
          <w:highlight w:val="none"/>
        </w:rPr>
      </w:pPr>
      <w:r>
        <w:rPr>
          <w:rFonts w:hint="eastAsia" w:ascii="宋体" w:hAnsi="宋体" w:cs="宋体"/>
          <w:color w:val="auto"/>
          <w:sz w:val="24"/>
          <w:szCs w:val="22"/>
          <w:highlight w:val="none"/>
        </w:rPr>
        <w:t>2）投标文件中有明显不符合国家、行业标准和本次采购实质性技术要求的。</w:t>
      </w:r>
    </w:p>
    <w:p w14:paraId="3BCE38E5">
      <w:pPr>
        <w:spacing w:line="360" w:lineRule="auto"/>
        <w:ind w:firstLine="480"/>
        <w:rPr>
          <w:rFonts w:hint="eastAsia" w:ascii="宋体" w:hAnsi="宋体" w:cs="宋体"/>
          <w:color w:val="auto"/>
          <w:sz w:val="24"/>
          <w:szCs w:val="22"/>
          <w:highlight w:val="none"/>
        </w:rPr>
      </w:pPr>
      <w:r>
        <w:rPr>
          <w:rFonts w:hint="eastAsia" w:ascii="宋体" w:hAnsi="宋体" w:cs="宋体"/>
          <w:color w:val="auto"/>
          <w:sz w:val="24"/>
          <w:szCs w:val="22"/>
          <w:highlight w:val="none"/>
        </w:rPr>
        <w:t>3）投标总报价大</w:t>
      </w:r>
      <w:r>
        <w:rPr>
          <w:rFonts w:hint="eastAsia" w:ascii="宋体" w:hAnsi="宋体" w:cs="宋体"/>
          <w:color w:val="auto"/>
          <w:sz w:val="24"/>
          <w:szCs w:val="22"/>
          <w:highlight w:val="none"/>
          <w:lang w:val="en-US" w:eastAsia="zh-CN"/>
        </w:rPr>
        <w:t>于</w:t>
      </w:r>
      <w:r>
        <w:rPr>
          <w:rFonts w:hint="eastAsia" w:ascii="宋体" w:hAnsi="宋体" w:cs="宋体"/>
          <w:color w:val="auto"/>
          <w:sz w:val="24"/>
          <w:szCs w:val="22"/>
          <w:highlight w:val="none"/>
        </w:rPr>
        <w:t>财政预算价格的为无效投标报价，无效投标报价的投标文件不进行评审，也不得标。</w:t>
      </w:r>
    </w:p>
    <w:p w14:paraId="06B4C768">
      <w:pPr>
        <w:spacing w:line="360" w:lineRule="auto"/>
        <w:ind w:firstLine="480"/>
        <w:rPr>
          <w:rFonts w:hint="eastAsia" w:ascii="宋体" w:hAnsi="宋体" w:cs="宋体"/>
          <w:color w:val="auto"/>
          <w:sz w:val="24"/>
          <w:szCs w:val="22"/>
          <w:highlight w:val="none"/>
        </w:rPr>
      </w:pPr>
      <w:r>
        <w:rPr>
          <w:rFonts w:hint="eastAsia" w:ascii="宋体" w:hAnsi="宋体" w:cs="宋体"/>
          <w:color w:val="auto"/>
          <w:sz w:val="24"/>
          <w:szCs w:val="22"/>
          <w:highlight w:val="none"/>
        </w:rPr>
        <w:t>（八）中标单位有下列情形之一的，情节严重的，由财政部门将其列入不良行为记录名单，在一至三年内禁止参加政府采购活动，并予以通报：</w:t>
      </w:r>
    </w:p>
    <w:p w14:paraId="45F69582">
      <w:pPr>
        <w:spacing w:line="360" w:lineRule="auto"/>
        <w:ind w:firstLine="480"/>
        <w:rPr>
          <w:rFonts w:hint="eastAsia" w:ascii="宋体" w:hAnsi="宋体" w:cs="宋体"/>
          <w:color w:val="auto"/>
          <w:sz w:val="24"/>
          <w:szCs w:val="22"/>
          <w:highlight w:val="none"/>
        </w:rPr>
      </w:pPr>
      <w:r>
        <w:rPr>
          <w:rFonts w:hint="eastAsia" w:ascii="宋体" w:hAnsi="宋体" w:cs="宋体"/>
          <w:color w:val="auto"/>
          <w:sz w:val="24"/>
          <w:szCs w:val="22"/>
          <w:highlight w:val="none"/>
        </w:rPr>
        <w:t>放弃中标资格的；</w:t>
      </w:r>
    </w:p>
    <w:p w14:paraId="370859CE">
      <w:pPr>
        <w:spacing w:line="360" w:lineRule="auto"/>
        <w:ind w:firstLine="480"/>
        <w:rPr>
          <w:rFonts w:hint="eastAsia" w:ascii="宋体" w:hAnsi="宋体" w:cs="宋体"/>
          <w:color w:val="auto"/>
          <w:sz w:val="24"/>
          <w:szCs w:val="22"/>
          <w:highlight w:val="none"/>
        </w:rPr>
      </w:pPr>
      <w:r>
        <w:rPr>
          <w:rFonts w:hint="eastAsia" w:ascii="宋体" w:hAnsi="宋体" w:cs="宋体"/>
          <w:color w:val="auto"/>
          <w:sz w:val="24"/>
          <w:szCs w:val="22"/>
          <w:highlight w:val="none"/>
        </w:rPr>
        <w:t>中标后无正当理由不与采购人或者采购代理机构签订合同的</w:t>
      </w:r>
    </w:p>
    <w:p w14:paraId="5FFBB068">
      <w:pPr>
        <w:spacing w:line="360" w:lineRule="auto"/>
        <w:ind w:firstLine="480"/>
        <w:rPr>
          <w:rFonts w:hint="eastAsia" w:ascii="宋体" w:hAnsi="宋体" w:cs="宋体"/>
          <w:color w:val="auto"/>
          <w:sz w:val="24"/>
          <w:szCs w:val="22"/>
          <w:highlight w:val="none"/>
        </w:rPr>
      </w:pPr>
      <w:r>
        <w:rPr>
          <w:rFonts w:hint="eastAsia" w:ascii="宋体" w:hAnsi="宋体" w:cs="宋体"/>
          <w:color w:val="auto"/>
          <w:sz w:val="24"/>
          <w:szCs w:val="22"/>
          <w:highlight w:val="none"/>
        </w:rPr>
        <w:t>（1）将中标项目转让给他人，或者在投标文件中未说明，且未经采购招标机构同意，将中标项目分包给他人的；</w:t>
      </w:r>
    </w:p>
    <w:p w14:paraId="3456D729">
      <w:pPr>
        <w:spacing w:line="360" w:lineRule="auto"/>
        <w:ind w:firstLine="480"/>
        <w:rPr>
          <w:rFonts w:hint="eastAsia" w:ascii="宋体" w:hAnsi="宋体" w:cs="宋体"/>
          <w:color w:val="auto"/>
          <w:sz w:val="24"/>
          <w:szCs w:val="22"/>
          <w:highlight w:val="none"/>
        </w:rPr>
      </w:pPr>
      <w:r>
        <w:rPr>
          <w:rFonts w:hint="eastAsia" w:ascii="宋体" w:hAnsi="宋体" w:cs="宋体"/>
          <w:color w:val="auto"/>
          <w:sz w:val="24"/>
          <w:szCs w:val="22"/>
          <w:highlight w:val="none"/>
        </w:rPr>
        <w:t>（2）拒绝履行合同义务的。</w:t>
      </w:r>
    </w:p>
    <w:p w14:paraId="3D04BE90">
      <w:pPr>
        <w:spacing w:line="360" w:lineRule="auto"/>
        <w:ind w:firstLine="480"/>
        <w:rPr>
          <w:rFonts w:hint="eastAsia" w:ascii="宋体" w:hAnsi="宋体" w:cs="宋体"/>
          <w:color w:val="auto"/>
          <w:highlight w:val="none"/>
        </w:rPr>
      </w:pPr>
      <w:r>
        <w:rPr>
          <w:rFonts w:hint="eastAsia" w:ascii="宋体" w:hAnsi="宋体" w:cs="宋体"/>
          <w:color w:val="auto"/>
          <w:sz w:val="24"/>
          <w:szCs w:val="22"/>
          <w:highlight w:val="none"/>
        </w:rPr>
        <w:t>（3）投标人在投标过程中有违反有关法律法规的行为。</w:t>
      </w:r>
    </w:p>
    <w:p w14:paraId="0AE585A5">
      <w:pPr>
        <w:tabs>
          <w:tab w:val="left" w:pos="945"/>
        </w:tabs>
        <w:spacing w:line="360" w:lineRule="auto"/>
        <w:ind w:firstLine="482"/>
        <w:outlineLvl w:val="0"/>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十</w:t>
      </w:r>
      <w:r>
        <w:rPr>
          <w:rFonts w:hint="eastAsia" w:ascii="宋体" w:hAnsi="宋体" w:cs="宋体"/>
          <w:b/>
          <w:color w:val="auto"/>
          <w:sz w:val="24"/>
          <w:szCs w:val="24"/>
          <w:highlight w:val="none"/>
        </w:rPr>
        <w:t>四、</w:t>
      </w:r>
      <w:r>
        <w:rPr>
          <w:rFonts w:hint="eastAsia" w:ascii="宋体" w:hAnsi="宋体" w:cs="宋体"/>
          <w:b/>
          <w:color w:val="auto"/>
          <w:sz w:val="24"/>
          <w:szCs w:val="24"/>
          <w:highlight w:val="none"/>
          <w:lang w:val="zh-CN"/>
        </w:rPr>
        <w:t>签订合同：</w:t>
      </w:r>
    </w:p>
    <w:p w14:paraId="073CFA37">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采购代理机构</w:t>
      </w:r>
      <w:r>
        <w:rPr>
          <w:rFonts w:hint="eastAsia" w:ascii="宋体" w:hAnsi="宋体"/>
          <w:color w:val="auto"/>
          <w:sz w:val="24"/>
          <w:szCs w:val="24"/>
          <w:highlight w:val="none"/>
        </w:rPr>
        <w:t>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w:t>
      </w:r>
      <w:r>
        <w:rPr>
          <w:rFonts w:hint="eastAsia" w:ascii="宋体" w:hAnsi="宋体"/>
          <w:color w:val="auto"/>
          <w:sz w:val="24"/>
          <w:szCs w:val="24"/>
          <w:highlight w:val="none"/>
          <w:lang w:val="en-US" w:eastAsia="zh-CN"/>
        </w:rPr>
        <w:t>经</w:t>
      </w:r>
      <w:r>
        <w:rPr>
          <w:rFonts w:hint="eastAsia" w:ascii="宋体" w:hAnsi="宋体"/>
          <w:color w:val="auto"/>
          <w:sz w:val="24"/>
          <w:szCs w:val="24"/>
          <w:highlight w:val="none"/>
        </w:rPr>
        <w:t>正军项目管理集团有限公司</w:t>
      </w:r>
      <w:r>
        <w:rPr>
          <w:rFonts w:hint="eastAsia" w:ascii="宋体" w:hAnsi="宋体"/>
          <w:color w:val="auto"/>
          <w:sz w:val="24"/>
          <w:szCs w:val="24"/>
          <w:highlight w:val="none"/>
          <w:lang w:val="en-US" w:eastAsia="zh-CN"/>
        </w:rPr>
        <w:t>见证</w:t>
      </w:r>
      <w:r>
        <w:rPr>
          <w:rFonts w:hint="eastAsia" w:ascii="宋体" w:hAnsi="宋体"/>
          <w:color w:val="auto"/>
          <w:sz w:val="24"/>
          <w:szCs w:val="24"/>
          <w:highlight w:val="none"/>
        </w:rPr>
        <w:t>。</w:t>
      </w:r>
    </w:p>
    <w:p w14:paraId="072CA428">
      <w:pPr>
        <w:spacing w:line="400" w:lineRule="exact"/>
        <w:ind w:firstLine="480"/>
        <w:rPr>
          <w:rFonts w:hint="eastAsia" w:ascii="宋体" w:hAnsi="宋体" w:eastAsia="宋体"/>
          <w:b/>
          <w:bCs/>
          <w:color w:val="auto"/>
          <w:sz w:val="24"/>
          <w:szCs w:val="24"/>
          <w:highlight w:val="none"/>
          <w:lang w:eastAsia="zh-CN"/>
        </w:rPr>
      </w:pPr>
      <w:r>
        <w:rPr>
          <w:rFonts w:hint="eastAsia" w:ascii="宋体" w:hAnsi="宋体"/>
          <w:color w:val="auto"/>
          <w:sz w:val="24"/>
          <w:szCs w:val="24"/>
          <w:highlight w:val="none"/>
        </w:rPr>
        <w:t>2、签订合同时，</w:t>
      </w:r>
      <w:r>
        <w:rPr>
          <w:rFonts w:hint="eastAsia" w:ascii="宋体" w:hAnsi="宋体"/>
          <w:b/>
          <w:bCs/>
          <w:color w:val="auto"/>
          <w:sz w:val="24"/>
          <w:szCs w:val="24"/>
          <w:highlight w:val="none"/>
        </w:rPr>
        <w:t>中标方</w:t>
      </w:r>
      <w:bookmarkStart w:id="12" w:name="OLE_LINK15"/>
      <w:r>
        <w:rPr>
          <w:rFonts w:hint="eastAsia" w:ascii="宋体" w:hAnsi="宋体"/>
          <w:b/>
          <w:bCs/>
          <w:color w:val="auto"/>
          <w:sz w:val="24"/>
          <w:szCs w:val="24"/>
          <w:highlight w:val="none"/>
        </w:rPr>
        <w:t>须向采购人提供</w:t>
      </w:r>
      <w:r>
        <w:rPr>
          <w:rFonts w:hint="eastAsia" w:ascii="宋体" w:hAnsi="宋体"/>
          <w:b/>
          <w:bCs/>
          <w:color w:val="auto"/>
          <w:sz w:val="24"/>
          <w:szCs w:val="24"/>
          <w:highlight w:val="none"/>
          <w:lang w:val="en-US" w:eastAsia="zh-CN"/>
        </w:rPr>
        <w:t>3</w:t>
      </w:r>
      <w:r>
        <w:rPr>
          <w:rFonts w:hint="eastAsia" w:ascii="宋体" w:hAnsi="宋体"/>
          <w:b/>
          <w:bCs/>
          <w:color w:val="auto"/>
          <w:sz w:val="24"/>
          <w:szCs w:val="24"/>
          <w:highlight w:val="none"/>
        </w:rPr>
        <w:t>份与网上投标文件一致的纸制打印投标文件及投标文件扫描件1份。若采购人发现纸质投标文件与电子投标文件不一致的，采购人有权取消其中标资格，并按弄虚作假骗取中标进行处理</w:t>
      </w:r>
      <w:r>
        <w:rPr>
          <w:rFonts w:hint="eastAsia" w:ascii="宋体" w:hAnsi="宋体"/>
          <w:b/>
          <w:bCs/>
          <w:color w:val="auto"/>
          <w:sz w:val="24"/>
          <w:szCs w:val="24"/>
          <w:highlight w:val="none"/>
          <w:lang w:eastAsia="zh-CN"/>
        </w:rPr>
        <w:t>。</w:t>
      </w:r>
    </w:p>
    <w:bookmarkEnd w:id="12"/>
    <w:p w14:paraId="2DDEA192">
      <w:pPr>
        <w:spacing w:line="360" w:lineRule="auto"/>
        <w:ind w:firstLine="480"/>
        <w:rPr>
          <w:rFonts w:ascii="宋体" w:hAnsi="宋体" w:cs="宋体"/>
          <w:color w:val="auto"/>
          <w:sz w:val="24"/>
          <w:szCs w:val="28"/>
          <w:highlight w:val="none"/>
        </w:rPr>
      </w:pPr>
      <w:r>
        <w:rPr>
          <w:rFonts w:hint="eastAsia" w:ascii="宋体" w:hAnsi="宋体" w:cs="宋体"/>
          <w:color w:val="auto"/>
          <w:sz w:val="24"/>
          <w:szCs w:val="28"/>
          <w:highlight w:val="none"/>
        </w:rPr>
        <w:t>3、履约保证金的收取：合同签署并见证前，中标方向采购人缴纳</w:t>
      </w:r>
      <w:r>
        <w:rPr>
          <w:rFonts w:hint="eastAsia" w:ascii="宋体" w:hAnsi="宋体" w:cs="宋体"/>
          <w:color w:val="auto"/>
          <w:sz w:val="24"/>
          <w:szCs w:val="28"/>
          <w:highlight w:val="none"/>
          <w:u w:val="single"/>
          <w:lang w:val="en-US" w:eastAsia="zh-CN"/>
        </w:rPr>
        <w:t>中标金额的10%</w:t>
      </w:r>
      <w:r>
        <w:rPr>
          <w:rFonts w:hint="eastAsia" w:ascii="宋体" w:hAnsi="宋体" w:cs="宋体"/>
          <w:color w:val="auto"/>
          <w:sz w:val="24"/>
          <w:szCs w:val="28"/>
          <w:highlight w:val="none"/>
          <w:u w:val="none"/>
          <w:lang w:val="en-US" w:eastAsia="zh-CN"/>
        </w:rPr>
        <w:t>作为</w:t>
      </w:r>
      <w:r>
        <w:rPr>
          <w:rFonts w:hint="eastAsia" w:ascii="宋体" w:hAnsi="宋体" w:cs="宋体"/>
          <w:color w:val="auto"/>
          <w:sz w:val="24"/>
          <w:szCs w:val="28"/>
          <w:highlight w:val="none"/>
        </w:rPr>
        <w:t>履约保证金。采购单位需向中标单位出具有效的履约保证金收款凭证。收取履约保证金的，采购人应当允许中标方自主选择以支票、汇票、本票、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p>
    <w:p w14:paraId="67A0C5D3">
      <w:pPr>
        <w:spacing w:line="360" w:lineRule="auto"/>
        <w:ind w:firstLine="480"/>
        <w:rPr>
          <w:rFonts w:ascii="宋体" w:hAnsi="宋体" w:cs="宋体"/>
          <w:color w:val="auto"/>
          <w:sz w:val="24"/>
          <w:szCs w:val="28"/>
          <w:highlight w:val="none"/>
        </w:rPr>
      </w:pPr>
      <w:r>
        <w:rPr>
          <w:rFonts w:hint="eastAsia" w:ascii="宋体" w:hAnsi="宋体" w:cs="宋体"/>
          <w:color w:val="auto"/>
          <w:sz w:val="24"/>
          <w:szCs w:val="28"/>
          <w:highlight w:val="none"/>
        </w:rPr>
        <w:t>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p>
    <w:p w14:paraId="0B195471">
      <w:pPr>
        <w:spacing w:line="360" w:lineRule="auto"/>
        <w:ind w:firstLine="480"/>
        <w:rPr>
          <w:rFonts w:ascii="宋体" w:hAnsi="宋体" w:cs="宋体"/>
          <w:color w:val="auto"/>
          <w:sz w:val="24"/>
          <w:szCs w:val="28"/>
          <w:highlight w:val="none"/>
        </w:rPr>
      </w:pPr>
      <w:r>
        <w:rPr>
          <w:rFonts w:hint="eastAsia" w:ascii="宋体" w:hAnsi="宋体" w:cs="宋体"/>
          <w:color w:val="auto"/>
          <w:sz w:val="24"/>
          <w:szCs w:val="28"/>
          <w:highlight w:val="none"/>
        </w:rPr>
        <w:t>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p>
    <w:p w14:paraId="1C5BD21E">
      <w:pPr>
        <w:spacing w:line="360" w:lineRule="auto"/>
        <w:ind w:firstLine="480"/>
        <w:rPr>
          <w:rFonts w:ascii="宋体" w:hAnsi="宋体" w:cs="宋体"/>
          <w:color w:val="auto"/>
          <w:sz w:val="24"/>
          <w:szCs w:val="28"/>
          <w:highlight w:val="none"/>
        </w:rPr>
      </w:pPr>
      <w:r>
        <w:rPr>
          <w:rFonts w:hint="eastAsia" w:ascii="宋体" w:hAnsi="宋体" w:cs="宋体"/>
          <w:color w:val="auto"/>
          <w:sz w:val="24"/>
          <w:szCs w:val="28"/>
          <w:highlight w:val="none"/>
        </w:rPr>
        <w:t>3、履约保证金退还：采购单位应做好履约保证金的账务处理工作，实行专项管理，不得违规收取、挪用、截留等其他用途。项目验收合格后（货物类）或有效期结束后（服务类），采购单位应及时退还履约保证金，不计利息。</w:t>
      </w:r>
    </w:p>
    <w:p w14:paraId="29D32F03">
      <w:pPr>
        <w:spacing w:line="360" w:lineRule="auto"/>
        <w:ind w:firstLine="480"/>
        <w:rPr>
          <w:rFonts w:ascii="宋体" w:hAnsi="宋体" w:cs="宋体"/>
          <w:color w:val="auto"/>
          <w:sz w:val="24"/>
          <w:szCs w:val="28"/>
          <w:highlight w:val="none"/>
        </w:rPr>
      </w:pPr>
      <w:r>
        <w:rPr>
          <w:rFonts w:hint="eastAsia" w:ascii="宋体" w:hAnsi="宋体" w:cs="宋体"/>
          <w:color w:val="auto"/>
          <w:sz w:val="24"/>
          <w:szCs w:val="28"/>
          <w:highlight w:val="none"/>
        </w:rPr>
        <w:t>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p>
    <w:p w14:paraId="68688357">
      <w:pPr>
        <w:spacing w:line="360" w:lineRule="auto"/>
        <w:ind w:firstLine="480"/>
        <w:rPr>
          <w:rFonts w:ascii="宋体" w:hAnsi="宋体"/>
          <w:color w:val="auto"/>
          <w:sz w:val="24"/>
          <w:szCs w:val="24"/>
          <w:highlight w:val="none"/>
        </w:rPr>
      </w:pPr>
      <w:r>
        <w:rPr>
          <w:rFonts w:hint="eastAsia" w:ascii="宋体" w:hAnsi="宋体" w:cs="宋体"/>
          <w:color w:val="auto"/>
          <w:sz w:val="24"/>
          <w:szCs w:val="28"/>
          <w:highlight w:val="none"/>
        </w:rPr>
        <w:t>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p>
    <w:p w14:paraId="7A736D34">
      <w:pPr>
        <w:tabs>
          <w:tab w:val="left" w:pos="525"/>
          <w:tab w:val="left" w:pos="945"/>
          <w:tab w:val="left" w:pos="1050"/>
        </w:tabs>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十</w:t>
      </w:r>
      <w:r>
        <w:rPr>
          <w:rFonts w:hint="eastAsia" w:ascii="宋体" w:hAnsi="宋体" w:cs="宋体"/>
          <w:b/>
          <w:color w:val="auto"/>
          <w:sz w:val="24"/>
          <w:szCs w:val="24"/>
          <w:highlight w:val="none"/>
        </w:rPr>
        <w:t>五、</w:t>
      </w:r>
      <w:r>
        <w:rPr>
          <w:rFonts w:hint="eastAsia" w:ascii="宋体" w:hAnsi="宋体" w:cs="宋体"/>
          <w:b/>
          <w:color w:val="auto"/>
          <w:sz w:val="24"/>
          <w:szCs w:val="24"/>
          <w:highlight w:val="none"/>
          <w:lang w:val="zh-CN"/>
        </w:rPr>
        <w:t>付款方式：</w:t>
      </w:r>
    </w:p>
    <w:p w14:paraId="55B948D1">
      <w:pPr>
        <w:tabs>
          <w:tab w:val="left" w:pos="525"/>
          <w:tab w:val="left" w:pos="945"/>
          <w:tab w:val="left" w:pos="1050"/>
        </w:tabs>
        <w:spacing w:line="360" w:lineRule="auto"/>
        <w:ind w:firstLine="482"/>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见项目要求。</w:t>
      </w:r>
    </w:p>
    <w:p w14:paraId="69C1D173">
      <w:pPr>
        <w:tabs>
          <w:tab w:val="left" w:pos="525"/>
          <w:tab w:val="left" w:pos="945"/>
          <w:tab w:val="left" w:pos="1050"/>
        </w:tabs>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十六、政策功能：</w:t>
      </w:r>
    </w:p>
    <w:p w14:paraId="62E9DC2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zh-CN"/>
        </w:rPr>
        <w:t>1、</w:t>
      </w:r>
      <w:r>
        <w:rPr>
          <w:rFonts w:hint="eastAsia" w:ascii="宋体" w:hAnsi="宋体"/>
          <w:color w:val="auto"/>
          <w:sz w:val="24"/>
          <w:szCs w:val="24"/>
          <w:highlight w:val="none"/>
        </w:rPr>
        <w:t>供应商对提供证明文件的真实性负责，监管机构、采购代理机构有权将相关内容进行公示。</w:t>
      </w:r>
    </w:p>
    <w:p w14:paraId="32EC03D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p>
    <w:p w14:paraId="0A01B229">
      <w:pPr>
        <w:spacing w:line="400" w:lineRule="exac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、提供的产品属于信息安全产品的，供应商应当选择经国家认证的信息安全产品参加，并提供由中国信息安全认证中心按国家标准认证颁发的有效认证证书。</w:t>
      </w:r>
    </w:p>
    <w:p w14:paraId="1D40037B">
      <w:pPr>
        <w:tabs>
          <w:tab w:val="left" w:pos="525"/>
          <w:tab w:val="left" w:pos="945"/>
          <w:tab w:val="left" w:pos="1050"/>
        </w:tabs>
        <w:spacing w:line="360" w:lineRule="auto"/>
        <w:ind w:firstLine="482"/>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十七、政府采购合同融资：</w:t>
      </w:r>
    </w:p>
    <w:p w14:paraId="671D01C1">
      <w:pPr>
        <w:spacing w:line="400" w:lineRule="exact"/>
        <w:ind w:firstLine="480"/>
        <w:jc w:val="left"/>
        <w:rPr>
          <w:rFonts w:ascii="宋体" w:hAnsi="宋体"/>
          <w:color w:val="auto"/>
          <w:sz w:val="24"/>
          <w:szCs w:val="24"/>
          <w:highlight w:val="none"/>
        </w:rPr>
      </w:pPr>
      <w:r>
        <w:rPr>
          <w:rFonts w:ascii="宋体" w:hAnsi="宋体"/>
          <w:color w:val="auto"/>
          <w:sz w:val="24"/>
          <w:szCs w:val="24"/>
          <w:highlight w:val="none"/>
        </w:rPr>
        <w:t>根据国家扶持中小企业的有关政策，在我中心组织的采购项目中标、成交的供应商可根据自身情况，自行决定是否选择采用合同融资形式，如需要政府采购合同融资，请按锡财购【2020】17号文件执行。</w:t>
      </w:r>
    </w:p>
    <w:p w14:paraId="32FCCED8">
      <w:pPr>
        <w:spacing w:line="400" w:lineRule="exact"/>
        <w:ind w:firstLine="480"/>
        <w:jc w:val="left"/>
        <w:rPr>
          <w:rFonts w:hint="eastAsia" w:ascii="宋体" w:hAnsi="宋体"/>
          <w:color w:val="auto"/>
          <w:sz w:val="24"/>
          <w:szCs w:val="24"/>
          <w:highlight w:val="none"/>
        </w:rPr>
      </w:pPr>
      <w:r>
        <w:rPr>
          <w:rFonts w:ascii="宋体" w:hAnsi="宋体"/>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w:t>
      </w:r>
      <w:r>
        <w:rPr>
          <w:rFonts w:hint="eastAsia" w:ascii="宋体" w:hAnsi="宋体"/>
          <w:color w:val="auto"/>
          <w:sz w:val="24"/>
          <w:szCs w:val="24"/>
          <w:highlight w:val="none"/>
        </w:rPr>
        <w:t>中标供应商</w:t>
      </w:r>
      <w:r>
        <w:rPr>
          <w:rFonts w:ascii="宋体" w:hAnsi="宋体"/>
          <w:color w:val="auto"/>
          <w:sz w:val="24"/>
          <w:szCs w:val="24"/>
          <w:highlight w:val="none"/>
        </w:rPr>
        <w:t>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FCD5A58">
      <w:pPr>
        <w:tabs>
          <w:tab w:val="left" w:pos="525"/>
          <w:tab w:val="left" w:pos="945"/>
          <w:tab w:val="left" w:pos="1050"/>
        </w:tabs>
        <w:spacing w:line="360" w:lineRule="auto"/>
        <w:ind w:firstLine="482"/>
        <w:rPr>
          <w:rFonts w:hint="eastAsia" w:ascii="宋体" w:hAnsi="宋体" w:eastAsia="宋体" w:cs="宋体"/>
          <w:color w:val="auto"/>
          <w:sz w:val="24"/>
          <w:szCs w:val="24"/>
          <w:highlight w:val="none"/>
          <w:lang w:eastAsia="zh-CN"/>
        </w:rPr>
      </w:pPr>
      <w:r>
        <w:rPr>
          <w:rFonts w:hint="eastAsia" w:ascii="宋体" w:hAnsi="宋体" w:cs="宋体"/>
          <w:b/>
          <w:color w:val="auto"/>
          <w:sz w:val="24"/>
          <w:szCs w:val="24"/>
          <w:highlight w:val="none"/>
        </w:rPr>
        <w:t>十八、质量及验收</w:t>
      </w:r>
      <w:r>
        <w:rPr>
          <w:rFonts w:hint="eastAsia" w:ascii="宋体" w:hAnsi="宋体" w:cs="宋体"/>
          <w:b/>
          <w:color w:val="auto"/>
          <w:sz w:val="24"/>
          <w:szCs w:val="24"/>
          <w:highlight w:val="none"/>
          <w:lang w:eastAsia="zh-CN"/>
        </w:rPr>
        <w:t>：</w:t>
      </w:r>
    </w:p>
    <w:p w14:paraId="5B71CBF4">
      <w:pPr>
        <w:tabs>
          <w:tab w:val="left" w:pos="525"/>
          <w:tab w:val="left" w:pos="945"/>
          <w:tab w:val="left" w:pos="1050"/>
        </w:tabs>
        <w:spacing w:line="360" w:lineRule="auto"/>
        <w:ind w:firstLine="480"/>
        <w:rPr>
          <w:rFonts w:hint="eastAsia" w:ascii="宋体" w:hAnsi="宋体" w:cs="宋体"/>
          <w:b/>
          <w:color w:val="auto"/>
          <w:sz w:val="24"/>
          <w:szCs w:val="24"/>
          <w:highlight w:val="none"/>
        </w:rPr>
      </w:pPr>
      <w:r>
        <w:rPr>
          <w:rFonts w:hint="eastAsia" w:ascii="宋体" w:hAnsi="宋体"/>
          <w:color w:val="auto"/>
          <w:sz w:val="24"/>
          <w:szCs w:val="24"/>
          <w:highlight w:val="none"/>
        </w:rPr>
        <w:t>项目完毕后，中标方书面通知采购人验收，采购人依据为国家有关规定、招标文件、中标方的投标文件以及其他相关文件和资料，</w:t>
      </w:r>
      <w:r>
        <w:rPr>
          <w:rFonts w:hint="eastAsia" w:ascii="宋体" w:hAnsi="宋体" w:cs="宋体"/>
          <w:color w:val="auto"/>
          <w:sz w:val="24"/>
          <w:szCs w:val="28"/>
          <w:highlight w:val="none"/>
        </w:rPr>
        <w:t>根据实际按照转发江苏省财政厅关于印发《江苏省政府采购履约验收管理办法》的通知（澄财购〔2025〕1 号）组织验收</w:t>
      </w:r>
      <w:r>
        <w:rPr>
          <w:rFonts w:hint="eastAsia" w:ascii="宋体" w:hAnsi="宋体"/>
          <w:color w:val="auto"/>
          <w:sz w:val="24"/>
          <w:szCs w:val="24"/>
          <w:highlight w:val="none"/>
        </w:rPr>
        <w:t>。对项目验收发生的检测（检验）费、劳务报酬等费用支出，采购合同有约定的按照约定执行；无约定的，由采购人承担。因供应商问题导致重新组织项目验收的，由供应商负担验收费用。</w:t>
      </w:r>
    </w:p>
    <w:p w14:paraId="5E4AFA7B">
      <w:pPr>
        <w:tabs>
          <w:tab w:val="left" w:pos="525"/>
          <w:tab w:val="left" w:pos="945"/>
          <w:tab w:val="left" w:pos="1050"/>
        </w:tabs>
        <w:spacing w:line="360" w:lineRule="auto"/>
        <w:ind w:firstLine="482"/>
        <w:rPr>
          <w:rFonts w:hint="eastAsia" w:ascii="宋体" w:hAnsi="宋体" w:cs="宋体"/>
          <w:color w:val="auto"/>
          <w:sz w:val="24"/>
          <w:szCs w:val="24"/>
          <w:highlight w:val="none"/>
        </w:rPr>
      </w:pPr>
      <w:bookmarkStart w:id="13" w:name="OLE_LINK5"/>
      <w:r>
        <w:rPr>
          <w:rFonts w:hint="eastAsia" w:ascii="宋体" w:hAnsi="宋体" w:cs="宋体"/>
          <w:b/>
          <w:color w:val="auto"/>
          <w:sz w:val="24"/>
          <w:szCs w:val="24"/>
          <w:highlight w:val="none"/>
        </w:rPr>
        <w:t>十九、</w:t>
      </w:r>
      <w:r>
        <w:rPr>
          <w:rFonts w:hint="eastAsia" w:ascii="宋体" w:hAnsi="宋体" w:cs="宋体"/>
          <w:b/>
          <w:color w:val="auto"/>
          <w:sz w:val="24"/>
          <w:szCs w:val="24"/>
          <w:highlight w:val="none"/>
          <w:lang w:val="zh-CN"/>
        </w:rPr>
        <w:t>中标服务费：</w:t>
      </w:r>
    </w:p>
    <w:bookmarkEnd w:id="13"/>
    <w:p w14:paraId="70F30415">
      <w:pPr>
        <w:pStyle w:val="205"/>
        <w:spacing w:line="312" w:lineRule="auto"/>
        <w:ind w:firstLine="480"/>
        <w:rPr>
          <w:rFonts w:hint="eastAsia"/>
          <w:b w:val="0"/>
          <w:bCs/>
          <w:color w:val="0000FF"/>
          <w:sz w:val="24"/>
          <w:szCs w:val="24"/>
          <w:highlight w:val="none"/>
        </w:rPr>
      </w:pPr>
      <w:r>
        <w:rPr>
          <w:rFonts w:hint="eastAsia" w:ascii="宋体" w:hAnsi="宋体"/>
          <w:b w:val="0"/>
          <w:bCs/>
          <w:color w:val="0000FF"/>
          <w:sz w:val="24"/>
          <w:highlight w:val="none"/>
          <w:lang w:val="en-US" w:eastAsia="zh-CN"/>
        </w:rPr>
        <w:t>1、</w:t>
      </w:r>
      <w:r>
        <w:rPr>
          <w:rFonts w:hint="eastAsia" w:ascii="宋体" w:hAnsi="宋体"/>
          <w:b w:val="0"/>
          <w:bCs/>
          <w:color w:val="0000FF"/>
          <w:sz w:val="24"/>
          <w:highlight w:val="none"/>
        </w:rPr>
        <w:t>本项目中标服务费由中标人支付。中标服务费按以下收费标准</w:t>
      </w:r>
      <w:r>
        <w:rPr>
          <w:rFonts w:hint="eastAsia" w:ascii="宋体" w:hAnsi="宋体"/>
          <w:b w:val="0"/>
          <w:bCs/>
          <w:color w:val="0000FF"/>
          <w:sz w:val="24"/>
          <w:highlight w:val="none"/>
          <w:lang w:val="en-US" w:eastAsia="zh-CN"/>
        </w:rPr>
        <w:t>的100%</w:t>
      </w:r>
      <w:r>
        <w:rPr>
          <w:rFonts w:hint="eastAsia" w:ascii="宋体" w:hAnsi="宋体"/>
          <w:b w:val="0"/>
          <w:bCs/>
          <w:color w:val="0000FF"/>
          <w:sz w:val="24"/>
          <w:highlight w:val="none"/>
        </w:rPr>
        <w:t>计取</w:t>
      </w:r>
      <w:r>
        <w:rPr>
          <w:rFonts w:hint="eastAsia" w:ascii="宋体" w:hAnsi="宋体"/>
          <w:b w:val="0"/>
          <w:bCs/>
          <w:color w:val="0000FF"/>
          <w:sz w:val="24"/>
          <w:highlight w:val="none"/>
          <w:lang w:eastAsia="zh-CN"/>
        </w:rPr>
        <w:t>，</w:t>
      </w:r>
      <w:r>
        <w:rPr>
          <w:rFonts w:hint="eastAsia" w:ascii="宋体" w:hAnsi="宋体"/>
          <w:b w:val="0"/>
          <w:bCs/>
          <w:color w:val="0000FF"/>
          <w:sz w:val="24"/>
          <w:highlight w:val="none"/>
        </w:rPr>
        <w:t>计取方式采用差额定率累进法。中标人须在领取中标通知书之前，以支票、汇票、电汇、现金等形式向代理机构交纳中标服务费。</w:t>
      </w:r>
    </w:p>
    <w:tbl>
      <w:tblPr>
        <w:tblStyle w:val="34"/>
        <w:tblW w:w="9241"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75"/>
        <w:gridCol w:w="3969"/>
        <w:gridCol w:w="2835"/>
        <w:gridCol w:w="1762"/>
      </w:tblGrid>
      <w:tr w14:paraId="62AB926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675" w:type="dxa"/>
            <w:noWrap w:val="0"/>
            <w:vAlign w:val="top"/>
          </w:tcPr>
          <w:p w14:paraId="4B0DB29E">
            <w:pPr>
              <w:spacing w:line="360" w:lineRule="auto"/>
              <w:jc w:val="center"/>
              <w:rPr>
                <w:rFonts w:hint="eastAsia" w:ascii="宋体" w:hAnsi="宋体"/>
                <w:b/>
                <w:color w:val="auto"/>
                <w:sz w:val="24"/>
                <w:highlight w:val="none"/>
              </w:rPr>
            </w:pPr>
          </w:p>
        </w:tc>
        <w:tc>
          <w:tcPr>
            <w:tcW w:w="3969" w:type="dxa"/>
            <w:noWrap w:val="0"/>
            <w:vAlign w:val="top"/>
          </w:tcPr>
          <w:p w14:paraId="42AEE134">
            <w:pPr>
              <w:spacing w:line="360" w:lineRule="auto"/>
              <w:jc w:val="center"/>
              <w:rPr>
                <w:rFonts w:hint="eastAsia" w:ascii="宋体" w:hAnsi="宋体"/>
                <w:b/>
                <w:color w:val="auto"/>
                <w:sz w:val="24"/>
                <w:highlight w:val="none"/>
              </w:rPr>
            </w:pPr>
            <w:r>
              <w:rPr>
                <w:rFonts w:hint="eastAsia" w:ascii="宋体" w:hAnsi="宋体"/>
                <w:b/>
                <w:color w:val="auto"/>
                <w:sz w:val="24"/>
                <w:highlight w:val="none"/>
              </w:rPr>
              <w:t>中标金额</w:t>
            </w:r>
          </w:p>
        </w:tc>
        <w:tc>
          <w:tcPr>
            <w:tcW w:w="2835" w:type="dxa"/>
            <w:noWrap w:val="0"/>
            <w:vAlign w:val="top"/>
          </w:tcPr>
          <w:p w14:paraId="75F4091A">
            <w:pPr>
              <w:spacing w:line="360" w:lineRule="auto"/>
              <w:jc w:val="center"/>
              <w:rPr>
                <w:rFonts w:hint="eastAsia" w:ascii="宋体" w:hAnsi="宋体"/>
                <w:b/>
                <w:color w:val="auto"/>
                <w:sz w:val="24"/>
                <w:highlight w:val="none"/>
              </w:rPr>
            </w:pPr>
            <w:r>
              <w:rPr>
                <w:rFonts w:hint="eastAsia" w:ascii="宋体" w:hAnsi="宋体"/>
                <w:b/>
                <w:color w:val="auto"/>
                <w:sz w:val="24"/>
                <w:highlight w:val="none"/>
              </w:rPr>
              <w:t>收费比例最高上限%</w:t>
            </w:r>
          </w:p>
        </w:tc>
        <w:tc>
          <w:tcPr>
            <w:tcW w:w="1762" w:type="dxa"/>
            <w:noWrap w:val="0"/>
            <w:vAlign w:val="top"/>
          </w:tcPr>
          <w:p w14:paraId="502DC3C0">
            <w:pPr>
              <w:spacing w:line="360" w:lineRule="auto"/>
              <w:jc w:val="center"/>
              <w:rPr>
                <w:rFonts w:hint="eastAsia" w:ascii="宋体" w:hAnsi="宋体"/>
                <w:b/>
                <w:color w:val="auto"/>
                <w:sz w:val="24"/>
                <w:highlight w:val="none"/>
              </w:rPr>
            </w:pPr>
            <w:r>
              <w:rPr>
                <w:rFonts w:hint="eastAsia" w:ascii="宋体" w:hAnsi="宋体"/>
                <w:b/>
                <w:color w:val="auto"/>
                <w:sz w:val="24"/>
                <w:highlight w:val="none"/>
              </w:rPr>
              <w:t>最高上限</w:t>
            </w:r>
          </w:p>
        </w:tc>
      </w:tr>
      <w:tr w14:paraId="67CE548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675" w:type="dxa"/>
            <w:noWrap w:val="0"/>
            <w:vAlign w:val="top"/>
          </w:tcPr>
          <w:p w14:paraId="0391B08D">
            <w:pPr>
              <w:spacing w:line="360" w:lineRule="auto"/>
              <w:jc w:val="center"/>
              <w:rPr>
                <w:rFonts w:hint="eastAsia" w:ascii="宋体" w:hAnsi="宋体"/>
                <w:b/>
                <w:color w:val="auto"/>
                <w:sz w:val="24"/>
                <w:highlight w:val="none"/>
              </w:rPr>
            </w:pPr>
            <w:r>
              <w:rPr>
                <w:rFonts w:hint="eastAsia" w:ascii="宋体" w:hAnsi="宋体"/>
                <w:b/>
                <w:color w:val="auto"/>
                <w:sz w:val="24"/>
                <w:highlight w:val="none"/>
              </w:rPr>
              <w:t>1</w:t>
            </w:r>
          </w:p>
        </w:tc>
        <w:tc>
          <w:tcPr>
            <w:tcW w:w="3969" w:type="dxa"/>
            <w:noWrap w:val="0"/>
            <w:vAlign w:val="top"/>
          </w:tcPr>
          <w:p w14:paraId="1DF2E7B0">
            <w:pPr>
              <w:spacing w:line="360" w:lineRule="auto"/>
              <w:jc w:val="center"/>
              <w:rPr>
                <w:rFonts w:hint="eastAsia" w:ascii="宋体" w:hAnsi="宋体"/>
                <w:color w:val="auto"/>
                <w:sz w:val="24"/>
                <w:highlight w:val="none"/>
              </w:rPr>
            </w:pPr>
            <w:r>
              <w:rPr>
                <w:rFonts w:hint="eastAsia" w:ascii="宋体" w:hAnsi="宋体"/>
                <w:color w:val="auto"/>
                <w:sz w:val="24"/>
                <w:highlight w:val="none"/>
              </w:rPr>
              <w:t>100万元（含）以下部分</w:t>
            </w:r>
          </w:p>
        </w:tc>
        <w:tc>
          <w:tcPr>
            <w:tcW w:w="2835" w:type="dxa"/>
            <w:noWrap w:val="0"/>
            <w:vAlign w:val="top"/>
          </w:tcPr>
          <w:p w14:paraId="05B42AF3">
            <w:pPr>
              <w:spacing w:line="360" w:lineRule="auto"/>
              <w:jc w:val="center"/>
              <w:rPr>
                <w:rFonts w:ascii="宋体" w:hAnsi="宋体" w:eastAsia="宋体"/>
                <w:color w:val="auto"/>
                <w:sz w:val="24"/>
                <w:highlight w:val="none"/>
                <w:lang w:val="en-US"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.3</w:t>
            </w:r>
          </w:p>
        </w:tc>
        <w:tc>
          <w:tcPr>
            <w:tcW w:w="1762" w:type="dxa"/>
            <w:vMerge w:val="restart"/>
            <w:noWrap w:val="0"/>
            <w:vAlign w:val="top"/>
          </w:tcPr>
          <w:p w14:paraId="7611B771">
            <w:pPr>
              <w:spacing w:line="360" w:lineRule="auto"/>
              <w:jc w:val="center"/>
              <w:rPr>
                <w:rFonts w:hint="eastAsia" w:ascii="宋体" w:hAnsi="宋体"/>
                <w:color w:val="auto"/>
                <w:sz w:val="24"/>
                <w:highlight w:val="none"/>
              </w:rPr>
            </w:pPr>
            <w:r>
              <w:rPr>
                <w:rFonts w:hint="eastAsia" w:ascii="宋体" w:hAnsi="宋体"/>
                <w:color w:val="auto"/>
                <w:sz w:val="24"/>
                <w:highlight w:val="none"/>
              </w:rPr>
              <w:t>政府采购代理费原则上最高上限不得超过5万元。</w:t>
            </w:r>
          </w:p>
        </w:tc>
      </w:tr>
      <w:tr w14:paraId="3FFD007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675" w:type="dxa"/>
            <w:noWrap w:val="0"/>
            <w:vAlign w:val="top"/>
          </w:tcPr>
          <w:p w14:paraId="0E1D2D3C">
            <w:pPr>
              <w:spacing w:line="360" w:lineRule="auto"/>
              <w:jc w:val="center"/>
              <w:rPr>
                <w:rFonts w:hint="eastAsia" w:ascii="宋体" w:hAnsi="宋体"/>
                <w:b/>
                <w:color w:val="auto"/>
                <w:sz w:val="24"/>
                <w:highlight w:val="none"/>
              </w:rPr>
            </w:pPr>
            <w:r>
              <w:rPr>
                <w:rFonts w:hint="eastAsia" w:ascii="宋体" w:hAnsi="宋体"/>
                <w:b/>
                <w:color w:val="auto"/>
                <w:sz w:val="24"/>
                <w:highlight w:val="none"/>
              </w:rPr>
              <w:t>2</w:t>
            </w:r>
          </w:p>
        </w:tc>
        <w:tc>
          <w:tcPr>
            <w:tcW w:w="3969" w:type="dxa"/>
            <w:noWrap w:val="0"/>
            <w:vAlign w:val="top"/>
          </w:tcPr>
          <w:p w14:paraId="1B68CD2A">
            <w:pPr>
              <w:spacing w:line="360" w:lineRule="auto"/>
              <w:jc w:val="center"/>
              <w:rPr>
                <w:rFonts w:hint="eastAsia" w:ascii="宋体" w:hAnsi="宋体"/>
                <w:color w:val="auto"/>
                <w:sz w:val="24"/>
                <w:highlight w:val="none"/>
              </w:rPr>
            </w:pPr>
            <w:r>
              <w:rPr>
                <w:rFonts w:hint="eastAsia" w:ascii="宋体" w:hAnsi="宋体"/>
                <w:color w:val="auto"/>
                <w:sz w:val="24"/>
                <w:highlight w:val="none"/>
              </w:rPr>
              <w:t>100万元-500万元（含）以下部分</w:t>
            </w:r>
          </w:p>
        </w:tc>
        <w:tc>
          <w:tcPr>
            <w:tcW w:w="2835" w:type="dxa"/>
            <w:noWrap w:val="0"/>
            <w:vAlign w:val="top"/>
          </w:tcPr>
          <w:p w14:paraId="11BAE9F7">
            <w:pPr>
              <w:spacing w:line="360" w:lineRule="auto"/>
              <w:jc w:val="center"/>
              <w:rPr>
                <w:rFonts w:hint="eastAsia" w:ascii="宋体" w:hAnsi="宋体"/>
                <w:color w:val="auto"/>
                <w:sz w:val="24"/>
                <w:highlight w:val="none"/>
              </w:rPr>
            </w:pPr>
            <w:r>
              <w:rPr>
                <w:rFonts w:hint="eastAsia" w:ascii="宋体" w:hAnsi="宋体"/>
                <w:color w:val="auto"/>
                <w:sz w:val="24"/>
                <w:highlight w:val="none"/>
              </w:rPr>
              <w:t>0.4</w:t>
            </w:r>
          </w:p>
        </w:tc>
        <w:tc>
          <w:tcPr>
            <w:tcW w:w="1762" w:type="dxa"/>
            <w:vMerge w:val="continue"/>
            <w:noWrap w:val="0"/>
            <w:vAlign w:val="top"/>
          </w:tcPr>
          <w:p w14:paraId="38F67D21">
            <w:pPr>
              <w:spacing w:line="360" w:lineRule="auto"/>
              <w:jc w:val="center"/>
              <w:rPr>
                <w:rFonts w:hint="eastAsia" w:ascii="宋体" w:hAnsi="宋体"/>
                <w:color w:val="auto"/>
                <w:sz w:val="24"/>
                <w:highlight w:val="none"/>
              </w:rPr>
            </w:pPr>
          </w:p>
        </w:tc>
      </w:tr>
      <w:tr w14:paraId="41D0499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675" w:type="dxa"/>
            <w:noWrap w:val="0"/>
            <w:vAlign w:val="top"/>
          </w:tcPr>
          <w:p w14:paraId="734EC025">
            <w:pPr>
              <w:spacing w:line="360" w:lineRule="auto"/>
              <w:jc w:val="center"/>
              <w:rPr>
                <w:rFonts w:hint="eastAsia" w:ascii="宋体" w:hAnsi="宋体"/>
                <w:b/>
                <w:color w:val="auto"/>
                <w:sz w:val="24"/>
                <w:highlight w:val="none"/>
              </w:rPr>
            </w:pPr>
            <w:r>
              <w:rPr>
                <w:rFonts w:hint="eastAsia" w:ascii="宋体" w:hAnsi="宋体"/>
                <w:b/>
                <w:color w:val="auto"/>
                <w:sz w:val="24"/>
                <w:highlight w:val="none"/>
              </w:rPr>
              <w:t>3</w:t>
            </w:r>
          </w:p>
        </w:tc>
        <w:tc>
          <w:tcPr>
            <w:tcW w:w="3969" w:type="dxa"/>
            <w:noWrap w:val="0"/>
            <w:vAlign w:val="top"/>
          </w:tcPr>
          <w:p w14:paraId="6E9EB130">
            <w:pPr>
              <w:spacing w:line="360" w:lineRule="auto"/>
              <w:jc w:val="center"/>
              <w:rPr>
                <w:rFonts w:hint="eastAsia" w:ascii="宋体" w:hAnsi="宋体"/>
                <w:color w:val="auto"/>
                <w:sz w:val="24"/>
                <w:highlight w:val="none"/>
              </w:rPr>
            </w:pPr>
            <w:r>
              <w:rPr>
                <w:rFonts w:hint="eastAsia" w:ascii="宋体" w:hAnsi="宋体"/>
                <w:color w:val="auto"/>
                <w:sz w:val="24"/>
                <w:highlight w:val="none"/>
              </w:rPr>
              <w:t>500万元-1000万元（含）以下部分</w:t>
            </w:r>
          </w:p>
        </w:tc>
        <w:tc>
          <w:tcPr>
            <w:tcW w:w="2835" w:type="dxa"/>
            <w:noWrap w:val="0"/>
            <w:vAlign w:val="top"/>
          </w:tcPr>
          <w:p w14:paraId="48EA49D2">
            <w:pPr>
              <w:spacing w:line="360" w:lineRule="auto"/>
              <w:jc w:val="center"/>
              <w:rPr>
                <w:rFonts w:hint="eastAsia" w:ascii="宋体" w:hAnsi="宋体"/>
                <w:color w:val="auto"/>
                <w:sz w:val="24"/>
                <w:highlight w:val="none"/>
              </w:rPr>
            </w:pPr>
            <w:r>
              <w:rPr>
                <w:rFonts w:hint="eastAsia" w:ascii="宋体" w:hAnsi="宋体"/>
                <w:color w:val="auto"/>
                <w:sz w:val="24"/>
                <w:highlight w:val="none"/>
              </w:rPr>
              <w:t>0.3</w:t>
            </w:r>
          </w:p>
        </w:tc>
        <w:tc>
          <w:tcPr>
            <w:tcW w:w="1762" w:type="dxa"/>
            <w:vMerge w:val="continue"/>
            <w:noWrap w:val="0"/>
            <w:vAlign w:val="top"/>
          </w:tcPr>
          <w:p w14:paraId="51F4F85B">
            <w:pPr>
              <w:spacing w:line="360" w:lineRule="auto"/>
              <w:jc w:val="center"/>
              <w:rPr>
                <w:rFonts w:hint="eastAsia" w:ascii="宋体" w:hAnsi="宋体"/>
                <w:color w:val="auto"/>
                <w:sz w:val="24"/>
                <w:highlight w:val="none"/>
              </w:rPr>
            </w:pPr>
          </w:p>
        </w:tc>
      </w:tr>
      <w:tr w14:paraId="3F2D061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675" w:type="dxa"/>
            <w:noWrap w:val="0"/>
            <w:vAlign w:val="top"/>
          </w:tcPr>
          <w:p w14:paraId="78B1B0B4">
            <w:pPr>
              <w:spacing w:line="360" w:lineRule="auto"/>
              <w:jc w:val="center"/>
              <w:rPr>
                <w:rFonts w:hint="eastAsia" w:ascii="宋体" w:hAnsi="宋体"/>
                <w:b/>
                <w:color w:val="auto"/>
                <w:sz w:val="24"/>
                <w:highlight w:val="none"/>
              </w:rPr>
            </w:pPr>
            <w:r>
              <w:rPr>
                <w:rFonts w:hint="eastAsia" w:ascii="宋体" w:hAnsi="宋体"/>
                <w:b/>
                <w:color w:val="auto"/>
                <w:sz w:val="24"/>
                <w:highlight w:val="none"/>
              </w:rPr>
              <w:t>4</w:t>
            </w:r>
          </w:p>
        </w:tc>
        <w:tc>
          <w:tcPr>
            <w:tcW w:w="3969" w:type="dxa"/>
            <w:noWrap w:val="0"/>
            <w:vAlign w:val="top"/>
          </w:tcPr>
          <w:p w14:paraId="5E6B29BB">
            <w:pPr>
              <w:spacing w:line="360" w:lineRule="auto"/>
              <w:jc w:val="center"/>
              <w:rPr>
                <w:rFonts w:hint="eastAsia" w:ascii="宋体" w:hAnsi="宋体"/>
                <w:color w:val="auto"/>
                <w:sz w:val="24"/>
                <w:highlight w:val="none"/>
              </w:rPr>
            </w:pPr>
            <w:r>
              <w:rPr>
                <w:rFonts w:hint="eastAsia" w:ascii="宋体" w:hAnsi="宋体"/>
                <w:color w:val="auto"/>
                <w:sz w:val="24"/>
                <w:highlight w:val="none"/>
              </w:rPr>
              <w:t>1000万元-5000万元（含）以下部分</w:t>
            </w:r>
          </w:p>
        </w:tc>
        <w:tc>
          <w:tcPr>
            <w:tcW w:w="2835" w:type="dxa"/>
            <w:noWrap w:val="0"/>
            <w:vAlign w:val="top"/>
          </w:tcPr>
          <w:p w14:paraId="2BD2458C">
            <w:pPr>
              <w:spacing w:line="360" w:lineRule="auto"/>
              <w:jc w:val="center"/>
              <w:rPr>
                <w:rFonts w:hint="eastAsia" w:ascii="宋体" w:hAnsi="宋体"/>
                <w:color w:val="auto"/>
                <w:sz w:val="24"/>
                <w:highlight w:val="none"/>
              </w:rPr>
            </w:pPr>
            <w:r>
              <w:rPr>
                <w:rFonts w:hint="eastAsia" w:ascii="宋体" w:hAnsi="宋体"/>
                <w:color w:val="auto"/>
                <w:sz w:val="24"/>
                <w:highlight w:val="none"/>
              </w:rPr>
              <w:t>0.2</w:t>
            </w:r>
          </w:p>
        </w:tc>
        <w:tc>
          <w:tcPr>
            <w:tcW w:w="1762" w:type="dxa"/>
            <w:vMerge w:val="continue"/>
            <w:noWrap w:val="0"/>
            <w:vAlign w:val="top"/>
          </w:tcPr>
          <w:p w14:paraId="4C9874AE">
            <w:pPr>
              <w:spacing w:line="360" w:lineRule="auto"/>
              <w:jc w:val="center"/>
              <w:rPr>
                <w:rFonts w:hint="eastAsia" w:ascii="宋体" w:hAnsi="宋体"/>
                <w:color w:val="auto"/>
                <w:sz w:val="24"/>
                <w:highlight w:val="none"/>
              </w:rPr>
            </w:pPr>
          </w:p>
        </w:tc>
      </w:tr>
      <w:tr w14:paraId="6538AD1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675" w:type="dxa"/>
            <w:noWrap w:val="0"/>
            <w:vAlign w:val="top"/>
          </w:tcPr>
          <w:p w14:paraId="6AA449E4">
            <w:pPr>
              <w:spacing w:line="360" w:lineRule="auto"/>
              <w:jc w:val="center"/>
              <w:rPr>
                <w:rFonts w:hint="eastAsia" w:ascii="宋体" w:hAnsi="宋体"/>
                <w:b/>
                <w:color w:val="auto"/>
                <w:sz w:val="24"/>
                <w:highlight w:val="none"/>
              </w:rPr>
            </w:pPr>
            <w:r>
              <w:rPr>
                <w:rFonts w:hint="eastAsia" w:ascii="宋体" w:hAnsi="宋体"/>
                <w:b/>
                <w:color w:val="auto"/>
                <w:sz w:val="24"/>
                <w:highlight w:val="none"/>
              </w:rPr>
              <w:t>5</w:t>
            </w:r>
          </w:p>
        </w:tc>
        <w:tc>
          <w:tcPr>
            <w:tcW w:w="3969" w:type="dxa"/>
            <w:noWrap w:val="0"/>
            <w:vAlign w:val="top"/>
          </w:tcPr>
          <w:p w14:paraId="1581F590">
            <w:pPr>
              <w:spacing w:line="360" w:lineRule="auto"/>
              <w:jc w:val="center"/>
              <w:rPr>
                <w:rFonts w:hint="eastAsia" w:ascii="宋体" w:hAnsi="宋体"/>
                <w:color w:val="auto"/>
                <w:sz w:val="24"/>
                <w:highlight w:val="none"/>
              </w:rPr>
            </w:pPr>
            <w:r>
              <w:rPr>
                <w:rFonts w:hint="eastAsia" w:ascii="宋体" w:hAnsi="宋体"/>
                <w:color w:val="auto"/>
                <w:sz w:val="24"/>
                <w:highlight w:val="none"/>
              </w:rPr>
              <w:t>5000万元（含）以上部分</w:t>
            </w:r>
          </w:p>
        </w:tc>
        <w:tc>
          <w:tcPr>
            <w:tcW w:w="2835" w:type="dxa"/>
            <w:noWrap w:val="0"/>
            <w:vAlign w:val="top"/>
          </w:tcPr>
          <w:p w14:paraId="49EA8F45">
            <w:pPr>
              <w:spacing w:line="360" w:lineRule="auto"/>
              <w:jc w:val="center"/>
              <w:rPr>
                <w:rFonts w:hint="eastAsia" w:ascii="宋体" w:hAnsi="宋体"/>
                <w:color w:val="auto"/>
                <w:sz w:val="24"/>
                <w:highlight w:val="none"/>
              </w:rPr>
            </w:pPr>
            <w:r>
              <w:rPr>
                <w:rFonts w:hint="eastAsia" w:ascii="宋体" w:hAnsi="宋体"/>
                <w:color w:val="auto"/>
                <w:sz w:val="24"/>
                <w:highlight w:val="none"/>
              </w:rPr>
              <w:t>0.1</w:t>
            </w:r>
          </w:p>
        </w:tc>
        <w:tc>
          <w:tcPr>
            <w:tcW w:w="1762" w:type="dxa"/>
            <w:vMerge w:val="continue"/>
            <w:noWrap w:val="0"/>
            <w:vAlign w:val="top"/>
          </w:tcPr>
          <w:p w14:paraId="36C3DD35">
            <w:pPr>
              <w:spacing w:line="360" w:lineRule="auto"/>
              <w:jc w:val="center"/>
              <w:rPr>
                <w:rFonts w:hint="eastAsia" w:ascii="宋体" w:hAnsi="宋体"/>
                <w:color w:val="auto"/>
                <w:sz w:val="24"/>
                <w:highlight w:val="none"/>
              </w:rPr>
            </w:pPr>
          </w:p>
        </w:tc>
      </w:tr>
    </w:tbl>
    <w:p w14:paraId="59538605">
      <w:pPr>
        <w:tabs>
          <w:tab w:val="left" w:pos="525"/>
          <w:tab w:val="left" w:pos="945"/>
          <w:tab w:val="left" w:pos="1050"/>
        </w:tabs>
        <w:spacing w:line="360" w:lineRule="auto"/>
        <w:ind w:firstLine="482"/>
        <w:jc w:val="left"/>
        <w:rPr>
          <w:rFonts w:hint="eastAsia" w:ascii="宋体" w:hAnsi="宋体" w:cs="宋体"/>
          <w:b/>
          <w:color w:val="0000FF"/>
          <w:sz w:val="24"/>
          <w:szCs w:val="24"/>
          <w:highlight w:val="none"/>
        </w:rPr>
      </w:pPr>
      <w:r>
        <w:rPr>
          <w:rFonts w:hint="eastAsia" w:ascii="宋体" w:hAnsi="宋体" w:eastAsia="宋体" w:cs="宋体"/>
          <w:color w:val="0000FF"/>
          <w:sz w:val="24"/>
          <w:szCs w:val="24"/>
          <w:highlight w:val="none"/>
          <w:lang w:val="en-US" w:eastAsia="zh-CN"/>
        </w:rPr>
        <w:t>2、投标供应商应自行承担所有与参加投标有关的费用，无论投标过程中的做法和结果如何，正军项目管理集团有限公司在任何情况下均无义务和责任承担这些费用。</w:t>
      </w:r>
    </w:p>
    <w:p w14:paraId="5662BF18">
      <w:pPr>
        <w:tabs>
          <w:tab w:val="left" w:pos="525"/>
          <w:tab w:val="left" w:pos="945"/>
          <w:tab w:val="left" w:pos="1050"/>
        </w:tabs>
        <w:spacing w:line="360" w:lineRule="auto"/>
        <w:ind w:firstLine="482"/>
        <w:jc w:val="left"/>
        <w:rPr>
          <w:rFonts w:hint="eastAsia" w:ascii="宋体" w:hAnsi="宋体" w:cs="宋体"/>
          <w:color w:val="auto"/>
          <w:sz w:val="24"/>
          <w:szCs w:val="24"/>
          <w:highlight w:val="none"/>
          <w:lang w:val="zh-CN"/>
        </w:rPr>
      </w:pPr>
      <w:r>
        <w:rPr>
          <w:rFonts w:hint="eastAsia" w:ascii="宋体" w:hAnsi="宋体" w:cs="宋体"/>
          <w:b/>
          <w:color w:val="auto"/>
          <w:sz w:val="24"/>
          <w:szCs w:val="24"/>
          <w:highlight w:val="none"/>
        </w:rPr>
        <w:t>二十、</w:t>
      </w:r>
      <w:r>
        <w:rPr>
          <w:rFonts w:hint="eastAsia" w:ascii="宋体" w:hAnsi="宋体" w:cs="宋体"/>
          <w:b/>
          <w:bCs/>
          <w:color w:val="auto"/>
          <w:sz w:val="24"/>
          <w:szCs w:val="24"/>
          <w:highlight w:val="none"/>
        </w:rPr>
        <w:t>监督</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 xml:space="preserve"> </w:t>
      </w:r>
      <w:r>
        <w:rPr>
          <w:rFonts w:hint="eastAsia" w:ascii="宋体" w:hAnsi="宋体" w:cs="宋体"/>
          <w:color w:val="auto"/>
          <w:sz w:val="24"/>
          <w:szCs w:val="24"/>
          <w:highlight w:val="none"/>
        </w:rPr>
        <w:t xml:space="preserve">  </w:t>
      </w:r>
    </w:p>
    <w:p w14:paraId="11D7F551">
      <w:pPr>
        <w:tabs>
          <w:tab w:val="left" w:pos="525"/>
          <w:tab w:val="left" w:pos="945"/>
          <w:tab w:val="left" w:pos="1050"/>
        </w:tabs>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有关监督部门将对招投标全过程进行监督。</w:t>
      </w:r>
    </w:p>
    <w:p w14:paraId="79597F99">
      <w:pPr>
        <w:tabs>
          <w:tab w:val="left" w:pos="525"/>
          <w:tab w:val="left" w:pos="945"/>
          <w:tab w:val="left" w:pos="1050"/>
        </w:tabs>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二十一、未尽事宜</w:t>
      </w:r>
      <w:r>
        <w:rPr>
          <w:rFonts w:hint="eastAsia" w:ascii="宋体" w:hAnsi="宋体" w:cs="宋体"/>
          <w:b/>
          <w:color w:val="auto"/>
          <w:sz w:val="24"/>
          <w:szCs w:val="24"/>
          <w:highlight w:val="none"/>
          <w:lang w:eastAsia="zh-CN"/>
        </w:rPr>
        <w:t>：</w:t>
      </w:r>
    </w:p>
    <w:p w14:paraId="4F3D614F">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按《中华人民共和国政府采购法》及其他有关的法律法规的规定执行。</w:t>
      </w:r>
    </w:p>
    <w:p w14:paraId="740EBC50">
      <w:pPr>
        <w:tabs>
          <w:tab w:val="left" w:pos="525"/>
          <w:tab w:val="left" w:pos="945"/>
          <w:tab w:val="left" w:pos="1050"/>
        </w:tabs>
        <w:spacing w:line="460" w:lineRule="exact"/>
        <w:rPr>
          <w:rFonts w:hint="eastAsia" w:ascii="宋体" w:hAnsi="宋体" w:cs="宋体"/>
          <w:color w:val="auto"/>
          <w:sz w:val="24"/>
          <w:szCs w:val="24"/>
          <w:highlight w:val="none"/>
          <w:lang w:val="zh-CN"/>
        </w:rPr>
      </w:pPr>
    </w:p>
    <w:p w14:paraId="29A88164">
      <w:pPr>
        <w:spacing w:line="400" w:lineRule="exact"/>
        <w:jc w:val="center"/>
        <w:rPr>
          <w:rFonts w:hint="eastAsia" w:ascii="宋体" w:hAnsi="宋体" w:cs="宋体"/>
          <w:bCs/>
          <w:color w:val="auto"/>
          <w:sz w:val="28"/>
          <w:szCs w:val="28"/>
          <w:highlight w:val="none"/>
        </w:rPr>
      </w:pPr>
    </w:p>
    <w:p w14:paraId="06390743">
      <w:pPr>
        <w:widowControl/>
        <w:spacing w:line="360" w:lineRule="exact"/>
        <w:ind w:firstLine="602"/>
        <w:jc w:val="center"/>
        <w:rPr>
          <w:rFonts w:hint="eastAsia" w:ascii="宋体" w:hAnsi="宋体"/>
          <w:b/>
          <w:bCs/>
          <w:color w:val="auto"/>
          <w:sz w:val="24"/>
          <w:szCs w:val="24"/>
          <w:highlight w:val="none"/>
        </w:rPr>
      </w:pPr>
      <w:bookmarkStart w:id="14" w:name="_Toc251268364"/>
      <w:r>
        <w:rPr>
          <w:rFonts w:hint="eastAsia" w:ascii="黑体" w:hAnsi="楷体_GB2312" w:eastAsia="黑体"/>
          <w:b/>
          <w:bCs/>
          <w:color w:val="auto"/>
          <w:sz w:val="30"/>
          <w:szCs w:val="30"/>
          <w:highlight w:val="none"/>
        </w:rPr>
        <w:br w:type="page" w:clear="all"/>
      </w:r>
      <w:r>
        <w:rPr>
          <w:rFonts w:hint="eastAsia" w:ascii="黑体" w:hAnsi="楷体_GB2312" w:eastAsia="黑体"/>
          <w:b/>
          <w:bCs/>
          <w:color w:val="auto"/>
          <w:sz w:val="30"/>
          <w:szCs w:val="30"/>
          <w:highlight w:val="none"/>
        </w:rPr>
        <w:t>第三章　项目要求和有关说明</w:t>
      </w:r>
    </w:p>
    <w:p w14:paraId="5360532F">
      <w:pPr>
        <w:widowControl/>
        <w:spacing w:line="400" w:lineRule="exact"/>
        <w:ind w:firstLine="482"/>
        <w:jc w:val="center"/>
        <w:rPr>
          <w:rFonts w:ascii="宋体" w:hAnsi="宋体" w:eastAsia="宋体" w:cs="宋体"/>
          <w:b/>
          <w:color w:val="auto"/>
          <w:sz w:val="24"/>
          <w:highlight w:val="none"/>
        </w:rPr>
      </w:pPr>
      <w:bookmarkStart w:id="15" w:name="_Toc26261"/>
      <w:bookmarkStart w:id="16" w:name="_Toc13911"/>
      <w:bookmarkStart w:id="17" w:name="_Toc31318"/>
      <w:r>
        <w:rPr>
          <w:rFonts w:hint="eastAsia" w:ascii="宋体" w:hAnsi="宋体" w:eastAsia="宋体" w:cs="宋体"/>
          <w:b/>
          <w:bCs/>
          <w:color w:val="auto"/>
          <w:sz w:val="24"/>
          <w:szCs w:val="24"/>
          <w:highlight w:val="none"/>
        </w:rPr>
        <w:t>（以下要求均为实质性要求）</w:t>
      </w:r>
    </w:p>
    <w:bookmarkEnd w:id="15"/>
    <w:bookmarkEnd w:id="16"/>
    <w:bookmarkEnd w:id="17"/>
    <w:p w14:paraId="0563CF8B">
      <w:pPr>
        <w:tabs>
          <w:tab w:val="left" w:pos="567"/>
        </w:tabs>
        <w:spacing w:line="360" w:lineRule="auto"/>
        <w:rPr>
          <w:rFonts w:hint="eastAsia" w:ascii="宋体" w:hAnsi="宋体" w:eastAsia="宋体" w:cs="宋体"/>
          <w:b/>
          <w:bCs/>
          <w:sz w:val="24"/>
          <w:szCs w:val="24"/>
        </w:rPr>
      </w:pPr>
      <w:bookmarkStart w:id="18" w:name="OLE_LINK3"/>
      <w:r>
        <w:rPr>
          <w:rFonts w:hint="eastAsia" w:ascii="宋体" w:hAnsi="宋体" w:eastAsia="宋体" w:cs="宋体"/>
          <w:b/>
          <w:bCs/>
          <w:sz w:val="24"/>
          <w:szCs w:val="24"/>
        </w:rPr>
        <w:t>一、</w:t>
      </w:r>
      <w:r>
        <w:rPr>
          <w:rFonts w:hint="eastAsia" w:ascii="宋体" w:hAnsi="宋体" w:eastAsia="宋体" w:cs="宋体"/>
          <w:b/>
          <w:sz w:val="24"/>
          <w:szCs w:val="24"/>
        </w:rPr>
        <w:t>项目概况：</w:t>
      </w:r>
    </w:p>
    <w:p w14:paraId="05201FAA">
      <w:pPr>
        <w:tabs>
          <w:tab w:val="left" w:pos="900"/>
        </w:tabs>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无锡市省级工业园区限制限量空气自动站监测效能提升路径分析报告》及《关于加强工业园区限值限量在线监测设备运行管理的提醒函》文件要求，江阴临港化工园区需对化工园区限值限量在线大气监测设备更换（</w:t>
      </w:r>
      <w:r>
        <w:rPr>
          <w:rFonts w:hint="eastAsia" w:ascii="宋体" w:hAnsi="宋体" w:cs="宋体"/>
          <w:bCs/>
          <w:sz w:val="24"/>
          <w:szCs w:val="24"/>
          <w:lang w:val="en-US" w:eastAsia="zh-CN"/>
        </w:rPr>
        <w:t>二</w:t>
      </w:r>
      <w:r>
        <w:rPr>
          <w:rFonts w:hint="eastAsia" w:ascii="宋体" w:hAnsi="宋体" w:eastAsia="宋体" w:cs="宋体"/>
          <w:bCs/>
          <w:sz w:val="24"/>
          <w:szCs w:val="24"/>
        </w:rPr>
        <w:t>期）。</w:t>
      </w:r>
    </w:p>
    <w:p w14:paraId="5E95088F">
      <w:pPr>
        <w:tabs>
          <w:tab w:val="left" w:pos="900"/>
        </w:tabs>
        <w:spacing w:line="360" w:lineRule="auto"/>
        <w:ind w:firstLine="480" w:firstLineChars="200"/>
        <w:rPr>
          <w:rFonts w:hint="default" w:ascii="宋体" w:hAnsi="宋体" w:eastAsia="宋体" w:cs="宋体"/>
          <w:bCs/>
          <w:sz w:val="24"/>
          <w:szCs w:val="24"/>
          <w:lang w:val="en-US" w:eastAsia="zh-CN"/>
        </w:rPr>
      </w:pPr>
      <w:r>
        <w:rPr>
          <w:rFonts w:hint="eastAsia" w:ascii="宋体" w:hAnsi="宋体" w:cs="宋体"/>
          <w:bCs/>
          <w:sz w:val="24"/>
          <w:szCs w:val="24"/>
          <w:lang w:val="en-US" w:eastAsia="zh-CN"/>
        </w:rPr>
        <w:t>工作内容：提供设备、运输、安装、调试与验收。</w:t>
      </w:r>
    </w:p>
    <w:p w14:paraId="3727C9C6">
      <w:pPr>
        <w:tabs>
          <w:tab w:val="left" w:pos="900"/>
        </w:tabs>
        <w:spacing w:line="360" w:lineRule="auto"/>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建设周期：自合同签订之日起60天内完成。</w:t>
      </w:r>
    </w:p>
    <w:p w14:paraId="582F0EAE">
      <w:pPr>
        <w:tabs>
          <w:tab w:val="left" w:pos="900"/>
        </w:tabs>
        <w:spacing w:line="360" w:lineRule="auto"/>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质保周期：自合同签订之日起14个月或设备验收完成后12个月（以先到者为准）。</w:t>
      </w:r>
    </w:p>
    <w:p w14:paraId="6B11F653">
      <w:pPr>
        <w:spacing w:line="360" w:lineRule="auto"/>
        <w:rPr>
          <w:rFonts w:hint="eastAsia" w:ascii="宋体" w:hAnsi="宋体" w:eastAsia="宋体" w:cs="宋体"/>
          <w:b/>
          <w:kern w:val="0"/>
          <w:sz w:val="24"/>
          <w:szCs w:val="24"/>
        </w:rPr>
      </w:pPr>
    </w:p>
    <w:p w14:paraId="16AC9A4F">
      <w:pPr>
        <w:spacing w:line="360" w:lineRule="auto"/>
        <w:rPr>
          <w:rFonts w:hint="eastAsia" w:ascii="宋体" w:hAnsi="宋体" w:eastAsia="宋体" w:cs="宋体"/>
          <w:b/>
          <w:kern w:val="0"/>
          <w:sz w:val="24"/>
          <w:szCs w:val="24"/>
        </w:rPr>
      </w:pPr>
      <w:r>
        <w:rPr>
          <w:rFonts w:hint="eastAsia" w:ascii="宋体" w:hAnsi="宋体" w:eastAsia="宋体" w:cs="宋体"/>
          <w:b/>
          <w:kern w:val="0"/>
          <w:sz w:val="24"/>
          <w:szCs w:val="24"/>
        </w:rPr>
        <w:t>二、服务内容</w:t>
      </w:r>
    </w:p>
    <w:p w14:paraId="5C0F1535">
      <w:pPr>
        <w:adjustRightInd w:val="0"/>
        <w:snapToGrid w:val="0"/>
        <w:spacing w:line="360" w:lineRule="auto"/>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对</w:t>
      </w:r>
      <w:r>
        <w:rPr>
          <w:rFonts w:hint="eastAsia" w:ascii="宋体" w:hAnsi="宋体" w:eastAsia="宋体" w:cs="宋体"/>
          <w:bCs/>
          <w:sz w:val="24"/>
          <w:szCs w:val="24"/>
        </w:rPr>
        <w:t>江阴临港化工园区</w:t>
      </w:r>
      <w:r>
        <w:rPr>
          <w:rFonts w:hint="eastAsia" w:ascii="宋体" w:hAnsi="宋体" w:cs="宋体"/>
          <w:bCs/>
          <w:sz w:val="24"/>
          <w:szCs w:val="24"/>
          <w:lang w:eastAsia="zh-CN"/>
        </w:rPr>
        <w:t>芦埠港空气站和新桃花港空气站</w:t>
      </w:r>
      <w:r>
        <w:rPr>
          <w:rFonts w:hint="eastAsia" w:ascii="宋体" w:hAnsi="宋体" w:eastAsia="宋体" w:cs="宋体"/>
          <w:bCs/>
          <w:sz w:val="24"/>
          <w:szCs w:val="24"/>
          <w:lang w:val="en-US" w:eastAsia="zh-CN"/>
        </w:rPr>
        <w:t>两个站点</w:t>
      </w:r>
      <w:r>
        <w:rPr>
          <w:rFonts w:hint="eastAsia" w:ascii="宋体" w:hAnsi="宋体" w:eastAsia="宋体" w:cs="宋体"/>
          <w:bCs/>
          <w:sz w:val="24"/>
          <w:szCs w:val="24"/>
          <w:lang w:eastAsia="zh-CN"/>
        </w:rPr>
        <w:t>进行改造</w:t>
      </w:r>
      <w:r>
        <w:rPr>
          <w:rFonts w:hint="eastAsia" w:ascii="宋体" w:hAnsi="宋体" w:eastAsia="宋体" w:cs="宋体"/>
          <w:bCs/>
          <w:sz w:val="24"/>
          <w:szCs w:val="24"/>
          <w:lang w:val="en-US" w:eastAsia="zh-CN"/>
        </w:rPr>
        <w:t>与</w:t>
      </w:r>
      <w:r>
        <w:rPr>
          <w:rFonts w:hint="eastAsia" w:ascii="宋体" w:hAnsi="宋体" w:eastAsia="宋体" w:cs="宋体"/>
          <w:bCs/>
          <w:sz w:val="24"/>
          <w:szCs w:val="24"/>
          <w:lang w:eastAsia="zh-CN"/>
        </w:rPr>
        <w:t>提升，</w:t>
      </w:r>
      <w:r>
        <w:rPr>
          <w:rFonts w:hint="eastAsia" w:ascii="宋体" w:hAnsi="宋体" w:eastAsia="宋体" w:cs="宋体"/>
          <w:bCs/>
          <w:sz w:val="24"/>
          <w:szCs w:val="24"/>
          <w:lang w:val="en-US" w:eastAsia="zh-CN"/>
        </w:rPr>
        <w:t>详见清单如下：</w:t>
      </w:r>
    </w:p>
    <w:p w14:paraId="2174A6EE">
      <w:pPr>
        <w:adjustRightInd w:val="0"/>
        <w:snapToGrid w:val="0"/>
        <w:spacing w:line="360" w:lineRule="auto"/>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改造与提升情况汇总表</w:t>
      </w:r>
    </w:p>
    <w:tbl>
      <w:tblPr>
        <w:tblStyle w:val="34"/>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3"/>
        <w:gridCol w:w="1598"/>
        <w:gridCol w:w="3679"/>
        <w:gridCol w:w="984"/>
        <w:gridCol w:w="984"/>
        <w:gridCol w:w="1644"/>
      </w:tblGrid>
      <w:tr w14:paraId="59CDA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3A96D">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0FE01">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内容</w:t>
            </w: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12BF1">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设备名称</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A94FC">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数量</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076F2">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单位</w:t>
            </w:r>
          </w:p>
        </w:tc>
        <w:tc>
          <w:tcPr>
            <w:tcW w:w="8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08A03">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备注</w:t>
            </w:r>
          </w:p>
        </w:tc>
      </w:tr>
      <w:tr w14:paraId="29B5E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D53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0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88EA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空气站</w:t>
            </w: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22D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PM</w:t>
            </w:r>
            <w:r>
              <w:rPr>
                <w:rFonts w:hint="eastAsia" w:ascii="宋体" w:hAnsi="宋体" w:eastAsia="宋体" w:cs="宋体"/>
                <w:i w:val="0"/>
                <w:iCs w:val="0"/>
                <w:color w:val="000000"/>
                <w:kern w:val="0"/>
                <w:sz w:val="24"/>
                <w:szCs w:val="24"/>
                <w:u w:val="none"/>
                <w:vertAlign w:val="subscript"/>
                <w:lang w:val="en-US" w:eastAsia="zh-CN" w:bidi="ar"/>
              </w:rPr>
              <w:t>10</w:t>
            </w:r>
            <w:r>
              <w:rPr>
                <w:rFonts w:hint="eastAsia" w:ascii="宋体" w:hAnsi="宋体" w:eastAsia="宋体" w:cs="宋体"/>
                <w:i w:val="0"/>
                <w:iCs w:val="0"/>
                <w:color w:val="000000"/>
                <w:kern w:val="0"/>
                <w:sz w:val="24"/>
                <w:szCs w:val="24"/>
                <w:u w:val="none"/>
                <w:lang w:val="en-US" w:eastAsia="zh-CN" w:bidi="ar"/>
              </w:rPr>
              <w:t>在线监测设备</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62A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D79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1D7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w:t>
            </w:r>
          </w:p>
        </w:tc>
      </w:tr>
      <w:tr w14:paraId="3913C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10D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BBF62">
            <w:pPr>
              <w:jc w:val="center"/>
              <w:rPr>
                <w:rFonts w:hint="eastAsia" w:ascii="宋体" w:hAnsi="宋体" w:eastAsia="宋体" w:cs="宋体"/>
                <w:i w:val="0"/>
                <w:iCs w:val="0"/>
                <w:color w:val="000000"/>
                <w:sz w:val="24"/>
                <w:szCs w:val="24"/>
                <w:u w:val="none"/>
              </w:rPr>
            </w:pP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DB0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PM</w:t>
            </w:r>
            <w:r>
              <w:rPr>
                <w:rFonts w:hint="eastAsia" w:ascii="宋体" w:hAnsi="宋体" w:eastAsia="宋体" w:cs="宋体"/>
                <w:i w:val="0"/>
                <w:iCs w:val="0"/>
                <w:color w:val="000000"/>
                <w:kern w:val="0"/>
                <w:sz w:val="24"/>
                <w:szCs w:val="24"/>
                <w:u w:val="none"/>
                <w:vertAlign w:val="subscript"/>
                <w:lang w:val="en-US" w:eastAsia="zh-CN" w:bidi="ar"/>
              </w:rPr>
              <w:t>2.5</w:t>
            </w:r>
            <w:r>
              <w:rPr>
                <w:rFonts w:hint="eastAsia" w:ascii="宋体" w:hAnsi="宋体" w:eastAsia="宋体" w:cs="宋体"/>
                <w:i w:val="0"/>
                <w:iCs w:val="0"/>
                <w:color w:val="000000"/>
                <w:kern w:val="0"/>
                <w:sz w:val="24"/>
                <w:szCs w:val="24"/>
                <w:u w:val="none"/>
                <w:lang w:val="en-US" w:eastAsia="zh-CN" w:bidi="ar"/>
              </w:rPr>
              <w:t>在线监测设备</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C37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E23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5C2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w:t>
            </w:r>
          </w:p>
        </w:tc>
      </w:tr>
      <w:tr w14:paraId="7F18A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8C6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F5737">
            <w:pPr>
              <w:jc w:val="center"/>
              <w:rPr>
                <w:rFonts w:hint="eastAsia" w:ascii="宋体" w:hAnsi="宋体" w:eastAsia="宋体" w:cs="宋体"/>
                <w:i w:val="0"/>
                <w:iCs w:val="0"/>
                <w:color w:val="000000"/>
                <w:sz w:val="24"/>
                <w:szCs w:val="24"/>
                <w:u w:val="none"/>
              </w:rPr>
            </w:pP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962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SO</w:t>
            </w:r>
            <w:r>
              <w:rPr>
                <w:rFonts w:hint="eastAsia" w:ascii="宋体" w:hAnsi="宋体" w:eastAsia="宋体" w:cs="宋体"/>
                <w:i w:val="0"/>
                <w:iCs w:val="0"/>
                <w:color w:val="000000"/>
                <w:kern w:val="0"/>
                <w:sz w:val="24"/>
                <w:szCs w:val="24"/>
                <w:u w:val="none"/>
                <w:vertAlign w:val="subscript"/>
                <w:lang w:val="en-US" w:eastAsia="zh-CN" w:bidi="ar"/>
              </w:rPr>
              <w:t>2</w:t>
            </w:r>
            <w:r>
              <w:rPr>
                <w:rFonts w:hint="eastAsia" w:ascii="宋体" w:hAnsi="宋体" w:eastAsia="宋体" w:cs="宋体"/>
                <w:i w:val="0"/>
                <w:iCs w:val="0"/>
                <w:color w:val="000000"/>
                <w:kern w:val="0"/>
                <w:sz w:val="24"/>
                <w:szCs w:val="24"/>
                <w:u w:val="none"/>
                <w:lang w:val="en-US" w:eastAsia="zh-CN" w:bidi="ar"/>
              </w:rPr>
              <w:t>在线监测设备</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1B4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348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17F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w:t>
            </w:r>
          </w:p>
        </w:tc>
      </w:tr>
      <w:tr w14:paraId="5A5A8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7CE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8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D028C">
            <w:pPr>
              <w:jc w:val="center"/>
              <w:rPr>
                <w:rFonts w:hint="eastAsia" w:ascii="宋体" w:hAnsi="宋体" w:eastAsia="宋体" w:cs="宋体"/>
                <w:i w:val="0"/>
                <w:iCs w:val="0"/>
                <w:color w:val="000000"/>
                <w:sz w:val="24"/>
                <w:szCs w:val="24"/>
                <w:u w:val="none"/>
              </w:rPr>
            </w:pP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B11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NOx在线监测设备</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5EE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444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49D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w:t>
            </w:r>
          </w:p>
        </w:tc>
      </w:tr>
      <w:tr w14:paraId="7DBF5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FD2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8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FEA21">
            <w:pPr>
              <w:jc w:val="center"/>
              <w:rPr>
                <w:rFonts w:hint="eastAsia" w:ascii="宋体" w:hAnsi="宋体" w:eastAsia="宋体" w:cs="宋体"/>
                <w:i w:val="0"/>
                <w:iCs w:val="0"/>
                <w:color w:val="000000"/>
                <w:sz w:val="24"/>
                <w:szCs w:val="24"/>
                <w:u w:val="none"/>
              </w:rPr>
            </w:pP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C7A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CO在线监测设备</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8EB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DBD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508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w:t>
            </w:r>
          </w:p>
        </w:tc>
      </w:tr>
      <w:tr w14:paraId="5EAFB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15A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8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FF758">
            <w:pPr>
              <w:jc w:val="center"/>
              <w:rPr>
                <w:rFonts w:hint="eastAsia" w:ascii="宋体" w:hAnsi="宋体" w:eastAsia="宋体" w:cs="宋体"/>
                <w:i w:val="0"/>
                <w:iCs w:val="0"/>
                <w:color w:val="000000"/>
                <w:sz w:val="24"/>
                <w:szCs w:val="24"/>
                <w:u w:val="none"/>
              </w:rPr>
            </w:pP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18A3D">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O</w:t>
            </w:r>
            <w:r>
              <w:rPr>
                <w:rFonts w:hint="eastAsia" w:ascii="宋体" w:hAnsi="宋体" w:eastAsia="宋体" w:cs="宋体"/>
                <w:i w:val="0"/>
                <w:iCs w:val="0"/>
                <w:color w:val="000000"/>
                <w:kern w:val="0"/>
                <w:sz w:val="24"/>
                <w:szCs w:val="24"/>
                <w:u w:val="none"/>
                <w:vertAlign w:val="subscript"/>
                <w:lang w:val="en-US" w:eastAsia="zh-CN" w:bidi="ar"/>
              </w:rPr>
              <w:t>3</w:t>
            </w:r>
            <w:r>
              <w:rPr>
                <w:rFonts w:hint="eastAsia" w:ascii="宋体" w:hAnsi="宋体" w:eastAsia="宋体" w:cs="宋体"/>
                <w:i w:val="0"/>
                <w:iCs w:val="0"/>
                <w:color w:val="000000"/>
                <w:kern w:val="0"/>
                <w:sz w:val="24"/>
                <w:szCs w:val="24"/>
                <w:u w:val="none"/>
                <w:lang w:val="en-US" w:eastAsia="zh-CN" w:bidi="ar"/>
              </w:rPr>
              <w:t>在线监测设备</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640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2AA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9E7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w:t>
            </w:r>
          </w:p>
        </w:tc>
      </w:tr>
      <w:tr w14:paraId="6C6A2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9BE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8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2E849">
            <w:pPr>
              <w:jc w:val="center"/>
              <w:rPr>
                <w:rFonts w:hint="eastAsia" w:ascii="宋体" w:hAnsi="宋体" w:eastAsia="宋体" w:cs="宋体"/>
                <w:i w:val="0"/>
                <w:iCs w:val="0"/>
                <w:color w:val="000000"/>
                <w:sz w:val="24"/>
                <w:szCs w:val="24"/>
                <w:u w:val="none"/>
              </w:rPr>
            </w:pP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0CE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动态校准仪（带光度计)</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6E3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06D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149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w:t>
            </w:r>
          </w:p>
        </w:tc>
      </w:tr>
      <w:tr w14:paraId="76D77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CDF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8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0D58FA">
            <w:pPr>
              <w:jc w:val="center"/>
              <w:rPr>
                <w:rFonts w:hint="eastAsia" w:ascii="宋体" w:hAnsi="宋体" w:eastAsia="宋体" w:cs="宋体"/>
                <w:i w:val="0"/>
                <w:iCs w:val="0"/>
                <w:color w:val="000000"/>
                <w:sz w:val="24"/>
                <w:szCs w:val="24"/>
                <w:u w:val="none"/>
              </w:rPr>
            </w:pP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EA9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零气发生器</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A9E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C74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8EA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w:t>
            </w:r>
          </w:p>
        </w:tc>
      </w:tr>
      <w:tr w14:paraId="0E7F8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0980C">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9</w:t>
            </w:r>
          </w:p>
        </w:tc>
        <w:tc>
          <w:tcPr>
            <w:tcW w:w="8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DAEF9">
            <w:pPr>
              <w:jc w:val="center"/>
              <w:rPr>
                <w:rFonts w:hint="eastAsia" w:ascii="宋体" w:hAnsi="宋体" w:eastAsia="宋体" w:cs="宋体"/>
                <w:i w:val="0"/>
                <w:iCs w:val="0"/>
                <w:color w:val="000000"/>
                <w:sz w:val="24"/>
                <w:szCs w:val="24"/>
                <w:u w:val="none"/>
              </w:rPr>
            </w:pP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3B8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集成采样系统升级优化</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717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2B6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D64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w:t>
            </w:r>
          </w:p>
        </w:tc>
      </w:tr>
      <w:tr w14:paraId="2B212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592E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0</w:t>
            </w:r>
          </w:p>
        </w:tc>
        <w:tc>
          <w:tcPr>
            <w:tcW w:w="8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8538C">
            <w:pPr>
              <w:jc w:val="center"/>
              <w:rPr>
                <w:rFonts w:hint="eastAsia" w:ascii="宋体" w:hAnsi="宋体" w:eastAsia="宋体" w:cs="宋体"/>
                <w:i w:val="0"/>
                <w:iCs w:val="0"/>
                <w:color w:val="000000"/>
                <w:sz w:val="24"/>
                <w:szCs w:val="24"/>
                <w:u w:val="none"/>
              </w:rPr>
            </w:pP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DDA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气象五参在线监测设备</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AC3E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3FD77">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套</w:t>
            </w:r>
          </w:p>
        </w:tc>
        <w:tc>
          <w:tcPr>
            <w:tcW w:w="8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506E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更换</w:t>
            </w:r>
          </w:p>
        </w:tc>
      </w:tr>
      <w:tr w14:paraId="26751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402D0">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w:t>
            </w:r>
            <w:r>
              <w:rPr>
                <w:rFonts w:hint="eastAsia" w:ascii="宋体" w:hAnsi="宋体" w:cs="宋体"/>
                <w:i w:val="0"/>
                <w:iCs w:val="0"/>
                <w:color w:val="000000"/>
                <w:sz w:val="24"/>
                <w:szCs w:val="24"/>
                <w:u w:val="none"/>
                <w:lang w:val="en-US" w:eastAsia="zh-CN"/>
              </w:rPr>
              <w:t>1</w:t>
            </w: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46D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空气微站</w:t>
            </w: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607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微站</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E2F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6</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837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E92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更换</w:t>
            </w:r>
          </w:p>
        </w:tc>
      </w:tr>
    </w:tbl>
    <w:p w14:paraId="6B5C1755">
      <w:pPr>
        <w:spacing w:line="360" w:lineRule="auto"/>
        <w:rPr>
          <w:rFonts w:hint="eastAsia" w:ascii="宋体" w:hAnsi="宋体" w:eastAsia="宋体" w:cs="宋体"/>
          <w:b/>
          <w:kern w:val="0"/>
          <w:sz w:val="24"/>
          <w:szCs w:val="24"/>
        </w:rPr>
      </w:pPr>
    </w:p>
    <w:p w14:paraId="0875F3B0">
      <w:pPr>
        <w:spacing w:line="360" w:lineRule="auto"/>
        <w:rPr>
          <w:rFonts w:hint="eastAsia" w:ascii="宋体" w:hAnsi="宋体" w:eastAsia="宋体" w:cs="宋体"/>
          <w:b/>
          <w:kern w:val="0"/>
          <w:sz w:val="24"/>
          <w:szCs w:val="24"/>
        </w:rPr>
      </w:pPr>
      <w:r>
        <w:rPr>
          <w:rFonts w:hint="eastAsia" w:ascii="宋体" w:hAnsi="宋体" w:eastAsia="宋体" w:cs="宋体"/>
          <w:b/>
          <w:kern w:val="0"/>
          <w:sz w:val="24"/>
          <w:szCs w:val="24"/>
        </w:rPr>
        <w:t>三、技术要求：</w:t>
      </w:r>
    </w:p>
    <w:p w14:paraId="07D6A584">
      <w:pPr>
        <w:spacing w:line="360" w:lineRule="auto"/>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一</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工作要求</w:t>
      </w:r>
    </w:p>
    <w:p w14:paraId="3F424812">
      <w:pPr>
        <w:spacing w:line="36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严格按照国家标准、《江苏省工业园区（集中区）污染物排放限值限量管理工作方案》和《江苏省工业园区（集中区）污染物排放限值限量监测监控建设指南（试行）》要求，规范开展建设工作，做好台账资料，满足考核要求。</w:t>
      </w:r>
    </w:p>
    <w:p w14:paraId="50721CCA">
      <w:pPr>
        <w:spacing w:line="36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rPr>
        <w:t>采购人可对中标单位进行现场监督和检查。对于在督查中提出的问题要及时进行整改，并提交整改报告。</w:t>
      </w:r>
      <w:r>
        <w:rPr>
          <w:rFonts w:hint="eastAsia" w:ascii="宋体" w:hAnsi="宋体" w:cs="宋体"/>
          <w:color w:val="auto"/>
          <w:kern w:val="0"/>
          <w:sz w:val="24"/>
          <w:szCs w:val="24"/>
          <w:lang w:val="en-US" w:eastAsia="zh-CN"/>
        </w:rPr>
        <w:t>中标单位</w:t>
      </w:r>
      <w:r>
        <w:rPr>
          <w:rFonts w:hint="eastAsia" w:ascii="宋体" w:hAnsi="宋体" w:eastAsia="宋体" w:cs="宋体"/>
          <w:color w:val="auto"/>
          <w:kern w:val="0"/>
          <w:sz w:val="24"/>
          <w:szCs w:val="24"/>
        </w:rPr>
        <w:t>整改不到位的，</w:t>
      </w:r>
      <w:r>
        <w:rPr>
          <w:rFonts w:hint="eastAsia" w:ascii="宋体" w:hAnsi="宋体" w:cs="宋体"/>
          <w:color w:val="auto"/>
          <w:kern w:val="0"/>
          <w:sz w:val="24"/>
          <w:szCs w:val="24"/>
          <w:lang w:val="en-US" w:eastAsia="zh-CN"/>
        </w:rPr>
        <w:t>采购人有权</w:t>
      </w:r>
      <w:r>
        <w:rPr>
          <w:rFonts w:hint="eastAsia" w:ascii="宋体" w:hAnsi="宋体" w:eastAsia="宋体" w:cs="宋体"/>
          <w:color w:val="auto"/>
          <w:kern w:val="0"/>
          <w:sz w:val="24"/>
          <w:szCs w:val="24"/>
        </w:rPr>
        <w:t>取消其资格并保留追究其经济赔偿责任和法律责任的权利。</w:t>
      </w:r>
    </w:p>
    <w:p w14:paraId="3EBDC145">
      <w:pPr>
        <w:spacing w:line="360" w:lineRule="auto"/>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3、对站点设备参数、数据等信息不得向除委托方及委托方认可的单位与个人透露。</w:t>
      </w:r>
    </w:p>
    <w:p w14:paraId="6A51DB30">
      <w:pPr>
        <w:spacing w:line="360" w:lineRule="auto"/>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4、不得虚报、瞒报或伪造数据，保证工作的真实有效性。</w:t>
      </w:r>
    </w:p>
    <w:p w14:paraId="5B82B359">
      <w:pPr>
        <w:spacing w:line="360" w:lineRule="auto"/>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5、中标单位不得拒绝采购人委托的与本项目相关的法定职责涉及的任务，否则视为违约。</w:t>
      </w:r>
    </w:p>
    <w:p w14:paraId="7C9F12F8">
      <w:pPr>
        <w:spacing w:line="360" w:lineRule="auto"/>
        <w:ind w:firstLine="480" w:firstLineChars="200"/>
        <w:rPr>
          <w:rFonts w:hint="eastAsia" w:hAnsi="宋体"/>
          <w:color w:val="auto"/>
          <w:sz w:val="24"/>
          <w:szCs w:val="24"/>
          <w:highlight w:val="none"/>
        </w:rPr>
      </w:pPr>
      <w:r>
        <w:rPr>
          <w:rFonts w:hint="eastAsia" w:ascii="宋体" w:hAnsi="宋体" w:cs="宋体"/>
          <w:color w:val="auto"/>
          <w:kern w:val="0"/>
          <w:sz w:val="24"/>
          <w:szCs w:val="24"/>
          <w:lang w:val="en-US" w:eastAsia="zh-CN"/>
        </w:rPr>
        <w:t>6、</w:t>
      </w:r>
      <w:r>
        <w:rPr>
          <w:rFonts w:hint="eastAsia" w:ascii="宋体" w:hAnsi="宋体" w:eastAsia="宋体" w:cs="宋体"/>
          <w:color w:val="auto"/>
          <w:kern w:val="0"/>
          <w:sz w:val="24"/>
          <w:szCs w:val="24"/>
          <w:lang w:val="en-US" w:eastAsia="zh-CN"/>
        </w:rPr>
        <w:t>质保期内，中标单位</w:t>
      </w:r>
      <w:r>
        <w:rPr>
          <w:rFonts w:hint="eastAsia" w:hAnsi="宋体"/>
          <w:color w:val="auto"/>
          <w:sz w:val="24"/>
          <w:szCs w:val="24"/>
          <w:highlight w:val="none"/>
        </w:rPr>
        <w:t>应具备完善的供应渠道。</w:t>
      </w:r>
    </w:p>
    <w:p w14:paraId="419964DC">
      <w:pPr>
        <w:spacing w:line="360" w:lineRule="auto"/>
        <w:ind w:firstLine="480" w:firstLineChars="200"/>
        <w:rPr>
          <w:rFonts w:hint="eastAsia" w:hAnsi="宋体"/>
          <w:color w:val="auto"/>
          <w:sz w:val="24"/>
          <w:szCs w:val="24"/>
          <w:highlight w:val="none"/>
          <w:lang w:val="en-US" w:eastAsia="zh-CN"/>
        </w:rPr>
      </w:pPr>
      <w:r>
        <w:rPr>
          <w:rFonts w:hint="eastAsia" w:hAnsi="宋体"/>
          <w:color w:val="auto"/>
          <w:sz w:val="24"/>
          <w:szCs w:val="24"/>
          <w:highlight w:val="none"/>
          <w:lang w:val="en-US" w:eastAsia="zh-CN"/>
        </w:rPr>
        <w:t>7、</w:t>
      </w:r>
      <w:r>
        <w:rPr>
          <w:rFonts w:hint="eastAsia" w:ascii="宋体" w:hAnsi="宋体" w:eastAsia="宋体" w:cs="宋体"/>
          <w:color w:val="auto"/>
          <w:kern w:val="0"/>
          <w:sz w:val="24"/>
          <w:szCs w:val="24"/>
          <w:lang w:val="en-US" w:eastAsia="zh-CN"/>
        </w:rPr>
        <w:t>质保期内，中标单位需</w:t>
      </w:r>
      <w:r>
        <w:rPr>
          <w:rFonts w:hint="eastAsia" w:hAnsi="宋体"/>
          <w:color w:val="auto"/>
          <w:sz w:val="24"/>
          <w:szCs w:val="24"/>
          <w:highlight w:val="none"/>
          <w:lang w:val="en-US" w:eastAsia="zh-CN"/>
        </w:rPr>
        <w:t>在江阴存设办公场所和服务专员，2小时内响应采购人的需求。</w:t>
      </w:r>
    </w:p>
    <w:p w14:paraId="651CBEF4">
      <w:pPr>
        <w:spacing w:line="360" w:lineRule="auto"/>
        <w:ind w:firstLine="480" w:firstLineChars="200"/>
        <w:rPr>
          <w:rFonts w:hint="default" w:hAnsi="宋体"/>
          <w:color w:val="auto"/>
          <w:sz w:val="24"/>
          <w:szCs w:val="24"/>
          <w:highlight w:val="none"/>
          <w:lang w:val="en-US" w:eastAsia="zh-CN"/>
        </w:rPr>
      </w:pPr>
      <w:r>
        <w:rPr>
          <w:rFonts w:hint="eastAsia" w:hAnsi="宋体"/>
          <w:color w:val="auto"/>
          <w:sz w:val="24"/>
          <w:szCs w:val="24"/>
          <w:highlight w:val="none"/>
          <w:lang w:val="en-US" w:eastAsia="zh-CN"/>
        </w:rPr>
        <w:t>8、</w:t>
      </w:r>
      <w:r>
        <w:rPr>
          <w:rFonts w:hint="eastAsia" w:ascii="宋体" w:hAnsi="宋体" w:eastAsia="宋体" w:cs="宋体"/>
          <w:color w:val="auto"/>
          <w:kern w:val="0"/>
          <w:sz w:val="24"/>
          <w:szCs w:val="24"/>
          <w:lang w:val="en-US" w:eastAsia="zh-CN"/>
        </w:rPr>
        <w:t>中标单位需与运维单位</w:t>
      </w:r>
      <w:r>
        <w:rPr>
          <w:rFonts w:hint="eastAsia" w:ascii="宋体" w:hAnsi="宋体" w:cs="宋体"/>
          <w:color w:val="auto"/>
          <w:kern w:val="0"/>
          <w:sz w:val="24"/>
          <w:szCs w:val="24"/>
          <w:lang w:val="en-US" w:eastAsia="zh-CN"/>
        </w:rPr>
        <w:t>建立</w:t>
      </w:r>
      <w:r>
        <w:rPr>
          <w:rFonts w:hint="eastAsia" w:ascii="宋体" w:hAnsi="宋体" w:eastAsia="宋体" w:cs="宋体"/>
          <w:color w:val="auto"/>
          <w:kern w:val="0"/>
          <w:sz w:val="24"/>
          <w:szCs w:val="24"/>
          <w:lang w:val="en-US" w:eastAsia="zh-CN"/>
        </w:rPr>
        <w:t>良好的沟通渠道，设备安装、调试及验收过程需技术交底于运维单位，便于后续运维工作的开展。</w:t>
      </w:r>
    </w:p>
    <w:p w14:paraId="1A0E43F2">
      <w:pPr>
        <w:spacing w:line="360" w:lineRule="auto"/>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（二）技术要求</w:t>
      </w:r>
    </w:p>
    <w:p w14:paraId="73D95176">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环境空气自动监测监控系统运行管理技术规范</w:t>
      </w:r>
    </w:p>
    <w:p w14:paraId="603B55F5">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1、仪器检测方法和技术、设备要求</w:t>
      </w:r>
    </w:p>
    <w:p w14:paraId="0ABD6F05">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1.1设备检测方法</w:t>
      </w:r>
    </w:p>
    <w:p w14:paraId="4668280C">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所选择的自动监测的仪器应测量原理须符合中国国家标准分析方法、中国环保行业分析方法或等同、相近的其他国家的标准分析方法，具体见表1。</w:t>
      </w:r>
    </w:p>
    <w:p w14:paraId="4BC8EC96">
      <w:pPr>
        <w:adjustRightInd w:val="0"/>
        <w:snapToGrid w:val="0"/>
        <w:spacing w:line="36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表1 各类空气站监测指标和方法原理</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3264"/>
        <w:gridCol w:w="1620"/>
        <w:gridCol w:w="4152"/>
      </w:tblGrid>
      <w:tr w14:paraId="0ADD5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25" w:type="pct"/>
            <w:vAlign w:val="center"/>
          </w:tcPr>
          <w:p w14:paraId="5816BB30">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652" w:type="pct"/>
            <w:vAlign w:val="center"/>
          </w:tcPr>
          <w:p w14:paraId="0A695B1C">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站点类型</w:t>
            </w:r>
          </w:p>
        </w:tc>
        <w:tc>
          <w:tcPr>
            <w:tcW w:w="820" w:type="pct"/>
            <w:vAlign w:val="center"/>
          </w:tcPr>
          <w:p w14:paraId="261F3477">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项目</w:t>
            </w:r>
          </w:p>
        </w:tc>
        <w:tc>
          <w:tcPr>
            <w:tcW w:w="2101" w:type="pct"/>
            <w:vAlign w:val="center"/>
          </w:tcPr>
          <w:p w14:paraId="2BB3AFE7">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方法</w:t>
            </w:r>
          </w:p>
        </w:tc>
      </w:tr>
      <w:tr w14:paraId="3BB3B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vAlign w:val="center"/>
          </w:tcPr>
          <w:p w14:paraId="56AA6B0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652" w:type="pct"/>
            <w:vMerge w:val="restart"/>
            <w:vAlign w:val="center"/>
          </w:tcPr>
          <w:p w14:paraId="329D2FB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微型空气站</w:t>
            </w:r>
          </w:p>
        </w:tc>
        <w:tc>
          <w:tcPr>
            <w:tcW w:w="820" w:type="pct"/>
            <w:vAlign w:val="center"/>
          </w:tcPr>
          <w:p w14:paraId="64620B8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PM</w:t>
            </w:r>
            <w:r>
              <w:rPr>
                <w:rFonts w:hint="eastAsia" w:ascii="宋体" w:hAnsi="宋体" w:eastAsia="宋体" w:cs="宋体"/>
                <w:color w:val="auto"/>
                <w:sz w:val="24"/>
                <w:szCs w:val="24"/>
                <w:vertAlign w:val="baseline"/>
              </w:rPr>
              <w:t>10</w:t>
            </w:r>
          </w:p>
        </w:tc>
        <w:tc>
          <w:tcPr>
            <w:tcW w:w="2101" w:type="pct"/>
            <w:vAlign w:val="center"/>
          </w:tcPr>
          <w:p w14:paraId="5FF45A9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光散射法</w:t>
            </w:r>
          </w:p>
        </w:tc>
      </w:tr>
      <w:tr w14:paraId="3C4E5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vAlign w:val="center"/>
          </w:tcPr>
          <w:p w14:paraId="37CF5D3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652" w:type="pct"/>
            <w:vMerge w:val="continue"/>
            <w:vAlign w:val="center"/>
          </w:tcPr>
          <w:p w14:paraId="1A5A1A11">
            <w:pPr>
              <w:jc w:val="center"/>
              <w:rPr>
                <w:rFonts w:hint="eastAsia" w:ascii="宋体" w:hAnsi="宋体" w:eastAsia="宋体" w:cs="宋体"/>
                <w:color w:val="auto"/>
                <w:sz w:val="24"/>
                <w:szCs w:val="24"/>
              </w:rPr>
            </w:pPr>
          </w:p>
        </w:tc>
        <w:tc>
          <w:tcPr>
            <w:tcW w:w="820" w:type="pct"/>
            <w:vAlign w:val="center"/>
          </w:tcPr>
          <w:p w14:paraId="378DF1A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PM</w:t>
            </w:r>
            <w:r>
              <w:rPr>
                <w:rFonts w:hint="eastAsia" w:ascii="宋体" w:hAnsi="宋体" w:eastAsia="宋体" w:cs="宋体"/>
                <w:color w:val="auto"/>
                <w:sz w:val="24"/>
                <w:szCs w:val="24"/>
                <w:vertAlign w:val="baseline"/>
              </w:rPr>
              <w:t>2.5</w:t>
            </w:r>
          </w:p>
        </w:tc>
        <w:tc>
          <w:tcPr>
            <w:tcW w:w="2101" w:type="pct"/>
            <w:vAlign w:val="center"/>
          </w:tcPr>
          <w:p w14:paraId="361E9E9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光散射法</w:t>
            </w:r>
          </w:p>
        </w:tc>
      </w:tr>
      <w:tr w14:paraId="41F7F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vAlign w:val="center"/>
          </w:tcPr>
          <w:p w14:paraId="339AC91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652" w:type="pct"/>
            <w:vMerge w:val="continue"/>
            <w:vAlign w:val="center"/>
          </w:tcPr>
          <w:p w14:paraId="4E83071E">
            <w:pPr>
              <w:jc w:val="center"/>
              <w:rPr>
                <w:rFonts w:hint="eastAsia" w:ascii="宋体" w:hAnsi="宋体" w:eastAsia="宋体" w:cs="宋体"/>
                <w:color w:val="auto"/>
                <w:sz w:val="24"/>
                <w:szCs w:val="24"/>
              </w:rPr>
            </w:pPr>
          </w:p>
        </w:tc>
        <w:tc>
          <w:tcPr>
            <w:tcW w:w="820" w:type="pct"/>
            <w:vAlign w:val="center"/>
          </w:tcPr>
          <w:p w14:paraId="686C30C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SO</w:t>
            </w:r>
            <w:r>
              <w:rPr>
                <w:rFonts w:hint="eastAsia" w:ascii="宋体" w:hAnsi="宋体" w:eastAsia="宋体" w:cs="宋体"/>
                <w:color w:val="auto"/>
                <w:sz w:val="24"/>
                <w:szCs w:val="24"/>
                <w:vertAlign w:val="baseline"/>
              </w:rPr>
              <w:t>2</w:t>
            </w:r>
          </w:p>
        </w:tc>
        <w:tc>
          <w:tcPr>
            <w:tcW w:w="2101" w:type="pct"/>
            <w:vAlign w:val="center"/>
          </w:tcPr>
          <w:p w14:paraId="344B1DF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电化学法</w:t>
            </w:r>
          </w:p>
        </w:tc>
      </w:tr>
      <w:tr w14:paraId="620C6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vAlign w:val="center"/>
          </w:tcPr>
          <w:p w14:paraId="220E58E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652" w:type="pct"/>
            <w:vMerge w:val="continue"/>
            <w:vAlign w:val="center"/>
          </w:tcPr>
          <w:p w14:paraId="7E278695">
            <w:pPr>
              <w:jc w:val="center"/>
              <w:rPr>
                <w:rFonts w:hint="eastAsia" w:ascii="宋体" w:hAnsi="宋体" w:eastAsia="宋体" w:cs="宋体"/>
                <w:color w:val="auto"/>
                <w:sz w:val="24"/>
                <w:szCs w:val="24"/>
              </w:rPr>
            </w:pPr>
          </w:p>
        </w:tc>
        <w:tc>
          <w:tcPr>
            <w:tcW w:w="820" w:type="pct"/>
            <w:vAlign w:val="center"/>
          </w:tcPr>
          <w:p w14:paraId="0408B13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NO</w:t>
            </w:r>
            <w:r>
              <w:rPr>
                <w:rFonts w:hint="eastAsia" w:ascii="宋体" w:hAnsi="宋体" w:eastAsia="宋体" w:cs="宋体"/>
                <w:color w:val="auto"/>
                <w:sz w:val="24"/>
                <w:szCs w:val="24"/>
                <w:vertAlign w:val="baseline"/>
              </w:rPr>
              <w:t>2</w:t>
            </w:r>
          </w:p>
        </w:tc>
        <w:tc>
          <w:tcPr>
            <w:tcW w:w="2101" w:type="pct"/>
            <w:vAlign w:val="center"/>
          </w:tcPr>
          <w:p w14:paraId="415B7A3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电化学法</w:t>
            </w:r>
          </w:p>
        </w:tc>
      </w:tr>
      <w:tr w14:paraId="3DFCC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vAlign w:val="center"/>
          </w:tcPr>
          <w:p w14:paraId="3C78E34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652" w:type="pct"/>
            <w:vMerge w:val="continue"/>
            <w:vAlign w:val="center"/>
          </w:tcPr>
          <w:p w14:paraId="64092AA0">
            <w:pPr>
              <w:jc w:val="center"/>
              <w:rPr>
                <w:rFonts w:hint="eastAsia" w:ascii="宋体" w:hAnsi="宋体" w:eastAsia="宋体" w:cs="宋体"/>
                <w:color w:val="auto"/>
                <w:sz w:val="24"/>
                <w:szCs w:val="24"/>
              </w:rPr>
            </w:pPr>
          </w:p>
        </w:tc>
        <w:tc>
          <w:tcPr>
            <w:tcW w:w="820" w:type="pct"/>
            <w:vAlign w:val="center"/>
          </w:tcPr>
          <w:p w14:paraId="1C2730A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CO</w:t>
            </w:r>
          </w:p>
        </w:tc>
        <w:tc>
          <w:tcPr>
            <w:tcW w:w="2101" w:type="pct"/>
            <w:vAlign w:val="center"/>
          </w:tcPr>
          <w:p w14:paraId="3AA7F72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电化学法</w:t>
            </w:r>
          </w:p>
        </w:tc>
      </w:tr>
      <w:tr w14:paraId="7FA32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vAlign w:val="center"/>
          </w:tcPr>
          <w:p w14:paraId="6054A3F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652" w:type="pct"/>
            <w:vMerge w:val="continue"/>
            <w:vAlign w:val="center"/>
          </w:tcPr>
          <w:p w14:paraId="0D565B08">
            <w:pPr>
              <w:jc w:val="center"/>
              <w:rPr>
                <w:rFonts w:hint="eastAsia" w:ascii="宋体" w:hAnsi="宋体" w:eastAsia="宋体" w:cs="宋体"/>
                <w:color w:val="auto"/>
                <w:sz w:val="24"/>
                <w:szCs w:val="24"/>
              </w:rPr>
            </w:pPr>
          </w:p>
        </w:tc>
        <w:tc>
          <w:tcPr>
            <w:tcW w:w="820" w:type="pct"/>
            <w:vAlign w:val="center"/>
          </w:tcPr>
          <w:p w14:paraId="240A7DE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O</w:t>
            </w:r>
            <w:r>
              <w:rPr>
                <w:rFonts w:hint="eastAsia" w:ascii="宋体" w:hAnsi="宋体" w:eastAsia="宋体" w:cs="宋体"/>
                <w:color w:val="auto"/>
                <w:sz w:val="24"/>
                <w:szCs w:val="24"/>
                <w:vertAlign w:val="baseline"/>
              </w:rPr>
              <w:t>3</w:t>
            </w:r>
          </w:p>
        </w:tc>
        <w:tc>
          <w:tcPr>
            <w:tcW w:w="2101" w:type="pct"/>
            <w:vAlign w:val="center"/>
          </w:tcPr>
          <w:p w14:paraId="4EC8330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电化学法</w:t>
            </w:r>
          </w:p>
        </w:tc>
      </w:tr>
      <w:tr w14:paraId="1A039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vAlign w:val="center"/>
          </w:tcPr>
          <w:p w14:paraId="6806007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1652" w:type="pct"/>
            <w:vMerge w:val="continue"/>
            <w:vAlign w:val="center"/>
          </w:tcPr>
          <w:p w14:paraId="301D91FD">
            <w:pPr>
              <w:jc w:val="center"/>
              <w:rPr>
                <w:rFonts w:hint="eastAsia" w:ascii="宋体" w:hAnsi="宋体" w:eastAsia="宋体" w:cs="宋体"/>
                <w:color w:val="auto"/>
                <w:sz w:val="24"/>
                <w:szCs w:val="24"/>
              </w:rPr>
            </w:pPr>
          </w:p>
        </w:tc>
        <w:tc>
          <w:tcPr>
            <w:tcW w:w="820" w:type="pct"/>
            <w:vAlign w:val="center"/>
          </w:tcPr>
          <w:p w14:paraId="66E1116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TVOC</w:t>
            </w:r>
          </w:p>
        </w:tc>
        <w:tc>
          <w:tcPr>
            <w:tcW w:w="2101" w:type="pct"/>
            <w:vAlign w:val="center"/>
          </w:tcPr>
          <w:p w14:paraId="0990665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光离子化法</w:t>
            </w:r>
          </w:p>
        </w:tc>
      </w:tr>
      <w:tr w14:paraId="3BC5E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vAlign w:val="center"/>
          </w:tcPr>
          <w:p w14:paraId="777B196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1652" w:type="pct"/>
            <w:vMerge w:val="restart"/>
            <w:vAlign w:val="center"/>
          </w:tcPr>
          <w:p w14:paraId="4BBA23E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小型空气站/标准空气站</w:t>
            </w:r>
          </w:p>
        </w:tc>
        <w:tc>
          <w:tcPr>
            <w:tcW w:w="820" w:type="pct"/>
            <w:vAlign w:val="center"/>
          </w:tcPr>
          <w:p w14:paraId="7FE066B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PM</w:t>
            </w:r>
            <w:r>
              <w:rPr>
                <w:rFonts w:hint="eastAsia" w:ascii="宋体" w:hAnsi="宋体" w:eastAsia="宋体" w:cs="宋体"/>
                <w:color w:val="auto"/>
                <w:sz w:val="24"/>
                <w:szCs w:val="24"/>
                <w:vertAlign w:val="baseline"/>
              </w:rPr>
              <w:t>10</w:t>
            </w:r>
          </w:p>
        </w:tc>
        <w:tc>
          <w:tcPr>
            <w:tcW w:w="2101" w:type="pct"/>
            <w:vAlign w:val="center"/>
          </w:tcPr>
          <w:p w14:paraId="7A6517C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β射线法</w:t>
            </w:r>
          </w:p>
        </w:tc>
      </w:tr>
      <w:tr w14:paraId="222DD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vAlign w:val="center"/>
          </w:tcPr>
          <w:p w14:paraId="67A502F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1652" w:type="pct"/>
            <w:vMerge w:val="continue"/>
            <w:vAlign w:val="center"/>
          </w:tcPr>
          <w:p w14:paraId="46B9A543">
            <w:pPr>
              <w:jc w:val="center"/>
              <w:rPr>
                <w:rFonts w:hint="eastAsia" w:ascii="宋体" w:hAnsi="宋体" w:eastAsia="宋体" w:cs="宋体"/>
                <w:color w:val="auto"/>
                <w:sz w:val="24"/>
                <w:szCs w:val="24"/>
              </w:rPr>
            </w:pPr>
          </w:p>
        </w:tc>
        <w:tc>
          <w:tcPr>
            <w:tcW w:w="820" w:type="pct"/>
            <w:vAlign w:val="center"/>
          </w:tcPr>
          <w:p w14:paraId="7D68FD2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PM</w:t>
            </w:r>
            <w:r>
              <w:rPr>
                <w:rFonts w:hint="eastAsia" w:ascii="宋体" w:hAnsi="宋体" w:eastAsia="宋体" w:cs="宋体"/>
                <w:color w:val="auto"/>
                <w:sz w:val="24"/>
                <w:szCs w:val="24"/>
                <w:vertAlign w:val="baseline"/>
              </w:rPr>
              <w:t>2.5</w:t>
            </w:r>
          </w:p>
        </w:tc>
        <w:tc>
          <w:tcPr>
            <w:tcW w:w="2101" w:type="pct"/>
            <w:vAlign w:val="center"/>
          </w:tcPr>
          <w:p w14:paraId="04025FE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β射线法</w:t>
            </w:r>
          </w:p>
        </w:tc>
      </w:tr>
      <w:tr w14:paraId="45ADA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vAlign w:val="center"/>
          </w:tcPr>
          <w:p w14:paraId="2AB112A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1652" w:type="pct"/>
            <w:vMerge w:val="continue"/>
            <w:vAlign w:val="center"/>
          </w:tcPr>
          <w:p w14:paraId="5AD32F49">
            <w:pPr>
              <w:jc w:val="center"/>
              <w:rPr>
                <w:rFonts w:hint="eastAsia" w:ascii="宋体" w:hAnsi="宋体" w:eastAsia="宋体" w:cs="宋体"/>
                <w:color w:val="auto"/>
                <w:sz w:val="24"/>
                <w:szCs w:val="24"/>
              </w:rPr>
            </w:pPr>
          </w:p>
        </w:tc>
        <w:tc>
          <w:tcPr>
            <w:tcW w:w="820" w:type="pct"/>
            <w:vAlign w:val="center"/>
          </w:tcPr>
          <w:p w14:paraId="6C5C654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SO</w:t>
            </w:r>
            <w:r>
              <w:rPr>
                <w:rFonts w:hint="eastAsia" w:ascii="宋体" w:hAnsi="宋体" w:eastAsia="宋体" w:cs="宋体"/>
                <w:color w:val="auto"/>
                <w:sz w:val="24"/>
                <w:szCs w:val="24"/>
                <w:vertAlign w:val="baseline"/>
              </w:rPr>
              <w:t>2</w:t>
            </w:r>
          </w:p>
        </w:tc>
        <w:tc>
          <w:tcPr>
            <w:tcW w:w="2101" w:type="pct"/>
            <w:vAlign w:val="center"/>
          </w:tcPr>
          <w:p w14:paraId="3A09975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紫外荧光法</w:t>
            </w:r>
          </w:p>
        </w:tc>
      </w:tr>
      <w:tr w14:paraId="54D08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vAlign w:val="center"/>
          </w:tcPr>
          <w:p w14:paraId="7E612F7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1652" w:type="pct"/>
            <w:vMerge w:val="continue"/>
            <w:vAlign w:val="center"/>
          </w:tcPr>
          <w:p w14:paraId="2DE5519D">
            <w:pPr>
              <w:jc w:val="center"/>
              <w:rPr>
                <w:rFonts w:hint="eastAsia" w:ascii="宋体" w:hAnsi="宋体" w:eastAsia="宋体" w:cs="宋体"/>
                <w:color w:val="auto"/>
                <w:sz w:val="24"/>
                <w:szCs w:val="24"/>
              </w:rPr>
            </w:pPr>
          </w:p>
        </w:tc>
        <w:tc>
          <w:tcPr>
            <w:tcW w:w="820" w:type="pct"/>
            <w:vAlign w:val="center"/>
          </w:tcPr>
          <w:p w14:paraId="55EA346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NO</w:t>
            </w:r>
            <w:r>
              <w:rPr>
                <w:rFonts w:hint="eastAsia" w:ascii="宋体" w:hAnsi="宋体" w:eastAsia="宋体" w:cs="宋体"/>
                <w:color w:val="auto"/>
                <w:sz w:val="24"/>
                <w:szCs w:val="24"/>
                <w:vertAlign w:val="baseline"/>
              </w:rPr>
              <w:t>2</w:t>
            </w:r>
          </w:p>
        </w:tc>
        <w:tc>
          <w:tcPr>
            <w:tcW w:w="2101" w:type="pct"/>
            <w:vAlign w:val="center"/>
          </w:tcPr>
          <w:p w14:paraId="2B3CB06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化学发光法</w:t>
            </w:r>
          </w:p>
        </w:tc>
      </w:tr>
      <w:tr w14:paraId="7036B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vAlign w:val="center"/>
          </w:tcPr>
          <w:p w14:paraId="03D76DD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1652" w:type="pct"/>
            <w:vMerge w:val="continue"/>
            <w:vAlign w:val="center"/>
          </w:tcPr>
          <w:p w14:paraId="03A574D9">
            <w:pPr>
              <w:jc w:val="center"/>
              <w:rPr>
                <w:rFonts w:hint="eastAsia" w:ascii="宋体" w:hAnsi="宋体" w:eastAsia="宋体" w:cs="宋体"/>
                <w:color w:val="auto"/>
                <w:sz w:val="24"/>
                <w:szCs w:val="24"/>
              </w:rPr>
            </w:pPr>
          </w:p>
        </w:tc>
        <w:tc>
          <w:tcPr>
            <w:tcW w:w="820" w:type="pct"/>
            <w:vAlign w:val="center"/>
          </w:tcPr>
          <w:p w14:paraId="458F9D7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CO</w:t>
            </w:r>
          </w:p>
        </w:tc>
        <w:tc>
          <w:tcPr>
            <w:tcW w:w="2101" w:type="pct"/>
            <w:vAlign w:val="center"/>
          </w:tcPr>
          <w:p w14:paraId="751227D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气体滤波相关红外吸收法</w:t>
            </w:r>
          </w:p>
        </w:tc>
      </w:tr>
      <w:tr w14:paraId="21ED2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vAlign w:val="center"/>
          </w:tcPr>
          <w:p w14:paraId="267C600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13</w:t>
            </w:r>
          </w:p>
        </w:tc>
        <w:tc>
          <w:tcPr>
            <w:tcW w:w="1652" w:type="pct"/>
            <w:vMerge w:val="continue"/>
            <w:vAlign w:val="center"/>
          </w:tcPr>
          <w:p w14:paraId="2EAE050F">
            <w:pPr>
              <w:jc w:val="center"/>
              <w:rPr>
                <w:rFonts w:hint="eastAsia" w:ascii="宋体" w:hAnsi="宋体" w:eastAsia="宋体" w:cs="宋体"/>
                <w:color w:val="auto"/>
                <w:sz w:val="24"/>
                <w:szCs w:val="24"/>
              </w:rPr>
            </w:pPr>
          </w:p>
        </w:tc>
        <w:tc>
          <w:tcPr>
            <w:tcW w:w="820" w:type="pct"/>
            <w:vAlign w:val="center"/>
          </w:tcPr>
          <w:p w14:paraId="77684D0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O</w:t>
            </w:r>
            <w:r>
              <w:rPr>
                <w:rFonts w:hint="eastAsia" w:ascii="宋体" w:hAnsi="宋体" w:eastAsia="宋体" w:cs="宋体"/>
                <w:color w:val="auto"/>
                <w:sz w:val="24"/>
                <w:szCs w:val="24"/>
                <w:vertAlign w:val="baseline"/>
              </w:rPr>
              <w:t>3</w:t>
            </w:r>
          </w:p>
        </w:tc>
        <w:tc>
          <w:tcPr>
            <w:tcW w:w="2101" w:type="pct"/>
            <w:vAlign w:val="center"/>
          </w:tcPr>
          <w:p w14:paraId="1BF3A0F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紫外光度法</w:t>
            </w:r>
          </w:p>
        </w:tc>
      </w:tr>
    </w:tbl>
    <w:p w14:paraId="497D340F">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p>
    <w:p w14:paraId="13793AD4">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1.2 仪器技术参数（</w:t>
      </w:r>
      <w:r>
        <w:rPr>
          <w:rFonts w:hint="eastAsia" w:ascii="宋体" w:hAnsi="宋体" w:eastAsia="宋体" w:cs="宋体"/>
          <w:b/>
          <w:bCs w:val="0"/>
          <w:color w:val="auto"/>
          <w:sz w:val="24"/>
          <w:szCs w:val="24"/>
          <w:lang w:val="en-US" w:eastAsia="zh-CN"/>
        </w:rPr>
        <w:t>需达到或优于</w:t>
      </w:r>
      <w:r>
        <w:rPr>
          <w:rFonts w:hint="eastAsia" w:ascii="宋体" w:hAnsi="宋体" w:eastAsia="宋体" w:cs="宋体"/>
          <w:bCs/>
          <w:color w:val="auto"/>
          <w:sz w:val="24"/>
          <w:szCs w:val="24"/>
          <w:lang w:val="en-US" w:eastAsia="zh-CN"/>
        </w:rPr>
        <w:t>）</w:t>
      </w:r>
    </w:p>
    <w:p w14:paraId="352FA37D">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1.2.1微型空气站监测仪器分析仪性能指标要求如下：</w:t>
      </w:r>
    </w:p>
    <w:p w14:paraId="355B3520">
      <w:pPr>
        <w:pStyle w:val="32"/>
        <w:keepNext w:val="0"/>
        <w:keepLines w:val="0"/>
        <w:pageBreakBefore w:val="0"/>
        <w:widowControl/>
        <w:numPr>
          <w:ilvl w:val="2"/>
          <w:numId w:val="5"/>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系统概述：</w:t>
      </w:r>
    </w:p>
    <w:p w14:paraId="73B38C2E">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利用先进的传感器技术、互联网技术、无线通信技术、计算机网络技术、电子地理信息技术、视频实时监控技术等，对颗粒物、气态污染物等排放实现 7*24 小时在线监测的综合实时监控系统。并且支持现场视频监控等，并预留多个接口，加装不同测量模块，对重要污染因子进行实时监控。</w:t>
      </w:r>
    </w:p>
    <w:p w14:paraId="1083BD0A">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监测因子包括：标准污染物臭氧（O3）、二氧化氮（NO2）、二氧化硫（SO2）、</w:t>
      </w:r>
      <w:r>
        <w:rPr>
          <w:rFonts w:hint="eastAsia" w:ascii="宋体" w:hAnsi="宋体" w:eastAsia="宋体" w:cs="宋体"/>
          <w:b w:val="0"/>
          <w:bCs w:val="0"/>
          <w:color w:val="auto"/>
          <w:sz w:val="24"/>
          <w:szCs w:val="24"/>
          <w:lang w:val="en-US" w:eastAsia="zh-CN"/>
        </w:rPr>
        <w:t>一氧化碳</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CO</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总挥发性有机化合物（TVOC）</w:t>
      </w:r>
      <w:r>
        <w:rPr>
          <w:rFonts w:hint="eastAsia" w:ascii="宋体" w:hAnsi="宋体" w:eastAsia="宋体" w:cs="宋体"/>
          <w:b w:val="0"/>
          <w:bCs w:val="0"/>
          <w:color w:val="auto"/>
          <w:sz w:val="24"/>
          <w:szCs w:val="24"/>
          <w:lang w:val="en-US"/>
        </w:rPr>
        <w:t>、</w:t>
      </w:r>
      <w:r>
        <w:rPr>
          <w:rFonts w:hint="eastAsia" w:ascii="宋体" w:hAnsi="宋体" w:eastAsia="宋体" w:cs="宋体"/>
          <w:b w:val="0"/>
          <w:bCs w:val="0"/>
          <w:color w:val="auto"/>
          <w:sz w:val="24"/>
          <w:szCs w:val="24"/>
        </w:rPr>
        <w:t>颗粒物 PM10、PM2.5； 配温度、湿度、风速、风向、大气压等。</w:t>
      </w:r>
    </w:p>
    <w:p w14:paraId="445BB3F0">
      <w:pPr>
        <w:pStyle w:val="32"/>
        <w:keepNext w:val="0"/>
        <w:keepLines w:val="0"/>
        <w:pageBreakBefore w:val="0"/>
        <w:widowControl/>
        <w:numPr>
          <w:ilvl w:val="2"/>
          <w:numId w:val="5"/>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技术要求：</w:t>
      </w:r>
    </w:p>
    <w:p w14:paraId="3A8CD86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rPr>
        <w:t>1)颗粒物采样需采用动态加热控制，去除</w:t>
      </w:r>
      <w:r>
        <w:rPr>
          <w:rFonts w:hint="eastAsia" w:ascii="宋体" w:hAnsi="宋体" w:eastAsia="宋体" w:cs="宋体"/>
          <w:b w:val="0"/>
          <w:bCs w:val="0"/>
          <w:color w:val="auto"/>
          <w:sz w:val="24"/>
          <w:szCs w:val="24"/>
          <w:lang w:val="en-US" w:eastAsia="zh-CN"/>
        </w:rPr>
        <w:t>水雾</w:t>
      </w:r>
      <w:r>
        <w:rPr>
          <w:rFonts w:hint="eastAsia" w:ascii="宋体" w:hAnsi="宋体" w:eastAsia="宋体" w:cs="宋体"/>
          <w:b w:val="0"/>
          <w:bCs w:val="0"/>
          <w:color w:val="auto"/>
          <w:sz w:val="24"/>
          <w:szCs w:val="24"/>
        </w:rPr>
        <w:t>对测量数据影响；</w:t>
      </w:r>
    </w:p>
    <w:p w14:paraId="3E524B90">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rPr>
        <w:t>2)颗粒物采样前端配有旋风切割器，提高测量精度，且大于等于2L/min；</w:t>
      </w:r>
    </w:p>
    <w:p w14:paraId="6CEC8A3A">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3)颗粒物采样具备流量监控功能，能够实时监测当前采样流速，通过 PID 系统，自动调节流量，使流量恒定</w:t>
      </w:r>
      <w:r>
        <w:rPr>
          <w:rFonts w:hint="eastAsia" w:ascii="宋体" w:hAnsi="宋体" w:eastAsia="宋体" w:cs="宋体"/>
          <w:b w:val="0"/>
          <w:bCs w:val="0"/>
          <w:color w:val="auto"/>
          <w:sz w:val="24"/>
          <w:szCs w:val="24"/>
          <w:lang w:eastAsia="zh-CN"/>
        </w:rPr>
        <w:t>。</w:t>
      </w:r>
    </w:p>
    <w:p w14:paraId="335BCD8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rPr>
        <w:t>4)气态污染物因子监测采用高精度进口传感器，气室采用完全密封聚四氟乙烯材料，可通标气标定，且采气流量控制稳定，抽气泵采用进口品牌；</w:t>
      </w:r>
    </w:p>
    <w:p w14:paraId="351AC8C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5)能够选配特征污染物苯、氯气、氯化氢、硫化氢、甲醛甲苯、二甲苯、三甲胺、恶臭等特征因子。参数因子可扩展至少10种以上，自由组合；</w:t>
      </w:r>
    </w:p>
    <w:p w14:paraId="1041F5BF">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rPr>
        <w:t>6)模块化设计，气体模块即插即用，拆卸方便，能够提升后续运维效率降低运维成本。模块之间采用 CAN、485、或其他总线通信；</w:t>
      </w:r>
    </w:p>
    <w:p w14:paraId="446C9430">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rPr>
        <w:t>7)仪器支持 3G/4G/5G 无线传输方式可选，支持HJ212</w:t>
      </w:r>
      <w:r>
        <w:rPr>
          <w:rFonts w:hint="eastAsia" w:ascii="宋体" w:hAnsi="宋体" w:eastAsia="宋体" w:cs="宋体"/>
          <w:b w:val="0"/>
          <w:bCs w:val="0"/>
          <w:color w:val="auto"/>
          <w:sz w:val="24"/>
          <w:szCs w:val="24"/>
          <w:lang w:val="en-US" w:eastAsia="zh-CN"/>
        </w:rPr>
        <w:t>-2017</w:t>
      </w:r>
      <w:r>
        <w:rPr>
          <w:rFonts w:hint="eastAsia" w:ascii="宋体" w:hAnsi="宋体" w:eastAsia="宋体" w:cs="宋体"/>
          <w:b w:val="0"/>
          <w:bCs w:val="0"/>
          <w:color w:val="auto"/>
          <w:sz w:val="24"/>
          <w:szCs w:val="24"/>
        </w:rPr>
        <w:t>数据传输协议，同时支持定制私有协议，数据传输间隔能够自由调节，最快可达到秒</w:t>
      </w:r>
      <w:r>
        <w:rPr>
          <w:rFonts w:hint="eastAsia" w:ascii="宋体" w:hAnsi="宋体" w:eastAsia="宋体" w:cs="宋体"/>
          <w:b w:val="0"/>
          <w:bCs w:val="0"/>
          <w:color w:val="auto"/>
          <w:sz w:val="24"/>
          <w:szCs w:val="24"/>
          <w:lang w:val="en-US" w:eastAsia="zh-CN"/>
        </w:rPr>
        <w:t>级</w:t>
      </w:r>
      <w:r>
        <w:rPr>
          <w:rFonts w:hint="eastAsia" w:ascii="宋体" w:hAnsi="宋体" w:eastAsia="宋体" w:cs="宋体"/>
          <w:b w:val="0"/>
          <w:bCs w:val="0"/>
          <w:color w:val="auto"/>
          <w:sz w:val="24"/>
          <w:szCs w:val="24"/>
        </w:rPr>
        <w:t>数据，最多可同时向 8 个平台传输数据；</w:t>
      </w:r>
    </w:p>
    <w:p w14:paraId="779F4B5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8)终端设备可通过FTP服务器，远程升级终端的应用程序，实现远程维护，保证用户可以使用最新的应用程序，及时更新系统功能；</w:t>
      </w:r>
    </w:p>
    <w:p w14:paraId="204BA85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9)可选配各种参数IP摄像头,保证夜间和视距拍摄要求，可自动抓拍，也可供用户实时查看；</w:t>
      </w:r>
    </w:p>
    <w:p w14:paraId="33BE994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10)电路采用工业级嵌入式处理器，可适合严苛室外环境，工作环境温度范围（-40~70）℃；</w:t>
      </w:r>
    </w:p>
    <w:p w14:paraId="5737C30F">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11</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安装方式可根据现场情况选择：支架安装，挂杆安装等多种方式，任何一种安装方式均牢固可靠，可抵抗瞬间 12 级风力。</w:t>
      </w:r>
    </w:p>
    <w:p w14:paraId="7C3E7296">
      <w:pPr>
        <w:keepNext w:val="0"/>
        <w:keepLines w:val="0"/>
        <w:pageBreakBefore w:val="0"/>
        <w:kinsoku/>
        <w:overflowPunct/>
        <w:topLinePunct w:val="0"/>
        <w:autoSpaceDE/>
        <w:autoSpaceDN/>
        <w:bidi w:val="0"/>
        <w:adjustRightInd/>
        <w:snapToGrid/>
        <w:spacing w:before="0" w:line="360" w:lineRule="auto"/>
        <w:ind w:right="-53" w:rightChars="0"/>
        <w:jc w:val="both"/>
        <w:textAlignment w:val="auto"/>
        <w:rPr>
          <w:rFonts w:hint="eastAsia" w:ascii="宋体" w:hAnsi="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★监测因子具有环保产品认证证书（CCEP，产品名称内含PM2.5、PM10、NO2、O3、SO2、CO、TVOC监测因子）</w:t>
      </w:r>
      <w:r>
        <w:rPr>
          <w:rFonts w:hint="eastAsia" w:ascii="宋体" w:hAnsi="宋体" w:cs="宋体"/>
          <w:b w:val="0"/>
          <w:bCs w:val="0"/>
          <w:color w:val="auto"/>
          <w:sz w:val="24"/>
          <w:szCs w:val="24"/>
          <w:lang w:val="en-US" w:eastAsia="zh-CN"/>
        </w:rPr>
        <w:t>。</w:t>
      </w:r>
    </w:p>
    <w:p w14:paraId="7FB18441">
      <w:pPr>
        <w:pStyle w:val="40"/>
        <w:ind w:left="0" w:leftChars="0" w:firstLine="0" w:firstLineChars="0"/>
        <w:rPr>
          <w:rFonts w:hint="default"/>
          <w:color w:val="auto"/>
          <w:lang w:val="en-US" w:eastAsia="zh-CN"/>
        </w:rPr>
      </w:pPr>
      <w:r>
        <w:rPr>
          <w:rFonts w:hint="eastAsia" w:ascii="宋体" w:hAnsi="宋体" w:eastAsia="宋体" w:cs="宋体"/>
          <w:b w:val="0"/>
          <w:bCs w:val="0"/>
          <w:color w:val="auto"/>
          <w:sz w:val="24"/>
          <w:szCs w:val="24"/>
          <w:lang w:val="en-US" w:eastAsia="zh-CN"/>
        </w:rPr>
        <w:t>★</w:t>
      </w:r>
      <w:r>
        <w:rPr>
          <w:rFonts w:hint="eastAsia" w:ascii="宋体" w:hAnsi="宋体" w:cs="宋体"/>
          <w:b w:val="0"/>
          <w:bCs w:val="0"/>
          <w:color w:val="auto"/>
          <w:sz w:val="24"/>
          <w:szCs w:val="24"/>
          <w:lang w:val="en-US" w:eastAsia="zh-CN"/>
        </w:rPr>
        <w:t>技术指标：</w:t>
      </w:r>
    </w:p>
    <w:tbl>
      <w:tblPr>
        <w:tblStyle w:val="34"/>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651"/>
        <w:gridCol w:w="8027"/>
      </w:tblGrid>
      <w:tr w14:paraId="508B3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 w:hRule="atLeast"/>
        </w:trPr>
        <w:tc>
          <w:tcPr>
            <w:tcW w:w="853" w:type="pct"/>
            <w:vAlign w:val="top"/>
          </w:tcPr>
          <w:p w14:paraId="2AA6B537">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rightChars="0"/>
              <w:jc w:val="center"/>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颗粒物</w:t>
            </w:r>
          </w:p>
        </w:tc>
        <w:tc>
          <w:tcPr>
            <w:tcW w:w="4146" w:type="pct"/>
            <w:vAlign w:val="top"/>
          </w:tcPr>
          <w:p w14:paraId="433A31A8">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vertAlign w:val="baseline"/>
                <w:lang w:val="en-US" w:eastAsia="zh-CN"/>
              </w:rPr>
              <w:t>测量范围：</w:t>
            </w:r>
            <w:r>
              <w:rPr>
                <w:rFonts w:hint="eastAsia" w:ascii="宋体" w:hAnsi="宋体" w:eastAsia="宋体" w:cs="宋体"/>
                <w:b w:val="0"/>
                <w:bCs w:val="0"/>
                <w:color w:val="auto"/>
                <w:sz w:val="24"/>
                <w:szCs w:val="24"/>
              </w:rPr>
              <w:t>PM2.5：（0~10</w:t>
            </w:r>
            <w:r>
              <w:rPr>
                <w:rFonts w:hint="eastAsia" w:ascii="宋体" w:hAnsi="宋体" w:eastAsia="宋体" w:cs="宋体"/>
                <w:b w:val="0"/>
                <w:bCs w:val="0"/>
                <w:color w:val="auto"/>
                <w:sz w:val="24"/>
                <w:szCs w:val="24"/>
                <w:lang w:eastAsia="zh-CN"/>
              </w:rPr>
              <w:t>0</w:t>
            </w:r>
            <w:r>
              <w:rPr>
                <w:rFonts w:hint="eastAsia" w:ascii="宋体" w:hAnsi="宋体" w:eastAsia="宋体" w:cs="宋体"/>
                <w:b w:val="0"/>
                <w:bCs w:val="0"/>
                <w:color w:val="auto"/>
                <w:sz w:val="24"/>
                <w:szCs w:val="24"/>
              </w:rPr>
              <w:t>00）μg/m3</w:t>
            </w:r>
            <w:r>
              <w:rPr>
                <w:rFonts w:hint="eastAsia" w:ascii="宋体" w:hAnsi="宋体" w:eastAsia="宋体" w:cs="宋体"/>
                <w:b w:val="0"/>
                <w:bCs w:val="0"/>
                <w:color w:val="auto"/>
                <w:sz w:val="24"/>
                <w:szCs w:val="24"/>
              </w:rPr>
              <w:tab/>
            </w:r>
          </w:p>
          <w:p w14:paraId="3E51694A">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ab/>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PM10：（0~1000</w:t>
            </w:r>
            <w:r>
              <w:rPr>
                <w:rFonts w:hint="eastAsia" w:ascii="宋体" w:hAnsi="宋体" w:eastAsia="宋体" w:cs="宋体"/>
                <w:b w:val="0"/>
                <w:bCs w:val="0"/>
                <w:color w:val="auto"/>
                <w:sz w:val="24"/>
                <w:szCs w:val="24"/>
                <w:lang w:eastAsia="zh-CN"/>
              </w:rPr>
              <w:t>0</w:t>
            </w:r>
            <w:r>
              <w:rPr>
                <w:rFonts w:hint="eastAsia" w:ascii="宋体" w:hAnsi="宋体" w:eastAsia="宋体" w:cs="宋体"/>
                <w:b w:val="0"/>
                <w:bCs w:val="0"/>
                <w:color w:val="auto"/>
                <w:sz w:val="24"/>
                <w:szCs w:val="24"/>
              </w:rPr>
              <w:t>）μg/m3</w:t>
            </w:r>
            <w:r>
              <w:rPr>
                <w:rFonts w:hint="eastAsia" w:ascii="宋体" w:hAnsi="宋体" w:eastAsia="宋体" w:cs="宋体"/>
                <w:b w:val="0"/>
                <w:bCs w:val="0"/>
                <w:color w:val="auto"/>
                <w:sz w:val="24"/>
                <w:szCs w:val="24"/>
              </w:rPr>
              <w:tab/>
            </w:r>
          </w:p>
          <w:p w14:paraId="022800B2">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测量误差</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±15%</w:t>
            </w:r>
          </w:p>
          <w:p w14:paraId="1FCC836B">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both"/>
              <w:textAlignment w:val="auto"/>
              <w:rPr>
                <w:rFonts w:hint="eastAsia" w:ascii="宋体" w:hAnsi="宋体" w:eastAsia="宋体" w:cs="宋体"/>
                <w:b w:val="0"/>
                <w:bCs w:val="0"/>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rPr>
              <w:t>采样流量</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≥2L/min，精度±2.5%</w:t>
            </w:r>
            <w:r>
              <w:rPr>
                <w:rFonts w:hint="eastAsia" w:ascii="宋体" w:hAnsi="宋体" w:eastAsia="宋体" w:cs="宋体"/>
                <w:b w:val="0"/>
                <w:bCs w:val="0"/>
                <w:color w:val="auto"/>
                <w:sz w:val="24"/>
                <w:szCs w:val="24"/>
              </w:rPr>
              <w:tab/>
            </w:r>
          </w:p>
          <w:p w14:paraId="70EE858E">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分辨率</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0.1μg/m3</w:t>
            </w:r>
            <w:r>
              <w:rPr>
                <w:rFonts w:hint="eastAsia" w:ascii="宋体" w:hAnsi="宋体" w:eastAsia="宋体" w:cs="宋体"/>
                <w:b w:val="0"/>
                <w:bCs w:val="0"/>
                <w:color w:val="auto"/>
                <w:sz w:val="24"/>
                <w:szCs w:val="24"/>
              </w:rPr>
              <w:tab/>
            </w:r>
          </w:p>
          <w:p w14:paraId="076A6FF9">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进气口加热</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进气管动态加热自动温湿度补偿</w:t>
            </w:r>
          </w:p>
          <w:p w14:paraId="704F264C">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数据存储能力</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长达五年</w:t>
            </w:r>
            <w:r>
              <w:rPr>
                <w:rFonts w:hint="eastAsia" w:ascii="宋体" w:hAnsi="宋体" w:eastAsia="宋体" w:cs="宋体"/>
                <w:b w:val="0"/>
                <w:bCs w:val="0"/>
                <w:color w:val="auto"/>
                <w:sz w:val="24"/>
                <w:szCs w:val="24"/>
              </w:rPr>
              <w:tab/>
            </w:r>
          </w:p>
          <w:p w14:paraId="24A32E6A">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USB 接口</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支持 U 盘数据导出</w:t>
            </w:r>
          </w:p>
          <w:p w14:paraId="5C0C09D7">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测量方法</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光散＋DHS 动态加热</w:t>
            </w:r>
            <w:r>
              <w:rPr>
                <w:rFonts w:hint="eastAsia" w:ascii="宋体" w:hAnsi="宋体" w:eastAsia="宋体" w:cs="宋体"/>
                <w:b w:val="0"/>
                <w:bCs w:val="0"/>
                <w:color w:val="auto"/>
                <w:sz w:val="24"/>
                <w:szCs w:val="24"/>
              </w:rPr>
              <w:tab/>
            </w:r>
          </w:p>
          <w:p w14:paraId="0102248A">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故障报警</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实时显示故障报警</w:t>
            </w:r>
          </w:p>
          <w:p w14:paraId="44D5F4D2">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远程数据查询</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具备 DTU 模块，可远程查询仪器工作状态和实时测量数据</w:t>
            </w:r>
          </w:p>
          <w:p w14:paraId="0DFB9E98">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both"/>
              <w:textAlignment w:val="auto"/>
              <w:rPr>
                <w:rFonts w:hint="eastAsia" w:ascii="宋体" w:hAnsi="宋体" w:eastAsia="宋体" w:cs="宋体"/>
                <w:b w:val="0"/>
                <w:bCs w:val="0"/>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rPr>
              <w:t>平行性</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≤5</w:t>
            </w:r>
            <w:r>
              <w:rPr>
                <w:rFonts w:hint="eastAsia" w:ascii="宋体" w:hAnsi="宋体" w:eastAsia="宋体" w:cs="宋体"/>
                <w:b w:val="0"/>
                <w:bCs w:val="0"/>
                <w:color w:val="auto"/>
                <w:sz w:val="24"/>
                <w:szCs w:val="24"/>
              </w:rPr>
              <w:t>%</w:t>
            </w:r>
          </w:p>
          <w:p w14:paraId="50DF6A75">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rightChars="0"/>
              <w:jc w:val="both"/>
              <w:textAlignment w:val="auto"/>
              <w:rPr>
                <w:rFonts w:hint="eastAsia" w:ascii="宋体" w:hAnsi="宋体" w:eastAsia="宋体" w:cs="宋体"/>
                <w:b w:val="0"/>
                <w:bCs w:val="0"/>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rPr>
              <w:t>室外比对测量相关系数</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≥0.98</w:t>
            </w:r>
          </w:p>
        </w:tc>
      </w:tr>
      <w:tr w14:paraId="70C0F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853" w:type="pct"/>
            <w:vAlign w:val="top"/>
          </w:tcPr>
          <w:p w14:paraId="6A91C647">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center"/>
              <w:textAlignment w:val="auto"/>
              <w:rPr>
                <w:rFonts w:hint="eastAsia" w:ascii="宋体" w:hAnsi="宋体" w:eastAsia="宋体" w:cs="宋体"/>
                <w:b w:val="0"/>
                <w:bCs w:val="0"/>
                <w:color w:val="auto"/>
                <w:sz w:val="24"/>
                <w:szCs w:val="24"/>
              </w:rPr>
            </w:pPr>
          </w:p>
          <w:p w14:paraId="0244B693">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rightChars="0"/>
              <w:jc w:val="center"/>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NO2</w:t>
            </w:r>
          </w:p>
        </w:tc>
        <w:tc>
          <w:tcPr>
            <w:tcW w:w="4146" w:type="pct"/>
            <w:vAlign w:val="top"/>
          </w:tcPr>
          <w:p w14:paraId="283F632C">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测量范围：0～</w:t>
            </w:r>
            <w:r>
              <w:rPr>
                <w:rFonts w:hint="eastAsia" w:ascii="宋体" w:hAnsi="宋体" w:eastAsia="宋体" w:cs="宋体"/>
                <w:b w:val="0"/>
                <w:bCs w:val="0"/>
                <w:color w:val="auto"/>
                <w:sz w:val="24"/>
                <w:szCs w:val="24"/>
                <w:lang w:val="en-US" w:eastAsia="zh-CN"/>
              </w:rPr>
              <w:t>5</w:t>
            </w:r>
            <w:r>
              <w:rPr>
                <w:rFonts w:hint="eastAsia" w:ascii="宋体" w:hAnsi="宋体" w:eastAsia="宋体" w:cs="宋体"/>
                <w:b w:val="0"/>
                <w:bCs w:val="0"/>
                <w:color w:val="auto"/>
                <w:sz w:val="24"/>
                <w:szCs w:val="24"/>
              </w:rPr>
              <w:t xml:space="preserve">00ppb；  </w:t>
            </w:r>
          </w:p>
          <w:p w14:paraId="6F61703A">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分辨率：≤1ppb； </w:t>
            </w:r>
          </w:p>
          <w:p w14:paraId="30C90471">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rPr>
              <w:t>示值误差：≤±</w:t>
            </w:r>
            <w:r>
              <w:rPr>
                <w:rFonts w:hint="eastAsia" w:ascii="宋体" w:hAnsi="宋体" w:eastAsia="宋体" w:cs="宋体"/>
                <w:b w:val="0"/>
                <w:bCs w:val="0"/>
                <w:color w:val="auto"/>
                <w:sz w:val="24"/>
                <w:szCs w:val="24"/>
                <w:lang w:val="en-US" w:eastAsia="zh-CN"/>
              </w:rPr>
              <w:t>1.5</w:t>
            </w:r>
            <w:r>
              <w:rPr>
                <w:rFonts w:hint="eastAsia" w:ascii="宋体" w:hAnsi="宋体" w:eastAsia="宋体" w:cs="宋体"/>
                <w:b w:val="0"/>
                <w:bCs w:val="0"/>
                <w:color w:val="auto"/>
                <w:sz w:val="24"/>
                <w:szCs w:val="24"/>
              </w:rPr>
              <w:t xml:space="preserve">%FS； </w:t>
            </w:r>
          </w:p>
          <w:p w14:paraId="14535231">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rPr>
              <w:t>重复性：≤</w:t>
            </w:r>
            <w:r>
              <w:rPr>
                <w:rFonts w:hint="eastAsia" w:ascii="宋体" w:hAnsi="宋体" w:eastAsia="宋体" w:cs="宋体"/>
                <w:b w:val="0"/>
                <w:bCs w:val="0"/>
                <w:color w:val="auto"/>
                <w:sz w:val="24"/>
                <w:szCs w:val="24"/>
                <w:lang w:val="en-US" w:eastAsia="zh-CN"/>
              </w:rPr>
              <w:t>1.0</w:t>
            </w:r>
            <w:r>
              <w:rPr>
                <w:rFonts w:hint="eastAsia" w:ascii="宋体" w:hAnsi="宋体" w:eastAsia="宋体" w:cs="宋体"/>
                <w:b w:val="0"/>
                <w:bCs w:val="0"/>
                <w:color w:val="auto"/>
                <w:sz w:val="24"/>
                <w:szCs w:val="24"/>
              </w:rPr>
              <w:t>%；</w:t>
            </w:r>
          </w:p>
          <w:p w14:paraId="42AB74C4">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响应时间T90：</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60s</w:t>
            </w:r>
          </w:p>
          <w:p w14:paraId="00886BEF">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零点漂移：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1%FS/6h；</w:t>
            </w:r>
          </w:p>
          <w:p w14:paraId="52E8EFF2">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量程漂移：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2%FS/6h</w:t>
            </w:r>
            <w:r>
              <w:rPr>
                <w:rFonts w:hint="eastAsia" w:ascii="宋体" w:hAnsi="宋体" w:eastAsia="宋体" w:cs="宋体"/>
                <w:b w:val="0"/>
                <w:bCs w:val="0"/>
                <w:color w:val="auto"/>
                <w:sz w:val="24"/>
                <w:szCs w:val="24"/>
                <w:lang w:eastAsia="zh-CN"/>
              </w:rPr>
              <w:t>；</w:t>
            </w:r>
          </w:p>
          <w:p w14:paraId="08FAB6C8">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24h零点漂移：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1%FS；</w:t>
            </w:r>
          </w:p>
          <w:p w14:paraId="36549C93">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24h量程漂移：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4%FS；</w:t>
            </w:r>
          </w:p>
          <w:p w14:paraId="35450D3E">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低温（-10℃）示值误差：</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9%FS；</w:t>
            </w:r>
          </w:p>
          <w:p w14:paraId="4D0A93D9">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高温（55℃）示值误差：</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9%FS；</w:t>
            </w:r>
          </w:p>
          <w:p w14:paraId="054959CD">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right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恒定湿热（40℃、93%RH）示值误差：</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8%FS。</w:t>
            </w:r>
            <w:r>
              <w:rPr>
                <w:rFonts w:hint="eastAsia" w:ascii="宋体" w:hAnsi="宋体" w:eastAsia="宋体" w:cs="宋体"/>
                <w:b w:val="0"/>
                <w:bCs w:val="0"/>
                <w:color w:val="auto"/>
                <w:sz w:val="24"/>
                <w:szCs w:val="24"/>
              </w:rPr>
              <w:t xml:space="preserve"> </w:t>
            </w:r>
          </w:p>
        </w:tc>
      </w:tr>
      <w:tr w14:paraId="0466D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53" w:type="pct"/>
            <w:vAlign w:val="top"/>
          </w:tcPr>
          <w:p w14:paraId="468148D4">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p>
          <w:p w14:paraId="2DA869C2">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rightChars="0"/>
              <w:jc w:val="center"/>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O3 </w:t>
            </w:r>
          </w:p>
        </w:tc>
        <w:tc>
          <w:tcPr>
            <w:tcW w:w="4146" w:type="pct"/>
            <w:vAlign w:val="top"/>
          </w:tcPr>
          <w:p w14:paraId="6AF12286">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测量范围：0～</w:t>
            </w:r>
            <w:r>
              <w:rPr>
                <w:rFonts w:hint="eastAsia" w:ascii="宋体" w:hAnsi="宋体" w:eastAsia="宋体" w:cs="宋体"/>
                <w:b w:val="0"/>
                <w:bCs w:val="0"/>
                <w:color w:val="auto"/>
                <w:sz w:val="24"/>
                <w:szCs w:val="24"/>
                <w:lang w:val="en-US" w:eastAsia="zh-CN"/>
              </w:rPr>
              <w:t>5</w:t>
            </w:r>
            <w:r>
              <w:rPr>
                <w:rFonts w:hint="eastAsia" w:ascii="宋体" w:hAnsi="宋体" w:eastAsia="宋体" w:cs="宋体"/>
                <w:b w:val="0"/>
                <w:bCs w:val="0"/>
                <w:color w:val="auto"/>
                <w:sz w:val="24"/>
                <w:szCs w:val="24"/>
              </w:rPr>
              <w:t xml:space="preserve">00ppb；  </w:t>
            </w:r>
          </w:p>
          <w:p w14:paraId="15F66F77">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分辨率：≤1ppb； </w:t>
            </w:r>
          </w:p>
          <w:p w14:paraId="12040328">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rPr>
              <w:t>示值误差：≤±</w:t>
            </w:r>
            <w:r>
              <w:rPr>
                <w:rFonts w:hint="eastAsia" w:ascii="宋体" w:hAnsi="宋体" w:eastAsia="宋体" w:cs="宋体"/>
                <w:b w:val="0"/>
                <w:bCs w:val="0"/>
                <w:color w:val="auto"/>
                <w:sz w:val="24"/>
                <w:szCs w:val="24"/>
                <w:lang w:val="en-US" w:eastAsia="zh-CN"/>
              </w:rPr>
              <w:t>1.5</w:t>
            </w:r>
            <w:r>
              <w:rPr>
                <w:rFonts w:hint="eastAsia" w:ascii="宋体" w:hAnsi="宋体" w:eastAsia="宋体" w:cs="宋体"/>
                <w:b w:val="0"/>
                <w:bCs w:val="0"/>
                <w:color w:val="auto"/>
                <w:sz w:val="24"/>
                <w:szCs w:val="24"/>
              </w:rPr>
              <w:t xml:space="preserve">%FS； </w:t>
            </w:r>
          </w:p>
          <w:p w14:paraId="4828AF55">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rPr>
              <w:t>重复性：≤1%；</w:t>
            </w:r>
          </w:p>
          <w:p w14:paraId="26C8F4F7">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响应时间T90：</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50s</w:t>
            </w:r>
          </w:p>
          <w:p w14:paraId="18899868">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零点漂移：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1%FS/6h；</w:t>
            </w:r>
          </w:p>
          <w:p w14:paraId="3E0CED3D">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量程漂移：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2%FS/6h</w:t>
            </w:r>
            <w:r>
              <w:rPr>
                <w:rFonts w:hint="eastAsia" w:ascii="宋体" w:hAnsi="宋体" w:eastAsia="宋体" w:cs="宋体"/>
                <w:b w:val="0"/>
                <w:bCs w:val="0"/>
                <w:color w:val="auto"/>
                <w:sz w:val="24"/>
                <w:szCs w:val="24"/>
                <w:lang w:eastAsia="zh-CN"/>
              </w:rPr>
              <w:t>；</w:t>
            </w:r>
          </w:p>
          <w:p w14:paraId="329F5634">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24h零点漂移：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1%FS；</w:t>
            </w:r>
          </w:p>
          <w:p w14:paraId="031CB96D">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24h量程漂移：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2.5%FS；</w:t>
            </w:r>
          </w:p>
          <w:p w14:paraId="0FC493FC">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低温（-10℃）示值误差：</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1.5%FS；</w:t>
            </w:r>
          </w:p>
          <w:p w14:paraId="393DBB89">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高温（55℃）示值误差：</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8%FS；</w:t>
            </w:r>
          </w:p>
          <w:p w14:paraId="41D05144">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right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恒定湿热（40℃、93%RH）示值误差：</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8%FS。</w:t>
            </w:r>
          </w:p>
        </w:tc>
      </w:tr>
      <w:tr w14:paraId="777AE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1" w:hRule="atLeast"/>
        </w:trPr>
        <w:tc>
          <w:tcPr>
            <w:tcW w:w="853" w:type="pct"/>
            <w:vAlign w:val="top"/>
          </w:tcPr>
          <w:p w14:paraId="1F89BFF3">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center"/>
              <w:textAlignment w:val="auto"/>
              <w:rPr>
                <w:rFonts w:hint="eastAsia" w:ascii="宋体" w:hAnsi="宋体" w:eastAsia="宋体" w:cs="宋体"/>
                <w:b w:val="0"/>
                <w:bCs w:val="0"/>
                <w:color w:val="auto"/>
                <w:sz w:val="24"/>
                <w:szCs w:val="24"/>
                <w:lang w:val="en-US" w:eastAsia="zh-CN"/>
              </w:rPr>
            </w:pPr>
          </w:p>
          <w:p w14:paraId="457D58C6">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center"/>
              <w:textAlignment w:val="auto"/>
              <w:rPr>
                <w:rFonts w:hint="eastAsia" w:ascii="宋体" w:hAnsi="宋体" w:eastAsia="宋体" w:cs="宋体"/>
                <w:b w:val="0"/>
                <w:bCs w:val="0"/>
                <w:color w:val="auto"/>
                <w:sz w:val="24"/>
                <w:szCs w:val="24"/>
                <w:lang w:val="en-US" w:eastAsia="zh-CN"/>
              </w:rPr>
            </w:pPr>
          </w:p>
          <w:p w14:paraId="296EB2A3">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rightChars="0"/>
              <w:jc w:val="center"/>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SO2</w:t>
            </w:r>
          </w:p>
        </w:tc>
        <w:tc>
          <w:tcPr>
            <w:tcW w:w="4146" w:type="pct"/>
            <w:vAlign w:val="top"/>
          </w:tcPr>
          <w:p w14:paraId="493A6AA6">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测量范围：0～</w:t>
            </w:r>
            <w:r>
              <w:rPr>
                <w:rFonts w:hint="eastAsia" w:ascii="宋体" w:hAnsi="宋体" w:eastAsia="宋体" w:cs="宋体"/>
                <w:b w:val="0"/>
                <w:bCs w:val="0"/>
                <w:color w:val="auto"/>
                <w:sz w:val="24"/>
                <w:szCs w:val="24"/>
                <w:lang w:val="en-US" w:eastAsia="zh-CN"/>
              </w:rPr>
              <w:t>5</w:t>
            </w:r>
            <w:r>
              <w:rPr>
                <w:rFonts w:hint="eastAsia" w:ascii="宋体" w:hAnsi="宋体" w:eastAsia="宋体" w:cs="宋体"/>
                <w:b w:val="0"/>
                <w:bCs w:val="0"/>
                <w:color w:val="auto"/>
                <w:sz w:val="24"/>
                <w:szCs w:val="24"/>
              </w:rPr>
              <w:t xml:space="preserve">00ppb；  </w:t>
            </w:r>
          </w:p>
          <w:p w14:paraId="470076F1">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分辨率：≤1ppb； </w:t>
            </w:r>
          </w:p>
          <w:p w14:paraId="339BB4F9">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rPr>
              <w:t>示值误差：≤±</w:t>
            </w:r>
            <w:r>
              <w:rPr>
                <w:rFonts w:hint="eastAsia" w:ascii="宋体" w:hAnsi="宋体" w:eastAsia="宋体" w:cs="宋体"/>
                <w:b w:val="0"/>
                <w:bCs w:val="0"/>
                <w:color w:val="auto"/>
                <w:sz w:val="24"/>
                <w:szCs w:val="24"/>
                <w:lang w:val="en-US" w:eastAsia="zh-CN"/>
              </w:rPr>
              <w:t>2.5</w:t>
            </w:r>
            <w:r>
              <w:rPr>
                <w:rFonts w:hint="eastAsia" w:ascii="宋体" w:hAnsi="宋体" w:eastAsia="宋体" w:cs="宋体"/>
                <w:b w:val="0"/>
                <w:bCs w:val="0"/>
                <w:color w:val="auto"/>
                <w:sz w:val="24"/>
                <w:szCs w:val="24"/>
              </w:rPr>
              <w:t xml:space="preserve">%FS； </w:t>
            </w:r>
          </w:p>
          <w:p w14:paraId="28B1F64F">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rPr>
              <w:t>重复性：≤1%；</w:t>
            </w:r>
          </w:p>
          <w:p w14:paraId="4879578E">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响应时间T90：</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50s</w:t>
            </w:r>
          </w:p>
          <w:p w14:paraId="654EC5CA">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零点漂移：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1.5%FS/6h；</w:t>
            </w:r>
          </w:p>
          <w:p w14:paraId="52ACA3C5">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量程漂移：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5%FS/6h</w:t>
            </w:r>
            <w:r>
              <w:rPr>
                <w:rFonts w:hint="eastAsia" w:ascii="宋体" w:hAnsi="宋体" w:eastAsia="宋体" w:cs="宋体"/>
                <w:b w:val="0"/>
                <w:bCs w:val="0"/>
                <w:color w:val="auto"/>
                <w:sz w:val="24"/>
                <w:szCs w:val="24"/>
                <w:lang w:eastAsia="zh-CN"/>
              </w:rPr>
              <w:t>；</w:t>
            </w:r>
          </w:p>
          <w:p w14:paraId="1C3FBF95">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24h零点漂移：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1.5%FS；</w:t>
            </w:r>
          </w:p>
          <w:p w14:paraId="5F92532B">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24h量程漂移：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10%FS；</w:t>
            </w:r>
          </w:p>
          <w:p w14:paraId="66584897">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低温（-10℃）示值误差：</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4%FS；</w:t>
            </w:r>
          </w:p>
          <w:p w14:paraId="0B8EA5D9">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高温（55℃）示值误差：</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11%FS；</w:t>
            </w:r>
          </w:p>
          <w:p w14:paraId="6E8E9AB0">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right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恒定湿热（40℃、93%RH）示值误差：</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6%FS。</w:t>
            </w:r>
          </w:p>
        </w:tc>
      </w:tr>
      <w:tr w14:paraId="2A237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53" w:type="pct"/>
            <w:vAlign w:val="top"/>
          </w:tcPr>
          <w:p w14:paraId="17DB11BE">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center"/>
              <w:textAlignment w:val="auto"/>
              <w:rPr>
                <w:rFonts w:hint="eastAsia" w:ascii="宋体" w:hAnsi="宋体" w:eastAsia="宋体" w:cs="宋体"/>
                <w:b w:val="0"/>
                <w:bCs w:val="0"/>
                <w:color w:val="auto"/>
                <w:sz w:val="24"/>
                <w:szCs w:val="24"/>
                <w:lang w:val="en-US" w:eastAsia="zh-CN"/>
              </w:rPr>
            </w:pPr>
          </w:p>
          <w:p w14:paraId="17C56106">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center"/>
              <w:textAlignment w:val="auto"/>
              <w:rPr>
                <w:rFonts w:hint="eastAsia" w:ascii="宋体" w:hAnsi="宋体" w:eastAsia="宋体" w:cs="宋体"/>
                <w:b w:val="0"/>
                <w:bCs w:val="0"/>
                <w:color w:val="auto"/>
                <w:sz w:val="24"/>
                <w:szCs w:val="24"/>
                <w:lang w:val="en-US" w:eastAsia="zh-CN"/>
              </w:rPr>
            </w:pPr>
          </w:p>
          <w:p w14:paraId="2FABE19A">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rightChars="0"/>
              <w:jc w:val="center"/>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CO</w:t>
            </w:r>
          </w:p>
        </w:tc>
        <w:tc>
          <w:tcPr>
            <w:tcW w:w="4146" w:type="pct"/>
            <w:vAlign w:val="top"/>
          </w:tcPr>
          <w:p w14:paraId="2455E5A0">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测量范围：0～</w:t>
            </w:r>
            <w:r>
              <w:rPr>
                <w:rFonts w:hint="eastAsia" w:ascii="宋体" w:hAnsi="宋体" w:eastAsia="宋体" w:cs="宋体"/>
                <w:b w:val="0"/>
                <w:bCs w:val="0"/>
                <w:color w:val="auto"/>
                <w:sz w:val="24"/>
                <w:szCs w:val="24"/>
                <w:lang w:val="en-US" w:eastAsia="zh-CN"/>
              </w:rPr>
              <w:t>20000</w:t>
            </w:r>
            <w:r>
              <w:rPr>
                <w:rFonts w:hint="eastAsia" w:ascii="宋体" w:hAnsi="宋体" w:eastAsia="宋体" w:cs="宋体"/>
                <w:b w:val="0"/>
                <w:bCs w:val="0"/>
                <w:color w:val="auto"/>
                <w:sz w:val="24"/>
                <w:szCs w:val="24"/>
              </w:rPr>
              <w:t xml:space="preserve">ppb；  </w:t>
            </w:r>
          </w:p>
          <w:p w14:paraId="64953DE4">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分辨率：≤1ppb； </w:t>
            </w:r>
          </w:p>
          <w:p w14:paraId="08723290">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rPr>
              <w:t>示值误差：≤±</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 xml:space="preserve">%FS； </w:t>
            </w:r>
          </w:p>
          <w:p w14:paraId="6EED5FFB">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rPr>
              <w:t>重复性：≤1%；</w:t>
            </w:r>
          </w:p>
          <w:p w14:paraId="0F542ACB">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响应时间T90：</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50s</w:t>
            </w:r>
          </w:p>
          <w:p w14:paraId="5CCDCD31">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零点漂移：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1%FS/6h；</w:t>
            </w:r>
          </w:p>
          <w:p w14:paraId="459AF9A7">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量程漂移：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2%FS/6h</w:t>
            </w:r>
            <w:r>
              <w:rPr>
                <w:rFonts w:hint="eastAsia" w:ascii="宋体" w:hAnsi="宋体" w:eastAsia="宋体" w:cs="宋体"/>
                <w:b w:val="0"/>
                <w:bCs w:val="0"/>
                <w:color w:val="auto"/>
                <w:sz w:val="24"/>
                <w:szCs w:val="24"/>
                <w:lang w:eastAsia="zh-CN"/>
              </w:rPr>
              <w:t>；</w:t>
            </w:r>
          </w:p>
          <w:p w14:paraId="620EC5C0">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24h零点漂移：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1%FS；</w:t>
            </w:r>
          </w:p>
          <w:p w14:paraId="294B937F">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24h量程漂移：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4%FS；</w:t>
            </w:r>
          </w:p>
          <w:p w14:paraId="349CB3D2">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低温（-10℃）示值误差：</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2%FS；</w:t>
            </w:r>
          </w:p>
          <w:p w14:paraId="2EAD6175">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高温（55℃）示值误差：</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6%FS；</w:t>
            </w:r>
          </w:p>
          <w:p w14:paraId="083373BD">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right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恒定湿热（40℃、93%RH）示值误差：</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4%FS。</w:t>
            </w:r>
          </w:p>
        </w:tc>
      </w:tr>
      <w:tr w14:paraId="4B606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53" w:type="pct"/>
            <w:vAlign w:val="top"/>
          </w:tcPr>
          <w:p w14:paraId="7C99B107">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center"/>
              <w:textAlignment w:val="auto"/>
              <w:rPr>
                <w:rFonts w:hint="eastAsia" w:ascii="宋体" w:hAnsi="宋体" w:eastAsia="宋体" w:cs="宋体"/>
                <w:b w:val="0"/>
                <w:bCs w:val="0"/>
                <w:color w:val="auto"/>
                <w:sz w:val="24"/>
                <w:szCs w:val="24"/>
                <w:lang w:val="en-US" w:eastAsia="zh-CN"/>
              </w:rPr>
            </w:pPr>
          </w:p>
          <w:p w14:paraId="5151ECBA">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jc w:val="center"/>
              <w:textAlignment w:val="auto"/>
              <w:rPr>
                <w:rFonts w:hint="eastAsia" w:ascii="宋体" w:hAnsi="宋体" w:eastAsia="宋体" w:cs="宋体"/>
                <w:b w:val="0"/>
                <w:bCs w:val="0"/>
                <w:color w:val="auto"/>
                <w:sz w:val="24"/>
                <w:szCs w:val="24"/>
                <w:lang w:val="en-US" w:eastAsia="zh-CN"/>
              </w:rPr>
            </w:pPr>
          </w:p>
          <w:p w14:paraId="096869E9">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rightChars="0"/>
              <w:jc w:val="center"/>
              <w:textAlignment w:val="auto"/>
              <w:rPr>
                <w:rFonts w:hint="eastAsia" w:ascii="宋体" w:hAnsi="宋体" w:eastAsia="宋体" w:cs="宋体"/>
                <w:b w:val="0"/>
                <w:bCs w:val="0"/>
                <w:color w:val="auto"/>
                <w:kern w:val="2"/>
                <w:sz w:val="24"/>
                <w:szCs w:val="24"/>
                <w:lang w:val="en-US" w:eastAsia="zh-CN" w:bidi="zh-CN"/>
              </w:rPr>
            </w:pPr>
            <w:r>
              <w:rPr>
                <w:rFonts w:hint="eastAsia" w:ascii="宋体" w:hAnsi="宋体" w:eastAsia="宋体" w:cs="宋体"/>
                <w:b w:val="0"/>
                <w:bCs w:val="0"/>
                <w:color w:val="auto"/>
                <w:sz w:val="24"/>
                <w:szCs w:val="24"/>
                <w:lang w:val="en-US" w:eastAsia="zh-CN"/>
              </w:rPr>
              <w:t>TVOC</w:t>
            </w:r>
          </w:p>
        </w:tc>
        <w:tc>
          <w:tcPr>
            <w:tcW w:w="4146" w:type="pct"/>
            <w:vAlign w:val="top"/>
          </w:tcPr>
          <w:p w14:paraId="623F3CB0">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测量范围：0～</w:t>
            </w:r>
            <w:r>
              <w:rPr>
                <w:rFonts w:hint="eastAsia" w:ascii="宋体" w:hAnsi="宋体" w:eastAsia="宋体" w:cs="宋体"/>
                <w:b w:val="0"/>
                <w:bCs w:val="0"/>
                <w:color w:val="auto"/>
                <w:sz w:val="24"/>
                <w:szCs w:val="24"/>
                <w:lang w:val="en-US" w:eastAsia="zh-CN"/>
              </w:rPr>
              <w:t>5000</w:t>
            </w:r>
            <w:r>
              <w:rPr>
                <w:rFonts w:hint="eastAsia" w:ascii="宋体" w:hAnsi="宋体" w:eastAsia="宋体" w:cs="宋体"/>
                <w:b w:val="0"/>
                <w:bCs w:val="0"/>
                <w:color w:val="auto"/>
                <w:sz w:val="24"/>
                <w:szCs w:val="24"/>
              </w:rPr>
              <w:t xml:space="preserve">ppb；  </w:t>
            </w:r>
          </w:p>
          <w:p w14:paraId="029CFDF6">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分辨率：≤1ppb； </w:t>
            </w:r>
          </w:p>
          <w:p w14:paraId="35799EC2">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rPr>
              <w:t>示值误差：≤±</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 xml:space="preserve">%FS； </w:t>
            </w:r>
          </w:p>
          <w:p w14:paraId="0A08A6DD">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rPr>
              <w:t>重复性：≤1</w:t>
            </w:r>
            <w:r>
              <w:rPr>
                <w:rFonts w:hint="eastAsia" w:ascii="宋体" w:hAnsi="宋体" w:eastAsia="宋体" w:cs="宋体"/>
                <w:b w:val="0"/>
                <w:bCs w:val="0"/>
                <w:color w:val="auto"/>
                <w:sz w:val="24"/>
                <w:szCs w:val="24"/>
                <w:lang w:val="en-US" w:eastAsia="zh-CN"/>
              </w:rPr>
              <w:t>.5</w:t>
            </w:r>
            <w:r>
              <w:rPr>
                <w:rFonts w:hint="eastAsia" w:ascii="宋体" w:hAnsi="宋体" w:eastAsia="宋体" w:cs="宋体"/>
                <w:b w:val="0"/>
                <w:bCs w:val="0"/>
                <w:color w:val="auto"/>
                <w:sz w:val="24"/>
                <w:szCs w:val="24"/>
              </w:rPr>
              <w:t>%；</w:t>
            </w:r>
          </w:p>
          <w:p w14:paraId="45F5FFB9">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响应时间T90：</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120s</w:t>
            </w:r>
          </w:p>
          <w:p w14:paraId="4501BAF5">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零点漂移：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2%FS/6h；</w:t>
            </w:r>
          </w:p>
          <w:p w14:paraId="77CDA4EE">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量程漂移：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2%FS/6h</w:t>
            </w:r>
            <w:r>
              <w:rPr>
                <w:rFonts w:hint="eastAsia" w:ascii="宋体" w:hAnsi="宋体" w:eastAsia="宋体" w:cs="宋体"/>
                <w:b w:val="0"/>
                <w:bCs w:val="0"/>
                <w:color w:val="auto"/>
                <w:sz w:val="24"/>
                <w:szCs w:val="24"/>
                <w:lang w:eastAsia="zh-CN"/>
              </w:rPr>
              <w:t>；</w:t>
            </w:r>
          </w:p>
          <w:p w14:paraId="69F9C28D">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24h零点漂移：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2%FS；</w:t>
            </w:r>
          </w:p>
          <w:p w14:paraId="74F614C8">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b w:val="0"/>
                <w:bCs w:val="0"/>
                <w:color w:val="auto"/>
                <w:sz w:val="24"/>
                <w:szCs w:val="24"/>
                <w:lang w:val="en-US" w:eastAsia="zh-CN"/>
              </w:rPr>
              <w:t>24h量程漂移：</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8%FS；</w:t>
            </w:r>
          </w:p>
          <w:p w14:paraId="69E39525">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低温（-10℃）示值误差：</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3%FS；</w:t>
            </w:r>
          </w:p>
          <w:p w14:paraId="6AC37077">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高温（55℃）示值误差：</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10%FS；</w:t>
            </w:r>
          </w:p>
          <w:p w14:paraId="519FB54B">
            <w:pPr>
              <w:pStyle w:val="291"/>
              <w:keepNext w:val="0"/>
              <w:keepLines w:val="0"/>
              <w:pageBreakBefore w:val="0"/>
              <w:widowControl w:val="0"/>
              <w:kinsoku/>
              <w:wordWrap/>
              <w:overflowPunct/>
              <w:topLinePunct w:val="0"/>
              <w:autoSpaceDE/>
              <w:autoSpaceDN/>
              <w:bidi w:val="0"/>
              <w:adjustRightInd/>
              <w:snapToGrid/>
              <w:spacing w:line="360" w:lineRule="auto"/>
              <w:ind w:left="105" w:leftChars="50" w:right="0" w:rightChars="0"/>
              <w:textAlignment w:val="auto"/>
              <w:rPr>
                <w:rFonts w:hint="eastAsia" w:ascii="宋体" w:hAnsi="宋体" w:eastAsia="宋体" w:cs="宋体"/>
                <w:b w:val="0"/>
                <w:bCs w:val="0"/>
                <w:color w:val="auto"/>
                <w:kern w:val="2"/>
                <w:sz w:val="24"/>
                <w:szCs w:val="24"/>
                <w:lang w:val="en-US" w:eastAsia="zh-CN" w:bidi="zh-CN"/>
              </w:rPr>
            </w:pPr>
            <w:r>
              <w:rPr>
                <w:rFonts w:hint="eastAsia" w:ascii="宋体" w:hAnsi="宋体" w:eastAsia="宋体" w:cs="宋体"/>
                <w:b w:val="0"/>
                <w:bCs w:val="0"/>
                <w:color w:val="auto"/>
                <w:sz w:val="24"/>
                <w:szCs w:val="24"/>
                <w:lang w:val="en-US" w:eastAsia="zh-CN"/>
              </w:rPr>
              <w:t>恒定湿热（40℃、93%RH）示值误差：</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6%FS。</w:t>
            </w:r>
          </w:p>
        </w:tc>
      </w:tr>
    </w:tbl>
    <w:p w14:paraId="286ADBE9">
      <w:pPr>
        <w:keepNext w:val="0"/>
        <w:keepLines w:val="0"/>
        <w:pageBreakBefore w:val="0"/>
        <w:kinsoku/>
        <w:overflowPunct/>
        <w:topLinePunct w:val="0"/>
        <w:autoSpaceDE/>
        <w:autoSpaceDN/>
        <w:bidi w:val="0"/>
        <w:adjustRightInd/>
        <w:snapToGrid/>
        <w:spacing w:before="0" w:line="360" w:lineRule="auto"/>
        <w:ind w:right="3346"/>
        <w:jc w:val="both"/>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气象五参数</w:t>
      </w:r>
      <w:r>
        <w:rPr>
          <w:rFonts w:hint="eastAsia" w:ascii="宋体" w:hAnsi="宋体" w:eastAsia="宋体" w:cs="宋体"/>
          <w:b w:val="0"/>
          <w:bCs w:val="0"/>
          <w:color w:val="auto"/>
          <w:sz w:val="24"/>
          <w:szCs w:val="24"/>
          <w:lang w:eastAsia="zh-CN"/>
        </w:rPr>
        <w:t>：</w:t>
      </w:r>
    </w:p>
    <w:tbl>
      <w:tblPr>
        <w:tblStyle w:val="34"/>
        <w:tblW w:w="4998" w:type="pct"/>
        <w:tblCellSpacing w:w="0"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autofit"/>
        <w:tblCellMar>
          <w:top w:w="0" w:type="dxa"/>
          <w:left w:w="0" w:type="dxa"/>
          <w:bottom w:w="0" w:type="dxa"/>
          <w:right w:w="0" w:type="dxa"/>
        </w:tblCellMar>
      </w:tblPr>
      <w:tblGrid>
        <w:gridCol w:w="1648"/>
        <w:gridCol w:w="3754"/>
        <w:gridCol w:w="1544"/>
        <w:gridCol w:w="2936"/>
      </w:tblGrid>
      <w:tr w14:paraId="12ACF25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19" w:hRule="atLeast"/>
          <w:tblCellSpacing w:w="0" w:type="dxa"/>
        </w:trPr>
        <w:tc>
          <w:tcPr>
            <w:tcW w:w="834" w:type="pct"/>
            <w:vMerge w:val="restart"/>
            <w:tcBorders>
              <w:tl2br w:val="nil"/>
              <w:tr2bl w:val="nil"/>
            </w:tcBorders>
            <w:shd w:val="clear" w:color="auto" w:fill="auto"/>
            <w:tcMar>
              <w:left w:w="108" w:type="dxa"/>
              <w:right w:w="108" w:type="dxa"/>
            </w:tcMar>
            <w:vAlign w:val="center"/>
          </w:tcPr>
          <w:p w14:paraId="2BC0027E">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温度</w:t>
            </w:r>
          </w:p>
        </w:tc>
        <w:tc>
          <w:tcPr>
            <w:tcW w:w="1899" w:type="pct"/>
            <w:tcBorders>
              <w:tl2br w:val="nil"/>
              <w:tr2bl w:val="nil"/>
            </w:tcBorders>
            <w:shd w:val="clear" w:color="auto" w:fill="auto"/>
            <w:tcMar>
              <w:left w:w="108" w:type="dxa"/>
              <w:right w:w="108" w:type="dxa"/>
            </w:tcMar>
            <w:vAlign w:val="center"/>
          </w:tcPr>
          <w:p w14:paraId="213B859E">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量程：-50～100℃</w:t>
            </w:r>
          </w:p>
        </w:tc>
        <w:tc>
          <w:tcPr>
            <w:tcW w:w="781" w:type="pct"/>
            <w:vMerge w:val="restart"/>
            <w:tcBorders>
              <w:tl2br w:val="nil"/>
              <w:tr2bl w:val="nil"/>
            </w:tcBorders>
            <w:shd w:val="clear" w:color="auto" w:fill="auto"/>
            <w:tcMar>
              <w:left w:w="108" w:type="dxa"/>
              <w:right w:w="108" w:type="dxa"/>
            </w:tcMar>
            <w:vAlign w:val="center"/>
          </w:tcPr>
          <w:p w14:paraId="42FAC144">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湿度</w:t>
            </w:r>
          </w:p>
        </w:tc>
        <w:tc>
          <w:tcPr>
            <w:tcW w:w="1484" w:type="pct"/>
            <w:tcBorders>
              <w:tl2br w:val="nil"/>
              <w:tr2bl w:val="nil"/>
            </w:tcBorders>
            <w:shd w:val="clear" w:color="auto" w:fill="auto"/>
            <w:tcMar>
              <w:left w:w="108" w:type="dxa"/>
              <w:right w:w="108" w:type="dxa"/>
            </w:tcMar>
            <w:vAlign w:val="center"/>
          </w:tcPr>
          <w:p w14:paraId="23E3BC64">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量程：0～100%RH</w:t>
            </w:r>
          </w:p>
        </w:tc>
      </w:tr>
      <w:tr w14:paraId="369514B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19" w:hRule="atLeast"/>
          <w:tblCellSpacing w:w="0" w:type="dxa"/>
        </w:trPr>
        <w:tc>
          <w:tcPr>
            <w:tcW w:w="834" w:type="pct"/>
            <w:vMerge w:val="continue"/>
            <w:tcBorders>
              <w:tl2br w:val="nil"/>
              <w:tr2bl w:val="nil"/>
            </w:tcBorders>
            <w:shd w:val="clear" w:color="auto" w:fill="auto"/>
            <w:tcMar>
              <w:left w:w="108" w:type="dxa"/>
              <w:right w:w="108" w:type="dxa"/>
            </w:tcMar>
            <w:vAlign w:val="center"/>
          </w:tcPr>
          <w:p w14:paraId="185D0F5A">
            <w:pPr>
              <w:jc w:val="center"/>
              <w:rPr>
                <w:rFonts w:hint="eastAsia" w:ascii="宋体" w:hAnsi="宋体" w:eastAsia="宋体" w:cs="宋体"/>
                <w:b w:val="0"/>
                <w:bCs w:val="0"/>
                <w:color w:val="auto"/>
                <w:sz w:val="24"/>
                <w:szCs w:val="24"/>
              </w:rPr>
            </w:pPr>
          </w:p>
        </w:tc>
        <w:tc>
          <w:tcPr>
            <w:tcW w:w="1899" w:type="pct"/>
            <w:tcBorders>
              <w:tl2br w:val="nil"/>
              <w:tr2bl w:val="nil"/>
            </w:tcBorders>
            <w:shd w:val="clear" w:color="auto" w:fill="auto"/>
            <w:tcMar>
              <w:left w:w="108" w:type="dxa"/>
              <w:right w:w="108" w:type="dxa"/>
            </w:tcMar>
            <w:vAlign w:val="center"/>
          </w:tcPr>
          <w:p w14:paraId="15392CE6">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分辨率：0.1℃</w:t>
            </w:r>
          </w:p>
        </w:tc>
        <w:tc>
          <w:tcPr>
            <w:tcW w:w="781" w:type="pct"/>
            <w:vMerge w:val="continue"/>
            <w:tcBorders>
              <w:tl2br w:val="nil"/>
              <w:tr2bl w:val="nil"/>
            </w:tcBorders>
            <w:shd w:val="clear" w:color="auto" w:fill="auto"/>
            <w:tcMar>
              <w:left w:w="108" w:type="dxa"/>
              <w:right w:w="108" w:type="dxa"/>
            </w:tcMar>
            <w:vAlign w:val="center"/>
          </w:tcPr>
          <w:p w14:paraId="497B279B">
            <w:pPr>
              <w:jc w:val="center"/>
              <w:rPr>
                <w:rFonts w:hint="eastAsia" w:ascii="宋体" w:hAnsi="宋体" w:eastAsia="宋体" w:cs="宋体"/>
                <w:b w:val="0"/>
                <w:bCs w:val="0"/>
                <w:color w:val="auto"/>
                <w:sz w:val="24"/>
                <w:szCs w:val="24"/>
              </w:rPr>
            </w:pPr>
          </w:p>
        </w:tc>
        <w:tc>
          <w:tcPr>
            <w:tcW w:w="1484" w:type="pct"/>
            <w:tcBorders>
              <w:tl2br w:val="nil"/>
              <w:tr2bl w:val="nil"/>
            </w:tcBorders>
            <w:shd w:val="clear" w:color="auto" w:fill="auto"/>
            <w:tcMar>
              <w:left w:w="108" w:type="dxa"/>
              <w:right w:w="108" w:type="dxa"/>
            </w:tcMar>
            <w:vAlign w:val="center"/>
          </w:tcPr>
          <w:p w14:paraId="6F3CD8CD">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分辨率：0.1%RH</w:t>
            </w:r>
          </w:p>
        </w:tc>
      </w:tr>
      <w:tr w14:paraId="3677147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0" w:type="dxa"/>
            <w:bottom w:w="0" w:type="dxa"/>
            <w:right w:w="0" w:type="dxa"/>
          </w:tblCellMar>
        </w:tblPrEx>
        <w:trPr>
          <w:trHeight w:val="619" w:hRule="atLeast"/>
          <w:tblCellSpacing w:w="0" w:type="dxa"/>
        </w:trPr>
        <w:tc>
          <w:tcPr>
            <w:tcW w:w="834" w:type="pct"/>
            <w:vMerge w:val="continue"/>
            <w:tcBorders>
              <w:tl2br w:val="nil"/>
              <w:tr2bl w:val="nil"/>
            </w:tcBorders>
            <w:shd w:val="clear" w:color="auto" w:fill="auto"/>
            <w:tcMar>
              <w:left w:w="108" w:type="dxa"/>
              <w:right w:w="108" w:type="dxa"/>
            </w:tcMar>
            <w:vAlign w:val="center"/>
          </w:tcPr>
          <w:p w14:paraId="4344158C">
            <w:pPr>
              <w:jc w:val="center"/>
              <w:rPr>
                <w:rFonts w:hint="eastAsia" w:ascii="宋体" w:hAnsi="宋体" w:eastAsia="宋体" w:cs="宋体"/>
                <w:b w:val="0"/>
                <w:bCs w:val="0"/>
                <w:color w:val="auto"/>
                <w:sz w:val="24"/>
                <w:szCs w:val="24"/>
              </w:rPr>
            </w:pPr>
          </w:p>
        </w:tc>
        <w:tc>
          <w:tcPr>
            <w:tcW w:w="1899" w:type="pct"/>
            <w:tcBorders>
              <w:tl2br w:val="nil"/>
              <w:tr2bl w:val="nil"/>
            </w:tcBorders>
            <w:shd w:val="clear" w:color="auto" w:fill="auto"/>
            <w:tcMar>
              <w:left w:w="108" w:type="dxa"/>
              <w:right w:w="108" w:type="dxa"/>
            </w:tcMar>
            <w:vAlign w:val="center"/>
          </w:tcPr>
          <w:p w14:paraId="0578E18A">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准确度：±0.5℃</w:t>
            </w:r>
          </w:p>
        </w:tc>
        <w:tc>
          <w:tcPr>
            <w:tcW w:w="781" w:type="pct"/>
            <w:vMerge w:val="continue"/>
            <w:tcBorders>
              <w:tl2br w:val="nil"/>
              <w:tr2bl w:val="nil"/>
            </w:tcBorders>
            <w:shd w:val="clear" w:color="auto" w:fill="auto"/>
            <w:tcMar>
              <w:left w:w="108" w:type="dxa"/>
              <w:right w:w="108" w:type="dxa"/>
            </w:tcMar>
            <w:vAlign w:val="center"/>
          </w:tcPr>
          <w:p w14:paraId="60BE4039">
            <w:pPr>
              <w:jc w:val="center"/>
              <w:rPr>
                <w:rFonts w:hint="eastAsia" w:ascii="宋体" w:hAnsi="宋体" w:eastAsia="宋体" w:cs="宋体"/>
                <w:b w:val="0"/>
                <w:bCs w:val="0"/>
                <w:color w:val="auto"/>
                <w:sz w:val="24"/>
                <w:szCs w:val="24"/>
              </w:rPr>
            </w:pPr>
          </w:p>
        </w:tc>
        <w:tc>
          <w:tcPr>
            <w:tcW w:w="1484" w:type="pct"/>
            <w:tcBorders>
              <w:tl2br w:val="nil"/>
              <w:tr2bl w:val="nil"/>
            </w:tcBorders>
            <w:shd w:val="clear" w:color="auto" w:fill="auto"/>
            <w:tcMar>
              <w:left w:w="108" w:type="dxa"/>
              <w:right w:w="108" w:type="dxa"/>
            </w:tcMar>
            <w:vAlign w:val="center"/>
          </w:tcPr>
          <w:p w14:paraId="12E7A9CC">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准确度：±3%RH</w:t>
            </w:r>
          </w:p>
        </w:tc>
      </w:tr>
      <w:tr w14:paraId="73987E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19" w:hRule="atLeast"/>
          <w:tblCellSpacing w:w="0" w:type="dxa"/>
        </w:trPr>
        <w:tc>
          <w:tcPr>
            <w:tcW w:w="834" w:type="pct"/>
            <w:vMerge w:val="restart"/>
            <w:tcBorders>
              <w:tl2br w:val="nil"/>
              <w:tr2bl w:val="nil"/>
            </w:tcBorders>
            <w:shd w:val="clear" w:color="auto" w:fill="auto"/>
            <w:tcMar>
              <w:left w:w="108" w:type="dxa"/>
              <w:right w:w="108" w:type="dxa"/>
            </w:tcMar>
            <w:vAlign w:val="center"/>
          </w:tcPr>
          <w:p w14:paraId="15C96140">
            <w:pPr>
              <w:pStyle w:val="32"/>
              <w:keepNext w:val="0"/>
              <w:keepLines w:val="0"/>
              <w:widowControl/>
              <w:suppressLineNumbers w:val="0"/>
              <w:jc w:val="center"/>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风速</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选配</w:t>
            </w:r>
            <w:r>
              <w:rPr>
                <w:rFonts w:hint="eastAsia" w:ascii="宋体" w:hAnsi="宋体" w:eastAsia="宋体" w:cs="宋体"/>
                <w:b w:val="0"/>
                <w:bCs w:val="0"/>
                <w:color w:val="auto"/>
                <w:sz w:val="24"/>
                <w:szCs w:val="24"/>
                <w:lang w:eastAsia="zh-CN"/>
              </w:rPr>
              <w:t>）</w:t>
            </w:r>
          </w:p>
        </w:tc>
        <w:tc>
          <w:tcPr>
            <w:tcW w:w="1899" w:type="pct"/>
            <w:tcBorders>
              <w:tl2br w:val="nil"/>
              <w:tr2bl w:val="nil"/>
            </w:tcBorders>
            <w:shd w:val="clear" w:color="auto" w:fill="auto"/>
            <w:tcMar>
              <w:left w:w="108" w:type="dxa"/>
              <w:right w:w="108" w:type="dxa"/>
            </w:tcMar>
            <w:vAlign w:val="center"/>
          </w:tcPr>
          <w:p w14:paraId="7173C36C">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量程：0～70m/s</w:t>
            </w:r>
          </w:p>
        </w:tc>
        <w:tc>
          <w:tcPr>
            <w:tcW w:w="2266" w:type="pct"/>
            <w:gridSpan w:val="2"/>
            <w:tcBorders>
              <w:tl2br w:val="nil"/>
              <w:tr2bl w:val="nil"/>
            </w:tcBorders>
            <w:shd w:val="clear" w:color="auto" w:fill="auto"/>
            <w:tcMar>
              <w:left w:w="108" w:type="dxa"/>
              <w:right w:w="108" w:type="dxa"/>
            </w:tcMar>
            <w:vAlign w:val="center"/>
          </w:tcPr>
          <w:p w14:paraId="058D873A">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分辨率：0.1m/s</w:t>
            </w:r>
          </w:p>
        </w:tc>
      </w:tr>
      <w:tr w14:paraId="245B5A2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19" w:hRule="atLeast"/>
          <w:tblCellSpacing w:w="0" w:type="dxa"/>
        </w:trPr>
        <w:tc>
          <w:tcPr>
            <w:tcW w:w="834" w:type="pct"/>
            <w:vMerge w:val="continue"/>
            <w:tcBorders>
              <w:tl2br w:val="nil"/>
              <w:tr2bl w:val="nil"/>
            </w:tcBorders>
            <w:shd w:val="clear" w:color="auto" w:fill="auto"/>
            <w:tcMar>
              <w:left w:w="108" w:type="dxa"/>
              <w:right w:w="108" w:type="dxa"/>
            </w:tcMar>
            <w:vAlign w:val="center"/>
          </w:tcPr>
          <w:p w14:paraId="7CE79BCE">
            <w:pPr>
              <w:jc w:val="center"/>
              <w:rPr>
                <w:rFonts w:hint="eastAsia" w:ascii="宋体" w:hAnsi="宋体" w:eastAsia="宋体" w:cs="宋体"/>
                <w:b w:val="0"/>
                <w:bCs w:val="0"/>
                <w:color w:val="auto"/>
                <w:sz w:val="24"/>
                <w:szCs w:val="24"/>
              </w:rPr>
            </w:pPr>
          </w:p>
        </w:tc>
        <w:tc>
          <w:tcPr>
            <w:tcW w:w="1899" w:type="pct"/>
            <w:tcBorders>
              <w:tl2br w:val="nil"/>
              <w:tr2bl w:val="nil"/>
            </w:tcBorders>
            <w:shd w:val="clear" w:color="auto" w:fill="auto"/>
            <w:tcMar>
              <w:left w:w="108" w:type="dxa"/>
              <w:right w:w="108" w:type="dxa"/>
            </w:tcMar>
            <w:vAlign w:val="center"/>
          </w:tcPr>
          <w:p w14:paraId="623A8B0B">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起动风速：≤0.8m/s</w:t>
            </w:r>
          </w:p>
        </w:tc>
        <w:tc>
          <w:tcPr>
            <w:tcW w:w="2266" w:type="pct"/>
            <w:gridSpan w:val="2"/>
            <w:tcBorders>
              <w:tl2br w:val="nil"/>
              <w:tr2bl w:val="nil"/>
            </w:tcBorders>
            <w:shd w:val="clear" w:color="auto" w:fill="auto"/>
            <w:tcMar>
              <w:left w:w="108" w:type="dxa"/>
              <w:right w:w="108" w:type="dxa"/>
            </w:tcMar>
            <w:vAlign w:val="center"/>
          </w:tcPr>
          <w:p w14:paraId="7AC84E46">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准确度：±（0.3＋0.03V）m/s</w:t>
            </w:r>
          </w:p>
        </w:tc>
      </w:tr>
      <w:tr w14:paraId="664E98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19" w:hRule="atLeast"/>
          <w:tblCellSpacing w:w="0" w:type="dxa"/>
        </w:trPr>
        <w:tc>
          <w:tcPr>
            <w:tcW w:w="834" w:type="pct"/>
            <w:vMerge w:val="restart"/>
            <w:tcBorders>
              <w:tl2br w:val="nil"/>
              <w:tr2bl w:val="nil"/>
            </w:tcBorders>
            <w:shd w:val="clear" w:color="auto" w:fill="auto"/>
            <w:tcMar>
              <w:left w:w="108" w:type="dxa"/>
              <w:right w:w="108" w:type="dxa"/>
            </w:tcMar>
            <w:vAlign w:val="center"/>
          </w:tcPr>
          <w:p w14:paraId="26A1C54C">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风向</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选配</w:t>
            </w:r>
            <w:r>
              <w:rPr>
                <w:rFonts w:hint="eastAsia" w:ascii="宋体" w:hAnsi="宋体" w:eastAsia="宋体" w:cs="宋体"/>
                <w:b w:val="0"/>
                <w:bCs w:val="0"/>
                <w:color w:val="auto"/>
                <w:sz w:val="24"/>
                <w:szCs w:val="24"/>
                <w:lang w:eastAsia="zh-CN"/>
              </w:rPr>
              <w:t>）</w:t>
            </w:r>
          </w:p>
        </w:tc>
        <w:tc>
          <w:tcPr>
            <w:tcW w:w="1899" w:type="pct"/>
            <w:tcBorders>
              <w:tl2br w:val="nil"/>
              <w:tr2bl w:val="nil"/>
            </w:tcBorders>
            <w:shd w:val="clear" w:color="auto" w:fill="auto"/>
            <w:tcMar>
              <w:left w:w="108" w:type="dxa"/>
              <w:right w:w="108" w:type="dxa"/>
            </w:tcMar>
            <w:vAlign w:val="center"/>
          </w:tcPr>
          <w:p w14:paraId="3BCD38B0">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测量范围：0～360°</w:t>
            </w:r>
          </w:p>
        </w:tc>
        <w:tc>
          <w:tcPr>
            <w:tcW w:w="2266" w:type="pct"/>
            <w:gridSpan w:val="2"/>
            <w:tcBorders>
              <w:tl2br w:val="nil"/>
              <w:tr2bl w:val="nil"/>
            </w:tcBorders>
            <w:shd w:val="clear" w:color="auto" w:fill="auto"/>
            <w:tcMar>
              <w:left w:w="108" w:type="dxa"/>
              <w:right w:w="108" w:type="dxa"/>
            </w:tcMar>
            <w:vAlign w:val="center"/>
          </w:tcPr>
          <w:p w14:paraId="28F370C3">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分辨率：1°</w:t>
            </w:r>
          </w:p>
        </w:tc>
      </w:tr>
      <w:tr w14:paraId="327F798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19" w:hRule="atLeast"/>
          <w:tblCellSpacing w:w="0" w:type="dxa"/>
        </w:trPr>
        <w:tc>
          <w:tcPr>
            <w:tcW w:w="834" w:type="pct"/>
            <w:vMerge w:val="continue"/>
            <w:tcBorders>
              <w:tl2br w:val="nil"/>
              <w:tr2bl w:val="nil"/>
            </w:tcBorders>
            <w:shd w:val="clear" w:color="auto" w:fill="auto"/>
            <w:tcMar>
              <w:left w:w="108" w:type="dxa"/>
              <w:right w:w="108" w:type="dxa"/>
            </w:tcMar>
            <w:vAlign w:val="center"/>
          </w:tcPr>
          <w:p w14:paraId="514692BD">
            <w:pPr>
              <w:jc w:val="center"/>
              <w:rPr>
                <w:rFonts w:hint="eastAsia" w:ascii="宋体" w:hAnsi="宋体" w:eastAsia="宋体" w:cs="宋体"/>
                <w:b w:val="0"/>
                <w:bCs w:val="0"/>
                <w:color w:val="auto"/>
                <w:sz w:val="24"/>
                <w:szCs w:val="24"/>
              </w:rPr>
            </w:pPr>
          </w:p>
        </w:tc>
        <w:tc>
          <w:tcPr>
            <w:tcW w:w="1899" w:type="pct"/>
            <w:tcBorders>
              <w:tl2br w:val="nil"/>
              <w:tr2bl w:val="nil"/>
            </w:tcBorders>
            <w:shd w:val="clear" w:color="auto" w:fill="auto"/>
            <w:tcMar>
              <w:left w:w="108" w:type="dxa"/>
              <w:right w:w="108" w:type="dxa"/>
            </w:tcMar>
            <w:vAlign w:val="center"/>
          </w:tcPr>
          <w:p w14:paraId="25D5C6BD">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起动风速：≤0.5m/s</w:t>
            </w:r>
          </w:p>
        </w:tc>
        <w:tc>
          <w:tcPr>
            <w:tcW w:w="2266" w:type="pct"/>
            <w:gridSpan w:val="2"/>
            <w:tcBorders>
              <w:tl2br w:val="nil"/>
              <w:tr2bl w:val="nil"/>
            </w:tcBorders>
            <w:shd w:val="clear" w:color="auto" w:fill="auto"/>
            <w:tcMar>
              <w:left w:w="108" w:type="dxa"/>
              <w:right w:w="108" w:type="dxa"/>
            </w:tcMar>
            <w:vAlign w:val="center"/>
          </w:tcPr>
          <w:p w14:paraId="0B0CEE10">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准确度：±3°</w:t>
            </w:r>
          </w:p>
        </w:tc>
      </w:tr>
      <w:tr w14:paraId="482EF76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0" w:type="dxa"/>
            <w:bottom w:w="0" w:type="dxa"/>
            <w:right w:w="0" w:type="dxa"/>
          </w:tblCellMar>
        </w:tblPrEx>
        <w:trPr>
          <w:trHeight w:val="619" w:hRule="atLeast"/>
          <w:tblCellSpacing w:w="0" w:type="dxa"/>
        </w:trPr>
        <w:tc>
          <w:tcPr>
            <w:tcW w:w="834" w:type="pct"/>
            <w:vMerge w:val="restart"/>
            <w:tcBorders>
              <w:tl2br w:val="nil"/>
              <w:tr2bl w:val="nil"/>
            </w:tcBorders>
            <w:shd w:val="clear" w:color="auto" w:fill="auto"/>
            <w:tcMar>
              <w:left w:w="108" w:type="dxa"/>
              <w:right w:w="108" w:type="dxa"/>
            </w:tcMar>
            <w:vAlign w:val="center"/>
          </w:tcPr>
          <w:p w14:paraId="603125FC">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大气压</w:t>
            </w:r>
          </w:p>
        </w:tc>
        <w:tc>
          <w:tcPr>
            <w:tcW w:w="4165" w:type="pct"/>
            <w:gridSpan w:val="3"/>
            <w:tcBorders>
              <w:tl2br w:val="nil"/>
              <w:tr2bl w:val="nil"/>
            </w:tcBorders>
            <w:shd w:val="clear" w:color="auto" w:fill="auto"/>
            <w:tcMar>
              <w:left w:w="108" w:type="dxa"/>
              <w:right w:w="108" w:type="dxa"/>
            </w:tcMar>
            <w:vAlign w:val="center"/>
          </w:tcPr>
          <w:p w14:paraId="18A5F347">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量程：10～1100hpa</w:t>
            </w:r>
          </w:p>
        </w:tc>
      </w:tr>
      <w:tr w14:paraId="6AF2C4F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19" w:hRule="atLeast"/>
          <w:tblCellSpacing w:w="0" w:type="dxa"/>
        </w:trPr>
        <w:tc>
          <w:tcPr>
            <w:tcW w:w="834" w:type="pct"/>
            <w:vMerge w:val="continue"/>
            <w:tcBorders>
              <w:tl2br w:val="nil"/>
              <w:tr2bl w:val="nil"/>
            </w:tcBorders>
            <w:shd w:val="clear" w:color="auto" w:fill="auto"/>
            <w:tcMar>
              <w:left w:w="108" w:type="dxa"/>
              <w:right w:w="108" w:type="dxa"/>
            </w:tcMar>
            <w:vAlign w:val="center"/>
          </w:tcPr>
          <w:p w14:paraId="0A24834D">
            <w:pPr>
              <w:jc w:val="center"/>
              <w:rPr>
                <w:rFonts w:hint="eastAsia" w:ascii="宋体" w:hAnsi="宋体" w:eastAsia="宋体" w:cs="宋体"/>
                <w:b w:val="0"/>
                <w:bCs w:val="0"/>
                <w:color w:val="auto"/>
                <w:sz w:val="24"/>
                <w:szCs w:val="24"/>
              </w:rPr>
            </w:pPr>
          </w:p>
        </w:tc>
        <w:tc>
          <w:tcPr>
            <w:tcW w:w="4165" w:type="pct"/>
            <w:gridSpan w:val="3"/>
            <w:tcBorders>
              <w:tl2br w:val="nil"/>
              <w:tr2bl w:val="nil"/>
            </w:tcBorders>
            <w:shd w:val="clear" w:color="auto" w:fill="auto"/>
            <w:tcMar>
              <w:left w:w="108" w:type="dxa"/>
              <w:right w:w="108" w:type="dxa"/>
            </w:tcMar>
            <w:vAlign w:val="center"/>
          </w:tcPr>
          <w:p w14:paraId="686C5273">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分辨率：0.1hpa</w:t>
            </w:r>
          </w:p>
        </w:tc>
      </w:tr>
      <w:tr w14:paraId="6650CE7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19" w:hRule="atLeast"/>
          <w:tblCellSpacing w:w="0" w:type="dxa"/>
        </w:trPr>
        <w:tc>
          <w:tcPr>
            <w:tcW w:w="834" w:type="pct"/>
            <w:vMerge w:val="continue"/>
            <w:tcBorders>
              <w:tl2br w:val="nil"/>
              <w:tr2bl w:val="nil"/>
            </w:tcBorders>
            <w:shd w:val="clear" w:color="auto" w:fill="auto"/>
            <w:tcMar>
              <w:left w:w="108" w:type="dxa"/>
              <w:right w:w="108" w:type="dxa"/>
            </w:tcMar>
            <w:vAlign w:val="center"/>
          </w:tcPr>
          <w:p w14:paraId="45C63AE5">
            <w:pPr>
              <w:jc w:val="center"/>
              <w:rPr>
                <w:rFonts w:hint="eastAsia" w:ascii="宋体" w:hAnsi="宋体" w:eastAsia="宋体" w:cs="宋体"/>
                <w:b w:val="0"/>
                <w:bCs w:val="0"/>
                <w:color w:val="auto"/>
                <w:sz w:val="24"/>
                <w:szCs w:val="24"/>
              </w:rPr>
            </w:pPr>
          </w:p>
        </w:tc>
        <w:tc>
          <w:tcPr>
            <w:tcW w:w="4165" w:type="pct"/>
            <w:gridSpan w:val="3"/>
            <w:tcBorders>
              <w:tl2br w:val="nil"/>
              <w:tr2bl w:val="nil"/>
            </w:tcBorders>
            <w:shd w:val="clear" w:color="auto" w:fill="auto"/>
            <w:tcMar>
              <w:left w:w="108" w:type="dxa"/>
              <w:right w:w="108" w:type="dxa"/>
            </w:tcMar>
            <w:vAlign w:val="center"/>
          </w:tcPr>
          <w:p w14:paraId="20BA1E70">
            <w:pPr>
              <w:pStyle w:val="32"/>
              <w:keepNext w:val="0"/>
              <w:keepLines w:val="0"/>
              <w:widowControl/>
              <w:suppressLineNumbers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准确度：±0.5hpa</w:t>
            </w:r>
          </w:p>
        </w:tc>
      </w:tr>
    </w:tbl>
    <w:p w14:paraId="779001AB">
      <w:pPr>
        <w:adjustRightInd w:val="0"/>
        <w:snapToGrid w:val="0"/>
        <w:spacing w:line="360" w:lineRule="auto"/>
        <w:ind w:firstLine="480" w:firstLineChars="200"/>
        <w:rPr>
          <w:rFonts w:hint="eastAsia" w:ascii="宋体" w:hAnsi="宋体" w:eastAsia="宋体" w:cs="宋体"/>
          <w:b w:val="0"/>
          <w:bCs w:val="0"/>
          <w:color w:val="auto"/>
          <w:sz w:val="24"/>
          <w:szCs w:val="24"/>
          <w:lang w:val="en-US" w:eastAsia="zh-CN"/>
        </w:rPr>
      </w:pPr>
    </w:p>
    <w:p w14:paraId="4C96F8FA">
      <w:pPr>
        <w:adjustRightInd w:val="0"/>
        <w:snapToGrid w:val="0"/>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1.2.2 小型空气站及标准空气站监测仪器技术要求、性能指标应符合HJ653及HJ654的相关要求。</w:t>
      </w:r>
    </w:p>
    <w:p w14:paraId="14E4C15B">
      <w:pPr>
        <w:adjustRightInd w:val="0"/>
        <w:snapToGrid w:val="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PM10分析仪</w:t>
      </w:r>
      <w:r>
        <w:rPr>
          <w:rFonts w:hint="eastAsia" w:ascii="宋体" w:hAnsi="宋体" w:eastAsia="宋体" w:cs="宋体"/>
          <w:b w:val="0"/>
          <w:bCs w:val="0"/>
          <w:color w:val="auto"/>
          <w:sz w:val="24"/>
          <w:szCs w:val="24"/>
          <w:lang w:val="en-US" w:eastAsia="zh-CN"/>
        </w:rPr>
        <w:t>性能指标具体如下表2。</w:t>
      </w:r>
    </w:p>
    <w:p w14:paraId="5C8E18BC">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表2  PM10分析仪性能指标</w:t>
      </w:r>
    </w:p>
    <w:tbl>
      <w:tblPr>
        <w:tblStyle w:val="35"/>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3"/>
        <w:gridCol w:w="2249"/>
        <w:gridCol w:w="6770"/>
      </w:tblGrid>
      <w:tr w14:paraId="34E5C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564" w:type="pct"/>
            <w:gridSpan w:val="2"/>
            <w:noWrap w:val="0"/>
            <w:vAlign w:val="center"/>
          </w:tcPr>
          <w:p w14:paraId="7D202B7B">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center"/>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项目</w:t>
            </w:r>
          </w:p>
        </w:tc>
        <w:tc>
          <w:tcPr>
            <w:tcW w:w="3435" w:type="pct"/>
            <w:noWrap w:val="0"/>
            <w:vAlign w:val="center"/>
          </w:tcPr>
          <w:p w14:paraId="1140304D">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center"/>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技术参数</w:t>
            </w:r>
          </w:p>
        </w:tc>
      </w:tr>
      <w:tr w14:paraId="293B0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64" w:type="pct"/>
            <w:gridSpan w:val="2"/>
            <w:noWrap w:val="0"/>
            <w:vAlign w:val="center"/>
          </w:tcPr>
          <w:p w14:paraId="32E0EC1D">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center"/>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设备描述</w:t>
            </w:r>
          </w:p>
        </w:tc>
        <w:tc>
          <w:tcPr>
            <w:tcW w:w="3435" w:type="pct"/>
            <w:noWrap w:val="0"/>
            <w:vAlign w:val="center"/>
          </w:tcPr>
          <w:p w14:paraId="64C4F29A">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β射线方法PM</w:t>
            </w:r>
            <w:r>
              <w:rPr>
                <w:rFonts w:hint="eastAsia" w:ascii="宋体" w:hAnsi="宋体" w:eastAsia="宋体" w:cs="宋体"/>
                <w:b w:val="0"/>
                <w:bCs w:val="0"/>
                <w:color w:val="auto"/>
                <w:sz w:val="24"/>
                <w:szCs w:val="24"/>
                <w:lang w:val="en-US" w:eastAsia="zh-CN"/>
              </w:rPr>
              <w:t>10</w:t>
            </w:r>
            <w:r>
              <w:rPr>
                <w:rFonts w:hint="eastAsia" w:ascii="宋体" w:hAnsi="宋体" w:eastAsia="宋体" w:cs="宋体"/>
                <w:b w:val="0"/>
                <w:bCs w:val="0"/>
                <w:color w:val="auto"/>
                <w:sz w:val="24"/>
                <w:szCs w:val="24"/>
              </w:rPr>
              <w:t>分析仪</w:t>
            </w:r>
          </w:p>
        </w:tc>
      </w:tr>
      <w:tr w14:paraId="09C1A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564" w:type="pct"/>
            <w:gridSpan w:val="2"/>
            <w:noWrap w:val="0"/>
            <w:vAlign w:val="center"/>
          </w:tcPr>
          <w:p w14:paraId="73B2FF22">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center"/>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设备用途</w:t>
            </w:r>
          </w:p>
        </w:tc>
        <w:tc>
          <w:tcPr>
            <w:tcW w:w="3435" w:type="pct"/>
            <w:noWrap w:val="0"/>
            <w:vAlign w:val="center"/>
          </w:tcPr>
          <w:p w14:paraId="036B9DE0">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用于空气中PM</w:t>
            </w:r>
            <w:r>
              <w:rPr>
                <w:rFonts w:hint="eastAsia" w:ascii="宋体" w:hAnsi="宋体" w:eastAsia="宋体" w:cs="宋体"/>
                <w:b w:val="0"/>
                <w:bCs w:val="0"/>
                <w:color w:val="auto"/>
                <w:sz w:val="24"/>
                <w:szCs w:val="24"/>
                <w:lang w:val="en-US" w:eastAsia="zh-CN"/>
              </w:rPr>
              <w:t>10</w:t>
            </w:r>
            <w:r>
              <w:rPr>
                <w:rFonts w:hint="eastAsia" w:ascii="宋体" w:hAnsi="宋体" w:eastAsia="宋体" w:cs="宋体"/>
                <w:b w:val="0"/>
                <w:bCs w:val="0"/>
                <w:color w:val="auto"/>
                <w:sz w:val="24"/>
                <w:szCs w:val="24"/>
              </w:rPr>
              <w:t>浓度的监测</w:t>
            </w:r>
          </w:p>
        </w:tc>
      </w:tr>
      <w:tr w14:paraId="692F3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4" w:type="pct"/>
            <w:gridSpan w:val="2"/>
            <w:noWrap w:val="0"/>
            <w:vAlign w:val="center"/>
          </w:tcPr>
          <w:p w14:paraId="2091C579">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center"/>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分析方法</w:t>
            </w:r>
          </w:p>
        </w:tc>
        <w:tc>
          <w:tcPr>
            <w:tcW w:w="3435" w:type="pct"/>
            <w:noWrap w:val="0"/>
            <w:vAlign w:val="center"/>
          </w:tcPr>
          <w:p w14:paraId="4C86EB06">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基于β射线方法，用于连续监测环境空气中的颗粒物（PM</w:t>
            </w:r>
            <w:r>
              <w:rPr>
                <w:rFonts w:hint="eastAsia" w:ascii="宋体" w:hAnsi="宋体" w:eastAsia="宋体" w:cs="宋体"/>
                <w:b w:val="0"/>
                <w:bCs w:val="0"/>
                <w:color w:val="auto"/>
                <w:sz w:val="24"/>
                <w:szCs w:val="24"/>
                <w:lang w:val="en-US" w:eastAsia="zh-CN"/>
              </w:rPr>
              <w:t>10</w:t>
            </w:r>
            <w:r>
              <w:rPr>
                <w:rFonts w:hint="eastAsia" w:ascii="宋体" w:hAnsi="宋体" w:eastAsia="宋体" w:cs="宋体"/>
                <w:b w:val="0"/>
                <w:bCs w:val="0"/>
                <w:color w:val="auto"/>
                <w:sz w:val="24"/>
                <w:szCs w:val="24"/>
              </w:rPr>
              <w:t>）</w:t>
            </w:r>
          </w:p>
        </w:tc>
      </w:tr>
      <w:tr w14:paraId="79330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4" w:type="pct"/>
            <w:gridSpan w:val="2"/>
            <w:noWrap w:val="0"/>
            <w:vAlign w:val="center"/>
          </w:tcPr>
          <w:p w14:paraId="7384A2C0">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center"/>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测量量程</w:t>
            </w:r>
          </w:p>
        </w:tc>
        <w:tc>
          <w:tcPr>
            <w:tcW w:w="3435" w:type="pct"/>
            <w:noWrap w:val="0"/>
            <w:vAlign w:val="center"/>
          </w:tcPr>
          <w:p w14:paraId="45253AA3">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0μg/m3~1000 μg/m3和0 μg/m3~10000 μg/m3，采购人可根据需要选择使用。</w:t>
            </w:r>
          </w:p>
        </w:tc>
      </w:tr>
      <w:tr w14:paraId="5E3D0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4" w:type="pct"/>
            <w:gridSpan w:val="2"/>
            <w:noWrap w:val="0"/>
            <w:vAlign w:val="center"/>
          </w:tcPr>
          <w:p w14:paraId="14FA1842">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采样流量</w:t>
            </w:r>
          </w:p>
        </w:tc>
        <w:tc>
          <w:tcPr>
            <w:tcW w:w="3435" w:type="pct"/>
            <w:noWrap w:val="0"/>
            <w:vAlign w:val="center"/>
          </w:tcPr>
          <w:p w14:paraId="1253BF2C">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16.67L/min</w:t>
            </w:r>
          </w:p>
        </w:tc>
      </w:tr>
      <w:tr w14:paraId="55927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4" w:type="pct"/>
            <w:gridSpan w:val="2"/>
            <w:noWrap w:val="0"/>
            <w:vAlign w:val="center"/>
          </w:tcPr>
          <w:p w14:paraId="75C0930D">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最低检出限</w:t>
            </w:r>
          </w:p>
        </w:tc>
        <w:tc>
          <w:tcPr>
            <w:tcW w:w="3435" w:type="pct"/>
            <w:noWrap w:val="0"/>
            <w:vAlign w:val="center"/>
          </w:tcPr>
          <w:p w14:paraId="6667A79D">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1.5</w:t>
            </w:r>
            <w:r>
              <w:rPr>
                <w:rFonts w:hint="eastAsia" w:ascii="宋体" w:hAnsi="宋体" w:eastAsia="宋体" w:cs="宋体"/>
                <w:b w:val="0"/>
                <w:bCs w:val="0"/>
                <w:color w:val="auto"/>
                <w:sz w:val="24"/>
                <w:szCs w:val="24"/>
                <w:highlight w:val="none"/>
              </w:rPr>
              <w:t>μg/m3（1小时平均值）</w:t>
            </w:r>
          </w:p>
        </w:tc>
      </w:tr>
      <w:tr w14:paraId="51046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564" w:type="pct"/>
            <w:gridSpan w:val="2"/>
            <w:noWrap w:val="0"/>
            <w:vAlign w:val="center"/>
          </w:tcPr>
          <w:p w14:paraId="27C1C211">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显示分辨率</w:t>
            </w:r>
          </w:p>
        </w:tc>
        <w:tc>
          <w:tcPr>
            <w:tcW w:w="3435" w:type="pct"/>
            <w:noWrap w:val="0"/>
            <w:vAlign w:val="center"/>
          </w:tcPr>
          <w:p w14:paraId="24520E03">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≤0.1μg/m3</w:t>
            </w:r>
          </w:p>
        </w:tc>
      </w:tr>
      <w:tr w14:paraId="1F318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4" w:type="pct"/>
            <w:gridSpan w:val="2"/>
            <w:noWrap w:val="0"/>
            <w:vAlign w:val="center"/>
          </w:tcPr>
          <w:p w14:paraId="51433F0A">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校准膜示值误差</w:t>
            </w:r>
          </w:p>
        </w:tc>
        <w:tc>
          <w:tcPr>
            <w:tcW w:w="3435" w:type="pct"/>
            <w:noWrap w:val="0"/>
            <w:vAlign w:val="center"/>
          </w:tcPr>
          <w:p w14:paraId="6C21B1ED">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±2%</w:t>
            </w:r>
          </w:p>
        </w:tc>
      </w:tr>
      <w:tr w14:paraId="00B4F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4" w:type="pct"/>
            <w:gridSpan w:val="2"/>
            <w:noWrap w:val="0"/>
            <w:vAlign w:val="center"/>
          </w:tcPr>
          <w:p w14:paraId="45EF3FB3">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平行性</w:t>
            </w:r>
          </w:p>
        </w:tc>
        <w:tc>
          <w:tcPr>
            <w:tcW w:w="3435" w:type="pct"/>
            <w:noWrap w:val="0"/>
            <w:vAlign w:val="center"/>
          </w:tcPr>
          <w:p w14:paraId="22BCDBAE">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rPr>
              <w:t>%</w:t>
            </w:r>
          </w:p>
        </w:tc>
      </w:tr>
      <w:tr w14:paraId="39BA5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4" w:type="pct"/>
            <w:gridSpan w:val="2"/>
            <w:noWrap w:val="0"/>
            <w:vAlign w:val="center"/>
          </w:tcPr>
          <w:p w14:paraId="5824C2C9">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温度示值误差</w:t>
            </w:r>
          </w:p>
        </w:tc>
        <w:tc>
          <w:tcPr>
            <w:tcW w:w="3435" w:type="pct"/>
            <w:noWrap w:val="0"/>
            <w:vAlign w:val="center"/>
          </w:tcPr>
          <w:p w14:paraId="7DF64286">
            <w:pPr>
              <w:pStyle w:val="16"/>
              <w:keepNext w:val="0"/>
              <w:keepLines w:val="0"/>
              <w:pageBreakBefore w:val="0"/>
              <w:kinsoku/>
              <w:wordWrap/>
              <w:overflowPunct/>
              <w:topLinePunct w:val="0"/>
              <w:autoSpaceDE/>
              <w:autoSpaceDN/>
              <w:bidi w:val="0"/>
              <w:adjustRightInd/>
              <w:snapToGrid/>
              <w:spacing w:after="0" w:line="360" w:lineRule="auto"/>
              <w:ind w:left="0" w:firstLine="0" w:firstLineChars="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1℃</w:t>
            </w:r>
          </w:p>
        </w:tc>
      </w:tr>
      <w:tr w14:paraId="5F4CA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4" w:type="pct"/>
            <w:gridSpan w:val="2"/>
            <w:noWrap w:val="0"/>
            <w:vAlign w:val="center"/>
          </w:tcPr>
          <w:p w14:paraId="048E0B38">
            <w:pPr>
              <w:pStyle w:val="16"/>
              <w:keepNext w:val="0"/>
              <w:keepLines w:val="0"/>
              <w:pageBreakBefore w:val="0"/>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湿度示值误差</w:t>
            </w:r>
          </w:p>
        </w:tc>
        <w:tc>
          <w:tcPr>
            <w:tcW w:w="3435" w:type="pct"/>
            <w:noWrap w:val="0"/>
            <w:vAlign w:val="center"/>
          </w:tcPr>
          <w:p w14:paraId="1038F249">
            <w:pPr>
              <w:pStyle w:val="16"/>
              <w:keepNext w:val="0"/>
              <w:keepLines w:val="0"/>
              <w:pageBreakBefore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w:t>
            </w:r>
          </w:p>
        </w:tc>
      </w:tr>
      <w:tr w14:paraId="28AAF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3" w:type="pct"/>
            <w:vMerge w:val="restart"/>
            <w:noWrap w:val="0"/>
            <w:vAlign w:val="center"/>
          </w:tcPr>
          <w:p w14:paraId="222A493A">
            <w:pPr>
              <w:pStyle w:val="16"/>
              <w:keepNext w:val="0"/>
              <w:keepLines w:val="0"/>
              <w:pageBreakBefore w:val="0"/>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流量测试</w:t>
            </w:r>
          </w:p>
        </w:tc>
        <w:tc>
          <w:tcPr>
            <w:tcW w:w="1141" w:type="pct"/>
            <w:noWrap w:val="0"/>
            <w:vAlign w:val="center"/>
          </w:tcPr>
          <w:p w14:paraId="2599AACB">
            <w:pPr>
              <w:pStyle w:val="16"/>
              <w:keepNext w:val="0"/>
              <w:keepLines w:val="0"/>
              <w:pageBreakBefore w:val="0"/>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平均流量示值误差</w:t>
            </w:r>
          </w:p>
        </w:tc>
        <w:tc>
          <w:tcPr>
            <w:tcW w:w="3435" w:type="pct"/>
            <w:noWrap w:val="0"/>
            <w:vAlign w:val="center"/>
          </w:tcPr>
          <w:p w14:paraId="7C4CD784">
            <w:pPr>
              <w:pStyle w:val="16"/>
              <w:keepNext w:val="0"/>
              <w:keepLines w:val="0"/>
              <w:pageBreakBefore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1%</w:t>
            </w:r>
          </w:p>
        </w:tc>
      </w:tr>
      <w:tr w14:paraId="117A8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3" w:type="pct"/>
            <w:vMerge w:val="continue"/>
            <w:noWrap w:val="0"/>
            <w:vAlign w:val="center"/>
          </w:tcPr>
          <w:p w14:paraId="7A089ACB">
            <w:pPr>
              <w:pStyle w:val="16"/>
              <w:keepNext w:val="0"/>
              <w:keepLines w:val="0"/>
              <w:pageBreakBefore w:val="0"/>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b w:val="0"/>
                <w:bCs w:val="0"/>
                <w:color w:val="auto"/>
                <w:sz w:val="24"/>
                <w:szCs w:val="24"/>
                <w:highlight w:val="none"/>
                <w:lang w:val="en-US" w:eastAsia="zh-CN"/>
              </w:rPr>
            </w:pPr>
          </w:p>
        </w:tc>
        <w:tc>
          <w:tcPr>
            <w:tcW w:w="1141" w:type="pct"/>
            <w:noWrap w:val="0"/>
            <w:vAlign w:val="center"/>
          </w:tcPr>
          <w:p w14:paraId="102BCF98">
            <w:pPr>
              <w:pStyle w:val="16"/>
              <w:keepNext w:val="0"/>
              <w:keepLines w:val="0"/>
              <w:pageBreakBefore w:val="0"/>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流量相对标准偏差</w:t>
            </w:r>
          </w:p>
        </w:tc>
        <w:tc>
          <w:tcPr>
            <w:tcW w:w="3435" w:type="pct"/>
            <w:noWrap w:val="0"/>
            <w:vAlign w:val="center"/>
          </w:tcPr>
          <w:p w14:paraId="120A4BD3">
            <w:pPr>
              <w:pStyle w:val="16"/>
              <w:keepNext w:val="0"/>
              <w:keepLines w:val="0"/>
              <w:pageBreakBefore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1%</w:t>
            </w:r>
          </w:p>
        </w:tc>
      </w:tr>
      <w:tr w14:paraId="78C4E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4" w:type="pct"/>
            <w:gridSpan w:val="2"/>
            <w:noWrap w:val="0"/>
            <w:vAlign w:val="center"/>
          </w:tcPr>
          <w:p w14:paraId="0B7B4B3C">
            <w:pPr>
              <w:pStyle w:val="16"/>
              <w:keepNext w:val="0"/>
              <w:keepLines w:val="0"/>
              <w:pageBreakBefore w:val="0"/>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数据有效率</w:t>
            </w:r>
          </w:p>
        </w:tc>
        <w:tc>
          <w:tcPr>
            <w:tcW w:w="3435" w:type="pct"/>
            <w:noWrap w:val="0"/>
            <w:vAlign w:val="center"/>
          </w:tcPr>
          <w:p w14:paraId="647344F3">
            <w:pPr>
              <w:pStyle w:val="16"/>
              <w:keepNext w:val="0"/>
              <w:keepLines w:val="0"/>
              <w:pageBreakBefore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≥90%</w:t>
            </w:r>
          </w:p>
        </w:tc>
      </w:tr>
    </w:tbl>
    <w:p w14:paraId="7C66EECD">
      <w:pPr>
        <w:adjustRightInd w:val="0"/>
        <w:snapToGrid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
          <w:bCs w:val="0"/>
          <w:color w:val="auto"/>
          <w:sz w:val="24"/>
          <w:szCs w:val="24"/>
          <w:lang w:val="en-US" w:eastAsia="zh-CN"/>
        </w:rPr>
        <w:t>PM2.5分析仪</w:t>
      </w:r>
      <w:r>
        <w:rPr>
          <w:rFonts w:hint="eastAsia" w:ascii="宋体" w:hAnsi="宋体" w:eastAsia="宋体" w:cs="宋体"/>
          <w:bCs/>
          <w:color w:val="auto"/>
          <w:sz w:val="24"/>
          <w:szCs w:val="24"/>
          <w:lang w:val="en-US" w:eastAsia="zh-CN"/>
        </w:rPr>
        <w:t>性能指标要求如下：</w:t>
      </w:r>
    </w:p>
    <w:p w14:paraId="213D5D37">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w:t>
      </w:r>
      <w:r>
        <w:rPr>
          <w:rFonts w:hint="eastAsia" w:ascii="宋体" w:hAnsi="宋体" w:eastAsia="宋体" w:cs="宋体"/>
          <w:color w:val="auto"/>
          <w:sz w:val="24"/>
          <w:szCs w:val="24"/>
        </w:rPr>
        <w:t>工作原理：β射线吸收法+光散射法，用于连续监测环境空气中的PM</w:t>
      </w:r>
      <w:r>
        <w:rPr>
          <w:rFonts w:hint="eastAsia" w:ascii="宋体" w:hAnsi="宋体" w:cs="宋体"/>
          <w:color w:val="auto"/>
          <w:sz w:val="24"/>
          <w:szCs w:val="24"/>
          <w:vertAlign w:val="subscript"/>
          <w:lang w:val="en-US" w:eastAsia="zh-CN"/>
        </w:rPr>
        <w:t>2.5</w:t>
      </w:r>
      <w:r>
        <w:rPr>
          <w:rFonts w:hint="eastAsia" w:ascii="宋体" w:hAnsi="宋体" w:eastAsia="宋体" w:cs="宋体"/>
          <w:color w:val="auto"/>
          <w:sz w:val="24"/>
          <w:szCs w:val="24"/>
        </w:rPr>
        <w:t>颗粒物浓度。</w:t>
      </w:r>
    </w:p>
    <w:p w14:paraId="454AB23C">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w:t>
      </w:r>
      <w:r>
        <w:rPr>
          <w:rFonts w:hint="eastAsia" w:ascii="宋体" w:hAnsi="宋体" w:cs="宋体"/>
          <w:color w:val="auto"/>
          <w:sz w:val="24"/>
          <w:szCs w:val="24"/>
          <w:lang w:eastAsia="zh-CN"/>
        </w:rPr>
        <w:t>）</w:t>
      </w:r>
      <w:r>
        <w:rPr>
          <w:rFonts w:hint="eastAsia" w:ascii="宋体" w:hAnsi="宋体" w:eastAsia="宋体" w:cs="宋体"/>
          <w:color w:val="auto"/>
          <w:sz w:val="24"/>
          <w:szCs w:val="24"/>
        </w:rPr>
        <w:t>控制方式：具有远程操作软件，可进行远程查看、操作、诊断和设置。</w:t>
      </w:r>
    </w:p>
    <w:p w14:paraId="60C733B0">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cs="宋体"/>
          <w:color w:val="auto"/>
          <w:sz w:val="24"/>
          <w:szCs w:val="24"/>
          <w:lang w:eastAsia="zh-CN"/>
        </w:rPr>
        <w:t>）</w:t>
      </w:r>
      <w:r>
        <w:rPr>
          <w:rFonts w:hint="eastAsia" w:ascii="宋体" w:hAnsi="宋体" w:eastAsia="宋体" w:cs="宋体"/>
          <w:color w:val="auto"/>
          <w:sz w:val="24"/>
          <w:szCs w:val="24"/>
        </w:rPr>
        <w:t>电源要求：220±10%VAC，50Hz。</w:t>
      </w:r>
    </w:p>
    <w:p w14:paraId="487FCCA3">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w:t>
      </w:r>
      <w:r>
        <w:rPr>
          <w:rFonts w:hint="eastAsia" w:ascii="宋体" w:hAnsi="宋体" w:eastAsia="宋体" w:cs="宋体"/>
          <w:color w:val="auto"/>
          <w:sz w:val="24"/>
          <w:szCs w:val="24"/>
        </w:rPr>
        <w:t>信号输出：RS232/485， 0-1V，0-5V，0-10V，0-20mA、4-20mA。</w:t>
      </w:r>
    </w:p>
    <w:p w14:paraId="41BAA01D">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5</w:t>
      </w:r>
      <w:r>
        <w:rPr>
          <w:rFonts w:hint="eastAsia" w:ascii="宋体" w:hAnsi="宋体" w:cs="宋体"/>
          <w:color w:val="auto"/>
          <w:sz w:val="24"/>
          <w:szCs w:val="24"/>
          <w:lang w:eastAsia="zh-CN"/>
        </w:rPr>
        <w:t>）</w:t>
      </w:r>
      <w:r>
        <w:rPr>
          <w:rFonts w:hint="eastAsia" w:ascii="宋体" w:hAnsi="宋体" w:eastAsia="宋体" w:cs="宋体"/>
          <w:color w:val="auto"/>
          <w:sz w:val="24"/>
          <w:szCs w:val="24"/>
        </w:rPr>
        <w:t>通讯协议：C-Link，Modbus，TCP/IP。</w:t>
      </w:r>
    </w:p>
    <w:p w14:paraId="02849C8B">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6</w:t>
      </w:r>
      <w:r>
        <w:rPr>
          <w:rFonts w:hint="eastAsia" w:ascii="宋体" w:hAnsi="宋体" w:cs="宋体"/>
          <w:color w:val="auto"/>
          <w:sz w:val="24"/>
          <w:szCs w:val="24"/>
          <w:lang w:eastAsia="zh-CN"/>
        </w:rPr>
        <w:t>）</w:t>
      </w:r>
      <w:r>
        <w:rPr>
          <w:rFonts w:hint="eastAsia" w:ascii="宋体" w:hAnsi="宋体" w:eastAsia="宋体" w:cs="宋体"/>
          <w:color w:val="auto"/>
          <w:sz w:val="24"/>
          <w:szCs w:val="24"/>
        </w:rPr>
        <w:t>数据存储功能：数据存储时间不低于4个月。</w:t>
      </w:r>
    </w:p>
    <w:p w14:paraId="78B84BE2">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7</w:t>
      </w:r>
      <w:r>
        <w:rPr>
          <w:rFonts w:hint="eastAsia" w:ascii="宋体" w:hAnsi="宋体" w:cs="宋体"/>
          <w:color w:val="auto"/>
          <w:sz w:val="24"/>
          <w:szCs w:val="24"/>
          <w:lang w:eastAsia="zh-CN"/>
        </w:rPr>
        <w:t>）</w:t>
      </w:r>
      <w:r>
        <w:rPr>
          <w:rFonts w:hint="eastAsia" w:ascii="宋体" w:hAnsi="宋体" w:eastAsia="宋体" w:cs="宋体"/>
          <w:color w:val="auto"/>
          <w:sz w:val="24"/>
          <w:szCs w:val="24"/>
        </w:rPr>
        <w:t>安全性：C14放射源活度&lt;100 μCi，需符合我国环境保护部门对含放射源设备使用的相关管理要求。</w:t>
      </w:r>
    </w:p>
    <w:p w14:paraId="28484463">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8</w:t>
      </w:r>
      <w:r>
        <w:rPr>
          <w:rFonts w:hint="eastAsia" w:ascii="宋体" w:hAnsi="宋体" w:cs="宋体"/>
          <w:color w:val="auto"/>
          <w:sz w:val="24"/>
          <w:szCs w:val="24"/>
          <w:lang w:eastAsia="zh-CN"/>
        </w:rPr>
        <w:t>）</w:t>
      </w:r>
      <w:r>
        <w:rPr>
          <w:rFonts w:hint="eastAsia" w:ascii="宋体" w:hAnsi="宋体" w:eastAsia="宋体" w:cs="宋体"/>
          <w:color w:val="auto"/>
          <w:sz w:val="24"/>
          <w:szCs w:val="24"/>
        </w:rPr>
        <w:t>认证要求：通过环境保护部环境监测仪器质量监督检验中心检定，属环境空气连续监测系统适用性检测合格名录内产品。</w:t>
      </w:r>
    </w:p>
    <w:p w14:paraId="4877F4D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9</w:t>
      </w:r>
      <w:r>
        <w:rPr>
          <w:rFonts w:hint="eastAsia" w:ascii="宋体" w:hAnsi="宋体" w:cs="宋体"/>
          <w:color w:val="auto"/>
          <w:sz w:val="24"/>
          <w:szCs w:val="24"/>
          <w:lang w:eastAsia="zh-CN"/>
        </w:rPr>
        <w:t>）</w:t>
      </w:r>
      <w:r>
        <w:rPr>
          <w:rFonts w:hint="eastAsia" w:ascii="宋体" w:hAnsi="宋体" w:eastAsia="宋体" w:cs="宋体"/>
          <w:color w:val="auto"/>
          <w:sz w:val="24"/>
          <w:szCs w:val="24"/>
        </w:rPr>
        <w:t>采样结构：非步进式走纸，样品采集和检测处于同一位置，节约纸带用量。</w:t>
      </w:r>
    </w:p>
    <w:p w14:paraId="7B51167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10</w:t>
      </w:r>
      <w:r>
        <w:rPr>
          <w:rFonts w:hint="eastAsia" w:ascii="宋体" w:hAnsi="宋体" w:cs="宋体"/>
          <w:color w:val="auto"/>
          <w:sz w:val="24"/>
          <w:szCs w:val="24"/>
          <w:lang w:eastAsia="zh-CN"/>
        </w:rPr>
        <w:t>）</w:t>
      </w:r>
      <w:r>
        <w:rPr>
          <w:rFonts w:hint="eastAsia" w:ascii="宋体" w:hAnsi="宋体" w:eastAsia="宋体" w:cs="宋体"/>
          <w:color w:val="auto"/>
          <w:sz w:val="24"/>
          <w:szCs w:val="24"/>
        </w:rPr>
        <w:t>最低检测限（24h）：≤1μg/m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rPr>
        <w:t>。</w:t>
      </w:r>
    </w:p>
    <w:p w14:paraId="70D04420">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11</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技术指标：</w:t>
      </w:r>
    </w:p>
    <w:p w14:paraId="229444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)量程：0～1000 μg/m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rPr>
        <w:t>。</w:t>
      </w:r>
    </w:p>
    <w:p w14:paraId="2D0CC2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)最小显示单位：0.1μg/m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rPr>
        <w:t>。</w:t>
      </w:r>
    </w:p>
    <w:p w14:paraId="76474D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)采样流量：16.67 L/min。</w:t>
      </w:r>
    </w:p>
    <w:p w14:paraId="580D8D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平均流量偏差：≤±0.1%设定流量。</w:t>
      </w:r>
    </w:p>
    <w:p w14:paraId="1CE9FA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)动态加热系统：加装动态加热系统，具备温度限值控制和湿度限值控制功能，能够使样气的温湿度保持在合适水平，最大限度减少水分对颗粒物监测的影响，加热启动湿度点为35%RH。</w:t>
      </w:r>
    </w:p>
    <w:p w14:paraId="0ED1FF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)校准膜重现性：≤±1%。</w:t>
      </w:r>
    </w:p>
    <w:p w14:paraId="29463F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）平行性：≤13%。</w:t>
      </w:r>
    </w:p>
    <w:p w14:paraId="1EE86114">
      <w:pPr>
        <w:adjustRightInd w:val="0"/>
        <w:snapToGrid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
          <w:bCs w:val="0"/>
          <w:color w:val="auto"/>
          <w:sz w:val="24"/>
          <w:szCs w:val="24"/>
          <w:lang w:val="en-US" w:eastAsia="zh-CN"/>
        </w:rPr>
        <w:t>SO2、NO2、CO、O3分析仪</w:t>
      </w:r>
      <w:r>
        <w:rPr>
          <w:rFonts w:hint="eastAsia" w:ascii="宋体" w:hAnsi="宋体" w:eastAsia="宋体" w:cs="宋体"/>
          <w:bCs/>
          <w:color w:val="auto"/>
          <w:sz w:val="24"/>
          <w:szCs w:val="24"/>
          <w:lang w:val="en-US" w:eastAsia="zh-CN"/>
        </w:rPr>
        <w:t>性能指标要求如下：</w:t>
      </w:r>
    </w:p>
    <w:p w14:paraId="6484AA25">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SO</w:t>
      </w:r>
      <w:r>
        <w:rPr>
          <w:rFonts w:hint="eastAsia" w:ascii="宋体" w:hAnsi="宋体" w:eastAsia="宋体" w:cs="宋体"/>
          <w:b/>
          <w:bCs/>
          <w:color w:val="auto"/>
          <w:sz w:val="24"/>
          <w:szCs w:val="24"/>
          <w:vertAlign w:val="subscript"/>
        </w:rPr>
        <w:t>2</w:t>
      </w:r>
      <w:r>
        <w:rPr>
          <w:rFonts w:hint="eastAsia" w:ascii="宋体" w:hAnsi="宋体" w:eastAsia="宋体" w:cs="宋体"/>
          <w:b/>
          <w:bCs/>
          <w:color w:val="auto"/>
          <w:sz w:val="24"/>
          <w:szCs w:val="24"/>
        </w:rPr>
        <w:t>分析仪</w:t>
      </w:r>
    </w:p>
    <w:p w14:paraId="7D3CE5ED">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eastAsia="宋体" w:cs="宋体"/>
          <w:color w:val="auto"/>
          <w:sz w:val="24"/>
          <w:szCs w:val="24"/>
        </w:rPr>
        <w:t>1) 分析方法：紫外荧光法。</w:t>
      </w:r>
    </w:p>
    <w:p w14:paraId="39CCCCD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eastAsia="宋体" w:cs="宋体"/>
          <w:color w:val="auto"/>
          <w:sz w:val="24"/>
          <w:szCs w:val="24"/>
        </w:rPr>
        <w:t>2）光源：选用衰减较慢、寿命较长的脉冲紫外光源。</w:t>
      </w:r>
    </w:p>
    <w:p w14:paraId="50803345">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eastAsia="宋体" w:cs="宋体"/>
          <w:color w:val="auto"/>
          <w:sz w:val="24"/>
          <w:szCs w:val="24"/>
        </w:rPr>
        <w:t>3）碳氢物质去除：为避免碳氢物质干扰SO</w:t>
      </w:r>
      <w:r>
        <w:rPr>
          <w:rFonts w:hint="eastAsia" w:ascii="宋体" w:hAnsi="宋体" w:eastAsia="宋体" w:cs="宋体"/>
          <w:color w:val="auto"/>
          <w:sz w:val="24"/>
          <w:szCs w:val="24"/>
          <w:vertAlign w:val="subscript"/>
        </w:rPr>
        <w:t>2</w:t>
      </w:r>
      <w:r>
        <w:rPr>
          <w:rFonts w:hint="eastAsia" w:ascii="宋体" w:hAnsi="宋体" w:eastAsia="宋体" w:cs="宋体"/>
          <w:color w:val="auto"/>
          <w:sz w:val="24"/>
          <w:szCs w:val="24"/>
        </w:rPr>
        <w:t>分析仪，分析仪内置碳氢去除器，有效去除样气中的碳氢物质，消除干扰。</w:t>
      </w:r>
    </w:p>
    <w:p w14:paraId="174B022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eastAsia="宋体" w:cs="宋体"/>
          <w:color w:val="auto"/>
          <w:sz w:val="24"/>
          <w:szCs w:val="24"/>
        </w:rPr>
        <w:t>4）滤光处理：为保证紫外灯发出的波长处于最佳激发范围，采用四面反射镜组进行滤光处理。</w:t>
      </w:r>
    </w:p>
    <w:p w14:paraId="6C48E513">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）控制方式：具有远程操作软件，可进行远程查看、操作、诊断和设置。</w:t>
      </w:r>
    </w:p>
    <w:p w14:paraId="726F56D5">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电源要求：220VAC，50Hz。</w:t>
      </w:r>
    </w:p>
    <w:p w14:paraId="61E0A4BD">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信号输出：RS232/485，0-100mV，0-1V，0-5V，0-10V，0-20mA、4-20mA。</w:t>
      </w:r>
    </w:p>
    <w:p w14:paraId="7A9733AF">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8</w:t>
      </w:r>
      <w:r>
        <w:rPr>
          <w:rFonts w:hint="eastAsia" w:ascii="宋体" w:hAnsi="宋体" w:cs="宋体"/>
          <w:color w:val="auto"/>
          <w:sz w:val="24"/>
          <w:szCs w:val="24"/>
          <w:lang w:eastAsia="zh-CN"/>
        </w:rPr>
        <w:t>）</w:t>
      </w:r>
      <w:r>
        <w:rPr>
          <w:rFonts w:hint="eastAsia" w:ascii="宋体" w:hAnsi="宋体" w:eastAsia="宋体" w:cs="宋体"/>
          <w:color w:val="auto"/>
          <w:sz w:val="24"/>
          <w:szCs w:val="24"/>
        </w:rPr>
        <w:t>通讯协议：C-Link，Modbus，TCP/IP。</w:t>
      </w:r>
    </w:p>
    <w:p w14:paraId="310170C1">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9</w:t>
      </w:r>
      <w:r>
        <w:rPr>
          <w:rFonts w:hint="eastAsia" w:ascii="宋体" w:hAnsi="宋体" w:cs="宋体"/>
          <w:color w:val="auto"/>
          <w:sz w:val="24"/>
          <w:szCs w:val="24"/>
          <w:lang w:eastAsia="zh-CN"/>
        </w:rPr>
        <w:t>）</w:t>
      </w:r>
      <w:r>
        <w:rPr>
          <w:rFonts w:hint="eastAsia" w:ascii="宋体" w:hAnsi="宋体" w:eastAsia="宋体" w:cs="宋体"/>
          <w:color w:val="auto"/>
          <w:sz w:val="24"/>
          <w:szCs w:val="24"/>
        </w:rPr>
        <w:t>认证要求：通过环境保护部环境监测仪器质量监督检验中心检定，属环境空气连续监测系统适用性检测合格名录内产品。</w:t>
      </w:r>
    </w:p>
    <w:p w14:paraId="1832C739">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10</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技术指标：</w:t>
      </w:r>
    </w:p>
    <w:p w14:paraId="4A2DBA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）量程：0-500nmol/mol，具有量程自动切换功能。</w:t>
      </w:r>
    </w:p>
    <w:p w14:paraId="576860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）零点噪声：≤0.1nmol/mol。</w:t>
      </w:r>
    </w:p>
    <w:p w14:paraId="61E067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）量程噪声：≤1.0nmol/mol。</w:t>
      </w:r>
    </w:p>
    <w:p w14:paraId="5A48F3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）最低检出限：≤0.2nmol/mol。</w:t>
      </w:r>
    </w:p>
    <w:p w14:paraId="048FF5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）示值误差：≤±0.2%F.S.。</w:t>
      </w:r>
    </w:p>
    <w:p w14:paraId="069425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）20%量程精密度：≤0.6nmol/mol。</w:t>
      </w:r>
    </w:p>
    <w:p w14:paraId="0E7C96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）80%量程精密度：≤1.2nmol/mol。</w:t>
      </w:r>
    </w:p>
    <w:p w14:paraId="3BB303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）24h 零点漂移：≤±2.0nmol/mol。</w:t>
      </w:r>
    </w:p>
    <w:p w14:paraId="5DA176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）24h 20%量程漂移：≤±2.5nmol/mol。</w:t>
      </w:r>
    </w:p>
    <w:p w14:paraId="5E9398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0</w:t>
      </w:r>
      <w:r>
        <w:rPr>
          <w:rFonts w:hint="eastAsia" w:ascii="宋体" w:hAnsi="宋体" w:eastAsia="宋体" w:cs="宋体"/>
          <w:color w:val="auto"/>
          <w:sz w:val="24"/>
          <w:szCs w:val="24"/>
        </w:rPr>
        <w:t>）24h 80%量程漂移：≤±3.0nmol/mol。</w:t>
      </w:r>
    </w:p>
    <w:p w14:paraId="165EB2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）响应时间（上升/下降）：≤180秒/180秒。</w:t>
      </w:r>
    </w:p>
    <w:p w14:paraId="2B7C0E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）电压稳定性：≤±0.5%F.S.。</w:t>
      </w:r>
    </w:p>
    <w:p w14:paraId="4CA098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）流量稳定性：≤±1%。</w:t>
      </w:r>
    </w:p>
    <w:p w14:paraId="0493AE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）环境温度变化的影响：≤0.3nmol/mol/℃。</w:t>
      </w:r>
    </w:p>
    <w:p w14:paraId="734E2E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）干扰成分的影响：≤±0.1%F.S.（2%H</w:t>
      </w:r>
      <w:r>
        <w:rPr>
          <w:rFonts w:hint="eastAsia" w:ascii="宋体" w:hAnsi="宋体" w:eastAsia="宋体" w:cs="宋体"/>
          <w:color w:val="auto"/>
          <w:sz w:val="24"/>
          <w:szCs w:val="24"/>
          <w:vertAlign w:val="subscript"/>
        </w:rPr>
        <w:t>2</w:t>
      </w:r>
      <w:r>
        <w:rPr>
          <w:rFonts w:hint="eastAsia" w:ascii="宋体" w:hAnsi="宋体" w:eastAsia="宋体" w:cs="宋体"/>
          <w:color w:val="auto"/>
          <w:sz w:val="24"/>
          <w:szCs w:val="24"/>
        </w:rPr>
        <w:t>O）、≤±0.1%F.S.（0.1μmol/mol甲苯）。</w:t>
      </w:r>
    </w:p>
    <w:p w14:paraId="0F953D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16</w:t>
      </w:r>
      <w:r>
        <w:rPr>
          <w:rFonts w:hint="eastAsia" w:ascii="宋体" w:hAnsi="宋体" w:eastAsia="宋体" w:cs="宋体"/>
          <w:color w:val="auto"/>
          <w:sz w:val="24"/>
          <w:szCs w:val="24"/>
        </w:rPr>
        <w:t>）采样口和校准口浓度偏差：≤±0.1%。</w:t>
      </w:r>
    </w:p>
    <w:p w14:paraId="6B7814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17</w:t>
      </w:r>
      <w:r>
        <w:rPr>
          <w:rFonts w:hint="eastAsia" w:ascii="宋体" w:hAnsi="宋体" w:eastAsia="宋体" w:cs="宋体"/>
          <w:color w:val="auto"/>
          <w:sz w:val="24"/>
          <w:szCs w:val="24"/>
        </w:rPr>
        <w:t>）7d长期零点漂移：≤±1.0nmol/mol。</w:t>
      </w:r>
    </w:p>
    <w:p w14:paraId="751B34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18</w:t>
      </w:r>
      <w:r>
        <w:rPr>
          <w:rFonts w:hint="eastAsia" w:ascii="宋体" w:hAnsi="宋体" w:eastAsia="宋体" w:cs="宋体"/>
          <w:color w:val="auto"/>
          <w:sz w:val="24"/>
          <w:szCs w:val="24"/>
        </w:rPr>
        <w:t>）7d长期量程漂移：≤±7.0nmol/mol。</w:t>
      </w:r>
    </w:p>
    <w:p w14:paraId="51002610">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NO</w:t>
      </w:r>
      <w:r>
        <w:rPr>
          <w:rFonts w:hint="eastAsia" w:ascii="宋体" w:hAnsi="宋体" w:eastAsia="宋体" w:cs="宋体"/>
          <w:b/>
          <w:bCs/>
          <w:color w:val="auto"/>
          <w:sz w:val="24"/>
          <w:szCs w:val="24"/>
          <w:vertAlign w:val="subscript"/>
        </w:rPr>
        <w:t>2</w:t>
      </w:r>
      <w:r>
        <w:rPr>
          <w:rFonts w:hint="eastAsia" w:ascii="宋体" w:hAnsi="宋体" w:eastAsia="宋体" w:cs="宋体"/>
          <w:b/>
          <w:bCs/>
          <w:color w:val="auto"/>
          <w:sz w:val="24"/>
          <w:szCs w:val="24"/>
        </w:rPr>
        <w:t>分析仪</w:t>
      </w:r>
    </w:p>
    <w:p w14:paraId="71592441">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eastAsia="宋体" w:cs="宋体"/>
          <w:color w:val="auto"/>
          <w:sz w:val="24"/>
          <w:szCs w:val="24"/>
        </w:rPr>
        <w:t>1）分析方法：化学发光法。</w:t>
      </w:r>
    </w:p>
    <w:p w14:paraId="2F2AA98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eastAsia="宋体" w:cs="宋体"/>
          <w:color w:val="auto"/>
          <w:sz w:val="24"/>
          <w:szCs w:val="24"/>
        </w:rPr>
        <w:t>2）冷堆：为降低光电倍增管暗电流，检测器具有冷堆进行制冷，制冷温度＜-1℃。</w:t>
      </w:r>
    </w:p>
    <w:p w14:paraId="12EDDB10">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cs="宋体"/>
          <w:color w:val="auto"/>
          <w:sz w:val="24"/>
          <w:szCs w:val="24"/>
          <w:lang w:eastAsia="zh-CN"/>
        </w:rPr>
        <w:t>）</w:t>
      </w:r>
      <w:r>
        <w:rPr>
          <w:rFonts w:hint="eastAsia" w:ascii="宋体" w:hAnsi="宋体" w:eastAsia="宋体" w:cs="宋体"/>
          <w:color w:val="auto"/>
          <w:sz w:val="24"/>
          <w:szCs w:val="24"/>
        </w:rPr>
        <w:t>控制方式：具有远程操作软件，可进行远程查看、操作、诊断和设置。</w:t>
      </w:r>
    </w:p>
    <w:p w14:paraId="6DB338C2">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w:t>
      </w:r>
      <w:r>
        <w:rPr>
          <w:rFonts w:hint="eastAsia" w:ascii="宋体" w:hAnsi="宋体" w:eastAsia="宋体" w:cs="宋体"/>
          <w:color w:val="auto"/>
          <w:sz w:val="24"/>
          <w:szCs w:val="24"/>
        </w:rPr>
        <w:t>电源要求：220VAC，50Hz。</w:t>
      </w:r>
    </w:p>
    <w:p w14:paraId="16C3D7F0">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5</w:t>
      </w:r>
      <w:r>
        <w:rPr>
          <w:rFonts w:hint="eastAsia" w:ascii="宋体" w:hAnsi="宋体" w:cs="宋体"/>
          <w:color w:val="auto"/>
          <w:sz w:val="24"/>
          <w:szCs w:val="24"/>
          <w:lang w:eastAsia="zh-CN"/>
        </w:rPr>
        <w:t>）</w:t>
      </w:r>
      <w:r>
        <w:rPr>
          <w:rFonts w:hint="eastAsia" w:ascii="宋体" w:hAnsi="宋体" w:eastAsia="宋体" w:cs="宋体"/>
          <w:color w:val="auto"/>
          <w:sz w:val="24"/>
          <w:szCs w:val="24"/>
        </w:rPr>
        <w:t>信号输出：RS232/485，0-100mV，0-1V，0-5V，0-10V，0-20mA、4-20mA。</w:t>
      </w:r>
    </w:p>
    <w:p w14:paraId="7747E117">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6</w:t>
      </w:r>
      <w:r>
        <w:rPr>
          <w:rFonts w:hint="eastAsia" w:ascii="宋体" w:hAnsi="宋体" w:cs="宋体"/>
          <w:color w:val="auto"/>
          <w:sz w:val="24"/>
          <w:szCs w:val="24"/>
          <w:lang w:eastAsia="zh-CN"/>
        </w:rPr>
        <w:t>）</w:t>
      </w:r>
      <w:r>
        <w:rPr>
          <w:rFonts w:hint="eastAsia" w:ascii="宋体" w:hAnsi="宋体" w:eastAsia="宋体" w:cs="宋体"/>
          <w:color w:val="auto"/>
          <w:sz w:val="24"/>
          <w:szCs w:val="24"/>
        </w:rPr>
        <w:t>通讯协议：C-Link，Modbus，TCP/IP。</w:t>
      </w:r>
    </w:p>
    <w:p w14:paraId="3A2FEA4C">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7</w:t>
      </w:r>
      <w:r>
        <w:rPr>
          <w:rFonts w:hint="eastAsia" w:ascii="宋体" w:hAnsi="宋体" w:cs="宋体"/>
          <w:color w:val="auto"/>
          <w:sz w:val="24"/>
          <w:szCs w:val="24"/>
          <w:lang w:eastAsia="zh-CN"/>
        </w:rPr>
        <w:t>）</w:t>
      </w:r>
      <w:r>
        <w:rPr>
          <w:rFonts w:hint="eastAsia" w:ascii="宋体" w:hAnsi="宋体" w:eastAsia="宋体" w:cs="宋体"/>
          <w:color w:val="auto"/>
          <w:sz w:val="24"/>
          <w:szCs w:val="24"/>
        </w:rPr>
        <w:t>数据存储功能：数据存储时间不低于4个月。</w:t>
      </w:r>
    </w:p>
    <w:p w14:paraId="22062D90">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8</w:t>
      </w:r>
      <w:r>
        <w:rPr>
          <w:rFonts w:hint="eastAsia" w:ascii="宋体" w:hAnsi="宋体" w:cs="宋体"/>
          <w:color w:val="auto"/>
          <w:sz w:val="24"/>
          <w:szCs w:val="24"/>
          <w:lang w:eastAsia="zh-CN"/>
        </w:rPr>
        <w:t>）</w:t>
      </w:r>
      <w:r>
        <w:rPr>
          <w:rFonts w:hint="eastAsia" w:ascii="宋体" w:hAnsi="宋体" w:eastAsia="宋体" w:cs="宋体"/>
          <w:color w:val="auto"/>
          <w:sz w:val="24"/>
          <w:szCs w:val="24"/>
        </w:rPr>
        <w:t>认证要求：通过环境保护部环境监测仪器质量监督检验中心检定，属环境空气连续监测系统适用性检测合格名录内产品。</w:t>
      </w:r>
    </w:p>
    <w:p w14:paraId="46AA418F">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9</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技术指标：</w:t>
      </w:r>
    </w:p>
    <w:p w14:paraId="5D0902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）量程：0-500nmol/mol，具有量程自动切换功能。</w:t>
      </w:r>
    </w:p>
    <w:p w14:paraId="3D9F9B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）零点噪声：＜0.1 nmol/mol。</w:t>
      </w:r>
    </w:p>
    <w:p w14:paraId="6376F1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）量程噪声：≤0.3 nmol/mol。</w:t>
      </w:r>
    </w:p>
    <w:p w14:paraId="2F1DC9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）最低检出限：≤0.1 nmol/mol。</w:t>
      </w:r>
    </w:p>
    <w:p w14:paraId="0D0F23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）示值误差：≤±0.3%F.S.。</w:t>
      </w:r>
    </w:p>
    <w:p w14:paraId="18C87F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）20%量程精密度：≤0.3nmol/mol。</w:t>
      </w:r>
    </w:p>
    <w:p w14:paraId="5EDFB4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）80%量程精密度：≤1nmol/mol。</w:t>
      </w:r>
    </w:p>
    <w:p w14:paraId="5249D1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）24h 零点漂移：≤±0.1nmol/mol。</w:t>
      </w:r>
    </w:p>
    <w:p w14:paraId="69BC29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）24h 20%量程漂移：≤±1nmol/mol。</w:t>
      </w:r>
    </w:p>
    <w:p w14:paraId="729846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）24h 80%量程漂移：≤±2.5nmol/mol。</w:t>
      </w:r>
    </w:p>
    <w:p w14:paraId="56E644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）响应时间（上升/下降）：≤120秒/120秒。</w:t>
      </w:r>
    </w:p>
    <w:p w14:paraId="5AE457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）电压稳定性：≤±0.1%F.S.。</w:t>
      </w:r>
    </w:p>
    <w:p w14:paraId="0503F9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）流量稳定性：≤±1%。</w:t>
      </w:r>
    </w:p>
    <w:p w14:paraId="55FEF9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）转化炉：转化效率＞99%。</w:t>
      </w:r>
    </w:p>
    <w:p w14:paraId="2F8FAD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）环境温度变化的影响：≤0.2nmol/mol/℃。</w:t>
      </w:r>
    </w:p>
    <w:p w14:paraId="008F22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）干扰成分的影响：≤±0.1%F.S.（2.5% H</w:t>
      </w:r>
      <w:r>
        <w:rPr>
          <w:rFonts w:hint="eastAsia" w:ascii="宋体" w:hAnsi="宋体" w:eastAsia="宋体" w:cs="宋体"/>
          <w:color w:val="auto"/>
          <w:sz w:val="24"/>
          <w:szCs w:val="24"/>
          <w:vertAlign w:val="subscript"/>
        </w:rPr>
        <w:t>2</w:t>
      </w:r>
      <w:r>
        <w:rPr>
          <w:rFonts w:hint="eastAsia" w:ascii="宋体" w:hAnsi="宋体" w:eastAsia="宋体" w:cs="宋体"/>
          <w:color w:val="auto"/>
          <w:sz w:val="24"/>
          <w:szCs w:val="24"/>
        </w:rPr>
        <w:t>O）、≤±0.1%F.S.（1μmol/mol NH</w:t>
      </w:r>
      <w:r>
        <w:rPr>
          <w:rFonts w:hint="eastAsia" w:ascii="宋体" w:hAnsi="宋体" w:eastAsia="宋体" w:cs="宋体"/>
          <w:color w:val="auto"/>
          <w:sz w:val="24"/>
          <w:szCs w:val="24"/>
          <w:vertAlign w:val="subscript"/>
        </w:rPr>
        <w:t>3</w:t>
      </w:r>
      <w:r>
        <w:rPr>
          <w:rFonts w:hint="eastAsia" w:ascii="宋体" w:hAnsi="宋体" w:eastAsia="宋体" w:cs="宋体"/>
          <w:color w:val="auto"/>
          <w:sz w:val="24"/>
          <w:szCs w:val="24"/>
        </w:rPr>
        <w:t>）、≤±0.1%F.S.（0.2μmol/mol O</w:t>
      </w:r>
      <w:r>
        <w:rPr>
          <w:rFonts w:hint="eastAsia" w:ascii="宋体" w:hAnsi="宋体" w:eastAsia="宋体" w:cs="宋体"/>
          <w:color w:val="auto"/>
          <w:sz w:val="24"/>
          <w:szCs w:val="24"/>
          <w:vertAlign w:val="subscript"/>
        </w:rPr>
        <w:t>3</w:t>
      </w:r>
      <w:r>
        <w:rPr>
          <w:rFonts w:hint="eastAsia" w:ascii="宋体" w:hAnsi="宋体" w:eastAsia="宋体" w:cs="宋体"/>
          <w:color w:val="auto"/>
          <w:sz w:val="24"/>
          <w:szCs w:val="24"/>
        </w:rPr>
        <w:t>）、≤±0.5%F.S.（0.5μmol/mol SO</w:t>
      </w:r>
      <w:r>
        <w:rPr>
          <w:rFonts w:hint="eastAsia" w:ascii="宋体" w:hAnsi="宋体" w:eastAsia="宋体" w:cs="宋体"/>
          <w:color w:val="auto"/>
          <w:sz w:val="24"/>
          <w:szCs w:val="24"/>
          <w:vertAlign w:val="subscript"/>
        </w:rPr>
        <w:t>2</w:t>
      </w:r>
      <w:r>
        <w:rPr>
          <w:rFonts w:hint="eastAsia" w:ascii="宋体" w:hAnsi="宋体" w:eastAsia="宋体" w:cs="宋体"/>
          <w:color w:val="auto"/>
          <w:sz w:val="24"/>
          <w:szCs w:val="24"/>
        </w:rPr>
        <w:t>）。</w:t>
      </w:r>
    </w:p>
    <w:p w14:paraId="0E3346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）采样口与校准口浓度偏差：≤0.2%。</w:t>
      </w:r>
    </w:p>
    <w:p w14:paraId="602696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18</w:t>
      </w:r>
      <w:r>
        <w:rPr>
          <w:rFonts w:hint="eastAsia" w:ascii="宋体" w:hAnsi="宋体" w:eastAsia="宋体" w:cs="宋体"/>
          <w:color w:val="auto"/>
          <w:sz w:val="24"/>
          <w:szCs w:val="24"/>
        </w:rPr>
        <w:t>）7d长期零点漂移：≤±0.6nmol/mol。</w:t>
      </w:r>
    </w:p>
    <w:p w14:paraId="3A8304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19</w:t>
      </w:r>
      <w:r>
        <w:rPr>
          <w:rFonts w:hint="eastAsia" w:ascii="宋体" w:hAnsi="宋体" w:eastAsia="宋体" w:cs="宋体"/>
          <w:color w:val="auto"/>
          <w:sz w:val="24"/>
          <w:szCs w:val="24"/>
        </w:rPr>
        <w:t>）7d长期量程漂移：≤±8.0nmol/mol。</w:t>
      </w:r>
    </w:p>
    <w:p w14:paraId="066D23CE">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O</w:t>
      </w:r>
      <w:r>
        <w:rPr>
          <w:rFonts w:hint="eastAsia" w:ascii="宋体" w:hAnsi="宋体" w:eastAsia="宋体" w:cs="宋体"/>
          <w:b/>
          <w:bCs/>
          <w:color w:val="auto"/>
          <w:sz w:val="24"/>
          <w:szCs w:val="24"/>
          <w:vertAlign w:val="subscript"/>
        </w:rPr>
        <w:t>3</w:t>
      </w:r>
      <w:r>
        <w:rPr>
          <w:rFonts w:hint="eastAsia" w:ascii="宋体" w:hAnsi="宋体" w:eastAsia="宋体" w:cs="宋体"/>
          <w:b/>
          <w:bCs/>
          <w:color w:val="auto"/>
          <w:sz w:val="24"/>
          <w:szCs w:val="24"/>
        </w:rPr>
        <w:t>分析仪</w:t>
      </w:r>
    </w:p>
    <w:p w14:paraId="1D104051">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w:t>
      </w:r>
      <w:r>
        <w:rPr>
          <w:rFonts w:hint="eastAsia" w:ascii="宋体" w:hAnsi="宋体" w:eastAsia="宋体" w:cs="宋体"/>
          <w:color w:val="auto"/>
          <w:sz w:val="24"/>
          <w:szCs w:val="24"/>
        </w:rPr>
        <w:t>分析方法：紫外吸收法。</w:t>
      </w:r>
    </w:p>
    <w:p w14:paraId="2403586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w:t>
      </w:r>
      <w:r>
        <w:rPr>
          <w:rFonts w:hint="eastAsia" w:ascii="宋体" w:hAnsi="宋体" w:cs="宋体"/>
          <w:color w:val="auto"/>
          <w:sz w:val="24"/>
          <w:szCs w:val="24"/>
          <w:lang w:eastAsia="zh-CN"/>
        </w:rPr>
        <w:t>）</w:t>
      </w:r>
      <w:r>
        <w:rPr>
          <w:rFonts w:hint="eastAsia" w:ascii="宋体" w:hAnsi="宋体" w:eastAsia="宋体" w:cs="宋体"/>
          <w:color w:val="auto"/>
          <w:sz w:val="24"/>
          <w:szCs w:val="24"/>
        </w:rPr>
        <w:t>光池结构：采用与SRP臭氧标准一致的双光室检测系统，实现样气真正“无间断”连续测量，且消除光学器件老化导致的数据漂移。</w:t>
      </w:r>
    </w:p>
    <w:p w14:paraId="10D8CECC">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cs="宋体"/>
          <w:color w:val="auto"/>
          <w:sz w:val="24"/>
          <w:szCs w:val="24"/>
          <w:lang w:eastAsia="zh-CN"/>
        </w:rPr>
        <w:t>）</w:t>
      </w:r>
      <w:r>
        <w:rPr>
          <w:rFonts w:hint="eastAsia" w:ascii="宋体" w:hAnsi="宋体" w:eastAsia="宋体" w:cs="宋体"/>
          <w:color w:val="auto"/>
          <w:sz w:val="24"/>
          <w:szCs w:val="24"/>
        </w:rPr>
        <w:t>控制方式：具有远程操作软件，可进行远程查看、操作、诊断和设置。</w:t>
      </w:r>
    </w:p>
    <w:p w14:paraId="270A6935">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w:t>
      </w:r>
      <w:r>
        <w:rPr>
          <w:rFonts w:hint="eastAsia" w:ascii="宋体" w:hAnsi="宋体" w:eastAsia="宋体" w:cs="宋体"/>
          <w:color w:val="auto"/>
          <w:sz w:val="24"/>
          <w:szCs w:val="24"/>
        </w:rPr>
        <w:t>电源要求：220VAC，50Hz。</w:t>
      </w:r>
    </w:p>
    <w:p w14:paraId="5E48AD0F">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5</w:t>
      </w:r>
      <w:r>
        <w:rPr>
          <w:rFonts w:hint="eastAsia" w:ascii="宋体" w:hAnsi="宋体" w:cs="宋体"/>
          <w:color w:val="auto"/>
          <w:sz w:val="24"/>
          <w:szCs w:val="24"/>
          <w:lang w:eastAsia="zh-CN"/>
        </w:rPr>
        <w:t>）</w:t>
      </w:r>
      <w:r>
        <w:rPr>
          <w:rFonts w:hint="eastAsia" w:ascii="宋体" w:hAnsi="宋体" w:eastAsia="宋体" w:cs="宋体"/>
          <w:color w:val="auto"/>
          <w:sz w:val="24"/>
          <w:szCs w:val="24"/>
        </w:rPr>
        <w:t>信号输出：RS232/485，0-100mV，0-1V，0-5V，0-10V，0-20mA、4-20mA。</w:t>
      </w:r>
    </w:p>
    <w:p w14:paraId="722BAA0D">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6</w:t>
      </w:r>
      <w:r>
        <w:rPr>
          <w:rFonts w:hint="eastAsia" w:ascii="宋体" w:hAnsi="宋体" w:cs="宋体"/>
          <w:color w:val="auto"/>
          <w:sz w:val="24"/>
          <w:szCs w:val="24"/>
          <w:lang w:eastAsia="zh-CN"/>
        </w:rPr>
        <w:t>）</w:t>
      </w:r>
      <w:r>
        <w:rPr>
          <w:rFonts w:hint="eastAsia" w:ascii="宋体" w:hAnsi="宋体" w:eastAsia="宋体" w:cs="宋体"/>
          <w:color w:val="auto"/>
          <w:sz w:val="24"/>
          <w:szCs w:val="24"/>
        </w:rPr>
        <w:t>通讯协议：C-Link，Modbus，TCP/IP。</w:t>
      </w:r>
    </w:p>
    <w:p w14:paraId="565B622A">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7</w:t>
      </w:r>
      <w:r>
        <w:rPr>
          <w:rFonts w:hint="eastAsia" w:ascii="宋体" w:hAnsi="宋体" w:cs="宋体"/>
          <w:color w:val="auto"/>
          <w:sz w:val="24"/>
          <w:szCs w:val="24"/>
          <w:lang w:eastAsia="zh-CN"/>
        </w:rPr>
        <w:t>）</w:t>
      </w:r>
      <w:r>
        <w:rPr>
          <w:rFonts w:hint="eastAsia" w:ascii="宋体" w:hAnsi="宋体" w:eastAsia="宋体" w:cs="宋体"/>
          <w:color w:val="auto"/>
          <w:sz w:val="24"/>
          <w:szCs w:val="24"/>
        </w:rPr>
        <w:t>认证要求：通过环境保护部环境监测仪器质量监督检验中心检定，属环境空气连续监测系统适用性检测合格名录内产品。</w:t>
      </w:r>
    </w:p>
    <w:p w14:paraId="665614D8">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8</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技术指标：</w:t>
      </w:r>
    </w:p>
    <w:p w14:paraId="6278CE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）量程：0-500nmol/mol，具有量程自动切换功能。</w:t>
      </w:r>
    </w:p>
    <w:p w14:paraId="5F5F22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）零点噪声：≤0.1nmol/mol。</w:t>
      </w:r>
    </w:p>
    <w:p w14:paraId="69718F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）量程噪声：≤0.7nmol/mol。</w:t>
      </w:r>
    </w:p>
    <w:p w14:paraId="5FCB72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）最低检出限：≤0.2nmol/mol。</w:t>
      </w:r>
    </w:p>
    <w:p w14:paraId="0AE480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）示值误差：≤±0.4%F.S.。</w:t>
      </w:r>
    </w:p>
    <w:p w14:paraId="7B274D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）20%量程精密度：≤0.3nmol/mol。</w:t>
      </w:r>
    </w:p>
    <w:p w14:paraId="2DD5C7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）80%量程精密度：≤0.5nmol/mol。</w:t>
      </w:r>
    </w:p>
    <w:p w14:paraId="7D5442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）24h 零点漂移：≤±0.2nmol/mol。</w:t>
      </w:r>
    </w:p>
    <w:p w14:paraId="247CE5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）24h 20%量程漂移：≤±2nmol/mol。</w:t>
      </w:r>
    </w:p>
    <w:p w14:paraId="668FE2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0</w:t>
      </w:r>
      <w:r>
        <w:rPr>
          <w:rFonts w:hint="eastAsia" w:ascii="宋体" w:hAnsi="宋体" w:eastAsia="宋体" w:cs="宋体"/>
          <w:color w:val="auto"/>
          <w:sz w:val="24"/>
          <w:szCs w:val="24"/>
        </w:rPr>
        <w:t>）24h 80%量程漂移：≤±3nmol/mol。</w:t>
      </w:r>
    </w:p>
    <w:p w14:paraId="38FB5A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）响应时间（上升/下降）：≤120秒/120秒。</w:t>
      </w:r>
    </w:p>
    <w:p w14:paraId="1DCA31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）电压稳定性：≤±0.7%F.S.。</w:t>
      </w:r>
    </w:p>
    <w:p w14:paraId="70E7D2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）流量稳定性：≤±1%。</w:t>
      </w:r>
    </w:p>
    <w:p w14:paraId="185F46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）环境温度变化的影响：≤0.2nmol/mol/℃。</w:t>
      </w:r>
    </w:p>
    <w:p w14:paraId="1A12F1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）干扰成分的影响：≤±0.3%F.S.（2% H</w:t>
      </w:r>
      <w:r>
        <w:rPr>
          <w:rFonts w:hint="eastAsia" w:ascii="宋体" w:hAnsi="宋体" w:eastAsia="宋体" w:cs="宋体"/>
          <w:color w:val="auto"/>
          <w:sz w:val="24"/>
          <w:szCs w:val="24"/>
          <w:vertAlign w:val="subscript"/>
        </w:rPr>
        <w:t>2</w:t>
      </w:r>
      <w:r>
        <w:rPr>
          <w:rFonts w:hint="eastAsia" w:ascii="宋体" w:hAnsi="宋体" w:eastAsia="宋体" w:cs="宋体"/>
          <w:color w:val="auto"/>
          <w:sz w:val="24"/>
          <w:szCs w:val="24"/>
        </w:rPr>
        <w:t>O）、≤±0.1%F.S.（1μmol/mol 甲苯）、≤±0.4%F.S.（0.2μmol/mol SO</w:t>
      </w:r>
      <w:r>
        <w:rPr>
          <w:rFonts w:hint="eastAsia" w:ascii="宋体" w:hAnsi="宋体" w:eastAsia="宋体" w:cs="宋体"/>
          <w:color w:val="auto"/>
          <w:sz w:val="24"/>
          <w:szCs w:val="24"/>
          <w:vertAlign w:val="subscript"/>
        </w:rPr>
        <w:t>2</w:t>
      </w:r>
      <w:r>
        <w:rPr>
          <w:rFonts w:hint="eastAsia" w:ascii="宋体" w:hAnsi="宋体" w:eastAsia="宋体" w:cs="宋体"/>
          <w:color w:val="auto"/>
          <w:sz w:val="24"/>
          <w:szCs w:val="24"/>
        </w:rPr>
        <w:t>）、≤±0.1%F.S.（0.5μmol/mol NO/NO</w:t>
      </w:r>
      <w:r>
        <w:rPr>
          <w:rFonts w:hint="eastAsia" w:ascii="宋体" w:hAnsi="宋体" w:eastAsia="宋体" w:cs="宋体"/>
          <w:color w:val="auto"/>
          <w:sz w:val="24"/>
          <w:szCs w:val="24"/>
          <w:vertAlign w:val="subscript"/>
        </w:rPr>
        <w:t>2</w:t>
      </w:r>
      <w:r>
        <w:rPr>
          <w:rFonts w:hint="eastAsia" w:ascii="宋体" w:hAnsi="宋体" w:eastAsia="宋体" w:cs="宋体"/>
          <w:color w:val="auto"/>
          <w:sz w:val="24"/>
          <w:szCs w:val="24"/>
        </w:rPr>
        <w:t>）。</w:t>
      </w:r>
    </w:p>
    <w:p w14:paraId="63C3CE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）采样口与校准口浓度偏差：≤0.1%。</w:t>
      </w:r>
    </w:p>
    <w:p w14:paraId="69E2E0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）7d长期零点漂移：±0.6nmol/mol。</w:t>
      </w:r>
    </w:p>
    <w:p w14:paraId="486D17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18</w:t>
      </w:r>
      <w:r>
        <w:rPr>
          <w:rFonts w:hint="eastAsia" w:ascii="宋体" w:hAnsi="宋体" w:eastAsia="宋体" w:cs="宋体"/>
          <w:color w:val="auto"/>
          <w:sz w:val="24"/>
          <w:szCs w:val="24"/>
        </w:rPr>
        <w:t>）7d长期量程漂移：±9.0nmol/mol。</w:t>
      </w:r>
    </w:p>
    <w:p w14:paraId="08B0914F">
      <w:pPr>
        <w:spacing w:line="360" w:lineRule="auto"/>
        <w:rPr>
          <w:rFonts w:hint="eastAsia" w:ascii="宋体" w:hAnsi="宋体" w:eastAsia="宋体" w:cs="宋体"/>
          <w:b/>
          <w:bCs/>
          <w:color w:val="auto"/>
          <w:sz w:val="24"/>
          <w:szCs w:val="24"/>
        </w:rPr>
      </w:pPr>
    </w:p>
    <w:p w14:paraId="72C77125">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CO分析仪</w:t>
      </w:r>
    </w:p>
    <w:p w14:paraId="684C8BAE">
      <w:pPr>
        <w:numPr>
          <w:ilvl w:val="0"/>
          <w:numId w:val="0"/>
        </w:num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w:t>
      </w:r>
      <w:r>
        <w:rPr>
          <w:rFonts w:hint="eastAsia" w:ascii="宋体" w:hAnsi="宋体" w:eastAsia="宋体" w:cs="宋体"/>
          <w:color w:val="auto"/>
          <w:sz w:val="24"/>
          <w:szCs w:val="24"/>
        </w:rPr>
        <w:t>分析方法：气体滤波相关红外吸收法。</w:t>
      </w:r>
    </w:p>
    <w:p w14:paraId="2AF7378F">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w:t>
      </w:r>
      <w:r>
        <w:rPr>
          <w:rFonts w:hint="eastAsia" w:ascii="宋体" w:hAnsi="宋体" w:cs="宋体"/>
          <w:color w:val="auto"/>
          <w:sz w:val="24"/>
          <w:szCs w:val="24"/>
          <w:lang w:eastAsia="zh-CN"/>
        </w:rPr>
        <w:t>）</w:t>
      </w:r>
      <w:r>
        <w:rPr>
          <w:rFonts w:hint="eastAsia" w:ascii="宋体" w:hAnsi="宋体" w:eastAsia="宋体" w:cs="宋体"/>
          <w:color w:val="auto"/>
          <w:sz w:val="24"/>
          <w:szCs w:val="24"/>
        </w:rPr>
        <w:t>控制方式：具有远程操作软件，可进行远程查看、操作、诊断和设置。</w:t>
      </w:r>
    </w:p>
    <w:p w14:paraId="06299DEA">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cs="宋体"/>
          <w:color w:val="auto"/>
          <w:sz w:val="24"/>
          <w:szCs w:val="24"/>
          <w:lang w:eastAsia="zh-CN"/>
        </w:rPr>
        <w:t>）</w:t>
      </w:r>
      <w:r>
        <w:rPr>
          <w:rFonts w:hint="eastAsia" w:ascii="宋体" w:hAnsi="宋体" w:eastAsia="宋体" w:cs="宋体"/>
          <w:color w:val="auto"/>
          <w:sz w:val="24"/>
          <w:szCs w:val="24"/>
        </w:rPr>
        <w:t>电源要求：220VAC，50Hz。</w:t>
      </w:r>
    </w:p>
    <w:p w14:paraId="48412DF7">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w:t>
      </w:r>
      <w:r>
        <w:rPr>
          <w:rFonts w:hint="eastAsia" w:ascii="宋体" w:hAnsi="宋体" w:eastAsia="宋体" w:cs="宋体"/>
          <w:color w:val="auto"/>
          <w:sz w:val="24"/>
          <w:szCs w:val="24"/>
        </w:rPr>
        <w:t>信号输出：RS232/485，0-100mV，0-1V，0-5V，0-10V，0-20mA、4-20mA。</w:t>
      </w:r>
    </w:p>
    <w:p w14:paraId="6DA25900">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5</w:t>
      </w:r>
      <w:r>
        <w:rPr>
          <w:rFonts w:hint="eastAsia" w:ascii="宋体" w:hAnsi="宋体" w:cs="宋体"/>
          <w:color w:val="auto"/>
          <w:sz w:val="24"/>
          <w:szCs w:val="24"/>
          <w:lang w:eastAsia="zh-CN"/>
        </w:rPr>
        <w:t>）</w:t>
      </w:r>
      <w:r>
        <w:rPr>
          <w:rFonts w:hint="eastAsia" w:ascii="宋体" w:hAnsi="宋体" w:eastAsia="宋体" w:cs="宋体"/>
          <w:color w:val="auto"/>
          <w:sz w:val="24"/>
          <w:szCs w:val="24"/>
        </w:rPr>
        <w:t>通讯协议：C-Link，Modbus，TCP/IP。</w:t>
      </w:r>
    </w:p>
    <w:p w14:paraId="0953CEC8">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6</w:t>
      </w:r>
      <w:r>
        <w:rPr>
          <w:rFonts w:hint="eastAsia" w:ascii="宋体" w:hAnsi="宋体" w:cs="宋体"/>
          <w:color w:val="auto"/>
          <w:sz w:val="24"/>
          <w:szCs w:val="24"/>
          <w:lang w:eastAsia="zh-CN"/>
        </w:rPr>
        <w:t>）</w:t>
      </w:r>
      <w:r>
        <w:rPr>
          <w:rFonts w:hint="eastAsia" w:ascii="宋体" w:hAnsi="宋体" w:eastAsia="宋体" w:cs="宋体"/>
          <w:color w:val="auto"/>
          <w:sz w:val="24"/>
          <w:szCs w:val="24"/>
        </w:rPr>
        <w:t>数据存储功能：数据存储时间不低于4个月。</w:t>
      </w:r>
    </w:p>
    <w:p w14:paraId="5226B510">
      <w:pPr>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7</w:t>
      </w:r>
      <w:r>
        <w:rPr>
          <w:rFonts w:hint="eastAsia" w:ascii="宋体" w:hAnsi="宋体" w:cs="宋体"/>
          <w:color w:val="auto"/>
          <w:sz w:val="24"/>
          <w:szCs w:val="24"/>
          <w:lang w:eastAsia="zh-CN"/>
        </w:rPr>
        <w:t>）</w:t>
      </w:r>
      <w:r>
        <w:rPr>
          <w:rFonts w:hint="eastAsia" w:ascii="宋体" w:hAnsi="宋体" w:eastAsia="宋体" w:cs="宋体"/>
          <w:color w:val="auto"/>
          <w:sz w:val="24"/>
          <w:szCs w:val="24"/>
        </w:rPr>
        <w:t>认证要求：通过环境保护部环境监测仪器质量监督检验中心检定，属环境空气连续监测系统适用性检测合格名录内产品。</w:t>
      </w:r>
    </w:p>
    <w:p w14:paraId="5A6191E5">
      <w:pPr>
        <w:pStyle w:val="40"/>
        <w:widowControl w:val="0"/>
        <w:numPr>
          <w:ilvl w:val="0"/>
          <w:numId w:val="0"/>
        </w:numPr>
        <w:spacing w:line="360" w:lineRule="auto"/>
        <w:jc w:val="left"/>
        <w:rPr>
          <w:rFonts w:hint="eastAsia"/>
          <w:color w:val="auto"/>
        </w:rPr>
      </w:pP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8</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技术指标：</w:t>
      </w:r>
    </w:p>
    <w:p w14:paraId="5B977A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）量程：0-50 μmol/mol，具有量程自动切换功能。</w:t>
      </w:r>
    </w:p>
    <w:p w14:paraId="2479DD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）零点噪声：＜0.1μmol/mol。</w:t>
      </w:r>
    </w:p>
    <w:p w14:paraId="690A39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）量程噪声：＜0.1μmol/mol。</w:t>
      </w:r>
    </w:p>
    <w:p w14:paraId="1AE2BD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）最低检出限：＜0.1μmol/mol。</w:t>
      </w:r>
    </w:p>
    <w:p w14:paraId="079B66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）示值误差：≤±0.2%F.S.。</w:t>
      </w:r>
    </w:p>
    <w:p w14:paraId="6FC8C4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）20%量程精密度：≤0.1μmol/mol。</w:t>
      </w:r>
    </w:p>
    <w:p w14:paraId="0435AE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）80%量程精密度：≤0.1μmol/mol。</w:t>
      </w:r>
    </w:p>
    <w:p w14:paraId="1A6E78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）24h 零点漂移：≤±0.1μmol/mol。</w:t>
      </w:r>
    </w:p>
    <w:p w14:paraId="1B1597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）24h 20%量程漂移：≤±0.2μmol/mol。</w:t>
      </w:r>
    </w:p>
    <w:p w14:paraId="266F02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0</w:t>
      </w:r>
      <w:r>
        <w:rPr>
          <w:rFonts w:hint="eastAsia" w:ascii="宋体" w:hAnsi="宋体" w:eastAsia="宋体" w:cs="宋体"/>
          <w:color w:val="auto"/>
          <w:sz w:val="24"/>
          <w:szCs w:val="24"/>
        </w:rPr>
        <w:t>）24h 80%量程漂移：≤±0.4μmol/mol。</w:t>
      </w:r>
    </w:p>
    <w:p w14:paraId="0BC0AC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）响应时间（上升/下降）：≤120秒/120秒。</w:t>
      </w:r>
    </w:p>
    <w:p w14:paraId="79A061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）电压稳定性：≤±0.6%F.S.。</w:t>
      </w:r>
    </w:p>
    <w:p w14:paraId="3938BC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）流量稳定性：≤±0.8%。</w:t>
      </w:r>
    </w:p>
    <w:p w14:paraId="123950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）环境温度变化影响：≤0.1μmol/mol/℃。</w:t>
      </w:r>
    </w:p>
    <w:p w14:paraId="3BD58A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）干扰成分的影响：≤±0.2%F.S.（2.5% H</w:t>
      </w:r>
      <w:r>
        <w:rPr>
          <w:rFonts w:hint="eastAsia" w:ascii="宋体" w:hAnsi="宋体" w:eastAsia="宋体" w:cs="宋体"/>
          <w:color w:val="auto"/>
          <w:sz w:val="24"/>
          <w:szCs w:val="24"/>
          <w:vertAlign w:val="subscript"/>
        </w:rPr>
        <w:t>2</w:t>
      </w:r>
      <w:r>
        <w:rPr>
          <w:rFonts w:hint="eastAsia" w:ascii="宋体" w:hAnsi="宋体" w:eastAsia="宋体" w:cs="宋体"/>
          <w:color w:val="auto"/>
          <w:sz w:val="24"/>
          <w:szCs w:val="24"/>
        </w:rPr>
        <w:t>O）、≤±0.1%F.S.（1000μmol/mol CO</w:t>
      </w:r>
      <w:r>
        <w:rPr>
          <w:rFonts w:hint="eastAsia" w:ascii="宋体" w:hAnsi="宋体" w:eastAsia="宋体" w:cs="宋体"/>
          <w:color w:val="auto"/>
          <w:sz w:val="24"/>
          <w:szCs w:val="24"/>
          <w:vertAlign w:val="subscript"/>
        </w:rPr>
        <w:t>2</w:t>
      </w:r>
      <w:r>
        <w:rPr>
          <w:rFonts w:hint="eastAsia" w:ascii="宋体" w:hAnsi="宋体" w:eastAsia="宋体" w:cs="宋体"/>
          <w:color w:val="auto"/>
          <w:sz w:val="24"/>
          <w:szCs w:val="24"/>
        </w:rPr>
        <w:t>）。</w:t>
      </w:r>
    </w:p>
    <w:p w14:paraId="0A1FA1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）采样口与校准口浓度偏差：≤±0.2%。</w:t>
      </w:r>
    </w:p>
    <w:p w14:paraId="7A7E8D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）7d长期零点漂移：≤±0.3μmol/mol。</w:t>
      </w:r>
    </w:p>
    <w:p w14:paraId="76DAC7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微软雅黑" w:hAnsi="微软雅黑" w:eastAsia="微软雅黑" w:cs="微软雅黑"/>
          <w:color w:val="auto"/>
          <w:sz w:val="24"/>
          <w:szCs w:val="24"/>
          <w:lang w:val="en-US" w:eastAsia="zh-CN"/>
        </w:rPr>
        <w:t>▲</w:t>
      </w: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）7d长期量程漂移：≤±0.5μmol/mol。</w:t>
      </w:r>
    </w:p>
    <w:p w14:paraId="76894AA7">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动态校准仪</w:t>
      </w:r>
    </w:p>
    <w:p w14:paraId="4CBFB70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1）功能：可以提供浓度精确的用户需要的标准气体，各种浓度的气体可以用于气体分析仪器的零点检查/校准、跨度检查/校准、精度检查、性能审核和多点检查/校准等。</w:t>
      </w:r>
    </w:p>
    <w:p w14:paraId="0C01EE7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2）基本配置：流量计为质量流量计（MFC）；配置臭氧发生器，可进行气相滴定；配置光度计，可进行臭氧溯源校准。</w:t>
      </w:r>
    </w:p>
    <w:p w14:paraId="1448CC8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 标气输入口：至少3个。</w:t>
      </w:r>
    </w:p>
    <w:p w14:paraId="47DA52F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 稀释气（零气）流量范围：0-10 SLPM。</w:t>
      </w:r>
    </w:p>
    <w:p w14:paraId="1DACDED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5） 钢瓶气（标气）流量范围：0-100SCCM。</w:t>
      </w:r>
    </w:p>
    <w:p w14:paraId="1FC8471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6）稀释比率：1/100~1/1000。</w:t>
      </w:r>
    </w:p>
    <w:p w14:paraId="0736423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7） 流量线性误差：≤±0.5% F.S.。</w:t>
      </w:r>
    </w:p>
    <w:p w14:paraId="47980D5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8） 臭氧输出：10nmol/mol~1μmol/mol。</w:t>
      </w:r>
    </w:p>
    <w:p w14:paraId="03C9F55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9）臭氧发生浓度误差：≤±1.5%。</w:t>
      </w:r>
    </w:p>
    <w:p w14:paraId="5011338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10）光度计量程：0.05 ~5μmol/mol。</w:t>
      </w:r>
    </w:p>
    <w:p w14:paraId="5D6F727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11）光度计线性度：≤±1%F.S.。</w:t>
      </w:r>
    </w:p>
    <w:p w14:paraId="1A8B5C0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12)</w:t>
      </w:r>
      <w:r>
        <w:rPr>
          <w:rFonts w:hint="eastAsia" w:ascii="宋体" w:hAnsi="宋体" w:eastAsia="宋体" w:cs="宋体"/>
          <w:color w:val="auto"/>
          <w:sz w:val="24"/>
          <w:szCs w:val="24"/>
        </w:rPr>
        <w:tab/>
      </w:r>
      <w:r>
        <w:rPr>
          <w:rFonts w:hint="eastAsia" w:ascii="宋体" w:hAnsi="宋体" w:eastAsia="宋体" w:cs="宋体"/>
          <w:color w:val="auto"/>
          <w:sz w:val="24"/>
          <w:szCs w:val="24"/>
        </w:rPr>
        <w:t>电源要求：220VAC，50Hz。</w:t>
      </w:r>
    </w:p>
    <w:p w14:paraId="27DE5F56">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零气发生器</w:t>
      </w:r>
    </w:p>
    <w:p w14:paraId="65FEC06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1）基本配置：具有CO/HC转换器、Purafil氧化罐和活性炭罐。</w:t>
      </w:r>
    </w:p>
    <w:p w14:paraId="7C4197EC">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2）输出气压：10-30PSI。</w:t>
      </w:r>
    </w:p>
    <w:p w14:paraId="01442C4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3）输出流量：0～10L/min。</w:t>
      </w:r>
    </w:p>
    <w:p w14:paraId="054990C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 零气纯度： NO &lt; 0.5 nmol/mol，NO</w:t>
      </w:r>
      <w:r>
        <w:rPr>
          <w:rFonts w:hint="eastAsia" w:ascii="宋体" w:hAnsi="宋体" w:eastAsia="宋体" w:cs="宋体"/>
          <w:color w:val="auto"/>
          <w:sz w:val="24"/>
          <w:szCs w:val="24"/>
          <w:vertAlign w:val="subscript"/>
        </w:rPr>
        <w:t>2</w:t>
      </w:r>
      <w:r>
        <w:rPr>
          <w:rFonts w:hint="eastAsia" w:ascii="宋体" w:hAnsi="宋体" w:eastAsia="宋体" w:cs="宋体"/>
          <w:color w:val="auto"/>
          <w:sz w:val="24"/>
          <w:szCs w:val="24"/>
        </w:rPr>
        <w:t xml:space="preserve"> &lt; 0.5 nmol/mol，O</w:t>
      </w:r>
      <w:r>
        <w:rPr>
          <w:rFonts w:hint="eastAsia" w:ascii="宋体" w:hAnsi="宋体" w:eastAsia="宋体" w:cs="宋体"/>
          <w:color w:val="auto"/>
          <w:sz w:val="24"/>
          <w:szCs w:val="24"/>
          <w:vertAlign w:val="subscript"/>
        </w:rPr>
        <w:t>3</w:t>
      </w:r>
      <w:r>
        <w:rPr>
          <w:rFonts w:hint="eastAsia" w:ascii="宋体" w:hAnsi="宋体" w:eastAsia="宋体" w:cs="宋体"/>
          <w:color w:val="auto"/>
          <w:sz w:val="24"/>
          <w:szCs w:val="24"/>
        </w:rPr>
        <w:t xml:space="preserve"> &lt; 0.5 nmol/mol，SO</w:t>
      </w:r>
      <w:r>
        <w:rPr>
          <w:rFonts w:hint="eastAsia" w:ascii="宋体" w:hAnsi="宋体" w:eastAsia="宋体" w:cs="宋体"/>
          <w:color w:val="auto"/>
          <w:sz w:val="24"/>
          <w:szCs w:val="24"/>
          <w:vertAlign w:val="subscript"/>
        </w:rPr>
        <w:t>2</w:t>
      </w:r>
      <w:r>
        <w:rPr>
          <w:rFonts w:hint="eastAsia" w:ascii="宋体" w:hAnsi="宋体" w:eastAsia="宋体" w:cs="宋体"/>
          <w:color w:val="auto"/>
          <w:sz w:val="24"/>
          <w:szCs w:val="24"/>
        </w:rPr>
        <w:t xml:space="preserve"> &lt; 0.5 nmol/mol，H</w:t>
      </w:r>
      <w:r>
        <w:rPr>
          <w:rFonts w:hint="eastAsia" w:ascii="宋体" w:hAnsi="宋体" w:eastAsia="宋体" w:cs="宋体"/>
          <w:color w:val="auto"/>
          <w:sz w:val="24"/>
          <w:szCs w:val="24"/>
          <w:vertAlign w:val="subscript"/>
        </w:rPr>
        <w:t>2</w:t>
      </w:r>
      <w:r>
        <w:rPr>
          <w:rFonts w:hint="eastAsia" w:ascii="宋体" w:hAnsi="宋体" w:eastAsia="宋体" w:cs="宋体"/>
          <w:color w:val="auto"/>
          <w:sz w:val="24"/>
          <w:szCs w:val="24"/>
        </w:rPr>
        <w:t>S &lt; 0.5 nmol/mol，NH</w:t>
      </w:r>
      <w:r>
        <w:rPr>
          <w:rFonts w:hint="eastAsia" w:ascii="宋体" w:hAnsi="宋体" w:eastAsia="宋体" w:cs="宋体"/>
          <w:color w:val="auto"/>
          <w:sz w:val="24"/>
          <w:szCs w:val="24"/>
          <w:vertAlign w:val="subscript"/>
        </w:rPr>
        <w:t xml:space="preserve">3 </w:t>
      </w:r>
      <w:r>
        <w:rPr>
          <w:rFonts w:hint="eastAsia" w:ascii="宋体" w:hAnsi="宋体" w:eastAsia="宋体" w:cs="宋体"/>
          <w:color w:val="auto"/>
          <w:sz w:val="24"/>
          <w:szCs w:val="24"/>
        </w:rPr>
        <w:t>&lt; 0.5 nmol/mol，CO &lt; 20 nmol/mol，HC &lt; 0.1 μmol/mol，</w:t>
      </w:r>
    </w:p>
    <w:p w14:paraId="1C675A84">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5）露点：≤0℃。</w:t>
      </w:r>
    </w:p>
    <w:p w14:paraId="660178AD">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p>
    <w:p w14:paraId="187BEB92">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1.2.3 UPS电源技术要求、性能指标应符合如下要求：</w:t>
      </w:r>
    </w:p>
    <w:p w14:paraId="7F0E3A1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至少保证整个站房包括仪器设备（不含空调）的4 小时的用电。</w:t>
      </w:r>
    </w:p>
    <w:p w14:paraId="23439F2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自动开机：市电中断，UPS 在电池模式下放电至关机；当市电恢复时，UPS 可自动开机，方便无人值守情况下的电源管理。</w:t>
      </w:r>
    </w:p>
    <w:p w14:paraId="3236722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开机自检功能：开机时，能自动模拟断电状况，对逆变器、电池进行自检，并做出准确、可靠的判断，全面提升负载的安全性。</w:t>
      </w:r>
    </w:p>
    <w:p w14:paraId="17D0EEA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面板简洁，操作方便。具备直流开机功能，超静音设计。</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8"/>
        <w:gridCol w:w="1469"/>
        <w:gridCol w:w="7335"/>
      </w:tblGrid>
      <w:tr w14:paraId="4A132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5" w:type="pct"/>
            <w:gridSpan w:val="2"/>
            <w:tcBorders>
              <w:top w:val="single" w:color="auto" w:sz="4" w:space="0"/>
              <w:left w:val="single" w:color="auto" w:sz="4" w:space="0"/>
              <w:bottom w:val="single" w:color="auto" w:sz="4" w:space="0"/>
              <w:right w:val="single" w:color="auto" w:sz="4" w:space="0"/>
            </w:tcBorders>
          </w:tcPr>
          <w:p w14:paraId="4182CA39">
            <w:pPr>
              <w:pStyle w:val="35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额定容量</w:t>
            </w:r>
          </w:p>
        </w:tc>
        <w:tc>
          <w:tcPr>
            <w:tcW w:w="3714" w:type="pct"/>
            <w:tcBorders>
              <w:top w:val="single" w:color="auto" w:sz="4" w:space="0"/>
              <w:left w:val="single" w:color="auto" w:sz="4" w:space="0"/>
              <w:bottom w:val="single" w:color="auto" w:sz="4" w:space="0"/>
              <w:right w:val="single" w:color="auto" w:sz="4" w:space="0"/>
            </w:tcBorders>
          </w:tcPr>
          <w:p w14:paraId="06987928">
            <w:pPr>
              <w:pStyle w:val="35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KVA/</w:t>
            </w:r>
            <w:r>
              <w:rPr>
                <w:rFonts w:hint="eastAsia" w:ascii="宋体" w:hAnsi="宋体" w:eastAsia="宋体" w:cs="宋体"/>
                <w:i w:val="0"/>
                <w:iCs w:val="0"/>
                <w:color w:val="auto"/>
                <w:kern w:val="0"/>
                <w:sz w:val="24"/>
                <w:szCs w:val="24"/>
                <w:u w:val="none"/>
                <w:lang w:val="en-US" w:eastAsia="zh-CN" w:bidi="ar"/>
              </w:rPr>
              <w:t>13.5</w:t>
            </w:r>
            <w:r>
              <w:rPr>
                <w:rFonts w:hint="eastAsia" w:ascii="宋体" w:hAnsi="宋体" w:eastAsia="宋体" w:cs="宋体"/>
                <w:color w:val="auto"/>
                <w:sz w:val="24"/>
                <w:szCs w:val="24"/>
              </w:rPr>
              <w:t>KW</w:t>
            </w:r>
          </w:p>
        </w:tc>
      </w:tr>
      <w:tr w14:paraId="3C187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pct"/>
            <w:vMerge w:val="restart"/>
            <w:tcBorders>
              <w:top w:val="nil"/>
              <w:left w:val="single" w:color="auto" w:sz="4" w:space="0"/>
              <w:bottom w:val="single" w:color="auto" w:sz="4" w:space="0"/>
              <w:right w:val="single" w:color="auto" w:sz="4" w:space="0"/>
            </w:tcBorders>
          </w:tcPr>
          <w:p w14:paraId="23340203">
            <w:pPr>
              <w:pStyle w:val="35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输入</w:t>
            </w:r>
          </w:p>
        </w:tc>
        <w:tc>
          <w:tcPr>
            <w:tcW w:w="743" w:type="pct"/>
            <w:tcBorders>
              <w:top w:val="single" w:color="auto" w:sz="4" w:space="0"/>
              <w:left w:val="single" w:color="auto" w:sz="4" w:space="0"/>
              <w:bottom w:val="single" w:color="auto" w:sz="4" w:space="0"/>
              <w:right w:val="single" w:color="auto" w:sz="4" w:space="0"/>
            </w:tcBorders>
          </w:tcPr>
          <w:p w14:paraId="6CA39044">
            <w:pPr>
              <w:pStyle w:val="35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电压</w:t>
            </w:r>
          </w:p>
        </w:tc>
        <w:tc>
          <w:tcPr>
            <w:tcW w:w="3714" w:type="pct"/>
            <w:tcBorders>
              <w:top w:val="single" w:color="auto" w:sz="4" w:space="0"/>
              <w:left w:val="single" w:color="auto" w:sz="4" w:space="0"/>
              <w:bottom w:val="single" w:color="auto" w:sz="4" w:space="0"/>
              <w:right w:val="single" w:color="auto" w:sz="4" w:space="0"/>
            </w:tcBorders>
          </w:tcPr>
          <w:p w14:paraId="04CFE701">
            <w:pPr>
              <w:pStyle w:val="35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～27</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VAC</w:t>
            </w:r>
          </w:p>
        </w:tc>
      </w:tr>
      <w:tr w14:paraId="65EF9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pct"/>
            <w:vMerge w:val="continue"/>
            <w:tcBorders>
              <w:top w:val="nil"/>
              <w:left w:val="single" w:color="auto" w:sz="4" w:space="0"/>
              <w:bottom w:val="single" w:color="auto" w:sz="4" w:space="0"/>
              <w:right w:val="single" w:color="auto" w:sz="4" w:space="0"/>
            </w:tcBorders>
            <w:vAlign w:val="center"/>
          </w:tcPr>
          <w:p w14:paraId="6974C99C">
            <w:pPr>
              <w:pStyle w:val="352"/>
              <w:spacing w:line="360" w:lineRule="auto"/>
              <w:rPr>
                <w:rFonts w:hint="eastAsia" w:ascii="宋体" w:hAnsi="宋体" w:eastAsia="宋体" w:cs="宋体"/>
                <w:color w:val="auto"/>
                <w:sz w:val="24"/>
                <w:szCs w:val="24"/>
              </w:rPr>
            </w:pPr>
          </w:p>
        </w:tc>
        <w:tc>
          <w:tcPr>
            <w:tcW w:w="743" w:type="pct"/>
            <w:tcBorders>
              <w:top w:val="single" w:color="auto" w:sz="4" w:space="0"/>
              <w:left w:val="single" w:color="auto" w:sz="4" w:space="0"/>
              <w:bottom w:val="single" w:color="auto" w:sz="4" w:space="0"/>
              <w:right w:val="single" w:color="auto" w:sz="4" w:space="0"/>
            </w:tcBorders>
          </w:tcPr>
          <w:p w14:paraId="30CF8E54">
            <w:pPr>
              <w:pStyle w:val="35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频率</w:t>
            </w:r>
          </w:p>
        </w:tc>
        <w:tc>
          <w:tcPr>
            <w:tcW w:w="3714" w:type="pct"/>
            <w:tcBorders>
              <w:top w:val="single" w:color="auto" w:sz="4" w:space="0"/>
              <w:left w:val="single" w:color="auto" w:sz="4" w:space="0"/>
              <w:bottom w:val="single" w:color="auto" w:sz="4" w:space="0"/>
              <w:right w:val="single" w:color="auto" w:sz="4" w:space="0"/>
            </w:tcBorders>
          </w:tcPr>
          <w:p w14:paraId="03153F07">
            <w:pPr>
              <w:pStyle w:val="352"/>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40-70</w:t>
            </w:r>
            <w:r>
              <w:rPr>
                <w:rFonts w:hint="eastAsia" w:ascii="宋体" w:hAnsi="宋体" w:eastAsia="宋体" w:cs="宋体"/>
                <w:color w:val="auto"/>
                <w:sz w:val="24"/>
                <w:szCs w:val="24"/>
              </w:rPr>
              <w:t>Hz</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50/60</w:t>
            </w:r>
            <w:r>
              <w:rPr>
                <w:rFonts w:hint="eastAsia" w:ascii="宋体" w:hAnsi="宋体" w:eastAsia="宋体" w:cs="宋体"/>
                <w:color w:val="auto"/>
                <w:sz w:val="24"/>
                <w:szCs w:val="24"/>
              </w:rPr>
              <w:t>Hz</w:t>
            </w:r>
            <w:r>
              <w:rPr>
                <w:rFonts w:hint="eastAsia" w:ascii="宋体" w:hAnsi="宋体" w:eastAsia="宋体" w:cs="宋体"/>
                <w:color w:val="auto"/>
                <w:sz w:val="24"/>
                <w:szCs w:val="24"/>
                <w:lang w:val="en-US" w:eastAsia="zh-CN"/>
              </w:rPr>
              <w:t>自适应</w:t>
            </w:r>
          </w:p>
        </w:tc>
      </w:tr>
      <w:tr w14:paraId="18043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pct"/>
            <w:vMerge w:val="restart"/>
            <w:tcBorders>
              <w:top w:val="nil"/>
              <w:left w:val="single" w:color="auto" w:sz="4" w:space="0"/>
              <w:bottom w:val="single" w:color="auto" w:sz="4" w:space="0"/>
              <w:right w:val="single" w:color="auto" w:sz="4" w:space="0"/>
            </w:tcBorders>
          </w:tcPr>
          <w:p w14:paraId="29956346">
            <w:pPr>
              <w:pStyle w:val="35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输出</w:t>
            </w:r>
          </w:p>
        </w:tc>
        <w:tc>
          <w:tcPr>
            <w:tcW w:w="743" w:type="pct"/>
            <w:tcBorders>
              <w:top w:val="single" w:color="auto" w:sz="4" w:space="0"/>
              <w:left w:val="single" w:color="auto" w:sz="4" w:space="0"/>
              <w:bottom w:val="single" w:color="auto" w:sz="4" w:space="0"/>
              <w:right w:val="single" w:color="auto" w:sz="4" w:space="0"/>
            </w:tcBorders>
          </w:tcPr>
          <w:p w14:paraId="6E21A359">
            <w:pPr>
              <w:pStyle w:val="35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电压</w:t>
            </w:r>
          </w:p>
        </w:tc>
        <w:tc>
          <w:tcPr>
            <w:tcW w:w="3714" w:type="pct"/>
            <w:tcBorders>
              <w:top w:val="single" w:color="auto" w:sz="4" w:space="0"/>
              <w:left w:val="single" w:color="auto" w:sz="4" w:space="0"/>
              <w:bottom w:val="single" w:color="auto" w:sz="4" w:space="0"/>
              <w:right w:val="single" w:color="auto" w:sz="4" w:space="0"/>
            </w:tcBorders>
          </w:tcPr>
          <w:p w14:paraId="107EE86B">
            <w:pPr>
              <w:pStyle w:val="35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220（1±1％以内）（电池模式下）</w:t>
            </w:r>
          </w:p>
        </w:tc>
      </w:tr>
      <w:tr w14:paraId="43380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pct"/>
            <w:vMerge w:val="continue"/>
            <w:tcBorders>
              <w:top w:val="nil"/>
              <w:left w:val="single" w:color="auto" w:sz="4" w:space="0"/>
              <w:bottom w:val="single" w:color="auto" w:sz="4" w:space="0"/>
              <w:right w:val="single" w:color="auto" w:sz="4" w:space="0"/>
            </w:tcBorders>
            <w:vAlign w:val="center"/>
          </w:tcPr>
          <w:p w14:paraId="3AA636FA">
            <w:pPr>
              <w:pStyle w:val="352"/>
              <w:spacing w:line="360" w:lineRule="auto"/>
              <w:rPr>
                <w:rFonts w:hint="eastAsia" w:ascii="宋体" w:hAnsi="宋体" w:eastAsia="宋体" w:cs="宋体"/>
                <w:color w:val="auto"/>
                <w:sz w:val="24"/>
                <w:szCs w:val="24"/>
              </w:rPr>
            </w:pPr>
          </w:p>
        </w:tc>
        <w:tc>
          <w:tcPr>
            <w:tcW w:w="743" w:type="pct"/>
            <w:tcBorders>
              <w:top w:val="single" w:color="auto" w:sz="4" w:space="0"/>
              <w:left w:val="single" w:color="auto" w:sz="4" w:space="0"/>
              <w:bottom w:val="single" w:color="auto" w:sz="4" w:space="0"/>
              <w:right w:val="single" w:color="auto" w:sz="4" w:space="0"/>
            </w:tcBorders>
          </w:tcPr>
          <w:p w14:paraId="3113551F">
            <w:pPr>
              <w:pStyle w:val="35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频率</w:t>
            </w:r>
          </w:p>
        </w:tc>
        <w:tc>
          <w:tcPr>
            <w:tcW w:w="3714" w:type="pct"/>
            <w:tcBorders>
              <w:top w:val="single" w:color="auto" w:sz="4" w:space="0"/>
              <w:left w:val="single" w:color="auto" w:sz="4" w:space="0"/>
              <w:bottom w:val="single" w:color="auto" w:sz="4" w:space="0"/>
              <w:right w:val="single" w:color="auto" w:sz="4" w:space="0"/>
            </w:tcBorders>
          </w:tcPr>
          <w:p w14:paraId="3FE0A989">
            <w:pPr>
              <w:pStyle w:val="35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50×（1±0.1%）（电池模式下）</w:t>
            </w:r>
          </w:p>
        </w:tc>
      </w:tr>
      <w:tr w14:paraId="75687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pct"/>
            <w:vMerge w:val="restart"/>
            <w:tcBorders>
              <w:top w:val="nil"/>
              <w:left w:val="single" w:color="auto" w:sz="4" w:space="0"/>
              <w:bottom w:val="single" w:color="auto" w:sz="4" w:space="0"/>
              <w:right w:val="single" w:color="auto" w:sz="4" w:space="0"/>
            </w:tcBorders>
          </w:tcPr>
          <w:p w14:paraId="73EC4D76">
            <w:pPr>
              <w:pStyle w:val="35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电池</w:t>
            </w:r>
          </w:p>
        </w:tc>
        <w:tc>
          <w:tcPr>
            <w:tcW w:w="743" w:type="pct"/>
            <w:tcBorders>
              <w:top w:val="single" w:color="auto" w:sz="4" w:space="0"/>
              <w:left w:val="single" w:color="auto" w:sz="4" w:space="0"/>
              <w:bottom w:val="single" w:color="auto" w:sz="4" w:space="0"/>
              <w:right w:val="single" w:color="auto" w:sz="4" w:space="0"/>
            </w:tcBorders>
          </w:tcPr>
          <w:p w14:paraId="228600B1">
            <w:pPr>
              <w:pStyle w:val="35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备用时间</w:t>
            </w:r>
          </w:p>
        </w:tc>
        <w:tc>
          <w:tcPr>
            <w:tcW w:w="3714" w:type="pct"/>
            <w:tcBorders>
              <w:top w:val="single" w:color="auto" w:sz="4" w:space="0"/>
              <w:left w:val="single" w:color="auto" w:sz="4" w:space="0"/>
              <w:bottom w:val="single" w:color="auto" w:sz="4" w:space="0"/>
              <w:right w:val="single" w:color="auto" w:sz="4" w:space="0"/>
            </w:tcBorders>
          </w:tcPr>
          <w:p w14:paraId="0E7B03C0">
            <w:pPr>
              <w:pStyle w:val="35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支持停电后大气自动站系统（不含空调）整体运行4小时</w:t>
            </w:r>
          </w:p>
        </w:tc>
      </w:tr>
      <w:tr w14:paraId="17F62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pct"/>
            <w:vMerge w:val="continue"/>
            <w:tcBorders>
              <w:top w:val="nil"/>
              <w:left w:val="single" w:color="auto" w:sz="4" w:space="0"/>
              <w:bottom w:val="single" w:color="auto" w:sz="4" w:space="0"/>
              <w:right w:val="single" w:color="auto" w:sz="4" w:space="0"/>
            </w:tcBorders>
            <w:vAlign w:val="center"/>
          </w:tcPr>
          <w:p w14:paraId="1944F410">
            <w:pPr>
              <w:pStyle w:val="352"/>
              <w:spacing w:line="360" w:lineRule="auto"/>
              <w:rPr>
                <w:rFonts w:hint="eastAsia" w:ascii="宋体" w:hAnsi="宋体" w:eastAsia="宋体" w:cs="宋体"/>
                <w:color w:val="auto"/>
                <w:sz w:val="24"/>
                <w:szCs w:val="24"/>
              </w:rPr>
            </w:pPr>
          </w:p>
        </w:tc>
        <w:tc>
          <w:tcPr>
            <w:tcW w:w="743" w:type="pct"/>
            <w:tcBorders>
              <w:top w:val="single" w:color="auto" w:sz="4" w:space="0"/>
              <w:left w:val="single" w:color="auto" w:sz="4" w:space="0"/>
              <w:bottom w:val="single" w:color="auto" w:sz="4" w:space="0"/>
              <w:right w:val="single" w:color="auto" w:sz="4" w:space="0"/>
            </w:tcBorders>
          </w:tcPr>
          <w:p w14:paraId="57BD7345">
            <w:pPr>
              <w:pStyle w:val="35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充电时间</w:t>
            </w:r>
          </w:p>
        </w:tc>
        <w:tc>
          <w:tcPr>
            <w:tcW w:w="3714" w:type="pct"/>
            <w:tcBorders>
              <w:top w:val="single" w:color="auto" w:sz="4" w:space="0"/>
              <w:left w:val="single" w:color="auto" w:sz="4" w:space="0"/>
              <w:bottom w:val="single" w:color="auto" w:sz="4" w:space="0"/>
              <w:right w:val="single" w:color="auto" w:sz="4" w:space="0"/>
            </w:tcBorders>
          </w:tcPr>
          <w:p w14:paraId="60987741">
            <w:pPr>
              <w:pStyle w:val="35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＜16 小时</w:t>
            </w:r>
          </w:p>
        </w:tc>
      </w:tr>
      <w:tr w14:paraId="2A82C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5" w:type="pct"/>
            <w:gridSpan w:val="2"/>
            <w:tcBorders>
              <w:top w:val="single" w:color="auto" w:sz="4" w:space="0"/>
              <w:left w:val="single" w:color="auto" w:sz="4" w:space="0"/>
              <w:bottom w:val="single" w:color="auto" w:sz="4" w:space="0"/>
              <w:right w:val="single" w:color="auto" w:sz="4" w:space="0"/>
            </w:tcBorders>
          </w:tcPr>
          <w:p w14:paraId="56981556">
            <w:pPr>
              <w:pStyle w:val="35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操作环境</w:t>
            </w:r>
          </w:p>
        </w:tc>
        <w:tc>
          <w:tcPr>
            <w:tcW w:w="3714" w:type="pct"/>
            <w:tcBorders>
              <w:top w:val="single" w:color="auto" w:sz="4" w:space="0"/>
              <w:left w:val="single" w:color="auto" w:sz="4" w:space="0"/>
              <w:bottom w:val="single" w:color="auto" w:sz="4" w:space="0"/>
              <w:right w:val="single" w:color="auto" w:sz="4" w:space="0"/>
            </w:tcBorders>
          </w:tcPr>
          <w:p w14:paraId="65BC2E13">
            <w:pPr>
              <w:pStyle w:val="35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温度0℃～40℃，湿度20％～90％</w:t>
            </w:r>
          </w:p>
        </w:tc>
      </w:tr>
    </w:tbl>
    <w:p w14:paraId="3D468F15">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p>
    <w:p w14:paraId="631E002C">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1.2.4 </w:t>
      </w:r>
      <w:r>
        <w:rPr>
          <w:rFonts w:hint="eastAsia" w:ascii="宋体" w:hAnsi="宋体" w:eastAsia="宋体" w:cs="宋体"/>
          <w:i w:val="0"/>
          <w:iCs w:val="0"/>
          <w:color w:val="auto"/>
          <w:kern w:val="0"/>
          <w:sz w:val="24"/>
          <w:szCs w:val="24"/>
          <w:u w:val="none"/>
          <w:lang w:val="en-US" w:eastAsia="zh-CN" w:bidi="ar"/>
        </w:rPr>
        <w:t>pams校准仪</w:t>
      </w:r>
      <w:r>
        <w:rPr>
          <w:rFonts w:hint="eastAsia" w:ascii="宋体" w:hAnsi="宋体" w:eastAsia="宋体" w:cs="宋体"/>
          <w:bCs/>
          <w:color w:val="auto"/>
          <w:sz w:val="24"/>
          <w:szCs w:val="24"/>
          <w:lang w:val="en-US" w:eastAsia="zh-CN"/>
        </w:rPr>
        <w:t>技术要求、性能指标应符合</w:t>
      </w:r>
      <w:r>
        <w:rPr>
          <w:rFonts w:hint="eastAsia" w:ascii="宋体" w:hAnsi="宋体" w:eastAsia="宋体" w:cs="宋体"/>
          <w:b w:val="0"/>
          <w:bCs w:val="0"/>
          <w:color w:val="auto"/>
          <w:sz w:val="24"/>
          <w:szCs w:val="24"/>
          <w:lang w:val="en-US" w:eastAsia="zh-CN"/>
        </w:rPr>
        <w:t>具体如下表3</w:t>
      </w:r>
      <w:r>
        <w:rPr>
          <w:rFonts w:hint="eastAsia" w:ascii="宋体" w:hAnsi="宋体" w:eastAsia="宋体" w:cs="宋体"/>
          <w:bCs/>
          <w:color w:val="auto"/>
          <w:sz w:val="24"/>
          <w:szCs w:val="24"/>
          <w:lang w:val="en-US" w:eastAsia="zh-CN"/>
        </w:rPr>
        <w:t>：</w:t>
      </w:r>
    </w:p>
    <w:p w14:paraId="2770230A">
      <w:pPr>
        <w:adjustRightInd w:val="0"/>
        <w:snapToGrid w:val="0"/>
        <w:spacing w:line="360" w:lineRule="auto"/>
        <w:ind w:firstLine="480" w:firstLineChars="200"/>
        <w:jc w:val="center"/>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表3  </w:t>
      </w:r>
      <w:r>
        <w:rPr>
          <w:rFonts w:hint="eastAsia" w:ascii="宋体" w:hAnsi="宋体" w:eastAsia="宋体" w:cs="宋体"/>
          <w:i w:val="0"/>
          <w:iCs w:val="0"/>
          <w:color w:val="auto"/>
          <w:kern w:val="0"/>
          <w:sz w:val="24"/>
          <w:szCs w:val="24"/>
          <w:u w:val="none"/>
          <w:lang w:val="en-US" w:eastAsia="zh-CN" w:bidi="ar"/>
        </w:rPr>
        <w:t>pams校准仪</w:t>
      </w:r>
      <w:r>
        <w:rPr>
          <w:rFonts w:hint="eastAsia" w:ascii="宋体" w:hAnsi="宋体" w:eastAsia="宋体" w:cs="宋体"/>
          <w:b w:val="0"/>
          <w:bCs w:val="0"/>
          <w:color w:val="auto"/>
          <w:sz w:val="24"/>
          <w:szCs w:val="24"/>
          <w:lang w:val="en-US" w:eastAsia="zh-CN"/>
        </w:rPr>
        <w:t>性能指标</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5"/>
        <w:gridCol w:w="7601"/>
      </w:tblGrid>
      <w:tr w14:paraId="6BBDF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tcPr>
          <w:p w14:paraId="10623D4B">
            <w:pPr>
              <w:adjustRightInd w:val="0"/>
              <w:snapToGrid w:val="0"/>
              <w:spacing w:after="0" w:line="360" w:lineRule="auto"/>
              <w:jc w:val="center"/>
              <w:rPr>
                <w:rFonts w:hint="default" w:ascii="宋体" w:hAnsi="宋体" w:eastAsia="宋体" w:cs="宋体"/>
                <w:b/>
                <w:bCs w:val="0"/>
                <w:color w:val="auto"/>
                <w:sz w:val="24"/>
                <w:szCs w:val="24"/>
                <w:vertAlign w:val="baseline"/>
                <w:lang w:val="en-US" w:eastAsia="zh-CN"/>
              </w:rPr>
            </w:pPr>
            <w:r>
              <w:rPr>
                <w:rFonts w:hint="eastAsia" w:ascii="宋体" w:hAnsi="宋体" w:eastAsia="宋体" w:cs="宋体"/>
                <w:b/>
                <w:bCs w:val="0"/>
                <w:color w:val="auto"/>
                <w:sz w:val="24"/>
                <w:szCs w:val="24"/>
                <w:vertAlign w:val="baseline"/>
                <w:lang w:val="en-US" w:eastAsia="zh-CN"/>
              </w:rPr>
              <w:t>基本机械和电气参数</w:t>
            </w:r>
          </w:p>
        </w:tc>
      </w:tr>
      <w:tr w14:paraId="14062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2" w:type="pct"/>
          </w:tcPr>
          <w:p w14:paraId="1324EFCD">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电源输入</w:t>
            </w:r>
          </w:p>
        </w:tc>
        <w:tc>
          <w:tcPr>
            <w:tcW w:w="3847" w:type="pct"/>
          </w:tcPr>
          <w:p w14:paraId="14938A18">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220V+/-10%</w:t>
            </w:r>
          </w:p>
        </w:tc>
      </w:tr>
      <w:tr w14:paraId="36C8B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2" w:type="pct"/>
          </w:tcPr>
          <w:p w14:paraId="57C35EA8">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操作环境</w:t>
            </w:r>
          </w:p>
        </w:tc>
        <w:tc>
          <w:tcPr>
            <w:tcW w:w="3847" w:type="pct"/>
          </w:tcPr>
          <w:p w14:paraId="6588604F">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color w:val="auto"/>
                <w:sz w:val="24"/>
                <w:szCs w:val="24"/>
              </w:rPr>
              <w:t>温度0℃～</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0℃，湿度</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％～9</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p>
        </w:tc>
      </w:tr>
      <w:tr w14:paraId="4F629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2" w:type="pct"/>
          </w:tcPr>
          <w:p w14:paraId="1D4ED0BF">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气路材料</w:t>
            </w:r>
          </w:p>
        </w:tc>
        <w:tc>
          <w:tcPr>
            <w:tcW w:w="3847" w:type="pct"/>
          </w:tcPr>
          <w:p w14:paraId="2639D960">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惰性化材质</w:t>
            </w:r>
          </w:p>
        </w:tc>
      </w:tr>
      <w:tr w14:paraId="16175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tcPr>
          <w:p w14:paraId="521BCEEB">
            <w:pPr>
              <w:adjustRightInd w:val="0"/>
              <w:snapToGrid w:val="0"/>
              <w:spacing w:after="0" w:line="360" w:lineRule="auto"/>
              <w:jc w:val="center"/>
              <w:rPr>
                <w:rFonts w:hint="default" w:ascii="宋体" w:hAnsi="宋体" w:eastAsia="宋体" w:cs="宋体"/>
                <w:b/>
                <w:bCs w:val="0"/>
                <w:color w:val="auto"/>
                <w:sz w:val="24"/>
                <w:szCs w:val="24"/>
                <w:vertAlign w:val="baseline"/>
                <w:lang w:val="en-US" w:eastAsia="zh-CN"/>
              </w:rPr>
            </w:pPr>
            <w:r>
              <w:rPr>
                <w:rFonts w:hint="eastAsia" w:ascii="宋体" w:hAnsi="宋体" w:eastAsia="宋体" w:cs="宋体"/>
                <w:b/>
                <w:bCs w:val="0"/>
                <w:color w:val="auto"/>
                <w:sz w:val="24"/>
                <w:szCs w:val="24"/>
                <w:vertAlign w:val="baseline"/>
                <w:lang w:val="en-US" w:eastAsia="zh-CN"/>
              </w:rPr>
              <w:t>稀释系统参数</w:t>
            </w:r>
          </w:p>
        </w:tc>
      </w:tr>
      <w:tr w14:paraId="5DAB8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2" w:type="pct"/>
          </w:tcPr>
          <w:p w14:paraId="0C61C8C6">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保留时间RSD</w:t>
            </w:r>
          </w:p>
        </w:tc>
        <w:tc>
          <w:tcPr>
            <w:tcW w:w="3847" w:type="pct"/>
          </w:tcPr>
          <w:p w14:paraId="6DC20F68">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≤0.3%（10ppb苯）</w:t>
            </w:r>
          </w:p>
        </w:tc>
      </w:tr>
      <w:tr w14:paraId="00205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2" w:type="pct"/>
          </w:tcPr>
          <w:p w14:paraId="76335B04">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峰面积RSD</w:t>
            </w:r>
          </w:p>
        </w:tc>
        <w:tc>
          <w:tcPr>
            <w:tcW w:w="3847" w:type="pct"/>
          </w:tcPr>
          <w:p w14:paraId="40182760">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≤1%（10ppb苯）</w:t>
            </w:r>
          </w:p>
        </w:tc>
      </w:tr>
      <w:tr w14:paraId="577E9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2" w:type="pct"/>
          </w:tcPr>
          <w:p w14:paraId="4EAAF9BB">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精度</w:t>
            </w:r>
          </w:p>
        </w:tc>
        <w:tc>
          <w:tcPr>
            <w:tcW w:w="3847" w:type="pct"/>
          </w:tcPr>
          <w:p w14:paraId="65069AE7">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+/-（0.2%F.S+0.4%Reading）</w:t>
            </w:r>
          </w:p>
        </w:tc>
      </w:tr>
      <w:tr w14:paraId="76AB4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2" w:type="pct"/>
          </w:tcPr>
          <w:p w14:paraId="56888296">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稀释比</w:t>
            </w:r>
          </w:p>
        </w:tc>
        <w:tc>
          <w:tcPr>
            <w:tcW w:w="3847" w:type="pct"/>
          </w:tcPr>
          <w:p w14:paraId="741B156B">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0-1000</w:t>
            </w:r>
          </w:p>
        </w:tc>
      </w:tr>
      <w:tr w14:paraId="1D980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2" w:type="pct"/>
          </w:tcPr>
          <w:p w14:paraId="19976FD6">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使用压力</w:t>
            </w:r>
          </w:p>
        </w:tc>
        <w:tc>
          <w:tcPr>
            <w:tcW w:w="3847" w:type="pct"/>
          </w:tcPr>
          <w:p w14:paraId="3CF5B39A">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稀释气（0.4Mpa-0.5Mpa）/标气（0.4Mpa-0.5Mpa）</w:t>
            </w:r>
          </w:p>
        </w:tc>
      </w:tr>
      <w:tr w14:paraId="02D8E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2" w:type="pct"/>
          </w:tcPr>
          <w:p w14:paraId="4A47BA31">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线性范围</w:t>
            </w:r>
          </w:p>
        </w:tc>
        <w:tc>
          <w:tcPr>
            <w:tcW w:w="3847" w:type="pct"/>
          </w:tcPr>
          <w:p w14:paraId="5E59BF75">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10</w:t>
            </w:r>
            <w:r>
              <w:rPr>
                <w:rFonts w:hint="eastAsia" w:ascii="宋体" w:hAnsi="宋体" w:eastAsia="宋体" w:cs="宋体"/>
                <w:bCs/>
                <w:color w:val="auto"/>
                <w:sz w:val="24"/>
                <w:szCs w:val="24"/>
                <w:vertAlign w:val="superscript"/>
                <w:lang w:val="en-US" w:eastAsia="zh-CN"/>
              </w:rPr>
              <w:t>4</w:t>
            </w:r>
          </w:p>
        </w:tc>
      </w:tr>
      <w:tr w14:paraId="48A78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2" w:type="pct"/>
          </w:tcPr>
          <w:p w14:paraId="4D543A99">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稀释气体种类</w:t>
            </w:r>
          </w:p>
        </w:tc>
        <w:tc>
          <w:tcPr>
            <w:tcW w:w="3847" w:type="pct"/>
          </w:tcPr>
          <w:p w14:paraId="2A8EE7B2">
            <w:pPr>
              <w:adjustRightInd w:val="0"/>
              <w:snapToGrid w:val="0"/>
              <w:spacing w:after="0" w:line="360" w:lineRule="auto"/>
              <w:rPr>
                <w:rFonts w:hint="default"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非极性气体（烷烃和无机气体），极性气体（苯系物、硫化物）</w:t>
            </w:r>
          </w:p>
        </w:tc>
      </w:tr>
    </w:tbl>
    <w:p w14:paraId="275F6713">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p>
    <w:p w14:paraId="4F14446C">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p>
    <w:p w14:paraId="79694219">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2、采样系统</w:t>
      </w:r>
    </w:p>
    <w:p w14:paraId="05ECC17C">
      <w:pPr>
        <w:tabs>
          <w:tab w:val="left" w:pos="900"/>
        </w:tabs>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①采样装置：垂直层流式采样总管。</w:t>
      </w:r>
    </w:p>
    <w:p w14:paraId="7A9B10D4">
      <w:pPr>
        <w:tabs>
          <w:tab w:val="left" w:pos="900"/>
        </w:tabs>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②管线外壁加装保温套或加热器，加热温度控制在30℃~100℃。</w:t>
      </w:r>
    </w:p>
    <w:p w14:paraId="1B9A411C">
      <w:pPr>
        <w:tabs>
          <w:tab w:val="left" w:pos="900"/>
        </w:tabs>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③雷诺数&lt;2000；</w:t>
      </w:r>
    </w:p>
    <w:p w14:paraId="17C0A67F">
      <w:pPr>
        <w:tabs>
          <w:tab w:val="left" w:pos="900"/>
        </w:tabs>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bCs/>
          <w:color w:val="auto"/>
          <w:sz w:val="24"/>
          <w:szCs w:val="24"/>
          <w:lang w:val="en-US" w:eastAsia="zh-CN"/>
        </w:rPr>
        <w:t>3、数据</w:t>
      </w:r>
    </w:p>
    <w:p w14:paraId="69B61A6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①总体功能要求</w:t>
      </w:r>
    </w:p>
    <w:p w14:paraId="264BBF9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用于监测站内所有在线分析仪器和校准设备的工作控制、数据采集、零气和标准气的供给时序、数据通讯等任务的执行。控制功能应满足空气质量自动监测系统的数据采集、控制、通讯等全部要求。</w:t>
      </w:r>
    </w:p>
    <w:p w14:paraId="629433B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②主要技术参数要求</w:t>
      </w:r>
    </w:p>
    <w:p w14:paraId="65867D10">
      <w:pPr>
        <w:numPr>
          <w:ilvl w:val="0"/>
          <w:numId w:val="6"/>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应能通过RS232、RS485通讯、有线网络、无线网络(含4G等)多种通讯方式，实现与分析仪器联接并采集仪器的测量结果和工作状态；</w:t>
      </w:r>
    </w:p>
    <w:p w14:paraId="475E7553">
      <w:pPr>
        <w:numPr>
          <w:ilvl w:val="0"/>
          <w:numId w:val="6"/>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软件每个采集定时器的周期与每个分析仪器测量周期应保持一致且一一对应，并且软件采集周期可设；</w:t>
      </w:r>
    </w:p>
    <w:p w14:paraId="05A8A1D0">
      <w:pPr>
        <w:numPr>
          <w:ilvl w:val="0"/>
          <w:numId w:val="6"/>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应内置多种国内外通讯协议（“HJ212-2017污染物在线监控（监测）系统数据传输标准”、Modbus等协议），兼容各类环境监测分析仪器；</w:t>
      </w:r>
    </w:p>
    <w:p w14:paraId="4663D2A7">
      <w:pPr>
        <w:numPr>
          <w:ilvl w:val="0"/>
          <w:numId w:val="6"/>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应不少于8个串口；</w:t>
      </w:r>
    </w:p>
    <w:p w14:paraId="4B00EDF2">
      <w:pPr>
        <w:numPr>
          <w:ilvl w:val="0"/>
          <w:numId w:val="6"/>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停电后应长期保存系统设置参数，电源恢复后可自动启动，进入工作状态；</w:t>
      </w:r>
    </w:p>
    <w:p w14:paraId="4D258993">
      <w:pPr>
        <w:numPr>
          <w:ilvl w:val="0"/>
          <w:numId w:val="6"/>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全面支持网络通讯：可以支持有线网络、无线网络(含4G等)多种通讯方式，所有具有数字通讯功能的设备均实现了远程网络通讯；</w:t>
      </w:r>
    </w:p>
    <w:p w14:paraId="08F88122">
      <w:pPr>
        <w:numPr>
          <w:ilvl w:val="0"/>
          <w:numId w:val="6"/>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系统稳定性：整套软件运行于window系统之上，确保系统的稳定和安全；</w:t>
      </w:r>
    </w:p>
    <w:p w14:paraId="5575E93D">
      <w:pPr>
        <w:numPr>
          <w:ilvl w:val="0"/>
          <w:numId w:val="6"/>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系统安全性：数据采用加密传输和严格的权限控制，身份认证，确保系统不受内部和外来的安全威胁。</w:t>
      </w:r>
    </w:p>
    <w:p w14:paraId="3FF303D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③软件功能要求</w:t>
      </w:r>
    </w:p>
    <w:p w14:paraId="5A000BF5">
      <w:pPr>
        <w:numPr>
          <w:ilvl w:val="0"/>
          <w:numId w:val="7"/>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数据上传：数据上传握手机制与断点续传机制，支持监测站点多通道监测数据上传（一点多发模式）；</w:t>
      </w:r>
    </w:p>
    <w:p w14:paraId="4C0E62D7">
      <w:pPr>
        <w:numPr>
          <w:ilvl w:val="0"/>
          <w:numId w:val="7"/>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系统报警：系统应灵活设置各种报警方式；应远程显示现场工作状态、仪器设备故障自动报警、异常值自动报警，并能将报警信号自动发送至监控中心；</w:t>
      </w:r>
    </w:p>
    <w:p w14:paraId="4C49D092">
      <w:pPr>
        <w:numPr>
          <w:ilvl w:val="0"/>
          <w:numId w:val="7"/>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设备控制：操作人员可在现场对设备进行校零、校标等操作或结合中心端软硬件平台远程对设备进行校零、校标等操作；</w:t>
      </w:r>
    </w:p>
    <w:p w14:paraId="4A1D8FD6">
      <w:pPr>
        <w:numPr>
          <w:ilvl w:val="0"/>
          <w:numId w:val="7"/>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数据存储：系统应实时存储保存一年以上实时数据及小时均值；</w:t>
      </w:r>
    </w:p>
    <w:p w14:paraId="097875C1">
      <w:pPr>
        <w:numPr>
          <w:ilvl w:val="0"/>
          <w:numId w:val="7"/>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用户管理：系统具备严格的用户管理和权限控制功能；</w:t>
      </w:r>
    </w:p>
    <w:p w14:paraId="21CE87FD">
      <w:pPr>
        <w:numPr>
          <w:ilvl w:val="0"/>
          <w:numId w:val="7"/>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数据备份：数据应实现异地备份与恢复；</w:t>
      </w:r>
    </w:p>
    <w:p w14:paraId="7C355119">
      <w:pPr>
        <w:numPr>
          <w:ilvl w:val="0"/>
          <w:numId w:val="7"/>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数据输出：数据采集与传输应支持数字量和模拟量输出，其中模拟量采集值与测量值误差≤1%（满量程）；</w:t>
      </w:r>
    </w:p>
    <w:p w14:paraId="0D25AF96">
      <w:pPr>
        <w:numPr>
          <w:ilvl w:val="0"/>
          <w:numId w:val="7"/>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应具备测量数据及实时状态的查询功能，按需要进行各种方式的数据查询；数采软件应可正确显示分析仪测定的资料；</w:t>
      </w:r>
    </w:p>
    <w:p w14:paraId="704DC2ED">
      <w:pPr>
        <w:numPr>
          <w:ilvl w:val="0"/>
          <w:numId w:val="7"/>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数据一致性：数采软件显示的监测数据对应的监测时间应与监测仪显示的时间一致；</w:t>
      </w:r>
    </w:p>
    <w:p w14:paraId="5ED78410">
      <w:pPr>
        <w:numPr>
          <w:ilvl w:val="0"/>
          <w:numId w:val="7"/>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应具备数据查询功能，不仅能查询一定时间段的历史数据，而且能查询5分钟均值、小时均值，并且配有形象的图形显示，便于用户了解各个参数随时间的变化趋势；</w:t>
      </w:r>
    </w:p>
    <w:p w14:paraId="5120747E">
      <w:pPr>
        <w:numPr>
          <w:ilvl w:val="0"/>
          <w:numId w:val="7"/>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仪器数据补遗：支持将测量仪器数据补遗到数采软件，防止数据缺失。</w:t>
      </w:r>
    </w:p>
    <w:p w14:paraId="2CA02458">
      <w:pPr>
        <w:numPr>
          <w:ilvl w:val="0"/>
          <w:numId w:val="7"/>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仪器参数：支持将测量仪器参数（温度、压力、流量等参数）采集到数采软件，并上传给数据中心平台。</w:t>
      </w:r>
    </w:p>
    <w:p w14:paraId="7FD5304A">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color w:val="auto"/>
          <w:sz w:val="24"/>
          <w:szCs w:val="24"/>
        </w:rPr>
        <w:t>平台补遗：在数据中心平台缺失数据情况下，应下发补遗命令给数采软件，补遗缺失数据。</w:t>
      </w:r>
    </w:p>
    <w:p w14:paraId="76F3D411">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4 质量控制及质量保证</w:t>
      </w:r>
    </w:p>
    <w:p w14:paraId="3D74C705">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4.1 微型空气站</w:t>
      </w:r>
    </w:p>
    <w:p w14:paraId="69CBDC75">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4.1.1 使用符合HJ 653及HJ 654要求的颗粒物和气态污染物质控设备备置于待校准的微型空气站监测设备周围10 m（污染源区域5 m）范围内，通过数据比对的方式校准待校准设备，比对结果应符合要求。比对不合格的传感器或设备应返回质量保证实验室重新进行准确度和平行性验证和校准。</w:t>
      </w:r>
    </w:p>
    <w:p w14:paraId="5366B766">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4.1.2 所用TVOC 标准监测设备应符合JJF 1172的要求且经过计量监督检测部门校准并在有效期之内。传递校准前应进行零点、跨度检查，如果漂移超过国家相关标准要求时应及时校准。</w:t>
      </w:r>
    </w:p>
    <w:p w14:paraId="25642DED">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4.1.3 每季度抽取数量不少于总量5%的站点进行1 次传递校准。距离网格质控点位距离较远（大于5 km）或在污染源周边的点位，传递校准周期应适当缩短。</w:t>
      </w:r>
    </w:p>
    <w:p w14:paraId="63705949">
      <w:pPr>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4.2 小型空气站及标准空气站</w:t>
      </w:r>
    </w:p>
    <w:p w14:paraId="0532CB16">
      <w:pPr>
        <w:adjustRightInd w:val="0"/>
        <w:snapToGrid w:val="0"/>
        <w:spacing w:line="360" w:lineRule="auto"/>
        <w:ind w:firstLine="480" w:firstLineChars="200"/>
        <w:rPr>
          <w:rFonts w:hint="eastAsia" w:ascii="宋体" w:hAnsi="宋体" w:eastAsia="宋体" w:cs="宋体"/>
          <w:bCs/>
          <w:sz w:val="24"/>
          <w:szCs w:val="24"/>
          <w:lang w:val="en-US" w:eastAsia="zh-CN"/>
        </w:rPr>
      </w:pPr>
      <w:r>
        <w:rPr>
          <w:rFonts w:hint="eastAsia" w:ascii="宋体" w:hAnsi="宋体" w:eastAsia="宋体" w:cs="宋体"/>
          <w:bCs/>
          <w:color w:val="auto"/>
          <w:sz w:val="24"/>
          <w:szCs w:val="24"/>
          <w:lang w:val="en-US" w:eastAsia="zh-CN"/>
        </w:rPr>
        <w:t>4.2.1 小型空气站及标准空气站质量控制及质量保证参照HJ 193及HJ 817要求开展</w:t>
      </w:r>
      <w:r>
        <w:rPr>
          <w:rFonts w:hint="eastAsia" w:ascii="宋体" w:hAnsi="宋体" w:cs="宋体"/>
          <w:bCs/>
          <w:color w:val="auto"/>
          <w:sz w:val="24"/>
          <w:szCs w:val="24"/>
          <w:lang w:val="en-US" w:eastAsia="zh-CN"/>
        </w:rPr>
        <w:t>。</w:t>
      </w:r>
    </w:p>
    <w:p w14:paraId="35EB0687">
      <w:pPr>
        <w:spacing w:line="460" w:lineRule="exact"/>
        <w:rPr>
          <w:rFonts w:hint="eastAsia" w:ascii="宋体" w:hAnsi="宋体" w:eastAsia="宋体" w:cs="宋体"/>
          <w:b/>
          <w:kern w:val="0"/>
          <w:sz w:val="24"/>
          <w:szCs w:val="24"/>
          <w:lang w:val="zh-CN"/>
        </w:rPr>
      </w:pPr>
      <w:r>
        <w:rPr>
          <w:rFonts w:hint="eastAsia" w:ascii="宋体" w:hAnsi="宋体" w:eastAsia="宋体" w:cs="宋体"/>
          <w:b/>
          <w:kern w:val="0"/>
          <w:sz w:val="24"/>
          <w:szCs w:val="24"/>
          <w:lang w:val="zh-CN"/>
        </w:rPr>
        <w:t>四、付款方式：</w:t>
      </w:r>
    </w:p>
    <w:p w14:paraId="629C879A">
      <w:pPr>
        <w:tabs>
          <w:tab w:val="left" w:pos="525"/>
          <w:tab w:val="left" w:pos="945"/>
          <w:tab w:val="left" w:pos="1050"/>
        </w:tabs>
        <w:spacing w:line="460" w:lineRule="exact"/>
        <w:ind w:firstLine="424" w:firstLineChars="177"/>
        <w:rPr>
          <w:rFonts w:hint="eastAsia" w:ascii="宋体" w:hAnsi="宋体" w:eastAsia="宋体" w:cs="宋体"/>
          <w:b/>
          <w:kern w:val="0"/>
          <w:sz w:val="24"/>
          <w:szCs w:val="24"/>
          <w:lang w:val="zh-CN"/>
        </w:rPr>
      </w:pPr>
      <w:r>
        <w:rPr>
          <w:rFonts w:hint="eastAsia" w:ascii="宋体" w:hAnsi="宋体" w:eastAsia="宋体" w:cs="宋体"/>
          <w:bCs/>
          <w:sz w:val="24"/>
          <w:szCs w:val="24"/>
          <w:lang w:val="zh-CN"/>
        </w:rPr>
        <w:t>签订合同</w:t>
      </w:r>
      <w:r>
        <w:rPr>
          <w:rFonts w:hint="eastAsia" w:ascii="宋体" w:hAnsi="宋体" w:eastAsia="宋体" w:cs="宋体"/>
          <w:bCs/>
          <w:sz w:val="24"/>
          <w:szCs w:val="24"/>
          <w:lang w:val="en-US" w:eastAsia="zh-CN"/>
        </w:rPr>
        <w:t>后</w:t>
      </w:r>
      <w:r>
        <w:rPr>
          <w:rFonts w:hint="eastAsia" w:ascii="宋体" w:hAnsi="宋体" w:eastAsia="宋体" w:cs="宋体"/>
          <w:bCs/>
          <w:sz w:val="24"/>
          <w:szCs w:val="24"/>
          <w:lang w:val="zh-CN"/>
        </w:rPr>
        <w:t>支付合同价款的50%，完成</w:t>
      </w:r>
      <w:r>
        <w:rPr>
          <w:rFonts w:hint="eastAsia" w:ascii="宋体" w:hAnsi="宋体" w:eastAsia="宋体" w:cs="宋体"/>
          <w:bCs/>
          <w:sz w:val="24"/>
          <w:szCs w:val="24"/>
          <w:lang w:val="en-US" w:eastAsia="zh-CN"/>
        </w:rPr>
        <w:t>安装</w:t>
      </w:r>
      <w:r>
        <w:rPr>
          <w:rFonts w:hint="eastAsia" w:ascii="宋体" w:hAnsi="宋体" w:eastAsia="宋体" w:cs="宋体"/>
          <w:bCs/>
          <w:sz w:val="24"/>
          <w:szCs w:val="24"/>
          <w:lang w:val="zh-CN"/>
        </w:rPr>
        <w:t>工作</w:t>
      </w:r>
      <w:r>
        <w:rPr>
          <w:rFonts w:hint="eastAsia" w:ascii="宋体" w:hAnsi="宋体" w:eastAsia="宋体" w:cs="宋体"/>
          <w:bCs/>
          <w:sz w:val="24"/>
          <w:szCs w:val="24"/>
          <w:lang w:val="en-US" w:eastAsia="zh-CN"/>
        </w:rPr>
        <w:t>并通过验收</w:t>
      </w:r>
      <w:r>
        <w:rPr>
          <w:rFonts w:hint="eastAsia" w:ascii="宋体" w:hAnsi="宋体" w:eastAsia="宋体" w:cs="宋体"/>
          <w:bCs/>
          <w:sz w:val="24"/>
          <w:szCs w:val="24"/>
          <w:lang w:val="zh-CN"/>
        </w:rPr>
        <w:t>后支付合同价款的</w:t>
      </w:r>
      <w:r>
        <w:rPr>
          <w:rFonts w:hint="eastAsia" w:ascii="宋体" w:hAnsi="宋体" w:eastAsia="宋体" w:cs="宋体"/>
          <w:bCs/>
          <w:sz w:val="24"/>
          <w:szCs w:val="24"/>
          <w:lang w:val="en-US" w:eastAsia="zh-CN"/>
        </w:rPr>
        <w:t>4</w:t>
      </w:r>
      <w:r>
        <w:rPr>
          <w:rFonts w:hint="eastAsia" w:ascii="宋体" w:hAnsi="宋体" w:eastAsia="宋体" w:cs="宋体"/>
          <w:bCs/>
          <w:sz w:val="24"/>
          <w:szCs w:val="24"/>
          <w:lang w:val="zh-CN"/>
        </w:rPr>
        <w:t>0%，</w:t>
      </w:r>
      <w:r>
        <w:rPr>
          <w:rFonts w:hint="eastAsia" w:ascii="宋体" w:hAnsi="宋体" w:eastAsia="宋体" w:cs="宋体"/>
          <w:bCs/>
          <w:sz w:val="24"/>
          <w:szCs w:val="24"/>
          <w:lang w:val="en-US" w:eastAsia="zh-CN"/>
        </w:rPr>
        <w:t>质保期到期后</w:t>
      </w:r>
      <w:r>
        <w:rPr>
          <w:rFonts w:hint="eastAsia" w:ascii="宋体" w:hAnsi="宋体" w:eastAsia="宋体" w:cs="宋体"/>
          <w:bCs/>
          <w:sz w:val="24"/>
          <w:szCs w:val="24"/>
          <w:lang w:val="zh-CN"/>
        </w:rPr>
        <w:t>支付合同价款的</w:t>
      </w:r>
      <w:r>
        <w:rPr>
          <w:rFonts w:hint="eastAsia" w:ascii="宋体" w:hAnsi="宋体" w:eastAsia="宋体" w:cs="宋体"/>
          <w:bCs/>
          <w:sz w:val="24"/>
          <w:szCs w:val="24"/>
          <w:lang w:val="en-US" w:eastAsia="zh-CN"/>
        </w:rPr>
        <w:t>1</w:t>
      </w:r>
      <w:r>
        <w:rPr>
          <w:rFonts w:hint="eastAsia" w:ascii="宋体" w:hAnsi="宋体" w:eastAsia="宋体" w:cs="宋体"/>
          <w:bCs/>
          <w:sz w:val="24"/>
          <w:szCs w:val="24"/>
          <w:lang w:val="zh-CN"/>
        </w:rPr>
        <w:t>0%。</w:t>
      </w:r>
    </w:p>
    <w:p w14:paraId="114C1538">
      <w:pPr>
        <w:pStyle w:val="329"/>
        <w:ind w:firstLine="424" w:firstLineChars="177"/>
        <w:rPr>
          <w:rFonts w:hint="eastAsia" w:ascii="宋体" w:hAnsi="宋体" w:eastAsia="宋体" w:cs="宋体"/>
          <w:sz w:val="24"/>
          <w:szCs w:val="24"/>
        </w:rPr>
      </w:pPr>
    </w:p>
    <w:p w14:paraId="64AB0772">
      <w:pPr>
        <w:spacing w:line="400" w:lineRule="exact"/>
        <w:rPr>
          <w:rFonts w:hint="eastAsia" w:ascii="宋体" w:hAnsi="宋体" w:eastAsia="宋体" w:cs="宋体"/>
          <w:b/>
          <w:kern w:val="0"/>
          <w:sz w:val="24"/>
          <w:szCs w:val="24"/>
        </w:rPr>
      </w:pPr>
      <w:r>
        <w:rPr>
          <w:rFonts w:hint="eastAsia" w:ascii="宋体" w:hAnsi="宋体" w:eastAsia="宋体" w:cs="宋体"/>
          <w:b/>
          <w:kern w:val="0"/>
          <w:sz w:val="24"/>
          <w:szCs w:val="24"/>
          <w:lang w:val="zh-CN"/>
        </w:rPr>
        <w:t>五</w:t>
      </w:r>
      <w:r>
        <w:rPr>
          <w:rFonts w:hint="eastAsia" w:ascii="宋体" w:hAnsi="宋体" w:eastAsia="宋体" w:cs="宋体"/>
          <w:b/>
          <w:kern w:val="0"/>
          <w:sz w:val="24"/>
          <w:szCs w:val="24"/>
        </w:rPr>
        <w:t>、有关说明：</w:t>
      </w:r>
    </w:p>
    <w:p w14:paraId="7868A40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1、投标总报价一次报定，包含全部服务所需的人工费、通讯费、交通费、资料费、调查费、评估费、咨询费、后续服务费、评审费、保险、利润、税金、</w:t>
      </w:r>
      <w:r>
        <w:rPr>
          <w:rFonts w:hint="eastAsia" w:ascii="宋体" w:hAnsi="宋体" w:cs="宋体"/>
          <w:color w:val="0000FF"/>
          <w:sz w:val="24"/>
          <w:szCs w:val="24"/>
          <w:lang w:val="en-US" w:eastAsia="zh-CN"/>
        </w:rPr>
        <w:t>中标服务费（采购代理费）、</w:t>
      </w:r>
      <w:r>
        <w:rPr>
          <w:rFonts w:hint="eastAsia" w:ascii="宋体" w:hAnsi="宋体" w:eastAsia="宋体" w:cs="宋体"/>
          <w:sz w:val="24"/>
          <w:szCs w:val="24"/>
        </w:rPr>
        <w:t>政策性文件规定及合同包含的所有风险、责任等完成本项目的各项应有费用。</w:t>
      </w:r>
    </w:p>
    <w:p w14:paraId="6CC1983E">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2、对于采购人在招标文件中所要求的及供应商在投标文件和合同中所承诺提供的服务，供应商应无条件提供，供应商在签订合同时已充分考虑了合同履行期间的所有风险，在项目实施过程中及项目实施完成后，供应商承诺不以任何理由向采购方提出增加费用的要求。</w:t>
      </w:r>
    </w:p>
    <w:p w14:paraId="0DABDFAC">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3、供应商所投本项目中的服务等各项技术标准应当符合国家（强制性）标准、各项规范要求；国家没有相应标准、规范的，可使用行业标准、规定；非标设备按采购文件约定的技术要求和规范。</w:t>
      </w:r>
    </w:p>
    <w:p w14:paraId="2593E9F0">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供应商须在响应文件中提供详细的技术方案、人员配备方案、项目管理方案、服务质量承诺等。对招标文件中提出的全部技术规范要求及服务要求做出承诺，如果以其中某些条款不响应时，应在投标文件中逐条列出，未列出的视同响应。</w:t>
      </w:r>
    </w:p>
    <w:p w14:paraId="747F6AD7">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5、现场踏勘：供应商自行对有关现场和周围环境进行考察，以获取编制投标文件和签署合同所需的信息。考察现场所发生的费用由供应商自己承担。供应商中标后，不得以不完全了解现场情况为理由而向采购单位提出任何索赔的要求，对此采购单位不承担任何责任并将不作任何答复与考虑。</w:t>
      </w:r>
    </w:p>
    <w:p w14:paraId="0452EB2F">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6、中标人应做好职工的安全生产教育，并配备一定的劳动保护必需品以供职工使用。除应为服务相关人员提供必要的劳动保护条件外，还应为其办理作业时的人身安全保险和意外伤害险。中标单位工作人员在岗履行职责期间（包括上下班途中），发生自身的人身伤害、伤亡，均由中标单位负责处理并承担经济和道义上的责任，招标单位不承担任何责任。</w:t>
      </w:r>
    </w:p>
    <w:p w14:paraId="2155731A">
      <w:pPr>
        <w:adjustRightInd w:val="0"/>
        <w:snapToGrid w:val="0"/>
        <w:spacing w:line="360" w:lineRule="auto"/>
        <w:ind w:firstLine="424" w:firstLineChars="177"/>
        <w:rPr>
          <w:rFonts w:hint="eastAsia" w:ascii="宋体" w:hAnsi="宋体" w:eastAsia="宋体" w:cs="宋体"/>
          <w:bCs/>
          <w:sz w:val="24"/>
          <w:szCs w:val="24"/>
        </w:rPr>
      </w:pPr>
      <w:r>
        <w:rPr>
          <w:rFonts w:hint="eastAsia" w:ascii="宋体" w:hAnsi="宋体" w:eastAsia="宋体" w:cs="宋体"/>
          <w:bCs/>
          <w:sz w:val="24"/>
          <w:szCs w:val="24"/>
        </w:rPr>
        <w:t>7、中标人对服务缺陷不予更正，采购人有权另请其他单位更正，所发生的费用在履约保证金中扣除。</w:t>
      </w:r>
    </w:p>
    <w:p w14:paraId="6F5B5A00">
      <w:pPr>
        <w:adjustRightInd w:val="0"/>
        <w:snapToGrid w:val="0"/>
        <w:spacing w:line="360" w:lineRule="auto"/>
        <w:ind w:firstLine="424" w:firstLineChars="177"/>
        <w:rPr>
          <w:rFonts w:hint="eastAsia" w:ascii="宋体" w:hAnsi="宋体" w:eastAsia="宋体" w:cs="宋体"/>
          <w:bCs/>
          <w:sz w:val="24"/>
          <w:szCs w:val="24"/>
        </w:rPr>
      </w:pPr>
      <w:r>
        <w:rPr>
          <w:rFonts w:hint="eastAsia" w:ascii="宋体" w:hAnsi="宋体" w:eastAsia="宋体" w:cs="宋体"/>
          <w:bCs/>
          <w:sz w:val="24"/>
          <w:szCs w:val="24"/>
        </w:rPr>
        <w:t>8、若中标人在服务管理期间，违反下列规定将被解除服务合同，并扣除相应服务费。</w:t>
      </w:r>
    </w:p>
    <w:p w14:paraId="62F1F307">
      <w:pPr>
        <w:adjustRightInd w:val="0"/>
        <w:snapToGrid w:val="0"/>
        <w:spacing w:line="360" w:lineRule="auto"/>
        <w:ind w:firstLine="424" w:firstLineChars="177"/>
        <w:rPr>
          <w:rFonts w:hint="eastAsia" w:ascii="宋体" w:hAnsi="宋体" w:eastAsia="宋体" w:cs="宋体"/>
          <w:bCs/>
          <w:sz w:val="24"/>
          <w:szCs w:val="24"/>
        </w:rPr>
      </w:pPr>
      <w:r>
        <w:rPr>
          <w:rFonts w:hint="eastAsia" w:ascii="宋体" w:hAnsi="宋体" w:eastAsia="宋体" w:cs="宋体"/>
          <w:bCs/>
          <w:sz w:val="24"/>
          <w:szCs w:val="24"/>
        </w:rPr>
        <w:t>（1）本项目严禁将承包的服务转包他人；</w:t>
      </w:r>
    </w:p>
    <w:p w14:paraId="2F739D88">
      <w:pPr>
        <w:adjustRightInd w:val="0"/>
        <w:snapToGrid w:val="0"/>
        <w:spacing w:line="360" w:lineRule="auto"/>
        <w:ind w:firstLine="424" w:firstLineChars="177"/>
        <w:rPr>
          <w:rFonts w:hint="eastAsia" w:ascii="宋体" w:hAnsi="宋体" w:eastAsia="宋体" w:cs="宋体"/>
          <w:bCs/>
          <w:sz w:val="24"/>
          <w:szCs w:val="24"/>
        </w:rPr>
      </w:pPr>
      <w:r>
        <w:rPr>
          <w:rFonts w:hint="eastAsia" w:ascii="宋体" w:hAnsi="宋体" w:eastAsia="宋体" w:cs="宋体"/>
          <w:bCs/>
          <w:sz w:val="24"/>
          <w:szCs w:val="24"/>
        </w:rPr>
        <w:t>（2）出现安全生产责任事故。</w:t>
      </w:r>
    </w:p>
    <w:p w14:paraId="480297BA">
      <w:pPr>
        <w:adjustRightInd w:val="0"/>
        <w:snapToGrid w:val="0"/>
        <w:spacing w:line="360" w:lineRule="auto"/>
        <w:ind w:firstLine="424" w:firstLineChars="177"/>
        <w:rPr>
          <w:rFonts w:hint="eastAsia" w:ascii="宋体" w:hAnsi="宋体" w:eastAsia="宋体" w:cs="宋体"/>
          <w:bCs/>
          <w:sz w:val="24"/>
          <w:szCs w:val="24"/>
        </w:rPr>
      </w:pPr>
      <w:r>
        <w:rPr>
          <w:rFonts w:hint="eastAsia" w:ascii="宋体" w:hAnsi="宋体" w:eastAsia="宋体" w:cs="宋体"/>
          <w:bCs/>
          <w:sz w:val="24"/>
          <w:szCs w:val="24"/>
        </w:rPr>
        <w:t>9、中标后，采购单位有权不定期进行查询和抽检，如果发现中标单位存在不符合技术要求的，采购单位有权中止合同，且所产生的一切经济损失、后果和法律责任均由中标单位全部承担；</w:t>
      </w:r>
    </w:p>
    <w:p w14:paraId="30A9EF2C">
      <w:pPr>
        <w:adjustRightInd w:val="0"/>
        <w:snapToGrid w:val="0"/>
        <w:spacing w:line="360" w:lineRule="auto"/>
        <w:ind w:firstLine="424" w:firstLineChars="177"/>
        <w:rPr>
          <w:rFonts w:hint="eastAsia" w:ascii="宋体" w:hAnsi="宋体" w:eastAsia="宋体" w:cs="宋体"/>
          <w:bCs/>
          <w:sz w:val="24"/>
          <w:szCs w:val="24"/>
        </w:rPr>
      </w:pPr>
      <w:r>
        <w:rPr>
          <w:rFonts w:hint="eastAsia" w:ascii="宋体" w:hAnsi="宋体" w:eastAsia="宋体" w:cs="宋体"/>
          <w:bCs/>
          <w:sz w:val="24"/>
          <w:szCs w:val="24"/>
        </w:rPr>
        <w:t>10、知识产权：供方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p>
    <w:p w14:paraId="752382EB">
      <w:pPr>
        <w:adjustRightInd w:val="0"/>
        <w:snapToGrid w:val="0"/>
        <w:spacing w:line="360" w:lineRule="auto"/>
        <w:ind w:firstLine="424" w:firstLineChars="177"/>
        <w:rPr>
          <w:rFonts w:hint="eastAsia" w:ascii="宋体" w:hAnsi="宋体" w:eastAsia="宋体" w:cs="宋体"/>
          <w:bCs/>
          <w:sz w:val="24"/>
          <w:szCs w:val="24"/>
        </w:rPr>
      </w:pPr>
      <w:r>
        <w:rPr>
          <w:rFonts w:hint="eastAsia" w:ascii="宋体" w:hAnsi="宋体" w:eastAsia="宋体" w:cs="宋体"/>
          <w:bCs/>
          <w:sz w:val="24"/>
          <w:szCs w:val="24"/>
        </w:rPr>
        <w:t>11、如评审时出现分歧，按少数服从多数的原则确定。</w:t>
      </w:r>
    </w:p>
    <w:p w14:paraId="39B8DEAE">
      <w:pPr>
        <w:adjustRightInd w:val="0"/>
        <w:snapToGrid w:val="0"/>
        <w:spacing w:line="360" w:lineRule="auto"/>
        <w:ind w:firstLine="424" w:firstLineChars="177"/>
        <w:rPr>
          <w:rFonts w:hint="eastAsia" w:ascii="宋体" w:hAnsi="宋体" w:eastAsia="宋体" w:cs="宋体"/>
          <w:bCs/>
          <w:sz w:val="24"/>
          <w:szCs w:val="24"/>
        </w:rPr>
      </w:pPr>
      <w:r>
        <w:rPr>
          <w:rFonts w:hint="eastAsia" w:ascii="宋体" w:hAnsi="宋体" w:eastAsia="宋体" w:cs="宋体"/>
          <w:bCs/>
          <w:sz w:val="24"/>
          <w:szCs w:val="24"/>
        </w:rPr>
        <w:t>12、在任何情况下，采购人均不对任何中标供应商与采购人之间的关系所引起的或与之相关的任何惩罚性的、附带的或间接的损失（包括但不限于利润损失、经营收入损失、经营中断或类似情况引起的损失）负责。</w:t>
      </w:r>
    </w:p>
    <w:p w14:paraId="1729B700">
      <w:pPr>
        <w:adjustRightInd w:val="0"/>
        <w:snapToGrid w:val="0"/>
        <w:spacing w:line="360" w:lineRule="auto"/>
        <w:ind w:firstLine="424" w:firstLineChars="177"/>
        <w:rPr>
          <w:rFonts w:hint="eastAsia" w:ascii="宋体" w:hAnsi="宋体" w:eastAsia="宋体" w:cs="宋体"/>
          <w:bCs/>
          <w:sz w:val="24"/>
          <w:szCs w:val="24"/>
        </w:rPr>
      </w:pPr>
      <w:r>
        <w:rPr>
          <w:rFonts w:hint="eastAsia" w:ascii="宋体" w:hAnsi="宋体" w:eastAsia="宋体" w:cs="宋体"/>
          <w:bCs/>
          <w:sz w:val="24"/>
          <w:szCs w:val="24"/>
        </w:rPr>
        <w:t>13、凡涉及采购文件的补充说明和修改，均以书面文件通知为准。</w:t>
      </w:r>
    </w:p>
    <w:p w14:paraId="5D0D70BB">
      <w:pPr>
        <w:adjustRightInd w:val="0"/>
        <w:snapToGrid w:val="0"/>
        <w:spacing w:line="360" w:lineRule="auto"/>
        <w:ind w:firstLine="424" w:firstLineChars="177"/>
        <w:rPr>
          <w:rFonts w:hint="eastAsia" w:ascii="宋体" w:hAnsi="宋体" w:eastAsia="宋体" w:cs="宋体"/>
          <w:sz w:val="24"/>
          <w:szCs w:val="24"/>
        </w:rPr>
      </w:pPr>
      <w:r>
        <w:rPr>
          <w:rFonts w:hint="eastAsia" w:ascii="宋体" w:hAnsi="宋体" w:eastAsia="宋体" w:cs="宋体"/>
          <w:bCs/>
          <w:sz w:val="24"/>
          <w:szCs w:val="24"/>
        </w:rPr>
        <w:t>14、采购人对本次采购结果不作任何解释。</w:t>
      </w:r>
    </w:p>
    <w:p w14:paraId="2FFCC5DB">
      <w:pPr>
        <w:tabs>
          <w:tab w:val="left" w:pos="0"/>
        </w:tabs>
        <w:spacing w:line="400" w:lineRule="exact"/>
        <w:jc w:val="both"/>
        <w:rPr>
          <w:rFonts w:hint="eastAsia" w:ascii="宋体" w:hAnsi="宋体" w:cs="宋体"/>
          <w:b/>
          <w:color w:val="auto"/>
          <w:sz w:val="28"/>
          <w:szCs w:val="28"/>
          <w:highlight w:val="none"/>
        </w:rPr>
      </w:pPr>
    </w:p>
    <w:p w14:paraId="29662081">
      <w:pPr>
        <w:tabs>
          <w:tab w:val="left" w:pos="0"/>
        </w:tabs>
        <w:spacing w:line="400" w:lineRule="exact"/>
        <w:jc w:val="center"/>
        <w:rPr>
          <w:rFonts w:hint="eastAsia" w:ascii="宋体" w:hAnsi="宋体" w:cs="宋体"/>
          <w:b/>
          <w:color w:val="auto"/>
          <w:sz w:val="28"/>
          <w:szCs w:val="28"/>
          <w:highlight w:val="none"/>
        </w:rPr>
      </w:pPr>
    </w:p>
    <w:p w14:paraId="7C0FC756">
      <w:pPr>
        <w:tabs>
          <w:tab w:val="left" w:pos="0"/>
        </w:tabs>
        <w:spacing w:line="400" w:lineRule="exact"/>
        <w:jc w:val="center"/>
        <w:rPr>
          <w:rFonts w:hint="eastAsia" w:ascii="宋体" w:hAnsi="宋体" w:cs="宋体"/>
          <w:b/>
          <w:color w:val="auto"/>
          <w:sz w:val="28"/>
          <w:szCs w:val="28"/>
          <w:highlight w:val="none"/>
        </w:rPr>
      </w:pPr>
    </w:p>
    <w:p w14:paraId="32D14CB5">
      <w:pPr>
        <w:tabs>
          <w:tab w:val="left" w:pos="0"/>
        </w:tabs>
        <w:spacing w:line="400" w:lineRule="exact"/>
        <w:jc w:val="center"/>
        <w:rPr>
          <w:rFonts w:hint="eastAsia" w:ascii="宋体" w:hAnsi="宋体" w:cs="宋体"/>
          <w:b/>
          <w:color w:val="auto"/>
          <w:sz w:val="28"/>
          <w:szCs w:val="28"/>
          <w:highlight w:val="none"/>
        </w:rPr>
      </w:pPr>
    </w:p>
    <w:p w14:paraId="3421119C">
      <w:pPr>
        <w:tabs>
          <w:tab w:val="left" w:pos="0"/>
        </w:tabs>
        <w:spacing w:line="400" w:lineRule="exact"/>
        <w:jc w:val="center"/>
        <w:rPr>
          <w:rFonts w:hint="eastAsia" w:ascii="宋体" w:hAnsi="宋体" w:cs="宋体"/>
          <w:b/>
          <w:color w:val="auto"/>
          <w:sz w:val="28"/>
          <w:szCs w:val="28"/>
          <w:highlight w:val="none"/>
        </w:rPr>
      </w:pPr>
    </w:p>
    <w:p w14:paraId="074C2A63">
      <w:pPr>
        <w:tabs>
          <w:tab w:val="left" w:pos="0"/>
        </w:tabs>
        <w:spacing w:line="400" w:lineRule="exact"/>
        <w:jc w:val="center"/>
        <w:rPr>
          <w:rFonts w:hint="eastAsia" w:ascii="宋体" w:hAnsi="宋体" w:cs="宋体"/>
          <w:b/>
          <w:color w:val="auto"/>
          <w:sz w:val="28"/>
          <w:szCs w:val="28"/>
          <w:highlight w:val="none"/>
        </w:rPr>
      </w:pPr>
    </w:p>
    <w:p w14:paraId="52C79351">
      <w:pPr>
        <w:tabs>
          <w:tab w:val="left" w:pos="0"/>
        </w:tabs>
        <w:spacing w:line="400" w:lineRule="exact"/>
        <w:jc w:val="center"/>
        <w:rPr>
          <w:rFonts w:hint="eastAsia" w:ascii="宋体" w:hAnsi="宋体" w:cs="宋体"/>
          <w:b/>
          <w:color w:val="auto"/>
          <w:sz w:val="28"/>
          <w:szCs w:val="28"/>
          <w:highlight w:val="none"/>
        </w:rPr>
      </w:pPr>
    </w:p>
    <w:p w14:paraId="205B6149">
      <w:pPr>
        <w:tabs>
          <w:tab w:val="left" w:pos="0"/>
        </w:tabs>
        <w:spacing w:line="400" w:lineRule="exact"/>
        <w:jc w:val="center"/>
        <w:rPr>
          <w:rFonts w:hint="eastAsia" w:ascii="宋体" w:hAnsi="宋体" w:cs="宋体"/>
          <w:b/>
          <w:color w:val="auto"/>
          <w:sz w:val="28"/>
          <w:szCs w:val="28"/>
          <w:highlight w:val="none"/>
        </w:rPr>
      </w:pPr>
    </w:p>
    <w:p w14:paraId="34E43F9F">
      <w:pPr>
        <w:tabs>
          <w:tab w:val="left" w:pos="0"/>
        </w:tabs>
        <w:spacing w:line="400" w:lineRule="exact"/>
        <w:jc w:val="center"/>
        <w:rPr>
          <w:rFonts w:hint="eastAsia" w:ascii="宋体" w:hAnsi="宋体" w:cs="宋体"/>
          <w:b/>
          <w:color w:val="auto"/>
          <w:sz w:val="28"/>
          <w:szCs w:val="28"/>
          <w:highlight w:val="none"/>
        </w:rPr>
      </w:pPr>
    </w:p>
    <w:p w14:paraId="27FC8FA8">
      <w:pPr>
        <w:tabs>
          <w:tab w:val="left" w:pos="0"/>
        </w:tabs>
        <w:spacing w:line="400" w:lineRule="exact"/>
        <w:jc w:val="center"/>
        <w:rPr>
          <w:rFonts w:hint="eastAsia" w:ascii="宋体" w:hAnsi="宋体" w:cs="宋体"/>
          <w:b/>
          <w:color w:val="auto"/>
          <w:sz w:val="28"/>
          <w:szCs w:val="28"/>
          <w:highlight w:val="none"/>
        </w:rPr>
      </w:pPr>
    </w:p>
    <w:p w14:paraId="179BBDC9">
      <w:pPr>
        <w:tabs>
          <w:tab w:val="left" w:pos="0"/>
        </w:tabs>
        <w:spacing w:line="400" w:lineRule="exact"/>
        <w:jc w:val="center"/>
        <w:rPr>
          <w:rFonts w:hint="eastAsia" w:ascii="宋体" w:hAnsi="宋体" w:cs="宋体"/>
          <w:b/>
          <w:color w:val="auto"/>
          <w:sz w:val="28"/>
          <w:szCs w:val="28"/>
          <w:highlight w:val="none"/>
        </w:rPr>
      </w:pPr>
    </w:p>
    <w:p w14:paraId="218E6C95">
      <w:pPr>
        <w:tabs>
          <w:tab w:val="left" w:pos="0"/>
        </w:tabs>
        <w:spacing w:line="400" w:lineRule="exact"/>
        <w:jc w:val="center"/>
        <w:rPr>
          <w:rFonts w:hint="eastAsia" w:ascii="宋体" w:hAnsi="宋体" w:cs="宋体"/>
          <w:b/>
          <w:color w:val="auto"/>
          <w:sz w:val="28"/>
          <w:szCs w:val="28"/>
          <w:highlight w:val="none"/>
        </w:rPr>
      </w:pPr>
    </w:p>
    <w:p w14:paraId="0C397C32">
      <w:pPr>
        <w:tabs>
          <w:tab w:val="left" w:pos="0"/>
        </w:tabs>
        <w:spacing w:line="400" w:lineRule="exact"/>
        <w:jc w:val="center"/>
        <w:rPr>
          <w:rFonts w:hint="eastAsia" w:ascii="宋体" w:hAnsi="宋体" w:cs="宋体"/>
          <w:b/>
          <w:color w:val="auto"/>
          <w:sz w:val="28"/>
          <w:szCs w:val="28"/>
          <w:highlight w:val="none"/>
        </w:rPr>
      </w:pPr>
    </w:p>
    <w:p w14:paraId="66AD4E75">
      <w:pPr>
        <w:tabs>
          <w:tab w:val="left" w:pos="0"/>
        </w:tabs>
        <w:spacing w:line="400" w:lineRule="exact"/>
        <w:jc w:val="center"/>
        <w:rPr>
          <w:rFonts w:hint="eastAsia" w:ascii="宋体" w:hAnsi="宋体" w:cs="宋体"/>
          <w:b/>
          <w:color w:val="auto"/>
          <w:sz w:val="28"/>
          <w:szCs w:val="28"/>
          <w:highlight w:val="none"/>
        </w:rPr>
      </w:pPr>
    </w:p>
    <w:p w14:paraId="133941AE">
      <w:pPr>
        <w:tabs>
          <w:tab w:val="left" w:pos="0"/>
        </w:tabs>
        <w:spacing w:line="400" w:lineRule="exact"/>
        <w:jc w:val="center"/>
        <w:rPr>
          <w:rFonts w:hint="eastAsia" w:ascii="宋体" w:hAnsi="宋体" w:cs="宋体"/>
          <w:b/>
          <w:color w:val="auto"/>
          <w:sz w:val="28"/>
          <w:szCs w:val="28"/>
          <w:highlight w:val="none"/>
        </w:rPr>
      </w:pPr>
    </w:p>
    <w:p w14:paraId="41E2FACC">
      <w:pPr>
        <w:tabs>
          <w:tab w:val="left" w:pos="0"/>
        </w:tabs>
        <w:spacing w:line="400" w:lineRule="exact"/>
        <w:jc w:val="center"/>
        <w:rPr>
          <w:rFonts w:hint="eastAsia" w:ascii="宋体" w:hAnsi="宋体" w:cs="宋体"/>
          <w:b/>
          <w:color w:val="auto"/>
          <w:sz w:val="28"/>
          <w:szCs w:val="28"/>
          <w:highlight w:val="none"/>
        </w:rPr>
      </w:pPr>
    </w:p>
    <w:p w14:paraId="2DDDCDBF">
      <w:pPr>
        <w:tabs>
          <w:tab w:val="left" w:pos="0"/>
        </w:tabs>
        <w:spacing w:line="400" w:lineRule="exact"/>
        <w:jc w:val="center"/>
        <w:rPr>
          <w:rFonts w:hint="eastAsia" w:ascii="宋体" w:hAnsi="宋体" w:cs="宋体"/>
          <w:b/>
          <w:color w:val="auto"/>
          <w:sz w:val="28"/>
          <w:szCs w:val="28"/>
          <w:highlight w:val="none"/>
        </w:rPr>
      </w:pPr>
    </w:p>
    <w:p w14:paraId="0BA28D6B">
      <w:pPr>
        <w:tabs>
          <w:tab w:val="left" w:pos="0"/>
        </w:tabs>
        <w:spacing w:line="400" w:lineRule="exact"/>
        <w:jc w:val="center"/>
        <w:rPr>
          <w:rFonts w:hint="eastAsia" w:ascii="宋体" w:hAnsi="宋体" w:cs="宋体"/>
          <w:b/>
          <w:color w:val="auto"/>
          <w:sz w:val="28"/>
          <w:szCs w:val="28"/>
          <w:highlight w:val="none"/>
        </w:rPr>
      </w:pPr>
    </w:p>
    <w:p w14:paraId="35A4C948">
      <w:pPr>
        <w:tabs>
          <w:tab w:val="left" w:pos="0"/>
        </w:tabs>
        <w:spacing w:line="400" w:lineRule="exact"/>
        <w:jc w:val="center"/>
        <w:rPr>
          <w:rFonts w:hint="eastAsia" w:ascii="宋体" w:hAnsi="宋体" w:cs="宋体"/>
          <w:b/>
          <w:color w:val="auto"/>
          <w:sz w:val="28"/>
          <w:szCs w:val="28"/>
          <w:highlight w:val="none"/>
        </w:rPr>
      </w:pPr>
    </w:p>
    <w:p w14:paraId="2E6BC4EE">
      <w:pPr>
        <w:tabs>
          <w:tab w:val="left" w:pos="0"/>
        </w:tabs>
        <w:spacing w:line="400" w:lineRule="exact"/>
        <w:jc w:val="center"/>
        <w:rPr>
          <w:rFonts w:hint="eastAsia" w:ascii="宋体" w:hAnsi="宋体" w:cs="宋体"/>
          <w:b/>
          <w:color w:val="auto"/>
          <w:sz w:val="28"/>
          <w:szCs w:val="28"/>
          <w:highlight w:val="none"/>
        </w:rPr>
      </w:pPr>
    </w:p>
    <w:p w14:paraId="4DB900FF">
      <w:pPr>
        <w:tabs>
          <w:tab w:val="left" w:pos="0"/>
        </w:tabs>
        <w:spacing w:line="400" w:lineRule="exact"/>
        <w:jc w:val="center"/>
        <w:rPr>
          <w:rFonts w:hint="eastAsia" w:ascii="宋体" w:hAnsi="宋体" w:cs="宋体"/>
          <w:b/>
          <w:color w:val="auto"/>
          <w:sz w:val="28"/>
          <w:szCs w:val="28"/>
          <w:highlight w:val="none"/>
        </w:rPr>
      </w:pPr>
    </w:p>
    <w:p w14:paraId="0F039549">
      <w:pPr>
        <w:tabs>
          <w:tab w:val="left" w:pos="0"/>
        </w:tabs>
        <w:spacing w:line="400" w:lineRule="exact"/>
        <w:jc w:val="center"/>
        <w:rPr>
          <w:rFonts w:hint="eastAsia" w:ascii="宋体" w:hAnsi="宋体" w:cs="宋体"/>
          <w:b/>
          <w:color w:val="auto"/>
          <w:sz w:val="28"/>
          <w:szCs w:val="28"/>
          <w:highlight w:val="none"/>
        </w:rPr>
      </w:pPr>
    </w:p>
    <w:p w14:paraId="07F33ACD">
      <w:pPr>
        <w:tabs>
          <w:tab w:val="left" w:pos="0"/>
        </w:tabs>
        <w:spacing w:line="400" w:lineRule="exact"/>
        <w:jc w:val="center"/>
        <w:rPr>
          <w:rFonts w:hint="eastAsia" w:ascii="宋体" w:hAnsi="宋体" w:cs="宋体"/>
          <w:b/>
          <w:color w:val="auto"/>
          <w:sz w:val="28"/>
          <w:szCs w:val="28"/>
          <w:highlight w:val="none"/>
        </w:rPr>
      </w:pPr>
    </w:p>
    <w:p w14:paraId="0664FD09">
      <w:pPr>
        <w:tabs>
          <w:tab w:val="left" w:pos="0"/>
        </w:tabs>
        <w:spacing w:line="40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第四章　评标方法和评标标准</w:t>
      </w:r>
    </w:p>
    <w:p w14:paraId="7A66E1F3">
      <w:pPr>
        <w:spacing w:line="600" w:lineRule="exact"/>
        <w:jc w:val="left"/>
        <w:rPr>
          <w:rFonts w:hint="eastAsia" w:ascii="宋体" w:hAnsi="宋体" w:cs="宋体"/>
          <w:color w:val="auto"/>
          <w:sz w:val="24"/>
          <w:szCs w:val="24"/>
          <w:highlight w:val="none"/>
        </w:rPr>
      </w:pPr>
      <w:r>
        <w:rPr>
          <w:rFonts w:hint="eastAsia" w:ascii="宋体" w:hAnsi="宋体" w:cs="宋体"/>
          <w:b/>
          <w:bCs/>
          <w:color w:val="auto"/>
          <w:sz w:val="24"/>
          <w:szCs w:val="24"/>
          <w:highlight w:val="none"/>
        </w:rPr>
        <w:t>一、评标方法</w:t>
      </w:r>
    </w:p>
    <w:p w14:paraId="7DA4E888">
      <w:pPr>
        <w:spacing w:line="312"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次评审采用综合评标法，是指投标文件满足招标文件全部实质性要求，且按照评审因素的量化指标评审得分最高的投标人为中标候选人的评标方法，评审因素包括投标报价、技术或者服务水平、履约能力、售后服务等。</w:t>
      </w:r>
    </w:p>
    <w:p w14:paraId="1F0F01FA">
      <w:pPr>
        <w:spacing w:line="312"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11C4F8BE">
      <w:pPr>
        <w:spacing w:line="312"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注：每部分的得分保留小数点后两位，合计得分保留小数点后两位。</w:t>
      </w:r>
    </w:p>
    <w:p w14:paraId="5EF4A212">
      <w:pPr>
        <w:numPr>
          <w:ilvl w:val="0"/>
          <w:numId w:val="8"/>
        </w:numPr>
        <w:spacing w:line="600" w:lineRule="exact"/>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评分标准：</w:t>
      </w:r>
    </w:p>
    <w:bookmarkEnd w:id="18"/>
    <w:tbl>
      <w:tblPr>
        <w:tblStyle w:val="34"/>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82"/>
        <w:gridCol w:w="1189"/>
        <w:gridCol w:w="5836"/>
        <w:gridCol w:w="755"/>
      </w:tblGrid>
      <w:tr w14:paraId="562F9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555260E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282" w:type="dxa"/>
            <w:vAlign w:val="center"/>
          </w:tcPr>
          <w:p w14:paraId="5E8BDA9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类别</w:t>
            </w:r>
          </w:p>
        </w:tc>
        <w:tc>
          <w:tcPr>
            <w:tcW w:w="1189" w:type="dxa"/>
            <w:vAlign w:val="center"/>
          </w:tcPr>
          <w:p w14:paraId="736E55B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评分项</w:t>
            </w:r>
          </w:p>
        </w:tc>
        <w:tc>
          <w:tcPr>
            <w:tcW w:w="5836" w:type="dxa"/>
            <w:vAlign w:val="center"/>
          </w:tcPr>
          <w:p w14:paraId="6197752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评分细则</w:t>
            </w:r>
          </w:p>
        </w:tc>
        <w:tc>
          <w:tcPr>
            <w:tcW w:w="755" w:type="dxa"/>
            <w:vAlign w:val="center"/>
          </w:tcPr>
          <w:p w14:paraId="5AB39E1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分值</w:t>
            </w:r>
          </w:p>
        </w:tc>
      </w:tr>
      <w:tr w14:paraId="7B9F5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1" w:hRule="atLeast"/>
          <w:jc w:val="center"/>
        </w:trPr>
        <w:tc>
          <w:tcPr>
            <w:tcW w:w="0" w:type="auto"/>
            <w:vAlign w:val="center"/>
          </w:tcPr>
          <w:p w14:paraId="48CBD573">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一</w:t>
            </w:r>
          </w:p>
        </w:tc>
        <w:tc>
          <w:tcPr>
            <w:tcW w:w="1282" w:type="dxa"/>
            <w:vAlign w:val="center"/>
          </w:tcPr>
          <w:p w14:paraId="25D15AC5">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价格</w:t>
            </w:r>
          </w:p>
          <w:p w14:paraId="0D61EB5A">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部分</w:t>
            </w:r>
          </w:p>
          <w:p w14:paraId="28C0878F">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w:t>
            </w:r>
            <w:r>
              <w:rPr>
                <w:rFonts w:hint="eastAsia" w:ascii="宋体" w:hAnsi="宋体" w:cs="宋体"/>
                <w:bCs/>
                <w:color w:val="auto"/>
                <w:sz w:val="24"/>
                <w:szCs w:val="24"/>
                <w:lang w:val="en-US" w:eastAsia="zh-CN"/>
              </w:rPr>
              <w:t>30</w:t>
            </w:r>
            <w:r>
              <w:rPr>
                <w:rFonts w:hint="eastAsia" w:ascii="宋体" w:hAnsi="宋体" w:eastAsia="宋体" w:cs="宋体"/>
                <w:bCs/>
                <w:color w:val="auto"/>
                <w:sz w:val="24"/>
                <w:szCs w:val="24"/>
              </w:rPr>
              <w:t>分）</w:t>
            </w:r>
          </w:p>
        </w:tc>
        <w:tc>
          <w:tcPr>
            <w:tcW w:w="1189" w:type="dxa"/>
            <w:vAlign w:val="center"/>
          </w:tcPr>
          <w:p w14:paraId="22FBE12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投标</w:t>
            </w:r>
          </w:p>
          <w:p w14:paraId="44CAC2A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报价</w:t>
            </w:r>
          </w:p>
        </w:tc>
        <w:tc>
          <w:tcPr>
            <w:tcW w:w="5836" w:type="dxa"/>
            <w:vAlign w:val="center"/>
          </w:tcPr>
          <w:p w14:paraId="20CA8003">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highlight w:val="none"/>
              </w:rPr>
              <w:t>采用低价优先法计算，即满足</w:t>
            </w:r>
            <w:r>
              <w:rPr>
                <w:rFonts w:hint="eastAsia" w:ascii="宋体" w:hAnsi="宋体" w:cs="宋体"/>
                <w:color w:val="auto"/>
                <w:sz w:val="24"/>
                <w:highlight w:val="none"/>
                <w:lang w:val="en-US" w:eastAsia="zh-CN"/>
              </w:rPr>
              <w:t>采购</w:t>
            </w:r>
            <w:r>
              <w:rPr>
                <w:rFonts w:hint="eastAsia" w:ascii="宋体" w:hAnsi="宋体" w:eastAsia="宋体" w:cs="宋体"/>
                <w:color w:val="auto"/>
                <w:sz w:val="24"/>
                <w:highlight w:val="none"/>
              </w:rPr>
              <w:t>文件要求且投标报价最低的为评标基准价，其价格分为满分。其他</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的价格分统一按照下列公式计算：投标人价格得分=最低报价(评标基准价)/投标人报价×</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rPr>
              <w:t>。</w:t>
            </w:r>
          </w:p>
        </w:tc>
        <w:tc>
          <w:tcPr>
            <w:tcW w:w="755" w:type="dxa"/>
            <w:vAlign w:val="center"/>
          </w:tcPr>
          <w:p w14:paraId="622BF2F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30</w:t>
            </w:r>
          </w:p>
        </w:tc>
      </w:tr>
      <w:tr w14:paraId="21AB4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6" w:hRule="atLeast"/>
          <w:jc w:val="center"/>
        </w:trPr>
        <w:tc>
          <w:tcPr>
            <w:tcW w:w="544" w:type="dxa"/>
            <w:vMerge w:val="restart"/>
            <w:vAlign w:val="center"/>
          </w:tcPr>
          <w:p w14:paraId="7F3EC72C">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二</w:t>
            </w:r>
          </w:p>
        </w:tc>
        <w:tc>
          <w:tcPr>
            <w:tcW w:w="1282" w:type="dxa"/>
            <w:vMerge w:val="restart"/>
            <w:vAlign w:val="center"/>
          </w:tcPr>
          <w:p w14:paraId="38721E93">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技术</w:t>
            </w:r>
          </w:p>
          <w:p w14:paraId="18CCB569">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部分</w:t>
            </w:r>
          </w:p>
          <w:p w14:paraId="339366A3">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w:t>
            </w:r>
            <w:r>
              <w:rPr>
                <w:rFonts w:hint="eastAsia" w:ascii="宋体" w:hAnsi="宋体" w:cs="宋体"/>
                <w:bCs/>
                <w:color w:val="auto"/>
                <w:sz w:val="24"/>
                <w:szCs w:val="24"/>
                <w:lang w:val="en-US" w:eastAsia="zh-CN"/>
              </w:rPr>
              <w:t>45</w:t>
            </w:r>
            <w:r>
              <w:rPr>
                <w:rFonts w:hint="eastAsia" w:ascii="宋体" w:hAnsi="宋体" w:eastAsia="宋体" w:cs="宋体"/>
                <w:bCs/>
                <w:color w:val="auto"/>
                <w:sz w:val="24"/>
                <w:szCs w:val="24"/>
              </w:rPr>
              <w:t>分）</w:t>
            </w:r>
          </w:p>
        </w:tc>
        <w:tc>
          <w:tcPr>
            <w:tcW w:w="1189" w:type="dxa"/>
            <w:shd w:val="clear" w:color="auto" w:fill="auto"/>
            <w:vAlign w:val="center"/>
          </w:tcPr>
          <w:p w14:paraId="7966304D">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主要技术指标响应情况</w:t>
            </w:r>
          </w:p>
        </w:tc>
        <w:tc>
          <w:tcPr>
            <w:tcW w:w="5836" w:type="dxa"/>
            <w:shd w:val="clear" w:color="auto" w:fill="auto"/>
            <w:vAlign w:val="center"/>
          </w:tcPr>
          <w:p w14:paraId="4699F2B4">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bidi="ar-SA"/>
              </w:rPr>
              <w:t>打“★”项</w:t>
            </w:r>
            <w:r>
              <w:rPr>
                <w:rFonts w:hint="eastAsia" w:ascii="宋体" w:hAnsi="宋体" w:cs="宋体"/>
                <w:bCs/>
                <w:color w:val="auto"/>
                <w:kern w:val="2"/>
                <w:sz w:val="24"/>
                <w:szCs w:val="24"/>
                <w:highlight w:val="none"/>
                <w:lang w:val="en-US" w:eastAsia="zh-CN" w:bidi="ar-SA"/>
              </w:rPr>
              <w:t>技术指标</w:t>
            </w:r>
            <w:r>
              <w:rPr>
                <w:rFonts w:hint="eastAsia" w:ascii="宋体" w:hAnsi="宋体" w:eastAsia="宋体" w:cs="宋体"/>
                <w:bCs/>
                <w:color w:val="auto"/>
                <w:kern w:val="2"/>
                <w:sz w:val="24"/>
                <w:szCs w:val="24"/>
                <w:highlight w:val="none"/>
                <w:lang w:val="en-US" w:bidi="ar-SA"/>
              </w:rPr>
              <w:t>为本次采购要求中的核心功能项（共</w:t>
            </w:r>
            <w:r>
              <w:rPr>
                <w:rFonts w:hint="eastAsia" w:ascii="宋体" w:hAnsi="宋体" w:cs="宋体"/>
                <w:bCs/>
                <w:color w:val="auto"/>
                <w:kern w:val="2"/>
                <w:sz w:val="24"/>
                <w:szCs w:val="24"/>
                <w:highlight w:val="none"/>
                <w:lang w:val="en-US" w:eastAsia="zh-CN" w:bidi="ar-SA"/>
              </w:rPr>
              <w:t>18</w:t>
            </w:r>
            <w:r>
              <w:rPr>
                <w:rFonts w:hint="eastAsia" w:ascii="宋体" w:hAnsi="宋体" w:eastAsia="宋体" w:cs="宋体"/>
                <w:bCs/>
                <w:color w:val="auto"/>
                <w:kern w:val="2"/>
                <w:sz w:val="24"/>
                <w:szCs w:val="24"/>
                <w:highlight w:val="none"/>
                <w:lang w:val="en-US" w:bidi="ar-SA"/>
              </w:rPr>
              <w:t>项），投标</w:t>
            </w:r>
            <w:r>
              <w:rPr>
                <w:rFonts w:hint="eastAsia" w:ascii="宋体" w:hAnsi="宋体" w:cs="宋体"/>
                <w:bCs/>
                <w:color w:val="auto"/>
                <w:kern w:val="2"/>
                <w:sz w:val="24"/>
                <w:szCs w:val="24"/>
                <w:highlight w:val="none"/>
                <w:lang w:val="en-US" w:eastAsia="zh-CN" w:bidi="ar-SA"/>
              </w:rPr>
              <w:t>人能</w:t>
            </w:r>
            <w:r>
              <w:rPr>
                <w:rFonts w:hint="eastAsia" w:ascii="宋体" w:hAnsi="宋体" w:eastAsia="宋体" w:cs="宋体"/>
                <w:bCs/>
                <w:color w:val="auto"/>
                <w:kern w:val="2"/>
                <w:sz w:val="24"/>
                <w:szCs w:val="24"/>
                <w:highlight w:val="none"/>
                <w:lang w:val="en-US" w:bidi="ar-SA"/>
              </w:rPr>
              <w:t>全部提供以上“★”条款</w:t>
            </w:r>
            <w:r>
              <w:rPr>
                <w:rFonts w:hint="eastAsia" w:ascii="宋体" w:hAnsi="宋体" w:cs="宋体"/>
                <w:bCs/>
                <w:color w:val="auto"/>
                <w:kern w:val="2"/>
                <w:sz w:val="24"/>
                <w:szCs w:val="24"/>
                <w:highlight w:val="none"/>
                <w:lang w:val="en-US" w:eastAsia="zh-CN" w:bidi="ar-SA"/>
              </w:rPr>
              <w:t>支撑</w:t>
            </w:r>
            <w:r>
              <w:rPr>
                <w:rFonts w:hint="eastAsia" w:ascii="宋体" w:hAnsi="宋体" w:eastAsia="宋体" w:cs="宋体"/>
                <w:bCs/>
                <w:color w:val="auto"/>
                <w:kern w:val="2"/>
                <w:sz w:val="24"/>
                <w:szCs w:val="24"/>
                <w:highlight w:val="none"/>
                <w:lang w:val="en-US" w:bidi="ar-SA"/>
              </w:rPr>
              <w:t>材料</w:t>
            </w:r>
            <w:r>
              <w:rPr>
                <w:rFonts w:hint="eastAsia" w:ascii="宋体" w:hAnsi="宋体" w:cs="宋体"/>
                <w:bCs/>
                <w:color w:val="auto"/>
                <w:kern w:val="2"/>
                <w:sz w:val="24"/>
                <w:szCs w:val="24"/>
                <w:highlight w:val="none"/>
                <w:lang w:val="en-US" w:eastAsia="zh-CN" w:bidi="ar-SA"/>
              </w:rPr>
              <w:t>的</w:t>
            </w:r>
            <w:r>
              <w:rPr>
                <w:rFonts w:hint="eastAsia" w:ascii="宋体" w:hAnsi="宋体" w:eastAsia="宋体" w:cs="宋体"/>
                <w:bCs/>
                <w:color w:val="auto"/>
                <w:kern w:val="2"/>
                <w:sz w:val="24"/>
                <w:szCs w:val="24"/>
                <w:highlight w:val="none"/>
                <w:lang w:val="en-US" w:bidi="ar-SA"/>
              </w:rPr>
              <w:t>得</w:t>
            </w:r>
            <w:r>
              <w:rPr>
                <w:rFonts w:hint="eastAsia" w:ascii="宋体" w:hAnsi="宋体" w:cs="宋体"/>
                <w:bCs/>
                <w:color w:val="auto"/>
                <w:kern w:val="2"/>
                <w:sz w:val="24"/>
                <w:szCs w:val="24"/>
                <w:highlight w:val="none"/>
                <w:lang w:val="en-US" w:eastAsia="zh-CN" w:bidi="ar-SA"/>
              </w:rPr>
              <w:t>9</w:t>
            </w:r>
            <w:r>
              <w:rPr>
                <w:rFonts w:hint="eastAsia" w:ascii="宋体" w:hAnsi="宋体" w:eastAsia="宋体" w:cs="宋体"/>
                <w:bCs/>
                <w:color w:val="auto"/>
                <w:kern w:val="2"/>
                <w:sz w:val="24"/>
                <w:szCs w:val="24"/>
                <w:highlight w:val="none"/>
                <w:lang w:val="en-US" w:bidi="ar-SA"/>
              </w:rPr>
              <w:t>分，缺</w:t>
            </w:r>
            <w:r>
              <w:rPr>
                <w:rFonts w:hint="eastAsia" w:ascii="宋体" w:hAnsi="宋体" w:cs="宋体"/>
                <w:bCs/>
                <w:color w:val="auto"/>
                <w:kern w:val="2"/>
                <w:sz w:val="24"/>
                <w:szCs w:val="24"/>
                <w:highlight w:val="none"/>
                <w:lang w:val="en-US" w:eastAsia="zh-CN" w:bidi="ar-SA"/>
              </w:rPr>
              <w:t>一</w:t>
            </w:r>
            <w:r>
              <w:rPr>
                <w:rFonts w:hint="eastAsia" w:ascii="宋体" w:hAnsi="宋体" w:eastAsia="宋体" w:cs="宋体"/>
                <w:bCs/>
                <w:color w:val="auto"/>
                <w:kern w:val="2"/>
                <w:sz w:val="24"/>
                <w:szCs w:val="24"/>
                <w:highlight w:val="none"/>
                <w:lang w:val="en-US" w:bidi="ar-SA"/>
              </w:rPr>
              <w:t>项扣</w:t>
            </w:r>
            <w:r>
              <w:rPr>
                <w:rFonts w:hint="eastAsia" w:ascii="宋体" w:hAnsi="宋体" w:cs="宋体"/>
                <w:bCs/>
                <w:color w:val="auto"/>
                <w:kern w:val="2"/>
                <w:sz w:val="24"/>
                <w:szCs w:val="24"/>
                <w:highlight w:val="none"/>
                <w:lang w:val="en-US" w:eastAsia="zh-CN" w:bidi="ar-SA"/>
              </w:rPr>
              <w:t>0.5</w:t>
            </w:r>
            <w:r>
              <w:rPr>
                <w:rFonts w:hint="eastAsia" w:ascii="宋体" w:hAnsi="宋体" w:eastAsia="宋体" w:cs="宋体"/>
                <w:bCs/>
                <w:color w:val="auto"/>
                <w:kern w:val="2"/>
                <w:sz w:val="24"/>
                <w:szCs w:val="24"/>
                <w:highlight w:val="none"/>
                <w:lang w:val="en-US" w:bidi="ar-SA"/>
              </w:rPr>
              <w:t>分，扣完为止</w:t>
            </w:r>
            <w:r>
              <w:rPr>
                <w:rFonts w:hint="eastAsia" w:ascii="宋体" w:hAnsi="宋体" w:cs="宋体"/>
                <w:bCs/>
                <w:color w:val="auto"/>
                <w:kern w:val="2"/>
                <w:sz w:val="24"/>
                <w:szCs w:val="24"/>
                <w:highlight w:val="none"/>
                <w:lang w:val="en-US" w:eastAsia="zh-CN" w:bidi="ar-SA"/>
              </w:rPr>
              <w:t>（其中，</w:t>
            </w:r>
            <w:r>
              <w:rPr>
                <w:rFonts w:hint="eastAsia" w:ascii="宋体" w:hAnsi="宋体" w:eastAsia="宋体" w:cs="宋体"/>
                <w:bCs/>
                <w:color w:val="auto"/>
                <w:kern w:val="2"/>
                <w:sz w:val="24"/>
                <w:szCs w:val="24"/>
                <w:highlight w:val="none"/>
                <w:lang w:val="en-US" w:bidi="ar-SA"/>
              </w:rPr>
              <w:t>打“▲”项为“★”</w:t>
            </w:r>
            <w:r>
              <w:rPr>
                <w:rFonts w:hint="eastAsia" w:ascii="宋体" w:hAnsi="宋体" w:cs="宋体"/>
                <w:bCs/>
                <w:color w:val="auto"/>
                <w:kern w:val="2"/>
                <w:sz w:val="24"/>
                <w:szCs w:val="24"/>
                <w:highlight w:val="none"/>
                <w:lang w:val="en-US" w:eastAsia="zh-CN" w:bidi="ar-SA"/>
              </w:rPr>
              <w:t>技术指标</w:t>
            </w:r>
            <w:r>
              <w:rPr>
                <w:rFonts w:hint="eastAsia" w:ascii="宋体" w:hAnsi="宋体" w:eastAsia="宋体" w:cs="宋体"/>
                <w:bCs/>
                <w:color w:val="auto"/>
                <w:kern w:val="2"/>
                <w:sz w:val="24"/>
                <w:szCs w:val="24"/>
                <w:highlight w:val="none"/>
                <w:lang w:val="en-US" w:bidi="ar-SA"/>
              </w:rPr>
              <w:t>要求中的核心功能项</w:t>
            </w:r>
            <w:r>
              <w:rPr>
                <w:rFonts w:hint="eastAsia" w:ascii="宋体" w:hAnsi="宋体" w:cs="宋体"/>
                <w:bCs/>
                <w:color w:val="auto"/>
                <w:kern w:val="2"/>
                <w:sz w:val="24"/>
                <w:szCs w:val="24"/>
                <w:highlight w:val="none"/>
                <w:lang w:val="en-US" w:eastAsia="zh-CN" w:bidi="ar-SA"/>
              </w:rPr>
              <w:t>，缺一项则表明不能满足</w:t>
            </w:r>
            <w:r>
              <w:rPr>
                <w:rFonts w:hint="eastAsia" w:ascii="宋体" w:hAnsi="宋体" w:eastAsia="宋体" w:cs="宋体"/>
                <w:bCs/>
                <w:color w:val="auto"/>
                <w:kern w:val="2"/>
                <w:sz w:val="24"/>
                <w:szCs w:val="24"/>
                <w:highlight w:val="none"/>
                <w:lang w:val="en-US" w:bidi="ar-SA"/>
              </w:rPr>
              <w:t>“★”项</w:t>
            </w:r>
            <w:r>
              <w:rPr>
                <w:rFonts w:hint="eastAsia" w:ascii="宋体" w:hAnsi="宋体" w:cs="宋体"/>
                <w:bCs/>
                <w:color w:val="auto"/>
                <w:kern w:val="2"/>
                <w:sz w:val="24"/>
                <w:szCs w:val="24"/>
                <w:highlight w:val="none"/>
                <w:lang w:val="en-US" w:eastAsia="zh-CN" w:bidi="ar-SA"/>
              </w:rPr>
              <w:t>技术指标）</w:t>
            </w:r>
            <w:r>
              <w:rPr>
                <w:rFonts w:hint="eastAsia" w:ascii="宋体" w:hAnsi="宋体" w:eastAsia="宋体" w:cs="宋体"/>
                <w:bCs/>
                <w:color w:val="auto"/>
                <w:kern w:val="2"/>
                <w:sz w:val="24"/>
                <w:szCs w:val="24"/>
                <w:highlight w:val="none"/>
                <w:lang w:val="en-US" w:bidi="ar-SA"/>
              </w:rPr>
              <w:t>。</w:t>
            </w:r>
            <w:r>
              <w:rPr>
                <w:rFonts w:hint="eastAsia" w:ascii="宋体" w:hAnsi="宋体" w:eastAsia="宋体" w:cs="宋体"/>
                <w:color w:val="auto"/>
                <w:sz w:val="24"/>
                <w:szCs w:val="24"/>
              </w:rPr>
              <w:t>（提供相关证明材料扫描件</w:t>
            </w:r>
            <w:r>
              <w:rPr>
                <w:rFonts w:hint="eastAsia" w:ascii="宋体" w:hAnsi="宋体" w:cs="宋体"/>
                <w:color w:val="auto"/>
                <w:sz w:val="24"/>
                <w:szCs w:val="24"/>
                <w:lang w:val="en-US" w:eastAsia="zh-CN"/>
              </w:rPr>
              <w:t>或相关照片资料证明并加盖印章</w:t>
            </w:r>
            <w:r>
              <w:rPr>
                <w:rFonts w:hint="eastAsia" w:ascii="宋体" w:hAnsi="宋体" w:cs="宋体"/>
                <w:color w:val="auto"/>
                <w:sz w:val="24"/>
                <w:szCs w:val="24"/>
                <w:lang w:eastAsia="zh-CN"/>
              </w:rPr>
              <w:t>）</w:t>
            </w:r>
          </w:p>
        </w:tc>
        <w:tc>
          <w:tcPr>
            <w:tcW w:w="755" w:type="dxa"/>
            <w:vAlign w:val="center"/>
          </w:tcPr>
          <w:p w14:paraId="28327378">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cs="宋体"/>
                <w:bCs/>
                <w:color w:val="auto"/>
                <w:sz w:val="24"/>
                <w:szCs w:val="24"/>
                <w:lang w:val="en-US" w:eastAsia="zh-CN"/>
              </w:rPr>
            </w:pPr>
            <w:r>
              <w:rPr>
                <w:rFonts w:hint="eastAsia" w:ascii="宋体" w:hAnsi="宋体" w:cs="宋体"/>
                <w:bCs/>
                <w:color w:val="auto"/>
                <w:sz w:val="24"/>
                <w:szCs w:val="24"/>
                <w:lang w:val="en-US" w:eastAsia="zh-CN"/>
              </w:rPr>
              <w:t>9</w:t>
            </w:r>
          </w:p>
        </w:tc>
      </w:tr>
      <w:tr w14:paraId="0871F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544" w:type="dxa"/>
            <w:vMerge w:val="continue"/>
            <w:vAlign w:val="center"/>
          </w:tcPr>
          <w:p w14:paraId="1D096ED7">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p>
        </w:tc>
        <w:tc>
          <w:tcPr>
            <w:tcW w:w="1282" w:type="dxa"/>
            <w:vMerge w:val="continue"/>
            <w:vAlign w:val="center"/>
          </w:tcPr>
          <w:p w14:paraId="72016503">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p>
        </w:tc>
        <w:tc>
          <w:tcPr>
            <w:tcW w:w="1189" w:type="dxa"/>
            <w:vAlign w:val="center"/>
          </w:tcPr>
          <w:p w14:paraId="1C335988">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lang w:val="en-US" w:eastAsia="zh-CN"/>
              </w:rPr>
              <w:t>对项目的理解和认识</w:t>
            </w:r>
          </w:p>
        </w:tc>
        <w:tc>
          <w:tcPr>
            <w:tcW w:w="5836" w:type="dxa"/>
            <w:shd w:val="clear" w:color="auto" w:fill="auto"/>
            <w:vAlign w:val="center"/>
          </w:tcPr>
          <w:p w14:paraId="21DA758E">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kern w:val="2"/>
                <w:sz w:val="24"/>
                <w:szCs w:val="24"/>
                <w:lang w:val="en-US" w:bidi="ar-SA"/>
              </w:rPr>
            </w:pPr>
            <w:r>
              <w:rPr>
                <w:rFonts w:hint="eastAsia" w:ascii="宋体" w:hAnsi="宋体" w:eastAsia="宋体" w:cs="宋体"/>
                <w:color w:val="auto"/>
                <w:kern w:val="2"/>
                <w:sz w:val="24"/>
                <w:szCs w:val="24"/>
                <w:lang w:val="en-US" w:bidi="ar-SA"/>
              </w:rPr>
              <w:t>投标供应商针对本项目的认识理解进行综合评审：包括</w:t>
            </w:r>
            <w:r>
              <w:rPr>
                <w:rFonts w:hint="eastAsia" w:ascii="宋体" w:hAnsi="宋体" w:cs="宋体"/>
                <w:color w:val="auto"/>
                <w:kern w:val="2"/>
                <w:sz w:val="24"/>
                <w:szCs w:val="24"/>
                <w:lang w:val="en-US" w:eastAsia="zh-CN" w:bidi="ar-SA"/>
              </w:rPr>
              <w:t>①项目</w:t>
            </w:r>
            <w:r>
              <w:rPr>
                <w:rFonts w:hint="eastAsia" w:ascii="宋体" w:hAnsi="宋体" w:eastAsia="宋体" w:cs="宋体"/>
                <w:color w:val="auto"/>
                <w:kern w:val="2"/>
                <w:sz w:val="24"/>
                <w:szCs w:val="24"/>
                <w:lang w:val="en-US" w:bidi="ar-SA"/>
              </w:rPr>
              <w:t>认识</w:t>
            </w:r>
            <w:r>
              <w:rPr>
                <w:rFonts w:hint="eastAsia" w:ascii="宋体" w:hAnsi="宋体" w:cs="宋体"/>
                <w:color w:val="auto"/>
                <w:kern w:val="2"/>
                <w:sz w:val="24"/>
                <w:szCs w:val="24"/>
                <w:lang w:val="en-US" w:eastAsia="zh-CN" w:bidi="ar-SA"/>
              </w:rPr>
              <w:t>和需求理解、</w:t>
            </w:r>
            <w:r>
              <w:rPr>
                <w:rFonts w:hint="eastAsia" w:ascii="宋体" w:hAnsi="宋体" w:cs="宋体"/>
                <w:color w:val="auto"/>
                <w:sz w:val="24"/>
                <w:szCs w:val="24"/>
                <w:lang w:val="en-US" w:eastAsia="zh-CN"/>
              </w:rPr>
              <w:t>②</w:t>
            </w:r>
            <w:r>
              <w:rPr>
                <w:rFonts w:hint="eastAsia" w:ascii="宋体" w:hAnsi="宋体" w:cs="宋体"/>
                <w:color w:val="auto"/>
                <w:kern w:val="2"/>
                <w:sz w:val="24"/>
                <w:szCs w:val="24"/>
                <w:lang w:val="en-US" w:eastAsia="zh-CN" w:bidi="ar-SA"/>
              </w:rPr>
              <w:t>总体</w:t>
            </w:r>
            <w:r>
              <w:rPr>
                <w:rFonts w:hint="eastAsia" w:ascii="宋体" w:hAnsi="宋体" w:eastAsia="宋体" w:cs="宋体"/>
                <w:color w:val="auto"/>
                <w:kern w:val="2"/>
                <w:sz w:val="24"/>
                <w:szCs w:val="24"/>
                <w:lang w:val="en-US" w:bidi="ar-SA"/>
              </w:rPr>
              <w:t>目标。</w:t>
            </w:r>
          </w:p>
          <w:p w14:paraId="173F8B2C">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内容描述全面合理符合采购需求的得</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分，每有一项内容缺失的扣</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分；每有一项内容存在缺陷或不满足要求的扣</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分，扣完为止。</w:t>
            </w:r>
          </w:p>
          <w:p w14:paraId="074A571F">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b w:val="0"/>
                <w:bCs w:val="0"/>
                <w:color w:val="auto"/>
                <w:sz w:val="24"/>
                <w:szCs w:val="24"/>
                <w:lang w:eastAsia="zh-CN"/>
              </w:rPr>
              <w:t>。</w:t>
            </w:r>
          </w:p>
        </w:tc>
        <w:tc>
          <w:tcPr>
            <w:tcW w:w="755" w:type="dxa"/>
            <w:vAlign w:val="center"/>
          </w:tcPr>
          <w:p w14:paraId="0E94B415">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8</w:t>
            </w:r>
          </w:p>
        </w:tc>
      </w:tr>
      <w:tr w14:paraId="1370A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44" w:type="dxa"/>
            <w:vMerge w:val="continue"/>
            <w:vAlign w:val="center"/>
          </w:tcPr>
          <w:p w14:paraId="2A5393CC">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p>
        </w:tc>
        <w:tc>
          <w:tcPr>
            <w:tcW w:w="1282" w:type="dxa"/>
            <w:vMerge w:val="continue"/>
            <w:vAlign w:val="center"/>
          </w:tcPr>
          <w:p w14:paraId="53CFD615">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p>
        </w:tc>
        <w:tc>
          <w:tcPr>
            <w:tcW w:w="1189" w:type="dxa"/>
            <w:vAlign w:val="center"/>
          </w:tcPr>
          <w:p w14:paraId="690331DA">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b w:val="0"/>
                <w:bCs w:val="0"/>
                <w:color w:val="auto"/>
                <w:sz w:val="24"/>
                <w:szCs w:val="24"/>
                <w:lang w:val="en-US" w:eastAsia="zh-CN"/>
              </w:rPr>
              <w:t>实施</w:t>
            </w:r>
            <w:r>
              <w:rPr>
                <w:rFonts w:hint="eastAsia" w:ascii="宋体" w:hAnsi="宋体" w:eastAsia="宋体" w:cs="宋体"/>
                <w:b w:val="0"/>
                <w:bCs w:val="0"/>
                <w:color w:val="auto"/>
                <w:sz w:val="24"/>
                <w:szCs w:val="24"/>
              </w:rPr>
              <w:t>方案</w:t>
            </w:r>
          </w:p>
        </w:tc>
        <w:tc>
          <w:tcPr>
            <w:tcW w:w="5836" w:type="dxa"/>
            <w:shd w:val="clear" w:color="auto" w:fill="auto"/>
            <w:vAlign w:val="center"/>
          </w:tcPr>
          <w:p w14:paraId="720C3E03">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kern w:val="2"/>
                <w:sz w:val="24"/>
                <w:szCs w:val="24"/>
                <w:lang w:val="en-US" w:bidi="ar-SA"/>
              </w:rPr>
            </w:pPr>
            <w:r>
              <w:rPr>
                <w:rFonts w:hint="eastAsia" w:ascii="宋体" w:hAnsi="宋体" w:eastAsia="宋体" w:cs="宋体"/>
                <w:color w:val="auto"/>
                <w:kern w:val="2"/>
                <w:sz w:val="24"/>
                <w:szCs w:val="24"/>
                <w:lang w:val="en-US" w:bidi="ar-SA"/>
              </w:rPr>
              <w:t>投标供应商针对本项目</w:t>
            </w:r>
            <w:r>
              <w:rPr>
                <w:rFonts w:hint="eastAsia" w:ascii="宋体" w:hAnsi="宋体" w:eastAsia="宋体" w:cs="宋体"/>
                <w:color w:val="auto"/>
                <w:kern w:val="2"/>
                <w:sz w:val="24"/>
                <w:szCs w:val="24"/>
                <w:lang w:val="en-US" w:eastAsia="zh-CN" w:bidi="ar-SA"/>
              </w:rPr>
              <w:t>实施方案</w:t>
            </w:r>
            <w:r>
              <w:rPr>
                <w:rFonts w:hint="eastAsia" w:ascii="宋体" w:hAnsi="宋体" w:eastAsia="宋体" w:cs="宋体"/>
                <w:color w:val="auto"/>
                <w:kern w:val="2"/>
                <w:sz w:val="24"/>
                <w:szCs w:val="24"/>
                <w:lang w:val="en-US" w:bidi="ar-SA"/>
              </w:rPr>
              <w:t>进行综合评审：包括</w:t>
            </w:r>
            <w:r>
              <w:rPr>
                <w:rFonts w:hint="eastAsia" w:ascii="宋体" w:hAnsi="宋体" w:cs="宋体"/>
                <w:color w:val="auto"/>
                <w:sz w:val="24"/>
                <w:szCs w:val="24"/>
                <w:lang w:val="en-US" w:eastAsia="zh-CN"/>
              </w:rPr>
              <w:t>①设备方案</w:t>
            </w:r>
            <w:r>
              <w:rPr>
                <w:rFonts w:hint="eastAsia" w:ascii="宋体" w:hAnsi="宋体" w:cs="宋体"/>
                <w:color w:val="auto"/>
                <w:kern w:val="2"/>
                <w:sz w:val="24"/>
                <w:szCs w:val="24"/>
                <w:lang w:val="en-US" w:eastAsia="zh-CN" w:bidi="ar-SA"/>
              </w:rPr>
              <w:t>、②安装、调试及验收方案</w:t>
            </w:r>
            <w:r>
              <w:rPr>
                <w:rFonts w:hint="eastAsia" w:ascii="宋体" w:hAnsi="宋体" w:eastAsia="宋体" w:cs="宋体"/>
                <w:color w:val="auto"/>
                <w:kern w:val="2"/>
                <w:sz w:val="24"/>
                <w:szCs w:val="24"/>
                <w:lang w:val="en-US" w:bidi="ar-SA"/>
              </w:rPr>
              <w:t>。</w:t>
            </w:r>
          </w:p>
          <w:p w14:paraId="57D3FEB6">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方案内容描述全面合理符合采购需求的得</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分，每有一项内容缺失的扣</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分；每有一项内容存在缺陷或不满足要求的扣</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分，扣完为止。</w:t>
            </w:r>
          </w:p>
          <w:p w14:paraId="334BA6C4">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rPr>
              <w:t>（缺陷或不满足指：内容不全面、与实际需求不符、内容不清晰或交叉混乱、套用其他项目方案、有规范性或常识性错误、存在无关的事项、凭空编造、存在不可能实现的夸大情形等任意一种情形）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b w:val="0"/>
                <w:bCs w:val="0"/>
                <w:color w:val="auto"/>
                <w:sz w:val="24"/>
                <w:szCs w:val="24"/>
                <w:lang w:eastAsia="zh-CN"/>
              </w:rPr>
              <w:t>。</w:t>
            </w:r>
          </w:p>
        </w:tc>
        <w:tc>
          <w:tcPr>
            <w:tcW w:w="755" w:type="dxa"/>
            <w:vAlign w:val="center"/>
          </w:tcPr>
          <w:p w14:paraId="7628816E">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8</w:t>
            </w:r>
          </w:p>
        </w:tc>
      </w:tr>
      <w:tr w14:paraId="5E65A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44" w:type="dxa"/>
            <w:vMerge w:val="continue"/>
            <w:vAlign w:val="center"/>
          </w:tcPr>
          <w:p w14:paraId="04D3E4C2">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p>
        </w:tc>
        <w:tc>
          <w:tcPr>
            <w:tcW w:w="1282" w:type="dxa"/>
            <w:vMerge w:val="continue"/>
            <w:vAlign w:val="center"/>
          </w:tcPr>
          <w:p w14:paraId="54AE4CD4">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p>
        </w:tc>
        <w:tc>
          <w:tcPr>
            <w:tcW w:w="1189" w:type="dxa"/>
            <w:vAlign w:val="center"/>
          </w:tcPr>
          <w:p w14:paraId="4046608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b w:val="0"/>
                <w:bCs w:val="0"/>
                <w:color w:val="auto"/>
                <w:sz w:val="24"/>
                <w:szCs w:val="24"/>
                <w:lang w:val="en-US" w:eastAsia="zh-CN"/>
              </w:rPr>
              <w:t>质量</w:t>
            </w:r>
            <w:r>
              <w:rPr>
                <w:rFonts w:hint="eastAsia" w:ascii="宋体" w:hAnsi="宋体" w:eastAsia="宋体" w:cs="宋体"/>
                <w:b w:val="0"/>
                <w:bCs w:val="0"/>
                <w:color w:val="auto"/>
                <w:sz w:val="24"/>
                <w:szCs w:val="24"/>
              </w:rPr>
              <w:t>保障</w:t>
            </w:r>
            <w:r>
              <w:rPr>
                <w:rFonts w:hint="eastAsia" w:ascii="宋体" w:hAnsi="宋体" w:eastAsia="宋体" w:cs="宋体"/>
                <w:b w:val="0"/>
                <w:bCs w:val="0"/>
                <w:color w:val="auto"/>
                <w:sz w:val="24"/>
                <w:szCs w:val="24"/>
                <w:lang w:val="en-US" w:eastAsia="zh-CN"/>
              </w:rPr>
              <w:t>方案</w:t>
            </w:r>
          </w:p>
        </w:tc>
        <w:tc>
          <w:tcPr>
            <w:tcW w:w="5836" w:type="dxa"/>
            <w:vAlign w:val="center"/>
          </w:tcPr>
          <w:p w14:paraId="7218DB74">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投标</w:t>
            </w:r>
            <w:r>
              <w:rPr>
                <w:rFonts w:hint="eastAsia" w:ascii="宋体" w:hAnsi="宋体" w:eastAsia="宋体" w:cs="宋体"/>
                <w:b w:val="0"/>
                <w:bCs w:val="0"/>
                <w:color w:val="auto"/>
                <w:sz w:val="24"/>
                <w:szCs w:val="24"/>
                <w:lang w:val="en-US" w:eastAsia="zh-CN"/>
              </w:rPr>
              <w:t>人</w:t>
            </w:r>
            <w:r>
              <w:rPr>
                <w:rFonts w:hint="eastAsia" w:ascii="宋体" w:hAnsi="宋体" w:eastAsia="宋体" w:cs="宋体"/>
                <w:b w:val="0"/>
                <w:bCs w:val="0"/>
                <w:color w:val="auto"/>
                <w:sz w:val="24"/>
                <w:szCs w:val="24"/>
              </w:rPr>
              <w:t>应结合本项目采购需求编制</w:t>
            </w:r>
            <w:r>
              <w:rPr>
                <w:rFonts w:hint="eastAsia" w:ascii="宋体" w:hAnsi="宋体" w:eastAsia="宋体" w:cs="宋体"/>
                <w:b w:val="0"/>
                <w:bCs w:val="0"/>
                <w:color w:val="auto"/>
                <w:sz w:val="24"/>
                <w:szCs w:val="24"/>
                <w:lang w:val="en-US" w:eastAsia="zh-CN"/>
              </w:rPr>
              <w:t>质量保障方案，</w:t>
            </w:r>
            <w:r>
              <w:rPr>
                <w:rFonts w:hint="eastAsia" w:ascii="宋体" w:hAnsi="宋体" w:eastAsia="宋体" w:cs="宋体"/>
                <w:b w:val="0"/>
                <w:bCs w:val="0"/>
                <w:color w:val="auto"/>
                <w:sz w:val="24"/>
                <w:szCs w:val="24"/>
              </w:rPr>
              <w:t>根据投标人编制的</w:t>
            </w:r>
            <w:r>
              <w:rPr>
                <w:rFonts w:hint="eastAsia" w:ascii="宋体" w:hAnsi="宋体" w:eastAsia="宋体" w:cs="宋体"/>
                <w:b w:val="0"/>
                <w:bCs w:val="0"/>
                <w:color w:val="auto"/>
                <w:sz w:val="24"/>
                <w:szCs w:val="24"/>
                <w:lang w:val="en-US" w:eastAsia="zh-CN"/>
              </w:rPr>
              <w:t>相关制度</w:t>
            </w:r>
            <w:r>
              <w:rPr>
                <w:rFonts w:hint="eastAsia" w:ascii="宋体" w:hAnsi="宋体" w:eastAsia="宋体" w:cs="宋体"/>
                <w:b w:val="0"/>
                <w:bCs w:val="0"/>
                <w:color w:val="auto"/>
                <w:sz w:val="24"/>
                <w:szCs w:val="24"/>
              </w:rPr>
              <w:t>进行评审</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包括</w:t>
            </w:r>
            <w:r>
              <w:rPr>
                <w:rFonts w:hint="eastAsia" w:ascii="宋体" w:hAnsi="宋体" w:cs="宋体"/>
                <w:b w:val="0"/>
                <w:bCs w:val="0"/>
                <w:color w:val="auto"/>
                <w:sz w:val="24"/>
                <w:szCs w:val="24"/>
                <w:lang w:val="en-US" w:eastAsia="zh-CN"/>
              </w:rPr>
              <w:t>①</w:t>
            </w:r>
            <w:r>
              <w:rPr>
                <w:rFonts w:hint="eastAsia" w:ascii="宋体" w:hAnsi="宋体" w:eastAsia="宋体" w:cs="宋体"/>
                <w:b w:val="0"/>
                <w:bCs w:val="0"/>
                <w:color w:val="auto"/>
                <w:sz w:val="24"/>
                <w:szCs w:val="24"/>
                <w:lang w:val="en-US" w:eastAsia="zh-CN"/>
              </w:rPr>
              <w:t>人员和物资</w:t>
            </w:r>
            <w:r>
              <w:rPr>
                <w:rFonts w:hint="eastAsia" w:ascii="宋体" w:hAnsi="宋体" w:eastAsia="宋体" w:cs="宋体"/>
                <w:b w:val="0"/>
                <w:bCs w:val="0"/>
                <w:color w:val="auto"/>
                <w:sz w:val="24"/>
                <w:szCs w:val="24"/>
              </w:rPr>
              <w:t>配置</w:t>
            </w:r>
            <w:r>
              <w:rPr>
                <w:rFonts w:hint="eastAsia" w:ascii="宋体" w:hAnsi="宋体" w:cs="宋体"/>
                <w:b w:val="0"/>
                <w:bCs w:val="0"/>
                <w:color w:val="auto"/>
                <w:sz w:val="24"/>
                <w:szCs w:val="24"/>
                <w:lang w:val="en-US" w:eastAsia="zh-CN"/>
              </w:rPr>
              <w:t>、②</w:t>
            </w:r>
            <w:r>
              <w:rPr>
                <w:rFonts w:hint="eastAsia" w:ascii="宋体" w:hAnsi="宋体" w:eastAsia="宋体" w:cs="宋体"/>
                <w:b w:val="0"/>
                <w:bCs w:val="0"/>
                <w:color w:val="auto"/>
                <w:sz w:val="24"/>
                <w:szCs w:val="24"/>
              </w:rPr>
              <w:t>保密管理</w:t>
            </w:r>
            <w:r>
              <w:rPr>
                <w:rFonts w:hint="eastAsia" w:ascii="宋体" w:hAnsi="宋体" w:cs="宋体"/>
                <w:b w:val="0"/>
                <w:bCs w:val="0"/>
                <w:color w:val="auto"/>
                <w:sz w:val="24"/>
                <w:szCs w:val="24"/>
                <w:lang w:val="en-US" w:eastAsia="zh-CN"/>
              </w:rPr>
              <w:t>和安全保障</w:t>
            </w:r>
            <w:r>
              <w:rPr>
                <w:rFonts w:hint="eastAsia" w:ascii="宋体" w:hAnsi="宋体" w:eastAsia="宋体" w:cs="宋体"/>
                <w:b w:val="0"/>
                <w:bCs w:val="0"/>
                <w:color w:val="auto"/>
                <w:sz w:val="24"/>
                <w:szCs w:val="24"/>
              </w:rPr>
              <w:t>制度</w:t>
            </w:r>
            <w:r>
              <w:rPr>
                <w:rFonts w:hint="eastAsia" w:ascii="宋体" w:hAnsi="宋体" w:eastAsia="宋体" w:cs="宋体"/>
                <w:b w:val="0"/>
                <w:bCs w:val="0"/>
                <w:color w:val="auto"/>
                <w:sz w:val="24"/>
                <w:szCs w:val="24"/>
                <w:lang w:eastAsia="zh-CN"/>
              </w:rPr>
              <w:t>。</w:t>
            </w:r>
          </w:p>
          <w:p w14:paraId="0F243583">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方案内容描述全面合理符合采购需求的得</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分，每有一项内容缺失的扣</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分；每有一项内容存在缺陷或不满足要求的扣</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分，扣完为止。</w:t>
            </w:r>
          </w:p>
          <w:p w14:paraId="0BF5898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b w:val="0"/>
                <w:bCs w:val="0"/>
                <w:color w:val="auto"/>
                <w:sz w:val="24"/>
                <w:szCs w:val="24"/>
                <w:lang w:eastAsia="zh-CN"/>
              </w:rPr>
              <w:t>。</w:t>
            </w:r>
          </w:p>
        </w:tc>
        <w:tc>
          <w:tcPr>
            <w:tcW w:w="755" w:type="dxa"/>
            <w:vAlign w:val="center"/>
          </w:tcPr>
          <w:p w14:paraId="2AFA63C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8</w:t>
            </w:r>
          </w:p>
        </w:tc>
      </w:tr>
      <w:tr w14:paraId="11689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10F887F7">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p>
        </w:tc>
        <w:tc>
          <w:tcPr>
            <w:tcW w:w="1282" w:type="dxa"/>
            <w:vMerge w:val="continue"/>
            <w:vAlign w:val="center"/>
          </w:tcPr>
          <w:p w14:paraId="1F299EE1">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p>
        </w:tc>
        <w:tc>
          <w:tcPr>
            <w:tcW w:w="1189" w:type="dxa"/>
            <w:vAlign w:val="center"/>
          </w:tcPr>
          <w:p w14:paraId="0451075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b w:val="0"/>
                <w:bCs w:val="0"/>
                <w:color w:val="auto"/>
                <w:sz w:val="24"/>
                <w:szCs w:val="24"/>
              </w:rPr>
              <w:t>服务响应和应急服务</w:t>
            </w:r>
          </w:p>
        </w:tc>
        <w:tc>
          <w:tcPr>
            <w:tcW w:w="5836" w:type="dxa"/>
            <w:vAlign w:val="center"/>
          </w:tcPr>
          <w:p w14:paraId="0AA9684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投标</w:t>
            </w:r>
            <w:r>
              <w:rPr>
                <w:rFonts w:hint="eastAsia" w:ascii="宋体" w:hAnsi="宋体" w:eastAsia="宋体" w:cs="宋体"/>
                <w:b w:val="0"/>
                <w:bCs w:val="0"/>
                <w:color w:val="auto"/>
                <w:sz w:val="24"/>
                <w:szCs w:val="24"/>
                <w:lang w:val="en-US" w:eastAsia="zh-CN"/>
              </w:rPr>
              <w:t>人</w:t>
            </w:r>
            <w:r>
              <w:rPr>
                <w:rFonts w:hint="eastAsia" w:ascii="宋体" w:hAnsi="宋体" w:eastAsia="宋体" w:cs="宋体"/>
                <w:b w:val="0"/>
                <w:bCs w:val="0"/>
                <w:color w:val="auto"/>
                <w:sz w:val="24"/>
                <w:szCs w:val="24"/>
              </w:rPr>
              <w:t>应结合本项目采购需求编制服务响应和应急服务方案</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根据投标人编制的方案</w:t>
            </w:r>
            <w:r>
              <w:rPr>
                <w:rFonts w:hint="eastAsia" w:ascii="宋体" w:hAnsi="宋体" w:eastAsia="宋体" w:cs="宋体"/>
                <w:b w:val="0"/>
                <w:bCs w:val="0"/>
                <w:color w:val="auto"/>
                <w:sz w:val="24"/>
                <w:szCs w:val="24"/>
                <w:lang w:val="en-US" w:eastAsia="zh-CN"/>
              </w:rPr>
              <w:t>内容</w:t>
            </w:r>
            <w:r>
              <w:rPr>
                <w:rFonts w:hint="eastAsia" w:ascii="宋体" w:hAnsi="宋体" w:eastAsia="宋体" w:cs="宋体"/>
                <w:b w:val="0"/>
                <w:bCs w:val="0"/>
                <w:color w:val="auto"/>
                <w:sz w:val="24"/>
                <w:szCs w:val="24"/>
              </w:rPr>
              <w:t>进行评审：</w:t>
            </w:r>
            <w:r>
              <w:rPr>
                <w:rFonts w:hint="eastAsia" w:ascii="宋体" w:hAnsi="宋体" w:eastAsia="宋体" w:cs="宋体"/>
                <w:b w:val="0"/>
                <w:bCs w:val="0"/>
                <w:color w:val="auto"/>
                <w:sz w:val="24"/>
                <w:szCs w:val="24"/>
                <w:lang w:val="en-US" w:eastAsia="zh-CN"/>
              </w:rPr>
              <w:t>包括</w:t>
            </w:r>
            <w:r>
              <w:rPr>
                <w:rFonts w:hint="eastAsia" w:ascii="宋体" w:hAnsi="宋体" w:cs="宋体"/>
                <w:b w:val="0"/>
                <w:bCs w:val="0"/>
                <w:color w:val="auto"/>
                <w:sz w:val="24"/>
                <w:szCs w:val="24"/>
                <w:lang w:val="en-US" w:eastAsia="zh-CN"/>
              </w:rPr>
              <w:t>①</w:t>
            </w:r>
            <w:r>
              <w:rPr>
                <w:rFonts w:hint="eastAsia" w:ascii="宋体" w:hAnsi="宋体" w:eastAsia="宋体" w:cs="宋体"/>
                <w:b w:val="0"/>
                <w:bCs w:val="0"/>
                <w:color w:val="auto"/>
                <w:sz w:val="24"/>
                <w:szCs w:val="24"/>
              </w:rPr>
              <w:t>人员的职责架构</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②</w:t>
            </w:r>
            <w:r>
              <w:rPr>
                <w:rFonts w:hint="eastAsia" w:ascii="宋体" w:hAnsi="宋体" w:eastAsia="宋体" w:cs="宋体"/>
                <w:b w:val="0"/>
                <w:bCs w:val="0"/>
                <w:color w:val="auto"/>
                <w:sz w:val="24"/>
                <w:szCs w:val="24"/>
              </w:rPr>
              <w:t>应急处理方案</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③</w:t>
            </w:r>
            <w:r>
              <w:rPr>
                <w:rFonts w:hint="eastAsia" w:ascii="宋体" w:hAnsi="宋体" w:eastAsia="宋体" w:cs="宋体"/>
                <w:b w:val="0"/>
                <w:bCs w:val="0"/>
                <w:color w:val="auto"/>
                <w:sz w:val="24"/>
                <w:szCs w:val="24"/>
                <w:lang w:val="en-US" w:eastAsia="zh-CN"/>
              </w:rPr>
              <w:t>应急物资配备</w:t>
            </w:r>
            <w:r>
              <w:rPr>
                <w:rFonts w:hint="eastAsia" w:ascii="宋体" w:hAnsi="宋体" w:eastAsia="宋体" w:cs="宋体"/>
                <w:b w:val="0"/>
                <w:bCs w:val="0"/>
                <w:color w:val="auto"/>
                <w:sz w:val="24"/>
                <w:szCs w:val="24"/>
                <w:lang w:eastAsia="zh-CN"/>
              </w:rPr>
              <w:t>。</w:t>
            </w:r>
          </w:p>
          <w:p w14:paraId="333DE4E5">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方案内容描述全面合理符合采购需求的得</w:t>
            </w: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分，每有一项内容缺失的扣</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分；每有一项内容存在缺陷或不满足要求的扣</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分，扣完为止。</w:t>
            </w:r>
          </w:p>
          <w:p w14:paraId="284244E0">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b w:val="0"/>
                <w:bCs w:val="0"/>
                <w:color w:val="auto"/>
                <w:sz w:val="24"/>
                <w:szCs w:val="24"/>
                <w:lang w:eastAsia="zh-CN"/>
              </w:rPr>
              <w:t>。</w:t>
            </w:r>
          </w:p>
        </w:tc>
        <w:tc>
          <w:tcPr>
            <w:tcW w:w="755" w:type="dxa"/>
            <w:vAlign w:val="center"/>
          </w:tcPr>
          <w:p w14:paraId="200BB0E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12</w:t>
            </w:r>
          </w:p>
        </w:tc>
      </w:tr>
      <w:tr w14:paraId="38D82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restart"/>
            <w:vAlign w:val="center"/>
          </w:tcPr>
          <w:p w14:paraId="18FB5A97">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三</w:t>
            </w:r>
          </w:p>
        </w:tc>
        <w:tc>
          <w:tcPr>
            <w:tcW w:w="1282" w:type="dxa"/>
            <w:vMerge w:val="restart"/>
            <w:vAlign w:val="center"/>
          </w:tcPr>
          <w:p w14:paraId="3E785D2E">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商务</w:t>
            </w:r>
          </w:p>
          <w:p w14:paraId="5E4C35BC">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部分</w:t>
            </w:r>
          </w:p>
          <w:p w14:paraId="393CD3A7">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w:t>
            </w:r>
            <w:r>
              <w:rPr>
                <w:rFonts w:hint="eastAsia" w:ascii="宋体" w:hAnsi="宋体" w:cs="宋体"/>
                <w:bCs/>
                <w:color w:val="auto"/>
                <w:sz w:val="24"/>
                <w:szCs w:val="24"/>
                <w:lang w:val="en-US" w:eastAsia="zh-CN"/>
              </w:rPr>
              <w:t>25</w:t>
            </w:r>
            <w:r>
              <w:rPr>
                <w:rFonts w:hint="eastAsia" w:ascii="宋体" w:hAnsi="宋体" w:eastAsia="宋体" w:cs="宋体"/>
                <w:bCs/>
                <w:color w:val="auto"/>
                <w:sz w:val="24"/>
                <w:szCs w:val="24"/>
              </w:rPr>
              <w:t>分）</w:t>
            </w:r>
          </w:p>
        </w:tc>
        <w:tc>
          <w:tcPr>
            <w:tcW w:w="1189" w:type="dxa"/>
            <w:vAlign w:val="center"/>
          </w:tcPr>
          <w:p w14:paraId="473B6D85">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color w:val="auto"/>
                <w:kern w:val="2"/>
                <w:sz w:val="24"/>
                <w:szCs w:val="24"/>
                <w:highlight w:val="none"/>
                <w:lang w:val="en-US" w:bidi="ar-SA"/>
              </w:rPr>
              <w:t>类似业绩</w:t>
            </w:r>
          </w:p>
        </w:tc>
        <w:tc>
          <w:tcPr>
            <w:tcW w:w="5836" w:type="dxa"/>
            <w:vAlign w:val="center"/>
          </w:tcPr>
          <w:p w14:paraId="5E79B525">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bCs/>
                <w:color w:val="auto"/>
                <w:sz w:val="24"/>
                <w:szCs w:val="24"/>
              </w:rPr>
            </w:pPr>
            <w:r>
              <w:rPr>
                <w:rFonts w:hint="eastAsia" w:ascii="宋体" w:hAnsi="宋体" w:eastAsia="宋体" w:cs="宋体"/>
                <w:bCs/>
                <w:color w:val="auto"/>
                <w:kern w:val="2"/>
                <w:sz w:val="24"/>
                <w:szCs w:val="24"/>
                <w:highlight w:val="none"/>
                <w:lang w:val="en-US" w:bidi="ar-SA"/>
              </w:rPr>
              <w:t>投标供应商自20</w:t>
            </w:r>
            <w:r>
              <w:rPr>
                <w:rFonts w:hint="eastAsia" w:ascii="宋体" w:hAnsi="宋体" w:cs="宋体"/>
                <w:bCs/>
                <w:color w:val="auto"/>
                <w:kern w:val="2"/>
                <w:sz w:val="24"/>
                <w:szCs w:val="24"/>
                <w:highlight w:val="none"/>
                <w:lang w:val="en-US" w:eastAsia="zh-CN" w:bidi="ar-SA"/>
              </w:rPr>
              <w:t>22</w:t>
            </w:r>
            <w:r>
              <w:rPr>
                <w:rFonts w:hint="eastAsia" w:ascii="宋体" w:hAnsi="宋体" w:eastAsia="宋体" w:cs="宋体"/>
                <w:bCs/>
                <w:color w:val="auto"/>
                <w:kern w:val="2"/>
                <w:sz w:val="24"/>
                <w:szCs w:val="24"/>
                <w:highlight w:val="none"/>
                <w:lang w:val="en-US" w:bidi="ar-SA"/>
              </w:rPr>
              <w:t>年1月1日以来（以合同签署日期为准），签订的与本项目类似业绩的，每个得1分，最高得</w:t>
            </w:r>
            <w:r>
              <w:rPr>
                <w:rFonts w:hint="eastAsia" w:ascii="宋体" w:hAnsi="宋体" w:cs="宋体"/>
                <w:bCs/>
                <w:color w:val="auto"/>
                <w:kern w:val="2"/>
                <w:sz w:val="24"/>
                <w:szCs w:val="24"/>
                <w:highlight w:val="none"/>
                <w:lang w:val="en-US" w:eastAsia="zh-CN" w:bidi="ar-SA"/>
              </w:rPr>
              <w:t>5</w:t>
            </w:r>
            <w:r>
              <w:rPr>
                <w:rFonts w:hint="eastAsia" w:ascii="宋体" w:hAnsi="宋体" w:eastAsia="宋体" w:cs="宋体"/>
                <w:bCs/>
                <w:color w:val="auto"/>
                <w:kern w:val="2"/>
                <w:sz w:val="24"/>
                <w:szCs w:val="24"/>
                <w:highlight w:val="none"/>
                <w:lang w:val="en-US" w:bidi="ar-SA"/>
              </w:rPr>
              <w:t>分。（须同时提供合同扫描件）</w:t>
            </w:r>
          </w:p>
        </w:tc>
        <w:tc>
          <w:tcPr>
            <w:tcW w:w="755" w:type="dxa"/>
            <w:vAlign w:val="center"/>
          </w:tcPr>
          <w:p w14:paraId="4AC21BF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cs="宋体"/>
                <w:color w:val="auto"/>
                <w:kern w:val="2"/>
                <w:sz w:val="24"/>
                <w:szCs w:val="24"/>
                <w:highlight w:val="none"/>
                <w:lang w:val="en-US" w:eastAsia="zh-CN" w:bidi="ar-SA"/>
              </w:rPr>
              <w:t>5</w:t>
            </w:r>
          </w:p>
        </w:tc>
      </w:tr>
      <w:tr w14:paraId="00E7A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1C9B289A">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p>
        </w:tc>
        <w:tc>
          <w:tcPr>
            <w:tcW w:w="1282" w:type="dxa"/>
            <w:vMerge w:val="continue"/>
            <w:vAlign w:val="center"/>
          </w:tcPr>
          <w:p w14:paraId="76B241A6">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p>
        </w:tc>
        <w:tc>
          <w:tcPr>
            <w:tcW w:w="1189" w:type="dxa"/>
            <w:vAlign w:val="center"/>
          </w:tcPr>
          <w:p w14:paraId="19A4D03F">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资质能力</w:t>
            </w:r>
          </w:p>
        </w:tc>
        <w:tc>
          <w:tcPr>
            <w:tcW w:w="5836" w:type="dxa"/>
            <w:vAlign w:val="center"/>
          </w:tcPr>
          <w:p w14:paraId="4D71C9AE">
            <w:pPr>
              <w:keepNext w:val="0"/>
              <w:keepLines w:val="0"/>
              <w:pageBreakBefore w:val="0"/>
              <w:numPr>
                <w:ilvl w:val="0"/>
                <w:numId w:val="0"/>
              </w:numPr>
              <w:kinsoku/>
              <w:wordWrap/>
              <w:overflowPunct/>
              <w:topLinePunct w:val="0"/>
              <w:autoSpaceDE/>
              <w:autoSpaceDN/>
              <w:bidi w:val="0"/>
              <w:adjustRightInd/>
              <w:snapToGrid/>
              <w:spacing w:line="360" w:lineRule="exact"/>
              <w:jc w:val="both"/>
              <w:textAlignment w:val="auto"/>
              <w:rPr>
                <w:rFonts w:hint="eastAsia" w:ascii="宋体" w:hAnsi="宋体" w:eastAsia="宋体" w:cs="宋体"/>
                <w:bCs/>
                <w:color w:val="auto"/>
                <w:kern w:val="2"/>
                <w:sz w:val="24"/>
                <w:szCs w:val="24"/>
                <w:highlight w:val="none"/>
                <w:lang w:val="en-US" w:bidi="ar-SA"/>
              </w:rPr>
            </w:pPr>
            <w:r>
              <w:rPr>
                <w:rFonts w:hint="eastAsia" w:ascii="宋体" w:hAnsi="宋体" w:eastAsia="宋体" w:cs="宋体"/>
                <w:bCs/>
                <w:color w:val="auto"/>
                <w:kern w:val="2"/>
                <w:sz w:val="24"/>
                <w:szCs w:val="24"/>
                <w:highlight w:val="none"/>
                <w:lang w:val="en-US" w:bidi="ar-SA"/>
              </w:rPr>
              <w:t>投标供应商</w:t>
            </w:r>
            <w:r>
              <w:rPr>
                <w:rFonts w:hint="eastAsia" w:ascii="宋体" w:hAnsi="宋体" w:eastAsia="宋体" w:cs="宋体"/>
                <w:bCs/>
                <w:color w:val="auto"/>
                <w:kern w:val="2"/>
                <w:sz w:val="24"/>
                <w:szCs w:val="24"/>
                <w:highlight w:val="none"/>
                <w:lang w:val="en-US" w:eastAsia="zh-CN" w:bidi="ar-SA"/>
              </w:rPr>
              <w:t>具备设备</w:t>
            </w:r>
            <w:r>
              <w:rPr>
                <w:rFonts w:hint="eastAsia" w:ascii="宋体" w:hAnsi="宋体" w:eastAsia="宋体" w:cs="宋体"/>
                <w:bCs/>
                <w:color w:val="auto"/>
                <w:kern w:val="2"/>
                <w:sz w:val="24"/>
                <w:szCs w:val="24"/>
                <w:highlight w:val="none"/>
                <w:lang w:val="en-US" w:bidi="ar-SA"/>
              </w:rPr>
              <w:t>制造商</w:t>
            </w:r>
            <w:r>
              <w:rPr>
                <w:rFonts w:hint="eastAsia" w:ascii="宋体" w:hAnsi="宋体" w:eastAsia="宋体" w:cs="宋体"/>
                <w:bCs/>
                <w:color w:val="auto"/>
                <w:kern w:val="2"/>
                <w:sz w:val="24"/>
                <w:szCs w:val="24"/>
                <w:highlight w:val="none"/>
                <w:lang w:val="en-US" w:eastAsia="zh-CN" w:bidi="ar-SA"/>
              </w:rPr>
              <w:t>（</w:t>
            </w:r>
            <w:r>
              <w:rPr>
                <w:rFonts w:hint="eastAsia" w:ascii="宋体" w:hAnsi="宋体" w:cs="宋体"/>
                <w:i w:val="0"/>
                <w:iCs w:val="0"/>
                <w:color w:val="auto"/>
                <w:kern w:val="0"/>
                <w:sz w:val="24"/>
                <w:szCs w:val="24"/>
                <w:u w:val="none"/>
                <w:lang w:val="en-US" w:eastAsia="zh-CN" w:bidi="ar"/>
              </w:rPr>
              <w:t>微型空气站全参数，小型空气站及标准空气站</w:t>
            </w:r>
            <w:r>
              <w:rPr>
                <w:rFonts w:hint="eastAsia" w:ascii="宋体" w:hAnsi="宋体" w:eastAsia="宋体" w:cs="宋体"/>
                <w:bCs/>
                <w:color w:val="auto"/>
                <w:kern w:val="2"/>
                <w:sz w:val="24"/>
                <w:szCs w:val="24"/>
                <w:highlight w:val="none"/>
                <w:lang w:val="en-US" w:eastAsia="zh-CN" w:bidi="ar-SA"/>
              </w:rPr>
              <w:t>核心参数：</w:t>
            </w:r>
            <w:r>
              <w:rPr>
                <w:rFonts w:hint="eastAsia" w:ascii="宋体" w:hAnsi="宋体" w:eastAsia="宋体" w:cs="宋体"/>
                <w:b w:val="0"/>
                <w:bCs w:val="0"/>
                <w:color w:val="auto"/>
                <w:sz w:val="24"/>
                <w:szCs w:val="24"/>
                <w:lang w:val="en-US" w:eastAsia="zh-CN"/>
              </w:rPr>
              <w:t>PM2.5、NO2、O3、SO2、CO</w:t>
            </w:r>
            <w:r>
              <w:rPr>
                <w:rFonts w:hint="eastAsia" w:ascii="宋体" w:hAnsi="宋体" w:eastAsia="宋体" w:cs="宋体"/>
                <w:i w:val="0"/>
                <w:iCs w:val="0"/>
                <w:color w:val="auto"/>
                <w:kern w:val="0"/>
                <w:sz w:val="24"/>
                <w:szCs w:val="24"/>
                <w:u w:val="none"/>
                <w:lang w:val="en-US" w:eastAsia="zh-CN" w:bidi="ar"/>
              </w:rPr>
              <w:t>在线监测设备</w:t>
            </w:r>
            <w:r>
              <w:rPr>
                <w:rFonts w:hint="eastAsia" w:ascii="宋体" w:hAnsi="宋体" w:eastAsia="宋体" w:cs="宋体"/>
                <w:bCs/>
                <w:color w:val="auto"/>
                <w:kern w:val="2"/>
                <w:sz w:val="24"/>
                <w:szCs w:val="24"/>
                <w:highlight w:val="none"/>
                <w:lang w:val="en-US" w:eastAsia="zh-CN" w:bidi="ar-SA"/>
              </w:rPr>
              <w:t>）</w:t>
            </w:r>
            <w:r>
              <w:rPr>
                <w:rFonts w:hint="eastAsia" w:ascii="宋体" w:hAnsi="宋体" w:eastAsia="宋体" w:cs="宋体"/>
                <w:bCs/>
                <w:color w:val="auto"/>
                <w:kern w:val="2"/>
                <w:sz w:val="24"/>
                <w:szCs w:val="24"/>
                <w:highlight w:val="none"/>
                <w:lang w:val="en-US" w:bidi="ar-SA"/>
              </w:rPr>
              <w:t>针对该项目的原厂工程师和技术服务支持</w:t>
            </w:r>
            <w:r>
              <w:rPr>
                <w:rFonts w:hint="eastAsia" w:ascii="宋体" w:hAnsi="宋体" w:eastAsia="宋体" w:cs="宋体"/>
                <w:bCs/>
                <w:color w:val="auto"/>
                <w:kern w:val="2"/>
                <w:sz w:val="24"/>
                <w:szCs w:val="24"/>
                <w:highlight w:val="none"/>
                <w:lang w:val="en-US" w:eastAsia="zh-CN" w:bidi="ar-SA"/>
              </w:rPr>
              <w:t>的得</w:t>
            </w:r>
            <w:r>
              <w:rPr>
                <w:rFonts w:hint="eastAsia" w:ascii="宋体" w:hAnsi="宋体" w:cs="宋体"/>
                <w:bCs/>
                <w:color w:val="auto"/>
                <w:kern w:val="2"/>
                <w:sz w:val="24"/>
                <w:szCs w:val="24"/>
                <w:highlight w:val="none"/>
                <w:lang w:val="en-US" w:eastAsia="zh-CN" w:bidi="ar-SA"/>
              </w:rPr>
              <w:t>3</w:t>
            </w:r>
            <w:r>
              <w:rPr>
                <w:rFonts w:hint="eastAsia" w:ascii="宋体" w:hAnsi="宋体" w:eastAsia="宋体" w:cs="宋体"/>
                <w:bCs/>
                <w:color w:val="auto"/>
                <w:kern w:val="2"/>
                <w:sz w:val="24"/>
                <w:szCs w:val="24"/>
                <w:highlight w:val="none"/>
                <w:lang w:val="en-US" w:eastAsia="zh-CN" w:bidi="ar-SA"/>
              </w:rPr>
              <w:t>分</w:t>
            </w:r>
            <w:r>
              <w:rPr>
                <w:rFonts w:hint="eastAsia" w:ascii="宋体" w:hAnsi="宋体" w:eastAsia="宋体" w:cs="宋体"/>
                <w:color w:val="auto"/>
                <w:kern w:val="2"/>
                <w:sz w:val="24"/>
                <w:szCs w:val="24"/>
                <w:highlight w:val="none"/>
                <w:lang w:val="en-US" w:bidi="ar-SA"/>
              </w:rPr>
              <w:t>，本项最高得</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bidi="ar-SA"/>
              </w:rPr>
              <w:t>分</w:t>
            </w:r>
            <w:r>
              <w:rPr>
                <w:rFonts w:hint="eastAsia" w:ascii="宋体" w:hAnsi="宋体" w:eastAsia="宋体" w:cs="宋体"/>
                <w:color w:val="auto"/>
                <w:kern w:val="2"/>
                <w:sz w:val="24"/>
                <w:szCs w:val="24"/>
                <w:highlight w:val="none"/>
                <w:lang w:val="en-US" w:eastAsia="zh-CN" w:bidi="ar-SA"/>
              </w:rPr>
              <w:t>。</w:t>
            </w:r>
            <w:r>
              <w:rPr>
                <w:rFonts w:hint="eastAsia" w:ascii="宋体" w:hAnsi="宋体" w:eastAsia="宋体" w:cs="宋体"/>
                <w:color w:val="auto"/>
                <w:sz w:val="24"/>
                <w:szCs w:val="24"/>
              </w:rPr>
              <w:t>（提供相关证明材料扫描件</w:t>
            </w:r>
            <w:r>
              <w:rPr>
                <w:rFonts w:hint="eastAsia" w:ascii="宋体" w:hAnsi="宋体" w:eastAsia="宋体" w:cs="宋体"/>
                <w:color w:val="auto"/>
                <w:sz w:val="24"/>
                <w:szCs w:val="24"/>
                <w:lang w:eastAsia="zh-CN"/>
              </w:rPr>
              <w:t>，</w:t>
            </w:r>
            <w:r>
              <w:rPr>
                <w:rFonts w:hint="eastAsia" w:ascii="宋体" w:hAnsi="宋体" w:eastAsia="宋体" w:cs="宋体"/>
                <w:bCs/>
                <w:color w:val="auto"/>
                <w:kern w:val="2"/>
                <w:sz w:val="24"/>
                <w:szCs w:val="24"/>
                <w:highlight w:val="none"/>
                <w:lang w:val="en-US" w:bidi="ar-SA"/>
              </w:rPr>
              <w:t>投标供应商</w:t>
            </w:r>
            <w:r>
              <w:rPr>
                <w:rFonts w:hint="eastAsia" w:ascii="宋体" w:hAnsi="宋体" w:eastAsia="宋体" w:cs="宋体"/>
                <w:bCs/>
                <w:color w:val="auto"/>
                <w:kern w:val="2"/>
                <w:sz w:val="24"/>
                <w:szCs w:val="24"/>
                <w:highlight w:val="none"/>
                <w:lang w:val="en-US" w:eastAsia="zh-CN" w:bidi="ar-SA"/>
              </w:rPr>
              <w:t>若为厂家，可自授权</w:t>
            </w:r>
            <w:r>
              <w:rPr>
                <w:rFonts w:hint="eastAsia" w:ascii="宋体" w:hAnsi="宋体" w:eastAsia="宋体" w:cs="宋体"/>
                <w:color w:val="auto"/>
                <w:sz w:val="24"/>
                <w:szCs w:val="24"/>
              </w:rPr>
              <w:t>）</w:t>
            </w:r>
          </w:p>
        </w:tc>
        <w:tc>
          <w:tcPr>
            <w:tcW w:w="755" w:type="dxa"/>
            <w:vAlign w:val="center"/>
          </w:tcPr>
          <w:p w14:paraId="01A01D1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w:t>
            </w:r>
          </w:p>
        </w:tc>
      </w:tr>
      <w:tr w14:paraId="58D0F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3D2C3976">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p>
        </w:tc>
        <w:tc>
          <w:tcPr>
            <w:tcW w:w="1282" w:type="dxa"/>
            <w:vMerge w:val="continue"/>
            <w:vAlign w:val="center"/>
          </w:tcPr>
          <w:p w14:paraId="32BC6292">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p>
        </w:tc>
        <w:tc>
          <w:tcPr>
            <w:tcW w:w="1189" w:type="dxa"/>
            <w:vAlign w:val="center"/>
          </w:tcPr>
          <w:p w14:paraId="072F366F">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r>
              <w:rPr>
                <w:rFonts w:hint="eastAsia" w:ascii="宋体" w:hAnsi="宋体" w:eastAsia="宋体" w:cs="宋体"/>
                <w:color w:val="auto"/>
                <w:kern w:val="2"/>
                <w:sz w:val="24"/>
                <w:szCs w:val="24"/>
                <w:highlight w:val="none"/>
                <w:lang w:val="en-US" w:bidi="ar-SA"/>
              </w:rPr>
              <w:t>综合实力</w:t>
            </w:r>
          </w:p>
        </w:tc>
        <w:tc>
          <w:tcPr>
            <w:tcW w:w="5836" w:type="dxa"/>
            <w:vAlign w:val="center"/>
          </w:tcPr>
          <w:p w14:paraId="4D6D0D3E">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highlight w:val="none"/>
                <w:lang w:val="en-US" w:bidi="ar-SA"/>
              </w:rPr>
              <w:t>投标供应商具有有效期内的环境管理体系认证证书、</w:t>
            </w:r>
            <w:r>
              <w:rPr>
                <w:rFonts w:hint="eastAsia" w:ascii="宋体" w:hAnsi="宋体" w:cs="宋体"/>
                <w:color w:val="auto"/>
                <w:sz w:val="24"/>
                <w:szCs w:val="24"/>
                <w:highlight w:val="none"/>
                <w:lang w:val="en-US" w:eastAsia="zh-CN" w:bidi="ar-SA"/>
              </w:rPr>
              <w:t>职业健康安全管理体系、</w:t>
            </w:r>
            <w:r>
              <w:rPr>
                <w:rFonts w:hint="eastAsia" w:ascii="宋体" w:hAnsi="宋体" w:eastAsia="宋体" w:cs="宋体"/>
                <w:color w:val="auto"/>
                <w:sz w:val="24"/>
                <w:szCs w:val="24"/>
                <w:highlight w:val="none"/>
                <w:lang w:val="en-US" w:bidi="ar-SA"/>
              </w:rPr>
              <w:t>质量管理体系认证证书的，每一项得1分，最高得</w:t>
            </w: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bidi="ar-SA"/>
              </w:rPr>
              <w:t>分。（须提供证书扫描件）</w:t>
            </w:r>
          </w:p>
        </w:tc>
        <w:tc>
          <w:tcPr>
            <w:tcW w:w="755" w:type="dxa"/>
            <w:vAlign w:val="center"/>
          </w:tcPr>
          <w:p w14:paraId="4BA286B6">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lang w:eastAsia="zh-CN"/>
              </w:rPr>
            </w:pPr>
            <w:r>
              <w:rPr>
                <w:rFonts w:hint="eastAsia" w:ascii="宋体" w:hAnsi="宋体" w:cs="宋体"/>
                <w:color w:val="auto"/>
                <w:kern w:val="2"/>
                <w:sz w:val="24"/>
                <w:szCs w:val="24"/>
                <w:highlight w:val="none"/>
                <w:lang w:val="en-US" w:eastAsia="zh-CN" w:bidi="ar-SA"/>
              </w:rPr>
              <w:t>3</w:t>
            </w:r>
          </w:p>
        </w:tc>
      </w:tr>
      <w:tr w14:paraId="52E9E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6C047803">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p>
        </w:tc>
        <w:tc>
          <w:tcPr>
            <w:tcW w:w="1282" w:type="dxa"/>
            <w:vMerge w:val="continue"/>
            <w:vAlign w:val="center"/>
          </w:tcPr>
          <w:p w14:paraId="162406AF">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p>
        </w:tc>
        <w:tc>
          <w:tcPr>
            <w:tcW w:w="1189" w:type="dxa"/>
            <w:vAlign w:val="center"/>
          </w:tcPr>
          <w:p w14:paraId="2C8A2A78">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lang w:val="en-US" w:eastAsia="zh-CN"/>
              </w:rPr>
            </w:pPr>
            <w:r>
              <w:rPr>
                <w:rFonts w:hint="eastAsia" w:ascii="宋体" w:hAnsi="宋体" w:eastAsia="宋体" w:cs="宋体"/>
                <w:color w:val="auto"/>
                <w:sz w:val="24"/>
                <w:szCs w:val="24"/>
                <w:highlight w:val="none"/>
                <w:lang w:val="en-US" w:eastAsia="zh-CN"/>
              </w:rPr>
              <w:t>人员配置</w:t>
            </w:r>
          </w:p>
        </w:tc>
        <w:tc>
          <w:tcPr>
            <w:tcW w:w="5836" w:type="dxa"/>
            <w:vAlign w:val="center"/>
          </w:tcPr>
          <w:p w14:paraId="59666887">
            <w:pPr>
              <w:keepNext w:val="0"/>
              <w:keepLines w:val="0"/>
              <w:pageBreakBefore w:val="0"/>
              <w:numPr>
                <w:ilvl w:val="0"/>
                <w:numId w:val="9"/>
              </w:numPr>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项目负责人具有高级技术职称的得</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bidi="ar-SA"/>
              </w:rPr>
              <w:t>分，具有中级技术职称的得1分，本项最高得</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bidi="ar-SA"/>
              </w:rPr>
              <w:t>分。</w:t>
            </w:r>
          </w:p>
          <w:p w14:paraId="7FC8C10D">
            <w:pPr>
              <w:keepNext w:val="0"/>
              <w:keepLines w:val="0"/>
              <w:pageBreakBefore w:val="0"/>
              <w:numPr>
                <w:ilvl w:val="0"/>
                <w:numId w:val="9"/>
              </w:numPr>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投标供应商拟配备的团队有</w:t>
            </w:r>
            <w:r>
              <w:rPr>
                <w:rFonts w:hint="eastAsia" w:ascii="宋体" w:hAnsi="宋体" w:cs="宋体"/>
                <w:color w:val="auto"/>
                <w:sz w:val="24"/>
              </w:rPr>
              <w:t>省级应急管理厅颁发的电工作业上岗证书的人员</w:t>
            </w:r>
            <w:r>
              <w:rPr>
                <w:rFonts w:hint="eastAsia" w:ascii="宋体" w:hAnsi="宋体" w:cs="宋体"/>
                <w:color w:val="auto"/>
                <w:sz w:val="24"/>
                <w:lang w:eastAsia="zh-CN"/>
              </w:rPr>
              <w:t>，</w:t>
            </w:r>
            <w:r>
              <w:rPr>
                <w:rFonts w:hint="eastAsia" w:ascii="宋体" w:hAnsi="宋体" w:eastAsia="宋体" w:cs="宋体"/>
                <w:color w:val="auto"/>
                <w:kern w:val="2"/>
                <w:sz w:val="24"/>
                <w:szCs w:val="24"/>
                <w:highlight w:val="none"/>
                <w:lang w:val="en-US" w:eastAsia="zh-CN" w:bidi="ar-SA"/>
              </w:rPr>
              <w:t>每有1人</w:t>
            </w:r>
            <w:r>
              <w:rPr>
                <w:rFonts w:hint="eastAsia" w:ascii="宋体" w:hAnsi="宋体" w:eastAsia="宋体" w:cs="宋体"/>
                <w:color w:val="auto"/>
                <w:kern w:val="2"/>
                <w:sz w:val="24"/>
                <w:szCs w:val="24"/>
                <w:highlight w:val="none"/>
                <w:lang w:val="en-US" w:bidi="ar-SA"/>
              </w:rPr>
              <w:t>得</w:t>
            </w: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bidi="ar-SA"/>
              </w:rPr>
              <w:t>分，最高得</w:t>
            </w: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bidi="ar-SA"/>
              </w:rPr>
              <w:t>分。</w:t>
            </w:r>
          </w:p>
          <w:p w14:paraId="6C98B6AE">
            <w:pPr>
              <w:keepNext w:val="0"/>
              <w:keepLines w:val="0"/>
              <w:pageBreakBefore w:val="0"/>
              <w:numPr>
                <w:ilvl w:val="0"/>
                <w:numId w:val="9"/>
              </w:numPr>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投标供应商拟配备的团队有</w:t>
            </w:r>
            <w:r>
              <w:rPr>
                <w:rFonts w:hint="eastAsia" w:ascii="宋体" w:hAnsi="宋体" w:cs="宋体"/>
                <w:color w:val="auto"/>
                <w:sz w:val="24"/>
              </w:rPr>
              <w:t>省级应急管理厅颁发的高处作业上岗证书（高处安装、维护、拆除作业）的人员</w:t>
            </w:r>
            <w:r>
              <w:rPr>
                <w:rFonts w:hint="eastAsia" w:ascii="宋体" w:hAnsi="宋体" w:eastAsia="宋体" w:cs="宋体"/>
                <w:color w:val="auto"/>
                <w:kern w:val="2"/>
                <w:sz w:val="24"/>
                <w:szCs w:val="24"/>
                <w:highlight w:val="none"/>
                <w:lang w:val="en-US" w:bidi="ar-SA"/>
              </w:rPr>
              <w:t>，每有</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bidi="ar-SA"/>
              </w:rPr>
              <w:t>人得1分，最高得3分。</w:t>
            </w:r>
          </w:p>
          <w:p w14:paraId="650A08E7">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highlight w:val="none"/>
                <w:lang w:val="en-US" w:bidi="ar-SA"/>
              </w:rPr>
              <w:t xml:space="preserve">（提供以上人员证书或相关证明材料复印件加盖公章及本单位连续近3个月（至少包含近三个月中任意一个月份&lt;不含投标当月&gt;）为其缴纳社保的证明材料扫描件。） </w:t>
            </w:r>
          </w:p>
        </w:tc>
        <w:tc>
          <w:tcPr>
            <w:tcW w:w="755" w:type="dxa"/>
            <w:vAlign w:val="center"/>
          </w:tcPr>
          <w:p w14:paraId="2E8F5A02">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eastAsia="宋体" w:cs="宋体"/>
                <w:bCs/>
                <w:color w:val="auto"/>
                <w:sz w:val="24"/>
                <w:szCs w:val="24"/>
                <w:lang w:val="en-US" w:eastAsia="zh-CN"/>
              </w:rPr>
            </w:pPr>
            <w:r>
              <w:rPr>
                <w:rFonts w:hint="eastAsia" w:ascii="宋体" w:hAnsi="宋体" w:cs="宋体"/>
                <w:color w:val="auto"/>
                <w:sz w:val="24"/>
                <w:szCs w:val="24"/>
                <w:highlight w:val="none"/>
                <w:lang w:val="en-US" w:eastAsia="zh-CN"/>
              </w:rPr>
              <w:t>9</w:t>
            </w:r>
          </w:p>
        </w:tc>
      </w:tr>
      <w:tr w14:paraId="3BB84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1DA45222">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p>
        </w:tc>
        <w:tc>
          <w:tcPr>
            <w:tcW w:w="1282" w:type="dxa"/>
            <w:vMerge w:val="continue"/>
            <w:vAlign w:val="center"/>
          </w:tcPr>
          <w:p w14:paraId="49027E04">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p>
        </w:tc>
        <w:tc>
          <w:tcPr>
            <w:tcW w:w="1189" w:type="dxa"/>
            <w:vAlign w:val="center"/>
          </w:tcPr>
          <w:p w14:paraId="1FB9D69C">
            <w:pPr>
              <w:keepNext w:val="0"/>
              <w:keepLines w:val="0"/>
              <w:pageBreakBefore w:val="0"/>
              <w:kinsoku/>
              <w:wordWrap/>
              <w:overflowPunct/>
              <w:topLinePunct w:val="0"/>
              <w:autoSpaceDE/>
              <w:autoSpaceDN/>
              <w:bidi w:val="0"/>
              <w:adjustRightInd/>
              <w:snapToGrid/>
              <w:spacing w:line="360" w:lineRule="exact"/>
              <w:contextualSpacing/>
              <w:jc w:val="center"/>
              <w:textAlignment w:val="auto"/>
              <w:rPr>
                <w:rFonts w:hint="eastAsia" w:ascii="宋体" w:hAnsi="宋体" w:eastAsia="宋体" w:cs="宋体"/>
                <w:bCs/>
                <w:color w:val="auto"/>
                <w:sz w:val="24"/>
                <w:szCs w:val="24"/>
                <w:lang w:val="en-US" w:eastAsia="zh-CN"/>
              </w:rPr>
            </w:pPr>
            <w:r>
              <w:rPr>
                <w:rFonts w:hint="eastAsia" w:ascii="宋体" w:hAnsi="宋体" w:eastAsia="宋体" w:cs="宋体"/>
                <w:color w:val="auto"/>
                <w:kern w:val="2"/>
                <w:sz w:val="24"/>
                <w:szCs w:val="24"/>
                <w:highlight w:val="none"/>
                <w:lang w:val="en-US" w:bidi="ar-SA"/>
              </w:rPr>
              <w:t>科技与标准</w:t>
            </w:r>
          </w:p>
        </w:tc>
        <w:tc>
          <w:tcPr>
            <w:tcW w:w="5836" w:type="dxa"/>
            <w:vAlign w:val="center"/>
          </w:tcPr>
          <w:p w14:paraId="1C7C9486">
            <w:pPr>
              <w:keepNext w:val="0"/>
              <w:keepLines w:val="0"/>
              <w:pageBreakBefore w:val="0"/>
              <w:numPr>
                <w:ilvl w:val="0"/>
                <w:numId w:val="10"/>
              </w:numPr>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投标供应商获得过高新技术企业的得</w:t>
            </w: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bidi="ar-SA"/>
              </w:rPr>
              <w:t>分，本项最高得</w:t>
            </w: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bidi="ar-SA"/>
              </w:rPr>
              <w:t>分。（提供相关证书材料扫描件）</w:t>
            </w:r>
          </w:p>
          <w:p w14:paraId="5438ECF7">
            <w:pPr>
              <w:keepNext w:val="0"/>
              <w:keepLines w:val="0"/>
              <w:pageBreakBefore w:val="0"/>
              <w:numPr>
                <w:ilvl w:val="0"/>
                <w:numId w:val="10"/>
              </w:numPr>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highlight w:val="none"/>
                <w:lang w:val="en-US" w:bidi="ar-SA"/>
              </w:rPr>
              <w:t>投标供应商获得省级或以上环保相关工程技术研究中心资质的得</w:t>
            </w: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bidi="ar-SA"/>
              </w:rPr>
              <w:t>分，本项最高得</w:t>
            </w: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bidi="ar-SA"/>
              </w:rPr>
              <w:t>分（提供相关证书材料扫描件）</w:t>
            </w:r>
          </w:p>
        </w:tc>
        <w:tc>
          <w:tcPr>
            <w:tcW w:w="755" w:type="dxa"/>
            <w:vAlign w:val="center"/>
          </w:tcPr>
          <w:p w14:paraId="52C59F4A">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lang w:eastAsia="zh-CN"/>
              </w:rPr>
            </w:pPr>
            <w:r>
              <w:rPr>
                <w:rFonts w:hint="eastAsia" w:ascii="宋体" w:hAnsi="宋体" w:cs="宋体"/>
                <w:color w:val="auto"/>
                <w:kern w:val="2"/>
                <w:sz w:val="24"/>
                <w:szCs w:val="24"/>
                <w:highlight w:val="none"/>
                <w:lang w:val="en-US" w:eastAsia="zh-CN" w:bidi="ar-SA"/>
              </w:rPr>
              <w:t>3</w:t>
            </w:r>
          </w:p>
        </w:tc>
      </w:tr>
      <w:tr w14:paraId="04FAB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5DB85E4E">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p>
        </w:tc>
        <w:tc>
          <w:tcPr>
            <w:tcW w:w="1282" w:type="dxa"/>
            <w:vMerge w:val="continue"/>
            <w:vAlign w:val="center"/>
          </w:tcPr>
          <w:p w14:paraId="0C90EEC1">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sz w:val="24"/>
                <w:szCs w:val="24"/>
              </w:rPr>
            </w:pPr>
          </w:p>
        </w:tc>
        <w:tc>
          <w:tcPr>
            <w:tcW w:w="1189" w:type="dxa"/>
            <w:vAlign w:val="center"/>
          </w:tcPr>
          <w:p w14:paraId="4B36698E">
            <w:pPr>
              <w:keepNext w:val="0"/>
              <w:keepLines w:val="0"/>
              <w:pageBreakBefore w:val="0"/>
              <w:kinsoku/>
              <w:wordWrap/>
              <w:overflowPunct/>
              <w:topLinePunct w:val="0"/>
              <w:autoSpaceDE/>
              <w:autoSpaceDN/>
              <w:bidi w:val="0"/>
              <w:adjustRightInd/>
              <w:snapToGrid/>
              <w:spacing w:line="360" w:lineRule="exact"/>
              <w:contextualSpacing/>
              <w:jc w:val="center"/>
              <w:textAlignment w:val="auto"/>
              <w:rPr>
                <w:rFonts w:hint="eastAsia" w:ascii="宋体" w:hAnsi="宋体" w:eastAsia="宋体" w:cs="宋体"/>
                <w:bCs/>
                <w:color w:val="auto"/>
                <w:sz w:val="24"/>
                <w:szCs w:val="24"/>
              </w:rPr>
            </w:pPr>
            <w:r>
              <w:rPr>
                <w:rFonts w:hint="eastAsia" w:ascii="宋体" w:hAnsi="宋体" w:eastAsia="宋体" w:cs="宋体"/>
                <w:color w:val="auto"/>
                <w:kern w:val="2"/>
                <w:sz w:val="24"/>
                <w:szCs w:val="24"/>
                <w:highlight w:val="none"/>
                <w:lang w:val="en-US" w:bidi="ar-SA"/>
              </w:rPr>
              <w:t>奖项</w:t>
            </w:r>
          </w:p>
        </w:tc>
        <w:tc>
          <w:tcPr>
            <w:tcW w:w="5836" w:type="dxa"/>
            <w:vAlign w:val="center"/>
          </w:tcPr>
          <w:p w14:paraId="28B6C317">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bCs/>
                <w:color w:val="auto"/>
                <w:sz w:val="24"/>
                <w:szCs w:val="24"/>
              </w:rPr>
            </w:pPr>
            <w:r>
              <w:rPr>
                <w:rFonts w:hint="eastAsia" w:ascii="宋体" w:hAnsi="宋体" w:eastAsia="宋体" w:cs="宋体"/>
                <w:color w:val="auto"/>
                <w:kern w:val="2"/>
                <w:sz w:val="24"/>
                <w:szCs w:val="24"/>
                <w:highlight w:val="none"/>
                <w:lang w:val="en-US" w:bidi="ar-SA"/>
              </w:rPr>
              <w:t>投标供应商获得过省级行政管理部门认定的服务类荣誉或者省级环境保护科学技术</w:t>
            </w:r>
            <w:r>
              <w:rPr>
                <w:rFonts w:hint="eastAsia" w:ascii="宋体" w:hAnsi="宋体" w:cs="宋体"/>
                <w:color w:val="auto"/>
                <w:kern w:val="2"/>
                <w:sz w:val="24"/>
                <w:szCs w:val="24"/>
                <w:highlight w:val="none"/>
                <w:lang w:val="en-US" w:eastAsia="zh-CN" w:bidi="ar-SA"/>
              </w:rPr>
              <w:t>类奖项</w:t>
            </w:r>
            <w:r>
              <w:rPr>
                <w:rFonts w:hint="eastAsia" w:ascii="宋体" w:hAnsi="宋体" w:eastAsia="宋体" w:cs="宋体"/>
                <w:color w:val="auto"/>
                <w:kern w:val="2"/>
                <w:sz w:val="24"/>
                <w:szCs w:val="24"/>
                <w:highlight w:val="none"/>
                <w:lang w:val="en-US" w:bidi="ar-SA"/>
              </w:rPr>
              <w:t>荣誉的，有一个得</w:t>
            </w: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bidi="ar-SA"/>
              </w:rPr>
              <w:t>分</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bidi="ar-SA"/>
              </w:rPr>
              <w:t>获得过</w:t>
            </w:r>
            <w:r>
              <w:rPr>
                <w:rFonts w:hint="eastAsia" w:ascii="宋体" w:hAnsi="宋体" w:cs="宋体"/>
                <w:color w:val="auto"/>
                <w:kern w:val="2"/>
                <w:sz w:val="24"/>
                <w:szCs w:val="24"/>
                <w:highlight w:val="none"/>
                <w:lang w:val="en-US" w:eastAsia="zh-CN" w:bidi="ar-SA"/>
              </w:rPr>
              <w:t>市</w:t>
            </w:r>
            <w:r>
              <w:rPr>
                <w:rFonts w:hint="eastAsia" w:ascii="宋体" w:hAnsi="宋体" w:eastAsia="宋体" w:cs="宋体"/>
                <w:color w:val="auto"/>
                <w:kern w:val="2"/>
                <w:sz w:val="24"/>
                <w:szCs w:val="24"/>
                <w:highlight w:val="none"/>
                <w:lang w:val="en-US" w:bidi="ar-SA"/>
              </w:rPr>
              <w:t>级行政管理部门认定的服务类荣誉或者</w:t>
            </w:r>
            <w:r>
              <w:rPr>
                <w:rFonts w:hint="eastAsia" w:ascii="宋体" w:hAnsi="宋体" w:cs="宋体"/>
                <w:color w:val="auto"/>
                <w:kern w:val="2"/>
                <w:sz w:val="24"/>
                <w:szCs w:val="24"/>
                <w:highlight w:val="none"/>
                <w:lang w:val="en-US" w:eastAsia="zh-CN" w:bidi="ar-SA"/>
              </w:rPr>
              <w:t>市级</w:t>
            </w:r>
            <w:r>
              <w:rPr>
                <w:rFonts w:hint="eastAsia" w:ascii="宋体" w:hAnsi="宋体" w:eastAsia="宋体" w:cs="宋体"/>
                <w:color w:val="auto"/>
                <w:kern w:val="2"/>
                <w:sz w:val="24"/>
                <w:szCs w:val="24"/>
                <w:highlight w:val="none"/>
                <w:lang w:val="en-US" w:bidi="ar-SA"/>
              </w:rPr>
              <w:t>环境保护科学技术</w:t>
            </w:r>
            <w:r>
              <w:rPr>
                <w:rFonts w:hint="eastAsia" w:ascii="宋体" w:hAnsi="宋体" w:cs="宋体"/>
                <w:color w:val="auto"/>
                <w:kern w:val="2"/>
                <w:sz w:val="24"/>
                <w:szCs w:val="24"/>
                <w:highlight w:val="none"/>
                <w:lang w:val="en-US" w:eastAsia="zh-CN" w:bidi="ar-SA"/>
              </w:rPr>
              <w:t>类奖项</w:t>
            </w:r>
            <w:r>
              <w:rPr>
                <w:rFonts w:hint="eastAsia" w:ascii="宋体" w:hAnsi="宋体" w:eastAsia="宋体" w:cs="宋体"/>
                <w:color w:val="auto"/>
                <w:kern w:val="2"/>
                <w:sz w:val="24"/>
                <w:szCs w:val="24"/>
                <w:highlight w:val="none"/>
                <w:lang w:val="en-US" w:bidi="ar-SA"/>
              </w:rPr>
              <w:t>荣誉的，有一个得</w:t>
            </w:r>
            <w:r>
              <w:rPr>
                <w:rFonts w:hint="eastAsia" w:ascii="宋体" w:hAnsi="宋体" w:cs="宋体"/>
                <w:color w:val="auto"/>
                <w:kern w:val="2"/>
                <w:sz w:val="24"/>
                <w:szCs w:val="24"/>
                <w:highlight w:val="none"/>
                <w:lang w:val="en-US" w:eastAsia="zh-CN" w:bidi="ar-SA"/>
              </w:rPr>
              <w:t>0.5</w:t>
            </w:r>
            <w:r>
              <w:rPr>
                <w:rFonts w:hint="eastAsia" w:ascii="宋体" w:hAnsi="宋体" w:eastAsia="宋体" w:cs="宋体"/>
                <w:color w:val="auto"/>
                <w:kern w:val="2"/>
                <w:sz w:val="24"/>
                <w:szCs w:val="24"/>
                <w:highlight w:val="none"/>
                <w:lang w:val="en-US" w:bidi="ar-SA"/>
              </w:rPr>
              <w:t>分</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bidi="ar-SA"/>
              </w:rPr>
              <w:t>本项最高得</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bidi="ar-SA"/>
              </w:rPr>
              <w:t>分。（提供荣誉证书原件扫描件）</w:t>
            </w:r>
          </w:p>
        </w:tc>
        <w:tc>
          <w:tcPr>
            <w:tcW w:w="755" w:type="dxa"/>
            <w:vAlign w:val="center"/>
          </w:tcPr>
          <w:p w14:paraId="5D21BD55">
            <w:pPr>
              <w:keepNext w:val="0"/>
              <w:keepLines w:val="0"/>
              <w:pageBreakBefore w:val="0"/>
              <w:kinsoku/>
              <w:wordWrap/>
              <w:overflowPunct/>
              <w:topLinePunct w:val="0"/>
              <w:autoSpaceDE/>
              <w:autoSpaceDN/>
              <w:bidi w:val="0"/>
              <w:adjustRightInd/>
              <w:snapToGrid/>
              <w:spacing w:line="360" w:lineRule="exact"/>
              <w:contextualSpacing/>
              <w:jc w:val="center"/>
              <w:textAlignment w:val="auto"/>
              <w:rPr>
                <w:rFonts w:hint="eastAsia" w:ascii="宋体" w:hAnsi="宋体" w:eastAsia="宋体" w:cs="宋体"/>
                <w:bCs/>
                <w:color w:val="auto"/>
                <w:sz w:val="24"/>
                <w:szCs w:val="24"/>
                <w:lang w:eastAsia="zh-CN"/>
              </w:rPr>
            </w:pPr>
            <w:r>
              <w:rPr>
                <w:rFonts w:hint="eastAsia" w:ascii="宋体" w:hAnsi="宋体" w:cs="宋体"/>
                <w:color w:val="auto"/>
                <w:kern w:val="2"/>
                <w:sz w:val="24"/>
                <w:szCs w:val="24"/>
                <w:highlight w:val="none"/>
                <w:lang w:val="en-US" w:eastAsia="zh-CN" w:bidi="ar-SA"/>
              </w:rPr>
              <w:t>2</w:t>
            </w:r>
          </w:p>
        </w:tc>
      </w:tr>
    </w:tbl>
    <w:p w14:paraId="54A65F62">
      <w:pPr>
        <w:spacing w:line="400" w:lineRule="exact"/>
        <w:jc w:val="left"/>
        <w:rPr>
          <w:rFonts w:hint="eastAsia" w:ascii="宋体" w:hAnsi="宋体" w:cs="宋体"/>
          <w:b/>
          <w:bCs/>
          <w:color w:val="auto"/>
          <w:sz w:val="24"/>
          <w:highlight w:val="none"/>
        </w:rPr>
      </w:pPr>
    </w:p>
    <w:p w14:paraId="460EEF4B">
      <w:pPr>
        <w:spacing w:line="400" w:lineRule="exact"/>
        <w:jc w:val="left"/>
        <w:rPr>
          <w:rFonts w:hint="eastAsia" w:ascii="宋体" w:hAnsi="宋体" w:cs="宋体"/>
          <w:b/>
          <w:bCs/>
          <w:color w:val="auto"/>
          <w:sz w:val="24"/>
          <w:highlight w:val="none"/>
        </w:rPr>
      </w:pPr>
    </w:p>
    <w:p w14:paraId="7A272E1D">
      <w:pPr>
        <w:spacing w:line="360" w:lineRule="auto"/>
        <w:jc w:val="center"/>
        <w:rPr>
          <w:rFonts w:hint="eastAsia" w:ascii="宋体" w:hAnsi="宋体" w:cs="宋体"/>
          <w:b/>
          <w:bCs/>
          <w:color w:val="auto"/>
          <w:sz w:val="24"/>
          <w:szCs w:val="24"/>
          <w:highlight w:val="none"/>
        </w:rPr>
      </w:pPr>
    </w:p>
    <w:p w14:paraId="7656D6F5">
      <w:pPr>
        <w:tabs>
          <w:tab w:val="left" w:pos="567"/>
        </w:tabs>
        <w:spacing w:line="400" w:lineRule="exact"/>
        <w:jc w:val="center"/>
        <w:rPr>
          <w:rFonts w:hint="eastAsia" w:ascii="宋体" w:hAnsi="宋体" w:cs="宋体"/>
          <w:bCs/>
          <w:color w:val="auto"/>
          <w:sz w:val="24"/>
          <w:szCs w:val="24"/>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第五章　</w:t>
      </w:r>
      <w:bookmarkStart w:id="19" w:name="_Toc251268363"/>
      <w:r>
        <w:rPr>
          <w:rFonts w:hint="eastAsia" w:ascii="宋体" w:hAnsi="宋体" w:cs="宋体"/>
          <w:b/>
          <w:color w:val="auto"/>
          <w:sz w:val="28"/>
          <w:szCs w:val="28"/>
          <w:highlight w:val="none"/>
        </w:rPr>
        <w:t>　</w:t>
      </w:r>
      <w:bookmarkEnd w:id="19"/>
      <w:r>
        <w:rPr>
          <w:rFonts w:hint="eastAsia" w:ascii="宋体" w:hAnsi="宋体" w:cs="宋体"/>
          <w:b/>
          <w:color w:val="auto"/>
          <w:sz w:val="28"/>
          <w:szCs w:val="28"/>
          <w:highlight w:val="none"/>
        </w:rPr>
        <w:t>合同书（格式）</w:t>
      </w:r>
    </w:p>
    <w:p w14:paraId="00D9CF4F">
      <w:pPr>
        <w:spacing w:line="420" w:lineRule="exact"/>
        <w:rPr>
          <w:rFonts w:ascii="宋体" w:hAnsi="宋体"/>
          <w:bCs/>
          <w:color w:val="auto"/>
          <w:sz w:val="24"/>
          <w:highlight w:val="none"/>
          <w:u w:val="single"/>
        </w:rPr>
      </w:pPr>
      <w:r>
        <w:rPr>
          <w:rFonts w:hint="eastAsia" w:ascii="宋体" w:hAnsi="宋体"/>
          <w:bCs/>
          <w:color w:val="auto"/>
          <w:sz w:val="24"/>
          <w:highlight w:val="none"/>
        </w:rPr>
        <w:t>甲方（采购单位）：</w:t>
      </w:r>
      <w:r>
        <w:rPr>
          <w:rFonts w:hint="eastAsia" w:ascii="宋体" w:hAnsi="宋体"/>
          <w:bCs/>
          <w:color w:val="auto"/>
          <w:sz w:val="24"/>
          <w:highlight w:val="none"/>
          <w:u w:val="single"/>
        </w:rPr>
        <w:t>　　　　　　　　　　　　　　　　　　</w:t>
      </w:r>
    </w:p>
    <w:p w14:paraId="09294EC9">
      <w:pPr>
        <w:spacing w:line="420" w:lineRule="exact"/>
        <w:rPr>
          <w:rFonts w:ascii="宋体" w:hAnsi="宋体"/>
          <w:bCs/>
          <w:color w:val="auto"/>
          <w:sz w:val="24"/>
          <w:highlight w:val="none"/>
          <w:u w:val="single"/>
        </w:rPr>
      </w:pPr>
      <w:r>
        <w:rPr>
          <w:rFonts w:hint="eastAsia" w:ascii="宋体" w:hAnsi="宋体"/>
          <w:bCs/>
          <w:color w:val="auto"/>
          <w:sz w:val="24"/>
          <w:highlight w:val="none"/>
        </w:rPr>
        <w:t>乙方（中标单位）：</w:t>
      </w:r>
      <w:r>
        <w:rPr>
          <w:rFonts w:hint="eastAsia" w:ascii="宋体" w:hAnsi="宋体"/>
          <w:bCs/>
          <w:color w:val="auto"/>
          <w:sz w:val="24"/>
          <w:highlight w:val="none"/>
          <w:u w:val="single"/>
        </w:rPr>
        <w:t>　　　　　　　　　　　　　　　　　　</w:t>
      </w:r>
    </w:p>
    <w:p w14:paraId="21D03EDA">
      <w:pPr>
        <w:spacing w:line="400" w:lineRule="exact"/>
        <w:jc w:val="center"/>
        <w:rPr>
          <w:rFonts w:ascii="楷体_GB2312" w:hAnsi="宋体" w:eastAsia="楷体_GB2312"/>
          <w:b/>
          <w:color w:val="auto"/>
          <w:sz w:val="28"/>
          <w:szCs w:val="28"/>
          <w:highlight w:val="none"/>
          <w:lang w:val="de-DE"/>
        </w:rPr>
      </w:pPr>
    </w:p>
    <w:p w14:paraId="0E1778E4">
      <w:pPr>
        <w:spacing w:line="400" w:lineRule="exact"/>
        <w:ind w:firstLine="480"/>
        <w:jc w:val="left"/>
        <w:rPr>
          <w:rFonts w:ascii="宋体" w:hAnsi="宋体"/>
          <w:color w:val="auto"/>
          <w:sz w:val="24"/>
          <w:highlight w:val="none"/>
        </w:rPr>
      </w:pPr>
      <w:r>
        <w:rPr>
          <w:rFonts w:hint="eastAsia" w:ascii="宋体" w:hAnsi="宋体"/>
          <w:color w:val="auto"/>
          <w:sz w:val="24"/>
          <w:highlight w:val="none"/>
          <w:lang w:val="zh-CN"/>
        </w:rPr>
        <w:t>根据《中华人民共和国政府采购法》、《中华人民共和国民法典》等法律法规的规定，甲乙双方按照本项目的采购结果签订本合同。</w:t>
      </w:r>
    </w:p>
    <w:p w14:paraId="0DA65059">
      <w:pPr>
        <w:spacing w:line="400" w:lineRule="exact"/>
        <w:rPr>
          <w:rFonts w:ascii="楷体_GB2312" w:eastAsia="楷体_GB2312"/>
          <w:color w:val="auto"/>
          <w:sz w:val="24"/>
          <w:highlight w:val="none"/>
        </w:rPr>
      </w:pPr>
    </w:p>
    <w:p w14:paraId="426B32C0">
      <w:pPr>
        <w:spacing w:line="400" w:lineRule="exact"/>
        <w:rPr>
          <w:rFonts w:ascii="黑体" w:hAnsi="黑体" w:eastAsia="黑体"/>
          <w:color w:val="auto"/>
          <w:sz w:val="24"/>
          <w:highlight w:val="none"/>
        </w:rPr>
      </w:pPr>
      <w:r>
        <w:rPr>
          <w:rFonts w:hint="eastAsia" w:ascii="黑体" w:hAnsi="黑体" w:eastAsia="黑体"/>
          <w:color w:val="auto"/>
          <w:sz w:val="24"/>
          <w:highlight w:val="none"/>
        </w:rPr>
        <w:t>第一条　采购内容</w:t>
      </w:r>
    </w:p>
    <w:p w14:paraId="615863BE">
      <w:pPr>
        <w:spacing w:line="400" w:lineRule="exact"/>
        <w:ind w:firstLine="480"/>
        <w:rPr>
          <w:rFonts w:ascii="宋体" w:hAnsi="宋体"/>
          <w:color w:val="auto"/>
          <w:sz w:val="24"/>
          <w:highlight w:val="none"/>
          <w:u w:val="single"/>
        </w:rPr>
      </w:pPr>
      <w:r>
        <w:rPr>
          <w:rFonts w:hint="eastAsia" w:ascii="宋体" w:hAnsi="宋体"/>
          <w:color w:val="auto"/>
          <w:sz w:val="24"/>
          <w:highlight w:val="none"/>
        </w:rPr>
        <w:t>1、项目名称（项目编号）：</w:t>
      </w:r>
      <w:r>
        <w:rPr>
          <w:rFonts w:hint="eastAsia" w:ascii="宋体" w:hAnsi="宋体"/>
          <w:color w:val="auto"/>
          <w:sz w:val="24"/>
          <w:highlight w:val="none"/>
          <w:u w:val="single"/>
        </w:rPr>
        <w:t>　　　　　　　　　　　　　　　　　　　　</w:t>
      </w:r>
    </w:p>
    <w:p w14:paraId="1A0563E2">
      <w:pPr>
        <w:spacing w:line="400" w:lineRule="exact"/>
        <w:ind w:firstLine="480"/>
        <w:rPr>
          <w:rFonts w:ascii="宋体" w:hAnsi="宋体"/>
          <w:color w:val="auto"/>
          <w:sz w:val="24"/>
          <w:highlight w:val="none"/>
          <w:u w:val="single"/>
        </w:rPr>
      </w:pPr>
      <w:r>
        <w:rPr>
          <w:rFonts w:hint="eastAsia" w:ascii="宋体" w:hAnsi="宋体"/>
          <w:color w:val="auto"/>
          <w:sz w:val="24"/>
          <w:highlight w:val="none"/>
        </w:rPr>
        <w:t>2、服务内容：</w:t>
      </w:r>
      <w:r>
        <w:rPr>
          <w:rFonts w:hint="eastAsia" w:ascii="宋体" w:hAnsi="宋体"/>
          <w:color w:val="auto"/>
          <w:sz w:val="24"/>
          <w:highlight w:val="none"/>
          <w:u w:val="single"/>
        </w:rPr>
        <w:t>　　　　　　　　　　　　　　　　　　　　　　　　　　</w:t>
      </w:r>
    </w:p>
    <w:p w14:paraId="22033735">
      <w:pPr>
        <w:spacing w:line="400" w:lineRule="exact"/>
        <w:ind w:firstLine="480"/>
        <w:rPr>
          <w:rFonts w:ascii="宋体" w:hAnsi="宋体"/>
          <w:color w:val="auto"/>
          <w:sz w:val="24"/>
          <w:highlight w:val="none"/>
        </w:rPr>
      </w:pPr>
      <w:r>
        <w:rPr>
          <w:rFonts w:hint="eastAsia" w:ascii="宋体" w:hAnsi="宋体"/>
          <w:color w:val="auto"/>
          <w:sz w:val="24"/>
          <w:highlight w:val="none"/>
        </w:rPr>
        <w:t>3、服务范围：</w:t>
      </w:r>
      <w:r>
        <w:rPr>
          <w:rFonts w:hint="eastAsia" w:ascii="宋体" w:hAnsi="宋体"/>
          <w:color w:val="auto"/>
          <w:sz w:val="24"/>
          <w:highlight w:val="none"/>
          <w:u w:val="single"/>
        </w:rPr>
        <w:t>　　　　　　　　　　　　　　　　　　　　　　　　　　</w:t>
      </w:r>
    </w:p>
    <w:p w14:paraId="1616FB31">
      <w:pPr>
        <w:spacing w:line="400" w:lineRule="exact"/>
        <w:ind w:firstLine="480"/>
        <w:rPr>
          <w:rFonts w:ascii="宋体" w:hAnsi="宋体"/>
          <w:color w:val="auto"/>
          <w:sz w:val="24"/>
          <w:highlight w:val="none"/>
        </w:rPr>
      </w:pPr>
      <w:r>
        <w:rPr>
          <w:rFonts w:hint="eastAsia" w:ascii="宋体" w:hAnsi="宋体"/>
          <w:color w:val="auto"/>
          <w:sz w:val="24"/>
          <w:highlight w:val="none"/>
        </w:rPr>
        <w:t>4、服务期限：</w:t>
      </w:r>
      <w:r>
        <w:rPr>
          <w:rFonts w:hint="eastAsia" w:ascii="宋体" w:hAnsi="宋体"/>
          <w:color w:val="auto"/>
          <w:sz w:val="24"/>
          <w:highlight w:val="none"/>
          <w:u w:val="single"/>
        </w:rPr>
        <w:t>　　　　　　　　　　　　　　　　　　　　　　　　　　</w:t>
      </w:r>
    </w:p>
    <w:p w14:paraId="6400B44D">
      <w:pPr>
        <w:spacing w:line="400" w:lineRule="exact"/>
        <w:ind w:firstLine="480"/>
        <w:rPr>
          <w:rFonts w:ascii="宋体" w:hAnsi="宋体"/>
          <w:color w:val="auto"/>
          <w:sz w:val="24"/>
          <w:highlight w:val="none"/>
          <w:u w:val="single"/>
        </w:rPr>
      </w:pPr>
      <w:r>
        <w:rPr>
          <w:rFonts w:hint="eastAsia" w:ascii="宋体" w:hAnsi="宋体"/>
          <w:color w:val="auto"/>
          <w:sz w:val="24"/>
          <w:highlight w:val="none"/>
        </w:rPr>
        <w:t>5、其他：</w:t>
      </w:r>
      <w:r>
        <w:rPr>
          <w:rFonts w:hint="eastAsia" w:ascii="宋体" w:hAnsi="宋体"/>
          <w:color w:val="auto"/>
          <w:sz w:val="24"/>
          <w:highlight w:val="none"/>
          <w:u w:val="single"/>
        </w:rPr>
        <w:t>　　　　　　　　　　　　　　　　　　　　　　　　　　　　</w:t>
      </w:r>
    </w:p>
    <w:p w14:paraId="1BEE42E9">
      <w:pPr>
        <w:spacing w:line="400" w:lineRule="exact"/>
        <w:jc w:val="left"/>
        <w:rPr>
          <w:rFonts w:ascii="黑体" w:hAnsi="黑体" w:eastAsia="黑体"/>
          <w:color w:val="auto"/>
          <w:sz w:val="24"/>
          <w:highlight w:val="none"/>
          <w:lang w:val="zh-CN"/>
        </w:rPr>
      </w:pPr>
      <w:r>
        <w:rPr>
          <w:rFonts w:hint="eastAsia" w:ascii="黑体" w:hAnsi="黑体" w:eastAsia="黑体"/>
          <w:bCs/>
          <w:color w:val="auto"/>
          <w:sz w:val="24"/>
          <w:highlight w:val="none"/>
          <w:lang w:val="zh-CN"/>
        </w:rPr>
        <w:t>第二条　合同总价款</w:t>
      </w:r>
    </w:p>
    <w:p w14:paraId="1F069031">
      <w:pPr>
        <w:spacing w:line="40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本合同人民币总价款为</w:t>
      </w:r>
      <w:r>
        <w:rPr>
          <w:rFonts w:hint="eastAsia" w:ascii="宋体" w:hAnsi="宋体"/>
          <w:color w:val="auto"/>
          <w:sz w:val="24"/>
          <w:highlight w:val="none"/>
          <w:u w:val="single"/>
          <w:lang w:val="zh-CN"/>
        </w:rPr>
        <w:t>　　　　　　　</w:t>
      </w:r>
      <w:r>
        <w:rPr>
          <w:rFonts w:hint="eastAsia" w:ascii="宋体" w:hAnsi="宋体"/>
          <w:color w:val="auto"/>
          <w:sz w:val="24"/>
          <w:highlight w:val="none"/>
          <w:lang w:val="zh-CN"/>
        </w:rPr>
        <w:t>（小写），</w:t>
      </w:r>
      <w:r>
        <w:rPr>
          <w:rFonts w:hint="eastAsia" w:ascii="宋体" w:hAnsi="宋体"/>
          <w:color w:val="auto"/>
          <w:sz w:val="24"/>
          <w:highlight w:val="none"/>
          <w:u w:val="single"/>
          <w:lang w:val="zh-CN"/>
        </w:rPr>
        <w:t>　　　　　　　　</w:t>
      </w:r>
      <w:r>
        <w:rPr>
          <w:rFonts w:hint="eastAsia" w:ascii="宋体" w:hAnsi="宋体"/>
          <w:color w:val="auto"/>
          <w:sz w:val="24"/>
          <w:highlight w:val="none"/>
          <w:lang w:val="zh-CN"/>
        </w:rPr>
        <w:t>（大写）。</w:t>
      </w:r>
    </w:p>
    <w:p w14:paraId="33CC860E">
      <w:pPr>
        <w:spacing w:line="40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本合同服务期限内合同总价款不变。（有另行规定的除外。）</w:t>
      </w:r>
    </w:p>
    <w:p w14:paraId="75748385">
      <w:pPr>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第三条  履约保证金的缴纳和退还</w:t>
      </w:r>
    </w:p>
    <w:p w14:paraId="2A1E19FA">
      <w:pPr>
        <w:tabs>
          <w:tab w:val="left" w:pos="945"/>
          <w:tab w:val="left" w:pos="2100"/>
        </w:tabs>
        <w:spacing w:line="400" w:lineRule="exact"/>
        <w:ind w:firstLine="480"/>
        <w:rPr>
          <w:rFonts w:ascii="宋体" w:hAnsi="宋体"/>
          <w:bCs/>
          <w:color w:val="auto"/>
          <w:sz w:val="24"/>
          <w:highlight w:val="none"/>
        </w:rPr>
      </w:pPr>
      <w:r>
        <w:rPr>
          <w:rFonts w:hint="eastAsia" w:ascii="宋体" w:hAnsi="宋体"/>
          <w:bCs/>
          <w:color w:val="auto"/>
          <w:sz w:val="24"/>
          <w:highlight w:val="none"/>
        </w:rPr>
        <w:t>本项目是/否向采购人缴纳履约保证金： 。</w:t>
      </w:r>
    </w:p>
    <w:p w14:paraId="3EAFA74F">
      <w:pPr>
        <w:tabs>
          <w:tab w:val="left" w:pos="945"/>
          <w:tab w:val="left" w:pos="2100"/>
        </w:tabs>
        <w:spacing w:line="400" w:lineRule="exact"/>
        <w:ind w:firstLine="480"/>
        <w:rPr>
          <w:rFonts w:ascii="宋体" w:hAnsi="宋体"/>
          <w:bCs/>
          <w:color w:val="auto"/>
          <w:sz w:val="24"/>
          <w:highlight w:val="none"/>
        </w:rPr>
      </w:pPr>
      <w:r>
        <w:rPr>
          <w:rFonts w:hint="eastAsia" w:ascii="宋体" w:hAnsi="宋体"/>
          <w:bCs/>
          <w:color w:val="auto"/>
          <w:sz w:val="24"/>
          <w:highlight w:val="none"/>
        </w:rPr>
        <w:t>履约保证金缴纳金额：元。</w:t>
      </w:r>
    </w:p>
    <w:p w14:paraId="12A17D52">
      <w:pPr>
        <w:tabs>
          <w:tab w:val="left" w:pos="945"/>
          <w:tab w:val="left" w:pos="2100"/>
        </w:tabs>
        <w:spacing w:line="400" w:lineRule="exact"/>
        <w:ind w:firstLine="480"/>
        <w:rPr>
          <w:rFonts w:ascii="宋体" w:hAnsi="宋体"/>
          <w:bCs/>
          <w:color w:val="auto"/>
          <w:sz w:val="24"/>
          <w:highlight w:val="none"/>
        </w:rPr>
      </w:pPr>
      <w:r>
        <w:rPr>
          <w:rFonts w:hint="eastAsia" w:ascii="宋体" w:hAnsi="宋体"/>
          <w:bCs/>
          <w:color w:val="auto"/>
          <w:sz w:val="24"/>
          <w:highlight w:val="none"/>
        </w:rPr>
        <w:t>履约保证金的缴纳时间：，缴纳形式：。</w:t>
      </w:r>
    </w:p>
    <w:p w14:paraId="22B266ED">
      <w:pPr>
        <w:tabs>
          <w:tab w:val="left" w:pos="945"/>
          <w:tab w:val="left" w:pos="2100"/>
        </w:tabs>
        <w:spacing w:line="400" w:lineRule="exact"/>
        <w:ind w:firstLine="480"/>
        <w:rPr>
          <w:rFonts w:ascii="宋体" w:hAnsi="宋体"/>
          <w:bCs/>
          <w:color w:val="auto"/>
          <w:sz w:val="24"/>
          <w:highlight w:val="none"/>
        </w:rPr>
      </w:pPr>
      <w:r>
        <w:rPr>
          <w:rFonts w:hint="eastAsia" w:ascii="宋体" w:hAnsi="宋体"/>
          <w:bCs/>
          <w:color w:val="auto"/>
          <w:sz w:val="24"/>
          <w:highlight w:val="none"/>
        </w:rPr>
        <w:t>履约保证金的退付时间：，退付办法：。</w:t>
      </w:r>
    </w:p>
    <w:p w14:paraId="0D703DA7">
      <w:pPr>
        <w:tabs>
          <w:tab w:val="left" w:pos="945"/>
          <w:tab w:val="left" w:pos="2100"/>
        </w:tabs>
        <w:spacing w:line="400" w:lineRule="exact"/>
        <w:ind w:firstLine="480"/>
        <w:rPr>
          <w:rFonts w:ascii="宋体" w:hAnsi="宋体"/>
          <w:bCs/>
          <w:color w:val="auto"/>
          <w:sz w:val="24"/>
          <w:highlight w:val="none"/>
        </w:rPr>
      </w:pPr>
      <w:r>
        <w:rPr>
          <w:rFonts w:hint="eastAsia" w:ascii="宋体" w:hAnsi="宋体"/>
          <w:bCs/>
          <w:color w:val="auto"/>
          <w:sz w:val="24"/>
          <w:highlight w:val="none"/>
        </w:rPr>
        <w:t>履约保证金不予退还的情形：。</w:t>
      </w:r>
    </w:p>
    <w:p w14:paraId="669B6C90">
      <w:pPr>
        <w:spacing w:line="400" w:lineRule="exact"/>
        <w:rPr>
          <w:rFonts w:hint="eastAsia" w:ascii="黑体" w:hAnsi="黑体" w:eastAsia="黑体"/>
          <w:bCs/>
          <w:color w:val="auto"/>
          <w:sz w:val="24"/>
          <w:highlight w:val="none"/>
          <w:lang w:val="zh-CN"/>
        </w:rPr>
      </w:pPr>
      <w:r>
        <w:rPr>
          <w:rFonts w:hint="eastAsia" w:ascii="宋体" w:hAnsi="宋体"/>
          <w:bCs/>
          <w:color w:val="auto"/>
          <w:sz w:val="24"/>
          <w:highlight w:val="none"/>
        </w:rPr>
        <w:t xml:space="preserve">    逾期退还履约保证金的违约责任：。</w:t>
      </w:r>
    </w:p>
    <w:p w14:paraId="44BD6D99">
      <w:pPr>
        <w:spacing w:line="400" w:lineRule="exact"/>
        <w:rPr>
          <w:rFonts w:ascii="黑体" w:hAnsi="黑体" w:eastAsia="黑体"/>
          <w:color w:val="auto"/>
          <w:sz w:val="24"/>
          <w:highlight w:val="none"/>
          <w:lang w:val="zh-CN"/>
        </w:rPr>
      </w:pPr>
      <w:r>
        <w:rPr>
          <w:rFonts w:hint="eastAsia" w:ascii="黑体" w:hAnsi="黑体" w:eastAsia="黑体"/>
          <w:bCs/>
          <w:color w:val="auto"/>
          <w:sz w:val="24"/>
          <w:highlight w:val="none"/>
          <w:lang w:val="zh-CN"/>
        </w:rPr>
        <w:t>第四条　组成本合同的有关文件</w:t>
      </w:r>
    </w:p>
    <w:p w14:paraId="2ADBBA43">
      <w:pPr>
        <w:spacing w:line="400" w:lineRule="exact"/>
        <w:ind w:firstLine="480"/>
        <w:rPr>
          <w:rFonts w:ascii="宋体" w:hAnsi="宋体"/>
          <w:color w:val="auto"/>
          <w:sz w:val="24"/>
          <w:highlight w:val="none"/>
          <w:lang w:val="zh-CN"/>
        </w:rPr>
      </w:pPr>
      <w:r>
        <w:rPr>
          <w:rFonts w:hint="eastAsia" w:ascii="宋体" w:hAnsi="宋体"/>
          <w:color w:val="auto"/>
          <w:sz w:val="24"/>
          <w:highlight w:val="none"/>
          <w:lang w:val="zh-CN"/>
        </w:rPr>
        <w:t>下列关于本次采购活动方式相适应的文件及有关附件是本合同不可分割的组成部分，与本合同具有同等法律效力，这些文件包括但不限于：</w:t>
      </w:r>
    </w:p>
    <w:p w14:paraId="0F2AC9DC">
      <w:pPr>
        <w:spacing w:line="40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（1）招标文件；</w:t>
      </w:r>
    </w:p>
    <w:p w14:paraId="4F4F8622">
      <w:pPr>
        <w:spacing w:line="40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（2）投标文件；</w:t>
      </w:r>
    </w:p>
    <w:p w14:paraId="1682B4F4">
      <w:pPr>
        <w:spacing w:line="40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（3）中标通知书；</w:t>
      </w:r>
    </w:p>
    <w:p w14:paraId="4480CC44">
      <w:pPr>
        <w:spacing w:line="40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（4）中标人在投标、评标过程中所作其它有关承诺、声明、书面澄清；</w:t>
      </w:r>
    </w:p>
    <w:p w14:paraId="3F51DDD6">
      <w:pPr>
        <w:spacing w:line="40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（5）甲乙双方商定的其他文件等。</w:t>
      </w:r>
    </w:p>
    <w:p w14:paraId="2D25E5B8">
      <w:pPr>
        <w:spacing w:line="400" w:lineRule="exact"/>
        <w:jc w:val="lef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第五条　权利保证</w:t>
      </w:r>
    </w:p>
    <w:p w14:paraId="7CF68A5F">
      <w:pPr>
        <w:spacing w:line="400" w:lineRule="exact"/>
        <w:ind w:firstLine="480"/>
        <w:jc w:val="left"/>
        <w:rPr>
          <w:rFonts w:ascii="宋体" w:hAnsi="宋体"/>
          <w:color w:val="auto"/>
          <w:sz w:val="24"/>
          <w:highlight w:val="none"/>
          <w:lang w:val="zh-CN"/>
        </w:rPr>
      </w:pPr>
      <w:r>
        <w:rPr>
          <w:rFonts w:hint="eastAsia" w:ascii="宋体" w:hAnsi="宋体"/>
          <w:color w:val="auto"/>
          <w:sz w:val="24"/>
          <w:highlight w:val="none"/>
          <w:lang w:val="zh-CN"/>
        </w:rPr>
        <w:t>乙方应保证甲方在合同履行期限内不受第三方提出侵犯其专利权、版权、商标权或其他权利的起诉。一旦出现侵权，乙方应承担全部责任。</w:t>
      </w:r>
    </w:p>
    <w:p w14:paraId="63C5CBC6">
      <w:pPr>
        <w:spacing w:line="400" w:lineRule="exact"/>
        <w:jc w:val="lef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第六条 质量保证和售后服务</w:t>
      </w:r>
    </w:p>
    <w:p w14:paraId="107A632A">
      <w:pPr>
        <w:spacing w:line="400" w:lineRule="exact"/>
        <w:ind w:firstLine="480"/>
        <w:jc w:val="left"/>
        <w:rPr>
          <w:rFonts w:ascii="宋体" w:hAnsi="宋体"/>
          <w:bCs/>
          <w:color w:val="auto"/>
          <w:sz w:val="24"/>
          <w:highlight w:val="none"/>
        </w:rPr>
      </w:pPr>
      <w:r>
        <w:rPr>
          <w:rFonts w:hint="eastAsia" w:ascii="宋体" w:hAnsi="宋体"/>
          <w:bCs/>
          <w:color w:val="auto"/>
          <w:sz w:val="24"/>
          <w:highlight w:val="none"/>
        </w:rPr>
        <w:t>1、乙方应按招标文件规定的服务要求、技术要求、质量标准向甲方提供服务。</w:t>
      </w:r>
    </w:p>
    <w:p w14:paraId="1101BA7B">
      <w:pPr>
        <w:spacing w:line="400" w:lineRule="exact"/>
        <w:ind w:firstLine="480"/>
        <w:jc w:val="left"/>
        <w:rPr>
          <w:rFonts w:ascii="宋体" w:hAnsi="宋体"/>
          <w:bCs/>
          <w:color w:val="auto"/>
          <w:sz w:val="24"/>
          <w:highlight w:val="none"/>
          <w:u w:val="single"/>
          <w:lang w:val="zh-CN"/>
        </w:rPr>
      </w:pPr>
      <w:r>
        <w:rPr>
          <w:rFonts w:hint="eastAsia" w:ascii="宋体" w:hAnsi="宋体"/>
          <w:bCs/>
          <w:color w:val="auto"/>
          <w:sz w:val="24"/>
          <w:highlight w:val="none"/>
          <w:lang w:val="zh-CN"/>
        </w:rPr>
        <w:t>2、质量保证：</w:t>
      </w:r>
      <w:r>
        <w:rPr>
          <w:rFonts w:hint="eastAsia" w:ascii="宋体" w:hAnsi="宋体"/>
          <w:bCs/>
          <w:color w:val="auto"/>
          <w:sz w:val="24"/>
          <w:highlight w:val="none"/>
          <w:u w:val="single"/>
          <w:lang w:val="zh-CN"/>
        </w:rPr>
        <w:t>　　　　　　　　　　　　　　　　　　　　　　　　　　</w:t>
      </w:r>
    </w:p>
    <w:p w14:paraId="2B607E28">
      <w:pPr>
        <w:spacing w:line="400" w:lineRule="exact"/>
        <w:ind w:firstLine="480"/>
        <w:jc w:val="left"/>
        <w:rPr>
          <w:rFonts w:ascii="宋体" w:hAnsi="宋体"/>
          <w:bCs/>
          <w:color w:val="auto"/>
          <w:sz w:val="24"/>
          <w:highlight w:val="none"/>
          <w:u w:val="single"/>
          <w:lang w:val="zh-CN"/>
        </w:rPr>
      </w:pPr>
      <w:r>
        <w:rPr>
          <w:rFonts w:hint="eastAsia" w:ascii="宋体" w:hAnsi="宋体"/>
          <w:bCs/>
          <w:color w:val="auto"/>
          <w:sz w:val="24"/>
          <w:highlight w:val="none"/>
          <w:lang w:val="zh-CN"/>
        </w:rPr>
        <w:t>3、售后服务：</w:t>
      </w:r>
      <w:r>
        <w:rPr>
          <w:rFonts w:hint="eastAsia" w:ascii="宋体" w:hAnsi="宋体"/>
          <w:bCs/>
          <w:color w:val="auto"/>
          <w:sz w:val="24"/>
          <w:highlight w:val="none"/>
          <w:u w:val="single"/>
          <w:lang w:val="zh-CN"/>
        </w:rPr>
        <w:t>　　　　　　　　　　　　　　　　　　　　　　　　　　</w:t>
      </w:r>
    </w:p>
    <w:p w14:paraId="2033219A">
      <w:pPr>
        <w:spacing w:line="400" w:lineRule="exact"/>
        <w:jc w:val="lef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第七条　验收</w:t>
      </w:r>
    </w:p>
    <w:p w14:paraId="37F08922">
      <w:pPr>
        <w:spacing w:line="400" w:lineRule="exact"/>
        <w:ind w:firstLine="480"/>
        <w:jc w:val="left"/>
        <w:rPr>
          <w:rFonts w:ascii="宋体" w:hAnsi="宋体"/>
          <w:color w:val="auto"/>
          <w:sz w:val="24"/>
          <w:highlight w:val="none"/>
        </w:rPr>
      </w:pPr>
      <w:r>
        <w:rPr>
          <w:rFonts w:hint="eastAsia" w:ascii="宋体" w:hAnsi="宋体"/>
          <w:bCs/>
          <w:color w:val="auto"/>
          <w:sz w:val="24"/>
          <w:highlight w:val="none"/>
          <w:lang w:val="zh-CN"/>
        </w:rPr>
        <w:t>验收标准：</w:t>
      </w:r>
      <w:r>
        <w:rPr>
          <w:rFonts w:hint="eastAsia" w:ascii="宋体" w:hAnsi="宋体"/>
          <w:color w:val="auto"/>
          <w:sz w:val="24"/>
          <w:highlight w:val="none"/>
          <w:lang w:val="zh-CN"/>
        </w:rPr>
        <w:t>按招标文件所规定的采购标准和乙方投标文件的承诺，</w:t>
      </w:r>
      <w:r>
        <w:rPr>
          <w:rFonts w:hint="eastAsia" w:ascii="宋体" w:hAnsi="宋体" w:cs="宋体"/>
          <w:color w:val="auto"/>
          <w:sz w:val="24"/>
          <w:szCs w:val="28"/>
          <w:highlight w:val="none"/>
        </w:rPr>
        <w:t>根据实际按照转发江苏省财政厅关于印发《江苏省政府采购履约验收管理办法》的通知（澄财购〔2025〕1 号）组织验收</w:t>
      </w:r>
      <w:r>
        <w:rPr>
          <w:rFonts w:hint="eastAsia" w:ascii="宋体" w:hAnsi="宋体"/>
          <w:color w:val="auto"/>
          <w:sz w:val="24"/>
          <w:highlight w:val="none"/>
          <w:lang w:val="zh-CN"/>
        </w:rPr>
        <w:t>，费用由</w:t>
      </w:r>
      <w:r>
        <w:rPr>
          <w:rFonts w:hint="eastAsia" w:ascii="宋体" w:hAnsi="宋体"/>
          <w:color w:val="auto"/>
          <w:sz w:val="24"/>
          <w:highlight w:val="none"/>
          <w:u w:val="single"/>
          <w:lang w:val="zh-CN"/>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zh-CN"/>
        </w:rPr>
        <w:t>承担。</w:t>
      </w:r>
    </w:p>
    <w:p w14:paraId="29699AFE">
      <w:pPr>
        <w:spacing w:line="400" w:lineRule="exact"/>
        <w:jc w:val="left"/>
        <w:rPr>
          <w:rFonts w:ascii="黑体" w:hAnsi="黑体" w:eastAsia="黑体"/>
          <w:bCs/>
          <w:i/>
          <w:iCs/>
          <w:color w:val="auto"/>
          <w:sz w:val="24"/>
          <w:highlight w:val="none"/>
          <w:lang w:val="zh-CN"/>
        </w:rPr>
      </w:pPr>
      <w:r>
        <w:rPr>
          <w:rFonts w:hint="eastAsia" w:ascii="黑体" w:hAnsi="黑体" w:eastAsia="黑体"/>
          <w:bCs/>
          <w:color w:val="auto"/>
          <w:sz w:val="24"/>
          <w:highlight w:val="none"/>
          <w:lang w:val="zh-CN"/>
        </w:rPr>
        <w:t>第八条　付款</w:t>
      </w:r>
    </w:p>
    <w:p w14:paraId="5B96B2DB">
      <w:pPr>
        <w:spacing w:line="400" w:lineRule="exact"/>
        <w:ind w:firstLine="420"/>
        <w:jc w:val="left"/>
        <w:rPr>
          <w:rFonts w:ascii="宋体" w:hAnsi="宋体"/>
          <w:color w:val="auto"/>
          <w:sz w:val="24"/>
          <w:highlight w:val="none"/>
          <w:lang w:val="zh-CN"/>
        </w:rPr>
      </w:pPr>
      <w:r>
        <w:rPr>
          <w:rFonts w:hint="eastAsia" w:ascii="宋体" w:hAnsi="宋体"/>
          <w:color w:val="auto"/>
          <w:sz w:val="24"/>
          <w:highlight w:val="none"/>
          <w:lang w:val="zh-CN"/>
        </w:rPr>
        <w:t>1、本合同项下所有款项均以人民币支付，乙方向甲方开具发票。</w:t>
      </w:r>
    </w:p>
    <w:p w14:paraId="1C1A1974">
      <w:pPr>
        <w:spacing w:line="400" w:lineRule="exact"/>
        <w:ind w:firstLine="420"/>
        <w:jc w:val="left"/>
        <w:rPr>
          <w:rFonts w:ascii="宋体" w:hAnsi="宋体"/>
          <w:color w:val="auto"/>
          <w:sz w:val="24"/>
          <w:highlight w:val="none"/>
          <w:u w:val="single"/>
        </w:rPr>
      </w:pPr>
      <w:r>
        <w:rPr>
          <w:rFonts w:hint="eastAsia" w:ascii="宋体" w:hAnsi="宋体"/>
          <w:color w:val="auto"/>
          <w:sz w:val="24"/>
          <w:highlight w:val="none"/>
          <w:lang w:val="zh-CN"/>
        </w:rPr>
        <w:t>2、付款方式：</w:t>
      </w:r>
      <w:r>
        <w:rPr>
          <w:rFonts w:hint="eastAsia" w:ascii="宋体" w:hAnsi="宋体"/>
          <w:color w:val="auto"/>
          <w:sz w:val="24"/>
          <w:highlight w:val="none"/>
          <w:u w:val="single"/>
          <w:lang w:val="zh-CN"/>
        </w:rPr>
        <w:t>　　　　　　　　　　　　　　　　　　　</w:t>
      </w:r>
    </w:p>
    <w:p w14:paraId="0B8DE2E0">
      <w:pPr>
        <w:spacing w:line="400" w:lineRule="exact"/>
        <w:jc w:val="lef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第九条　违约责任</w:t>
      </w:r>
    </w:p>
    <w:p w14:paraId="2F8D32FD">
      <w:pPr>
        <w:widowControl/>
        <w:spacing w:line="400" w:lineRule="exact"/>
        <w:ind w:firstLine="480"/>
        <w:jc w:val="left"/>
        <w:rPr>
          <w:rFonts w:ascii="宋体" w:hAnsi="宋体"/>
          <w:color w:val="auto"/>
          <w:sz w:val="24"/>
          <w:highlight w:val="none"/>
          <w:u w:val="single"/>
          <w:lang w:val="zh-CN"/>
        </w:rPr>
      </w:pPr>
      <w:r>
        <w:rPr>
          <w:rFonts w:hint="eastAsia" w:ascii="宋体" w:hAnsi="宋体" w:cs="宋体"/>
          <w:color w:val="auto"/>
          <w:sz w:val="24"/>
          <w:highlight w:val="none"/>
          <w:lang w:val="zh-CN"/>
        </w:rPr>
        <w:t>1、</w:t>
      </w:r>
      <w:r>
        <w:rPr>
          <w:rFonts w:hint="eastAsia" w:ascii="宋体" w:hAnsi="宋体"/>
          <w:color w:val="auto"/>
          <w:sz w:val="24"/>
          <w:highlight w:val="none"/>
          <w:u w:val="single"/>
          <w:lang w:val="zh-CN"/>
        </w:rPr>
        <w:t>　　　　　　　　　　　　　　　　　　　　　　　　　　　　　　　　　　</w:t>
      </w:r>
    </w:p>
    <w:p w14:paraId="7A4F47AE">
      <w:pPr>
        <w:widowControl/>
        <w:spacing w:line="400" w:lineRule="exact"/>
        <w:ind w:firstLine="480"/>
        <w:jc w:val="left"/>
        <w:rPr>
          <w:rFonts w:ascii="宋体" w:hAnsi="宋体"/>
          <w:color w:val="auto"/>
          <w:sz w:val="24"/>
          <w:highlight w:val="none"/>
          <w:u w:val="single"/>
          <w:lang w:val="zh-CN"/>
        </w:rPr>
      </w:pPr>
      <w:r>
        <w:rPr>
          <w:rFonts w:hint="eastAsia" w:ascii="宋体" w:hAnsi="宋体" w:cs="宋体"/>
          <w:color w:val="auto"/>
          <w:sz w:val="24"/>
          <w:highlight w:val="none"/>
          <w:lang w:val="zh-CN"/>
        </w:rPr>
        <w:t>2、</w:t>
      </w:r>
      <w:r>
        <w:rPr>
          <w:rFonts w:hint="eastAsia" w:ascii="宋体" w:hAnsi="宋体"/>
          <w:color w:val="auto"/>
          <w:sz w:val="24"/>
          <w:highlight w:val="none"/>
          <w:u w:val="single"/>
          <w:lang w:val="zh-CN"/>
        </w:rPr>
        <w:t>　　　　　　　　　　　　　　　　　　　　　　　　　　　　　　　　　　</w:t>
      </w:r>
    </w:p>
    <w:p w14:paraId="6329FCED">
      <w:pPr>
        <w:widowControl/>
        <w:spacing w:line="400" w:lineRule="exact"/>
        <w:ind w:firstLine="480"/>
        <w:jc w:val="left"/>
        <w:rPr>
          <w:rFonts w:ascii="宋体" w:hAnsi="宋体"/>
          <w:color w:val="auto"/>
          <w:sz w:val="24"/>
          <w:highlight w:val="none"/>
          <w:u w:val="single"/>
          <w:lang w:val="zh-CN"/>
        </w:rPr>
      </w:pPr>
      <w:r>
        <w:rPr>
          <w:rFonts w:hint="eastAsia" w:ascii="宋体" w:hAnsi="宋体" w:cs="宋体"/>
          <w:color w:val="auto"/>
          <w:sz w:val="24"/>
          <w:highlight w:val="none"/>
          <w:lang w:val="zh-CN"/>
        </w:rPr>
        <w:t>3、</w:t>
      </w:r>
      <w:r>
        <w:rPr>
          <w:rFonts w:hint="eastAsia" w:ascii="宋体" w:hAnsi="宋体"/>
          <w:color w:val="auto"/>
          <w:sz w:val="24"/>
          <w:highlight w:val="none"/>
          <w:u w:val="single"/>
          <w:lang w:val="zh-CN"/>
        </w:rPr>
        <w:t>　　　　　　　　　　　　　　　　　　　　　　　　　　　　　　　　　　</w:t>
      </w:r>
    </w:p>
    <w:p w14:paraId="11CB0760">
      <w:pPr>
        <w:widowControl/>
        <w:spacing w:line="400" w:lineRule="exact"/>
        <w:ind w:firstLine="480"/>
        <w:jc w:val="left"/>
        <w:rPr>
          <w:rFonts w:ascii="宋体" w:hAnsi="宋体"/>
          <w:color w:val="auto"/>
          <w:sz w:val="24"/>
          <w:highlight w:val="none"/>
          <w:u w:val="single"/>
          <w:lang w:val="zh-CN"/>
        </w:rPr>
      </w:pPr>
      <w:r>
        <w:rPr>
          <w:rFonts w:hint="eastAsia" w:ascii="宋体" w:hAnsi="宋体" w:cs="宋体"/>
          <w:color w:val="auto"/>
          <w:sz w:val="24"/>
          <w:highlight w:val="none"/>
          <w:lang w:val="zh-CN"/>
        </w:rPr>
        <w:t>4、</w:t>
      </w:r>
      <w:r>
        <w:rPr>
          <w:rFonts w:hint="eastAsia" w:ascii="宋体" w:hAnsi="宋体"/>
          <w:color w:val="auto"/>
          <w:sz w:val="24"/>
          <w:highlight w:val="none"/>
          <w:u w:val="single"/>
          <w:lang w:val="zh-CN"/>
        </w:rPr>
        <w:t>　　　　　　　　　　　　　　　　　　　　　　　　　　　　　　　　　　</w:t>
      </w:r>
    </w:p>
    <w:p w14:paraId="499815DD">
      <w:pPr>
        <w:widowControl/>
        <w:spacing w:line="400" w:lineRule="exact"/>
        <w:ind w:firstLine="480"/>
        <w:jc w:val="left"/>
        <w:rPr>
          <w:rFonts w:ascii="宋体" w:hAnsi="宋体"/>
          <w:color w:val="auto"/>
          <w:sz w:val="24"/>
          <w:highlight w:val="none"/>
          <w:u w:val="single"/>
          <w:lang w:val="zh-CN"/>
        </w:rPr>
      </w:pPr>
      <w:r>
        <w:rPr>
          <w:rFonts w:hint="eastAsia" w:ascii="宋体" w:hAnsi="宋体" w:cs="宋体"/>
          <w:color w:val="auto"/>
          <w:sz w:val="24"/>
          <w:highlight w:val="none"/>
          <w:lang w:val="zh-CN"/>
        </w:rPr>
        <w:t>5、</w:t>
      </w:r>
      <w:r>
        <w:rPr>
          <w:rFonts w:hint="eastAsia" w:ascii="宋体" w:hAnsi="宋体"/>
          <w:color w:val="auto"/>
          <w:sz w:val="24"/>
          <w:highlight w:val="none"/>
          <w:u w:val="single"/>
          <w:lang w:val="zh-CN"/>
        </w:rPr>
        <w:t>　　　　　　　　　　　　　　　　　　　　　　　　　　　　　　　　　　</w:t>
      </w:r>
    </w:p>
    <w:p w14:paraId="26F45007">
      <w:pPr>
        <w:widowControl/>
        <w:spacing w:line="400" w:lineRule="exact"/>
        <w:jc w:val="left"/>
        <w:rPr>
          <w:rFonts w:ascii="黑体" w:hAnsi="黑体" w:eastAsia="黑体" w:cs="宋体"/>
          <w:bCs/>
          <w:color w:val="auto"/>
          <w:sz w:val="24"/>
          <w:highlight w:val="none"/>
        </w:rPr>
      </w:pPr>
      <w:r>
        <w:rPr>
          <w:rFonts w:hint="eastAsia" w:ascii="黑体" w:hAnsi="黑体" w:eastAsia="黑体" w:cs="宋体"/>
          <w:bCs/>
          <w:color w:val="auto"/>
          <w:sz w:val="24"/>
          <w:highlight w:val="none"/>
          <w:lang w:val="zh-CN"/>
        </w:rPr>
        <w:t>第十条　</w:t>
      </w:r>
      <w:r>
        <w:rPr>
          <w:rFonts w:hint="eastAsia" w:ascii="黑体" w:hAnsi="黑体" w:eastAsia="黑体" w:cs="宋体"/>
          <w:bCs/>
          <w:color w:val="auto"/>
          <w:sz w:val="24"/>
          <w:highlight w:val="none"/>
        </w:rPr>
        <w:t>不可抗力</w:t>
      </w:r>
    </w:p>
    <w:p w14:paraId="271C827D">
      <w:pPr>
        <w:widowControl/>
        <w:spacing w:line="400" w:lineRule="exact"/>
        <w:ind w:firstLine="480"/>
        <w:jc w:val="left"/>
        <w:rPr>
          <w:rFonts w:ascii="宋体" w:hAnsi="宋体" w:cs="宋体"/>
          <w:bCs/>
          <w:color w:val="auto"/>
          <w:sz w:val="24"/>
          <w:highlight w:val="none"/>
        </w:rPr>
      </w:pPr>
      <w:r>
        <w:rPr>
          <w:rFonts w:hint="eastAsia" w:ascii="宋体" w:hAnsi="宋体" w:cs="宋体"/>
          <w:bCs/>
          <w:color w:val="auto"/>
          <w:sz w:val="24"/>
          <w:highlight w:val="none"/>
        </w:rPr>
        <w:t>1、不可抗力，是指不能预见、不能避免并不能克服的客观情况，如战争、动乱、瘟疫、严重火灾、洪水、地震、风暴或其他自然灾害等。</w:t>
      </w:r>
    </w:p>
    <w:p w14:paraId="07DD0C0E">
      <w:pPr>
        <w:widowControl/>
        <w:spacing w:line="400" w:lineRule="exact"/>
        <w:ind w:firstLine="480"/>
        <w:jc w:val="left"/>
        <w:rPr>
          <w:rFonts w:ascii="宋体" w:hAnsi="宋体" w:cs="宋体"/>
          <w:bCs/>
          <w:color w:val="auto"/>
          <w:sz w:val="24"/>
          <w:highlight w:val="none"/>
        </w:rPr>
      </w:pPr>
      <w:r>
        <w:rPr>
          <w:rFonts w:hint="eastAsia" w:ascii="宋体" w:hAnsi="宋体" w:cs="宋体"/>
          <w:bCs/>
          <w:color w:val="auto"/>
          <w:sz w:val="24"/>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E8BA819">
      <w:pPr>
        <w:widowControl/>
        <w:spacing w:line="400" w:lineRule="exact"/>
        <w:ind w:firstLine="480"/>
        <w:jc w:val="left"/>
        <w:rPr>
          <w:rFonts w:ascii="宋体" w:hAnsi="宋体" w:cs="宋体"/>
          <w:bCs/>
          <w:color w:val="auto"/>
          <w:sz w:val="24"/>
          <w:highlight w:val="none"/>
        </w:rPr>
      </w:pPr>
      <w:r>
        <w:rPr>
          <w:rFonts w:hint="eastAsia" w:ascii="宋体" w:hAnsi="宋体" w:cs="宋体"/>
          <w:bCs/>
          <w:color w:val="auto"/>
          <w:sz w:val="24"/>
          <w:highlight w:val="none"/>
        </w:rPr>
        <w:t>3、发生不可抗力事件，任何一方均不对因不可抗力无法履行或迟延履行本合同义务而使另一方蒙受的任何损失承担责任，法律另有规定的除外。</w:t>
      </w:r>
    </w:p>
    <w:p w14:paraId="2ABC4B73">
      <w:pPr>
        <w:widowControl/>
        <w:spacing w:line="400" w:lineRule="exact"/>
        <w:ind w:firstLine="480"/>
        <w:jc w:val="left"/>
        <w:rPr>
          <w:rFonts w:ascii="宋体" w:hAnsi="宋体" w:cs="宋体"/>
          <w:bCs/>
          <w:color w:val="auto"/>
          <w:sz w:val="24"/>
          <w:highlight w:val="none"/>
        </w:rPr>
      </w:pPr>
      <w:r>
        <w:rPr>
          <w:rFonts w:hint="eastAsia" w:ascii="宋体" w:hAnsi="宋体" w:cs="宋体"/>
          <w:bCs/>
          <w:color w:val="auto"/>
          <w:sz w:val="24"/>
          <w:highlight w:val="none"/>
        </w:rPr>
        <w:t>4、合同各方应根据不可抗力对本合同履行的影响程度，协商确定是否终止本合同或是继续履行本合同。</w:t>
      </w:r>
    </w:p>
    <w:p w14:paraId="2ACF4869">
      <w:pPr>
        <w:widowControl/>
        <w:spacing w:line="400" w:lineRule="exact"/>
        <w:jc w:val="left"/>
        <w:rPr>
          <w:rFonts w:ascii="黑体" w:hAnsi="黑体" w:eastAsia="黑体" w:cs="宋体"/>
          <w:bCs/>
          <w:color w:val="auto"/>
          <w:sz w:val="24"/>
          <w:highlight w:val="none"/>
          <w:lang w:val="zh-CN"/>
        </w:rPr>
      </w:pPr>
      <w:r>
        <w:rPr>
          <w:rFonts w:hint="eastAsia" w:ascii="黑体" w:hAnsi="黑体" w:eastAsia="黑体" w:cs="宋体"/>
          <w:color w:val="auto"/>
          <w:sz w:val="24"/>
          <w:highlight w:val="none"/>
        </w:rPr>
        <w:t>第十一条　</w:t>
      </w:r>
      <w:r>
        <w:rPr>
          <w:rFonts w:hint="eastAsia" w:ascii="黑体" w:hAnsi="黑体" w:eastAsia="黑体" w:cs="宋体"/>
          <w:bCs/>
          <w:color w:val="auto"/>
          <w:sz w:val="24"/>
          <w:highlight w:val="none"/>
          <w:lang w:val="zh-CN"/>
        </w:rPr>
        <w:t>合同的变更和终止</w:t>
      </w:r>
    </w:p>
    <w:p w14:paraId="404AAE58">
      <w:pPr>
        <w:widowControl/>
        <w:spacing w:line="400" w:lineRule="exact"/>
        <w:ind w:firstLine="480"/>
        <w:jc w:val="left"/>
        <w:rPr>
          <w:rFonts w:ascii="宋体" w:hAnsi="宋体" w:cs="宋体"/>
          <w:color w:val="auto"/>
          <w:sz w:val="24"/>
          <w:highlight w:val="none"/>
          <w:lang w:val="zh-CN"/>
        </w:rPr>
      </w:pPr>
      <w:r>
        <w:rPr>
          <w:rFonts w:hint="eastAsia" w:ascii="宋体" w:hAnsi="宋体"/>
          <w:color w:val="auto"/>
          <w:sz w:val="24"/>
          <w:highlight w:val="none"/>
          <w:lang w:val="zh-CN"/>
        </w:rPr>
        <w:t>1</w:t>
      </w:r>
      <w:r>
        <w:rPr>
          <w:rFonts w:hint="eastAsia" w:ascii="宋体" w:hAnsi="宋体" w:cs="宋体"/>
          <w:color w:val="auto"/>
          <w:sz w:val="24"/>
          <w:highlight w:val="none"/>
          <w:lang w:val="zh-CN"/>
        </w:rPr>
        <w:t>、除《政府采购法》第</w:t>
      </w:r>
      <w:r>
        <w:rPr>
          <w:rFonts w:hint="eastAsia" w:ascii="宋体" w:hAnsi="宋体"/>
          <w:color w:val="auto"/>
          <w:sz w:val="24"/>
          <w:highlight w:val="none"/>
          <w:lang w:val="zh-CN"/>
        </w:rPr>
        <w:t>五十</w:t>
      </w:r>
      <w:r>
        <w:rPr>
          <w:rFonts w:hint="eastAsia" w:ascii="宋体" w:hAnsi="宋体" w:cs="宋体"/>
          <w:color w:val="auto"/>
          <w:sz w:val="24"/>
          <w:highlight w:val="none"/>
          <w:lang w:val="zh-CN"/>
        </w:rPr>
        <w:t>条规定的情形外，本合同一经签订，甲乙双方不得擅自变更、中止或终止合同。</w:t>
      </w:r>
    </w:p>
    <w:p w14:paraId="653CFE09">
      <w:pPr>
        <w:widowControl/>
        <w:spacing w:line="400" w:lineRule="exact"/>
        <w:ind w:firstLine="480"/>
        <w:jc w:val="left"/>
        <w:rPr>
          <w:rFonts w:ascii="宋体" w:hAnsi="宋体" w:cs="宋体"/>
          <w:color w:val="auto"/>
          <w:sz w:val="24"/>
          <w:highlight w:val="none"/>
        </w:rPr>
      </w:pPr>
      <w:r>
        <w:rPr>
          <w:rFonts w:hint="eastAsia" w:ascii="宋体" w:hAnsi="宋体"/>
          <w:color w:val="auto"/>
          <w:sz w:val="24"/>
          <w:highlight w:val="none"/>
          <w:lang w:val="zh-CN"/>
        </w:rPr>
        <w:t>2</w:t>
      </w:r>
      <w:r>
        <w:rPr>
          <w:rFonts w:hint="eastAsia" w:ascii="宋体" w:hAnsi="宋体" w:cs="宋体"/>
          <w:color w:val="auto"/>
          <w:sz w:val="24"/>
          <w:highlight w:val="none"/>
          <w:lang w:val="zh-CN"/>
        </w:rPr>
        <w:t>、</w:t>
      </w:r>
      <w:r>
        <w:rPr>
          <w:rFonts w:hint="eastAsia" w:ascii="宋体" w:hAnsi="宋体" w:cs="宋体"/>
          <w:color w:val="auto"/>
          <w:sz w:val="24"/>
          <w:highlight w:val="none"/>
        </w:rPr>
        <w:t>除发生法律规定的不能预见、不能避免并不能克服的客观情况外，甲乙双方不得放弃或拒绝履行合同。</w:t>
      </w:r>
    </w:p>
    <w:p w14:paraId="57A7F71F">
      <w:pPr>
        <w:widowControl/>
        <w:spacing w:line="400" w:lineRule="exact"/>
        <w:jc w:val="left"/>
        <w:rPr>
          <w:rFonts w:ascii="黑体" w:hAnsi="黑体" w:eastAsia="黑体" w:cs="宋体"/>
          <w:color w:val="auto"/>
          <w:sz w:val="24"/>
          <w:highlight w:val="none"/>
        </w:rPr>
      </w:pPr>
      <w:r>
        <w:rPr>
          <w:rFonts w:hint="eastAsia" w:ascii="黑体" w:hAnsi="黑体" w:eastAsia="黑体" w:cs="宋体"/>
          <w:color w:val="auto"/>
          <w:sz w:val="24"/>
          <w:highlight w:val="none"/>
        </w:rPr>
        <w:t>第十二条  合同的终止</w:t>
      </w:r>
    </w:p>
    <w:p w14:paraId="40B36894">
      <w:pPr>
        <w:widowControl/>
        <w:spacing w:line="400" w:lineRule="exact"/>
        <w:ind w:firstLine="480"/>
        <w:jc w:val="left"/>
        <w:rPr>
          <w:rFonts w:ascii="宋体" w:hAnsi="宋体" w:cs="宋体"/>
          <w:color w:val="auto"/>
          <w:sz w:val="24"/>
          <w:highlight w:val="none"/>
        </w:rPr>
      </w:pPr>
      <w:r>
        <w:rPr>
          <w:rFonts w:hint="eastAsia" w:ascii="宋体" w:hAnsi="宋体" w:cs="宋体"/>
          <w:color w:val="auto"/>
          <w:sz w:val="24"/>
          <w:highlight w:val="none"/>
        </w:rPr>
        <w:t>本合同因下列原因而终止：</w:t>
      </w:r>
    </w:p>
    <w:p w14:paraId="63608336">
      <w:pPr>
        <w:widowControl/>
        <w:spacing w:line="400" w:lineRule="exact"/>
        <w:ind w:firstLine="480"/>
        <w:jc w:val="left"/>
        <w:rPr>
          <w:rFonts w:ascii="宋体" w:hAnsi="宋体" w:cs="宋体"/>
          <w:color w:val="auto"/>
          <w:sz w:val="24"/>
          <w:highlight w:val="none"/>
        </w:rPr>
      </w:pPr>
      <w:r>
        <w:rPr>
          <w:rFonts w:hint="eastAsia" w:ascii="宋体" w:hAnsi="宋体" w:cs="宋体"/>
          <w:color w:val="auto"/>
          <w:sz w:val="24"/>
          <w:highlight w:val="none"/>
        </w:rPr>
        <w:t>（1）本合同正常履行完毕；</w:t>
      </w:r>
    </w:p>
    <w:p w14:paraId="4872A2A6">
      <w:pPr>
        <w:widowControl/>
        <w:spacing w:line="400" w:lineRule="exact"/>
        <w:ind w:firstLine="480"/>
        <w:jc w:val="left"/>
        <w:rPr>
          <w:rFonts w:ascii="宋体" w:hAnsi="宋体" w:cs="宋体"/>
          <w:color w:val="auto"/>
          <w:sz w:val="24"/>
          <w:highlight w:val="none"/>
        </w:rPr>
      </w:pPr>
      <w:r>
        <w:rPr>
          <w:rFonts w:hint="eastAsia" w:ascii="宋体" w:hAnsi="宋体" w:cs="宋体"/>
          <w:color w:val="auto"/>
          <w:sz w:val="24"/>
          <w:highlight w:val="none"/>
        </w:rPr>
        <w:t>（2）因不可抗力导致本合同无法履行或履行不必要；</w:t>
      </w:r>
    </w:p>
    <w:p w14:paraId="5A615E9C">
      <w:pPr>
        <w:widowControl/>
        <w:spacing w:line="400" w:lineRule="exact"/>
        <w:ind w:firstLine="480"/>
        <w:jc w:val="left"/>
        <w:rPr>
          <w:rFonts w:ascii="宋体" w:hAnsi="宋体" w:cs="宋体"/>
          <w:color w:val="auto"/>
          <w:sz w:val="24"/>
          <w:highlight w:val="none"/>
        </w:rPr>
      </w:pPr>
      <w:r>
        <w:rPr>
          <w:rFonts w:hint="eastAsia" w:ascii="宋体" w:hAnsi="宋体" w:cs="宋体"/>
          <w:color w:val="auto"/>
          <w:sz w:val="24"/>
          <w:highlight w:val="none"/>
        </w:rPr>
        <w:t>（3）任何一方行使解除权解除本合同；</w:t>
      </w:r>
    </w:p>
    <w:p w14:paraId="705908B5">
      <w:pPr>
        <w:widowControl/>
        <w:spacing w:line="400" w:lineRule="exact"/>
        <w:ind w:firstLine="480"/>
        <w:jc w:val="left"/>
        <w:rPr>
          <w:rFonts w:ascii="宋体" w:hAnsi="宋体" w:cs="宋体"/>
          <w:color w:val="auto"/>
          <w:sz w:val="24"/>
          <w:highlight w:val="none"/>
        </w:rPr>
      </w:pPr>
      <w:r>
        <w:rPr>
          <w:rFonts w:hint="eastAsia" w:ascii="宋体" w:hAnsi="宋体" w:cs="宋体"/>
          <w:color w:val="auto"/>
          <w:sz w:val="24"/>
          <w:highlight w:val="none"/>
        </w:rPr>
        <w:t>（4）合同的继续履行将损害国家利益和社会公共利益。</w:t>
      </w:r>
    </w:p>
    <w:p w14:paraId="780FFD22">
      <w:pPr>
        <w:widowControl/>
        <w:spacing w:line="400" w:lineRule="exact"/>
        <w:ind w:firstLine="480"/>
        <w:jc w:val="left"/>
        <w:rPr>
          <w:rFonts w:ascii="宋体" w:hAnsi="宋体" w:cs="宋体"/>
          <w:color w:val="auto"/>
          <w:sz w:val="24"/>
          <w:highlight w:val="none"/>
        </w:rPr>
      </w:pPr>
      <w:r>
        <w:rPr>
          <w:rFonts w:hint="eastAsia" w:ascii="宋体" w:hAnsi="宋体" w:cs="宋体"/>
          <w:color w:val="auto"/>
          <w:sz w:val="24"/>
          <w:highlight w:val="none"/>
        </w:rPr>
        <w:t>除上述情形外，甲乙双方不得擅自终止合同。</w:t>
      </w:r>
    </w:p>
    <w:p w14:paraId="3FF453E4">
      <w:pPr>
        <w:widowControl/>
        <w:spacing w:line="400" w:lineRule="exact"/>
        <w:jc w:val="left"/>
        <w:rPr>
          <w:rFonts w:ascii="黑体" w:hAnsi="黑体" w:eastAsia="黑体" w:cs="宋体"/>
          <w:bCs/>
          <w:color w:val="auto"/>
          <w:sz w:val="24"/>
          <w:highlight w:val="none"/>
          <w:lang w:val="zh-CN"/>
        </w:rPr>
      </w:pPr>
      <w:r>
        <w:rPr>
          <w:rFonts w:hint="eastAsia" w:ascii="黑体" w:hAnsi="黑体" w:eastAsia="黑体" w:cs="宋体"/>
          <w:bCs/>
          <w:color w:val="auto"/>
          <w:sz w:val="24"/>
          <w:highlight w:val="none"/>
          <w:lang w:val="zh-CN"/>
        </w:rPr>
        <w:t>第十三条　争议的解决</w:t>
      </w:r>
    </w:p>
    <w:p w14:paraId="220405ED">
      <w:pPr>
        <w:widowControl/>
        <w:spacing w:line="400" w:lineRule="exact"/>
        <w:ind w:firstLine="480"/>
        <w:jc w:val="left"/>
        <w:rPr>
          <w:rFonts w:ascii="宋体" w:hAnsi="宋体" w:cs="宋体"/>
          <w:color w:val="auto"/>
          <w:sz w:val="24"/>
          <w:highlight w:val="none"/>
          <w:lang w:val="zh-CN"/>
        </w:rPr>
      </w:pPr>
      <w:r>
        <w:rPr>
          <w:rFonts w:hint="eastAsia" w:ascii="宋体" w:hAnsi="宋体" w:cs="宋体"/>
          <w:color w:val="auto"/>
          <w:sz w:val="24"/>
          <w:highlight w:val="none"/>
          <w:lang w:val="zh-CN"/>
        </w:rPr>
        <w:t>1、因货物的质量问题发生争议的，应当邀请国家认可的质量检测机构对货物质量进行鉴定。货物符合标准的，鉴定费由甲方承担；货物不符合质量标准的，鉴定费由乙方承担。</w:t>
      </w:r>
    </w:p>
    <w:p w14:paraId="558C98A1">
      <w:pPr>
        <w:widowControl/>
        <w:spacing w:line="400" w:lineRule="exact"/>
        <w:ind w:firstLine="480"/>
        <w:jc w:val="left"/>
        <w:rPr>
          <w:rFonts w:ascii="宋体" w:hAnsi="宋体" w:cs="宋体"/>
          <w:color w:val="auto"/>
          <w:sz w:val="24"/>
          <w:highlight w:val="none"/>
          <w:lang w:val="zh-CN"/>
        </w:rPr>
      </w:pPr>
      <w:r>
        <w:rPr>
          <w:rFonts w:hint="eastAsia" w:ascii="宋体" w:hAnsi="宋体" w:cs="宋体"/>
          <w:color w:val="auto"/>
          <w:sz w:val="24"/>
          <w:highlight w:val="none"/>
          <w:lang w:val="zh-CN"/>
        </w:rPr>
        <w:t>2、因履行本合同引起的或与本合同有关的争议，甲、乙双方应首先通过友好协商解决，如果协商不能解决争议，则采取以下2种方式解决争议：</w:t>
      </w:r>
    </w:p>
    <w:p w14:paraId="3FF62CD7">
      <w:pPr>
        <w:widowControl/>
        <w:spacing w:line="400" w:lineRule="exact"/>
        <w:ind w:firstLine="480"/>
        <w:jc w:val="left"/>
        <w:rPr>
          <w:rFonts w:ascii="宋体" w:hAnsi="宋体" w:cs="宋体"/>
          <w:color w:val="auto"/>
          <w:sz w:val="24"/>
          <w:highlight w:val="none"/>
          <w:lang w:val="zh-CN"/>
        </w:rPr>
      </w:pPr>
      <w:r>
        <w:rPr>
          <w:rFonts w:hint="eastAsia" w:ascii="宋体" w:hAnsi="宋体" w:cs="宋体"/>
          <w:color w:val="auto"/>
          <w:sz w:val="24"/>
          <w:highlight w:val="none"/>
          <w:lang w:val="zh-CN"/>
        </w:rPr>
        <w:t>（1）向甲方所在地有管辖权的人民法院提起诉讼；</w:t>
      </w:r>
    </w:p>
    <w:p w14:paraId="6C61DEE6">
      <w:pPr>
        <w:widowControl/>
        <w:spacing w:line="400" w:lineRule="exact"/>
        <w:ind w:firstLine="480"/>
        <w:jc w:val="left"/>
        <w:rPr>
          <w:rFonts w:ascii="宋体" w:hAnsi="宋体" w:cs="宋体"/>
          <w:color w:val="auto"/>
          <w:sz w:val="24"/>
          <w:highlight w:val="none"/>
          <w:lang w:val="zh-CN"/>
        </w:rPr>
      </w:pPr>
      <w:r>
        <w:rPr>
          <w:rFonts w:hint="eastAsia" w:ascii="宋体" w:hAnsi="宋体" w:cs="宋体"/>
          <w:color w:val="auto"/>
          <w:sz w:val="24"/>
          <w:highlight w:val="none"/>
          <w:lang w:val="zh-CN"/>
        </w:rPr>
        <w:t>（2）向甲方所在地仲裁委员会按其仲裁规则申请仲裁。</w:t>
      </w:r>
    </w:p>
    <w:p w14:paraId="53A2FB8D">
      <w:pPr>
        <w:widowControl/>
        <w:spacing w:line="400" w:lineRule="exact"/>
        <w:ind w:firstLine="420"/>
        <w:jc w:val="left"/>
        <w:rPr>
          <w:rFonts w:ascii="宋体" w:hAnsi="宋体" w:cs="宋体"/>
          <w:color w:val="auto"/>
          <w:sz w:val="24"/>
          <w:highlight w:val="none"/>
          <w:lang w:val="zh-CN"/>
        </w:rPr>
      </w:pPr>
      <w:r>
        <w:rPr>
          <w:rFonts w:hint="eastAsia" w:ascii="宋体" w:hAnsi="宋体" w:cs="宋体"/>
          <w:color w:val="auto"/>
          <w:sz w:val="24"/>
          <w:highlight w:val="none"/>
          <w:lang w:val="zh-CN"/>
        </w:rPr>
        <w:t>3、在仲裁期间，本合同应继续履行。</w:t>
      </w:r>
    </w:p>
    <w:p w14:paraId="256A1593">
      <w:pPr>
        <w:widowControl/>
        <w:spacing w:line="400" w:lineRule="exact"/>
        <w:jc w:val="left"/>
        <w:rPr>
          <w:rFonts w:ascii="黑体" w:hAnsi="黑体" w:eastAsia="黑体" w:cs="宋体"/>
          <w:bCs/>
          <w:color w:val="auto"/>
          <w:sz w:val="24"/>
          <w:highlight w:val="none"/>
          <w:lang w:val="zh-CN"/>
        </w:rPr>
      </w:pPr>
      <w:r>
        <w:rPr>
          <w:rFonts w:hint="eastAsia" w:ascii="黑体" w:hAnsi="黑体" w:eastAsia="黑体" w:cs="宋体"/>
          <w:bCs/>
          <w:color w:val="auto"/>
          <w:sz w:val="24"/>
          <w:highlight w:val="none"/>
          <w:lang w:val="zh-CN"/>
        </w:rPr>
        <w:t>第十四条　合同生效及其他</w:t>
      </w:r>
    </w:p>
    <w:p w14:paraId="5CDA0DAA">
      <w:pPr>
        <w:widowControl/>
        <w:spacing w:line="400" w:lineRule="exact"/>
        <w:ind w:firstLine="420"/>
        <w:jc w:val="left"/>
        <w:rPr>
          <w:rFonts w:ascii="宋体" w:hAnsi="宋体" w:cs="宋体"/>
          <w:color w:val="auto"/>
          <w:sz w:val="24"/>
          <w:highlight w:val="none"/>
        </w:rPr>
      </w:pPr>
      <w:r>
        <w:rPr>
          <w:rFonts w:hint="eastAsia" w:ascii="宋体" w:hAnsi="宋体" w:cs="宋体"/>
          <w:color w:val="auto"/>
          <w:sz w:val="24"/>
          <w:highlight w:val="none"/>
          <w:lang w:val="zh-CN"/>
        </w:rPr>
        <w:t>1、</w:t>
      </w:r>
      <w:r>
        <w:rPr>
          <w:rFonts w:hint="eastAsia" w:ascii="宋体" w:hAnsi="宋体" w:cs="宋体"/>
          <w:color w:val="auto"/>
          <w:sz w:val="24"/>
          <w:highlight w:val="none"/>
        </w:rPr>
        <w:t>本合同由甲乙双方签字、盖章，并经采购代理机构见证。</w:t>
      </w:r>
    </w:p>
    <w:p w14:paraId="0340C009">
      <w:pPr>
        <w:widowControl/>
        <w:spacing w:line="400" w:lineRule="exact"/>
        <w:ind w:firstLine="420"/>
        <w:jc w:val="left"/>
        <w:rPr>
          <w:rFonts w:ascii="宋体" w:hAnsi="宋体" w:cs="宋体"/>
          <w:color w:val="auto"/>
          <w:sz w:val="24"/>
          <w:highlight w:val="none"/>
          <w:lang w:val="zh-CN"/>
        </w:rPr>
      </w:pPr>
      <w:r>
        <w:rPr>
          <w:rFonts w:hint="eastAsia" w:ascii="宋体" w:hAnsi="宋体" w:cs="宋体"/>
          <w:color w:val="auto"/>
          <w:sz w:val="24"/>
          <w:highlight w:val="none"/>
          <w:lang w:val="zh-CN"/>
        </w:rPr>
        <w:t>2、本合同一式五份，甲方、乙方各执二份，采购代理机构执一份。</w:t>
      </w:r>
    </w:p>
    <w:p w14:paraId="2CDFA017">
      <w:pPr>
        <w:widowControl/>
        <w:spacing w:line="400" w:lineRule="exact"/>
        <w:ind w:firstLine="420"/>
        <w:jc w:val="left"/>
        <w:rPr>
          <w:rFonts w:ascii="宋体" w:hAnsi="宋体" w:cs="宋体"/>
          <w:color w:val="auto"/>
          <w:sz w:val="24"/>
          <w:highlight w:val="none"/>
          <w:lang w:val="zh-CN"/>
        </w:rPr>
      </w:pPr>
      <w:r>
        <w:rPr>
          <w:rFonts w:hint="eastAsia" w:ascii="宋体" w:hAnsi="宋体" w:cs="宋体"/>
          <w:color w:val="auto"/>
          <w:sz w:val="24"/>
          <w:highlight w:val="none"/>
          <w:lang w:val="zh-CN"/>
        </w:rPr>
        <w:t>3、本合同应按照中华人民共和国的现行法律进行解释。</w:t>
      </w:r>
    </w:p>
    <w:p w14:paraId="6E497C63">
      <w:pPr>
        <w:spacing w:line="360" w:lineRule="exact"/>
        <w:rPr>
          <w:rFonts w:ascii="宋体" w:hAnsi="宋体"/>
          <w:bCs/>
          <w:color w:val="auto"/>
          <w:sz w:val="24"/>
          <w:highlight w:val="none"/>
        </w:rPr>
      </w:pPr>
    </w:p>
    <w:p w14:paraId="4B0F5E76">
      <w:pPr>
        <w:spacing w:line="360" w:lineRule="exact"/>
        <w:rPr>
          <w:rFonts w:ascii="宋体" w:hAnsi="宋体"/>
          <w:bCs/>
          <w:color w:val="auto"/>
          <w:sz w:val="24"/>
          <w:highlight w:val="none"/>
        </w:rPr>
      </w:pPr>
    </w:p>
    <w:p w14:paraId="49C7E104">
      <w:pPr>
        <w:spacing w:line="360" w:lineRule="exact"/>
        <w:rPr>
          <w:rFonts w:ascii="宋体" w:hAnsi="宋体"/>
          <w:bCs/>
          <w:color w:val="auto"/>
          <w:sz w:val="24"/>
          <w:highlight w:val="none"/>
        </w:rPr>
      </w:pPr>
    </w:p>
    <w:tbl>
      <w:tblPr>
        <w:tblStyle w:val="34"/>
        <w:tblW w:w="9356" w:type="dxa"/>
        <w:jc w:val="center"/>
        <w:tblLayout w:type="fixed"/>
        <w:tblCellMar>
          <w:top w:w="0" w:type="dxa"/>
          <w:left w:w="108" w:type="dxa"/>
          <w:bottom w:w="0" w:type="dxa"/>
          <w:right w:w="108" w:type="dxa"/>
        </w:tblCellMar>
      </w:tblPr>
      <w:tblGrid>
        <w:gridCol w:w="4536"/>
        <w:gridCol w:w="284"/>
        <w:gridCol w:w="4536"/>
      </w:tblGrid>
      <w:tr w14:paraId="3EFA46C1">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594C60AB">
            <w:pPr>
              <w:spacing w:line="360" w:lineRule="exact"/>
              <w:rPr>
                <w:rFonts w:ascii="宋体" w:hAnsi="宋体"/>
                <w:bCs/>
                <w:color w:val="auto"/>
                <w:sz w:val="24"/>
                <w:highlight w:val="none"/>
                <w:u w:val="single"/>
              </w:rPr>
            </w:pPr>
            <w:r>
              <w:rPr>
                <w:rFonts w:hint="eastAsia" w:ascii="宋体" w:hAnsi="宋体"/>
                <w:bCs/>
                <w:color w:val="auto"/>
                <w:sz w:val="24"/>
                <w:highlight w:val="none"/>
              </w:rPr>
              <w:t>甲方（采购单位）：</w:t>
            </w:r>
            <w:r>
              <w:rPr>
                <w:rFonts w:hint="eastAsia" w:ascii="宋体" w:hAnsi="宋体"/>
                <w:bCs/>
                <w:color w:val="auto"/>
                <w:sz w:val="24"/>
                <w:highlight w:val="none"/>
                <w:u w:val="single"/>
              </w:rPr>
              <w:t>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（盖章）</w:t>
            </w:r>
          </w:p>
        </w:tc>
        <w:tc>
          <w:tcPr>
            <w:tcW w:w="284" w:type="dxa"/>
            <w:tcBorders>
              <w:top w:val="nil"/>
              <w:left w:val="nil"/>
              <w:bottom w:val="nil"/>
              <w:right w:val="nil"/>
            </w:tcBorders>
            <w:noWrap w:val="0"/>
            <w:vAlign w:val="top"/>
          </w:tcPr>
          <w:p w14:paraId="51D14754">
            <w:pPr>
              <w:spacing w:line="360" w:lineRule="exact"/>
              <w:rPr>
                <w:rFonts w:ascii="宋体" w:hAnsi="宋体"/>
                <w:color w:val="auto"/>
                <w:sz w:val="24"/>
                <w:highlight w:val="none"/>
              </w:rPr>
            </w:pPr>
          </w:p>
        </w:tc>
        <w:tc>
          <w:tcPr>
            <w:tcW w:w="4536" w:type="dxa"/>
            <w:tcBorders>
              <w:top w:val="nil"/>
              <w:left w:val="nil"/>
              <w:bottom w:val="nil"/>
              <w:right w:val="nil"/>
            </w:tcBorders>
            <w:noWrap w:val="0"/>
            <w:vAlign w:val="top"/>
          </w:tcPr>
          <w:p w14:paraId="3E80A3AF">
            <w:pPr>
              <w:spacing w:line="360" w:lineRule="exact"/>
              <w:rPr>
                <w:rFonts w:ascii="宋体" w:hAnsi="宋体"/>
                <w:color w:val="auto"/>
                <w:sz w:val="24"/>
                <w:highlight w:val="none"/>
              </w:rPr>
            </w:pPr>
            <w:r>
              <w:rPr>
                <w:rFonts w:hint="eastAsia" w:ascii="宋体" w:hAnsi="宋体"/>
                <w:bCs/>
                <w:color w:val="auto"/>
                <w:sz w:val="24"/>
                <w:highlight w:val="none"/>
              </w:rPr>
              <w:t>乙方（中标单位）：</w:t>
            </w:r>
            <w:r>
              <w:rPr>
                <w:rFonts w:hint="eastAsia" w:ascii="宋体" w:hAnsi="宋体"/>
                <w:bCs/>
                <w:color w:val="auto"/>
                <w:sz w:val="24"/>
                <w:highlight w:val="none"/>
                <w:u w:val="single"/>
              </w:rPr>
              <w:t>　</w:t>
            </w:r>
            <w:r>
              <w:rPr>
                <w:rFonts w:hint="eastAsia" w:ascii="宋体" w:hAnsi="宋体"/>
                <w:bCs/>
                <w:color w:val="auto"/>
                <w:sz w:val="24"/>
                <w:highlight w:val="none"/>
              </w:rPr>
              <w:t>（盖章）</w:t>
            </w:r>
          </w:p>
        </w:tc>
      </w:tr>
      <w:tr w14:paraId="0B235C91">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3B2765DE">
            <w:pPr>
              <w:spacing w:line="360" w:lineRule="exact"/>
              <w:rPr>
                <w:rFonts w:ascii="宋体" w:hAnsi="宋体"/>
                <w:color w:val="auto"/>
                <w:sz w:val="24"/>
                <w:highlight w:val="none"/>
              </w:rPr>
            </w:pPr>
            <w:r>
              <w:rPr>
                <w:rFonts w:hint="eastAsia" w:ascii="宋体" w:hAnsi="宋体"/>
                <w:bCs/>
                <w:color w:val="auto"/>
                <w:sz w:val="24"/>
                <w:highlight w:val="none"/>
              </w:rPr>
              <w:t>地址：</w:t>
            </w:r>
            <w:r>
              <w:rPr>
                <w:rFonts w:hint="eastAsia" w:ascii="宋体" w:hAnsi="宋体"/>
                <w:bCs/>
                <w:color w:val="auto"/>
                <w:sz w:val="24"/>
                <w:highlight w:val="none"/>
                <w:u w:val="single"/>
              </w:rPr>
              <w:t>　　　　　　　　　　　　　　　</w:t>
            </w:r>
          </w:p>
        </w:tc>
        <w:tc>
          <w:tcPr>
            <w:tcW w:w="284" w:type="dxa"/>
            <w:tcBorders>
              <w:top w:val="nil"/>
              <w:left w:val="nil"/>
              <w:bottom w:val="nil"/>
              <w:right w:val="nil"/>
            </w:tcBorders>
            <w:noWrap w:val="0"/>
            <w:vAlign w:val="top"/>
          </w:tcPr>
          <w:p w14:paraId="66C9CCE1">
            <w:pPr>
              <w:spacing w:line="360" w:lineRule="exact"/>
              <w:rPr>
                <w:rFonts w:ascii="宋体" w:hAnsi="宋体"/>
                <w:color w:val="auto"/>
                <w:sz w:val="24"/>
                <w:highlight w:val="none"/>
              </w:rPr>
            </w:pPr>
          </w:p>
        </w:tc>
        <w:tc>
          <w:tcPr>
            <w:tcW w:w="4536" w:type="dxa"/>
            <w:tcBorders>
              <w:top w:val="nil"/>
              <w:left w:val="nil"/>
              <w:bottom w:val="nil"/>
              <w:right w:val="nil"/>
            </w:tcBorders>
            <w:noWrap w:val="0"/>
            <w:vAlign w:val="top"/>
          </w:tcPr>
          <w:p w14:paraId="52EF93A5">
            <w:pPr>
              <w:spacing w:line="360" w:lineRule="exact"/>
              <w:rPr>
                <w:rFonts w:ascii="宋体" w:hAnsi="宋体"/>
                <w:color w:val="auto"/>
                <w:sz w:val="24"/>
                <w:highlight w:val="none"/>
              </w:rPr>
            </w:pPr>
            <w:r>
              <w:rPr>
                <w:rFonts w:hint="eastAsia" w:ascii="宋体" w:hAnsi="宋体"/>
                <w:bCs/>
                <w:color w:val="auto"/>
                <w:sz w:val="24"/>
                <w:highlight w:val="none"/>
              </w:rPr>
              <w:t>地址：</w:t>
            </w:r>
            <w:r>
              <w:rPr>
                <w:rFonts w:hint="eastAsia" w:ascii="宋体" w:hAnsi="宋体"/>
                <w:bCs/>
                <w:color w:val="auto"/>
                <w:sz w:val="24"/>
                <w:highlight w:val="none"/>
                <w:u w:val="single"/>
              </w:rPr>
              <w:t>　　　　　　　　　　　　　　　</w:t>
            </w:r>
          </w:p>
        </w:tc>
      </w:tr>
      <w:tr w14:paraId="5E2C274B">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4102FC10">
            <w:pPr>
              <w:spacing w:line="360" w:lineRule="exact"/>
              <w:rPr>
                <w:rFonts w:ascii="宋体" w:hAnsi="宋体"/>
                <w:color w:val="auto"/>
                <w:sz w:val="24"/>
                <w:highlight w:val="none"/>
              </w:rPr>
            </w:pPr>
            <w:r>
              <w:rPr>
                <w:rFonts w:hint="eastAsia" w:ascii="宋体" w:hAnsi="宋体"/>
                <w:bCs/>
                <w:color w:val="auto"/>
                <w:sz w:val="24"/>
                <w:highlight w:val="none"/>
              </w:rPr>
              <w:t>法定（授权）代表人：</w:t>
            </w:r>
          </w:p>
        </w:tc>
        <w:tc>
          <w:tcPr>
            <w:tcW w:w="284" w:type="dxa"/>
            <w:tcBorders>
              <w:top w:val="nil"/>
              <w:left w:val="nil"/>
              <w:bottom w:val="nil"/>
              <w:right w:val="nil"/>
            </w:tcBorders>
            <w:noWrap w:val="0"/>
            <w:vAlign w:val="top"/>
          </w:tcPr>
          <w:p w14:paraId="43497A96">
            <w:pPr>
              <w:spacing w:line="360" w:lineRule="exact"/>
              <w:rPr>
                <w:rFonts w:ascii="宋体" w:hAnsi="宋体"/>
                <w:color w:val="auto"/>
                <w:sz w:val="24"/>
                <w:highlight w:val="none"/>
              </w:rPr>
            </w:pPr>
          </w:p>
        </w:tc>
        <w:tc>
          <w:tcPr>
            <w:tcW w:w="4536" w:type="dxa"/>
            <w:tcBorders>
              <w:top w:val="nil"/>
              <w:left w:val="nil"/>
              <w:bottom w:val="nil"/>
              <w:right w:val="nil"/>
            </w:tcBorders>
            <w:noWrap w:val="0"/>
            <w:vAlign w:val="top"/>
          </w:tcPr>
          <w:p w14:paraId="3BFD288E">
            <w:pPr>
              <w:spacing w:line="360" w:lineRule="exact"/>
              <w:rPr>
                <w:rFonts w:ascii="宋体" w:hAnsi="宋体"/>
                <w:color w:val="auto"/>
                <w:sz w:val="24"/>
                <w:highlight w:val="none"/>
              </w:rPr>
            </w:pPr>
            <w:r>
              <w:rPr>
                <w:rFonts w:hint="eastAsia" w:ascii="宋体" w:hAnsi="宋体"/>
                <w:bCs/>
                <w:color w:val="auto"/>
                <w:sz w:val="24"/>
                <w:highlight w:val="none"/>
              </w:rPr>
              <w:t>法定（授权）代表人：</w:t>
            </w:r>
          </w:p>
        </w:tc>
      </w:tr>
      <w:tr w14:paraId="792394D1">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51CD4036">
            <w:pPr>
              <w:spacing w:line="360" w:lineRule="exact"/>
              <w:jc w:val="right"/>
              <w:rPr>
                <w:rFonts w:ascii="宋体" w:hAnsi="宋体"/>
                <w:color w:val="auto"/>
                <w:sz w:val="24"/>
                <w:highlight w:val="none"/>
              </w:rPr>
            </w:pPr>
            <w:r>
              <w:rPr>
                <w:rFonts w:hint="eastAsia" w:ascii="宋体" w:hAnsi="宋体"/>
                <w:bCs/>
                <w:color w:val="auto"/>
                <w:sz w:val="24"/>
                <w:highlight w:val="none"/>
                <w:u w:val="single"/>
              </w:rPr>
              <w:t>　　　　　</w:t>
            </w:r>
            <w:r>
              <w:rPr>
                <w:rFonts w:hint="eastAsia" w:ascii="宋体" w:hAnsi="宋体"/>
                <w:bCs/>
                <w:color w:val="auto"/>
                <w:sz w:val="24"/>
                <w:highlight w:val="none"/>
              </w:rPr>
              <w:t>年</w:t>
            </w:r>
            <w:r>
              <w:rPr>
                <w:rFonts w:hint="eastAsia" w:ascii="宋体" w:hAnsi="宋体"/>
                <w:bCs/>
                <w:color w:val="auto"/>
                <w:sz w:val="24"/>
                <w:highlight w:val="none"/>
                <w:u w:val="single"/>
              </w:rPr>
              <w:t>　　　</w:t>
            </w:r>
            <w:r>
              <w:rPr>
                <w:rFonts w:hint="eastAsia" w:ascii="宋体" w:hAnsi="宋体"/>
                <w:bCs/>
                <w:color w:val="auto"/>
                <w:sz w:val="24"/>
                <w:highlight w:val="none"/>
              </w:rPr>
              <w:t>月</w:t>
            </w:r>
            <w:r>
              <w:rPr>
                <w:rFonts w:hint="eastAsia" w:ascii="宋体" w:hAnsi="宋体"/>
                <w:bCs/>
                <w:color w:val="auto"/>
                <w:sz w:val="24"/>
                <w:highlight w:val="none"/>
                <w:u w:val="single"/>
              </w:rPr>
              <w:t>　　　</w:t>
            </w:r>
            <w:r>
              <w:rPr>
                <w:rFonts w:hint="eastAsia" w:ascii="宋体" w:hAnsi="宋体"/>
                <w:bCs/>
                <w:color w:val="auto"/>
                <w:sz w:val="24"/>
                <w:highlight w:val="none"/>
              </w:rPr>
              <w:t>日</w:t>
            </w:r>
          </w:p>
        </w:tc>
        <w:tc>
          <w:tcPr>
            <w:tcW w:w="284" w:type="dxa"/>
            <w:tcBorders>
              <w:top w:val="nil"/>
              <w:left w:val="nil"/>
              <w:bottom w:val="nil"/>
              <w:right w:val="nil"/>
            </w:tcBorders>
            <w:noWrap w:val="0"/>
            <w:vAlign w:val="top"/>
          </w:tcPr>
          <w:p w14:paraId="731F6CD4">
            <w:pPr>
              <w:spacing w:line="360" w:lineRule="exact"/>
              <w:rPr>
                <w:rFonts w:ascii="宋体" w:hAnsi="宋体"/>
                <w:color w:val="auto"/>
                <w:sz w:val="24"/>
                <w:highlight w:val="none"/>
              </w:rPr>
            </w:pPr>
          </w:p>
        </w:tc>
        <w:tc>
          <w:tcPr>
            <w:tcW w:w="4536" w:type="dxa"/>
            <w:tcBorders>
              <w:top w:val="nil"/>
              <w:left w:val="nil"/>
              <w:bottom w:val="nil"/>
              <w:right w:val="nil"/>
            </w:tcBorders>
            <w:noWrap w:val="0"/>
            <w:vAlign w:val="top"/>
          </w:tcPr>
          <w:p w14:paraId="17DC1CD8">
            <w:pPr>
              <w:spacing w:line="360" w:lineRule="exact"/>
              <w:jc w:val="right"/>
              <w:rPr>
                <w:rFonts w:ascii="宋体" w:hAnsi="宋体"/>
                <w:color w:val="auto"/>
                <w:sz w:val="24"/>
                <w:highlight w:val="none"/>
              </w:rPr>
            </w:pPr>
            <w:r>
              <w:rPr>
                <w:rFonts w:hint="eastAsia" w:ascii="宋体" w:hAnsi="宋体"/>
                <w:bCs/>
                <w:color w:val="auto"/>
                <w:sz w:val="24"/>
                <w:highlight w:val="none"/>
                <w:u w:val="single"/>
              </w:rPr>
              <w:t>　　　　　</w:t>
            </w:r>
            <w:r>
              <w:rPr>
                <w:rFonts w:hint="eastAsia" w:ascii="宋体" w:hAnsi="宋体"/>
                <w:bCs/>
                <w:color w:val="auto"/>
                <w:sz w:val="24"/>
                <w:highlight w:val="none"/>
              </w:rPr>
              <w:t>年</w:t>
            </w:r>
            <w:r>
              <w:rPr>
                <w:rFonts w:hint="eastAsia" w:ascii="宋体" w:hAnsi="宋体"/>
                <w:bCs/>
                <w:color w:val="auto"/>
                <w:sz w:val="24"/>
                <w:highlight w:val="none"/>
                <w:u w:val="single"/>
              </w:rPr>
              <w:t>　　　</w:t>
            </w:r>
            <w:r>
              <w:rPr>
                <w:rFonts w:hint="eastAsia" w:ascii="宋体" w:hAnsi="宋体"/>
                <w:bCs/>
                <w:color w:val="auto"/>
                <w:sz w:val="24"/>
                <w:highlight w:val="none"/>
              </w:rPr>
              <w:t>月</w:t>
            </w:r>
            <w:r>
              <w:rPr>
                <w:rFonts w:hint="eastAsia" w:ascii="宋体" w:hAnsi="宋体"/>
                <w:bCs/>
                <w:color w:val="auto"/>
                <w:sz w:val="24"/>
                <w:highlight w:val="none"/>
                <w:u w:val="single"/>
              </w:rPr>
              <w:t>　　　</w:t>
            </w:r>
            <w:r>
              <w:rPr>
                <w:rFonts w:hint="eastAsia" w:ascii="宋体" w:hAnsi="宋体"/>
                <w:bCs/>
                <w:color w:val="auto"/>
                <w:sz w:val="24"/>
                <w:highlight w:val="none"/>
              </w:rPr>
              <w:t>日</w:t>
            </w:r>
          </w:p>
        </w:tc>
      </w:tr>
      <w:tr w14:paraId="450F1B8E">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1567975F">
            <w:pPr>
              <w:spacing w:line="360" w:lineRule="exact"/>
              <w:rPr>
                <w:rFonts w:ascii="宋体" w:hAnsi="宋体"/>
                <w:color w:val="auto"/>
                <w:sz w:val="24"/>
                <w:highlight w:val="none"/>
              </w:rPr>
            </w:pPr>
          </w:p>
        </w:tc>
        <w:tc>
          <w:tcPr>
            <w:tcW w:w="284" w:type="dxa"/>
            <w:tcBorders>
              <w:top w:val="nil"/>
              <w:left w:val="nil"/>
              <w:bottom w:val="nil"/>
              <w:right w:val="nil"/>
            </w:tcBorders>
            <w:noWrap w:val="0"/>
            <w:vAlign w:val="top"/>
          </w:tcPr>
          <w:p w14:paraId="509DC676">
            <w:pPr>
              <w:spacing w:line="360" w:lineRule="exact"/>
              <w:rPr>
                <w:rFonts w:ascii="宋体" w:hAnsi="宋体"/>
                <w:color w:val="auto"/>
                <w:sz w:val="24"/>
                <w:highlight w:val="none"/>
              </w:rPr>
            </w:pPr>
          </w:p>
        </w:tc>
        <w:tc>
          <w:tcPr>
            <w:tcW w:w="4536" w:type="dxa"/>
            <w:tcBorders>
              <w:top w:val="nil"/>
              <w:left w:val="nil"/>
              <w:bottom w:val="nil"/>
              <w:right w:val="nil"/>
            </w:tcBorders>
            <w:noWrap w:val="0"/>
            <w:vAlign w:val="top"/>
          </w:tcPr>
          <w:p w14:paraId="0EEB73E2">
            <w:pPr>
              <w:spacing w:line="360" w:lineRule="exact"/>
              <w:rPr>
                <w:rFonts w:ascii="宋体" w:hAnsi="宋体"/>
                <w:color w:val="auto"/>
                <w:sz w:val="24"/>
                <w:highlight w:val="none"/>
              </w:rPr>
            </w:pPr>
          </w:p>
        </w:tc>
      </w:tr>
      <w:tr w14:paraId="120A82A4">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38E32B10">
            <w:pPr>
              <w:spacing w:line="360" w:lineRule="exact"/>
              <w:rPr>
                <w:rFonts w:ascii="宋体" w:hAnsi="宋体"/>
                <w:bCs/>
                <w:color w:val="auto"/>
                <w:sz w:val="24"/>
                <w:highlight w:val="none"/>
              </w:rPr>
            </w:pPr>
            <w:r>
              <w:rPr>
                <w:rFonts w:hint="eastAsia" w:ascii="宋体" w:hAnsi="宋体"/>
                <w:bCs/>
                <w:color w:val="auto"/>
                <w:sz w:val="24"/>
                <w:highlight w:val="none"/>
              </w:rPr>
              <w:t>见证方：</w:t>
            </w:r>
            <w:r>
              <w:rPr>
                <w:rFonts w:hint="eastAsia" w:ascii="宋体" w:hAnsi="宋体"/>
                <w:bCs/>
                <w:color w:val="auto"/>
                <w:sz w:val="24"/>
                <w:highlight w:val="none"/>
                <w:lang w:eastAsia="zh-CN"/>
              </w:rPr>
              <w:t>正军项目管理集团有限公司</w:t>
            </w:r>
            <w:r>
              <w:rPr>
                <w:rFonts w:hint="eastAsia" w:ascii="宋体" w:hAnsi="宋体"/>
                <w:bCs/>
                <w:color w:val="auto"/>
                <w:sz w:val="24"/>
                <w:highlight w:val="none"/>
              </w:rPr>
              <w:t>（盖章）</w:t>
            </w:r>
          </w:p>
        </w:tc>
        <w:tc>
          <w:tcPr>
            <w:tcW w:w="284" w:type="dxa"/>
            <w:tcBorders>
              <w:top w:val="nil"/>
              <w:left w:val="nil"/>
              <w:bottom w:val="nil"/>
              <w:right w:val="nil"/>
            </w:tcBorders>
            <w:noWrap w:val="0"/>
            <w:vAlign w:val="top"/>
          </w:tcPr>
          <w:p w14:paraId="100D918F">
            <w:pPr>
              <w:spacing w:line="360" w:lineRule="exact"/>
              <w:rPr>
                <w:rFonts w:ascii="宋体" w:hAnsi="宋体"/>
                <w:color w:val="auto"/>
                <w:sz w:val="24"/>
                <w:highlight w:val="none"/>
              </w:rPr>
            </w:pPr>
          </w:p>
        </w:tc>
        <w:tc>
          <w:tcPr>
            <w:tcW w:w="4536" w:type="dxa"/>
            <w:tcBorders>
              <w:top w:val="nil"/>
              <w:left w:val="nil"/>
              <w:bottom w:val="nil"/>
              <w:right w:val="nil"/>
            </w:tcBorders>
            <w:noWrap w:val="0"/>
            <w:vAlign w:val="top"/>
          </w:tcPr>
          <w:p w14:paraId="521C8E05">
            <w:pPr>
              <w:spacing w:line="360" w:lineRule="exact"/>
              <w:rPr>
                <w:rFonts w:ascii="宋体" w:hAnsi="宋体"/>
                <w:color w:val="auto"/>
                <w:sz w:val="24"/>
                <w:highlight w:val="none"/>
              </w:rPr>
            </w:pPr>
          </w:p>
        </w:tc>
      </w:tr>
      <w:tr w14:paraId="26734FA9">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2D862F63">
            <w:pPr>
              <w:spacing w:line="360" w:lineRule="exact"/>
              <w:rPr>
                <w:rFonts w:ascii="宋体" w:hAnsi="宋体"/>
                <w:color w:val="auto"/>
                <w:sz w:val="24"/>
                <w:highlight w:val="none"/>
              </w:rPr>
            </w:pPr>
            <w:r>
              <w:rPr>
                <w:rFonts w:hint="eastAsia" w:ascii="宋体" w:hAnsi="宋体"/>
                <w:bCs/>
                <w:color w:val="auto"/>
                <w:sz w:val="24"/>
                <w:highlight w:val="none"/>
              </w:rPr>
              <w:t>见证方代表：</w:t>
            </w:r>
            <w:r>
              <w:rPr>
                <w:rFonts w:hint="eastAsia" w:ascii="宋体" w:hAnsi="宋体"/>
                <w:bCs/>
                <w:color w:val="auto"/>
                <w:sz w:val="24"/>
                <w:highlight w:val="none"/>
                <w:u w:val="single"/>
              </w:rPr>
              <w:t>　　　</w:t>
            </w:r>
          </w:p>
        </w:tc>
        <w:tc>
          <w:tcPr>
            <w:tcW w:w="284" w:type="dxa"/>
            <w:tcBorders>
              <w:top w:val="nil"/>
              <w:left w:val="nil"/>
              <w:bottom w:val="nil"/>
              <w:right w:val="nil"/>
            </w:tcBorders>
            <w:noWrap w:val="0"/>
            <w:vAlign w:val="top"/>
          </w:tcPr>
          <w:p w14:paraId="4429203E">
            <w:pPr>
              <w:spacing w:line="360" w:lineRule="exact"/>
              <w:rPr>
                <w:rFonts w:ascii="宋体" w:hAnsi="宋体"/>
                <w:color w:val="auto"/>
                <w:sz w:val="24"/>
                <w:highlight w:val="none"/>
              </w:rPr>
            </w:pPr>
          </w:p>
        </w:tc>
        <w:tc>
          <w:tcPr>
            <w:tcW w:w="4536" w:type="dxa"/>
            <w:tcBorders>
              <w:top w:val="nil"/>
              <w:left w:val="nil"/>
              <w:bottom w:val="nil"/>
              <w:right w:val="nil"/>
            </w:tcBorders>
            <w:noWrap w:val="0"/>
            <w:vAlign w:val="top"/>
          </w:tcPr>
          <w:p w14:paraId="074299F8">
            <w:pPr>
              <w:spacing w:line="360" w:lineRule="exact"/>
              <w:rPr>
                <w:rFonts w:ascii="宋体" w:hAnsi="宋体"/>
                <w:color w:val="auto"/>
                <w:sz w:val="24"/>
                <w:highlight w:val="none"/>
              </w:rPr>
            </w:pPr>
          </w:p>
        </w:tc>
      </w:tr>
      <w:tr w14:paraId="3B3C5C88">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5BEAC6C7">
            <w:pPr>
              <w:spacing w:line="360" w:lineRule="exact"/>
              <w:jc w:val="right"/>
              <w:rPr>
                <w:rFonts w:ascii="宋体" w:hAnsi="宋体"/>
                <w:bCs/>
                <w:color w:val="auto"/>
                <w:sz w:val="24"/>
                <w:highlight w:val="none"/>
              </w:rPr>
            </w:pPr>
            <w:r>
              <w:rPr>
                <w:rFonts w:hint="eastAsia" w:ascii="宋体" w:hAnsi="宋体"/>
                <w:bCs/>
                <w:color w:val="auto"/>
                <w:sz w:val="24"/>
                <w:highlight w:val="none"/>
                <w:u w:val="single"/>
              </w:rPr>
              <w:t>　　　　　</w:t>
            </w:r>
            <w:r>
              <w:rPr>
                <w:rFonts w:hint="eastAsia" w:ascii="宋体" w:hAnsi="宋体"/>
                <w:bCs/>
                <w:color w:val="auto"/>
                <w:sz w:val="24"/>
                <w:highlight w:val="none"/>
              </w:rPr>
              <w:t>年</w:t>
            </w:r>
            <w:r>
              <w:rPr>
                <w:rFonts w:hint="eastAsia" w:ascii="宋体" w:hAnsi="宋体"/>
                <w:bCs/>
                <w:color w:val="auto"/>
                <w:sz w:val="24"/>
                <w:highlight w:val="none"/>
                <w:u w:val="single"/>
              </w:rPr>
              <w:t>　　　</w:t>
            </w:r>
            <w:r>
              <w:rPr>
                <w:rFonts w:hint="eastAsia" w:ascii="宋体" w:hAnsi="宋体"/>
                <w:bCs/>
                <w:color w:val="auto"/>
                <w:sz w:val="24"/>
                <w:highlight w:val="none"/>
              </w:rPr>
              <w:t>月</w:t>
            </w:r>
            <w:r>
              <w:rPr>
                <w:rFonts w:hint="eastAsia" w:ascii="宋体" w:hAnsi="宋体"/>
                <w:bCs/>
                <w:color w:val="auto"/>
                <w:sz w:val="24"/>
                <w:highlight w:val="none"/>
                <w:u w:val="single"/>
              </w:rPr>
              <w:t>　　　</w:t>
            </w:r>
            <w:r>
              <w:rPr>
                <w:rFonts w:hint="eastAsia" w:ascii="宋体" w:hAnsi="宋体"/>
                <w:bCs/>
                <w:color w:val="auto"/>
                <w:sz w:val="24"/>
                <w:highlight w:val="none"/>
              </w:rPr>
              <w:t>日</w:t>
            </w:r>
          </w:p>
        </w:tc>
        <w:tc>
          <w:tcPr>
            <w:tcW w:w="284" w:type="dxa"/>
            <w:tcBorders>
              <w:top w:val="nil"/>
              <w:left w:val="nil"/>
              <w:bottom w:val="nil"/>
              <w:right w:val="nil"/>
            </w:tcBorders>
            <w:noWrap w:val="0"/>
            <w:vAlign w:val="top"/>
          </w:tcPr>
          <w:p w14:paraId="482BDA2E">
            <w:pPr>
              <w:spacing w:line="360" w:lineRule="exact"/>
              <w:rPr>
                <w:rFonts w:ascii="宋体" w:hAnsi="宋体"/>
                <w:color w:val="auto"/>
                <w:sz w:val="24"/>
                <w:highlight w:val="none"/>
              </w:rPr>
            </w:pPr>
          </w:p>
        </w:tc>
        <w:tc>
          <w:tcPr>
            <w:tcW w:w="4536" w:type="dxa"/>
            <w:tcBorders>
              <w:top w:val="nil"/>
              <w:left w:val="nil"/>
              <w:bottom w:val="nil"/>
              <w:right w:val="nil"/>
            </w:tcBorders>
            <w:noWrap w:val="0"/>
            <w:vAlign w:val="top"/>
          </w:tcPr>
          <w:p w14:paraId="52A6B569">
            <w:pPr>
              <w:spacing w:line="360" w:lineRule="exact"/>
              <w:rPr>
                <w:rFonts w:ascii="宋体" w:hAnsi="宋体"/>
                <w:color w:val="auto"/>
                <w:sz w:val="24"/>
                <w:highlight w:val="none"/>
              </w:rPr>
            </w:pPr>
          </w:p>
          <w:p w14:paraId="69E1A74A">
            <w:pPr>
              <w:spacing w:line="360" w:lineRule="exact"/>
              <w:rPr>
                <w:rFonts w:ascii="宋体" w:hAnsi="宋体"/>
                <w:color w:val="auto"/>
                <w:sz w:val="24"/>
                <w:highlight w:val="none"/>
              </w:rPr>
            </w:pPr>
          </w:p>
        </w:tc>
      </w:tr>
    </w:tbl>
    <w:p w14:paraId="50251BB5">
      <w:pPr>
        <w:spacing w:line="400" w:lineRule="exact"/>
        <w:jc w:val="center"/>
        <w:outlineLvl w:val="0"/>
        <w:rPr>
          <w:rFonts w:hint="eastAsia" w:ascii="宋体" w:hAnsi="宋体" w:cs="宋体"/>
          <w:bCs/>
          <w:color w:val="auto"/>
          <w:sz w:val="30"/>
          <w:highlight w:val="none"/>
        </w:rPr>
      </w:pPr>
      <w:r>
        <w:rPr>
          <w:rFonts w:hint="eastAsia" w:ascii="宋体" w:hAnsi="宋体" w:cs="宋体"/>
          <w:b/>
          <w:color w:val="auto"/>
          <w:sz w:val="30"/>
          <w:highlight w:val="none"/>
        </w:rPr>
        <w:br w:type="page" w:clear="all"/>
      </w:r>
      <w:r>
        <w:rPr>
          <w:rFonts w:hint="eastAsia" w:ascii="宋体" w:hAnsi="宋体" w:cs="宋体"/>
          <w:b/>
          <w:color w:val="auto"/>
          <w:sz w:val="30"/>
          <w:highlight w:val="none"/>
        </w:rPr>
        <w:t>第六章　投标文件的组成和格式</w:t>
      </w:r>
      <w:bookmarkEnd w:id="14"/>
    </w:p>
    <w:p w14:paraId="3E49B542">
      <w:pPr>
        <w:spacing w:line="400" w:lineRule="exact"/>
        <w:rPr>
          <w:rFonts w:hint="eastAsia" w:ascii="宋体" w:hAnsi="宋体" w:cs="宋体"/>
          <w:bCs/>
          <w:color w:val="auto"/>
          <w:sz w:val="30"/>
          <w:highlight w:val="none"/>
        </w:rPr>
      </w:pPr>
    </w:p>
    <w:p w14:paraId="656A5761">
      <w:pPr>
        <w:spacing w:line="400" w:lineRule="exact"/>
        <w:rPr>
          <w:rFonts w:hint="eastAsia" w:ascii="宋体" w:hAnsi="宋体" w:cs="宋体"/>
          <w:bCs/>
          <w:color w:val="auto"/>
          <w:sz w:val="30"/>
          <w:highlight w:val="none"/>
        </w:rPr>
      </w:pPr>
    </w:p>
    <w:p w14:paraId="2AD8AA5B">
      <w:pPr>
        <w:spacing w:line="400" w:lineRule="exact"/>
        <w:rPr>
          <w:rFonts w:hint="eastAsia" w:ascii="宋体" w:hAnsi="宋体" w:cs="宋体"/>
          <w:bCs/>
          <w:color w:val="auto"/>
          <w:sz w:val="30"/>
          <w:highlight w:val="none"/>
        </w:rPr>
      </w:pPr>
    </w:p>
    <w:p w14:paraId="3BC12894">
      <w:pPr>
        <w:spacing w:line="400" w:lineRule="exact"/>
        <w:rPr>
          <w:rFonts w:hint="eastAsia" w:ascii="宋体" w:hAnsi="宋体" w:cs="宋体"/>
          <w:bCs/>
          <w:color w:val="auto"/>
          <w:sz w:val="30"/>
          <w:highlight w:val="none"/>
        </w:rPr>
      </w:pPr>
    </w:p>
    <w:p w14:paraId="69BE9FA5">
      <w:pPr>
        <w:spacing w:line="400" w:lineRule="exact"/>
        <w:rPr>
          <w:rFonts w:hint="eastAsia" w:ascii="宋体" w:hAnsi="宋体" w:cs="宋体"/>
          <w:bCs/>
          <w:color w:val="auto"/>
          <w:sz w:val="30"/>
          <w:highlight w:val="none"/>
        </w:rPr>
      </w:pPr>
    </w:p>
    <w:p w14:paraId="1C9FBF87">
      <w:pPr>
        <w:spacing w:line="360" w:lineRule="auto"/>
        <w:jc w:val="center"/>
        <w:rPr>
          <w:rFonts w:hint="eastAsia" w:ascii="宋体" w:hAnsi="宋体" w:cs="宋体"/>
          <w:bCs/>
          <w:color w:val="auto"/>
          <w:sz w:val="72"/>
          <w:szCs w:val="72"/>
          <w:highlight w:val="none"/>
        </w:rPr>
      </w:pPr>
      <w:r>
        <w:rPr>
          <w:rFonts w:hint="eastAsia" w:ascii="宋体" w:hAnsi="宋体" w:cs="宋体"/>
          <w:bCs/>
          <w:color w:val="auto"/>
          <w:sz w:val="72"/>
          <w:szCs w:val="72"/>
          <w:highlight w:val="none"/>
        </w:rPr>
        <w:t>投</w:t>
      </w:r>
    </w:p>
    <w:p w14:paraId="7BA1B6ED">
      <w:pPr>
        <w:spacing w:line="360" w:lineRule="auto"/>
        <w:jc w:val="center"/>
        <w:rPr>
          <w:rFonts w:hint="eastAsia" w:ascii="宋体" w:hAnsi="宋体" w:cs="宋体"/>
          <w:bCs/>
          <w:color w:val="auto"/>
          <w:sz w:val="72"/>
          <w:szCs w:val="72"/>
          <w:highlight w:val="none"/>
        </w:rPr>
      </w:pPr>
    </w:p>
    <w:p w14:paraId="5B7FD1FF">
      <w:pPr>
        <w:spacing w:line="360" w:lineRule="auto"/>
        <w:jc w:val="center"/>
        <w:rPr>
          <w:rFonts w:hint="eastAsia" w:ascii="宋体" w:hAnsi="宋体" w:cs="宋体"/>
          <w:bCs/>
          <w:color w:val="auto"/>
          <w:sz w:val="72"/>
          <w:szCs w:val="72"/>
          <w:highlight w:val="none"/>
        </w:rPr>
      </w:pPr>
      <w:r>
        <w:rPr>
          <w:rFonts w:hint="eastAsia" w:ascii="宋体" w:hAnsi="宋体" w:cs="宋体"/>
          <w:bCs/>
          <w:color w:val="auto"/>
          <w:sz w:val="72"/>
          <w:szCs w:val="72"/>
          <w:highlight w:val="none"/>
        </w:rPr>
        <w:t>标</w:t>
      </w:r>
    </w:p>
    <w:p w14:paraId="6F7CF504">
      <w:pPr>
        <w:spacing w:line="360" w:lineRule="auto"/>
        <w:jc w:val="center"/>
        <w:rPr>
          <w:rFonts w:hint="eastAsia" w:ascii="宋体" w:hAnsi="宋体" w:cs="宋体"/>
          <w:bCs/>
          <w:color w:val="auto"/>
          <w:sz w:val="72"/>
          <w:szCs w:val="72"/>
          <w:highlight w:val="none"/>
        </w:rPr>
      </w:pPr>
    </w:p>
    <w:p w14:paraId="7440A3D3">
      <w:pPr>
        <w:spacing w:line="360" w:lineRule="auto"/>
        <w:jc w:val="center"/>
        <w:rPr>
          <w:rFonts w:hint="eastAsia" w:ascii="宋体" w:hAnsi="宋体" w:cs="宋体"/>
          <w:bCs/>
          <w:color w:val="auto"/>
          <w:sz w:val="72"/>
          <w:szCs w:val="72"/>
          <w:highlight w:val="none"/>
        </w:rPr>
      </w:pPr>
      <w:r>
        <w:rPr>
          <w:rFonts w:hint="eastAsia" w:ascii="宋体" w:hAnsi="宋体" w:cs="宋体"/>
          <w:bCs/>
          <w:color w:val="auto"/>
          <w:sz w:val="72"/>
          <w:szCs w:val="72"/>
          <w:highlight w:val="none"/>
        </w:rPr>
        <w:t>书</w:t>
      </w:r>
    </w:p>
    <w:p w14:paraId="6A570EDE">
      <w:pPr>
        <w:spacing w:line="400" w:lineRule="exact"/>
        <w:jc w:val="center"/>
        <w:rPr>
          <w:rFonts w:hint="eastAsia" w:ascii="宋体" w:hAnsi="宋体" w:cs="宋体"/>
          <w:bCs/>
          <w:color w:val="auto"/>
          <w:sz w:val="30"/>
          <w:highlight w:val="none"/>
        </w:rPr>
      </w:pPr>
    </w:p>
    <w:p w14:paraId="4F1A640E">
      <w:pPr>
        <w:spacing w:line="400" w:lineRule="exact"/>
        <w:rPr>
          <w:rFonts w:hint="eastAsia" w:ascii="宋体" w:hAnsi="宋体" w:cs="宋体"/>
          <w:bCs/>
          <w:color w:val="auto"/>
          <w:sz w:val="30"/>
          <w:highlight w:val="none"/>
        </w:rPr>
      </w:pPr>
    </w:p>
    <w:p w14:paraId="48C9A61A">
      <w:pPr>
        <w:spacing w:line="400" w:lineRule="exact"/>
        <w:rPr>
          <w:rFonts w:hint="eastAsia" w:ascii="宋体" w:hAnsi="宋体" w:cs="宋体"/>
          <w:bCs/>
          <w:color w:val="auto"/>
          <w:sz w:val="30"/>
          <w:highlight w:val="none"/>
        </w:rPr>
      </w:pPr>
    </w:p>
    <w:p w14:paraId="3CC6F602">
      <w:pPr>
        <w:pStyle w:val="204"/>
        <w:rPr>
          <w:rFonts w:hint="eastAsia" w:ascii="宋体" w:hAnsi="宋体" w:eastAsia="宋体" w:cs="宋体"/>
          <w:bCs w:val="0"/>
          <w:color w:val="auto"/>
          <w:sz w:val="30"/>
          <w:highlight w:val="none"/>
        </w:rPr>
      </w:pPr>
    </w:p>
    <w:p w14:paraId="3A57F17E">
      <w:pPr>
        <w:pStyle w:val="204"/>
        <w:rPr>
          <w:rFonts w:hint="eastAsia" w:ascii="宋体" w:hAnsi="宋体" w:eastAsia="宋体" w:cs="宋体"/>
          <w:bCs w:val="0"/>
          <w:color w:val="auto"/>
          <w:sz w:val="30"/>
          <w:highlight w:val="none"/>
        </w:rPr>
      </w:pPr>
    </w:p>
    <w:p w14:paraId="5C193453">
      <w:pPr>
        <w:spacing w:line="400" w:lineRule="exact"/>
        <w:rPr>
          <w:rFonts w:hint="eastAsia" w:ascii="宋体" w:hAnsi="宋体" w:cs="宋体"/>
          <w:bCs/>
          <w:color w:val="auto"/>
          <w:sz w:val="30"/>
          <w:highlight w:val="none"/>
        </w:rPr>
      </w:pPr>
      <w:bookmarkStart w:id="31" w:name="_GoBack"/>
      <w:bookmarkEnd w:id="31"/>
    </w:p>
    <w:p w14:paraId="4FF67366">
      <w:pPr>
        <w:spacing w:line="400" w:lineRule="exact"/>
        <w:ind w:firstLine="300"/>
        <w:rPr>
          <w:rFonts w:hint="eastAsia" w:ascii="宋体" w:hAnsi="宋体" w:eastAsia="宋体" w:cs="宋体"/>
          <w:color w:val="auto"/>
          <w:sz w:val="30"/>
          <w:szCs w:val="30"/>
          <w:highlight w:val="none"/>
          <w:lang w:eastAsia="zh-CN"/>
        </w:rPr>
      </w:pPr>
      <w:r>
        <w:rPr>
          <w:rFonts w:hint="eastAsia" w:ascii="宋体" w:hAnsi="宋体" w:cs="宋体"/>
          <w:bCs/>
          <w:color w:val="auto"/>
          <w:sz w:val="30"/>
          <w:szCs w:val="30"/>
          <w:highlight w:val="none"/>
        </w:rPr>
        <w:t>项目名称：</w:t>
      </w:r>
      <w:r>
        <w:rPr>
          <w:rFonts w:hint="eastAsia" w:ascii="宋体" w:hAnsi="宋体" w:cs="宋体"/>
          <w:color w:val="auto"/>
          <w:sz w:val="30"/>
          <w:szCs w:val="30"/>
          <w:highlight w:val="none"/>
          <w:lang w:eastAsia="zh-CN"/>
        </w:rPr>
        <w:t>江阴临港化工园区限值限量在线大气监测设备更换（二期）</w:t>
      </w:r>
    </w:p>
    <w:p w14:paraId="5002D560">
      <w:pPr>
        <w:spacing w:line="400" w:lineRule="exact"/>
        <w:ind w:firstLine="300"/>
        <w:rPr>
          <w:rFonts w:hint="eastAsia" w:ascii="宋体" w:hAnsi="宋体" w:eastAsia="宋体" w:cs="宋体"/>
          <w:bCs/>
          <w:color w:val="auto"/>
          <w:sz w:val="30"/>
          <w:highlight w:val="none"/>
          <w:lang w:eastAsia="zh-CN"/>
        </w:rPr>
      </w:pPr>
      <w:r>
        <w:rPr>
          <w:rFonts w:hint="eastAsia" w:ascii="宋体" w:hAnsi="宋体" w:cs="宋体"/>
          <w:bCs/>
          <w:color w:val="auto"/>
          <w:sz w:val="30"/>
          <w:highlight w:val="none"/>
        </w:rPr>
        <w:t>项目编号：</w:t>
      </w:r>
      <w:r>
        <w:rPr>
          <w:rFonts w:hint="eastAsia" w:ascii="宋体" w:hAnsi="宋体" w:cs="宋体"/>
          <w:bCs/>
          <w:color w:val="auto"/>
          <w:sz w:val="30"/>
          <w:highlight w:val="none"/>
          <w:lang w:eastAsia="zh-CN"/>
        </w:rPr>
        <w:t>JSZC-320281-HAZJ-G2026-0008</w:t>
      </w:r>
      <w:r>
        <w:rPr>
          <w:rFonts w:hint="eastAsia" w:ascii="宋体" w:hAnsi="宋体" w:cs="宋体"/>
          <w:bCs/>
          <w:color w:val="auto"/>
          <w:sz w:val="30"/>
          <w:highlight w:val="none"/>
          <w:lang w:val="en-US" w:eastAsia="zh-CN"/>
        </w:rPr>
        <w:t xml:space="preserve"> </w:t>
      </w:r>
    </w:p>
    <w:p w14:paraId="6BD39CC6">
      <w:pPr>
        <w:spacing w:line="400" w:lineRule="exact"/>
        <w:ind w:firstLine="300"/>
        <w:rPr>
          <w:rFonts w:hint="eastAsia" w:ascii="宋体" w:hAnsi="宋体" w:cs="宋体"/>
          <w:bCs/>
          <w:color w:val="auto"/>
          <w:sz w:val="30"/>
          <w:highlight w:val="none"/>
        </w:rPr>
      </w:pPr>
      <w:r>
        <w:rPr>
          <w:rFonts w:hint="eastAsia" w:ascii="宋体" w:hAnsi="宋体" w:cs="宋体"/>
          <w:bCs/>
          <w:color w:val="auto"/>
          <w:sz w:val="30"/>
          <w:highlight w:val="none"/>
        </w:rPr>
        <w:t>投标单位：</w:t>
      </w:r>
    </w:p>
    <w:p w14:paraId="306568C5">
      <w:pPr>
        <w:spacing w:line="400" w:lineRule="exact"/>
        <w:ind w:firstLine="3300"/>
        <w:rPr>
          <w:rFonts w:hint="eastAsia" w:ascii="宋体" w:hAnsi="宋体" w:cs="宋体"/>
          <w:bCs/>
          <w:color w:val="auto"/>
          <w:sz w:val="30"/>
          <w:highlight w:val="none"/>
        </w:rPr>
      </w:pPr>
    </w:p>
    <w:p w14:paraId="1E48CD0E">
      <w:pPr>
        <w:spacing w:line="400" w:lineRule="exact"/>
        <w:ind w:firstLine="3300"/>
        <w:rPr>
          <w:rFonts w:hint="eastAsia" w:ascii="宋体" w:hAnsi="宋体" w:cs="宋体"/>
          <w:bCs/>
          <w:color w:val="auto"/>
          <w:sz w:val="30"/>
          <w:highlight w:val="none"/>
        </w:rPr>
      </w:pPr>
      <w:r>
        <w:rPr>
          <w:rFonts w:hint="eastAsia" w:ascii="宋体" w:hAnsi="宋体" w:cs="宋体"/>
          <w:bCs/>
          <w:color w:val="auto"/>
          <w:sz w:val="30"/>
          <w:highlight w:val="none"/>
        </w:rPr>
        <w:t>二○二</w:t>
      </w:r>
      <w:r>
        <w:rPr>
          <w:rFonts w:hint="eastAsia" w:ascii="宋体" w:hAnsi="宋体" w:cs="宋体"/>
          <w:bCs/>
          <w:color w:val="auto"/>
          <w:sz w:val="30"/>
          <w:highlight w:val="none"/>
          <w:lang w:val="en-US" w:eastAsia="zh-CN"/>
        </w:rPr>
        <w:t>六</w:t>
      </w:r>
      <w:r>
        <w:rPr>
          <w:rFonts w:hint="eastAsia" w:ascii="宋体" w:hAnsi="宋体" w:cs="宋体"/>
          <w:bCs/>
          <w:color w:val="auto"/>
          <w:sz w:val="30"/>
          <w:highlight w:val="none"/>
        </w:rPr>
        <w:t>年  月  日</w:t>
      </w:r>
    </w:p>
    <w:p w14:paraId="45B8694B">
      <w:pPr>
        <w:spacing w:line="400" w:lineRule="exact"/>
        <w:jc w:val="center"/>
        <w:outlineLvl w:val="1"/>
        <w:rPr>
          <w:rFonts w:hint="eastAsia" w:ascii="黑体" w:eastAsia="黑体"/>
          <w:color w:val="auto"/>
          <w:sz w:val="28"/>
          <w:szCs w:val="28"/>
          <w:highlight w:val="none"/>
        </w:rPr>
      </w:pPr>
      <w:r>
        <w:rPr>
          <w:rFonts w:hint="eastAsia" w:ascii="宋体" w:hAnsi="宋体" w:cs="宋体"/>
          <w:b/>
          <w:bCs/>
          <w:color w:val="auto"/>
          <w:sz w:val="28"/>
          <w:szCs w:val="28"/>
          <w:highlight w:val="none"/>
        </w:rPr>
        <w:br w:type="page" w:clear="all"/>
      </w:r>
      <w:r>
        <w:rPr>
          <w:rFonts w:hint="eastAsia" w:ascii="黑体" w:eastAsia="黑体"/>
          <w:color w:val="auto"/>
          <w:sz w:val="28"/>
          <w:szCs w:val="28"/>
          <w:highlight w:val="none"/>
        </w:rPr>
        <w:t>一、投标函</w:t>
      </w:r>
    </w:p>
    <w:p w14:paraId="23F5BDDE">
      <w:pPr>
        <w:spacing w:line="312"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致</w:t>
      </w:r>
      <w:bookmarkStart w:id="20" w:name="OLE_LINK10"/>
      <w:r>
        <w:rPr>
          <w:rFonts w:hint="eastAsia" w:ascii="宋体" w:hAnsi="宋体" w:cs="宋体"/>
          <w:color w:val="auto"/>
          <w:sz w:val="24"/>
          <w:szCs w:val="24"/>
          <w:highlight w:val="none"/>
          <w:lang w:eastAsia="zh-CN"/>
        </w:rPr>
        <w:t>江阴临港化工园区管理办公室</w:t>
      </w:r>
      <w:r>
        <w:rPr>
          <w:rFonts w:hint="eastAsia" w:ascii="宋体" w:hAnsi="宋体" w:cs="宋体"/>
          <w:color w:val="auto"/>
          <w:sz w:val="24"/>
          <w:szCs w:val="24"/>
          <w:highlight w:val="none"/>
        </w:rPr>
        <w:t>、</w:t>
      </w:r>
      <w:bookmarkEnd w:id="20"/>
      <w:r>
        <w:rPr>
          <w:rFonts w:hint="eastAsia" w:ascii="宋体" w:hAnsi="宋体" w:cs="宋体"/>
          <w:color w:val="auto"/>
          <w:sz w:val="24"/>
          <w:szCs w:val="24"/>
          <w:highlight w:val="none"/>
          <w:lang w:eastAsia="zh-CN"/>
        </w:rPr>
        <w:t>正军项目管理集团有限公司</w:t>
      </w:r>
    </w:p>
    <w:p w14:paraId="52C59515">
      <w:pPr>
        <w:spacing w:line="312"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我方收到贵单位</w:t>
      </w:r>
      <w:r>
        <w:rPr>
          <w:rFonts w:hint="eastAsia" w:ascii="宋体" w:hAnsi="宋体" w:cs="宋体"/>
          <w:color w:val="auto"/>
          <w:sz w:val="24"/>
          <w:szCs w:val="24"/>
          <w:highlight w:val="none"/>
          <w:u w:val="single"/>
          <w:lang w:val="en-US" w:eastAsia="zh-CN"/>
        </w:rPr>
        <w:t>JSZC-320281-HAZJ-G2026-0008</w:t>
      </w:r>
      <w:r>
        <w:rPr>
          <w:rFonts w:hint="eastAsia" w:ascii="宋体" w:hAnsi="宋体" w:cs="宋体"/>
          <w:color w:val="auto"/>
          <w:sz w:val="24"/>
          <w:szCs w:val="24"/>
          <w:highlight w:val="none"/>
        </w:rPr>
        <w:t>招标文件，经仔细阅读和研究，我们决定参加</w:t>
      </w:r>
      <w:r>
        <w:rPr>
          <w:rFonts w:hint="eastAsia" w:ascii="宋体" w:hAnsi="宋体" w:cs="宋体"/>
          <w:color w:val="auto"/>
          <w:sz w:val="24"/>
          <w:szCs w:val="24"/>
          <w:highlight w:val="none"/>
          <w:u w:val="single"/>
          <w:lang w:eastAsia="zh-CN"/>
        </w:rPr>
        <w:t>江阴临港化工园区限值限量在线大气监测设备更换（二期）</w:t>
      </w:r>
      <w:r>
        <w:rPr>
          <w:rFonts w:hint="eastAsia" w:ascii="宋体" w:hAnsi="宋体" w:cs="宋体"/>
          <w:color w:val="auto"/>
          <w:sz w:val="24"/>
          <w:szCs w:val="24"/>
          <w:highlight w:val="none"/>
        </w:rPr>
        <w:t>的投标。</w:t>
      </w:r>
    </w:p>
    <w:p w14:paraId="59624807">
      <w:pPr>
        <w:spacing w:line="400" w:lineRule="exact"/>
        <w:ind w:firstLine="480"/>
        <w:outlineLvl w:val="0"/>
        <w:rPr>
          <w:rFonts w:hint="eastAsia" w:ascii="宋体" w:hAnsi="宋体"/>
          <w:color w:val="auto"/>
          <w:sz w:val="24"/>
          <w:highlight w:val="none"/>
          <w:lang w:val="zh-CN"/>
        </w:rPr>
      </w:pPr>
      <w:r>
        <w:rPr>
          <w:rFonts w:hint="eastAsia" w:ascii="宋体" w:hAnsi="宋体" w:cs="宋体"/>
          <w:color w:val="auto"/>
          <w:sz w:val="24"/>
          <w:szCs w:val="24"/>
          <w:highlight w:val="none"/>
        </w:rPr>
        <w:t>1、我们愿意按照招标文件的一切要求完成该项目的全部内容，我们的投标报价包括完成本项目所需的设备或货物购买（制造）费、辅材费、运输费、装卸费、安装调试费、技术支持与培训、售后服务与维保及相关劳务支出等工作所发生的全部费用以及投标人企业利润、税金和政策性文件规定及合同包含的所有风险、责任等各项应有费。因成交供应商自身原因造成漏报、少报皆由其自行承担责任，采购人不再补偿。</w:t>
      </w:r>
    </w:p>
    <w:p w14:paraId="1F370725">
      <w:pPr>
        <w:spacing w:line="312"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2、我方同意按招标文件的规定，本投标文件的投标有效期限为开标后</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0天。</w:t>
      </w:r>
    </w:p>
    <w:p w14:paraId="3E23BA86">
      <w:pPr>
        <w:spacing w:line="312"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3、我方愿意提供招标文件中要求的原始资料及可能另外要求的与投标有关的任何资料，并保证我方已提供和将要提供的资料是真实的、准确的。</w:t>
      </w:r>
    </w:p>
    <w:p w14:paraId="6A7C5C8A">
      <w:pPr>
        <w:spacing w:line="312"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4、我方认为你们有权决定中标者。</w:t>
      </w:r>
    </w:p>
    <w:p w14:paraId="139C57C6">
      <w:pPr>
        <w:spacing w:line="312"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我方愿意遵守《中华人民共和国政府采购法》、《中华人民共和国政府采购法实施条例》，并按《中华人民共和国民法典》、财政部《政府采购货物和服务招标投标管理办法》和合同条款履行自己的全部责任。 </w:t>
      </w:r>
    </w:p>
    <w:p w14:paraId="15684243">
      <w:pPr>
        <w:spacing w:line="312"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6、我方认可并遵守采购文件的所有规定，放弃对招标（采购）文件、评标办法、评分细则及配分提出质疑的权利。 </w:t>
      </w:r>
    </w:p>
    <w:p w14:paraId="73DA1EB8">
      <w:pPr>
        <w:spacing w:line="400" w:lineRule="exact"/>
        <w:ind w:firstLine="480"/>
        <w:rPr>
          <w:rFonts w:ascii="宋体" w:hAnsi="宋体"/>
          <w:bCs/>
          <w:color w:val="auto"/>
          <w:sz w:val="24"/>
          <w:highlight w:val="none"/>
        </w:rPr>
      </w:pPr>
      <w:r>
        <w:rPr>
          <w:rFonts w:hint="eastAsia" w:ascii="宋体" w:hAnsi="宋体"/>
          <w:bCs/>
          <w:color w:val="auto"/>
          <w:sz w:val="24"/>
          <w:highlight w:val="none"/>
        </w:rPr>
        <w:t>7、如我们在投标截止期后撤回投标或中标后拒绝遵守投标承诺或拒绝在规定的时间内与采购人签订合同，则将接受相应处罚。</w:t>
      </w:r>
    </w:p>
    <w:p w14:paraId="7E912101">
      <w:pPr>
        <w:spacing w:line="400" w:lineRule="exact"/>
        <w:ind w:firstLine="480"/>
        <w:rPr>
          <w:rFonts w:ascii="宋体" w:hAnsi="宋体"/>
          <w:bCs/>
          <w:color w:val="auto"/>
          <w:sz w:val="24"/>
          <w:highlight w:val="none"/>
        </w:rPr>
      </w:pPr>
      <w:r>
        <w:rPr>
          <w:rFonts w:hint="eastAsia" w:ascii="宋体" w:hAnsi="宋体"/>
          <w:bCs/>
          <w:color w:val="auto"/>
          <w:sz w:val="24"/>
          <w:highlight w:val="none"/>
        </w:rPr>
        <w:t>8、一旦我方中标，我方将根据招标文件的规定，严格履行合同的责任和义务，保证按期、按质、按量完成项目。</w:t>
      </w:r>
    </w:p>
    <w:p w14:paraId="6C3D5CFA">
      <w:pPr>
        <w:spacing w:line="312" w:lineRule="auto"/>
        <w:ind w:firstLine="480"/>
        <w:rPr>
          <w:rFonts w:hint="eastAsia" w:ascii="宋体" w:hAnsi="宋体" w:cs="宋体"/>
          <w:color w:val="auto"/>
          <w:sz w:val="24"/>
          <w:szCs w:val="24"/>
          <w:highlight w:val="none"/>
        </w:rPr>
      </w:pPr>
    </w:p>
    <w:p w14:paraId="2283597E">
      <w:pPr>
        <w:spacing w:line="312"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投标单位：（电子签章）</w:t>
      </w:r>
    </w:p>
    <w:p w14:paraId="00475065">
      <w:pPr>
        <w:spacing w:line="312"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电话：                            传真：</w:t>
      </w:r>
    </w:p>
    <w:p w14:paraId="5AA61F32">
      <w:pPr>
        <w:spacing w:line="312"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地址：                            电子邮箱：</w:t>
      </w:r>
    </w:p>
    <w:p w14:paraId="6DACFB62">
      <w:pPr>
        <w:spacing w:line="312" w:lineRule="auto"/>
        <w:ind w:firstLine="480"/>
        <w:rPr>
          <w:rFonts w:hint="eastAsia" w:ascii="仿宋" w:hAnsi="仿宋" w:eastAsia="仿宋" w:cs="仿宋"/>
          <w:bCs/>
          <w:color w:val="auto"/>
          <w:sz w:val="24"/>
          <w:szCs w:val="22"/>
          <w:highlight w:val="none"/>
        </w:rPr>
      </w:pPr>
      <w:r>
        <w:rPr>
          <w:rFonts w:hint="eastAsia" w:ascii="宋体" w:hAnsi="宋体" w:cs="宋体"/>
          <w:color w:val="auto"/>
          <w:sz w:val="24"/>
          <w:szCs w:val="24"/>
          <w:highlight w:val="none"/>
        </w:rPr>
        <w:t>日期：         年         月       日</w:t>
      </w:r>
    </w:p>
    <w:p w14:paraId="19034A67">
      <w:pPr>
        <w:spacing w:line="400" w:lineRule="exact"/>
        <w:jc w:val="center"/>
        <w:outlineLvl w:val="1"/>
        <w:rPr>
          <w:rStyle w:val="238"/>
          <w:rFonts w:hint="eastAsia" w:ascii="仿宋" w:hAnsi="仿宋" w:eastAsia="仿宋" w:cs="仿宋"/>
          <w:bCs/>
          <w:color w:val="auto"/>
          <w:sz w:val="28"/>
          <w:szCs w:val="28"/>
          <w:highlight w:val="none"/>
        </w:rPr>
      </w:pPr>
      <w:r>
        <w:rPr>
          <w:rFonts w:hint="eastAsia" w:ascii="仿宋" w:hAnsi="仿宋" w:eastAsia="仿宋" w:cs="仿宋"/>
          <w:bCs/>
          <w:color w:val="auto"/>
          <w:sz w:val="24"/>
          <w:szCs w:val="22"/>
          <w:highlight w:val="none"/>
        </w:rPr>
        <w:br w:type="page" w:clear="all"/>
      </w:r>
    </w:p>
    <w:p w14:paraId="0420EACC">
      <w:pPr>
        <w:spacing w:line="400" w:lineRule="exact"/>
        <w:jc w:val="center"/>
        <w:outlineLvl w:val="1"/>
        <w:rPr>
          <w:rStyle w:val="238"/>
          <w:rFonts w:hint="eastAsia" w:ascii="仿宋" w:hAnsi="仿宋" w:eastAsia="仿宋" w:cs="仿宋"/>
          <w:b/>
          <w:color w:val="auto"/>
          <w:sz w:val="28"/>
          <w:szCs w:val="28"/>
          <w:highlight w:val="none"/>
        </w:rPr>
      </w:pPr>
      <w:r>
        <w:rPr>
          <w:rFonts w:hint="eastAsia" w:ascii="黑体" w:eastAsia="黑体"/>
          <w:color w:val="auto"/>
          <w:sz w:val="28"/>
          <w:szCs w:val="28"/>
          <w:highlight w:val="none"/>
        </w:rPr>
        <w:t>二、开标一览表</w:t>
      </w:r>
    </w:p>
    <w:p w14:paraId="20E06267">
      <w:pPr>
        <w:spacing w:line="400" w:lineRule="exact"/>
        <w:ind w:left="1020"/>
        <w:jc w:val="center"/>
        <w:outlineLvl w:val="1"/>
        <w:rPr>
          <w:rStyle w:val="238"/>
          <w:rFonts w:hint="eastAsia" w:ascii="仿宋" w:hAnsi="仿宋" w:eastAsia="仿宋" w:cs="仿宋"/>
          <w:b/>
          <w:bCs/>
          <w:color w:val="auto"/>
          <w:sz w:val="28"/>
          <w:szCs w:val="28"/>
          <w:highlight w:val="none"/>
        </w:rPr>
      </w:pPr>
      <w:r>
        <w:rPr>
          <w:rStyle w:val="238"/>
          <w:rFonts w:hint="eastAsia" w:ascii="仿宋" w:hAnsi="仿宋" w:eastAsia="仿宋" w:cs="仿宋"/>
          <w:b/>
          <w:bCs/>
          <w:color w:val="auto"/>
          <w:sz w:val="28"/>
          <w:szCs w:val="28"/>
          <w:highlight w:val="none"/>
        </w:rPr>
        <w:t xml:space="preserve"> </w:t>
      </w:r>
    </w:p>
    <w:tbl>
      <w:tblPr>
        <w:tblStyle w:val="3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2331"/>
        <w:gridCol w:w="6968"/>
      </w:tblGrid>
      <w:tr w14:paraId="383F08B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60" w:hRule="atLeast"/>
          <w:jc w:val="center"/>
        </w:trPr>
        <w:tc>
          <w:tcPr>
            <w:tcW w:w="2331" w:type="dxa"/>
            <w:noWrap w:val="0"/>
            <w:vAlign w:val="center"/>
          </w:tcPr>
          <w:p w14:paraId="21AA9B9B">
            <w:pPr>
              <w:widowControl/>
              <w:spacing w:line="4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项目编号</w:t>
            </w:r>
          </w:p>
        </w:tc>
        <w:tc>
          <w:tcPr>
            <w:tcW w:w="6968" w:type="dxa"/>
            <w:noWrap w:val="0"/>
            <w:vAlign w:val="center"/>
          </w:tcPr>
          <w:p w14:paraId="50CE26DE">
            <w:pPr>
              <w:widowControl/>
              <w:spacing w:line="400" w:lineRule="exact"/>
              <w:jc w:val="center"/>
              <w:rPr>
                <w:rFonts w:hint="eastAsia" w:ascii="宋体" w:hAnsi="宋体" w:eastAsia="宋体" w:cs="宋体"/>
                <w:color w:val="auto"/>
                <w:sz w:val="28"/>
                <w:szCs w:val="28"/>
                <w:highlight w:val="none"/>
                <w:lang w:eastAsia="zh-CN"/>
              </w:rPr>
            </w:pPr>
            <w:r>
              <w:rPr>
                <w:rFonts w:hint="eastAsia" w:ascii="宋体" w:hAnsi="宋体" w:cs="宋体"/>
                <w:color w:val="auto"/>
                <w:sz w:val="24"/>
                <w:szCs w:val="24"/>
                <w:highlight w:val="none"/>
                <w:lang w:eastAsia="zh-CN"/>
              </w:rPr>
              <w:t>JSZC-320281-HAZJ-G2026-0008</w:t>
            </w:r>
            <w:r>
              <w:rPr>
                <w:rFonts w:hint="eastAsia" w:ascii="宋体" w:hAnsi="宋体" w:eastAsia="宋体" w:cs="宋体"/>
                <w:color w:val="auto"/>
                <w:sz w:val="24"/>
                <w:szCs w:val="24"/>
                <w:highlight w:val="none"/>
                <w:lang w:val="en-US" w:eastAsia="zh-CN"/>
              </w:rPr>
              <w:t xml:space="preserve"> </w:t>
            </w:r>
          </w:p>
        </w:tc>
      </w:tr>
      <w:tr w14:paraId="53D2962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76" w:hRule="atLeast"/>
          <w:jc w:val="center"/>
        </w:trPr>
        <w:tc>
          <w:tcPr>
            <w:tcW w:w="2331" w:type="dxa"/>
            <w:noWrap w:val="0"/>
            <w:vAlign w:val="center"/>
          </w:tcPr>
          <w:p w14:paraId="1C73C4E6">
            <w:pPr>
              <w:widowControl/>
              <w:spacing w:line="4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项目名称</w:t>
            </w:r>
          </w:p>
        </w:tc>
        <w:tc>
          <w:tcPr>
            <w:tcW w:w="6968" w:type="dxa"/>
            <w:noWrap w:val="0"/>
            <w:vAlign w:val="center"/>
          </w:tcPr>
          <w:p w14:paraId="0C935FD2">
            <w:pPr>
              <w:widowControl/>
              <w:spacing w:line="400" w:lineRule="exact"/>
              <w:jc w:val="center"/>
              <w:rPr>
                <w:rFonts w:hint="eastAsia" w:ascii="宋体" w:hAnsi="宋体" w:eastAsia="宋体" w:cs="宋体"/>
                <w:color w:val="auto"/>
                <w:sz w:val="30"/>
                <w:szCs w:val="30"/>
                <w:highlight w:val="none"/>
                <w:lang w:eastAsia="zh-CN"/>
              </w:rPr>
            </w:pPr>
            <w:r>
              <w:rPr>
                <w:rFonts w:hint="eastAsia" w:ascii="宋体" w:hAnsi="宋体" w:cs="宋体"/>
                <w:color w:val="auto"/>
                <w:sz w:val="24"/>
                <w:szCs w:val="24"/>
                <w:highlight w:val="none"/>
                <w:lang w:eastAsia="zh-CN"/>
              </w:rPr>
              <w:t>江阴临港化工园区限值限量在线大气监测设备更换（二期）</w:t>
            </w:r>
          </w:p>
        </w:tc>
      </w:tr>
      <w:tr w14:paraId="65F867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678" w:hRule="atLeast"/>
          <w:jc w:val="center"/>
        </w:trPr>
        <w:tc>
          <w:tcPr>
            <w:tcW w:w="2331" w:type="dxa"/>
            <w:noWrap w:val="0"/>
            <w:vAlign w:val="center"/>
          </w:tcPr>
          <w:p w14:paraId="2F11EAED">
            <w:pPr>
              <w:widowControl/>
              <w:spacing w:line="4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项目</w:t>
            </w:r>
            <w:r>
              <w:rPr>
                <w:rFonts w:hint="eastAsia" w:ascii="宋体" w:hAnsi="宋体" w:cs="宋体"/>
                <w:color w:val="auto"/>
                <w:sz w:val="28"/>
                <w:szCs w:val="28"/>
                <w:highlight w:val="none"/>
              </w:rPr>
              <w:t>总价</w:t>
            </w:r>
          </w:p>
          <w:p w14:paraId="0B8AD065">
            <w:pPr>
              <w:widowControl/>
              <w:spacing w:line="400" w:lineRule="exact"/>
              <w:jc w:val="center"/>
              <w:rPr>
                <w:rFonts w:hint="eastAsia" w:ascii="宋体" w:hAnsi="宋体" w:cs="宋体"/>
                <w:color w:val="auto"/>
                <w:sz w:val="24"/>
                <w:szCs w:val="24"/>
                <w:highlight w:val="none"/>
              </w:rPr>
            </w:pPr>
            <w:r>
              <w:rPr>
                <w:rFonts w:hint="eastAsia" w:ascii="宋体" w:hAnsi="宋体" w:cs="宋体"/>
                <w:color w:val="auto"/>
                <w:sz w:val="28"/>
                <w:szCs w:val="28"/>
                <w:highlight w:val="none"/>
              </w:rPr>
              <w:t>（单位：元）</w:t>
            </w:r>
          </w:p>
        </w:tc>
        <w:tc>
          <w:tcPr>
            <w:tcW w:w="6968" w:type="dxa"/>
            <w:noWrap w:val="0"/>
            <w:vAlign w:val="center"/>
          </w:tcPr>
          <w:p w14:paraId="2FC92A81">
            <w:pPr>
              <w:widowControl/>
              <w:spacing w:line="400" w:lineRule="exact"/>
              <w:ind w:firstLine="480"/>
              <w:jc w:val="center"/>
              <w:rPr>
                <w:rFonts w:ascii="宋体" w:hAnsi="宋体" w:cs="宋体"/>
                <w:color w:val="auto"/>
                <w:sz w:val="24"/>
                <w:szCs w:val="24"/>
                <w:highlight w:val="none"/>
              </w:rPr>
            </w:pPr>
            <w:r>
              <w:rPr>
                <w:rFonts w:hint="eastAsia" w:ascii="宋体" w:hAnsi="宋体" w:cs="宋体"/>
                <w:color w:val="auto"/>
                <w:sz w:val="24"/>
                <w:szCs w:val="24"/>
                <w:highlight w:val="none"/>
              </w:rPr>
              <w:t>以“标书制作客户端一一基本目录一一开标一览表”中</w:t>
            </w:r>
          </w:p>
          <w:p w14:paraId="1C63924C">
            <w:pPr>
              <w:widowControl/>
              <w:spacing w:line="360" w:lineRule="auto"/>
              <w:ind w:firstLine="960"/>
              <w:jc w:val="left"/>
              <w:rPr>
                <w:rStyle w:val="238"/>
                <w:rFonts w:hint="eastAsia" w:ascii="宋体" w:hAnsi="宋体" w:cs="宋体"/>
                <w:color w:val="auto"/>
                <w:sz w:val="24"/>
                <w:szCs w:val="24"/>
                <w:highlight w:val="none"/>
              </w:rPr>
            </w:pPr>
            <w:r>
              <w:rPr>
                <w:rFonts w:hint="eastAsia" w:ascii="宋体" w:hAnsi="宋体" w:cs="宋体"/>
                <w:color w:val="auto"/>
                <w:sz w:val="24"/>
                <w:szCs w:val="24"/>
                <w:highlight w:val="none"/>
              </w:rPr>
              <w:t>填写的金额为准。</w:t>
            </w:r>
          </w:p>
        </w:tc>
      </w:tr>
    </w:tbl>
    <w:p w14:paraId="2E1780F0">
      <w:pPr>
        <w:spacing w:line="400" w:lineRule="exact"/>
        <w:ind w:firstLine="720"/>
        <w:jc w:val="center"/>
        <w:rPr>
          <w:rFonts w:hint="eastAsia" w:ascii="宋体" w:hAnsi="宋体" w:cs="宋体"/>
          <w:bCs/>
          <w:color w:val="auto"/>
          <w:sz w:val="24"/>
          <w:szCs w:val="24"/>
          <w:highlight w:val="none"/>
        </w:rPr>
      </w:pPr>
    </w:p>
    <w:p w14:paraId="78720E6F">
      <w:pPr>
        <w:spacing w:line="400" w:lineRule="exact"/>
        <w:ind w:firstLine="72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投标单位（电子签章）：</w:t>
      </w:r>
    </w:p>
    <w:p w14:paraId="27F7AF52">
      <w:pPr>
        <w:spacing w:line="400" w:lineRule="exact"/>
        <w:jc w:val="center"/>
        <w:rPr>
          <w:rFonts w:hint="eastAsia" w:ascii="宋体" w:hAnsi="宋体" w:cs="宋体"/>
          <w:bCs/>
          <w:color w:val="auto"/>
          <w:sz w:val="24"/>
          <w:szCs w:val="24"/>
          <w:highlight w:val="none"/>
        </w:rPr>
      </w:pPr>
    </w:p>
    <w:p w14:paraId="005E64A3">
      <w:pPr>
        <w:spacing w:line="400" w:lineRule="exact"/>
        <w:ind w:firstLine="480"/>
        <w:jc w:val="center"/>
        <w:rPr>
          <w:rFonts w:hint="eastAsia" w:ascii="宋体" w:hAnsi="宋体" w:cs="宋体"/>
          <w:color w:val="auto"/>
          <w:sz w:val="24"/>
          <w:szCs w:val="24"/>
          <w:highlight w:val="none"/>
        </w:rPr>
      </w:pPr>
    </w:p>
    <w:p w14:paraId="259F0ACE">
      <w:pPr>
        <w:spacing w:line="400" w:lineRule="exact"/>
        <w:ind w:firstLine="480"/>
        <w:jc w:val="center"/>
        <w:rPr>
          <w:rFonts w:hint="eastAsia" w:ascii="仿宋" w:hAnsi="仿宋" w:eastAsia="仿宋" w:cs="仿宋"/>
          <w:color w:val="auto"/>
          <w:sz w:val="28"/>
          <w:szCs w:val="28"/>
          <w:highlight w:val="none"/>
        </w:rPr>
      </w:pPr>
      <w:r>
        <w:rPr>
          <w:rFonts w:hint="eastAsia" w:ascii="宋体" w:hAnsi="宋体" w:cs="宋体"/>
          <w:color w:val="auto"/>
          <w:sz w:val="24"/>
          <w:szCs w:val="24"/>
          <w:highlight w:val="none"/>
        </w:rPr>
        <w:t>日期：     年    月    日</w:t>
      </w:r>
    </w:p>
    <w:p w14:paraId="422152CD">
      <w:pPr>
        <w:spacing w:line="400" w:lineRule="exact"/>
        <w:jc w:val="center"/>
        <w:outlineLvl w:val="1"/>
        <w:rPr>
          <w:rFonts w:hint="eastAsia" w:ascii="仿宋" w:hAnsi="仿宋" w:eastAsia="仿宋" w:cs="仿宋"/>
          <w:color w:val="auto"/>
          <w:sz w:val="28"/>
          <w:szCs w:val="28"/>
          <w:highlight w:val="none"/>
        </w:rPr>
      </w:pPr>
    </w:p>
    <w:p w14:paraId="193D5041">
      <w:pPr>
        <w:spacing w:line="400" w:lineRule="exact"/>
        <w:outlineLvl w:val="1"/>
        <w:rPr>
          <w:rStyle w:val="238"/>
          <w:rFonts w:hint="eastAsia" w:ascii="仿宋" w:hAnsi="仿宋" w:eastAsia="仿宋" w:cs="仿宋"/>
          <w:b/>
          <w:color w:val="auto"/>
          <w:sz w:val="28"/>
          <w:szCs w:val="28"/>
          <w:highlight w:val="none"/>
        </w:rPr>
      </w:pPr>
    </w:p>
    <w:p w14:paraId="762960E8">
      <w:pPr>
        <w:spacing w:line="400" w:lineRule="exact"/>
        <w:outlineLvl w:val="1"/>
        <w:rPr>
          <w:rStyle w:val="238"/>
          <w:rFonts w:hint="eastAsia" w:ascii="仿宋" w:hAnsi="仿宋" w:eastAsia="仿宋" w:cs="仿宋"/>
          <w:b/>
          <w:color w:val="auto"/>
          <w:sz w:val="28"/>
          <w:szCs w:val="28"/>
          <w:highlight w:val="none"/>
        </w:rPr>
      </w:pPr>
    </w:p>
    <w:p w14:paraId="6728406B">
      <w:pPr>
        <w:spacing w:line="400" w:lineRule="exact"/>
        <w:outlineLvl w:val="1"/>
        <w:rPr>
          <w:rStyle w:val="238"/>
          <w:rFonts w:hint="eastAsia" w:ascii="仿宋" w:hAnsi="仿宋" w:eastAsia="仿宋" w:cs="仿宋"/>
          <w:b/>
          <w:color w:val="auto"/>
          <w:sz w:val="28"/>
          <w:szCs w:val="28"/>
          <w:highlight w:val="none"/>
        </w:rPr>
      </w:pPr>
    </w:p>
    <w:p w14:paraId="0197A4D6">
      <w:pPr>
        <w:spacing w:line="400" w:lineRule="exact"/>
        <w:outlineLvl w:val="1"/>
        <w:rPr>
          <w:rStyle w:val="238"/>
          <w:rFonts w:hint="eastAsia" w:ascii="仿宋" w:hAnsi="仿宋" w:eastAsia="仿宋" w:cs="仿宋"/>
          <w:b/>
          <w:color w:val="auto"/>
          <w:sz w:val="28"/>
          <w:szCs w:val="28"/>
          <w:highlight w:val="none"/>
        </w:rPr>
      </w:pPr>
    </w:p>
    <w:p w14:paraId="3D20F1ED">
      <w:pPr>
        <w:spacing w:line="400" w:lineRule="exact"/>
        <w:outlineLvl w:val="1"/>
        <w:rPr>
          <w:rStyle w:val="238"/>
          <w:rFonts w:hint="eastAsia" w:ascii="仿宋" w:hAnsi="仿宋" w:eastAsia="仿宋" w:cs="仿宋"/>
          <w:b/>
          <w:color w:val="auto"/>
          <w:sz w:val="28"/>
          <w:szCs w:val="28"/>
          <w:highlight w:val="none"/>
        </w:rPr>
      </w:pPr>
    </w:p>
    <w:p w14:paraId="7E9A0D2E">
      <w:pPr>
        <w:spacing w:line="400" w:lineRule="exact"/>
        <w:jc w:val="center"/>
        <w:outlineLvl w:val="1"/>
        <w:rPr>
          <w:rStyle w:val="238"/>
          <w:rFonts w:ascii="仿宋" w:hAnsi="仿宋" w:eastAsia="黑体" w:cs="仿宋"/>
          <w:b/>
          <w:color w:val="auto"/>
          <w:sz w:val="28"/>
          <w:szCs w:val="28"/>
          <w:highlight w:val="none"/>
        </w:rPr>
      </w:pPr>
      <w:r>
        <w:rPr>
          <w:rFonts w:hint="eastAsia" w:ascii="黑体" w:eastAsia="黑体"/>
          <w:color w:val="auto"/>
          <w:sz w:val="28"/>
          <w:szCs w:val="28"/>
          <w:highlight w:val="none"/>
        </w:rPr>
        <w:br w:type="page" w:clear="all"/>
      </w:r>
      <w:r>
        <w:rPr>
          <w:rFonts w:hint="eastAsia" w:ascii="黑体" w:eastAsia="黑体"/>
          <w:color w:val="auto"/>
          <w:sz w:val="28"/>
          <w:szCs w:val="28"/>
          <w:highlight w:val="none"/>
        </w:rPr>
        <w:t>三、报价明细表</w:t>
      </w:r>
    </w:p>
    <w:p w14:paraId="76D4AE13">
      <w:pPr>
        <w:spacing w:line="400" w:lineRule="exact"/>
        <w:ind w:firstLine="720"/>
        <w:jc w:val="center"/>
        <w:rPr>
          <w:rFonts w:hint="eastAsia" w:ascii="宋体" w:hAnsi="宋体" w:cs="宋体"/>
          <w:bCs/>
          <w:color w:val="auto"/>
          <w:sz w:val="24"/>
          <w:szCs w:val="24"/>
          <w:highlight w:val="none"/>
        </w:rPr>
      </w:pPr>
    </w:p>
    <w:p w14:paraId="16E0478F">
      <w:pPr>
        <w:spacing w:line="360" w:lineRule="auto"/>
        <w:ind w:firstLine="480"/>
        <w:rPr>
          <w:rFonts w:hint="eastAsia" w:ascii="仿宋" w:hAnsi="仿宋" w:eastAsia="仿宋" w:cs="仿宋"/>
          <w:bCs/>
          <w:color w:val="auto"/>
          <w:sz w:val="24"/>
          <w:szCs w:val="22"/>
          <w:highlight w:val="none"/>
        </w:rPr>
      </w:pPr>
      <w:r>
        <w:rPr>
          <w:rFonts w:hint="eastAsia" w:ascii="宋体" w:hAnsi="宋体" w:eastAsia="宋体" w:cs="宋体"/>
          <w:color w:val="auto"/>
          <w:sz w:val="24"/>
          <w:highlight w:val="none"/>
        </w:rPr>
        <w:t>费用报价明细表，格式自拟</w:t>
      </w:r>
    </w:p>
    <w:p w14:paraId="7287A793">
      <w:pPr>
        <w:spacing w:line="400" w:lineRule="exact"/>
        <w:ind w:firstLine="600"/>
        <w:rPr>
          <w:rFonts w:hint="eastAsia" w:ascii="仿宋" w:hAnsi="仿宋" w:eastAsia="仿宋" w:cs="仿宋"/>
          <w:bCs/>
          <w:color w:val="auto"/>
          <w:sz w:val="24"/>
          <w:szCs w:val="22"/>
          <w:highlight w:val="none"/>
        </w:rPr>
      </w:pPr>
    </w:p>
    <w:p w14:paraId="16CCB9FE">
      <w:pPr>
        <w:spacing w:line="400" w:lineRule="exact"/>
        <w:ind w:firstLine="48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投标单位（电子签章）：  </w:t>
      </w:r>
    </w:p>
    <w:p w14:paraId="238B76A2">
      <w:pPr>
        <w:spacing w:line="400" w:lineRule="exact"/>
        <w:ind w:firstLine="48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p>
    <w:p w14:paraId="2D7B92BA">
      <w:pPr>
        <w:spacing w:line="400" w:lineRule="exact"/>
        <w:ind w:firstLine="48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p>
    <w:p w14:paraId="2B0395B7">
      <w:pPr>
        <w:spacing w:line="400" w:lineRule="exact"/>
        <w:ind w:firstLine="480"/>
        <w:jc w:val="center"/>
        <w:rPr>
          <w:rFonts w:hint="eastAsia" w:ascii="仿宋" w:hAnsi="仿宋" w:eastAsia="仿宋" w:cs="仿宋"/>
          <w:bCs/>
          <w:color w:val="auto"/>
          <w:sz w:val="24"/>
          <w:szCs w:val="22"/>
          <w:highlight w:val="none"/>
        </w:rPr>
      </w:pPr>
      <w:r>
        <w:rPr>
          <w:rFonts w:hint="eastAsia" w:ascii="宋体" w:hAnsi="宋体" w:cs="宋体"/>
          <w:bCs/>
          <w:color w:val="auto"/>
          <w:sz w:val="24"/>
          <w:szCs w:val="24"/>
          <w:highlight w:val="none"/>
        </w:rPr>
        <w:t xml:space="preserve">                                        日期：     年    月    日</w:t>
      </w:r>
    </w:p>
    <w:p w14:paraId="58BAFD1A">
      <w:pPr>
        <w:spacing w:line="400" w:lineRule="exact"/>
        <w:ind w:firstLine="840"/>
        <w:jc w:val="center"/>
        <w:outlineLvl w:val="1"/>
        <w:rPr>
          <w:rFonts w:ascii="黑体" w:eastAsia="黑体"/>
          <w:color w:val="auto"/>
          <w:sz w:val="28"/>
          <w:szCs w:val="28"/>
          <w:highlight w:val="none"/>
        </w:rPr>
      </w:pPr>
      <w:r>
        <w:rPr>
          <w:rFonts w:hint="eastAsia" w:ascii="黑体" w:eastAsia="黑体"/>
          <w:color w:val="auto"/>
          <w:sz w:val="28"/>
          <w:szCs w:val="28"/>
          <w:highlight w:val="none"/>
        </w:rPr>
        <w:br w:type="page" w:clear="all"/>
      </w:r>
      <w:r>
        <w:rPr>
          <w:rFonts w:hint="eastAsia" w:ascii="黑体" w:eastAsia="黑体"/>
          <w:color w:val="auto"/>
          <w:sz w:val="28"/>
          <w:szCs w:val="28"/>
          <w:highlight w:val="none"/>
        </w:rPr>
        <w:t>四、项目服务方案</w:t>
      </w:r>
    </w:p>
    <w:p w14:paraId="16AA370F">
      <w:pPr>
        <w:spacing w:line="400" w:lineRule="exact"/>
        <w:jc w:val="center"/>
        <w:outlineLvl w:val="1"/>
        <w:rPr>
          <w:rFonts w:ascii="宋体" w:hAnsi="宋体"/>
          <w:b/>
          <w:color w:val="auto"/>
          <w:sz w:val="28"/>
          <w:szCs w:val="28"/>
          <w:highlight w:val="none"/>
        </w:rPr>
      </w:pPr>
    </w:p>
    <w:p w14:paraId="5E3D74FE">
      <w:pPr>
        <w:spacing w:line="300" w:lineRule="exact"/>
        <w:ind w:firstLine="560"/>
        <w:rPr>
          <w:rFonts w:ascii="宋体" w:hAnsi="宋体"/>
          <w:bCs/>
          <w:color w:val="auto"/>
          <w:szCs w:val="21"/>
          <w:highlight w:val="none"/>
        </w:rPr>
      </w:pPr>
      <w:r>
        <w:rPr>
          <w:rFonts w:hint="eastAsia"/>
          <w:color w:val="auto"/>
          <w:sz w:val="28"/>
          <w:highlight w:val="none"/>
        </w:rPr>
        <w:t>根据采购文件评分标准内技术部分自行拟定</w:t>
      </w:r>
      <w:r>
        <w:rPr>
          <w:color w:val="auto"/>
          <w:sz w:val="28"/>
          <w:highlight w:val="none"/>
        </w:rPr>
        <w:t>：</w:t>
      </w:r>
    </w:p>
    <w:p w14:paraId="6781353F">
      <w:pPr>
        <w:spacing w:line="500" w:lineRule="exac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w:t>
      </w:r>
    </w:p>
    <w:p w14:paraId="28ECC6CE">
      <w:pPr>
        <w:spacing w:line="500" w:lineRule="exact"/>
        <w:rPr>
          <w:rFonts w:ascii="宋体" w:hAnsi="宋体"/>
          <w:color w:val="auto"/>
          <w:sz w:val="28"/>
          <w:szCs w:val="28"/>
          <w:highlight w:val="none"/>
        </w:rPr>
      </w:pPr>
      <w:r>
        <w:rPr>
          <w:rFonts w:hint="eastAsia" w:ascii="宋体" w:hAnsi="宋体"/>
          <w:b/>
          <w:color w:val="auto"/>
          <w:sz w:val="24"/>
          <w:szCs w:val="24"/>
          <w:highlight w:val="none"/>
          <w:u w:val="single"/>
        </w:rPr>
        <w:t>　　　　　　　　　　　　　　　　　　　　　　　　　　　　　　　　　 　　　　</w:t>
      </w:r>
    </w:p>
    <w:p w14:paraId="1525D287">
      <w:pPr>
        <w:spacing w:line="500" w:lineRule="exac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w:t>
      </w:r>
    </w:p>
    <w:p w14:paraId="5D9D2F29">
      <w:pPr>
        <w:spacing w:line="500" w:lineRule="exact"/>
        <w:rPr>
          <w:rFonts w:ascii="宋体" w:hAnsi="宋体"/>
          <w:color w:val="auto"/>
          <w:sz w:val="28"/>
          <w:szCs w:val="28"/>
          <w:highlight w:val="none"/>
        </w:rPr>
      </w:pPr>
      <w:r>
        <w:rPr>
          <w:rFonts w:hint="eastAsia" w:ascii="宋体" w:hAnsi="宋体"/>
          <w:b/>
          <w:color w:val="auto"/>
          <w:sz w:val="24"/>
          <w:szCs w:val="24"/>
          <w:highlight w:val="none"/>
          <w:u w:val="single"/>
        </w:rPr>
        <w:t>　　　　　　　　　　　　　　　　　　　　　　　　　　　　　　　　 　　　　　</w:t>
      </w:r>
    </w:p>
    <w:p w14:paraId="1B3E353B">
      <w:pPr>
        <w:spacing w:line="500" w:lineRule="exac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w:t>
      </w:r>
    </w:p>
    <w:p w14:paraId="04268C69">
      <w:pPr>
        <w:spacing w:line="500" w:lineRule="exact"/>
        <w:rPr>
          <w:rFonts w:ascii="宋体" w:hAnsi="宋体"/>
          <w:color w:val="auto"/>
          <w:sz w:val="28"/>
          <w:szCs w:val="28"/>
          <w:highlight w:val="none"/>
        </w:rPr>
      </w:pPr>
      <w:r>
        <w:rPr>
          <w:rFonts w:hint="eastAsia" w:ascii="宋体" w:hAnsi="宋体"/>
          <w:b/>
          <w:color w:val="auto"/>
          <w:sz w:val="24"/>
          <w:szCs w:val="24"/>
          <w:highlight w:val="none"/>
          <w:u w:val="single"/>
        </w:rPr>
        <w:t>　　　　　　　　　　　　　　　　　　　　　　　　　　　　　　　　　 　　　　</w:t>
      </w:r>
    </w:p>
    <w:p w14:paraId="54973761">
      <w:pPr>
        <w:spacing w:line="500" w:lineRule="exac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w:t>
      </w:r>
    </w:p>
    <w:p w14:paraId="1CCE6F2C">
      <w:pPr>
        <w:spacing w:line="500" w:lineRule="exact"/>
        <w:rPr>
          <w:rFonts w:ascii="宋体" w:hAnsi="宋体"/>
          <w:color w:val="auto"/>
          <w:sz w:val="28"/>
          <w:szCs w:val="28"/>
          <w:highlight w:val="none"/>
        </w:rPr>
      </w:pPr>
      <w:r>
        <w:rPr>
          <w:rFonts w:hint="eastAsia" w:ascii="宋体" w:hAnsi="宋体"/>
          <w:b/>
          <w:color w:val="auto"/>
          <w:sz w:val="24"/>
          <w:szCs w:val="24"/>
          <w:highlight w:val="none"/>
          <w:u w:val="single"/>
        </w:rPr>
        <w:t>　　　　　　　　　　　　　　　　　　　　　　　　　　　　　　　　 　　　　　</w:t>
      </w:r>
    </w:p>
    <w:p w14:paraId="64EF0C25">
      <w:pPr>
        <w:spacing w:line="500" w:lineRule="exac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w:t>
      </w:r>
    </w:p>
    <w:p w14:paraId="09D35387">
      <w:pPr>
        <w:spacing w:line="500" w:lineRule="exact"/>
        <w:rPr>
          <w:rFonts w:ascii="宋体" w:hAnsi="宋体"/>
          <w:color w:val="auto"/>
          <w:sz w:val="28"/>
          <w:szCs w:val="28"/>
          <w:highlight w:val="none"/>
        </w:rPr>
      </w:pPr>
      <w:r>
        <w:rPr>
          <w:rFonts w:hint="eastAsia" w:ascii="宋体" w:hAnsi="宋体"/>
          <w:b/>
          <w:color w:val="auto"/>
          <w:sz w:val="24"/>
          <w:szCs w:val="24"/>
          <w:highlight w:val="none"/>
          <w:u w:val="single"/>
        </w:rPr>
        <w:t>　　　　　　　　　　　　　　　　　　　　　　　　　　　　　　　　　 　　　　</w:t>
      </w:r>
    </w:p>
    <w:p w14:paraId="693C18A2">
      <w:pPr>
        <w:spacing w:line="500" w:lineRule="exac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w:t>
      </w:r>
    </w:p>
    <w:p w14:paraId="1043F5E4">
      <w:pPr>
        <w:spacing w:line="500" w:lineRule="exact"/>
        <w:rPr>
          <w:rFonts w:ascii="宋体" w:hAnsi="宋体"/>
          <w:color w:val="auto"/>
          <w:sz w:val="28"/>
          <w:szCs w:val="28"/>
          <w:highlight w:val="none"/>
        </w:rPr>
      </w:pPr>
      <w:r>
        <w:rPr>
          <w:rFonts w:hint="eastAsia" w:ascii="宋体" w:hAnsi="宋体"/>
          <w:b/>
          <w:color w:val="auto"/>
          <w:sz w:val="24"/>
          <w:szCs w:val="24"/>
          <w:highlight w:val="none"/>
          <w:u w:val="single"/>
        </w:rPr>
        <w:t>　　　　　　　　　　　　　　　　　　　　　　　　　　　　　　　　 　　　　　</w:t>
      </w:r>
    </w:p>
    <w:p w14:paraId="74F0CBED">
      <w:pPr>
        <w:spacing w:line="500" w:lineRule="exac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w:t>
      </w:r>
    </w:p>
    <w:p w14:paraId="6DFE291B">
      <w:pPr>
        <w:spacing w:line="500" w:lineRule="exact"/>
        <w:rPr>
          <w:rFonts w:ascii="宋体" w:hAnsi="宋体"/>
          <w:color w:val="auto"/>
          <w:sz w:val="28"/>
          <w:szCs w:val="28"/>
          <w:highlight w:val="none"/>
        </w:rPr>
      </w:pPr>
      <w:r>
        <w:rPr>
          <w:rFonts w:hint="eastAsia" w:ascii="宋体" w:hAnsi="宋体"/>
          <w:b/>
          <w:color w:val="auto"/>
          <w:sz w:val="24"/>
          <w:szCs w:val="24"/>
          <w:highlight w:val="none"/>
          <w:u w:val="single"/>
        </w:rPr>
        <w:t>　　　　　　　　　　　　　　　　　　　　　　　　　　　　　　　　　 　　　　</w:t>
      </w:r>
    </w:p>
    <w:p w14:paraId="5CD6CE8D">
      <w:pPr>
        <w:spacing w:line="500" w:lineRule="exac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w:t>
      </w:r>
    </w:p>
    <w:p w14:paraId="5411ED36">
      <w:pPr>
        <w:spacing w:line="500" w:lineRule="exact"/>
        <w:rPr>
          <w:rFonts w:ascii="宋体" w:hAnsi="宋体"/>
          <w:color w:val="auto"/>
          <w:sz w:val="28"/>
          <w:szCs w:val="28"/>
          <w:highlight w:val="none"/>
        </w:rPr>
      </w:pPr>
      <w:r>
        <w:rPr>
          <w:rFonts w:hint="eastAsia" w:ascii="宋体" w:hAnsi="宋体"/>
          <w:b/>
          <w:color w:val="auto"/>
          <w:sz w:val="24"/>
          <w:szCs w:val="24"/>
          <w:highlight w:val="none"/>
          <w:u w:val="single"/>
        </w:rPr>
        <w:t>　　　　　　　　　　　　　　　　　　　　　　　　　　　　　　　　 　　　　　</w:t>
      </w:r>
    </w:p>
    <w:p w14:paraId="3087E727">
      <w:pPr>
        <w:spacing w:line="500" w:lineRule="exac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w:t>
      </w:r>
    </w:p>
    <w:p w14:paraId="20ABC17F">
      <w:pPr>
        <w:spacing w:line="500" w:lineRule="exact"/>
        <w:rPr>
          <w:rFonts w:ascii="宋体" w:hAnsi="宋体"/>
          <w:color w:val="auto"/>
          <w:sz w:val="28"/>
          <w:szCs w:val="28"/>
          <w:highlight w:val="none"/>
        </w:rPr>
      </w:pPr>
      <w:r>
        <w:rPr>
          <w:rFonts w:hint="eastAsia" w:ascii="宋体" w:hAnsi="宋体"/>
          <w:b/>
          <w:color w:val="auto"/>
          <w:sz w:val="24"/>
          <w:szCs w:val="24"/>
          <w:highlight w:val="none"/>
          <w:u w:val="single"/>
        </w:rPr>
        <w:t>　　　　　　　　　　　　　　　　　　　　　　　　　　　　　　　　　 　　　　</w:t>
      </w:r>
    </w:p>
    <w:p w14:paraId="6DC7B7FF">
      <w:pPr>
        <w:spacing w:line="500" w:lineRule="exac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w:t>
      </w:r>
    </w:p>
    <w:p w14:paraId="7E359385">
      <w:pPr>
        <w:spacing w:line="500" w:lineRule="exact"/>
        <w:rPr>
          <w:rFonts w:ascii="宋体" w:hAnsi="宋体"/>
          <w:color w:val="auto"/>
          <w:sz w:val="28"/>
          <w:szCs w:val="28"/>
          <w:highlight w:val="none"/>
        </w:rPr>
      </w:pPr>
      <w:r>
        <w:rPr>
          <w:rFonts w:hint="eastAsia" w:ascii="宋体" w:hAnsi="宋体"/>
          <w:b/>
          <w:color w:val="auto"/>
          <w:sz w:val="24"/>
          <w:szCs w:val="24"/>
          <w:highlight w:val="none"/>
          <w:u w:val="single"/>
        </w:rPr>
        <w:t>　　　　　　　　　　　　　　　　　　　　　　　　　　　　　　　　 　　　　　</w:t>
      </w:r>
    </w:p>
    <w:p w14:paraId="35ED8953">
      <w:pPr>
        <w:spacing w:line="500" w:lineRule="exac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w:t>
      </w:r>
    </w:p>
    <w:p w14:paraId="21BD14C4">
      <w:pPr>
        <w:spacing w:line="500" w:lineRule="exact"/>
        <w:rPr>
          <w:rFonts w:ascii="宋体" w:hAnsi="宋体"/>
          <w:color w:val="auto"/>
          <w:sz w:val="28"/>
          <w:szCs w:val="28"/>
          <w:highlight w:val="none"/>
        </w:rPr>
      </w:pPr>
      <w:r>
        <w:rPr>
          <w:rFonts w:hint="eastAsia" w:ascii="宋体" w:hAnsi="宋体"/>
          <w:b/>
          <w:color w:val="auto"/>
          <w:sz w:val="24"/>
          <w:szCs w:val="24"/>
          <w:highlight w:val="none"/>
          <w:u w:val="single"/>
        </w:rPr>
        <w:t>　　　　　　　　　　　　　　　　　　　　　　　　　　　　　　　　　 　　　　</w:t>
      </w:r>
    </w:p>
    <w:p w14:paraId="6D33A943">
      <w:pPr>
        <w:spacing w:line="500" w:lineRule="exac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w:t>
      </w:r>
    </w:p>
    <w:p w14:paraId="16713570">
      <w:pPr>
        <w:spacing w:line="500" w:lineRule="exact"/>
        <w:rPr>
          <w:rFonts w:ascii="宋体" w:hAnsi="宋体"/>
          <w:b/>
          <w:color w:val="auto"/>
          <w:sz w:val="24"/>
          <w:szCs w:val="24"/>
          <w:highlight w:val="none"/>
          <w:u w:val="single"/>
        </w:rPr>
      </w:pPr>
      <w:r>
        <w:rPr>
          <w:rFonts w:hint="eastAsia" w:ascii="宋体" w:hAnsi="宋体"/>
          <w:b/>
          <w:color w:val="auto"/>
          <w:sz w:val="24"/>
          <w:szCs w:val="24"/>
          <w:highlight w:val="none"/>
          <w:u w:val="single"/>
        </w:rPr>
        <w:t>　　　　　　　　　　　　　　　　　　　　　　　　　　　　　　　　 　　　　　</w:t>
      </w:r>
    </w:p>
    <w:p w14:paraId="6B88BEF4">
      <w:pPr>
        <w:spacing w:line="400" w:lineRule="exact"/>
        <w:jc w:val="center"/>
        <w:outlineLvl w:val="1"/>
        <w:rPr>
          <w:rFonts w:hint="eastAsia" w:ascii="黑体" w:eastAsia="黑体"/>
          <w:color w:val="auto"/>
          <w:sz w:val="28"/>
          <w:szCs w:val="28"/>
          <w:highlight w:val="none"/>
        </w:rPr>
      </w:pPr>
    </w:p>
    <w:p w14:paraId="3381391D">
      <w:pPr>
        <w:spacing w:line="400" w:lineRule="exact"/>
        <w:jc w:val="center"/>
        <w:outlineLvl w:val="1"/>
        <w:rPr>
          <w:rFonts w:hint="eastAsia" w:ascii="黑体" w:eastAsia="黑体"/>
          <w:color w:val="auto"/>
          <w:sz w:val="28"/>
          <w:szCs w:val="28"/>
          <w:highlight w:val="none"/>
        </w:rPr>
      </w:pPr>
    </w:p>
    <w:p w14:paraId="08E25A4C">
      <w:pPr>
        <w:pStyle w:val="190"/>
        <w:rPr>
          <w:rFonts w:hint="eastAsia" w:ascii="宋体" w:hAnsi="宋体" w:cs="宋体"/>
          <w:color w:val="auto"/>
          <w:highlight w:val="none"/>
        </w:rPr>
      </w:pPr>
    </w:p>
    <w:p w14:paraId="5F4506A3">
      <w:pPr>
        <w:spacing w:line="300" w:lineRule="exact"/>
        <w:jc w:val="center"/>
        <w:rPr>
          <w:rFonts w:ascii="黑体" w:eastAsia="黑体"/>
          <w:color w:val="auto"/>
          <w:sz w:val="28"/>
          <w:szCs w:val="28"/>
          <w:highlight w:val="none"/>
        </w:rPr>
      </w:pPr>
      <w:r>
        <w:rPr>
          <w:rFonts w:hint="eastAsia" w:ascii="黑体" w:eastAsia="黑体"/>
          <w:color w:val="auto"/>
          <w:sz w:val="28"/>
          <w:szCs w:val="28"/>
          <w:highlight w:val="none"/>
        </w:rPr>
        <w:t>五、投标偏离表</w:t>
      </w:r>
    </w:p>
    <w:p w14:paraId="7196B131">
      <w:pPr>
        <w:spacing w:line="360" w:lineRule="exact"/>
        <w:jc w:val="center"/>
        <w:rPr>
          <w:rFonts w:ascii="宋体" w:hAnsi="宋体"/>
          <w:b/>
          <w:color w:val="auto"/>
          <w:sz w:val="28"/>
          <w:szCs w:val="28"/>
          <w:highlight w:val="none"/>
        </w:rPr>
      </w:pPr>
    </w:p>
    <w:p w14:paraId="770E7033">
      <w:pPr>
        <w:spacing w:line="400" w:lineRule="exact"/>
        <w:rPr>
          <w:rFonts w:ascii="宋体" w:hAnsi="宋体" w:cs="宋体"/>
          <w:bCs/>
          <w:color w:val="auto"/>
          <w:sz w:val="24"/>
          <w:highlight w:val="none"/>
        </w:rPr>
      </w:pPr>
      <w:r>
        <w:rPr>
          <w:rFonts w:hint="eastAsia" w:ascii="宋体" w:hAnsi="宋体" w:cs="宋体"/>
          <w:bCs/>
          <w:color w:val="auto"/>
          <w:sz w:val="24"/>
          <w:highlight w:val="none"/>
        </w:rPr>
        <w:t>投标人名称（盖章）                              采购项目编号：</w:t>
      </w:r>
    </w:p>
    <w:tbl>
      <w:tblPr>
        <w:tblStyle w:val="34"/>
        <w:tblW w:w="9885" w:type="dxa"/>
        <w:tblInd w:w="-15" w:type="dxa"/>
        <w:tblLayout w:type="fixed"/>
        <w:tblCellMar>
          <w:top w:w="15" w:type="dxa"/>
          <w:left w:w="15" w:type="dxa"/>
          <w:bottom w:w="0" w:type="dxa"/>
          <w:right w:w="15" w:type="dxa"/>
        </w:tblCellMar>
      </w:tblPr>
      <w:tblGrid>
        <w:gridCol w:w="1905"/>
        <w:gridCol w:w="2835"/>
        <w:gridCol w:w="2835"/>
        <w:gridCol w:w="2310"/>
      </w:tblGrid>
      <w:tr w14:paraId="6F73694B">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91F2B3B">
            <w:pPr>
              <w:jc w:val="center"/>
              <w:rPr>
                <w:rFonts w:ascii="宋体"/>
                <w:b/>
                <w:bCs/>
                <w:color w:val="auto"/>
                <w:sz w:val="24"/>
                <w:highlight w:val="none"/>
              </w:rPr>
            </w:pPr>
            <w:r>
              <w:rPr>
                <w:rFonts w:hint="eastAsia" w:ascii="宋体" w:hAnsi="宋体"/>
                <w:b/>
                <w:bCs/>
                <w:color w:val="auto"/>
                <w:sz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44A6EF2">
            <w:pPr>
              <w:jc w:val="center"/>
              <w:rPr>
                <w:rFonts w:ascii="宋体"/>
                <w:b/>
                <w:bCs/>
                <w:color w:val="auto"/>
                <w:sz w:val="24"/>
                <w:highlight w:val="none"/>
              </w:rPr>
            </w:pPr>
            <w:r>
              <w:rPr>
                <w:rFonts w:hint="eastAsia" w:ascii="宋体" w:hAnsi="宋体"/>
                <w:b/>
                <w:bCs/>
                <w:color w:val="auto"/>
                <w:sz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C50619E">
            <w:pPr>
              <w:jc w:val="center"/>
              <w:rPr>
                <w:rFonts w:ascii="宋体"/>
                <w:b/>
                <w:bCs/>
                <w:color w:val="auto"/>
                <w:sz w:val="24"/>
                <w:highlight w:val="none"/>
              </w:rPr>
            </w:pPr>
            <w:r>
              <w:rPr>
                <w:rFonts w:hint="eastAsia" w:ascii="宋体" w:hAnsi="宋体"/>
                <w:b/>
                <w:bCs/>
                <w:color w:val="auto"/>
                <w:sz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728CC2E">
            <w:pPr>
              <w:jc w:val="center"/>
              <w:rPr>
                <w:rFonts w:ascii="宋体"/>
                <w:b/>
                <w:bCs/>
                <w:color w:val="auto"/>
                <w:sz w:val="24"/>
                <w:highlight w:val="none"/>
              </w:rPr>
            </w:pPr>
            <w:r>
              <w:rPr>
                <w:rFonts w:hint="eastAsia" w:ascii="宋体" w:hAnsi="宋体"/>
                <w:b/>
                <w:bCs/>
                <w:color w:val="auto"/>
                <w:sz w:val="24"/>
                <w:highlight w:val="none"/>
              </w:rPr>
              <w:t>偏离说明</w:t>
            </w:r>
          </w:p>
        </w:tc>
      </w:tr>
      <w:tr w14:paraId="10B3D0DE">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A70CD3C">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E2FFE2D">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3E33B2F">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30520F1">
            <w:pPr>
              <w:jc w:val="center"/>
              <w:rPr>
                <w:rFonts w:ascii="宋体"/>
                <w:bCs/>
                <w:color w:val="auto"/>
                <w:highlight w:val="none"/>
              </w:rPr>
            </w:pPr>
          </w:p>
        </w:tc>
      </w:tr>
      <w:tr w14:paraId="0167055F">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A790613">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7FE72CD">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43B1995">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0B4635C1">
            <w:pPr>
              <w:jc w:val="center"/>
              <w:rPr>
                <w:rFonts w:ascii="宋体"/>
                <w:bCs/>
                <w:color w:val="auto"/>
                <w:highlight w:val="none"/>
              </w:rPr>
            </w:pPr>
          </w:p>
        </w:tc>
      </w:tr>
      <w:tr w14:paraId="21B9137B">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94F92E7">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7D8C356">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4920A0F">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F0B0A30">
            <w:pPr>
              <w:jc w:val="center"/>
              <w:rPr>
                <w:rFonts w:ascii="宋体"/>
                <w:bCs/>
                <w:color w:val="auto"/>
                <w:highlight w:val="none"/>
              </w:rPr>
            </w:pPr>
          </w:p>
        </w:tc>
      </w:tr>
    </w:tbl>
    <w:p w14:paraId="59800003">
      <w:pPr>
        <w:ind w:firstLine="420"/>
        <w:outlineLvl w:val="0"/>
        <w:rPr>
          <w:rFonts w:ascii="宋体" w:hAnsi="宋体"/>
          <w:bCs/>
          <w:color w:val="auto"/>
          <w:sz w:val="24"/>
          <w:highlight w:val="none"/>
        </w:rPr>
      </w:pPr>
    </w:p>
    <w:p w14:paraId="407C03EE">
      <w:pPr>
        <w:ind w:firstLine="420"/>
        <w:outlineLvl w:val="0"/>
        <w:rPr>
          <w:rFonts w:ascii="宋体" w:hAnsi="宋体"/>
          <w:bCs/>
          <w:color w:val="auto"/>
          <w:sz w:val="24"/>
          <w:highlight w:val="none"/>
        </w:rPr>
      </w:pPr>
      <w:r>
        <w:rPr>
          <w:rFonts w:hint="eastAsia" w:ascii="宋体" w:hAnsi="宋体"/>
          <w:bCs/>
          <w:color w:val="auto"/>
          <w:sz w:val="24"/>
          <w:highlight w:val="none"/>
        </w:rPr>
        <w:t>注：（</w:t>
      </w:r>
      <w:r>
        <w:rPr>
          <w:rFonts w:ascii="宋体" w:hAnsi="宋体"/>
          <w:bCs/>
          <w:color w:val="auto"/>
          <w:sz w:val="24"/>
          <w:highlight w:val="none"/>
        </w:rPr>
        <w:t>1</w:t>
      </w:r>
      <w:r>
        <w:rPr>
          <w:rFonts w:hint="eastAsia" w:ascii="宋体" w:hAnsi="宋体"/>
          <w:bCs/>
          <w:color w:val="auto"/>
          <w:sz w:val="24"/>
          <w:highlight w:val="none"/>
        </w:rPr>
        <w:t>）本表不得删除；</w:t>
      </w:r>
    </w:p>
    <w:p w14:paraId="2A53CD6A">
      <w:pPr>
        <w:ind w:firstLine="900"/>
        <w:outlineLvl w:val="0"/>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）如无任何技术偏离，请于本表 “偏离说明”中注明“无偏离”；</w:t>
      </w:r>
    </w:p>
    <w:p w14:paraId="4A732FAA">
      <w:pPr>
        <w:ind w:firstLine="420"/>
        <w:outlineLvl w:val="0"/>
        <w:rPr>
          <w:rFonts w:ascii="宋体"/>
          <w:bCs/>
          <w:color w:val="auto"/>
          <w:sz w:val="24"/>
          <w:highlight w:val="none"/>
        </w:rPr>
      </w:pPr>
      <w:r>
        <w:rPr>
          <w:rFonts w:hint="eastAsia" w:ascii="宋体" w:hAnsi="宋体"/>
          <w:bCs/>
          <w:color w:val="auto"/>
          <w:sz w:val="24"/>
          <w:highlight w:val="none"/>
        </w:rPr>
        <w:t xml:space="preserve">   （3）如有商务、技术偏离项，请于本表中列明偏离内容，如需要可自行延长，其余无偏离内容不须赘述。</w:t>
      </w:r>
    </w:p>
    <w:p w14:paraId="7FD940C8">
      <w:pPr>
        <w:spacing w:line="360" w:lineRule="exact"/>
        <w:jc w:val="center"/>
        <w:rPr>
          <w:rFonts w:ascii="黑体" w:eastAsia="黑体"/>
          <w:color w:val="auto"/>
          <w:sz w:val="28"/>
          <w:szCs w:val="28"/>
          <w:highlight w:val="none"/>
        </w:rPr>
      </w:pPr>
    </w:p>
    <w:p w14:paraId="6FD76933">
      <w:pPr>
        <w:spacing w:line="360" w:lineRule="exact"/>
        <w:jc w:val="center"/>
        <w:rPr>
          <w:rFonts w:ascii="黑体" w:eastAsia="黑体"/>
          <w:color w:val="auto"/>
          <w:sz w:val="28"/>
          <w:szCs w:val="28"/>
          <w:highlight w:val="none"/>
        </w:rPr>
      </w:pPr>
    </w:p>
    <w:p w14:paraId="6690F53D">
      <w:pPr>
        <w:spacing w:line="360" w:lineRule="exact"/>
        <w:jc w:val="center"/>
        <w:rPr>
          <w:rFonts w:ascii="黑体" w:eastAsia="黑体"/>
          <w:color w:val="auto"/>
          <w:sz w:val="28"/>
          <w:szCs w:val="28"/>
          <w:highlight w:val="none"/>
        </w:rPr>
      </w:pPr>
    </w:p>
    <w:p w14:paraId="5409937D">
      <w:pPr>
        <w:spacing w:line="400" w:lineRule="exact"/>
        <w:ind w:firstLine="3600"/>
        <w:jc w:val="left"/>
        <w:outlineLvl w:val="1"/>
        <w:rPr>
          <w:rFonts w:ascii="宋体" w:hAnsi="宋体"/>
          <w:bCs/>
          <w:color w:val="auto"/>
          <w:sz w:val="24"/>
          <w:highlight w:val="none"/>
        </w:rPr>
      </w:pPr>
      <w:r>
        <w:rPr>
          <w:rFonts w:hint="eastAsia" w:ascii="宋体" w:hAnsi="宋体"/>
          <w:bCs/>
          <w:color w:val="auto"/>
          <w:sz w:val="24"/>
          <w:highlight w:val="none"/>
        </w:rPr>
        <w:t>投标单位（</w:t>
      </w:r>
      <w:r>
        <w:rPr>
          <w:rFonts w:hint="eastAsia" w:ascii="宋体" w:hAnsi="宋体"/>
          <w:bCs/>
          <w:color w:val="auto"/>
          <w:sz w:val="24"/>
          <w:szCs w:val="24"/>
          <w:highlight w:val="none"/>
        </w:rPr>
        <w:t>电子签章</w:t>
      </w:r>
      <w:r>
        <w:rPr>
          <w:rFonts w:hint="eastAsia" w:ascii="宋体" w:hAnsi="宋体"/>
          <w:bCs/>
          <w:color w:val="auto"/>
          <w:sz w:val="24"/>
          <w:highlight w:val="none"/>
        </w:rPr>
        <w:t>）：</w:t>
      </w:r>
    </w:p>
    <w:p w14:paraId="00B0AD28">
      <w:pPr>
        <w:spacing w:line="400" w:lineRule="exact"/>
        <w:ind w:firstLine="3600"/>
        <w:jc w:val="left"/>
        <w:outlineLvl w:val="1"/>
        <w:rPr>
          <w:rFonts w:ascii="宋体" w:hAnsi="宋体"/>
          <w:bCs/>
          <w:color w:val="auto"/>
          <w:sz w:val="24"/>
          <w:highlight w:val="none"/>
        </w:rPr>
      </w:pPr>
    </w:p>
    <w:p w14:paraId="0E6868C9">
      <w:pPr>
        <w:spacing w:line="480" w:lineRule="auto"/>
        <w:ind w:firstLine="3600"/>
        <w:rPr>
          <w:rFonts w:ascii="宋体" w:hAnsi="宋体"/>
          <w:bCs/>
          <w:color w:val="auto"/>
          <w:sz w:val="24"/>
          <w:highlight w:val="none"/>
        </w:rPr>
      </w:pPr>
      <w:r>
        <w:rPr>
          <w:rFonts w:hint="eastAsia" w:ascii="宋体" w:hAnsi="宋体"/>
          <w:bCs/>
          <w:color w:val="auto"/>
          <w:sz w:val="24"/>
          <w:highlight w:val="none"/>
        </w:rPr>
        <w:t>日期：     年    月    日</w:t>
      </w:r>
    </w:p>
    <w:p w14:paraId="7A1B63BE">
      <w:pPr>
        <w:pStyle w:val="190"/>
        <w:rPr>
          <w:rFonts w:hint="eastAsia" w:ascii="宋体" w:hAnsi="宋体" w:eastAsia="宋体" w:cs="宋体"/>
          <w:color w:val="auto"/>
          <w:highlight w:val="none"/>
        </w:rPr>
      </w:pPr>
      <w:r>
        <w:rPr>
          <w:rFonts w:hint="eastAsia" w:ascii="宋体" w:hAnsi="宋体" w:cs="宋体"/>
          <w:color w:val="auto"/>
          <w:sz w:val="24"/>
          <w:szCs w:val="24"/>
          <w:highlight w:val="none"/>
          <w:lang w:val="zh-CN"/>
        </w:rPr>
        <w:br w:type="page" w:clear="all"/>
      </w:r>
      <w:bookmarkStart w:id="21" w:name="_Toc505608384"/>
      <w:bookmarkStart w:id="22" w:name="_Toc8831"/>
    </w:p>
    <w:p w14:paraId="590130D6">
      <w:pPr>
        <w:spacing w:line="400" w:lineRule="exact"/>
        <w:ind w:firstLine="560"/>
        <w:jc w:val="center"/>
        <w:rPr>
          <w:rFonts w:ascii="宋体" w:hAnsi="宋体" w:eastAsia="黑体" w:cs="宋体"/>
          <w:color w:val="auto"/>
          <w:sz w:val="28"/>
          <w:szCs w:val="28"/>
          <w:highlight w:val="none"/>
        </w:rPr>
      </w:pPr>
      <w:r>
        <w:rPr>
          <w:rFonts w:hint="eastAsia" w:ascii="黑体" w:hAnsi="Arial" w:eastAsia="黑体"/>
          <w:bCs/>
          <w:color w:val="auto"/>
          <w:sz w:val="28"/>
          <w:szCs w:val="28"/>
          <w:highlight w:val="none"/>
        </w:rPr>
        <w:t>六、</w:t>
      </w:r>
      <w:bookmarkEnd w:id="21"/>
      <w:bookmarkEnd w:id="22"/>
      <w:r>
        <w:rPr>
          <w:rFonts w:hint="eastAsia" w:ascii="黑体" w:hAnsi="Arial" w:eastAsia="黑体"/>
          <w:bCs/>
          <w:color w:val="auto"/>
          <w:sz w:val="28"/>
          <w:szCs w:val="28"/>
          <w:highlight w:val="none"/>
        </w:rPr>
        <w:t>供应商综合实力</w:t>
      </w:r>
    </w:p>
    <w:p w14:paraId="2CD015DA">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（一）投标单位情况表</w:t>
      </w:r>
    </w:p>
    <w:p w14:paraId="3A723AA8">
      <w:pPr>
        <w:pStyle w:val="198"/>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单位名称（盖章）</w:t>
      </w:r>
    </w:p>
    <w:tbl>
      <w:tblPr>
        <w:tblStyle w:val="34"/>
        <w:tblW w:w="9360" w:type="dxa"/>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top w:w="0" w:type="dxa"/>
          <w:left w:w="108" w:type="dxa"/>
          <w:bottom w:w="0" w:type="dxa"/>
          <w:right w:w="108" w:type="dxa"/>
        </w:tblCellMar>
      </w:tblPr>
      <w:tblGrid>
        <w:gridCol w:w="1030"/>
        <w:gridCol w:w="1885"/>
        <w:gridCol w:w="1134"/>
        <w:gridCol w:w="144"/>
        <w:gridCol w:w="701"/>
        <w:gridCol w:w="673"/>
        <w:gridCol w:w="1118"/>
        <w:gridCol w:w="370"/>
        <w:gridCol w:w="2305"/>
      </w:tblGrid>
      <w:tr w14:paraId="0D98A277">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9360" w:type="dxa"/>
            <w:gridSpan w:val="9"/>
            <w:shd w:val="clear" w:color="auto" w:fill="D9D9D9"/>
            <w:noWrap w:val="0"/>
            <w:vAlign w:val="center"/>
          </w:tcPr>
          <w:p w14:paraId="6B84DB84">
            <w:pPr>
              <w:pStyle w:val="228"/>
              <w:spacing w:before="0" w:beforeAutospacing="0" w:after="0" w:afterAutospacing="0"/>
              <w:jc w:val="center"/>
              <w:rPr>
                <w:b/>
                <w:color w:val="auto"/>
                <w:highlight w:val="none"/>
              </w:rPr>
            </w:pPr>
            <w:r>
              <w:rPr>
                <w:rFonts w:hint="eastAsia"/>
                <w:b/>
                <w:color w:val="auto"/>
                <w:highlight w:val="none"/>
              </w:rPr>
              <w:t>一、公司基本信息</w:t>
            </w:r>
          </w:p>
        </w:tc>
      </w:tr>
      <w:tr w14:paraId="124C9054">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1030" w:type="dxa"/>
            <w:noWrap w:val="0"/>
            <w:vAlign w:val="center"/>
          </w:tcPr>
          <w:p w14:paraId="27EF2AE9">
            <w:pPr>
              <w:pStyle w:val="228"/>
              <w:spacing w:before="0" w:beforeAutospacing="0" w:after="0" w:afterAutospacing="0"/>
              <w:jc w:val="center"/>
              <w:rPr>
                <w:color w:val="auto"/>
                <w:highlight w:val="none"/>
              </w:rPr>
            </w:pPr>
            <w:r>
              <w:rPr>
                <w:rFonts w:hint="eastAsia"/>
                <w:color w:val="auto"/>
                <w:highlight w:val="none"/>
              </w:rPr>
              <w:t>1</w:t>
            </w:r>
          </w:p>
        </w:tc>
        <w:tc>
          <w:tcPr>
            <w:tcW w:w="1885" w:type="dxa"/>
            <w:noWrap w:val="0"/>
            <w:vAlign w:val="center"/>
          </w:tcPr>
          <w:p w14:paraId="10A69356">
            <w:pPr>
              <w:pStyle w:val="228"/>
              <w:spacing w:before="0" w:beforeAutospacing="0" w:after="0" w:afterAutospacing="0"/>
              <w:jc w:val="center"/>
              <w:rPr>
                <w:color w:val="auto"/>
                <w:highlight w:val="none"/>
              </w:rPr>
            </w:pPr>
            <w:r>
              <w:rPr>
                <w:rFonts w:hint="eastAsia"/>
                <w:color w:val="auto"/>
                <w:highlight w:val="none"/>
              </w:rPr>
              <w:t>公司名称</w:t>
            </w:r>
          </w:p>
        </w:tc>
        <w:tc>
          <w:tcPr>
            <w:tcW w:w="6445" w:type="dxa"/>
            <w:gridSpan w:val="7"/>
            <w:noWrap w:val="0"/>
            <w:vAlign w:val="center"/>
          </w:tcPr>
          <w:p w14:paraId="3DB206FF">
            <w:pPr>
              <w:pStyle w:val="228"/>
              <w:spacing w:before="0" w:beforeAutospacing="0" w:after="0" w:afterAutospacing="0"/>
              <w:jc w:val="center"/>
              <w:rPr>
                <w:color w:val="auto"/>
                <w:highlight w:val="none"/>
              </w:rPr>
            </w:pPr>
          </w:p>
        </w:tc>
      </w:tr>
      <w:tr w14:paraId="5FB77101">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1030" w:type="dxa"/>
            <w:noWrap w:val="0"/>
            <w:vAlign w:val="center"/>
          </w:tcPr>
          <w:p w14:paraId="754B227A">
            <w:pPr>
              <w:pStyle w:val="228"/>
              <w:spacing w:before="0" w:beforeAutospacing="0" w:after="0" w:afterAutospacing="0"/>
              <w:jc w:val="center"/>
              <w:rPr>
                <w:color w:val="auto"/>
                <w:highlight w:val="none"/>
              </w:rPr>
            </w:pPr>
            <w:r>
              <w:rPr>
                <w:rFonts w:hint="eastAsia"/>
                <w:color w:val="auto"/>
                <w:highlight w:val="none"/>
              </w:rPr>
              <w:t>2</w:t>
            </w:r>
          </w:p>
        </w:tc>
        <w:tc>
          <w:tcPr>
            <w:tcW w:w="1885" w:type="dxa"/>
            <w:noWrap w:val="0"/>
            <w:vAlign w:val="center"/>
          </w:tcPr>
          <w:p w14:paraId="228F8112">
            <w:pPr>
              <w:pStyle w:val="228"/>
              <w:spacing w:before="0" w:beforeAutospacing="0" w:after="0" w:afterAutospacing="0"/>
              <w:jc w:val="center"/>
              <w:rPr>
                <w:color w:val="auto"/>
                <w:highlight w:val="none"/>
              </w:rPr>
            </w:pPr>
            <w:r>
              <w:rPr>
                <w:rFonts w:hint="eastAsia"/>
                <w:color w:val="auto"/>
                <w:highlight w:val="none"/>
              </w:rPr>
              <w:t>注册资金：</w:t>
            </w:r>
          </w:p>
        </w:tc>
        <w:tc>
          <w:tcPr>
            <w:tcW w:w="1278" w:type="dxa"/>
            <w:gridSpan w:val="2"/>
            <w:noWrap w:val="0"/>
            <w:vAlign w:val="center"/>
          </w:tcPr>
          <w:p w14:paraId="672F4C30">
            <w:pPr>
              <w:pStyle w:val="228"/>
              <w:spacing w:before="0" w:beforeAutospacing="0" w:after="0" w:afterAutospacing="0"/>
              <w:jc w:val="center"/>
              <w:rPr>
                <w:color w:val="auto"/>
                <w:highlight w:val="none"/>
              </w:rPr>
            </w:pPr>
          </w:p>
        </w:tc>
        <w:tc>
          <w:tcPr>
            <w:tcW w:w="701" w:type="dxa"/>
            <w:noWrap w:val="0"/>
            <w:vAlign w:val="center"/>
          </w:tcPr>
          <w:p w14:paraId="6CA67035">
            <w:pPr>
              <w:pStyle w:val="228"/>
              <w:spacing w:before="0" w:beforeAutospacing="0" w:after="0" w:afterAutospacing="0"/>
              <w:jc w:val="center"/>
              <w:rPr>
                <w:color w:val="auto"/>
                <w:highlight w:val="none"/>
              </w:rPr>
            </w:pPr>
            <w:r>
              <w:rPr>
                <w:rFonts w:hint="eastAsia"/>
                <w:color w:val="auto"/>
                <w:highlight w:val="none"/>
              </w:rPr>
              <w:t>3</w:t>
            </w:r>
          </w:p>
        </w:tc>
        <w:tc>
          <w:tcPr>
            <w:tcW w:w="1791" w:type="dxa"/>
            <w:gridSpan w:val="2"/>
            <w:noWrap w:val="0"/>
            <w:vAlign w:val="center"/>
          </w:tcPr>
          <w:p w14:paraId="348488FA">
            <w:pPr>
              <w:pStyle w:val="228"/>
              <w:spacing w:before="0" w:beforeAutospacing="0" w:after="0" w:afterAutospacing="0"/>
              <w:jc w:val="center"/>
              <w:rPr>
                <w:color w:val="auto"/>
                <w:highlight w:val="none"/>
              </w:rPr>
            </w:pPr>
            <w:r>
              <w:rPr>
                <w:rFonts w:hint="eastAsia"/>
                <w:color w:val="auto"/>
                <w:highlight w:val="none"/>
              </w:rPr>
              <w:t>公司地址：</w:t>
            </w:r>
          </w:p>
        </w:tc>
        <w:tc>
          <w:tcPr>
            <w:tcW w:w="2675" w:type="dxa"/>
            <w:gridSpan w:val="2"/>
            <w:noWrap w:val="0"/>
            <w:vAlign w:val="center"/>
          </w:tcPr>
          <w:p w14:paraId="6DEEDA3B">
            <w:pPr>
              <w:pStyle w:val="228"/>
              <w:spacing w:before="0" w:beforeAutospacing="0" w:after="0" w:afterAutospacing="0"/>
              <w:jc w:val="center"/>
              <w:rPr>
                <w:color w:val="auto"/>
                <w:highlight w:val="none"/>
              </w:rPr>
            </w:pPr>
          </w:p>
        </w:tc>
      </w:tr>
      <w:tr w14:paraId="2408AC42">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1030" w:type="dxa"/>
            <w:noWrap w:val="0"/>
            <w:vAlign w:val="center"/>
          </w:tcPr>
          <w:p w14:paraId="1BE886EF">
            <w:pPr>
              <w:pStyle w:val="228"/>
              <w:spacing w:before="0" w:beforeAutospacing="0" w:after="0" w:afterAutospacing="0"/>
              <w:jc w:val="center"/>
              <w:rPr>
                <w:color w:val="auto"/>
                <w:highlight w:val="none"/>
              </w:rPr>
            </w:pPr>
            <w:r>
              <w:rPr>
                <w:rFonts w:hint="eastAsia"/>
                <w:color w:val="auto"/>
                <w:highlight w:val="none"/>
              </w:rPr>
              <w:t>4</w:t>
            </w:r>
          </w:p>
        </w:tc>
        <w:tc>
          <w:tcPr>
            <w:tcW w:w="1885" w:type="dxa"/>
            <w:noWrap w:val="0"/>
            <w:vAlign w:val="center"/>
          </w:tcPr>
          <w:p w14:paraId="6C6D24F1">
            <w:pPr>
              <w:pStyle w:val="228"/>
              <w:spacing w:before="0" w:beforeAutospacing="0" w:after="0" w:afterAutospacing="0"/>
              <w:jc w:val="center"/>
              <w:rPr>
                <w:color w:val="auto"/>
                <w:highlight w:val="none"/>
              </w:rPr>
            </w:pPr>
            <w:r>
              <w:rPr>
                <w:rFonts w:hint="eastAsia"/>
                <w:color w:val="auto"/>
                <w:highlight w:val="none"/>
              </w:rPr>
              <w:t>成立日期：</w:t>
            </w:r>
          </w:p>
        </w:tc>
        <w:tc>
          <w:tcPr>
            <w:tcW w:w="1278" w:type="dxa"/>
            <w:gridSpan w:val="2"/>
            <w:noWrap w:val="0"/>
            <w:vAlign w:val="center"/>
          </w:tcPr>
          <w:p w14:paraId="5A0242AF">
            <w:pPr>
              <w:pStyle w:val="228"/>
              <w:spacing w:before="0" w:beforeAutospacing="0" w:after="0" w:afterAutospacing="0"/>
              <w:jc w:val="center"/>
              <w:rPr>
                <w:color w:val="auto"/>
                <w:highlight w:val="none"/>
              </w:rPr>
            </w:pPr>
          </w:p>
        </w:tc>
        <w:tc>
          <w:tcPr>
            <w:tcW w:w="701" w:type="dxa"/>
            <w:noWrap w:val="0"/>
            <w:vAlign w:val="center"/>
          </w:tcPr>
          <w:p w14:paraId="286649FB">
            <w:pPr>
              <w:pStyle w:val="228"/>
              <w:spacing w:before="0" w:beforeAutospacing="0" w:after="0" w:afterAutospacing="0"/>
              <w:jc w:val="center"/>
              <w:rPr>
                <w:color w:val="auto"/>
                <w:highlight w:val="none"/>
              </w:rPr>
            </w:pPr>
            <w:r>
              <w:rPr>
                <w:rFonts w:hint="eastAsia"/>
                <w:color w:val="auto"/>
                <w:highlight w:val="none"/>
              </w:rPr>
              <w:t>5</w:t>
            </w:r>
          </w:p>
        </w:tc>
        <w:tc>
          <w:tcPr>
            <w:tcW w:w="1791" w:type="dxa"/>
            <w:gridSpan w:val="2"/>
            <w:noWrap w:val="0"/>
            <w:vAlign w:val="center"/>
          </w:tcPr>
          <w:p w14:paraId="4D98ADF5">
            <w:pPr>
              <w:pStyle w:val="228"/>
              <w:spacing w:before="0" w:beforeAutospacing="0" w:after="0" w:afterAutospacing="0"/>
              <w:jc w:val="center"/>
              <w:rPr>
                <w:color w:val="auto"/>
                <w:highlight w:val="none"/>
              </w:rPr>
            </w:pPr>
            <w:r>
              <w:rPr>
                <w:rFonts w:hint="eastAsia"/>
                <w:color w:val="auto"/>
                <w:highlight w:val="none"/>
              </w:rPr>
              <w:t>法定代表人：</w:t>
            </w:r>
          </w:p>
        </w:tc>
        <w:tc>
          <w:tcPr>
            <w:tcW w:w="2675" w:type="dxa"/>
            <w:gridSpan w:val="2"/>
            <w:noWrap w:val="0"/>
            <w:vAlign w:val="center"/>
          </w:tcPr>
          <w:p w14:paraId="55934068">
            <w:pPr>
              <w:pStyle w:val="228"/>
              <w:spacing w:before="0" w:beforeAutospacing="0" w:after="0" w:afterAutospacing="0"/>
              <w:jc w:val="center"/>
              <w:rPr>
                <w:color w:val="auto"/>
                <w:highlight w:val="none"/>
              </w:rPr>
            </w:pPr>
          </w:p>
        </w:tc>
      </w:tr>
      <w:tr w14:paraId="61301039">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1030" w:type="dxa"/>
            <w:noWrap w:val="0"/>
            <w:vAlign w:val="center"/>
          </w:tcPr>
          <w:p w14:paraId="7D2F2667">
            <w:pPr>
              <w:pStyle w:val="228"/>
              <w:spacing w:before="0" w:beforeAutospacing="0" w:after="0" w:afterAutospacing="0"/>
              <w:jc w:val="center"/>
              <w:rPr>
                <w:color w:val="auto"/>
                <w:highlight w:val="none"/>
              </w:rPr>
            </w:pPr>
            <w:r>
              <w:rPr>
                <w:rFonts w:hint="eastAsia"/>
                <w:color w:val="auto"/>
                <w:highlight w:val="none"/>
              </w:rPr>
              <w:t>6</w:t>
            </w:r>
          </w:p>
        </w:tc>
        <w:tc>
          <w:tcPr>
            <w:tcW w:w="1885" w:type="dxa"/>
            <w:noWrap w:val="0"/>
            <w:vAlign w:val="center"/>
          </w:tcPr>
          <w:p w14:paraId="7C8F6707">
            <w:pPr>
              <w:pStyle w:val="228"/>
              <w:spacing w:before="0" w:beforeAutospacing="0" w:after="0" w:afterAutospacing="0"/>
              <w:jc w:val="center"/>
              <w:rPr>
                <w:color w:val="auto"/>
                <w:highlight w:val="none"/>
              </w:rPr>
            </w:pPr>
            <w:r>
              <w:rPr>
                <w:rFonts w:hint="eastAsia"/>
                <w:color w:val="auto"/>
                <w:highlight w:val="none"/>
              </w:rPr>
              <w:t>开户银行：</w:t>
            </w:r>
          </w:p>
        </w:tc>
        <w:tc>
          <w:tcPr>
            <w:tcW w:w="1278" w:type="dxa"/>
            <w:gridSpan w:val="2"/>
            <w:noWrap w:val="0"/>
            <w:vAlign w:val="center"/>
          </w:tcPr>
          <w:p w14:paraId="6AB53332">
            <w:pPr>
              <w:pStyle w:val="228"/>
              <w:spacing w:before="0" w:beforeAutospacing="0" w:after="0" w:afterAutospacing="0"/>
              <w:jc w:val="center"/>
              <w:rPr>
                <w:color w:val="auto"/>
                <w:highlight w:val="none"/>
              </w:rPr>
            </w:pPr>
          </w:p>
        </w:tc>
        <w:tc>
          <w:tcPr>
            <w:tcW w:w="701" w:type="dxa"/>
            <w:noWrap w:val="0"/>
            <w:vAlign w:val="center"/>
          </w:tcPr>
          <w:p w14:paraId="1A0B1504">
            <w:pPr>
              <w:pStyle w:val="228"/>
              <w:spacing w:before="0" w:beforeAutospacing="0" w:after="0" w:afterAutospacing="0"/>
              <w:jc w:val="center"/>
              <w:rPr>
                <w:color w:val="auto"/>
                <w:highlight w:val="none"/>
              </w:rPr>
            </w:pPr>
            <w:r>
              <w:rPr>
                <w:rFonts w:hint="eastAsia"/>
                <w:color w:val="auto"/>
                <w:highlight w:val="none"/>
              </w:rPr>
              <w:t>7</w:t>
            </w:r>
          </w:p>
        </w:tc>
        <w:tc>
          <w:tcPr>
            <w:tcW w:w="1791" w:type="dxa"/>
            <w:gridSpan w:val="2"/>
            <w:noWrap w:val="0"/>
            <w:vAlign w:val="center"/>
          </w:tcPr>
          <w:p w14:paraId="12941970">
            <w:pPr>
              <w:pStyle w:val="228"/>
              <w:spacing w:before="0" w:beforeAutospacing="0" w:after="0" w:afterAutospacing="0"/>
              <w:jc w:val="center"/>
              <w:rPr>
                <w:color w:val="auto"/>
                <w:highlight w:val="none"/>
              </w:rPr>
            </w:pPr>
            <w:r>
              <w:rPr>
                <w:rFonts w:hint="eastAsia"/>
                <w:color w:val="auto"/>
                <w:highlight w:val="none"/>
              </w:rPr>
              <w:t>帐号：</w:t>
            </w:r>
          </w:p>
        </w:tc>
        <w:tc>
          <w:tcPr>
            <w:tcW w:w="2675" w:type="dxa"/>
            <w:gridSpan w:val="2"/>
            <w:noWrap w:val="0"/>
            <w:vAlign w:val="center"/>
          </w:tcPr>
          <w:p w14:paraId="4CED7332">
            <w:pPr>
              <w:pStyle w:val="228"/>
              <w:spacing w:before="0" w:beforeAutospacing="0" w:after="0" w:afterAutospacing="0"/>
              <w:jc w:val="center"/>
              <w:rPr>
                <w:color w:val="auto"/>
                <w:highlight w:val="none"/>
              </w:rPr>
            </w:pPr>
          </w:p>
        </w:tc>
      </w:tr>
      <w:tr w14:paraId="5A66E4FE">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1030" w:type="dxa"/>
            <w:noWrap w:val="0"/>
            <w:vAlign w:val="center"/>
          </w:tcPr>
          <w:p w14:paraId="4DC994F7">
            <w:pPr>
              <w:pStyle w:val="228"/>
              <w:spacing w:before="0" w:beforeAutospacing="0" w:after="0" w:afterAutospacing="0"/>
              <w:jc w:val="center"/>
              <w:rPr>
                <w:color w:val="auto"/>
                <w:highlight w:val="none"/>
              </w:rPr>
            </w:pPr>
            <w:r>
              <w:rPr>
                <w:rFonts w:hint="eastAsia"/>
                <w:color w:val="auto"/>
                <w:highlight w:val="none"/>
              </w:rPr>
              <w:t>8</w:t>
            </w:r>
          </w:p>
        </w:tc>
        <w:tc>
          <w:tcPr>
            <w:tcW w:w="1885" w:type="dxa"/>
            <w:noWrap w:val="0"/>
            <w:vAlign w:val="center"/>
          </w:tcPr>
          <w:p w14:paraId="3AE33E62">
            <w:pPr>
              <w:pStyle w:val="228"/>
              <w:spacing w:before="0" w:beforeAutospacing="0" w:after="0" w:afterAutospacing="0"/>
              <w:jc w:val="center"/>
              <w:rPr>
                <w:color w:val="auto"/>
                <w:highlight w:val="none"/>
              </w:rPr>
            </w:pPr>
            <w:r>
              <w:rPr>
                <w:rFonts w:hint="eastAsia"/>
                <w:color w:val="auto"/>
                <w:highlight w:val="none"/>
              </w:rPr>
              <w:t>项目联系人：</w:t>
            </w:r>
          </w:p>
        </w:tc>
        <w:tc>
          <w:tcPr>
            <w:tcW w:w="1278" w:type="dxa"/>
            <w:gridSpan w:val="2"/>
            <w:noWrap w:val="0"/>
            <w:vAlign w:val="center"/>
          </w:tcPr>
          <w:p w14:paraId="1119E643">
            <w:pPr>
              <w:pStyle w:val="228"/>
              <w:spacing w:before="0" w:beforeAutospacing="0" w:after="0" w:afterAutospacing="0"/>
              <w:jc w:val="center"/>
              <w:rPr>
                <w:color w:val="auto"/>
                <w:highlight w:val="none"/>
              </w:rPr>
            </w:pPr>
          </w:p>
        </w:tc>
        <w:tc>
          <w:tcPr>
            <w:tcW w:w="701" w:type="dxa"/>
            <w:noWrap w:val="0"/>
            <w:vAlign w:val="center"/>
          </w:tcPr>
          <w:p w14:paraId="04F66F82">
            <w:pPr>
              <w:pStyle w:val="228"/>
              <w:spacing w:before="0" w:beforeAutospacing="0" w:after="0" w:afterAutospacing="0"/>
              <w:jc w:val="center"/>
              <w:rPr>
                <w:color w:val="auto"/>
                <w:highlight w:val="none"/>
              </w:rPr>
            </w:pPr>
            <w:r>
              <w:rPr>
                <w:rFonts w:hint="eastAsia"/>
                <w:color w:val="auto"/>
                <w:highlight w:val="none"/>
              </w:rPr>
              <w:t>9</w:t>
            </w:r>
          </w:p>
        </w:tc>
        <w:tc>
          <w:tcPr>
            <w:tcW w:w="1791" w:type="dxa"/>
            <w:gridSpan w:val="2"/>
            <w:noWrap w:val="0"/>
            <w:vAlign w:val="center"/>
          </w:tcPr>
          <w:p w14:paraId="0CB7D8A1">
            <w:pPr>
              <w:pStyle w:val="228"/>
              <w:spacing w:before="0" w:beforeAutospacing="0" w:after="0" w:afterAutospacing="0"/>
              <w:jc w:val="center"/>
              <w:rPr>
                <w:color w:val="auto"/>
                <w:highlight w:val="none"/>
              </w:rPr>
            </w:pPr>
            <w:r>
              <w:rPr>
                <w:rFonts w:hint="eastAsia"/>
                <w:color w:val="auto"/>
                <w:highlight w:val="none"/>
              </w:rPr>
              <w:t>联系电话：</w:t>
            </w:r>
          </w:p>
        </w:tc>
        <w:tc>
          <w:tcPr>
            <w:tcW w:w="2675" w:type="dxa"/>
            <w:gridSpan w:val="2"/>
            <w:noWrap w:val="0"/>
            <w:vAlign w:val="center"/>
          </w:tcPr>
          <w:p w14:paraId="068498CD">
            <w:pPr>
              <w:pStyle w:val="228"/>
              <w:spacing w:before="0" w:beforeAutospacing="0" w:after="0" w:afterAutospacing="0"/>
              <w:jc w:val="center"/>
              <w:rPr>
                <w:color w:val="auto"/>
                <w:highlight w:val="none"/>
              </w:rPr>
            </w:pPr>
          </w:p>
        </w:tc>
      </w:tr>
      <w:tr w14:paraId="6F993520">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9360" w:type="dxa"/>
            <w:gridSpan w:val="9"/>
            <w:shd w:val="clear" w:color="auto" w:fill="D9D9D9"/>
            <w:noWrap w:val="0"/>
            <w:vAlign w:val="center"/>
          </w:tcPr>
          <w:p w14:paraId="00281880">
            <w:pPr>
              <w:pStyle w:val="228"/>
              <w:spacing w:before="0" w:beforeAutospacing="0" w:after="0" w:afterAutospacing="0"/>
              <w:jc w:val="center"/>
              <w:rPr>
                <w:b/>
                <w:color w:val="auto"/>
                <w:highlight w:val="none"/>
              </w:rPr>
            </w:pPr>
            <w:r>
              <w:rPr>
                <w:rFonts w:hint="eastAsia"/>
                <w:b/>
                <w:color w:val="auto"/>
                <w:highlight w:val="none"/>
              </w:rPr>
              <w:t>二、公司财务状况</w:t>
            </w:r>
          </w:p>
        </w:tc>
      </w:tr>
      <w:tr w14:paraId="52C8B10C">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9360" w:type="dxa"/>
            <w:gridSpan w:val="9"/>
            <w:noWrap w:val="0"/>
            <w:vAlign w:val="center"/>
          </w:tcPr>
          <w:p w14:paraId="391C0852">
            <w:pPr>
              <w:pStyle w:val="228"/>
              <w:spacing w:before="0" w:beforeAutospacing="0" w:after="0" w:afterAutospacing="0"/>
              <w:jc w:val="center"/>
              <w:rPr>
                <w:b/>
                <w:color w:val="auto"/>
                <w:highlight w:val="none"/>
              </w:rPr>
            </w:pPr>
            <w:r>
              <w:rPr>
                <w:rFonts w:hint="eastAsia"/>
                <w:b/>
                <w:color w:val="auto"/>
                <w:highlight w:val="none"/>
              </w:rPr>
              <w:t>上一年度财务状况</w:t>
            </w:r>
          </w:p>
        </w:tc>
      </w:tr>
      <w:tr w14:paraId="283D0B5F">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1030" w:type="dxa"/>
            <w:noWrap w:val="0"/>
            <w:vAlign w:val="center"/>
          </w:tcPr>
          <w:p w14:paraId="6CC718F0">
            <w:pPr>
              <w:pStyle w:val="228"/>
              <w:spacing w:before="0" w:beforeAutospacing="0" w:after="0" w:afterAutospacing="0"/>
              <w:jc w:val="center"/>
              <w:rPr>
                <w:color w:val="auto"/>
                <w:highlight w:val="none"/>
              </w:rPr>
            </w:pPr>
            <w:r>
              <w:rPr>
                <w:rFonts w:hint="eastAsia"/>
                <w:color w:val="auto"/>
                <w:highlight w:val="none"/>
              </w:rPr>
              <w:t>1</w:t>
            </w:r>
          </w:p>
        </w:tc>
        <w:tc>
          <w:tcPr>
            <w:tcW w:w="1885" w:type="dxa"/>
            <w:noWrap w:val="0"/>
            <w:vAlign w:val="center"/>
          </w:tcPr>
          <w:p w14:paraId="0FE76C31">
            <w:pPr>
              <w:pStyle w:val="228"/>
              <w:spacing w:before="0" w:beforeAutospacing="0" w:after="0" w:afterAutospacing="0"/>
              <w:rPr>
                <w:color w:val="auto"/>
                <w:highlight w:val="none"/>
              </w:rPr>
            </w:pPr>
            <w:r>
              <w:rPr>
                <w:rFonts w:hint="eastAsia"/>
                <w:color w:val="auto"/>
                <w:highlight w:val="none"/>
              </w:rPr>
              <w:t>销售收入（万）：</w:t>
            </w:r>
          </w:p>
        </w:tc>
        <w:tc>
          <w:tcPr>
            <w:tcW w:w="1278" w:type="dxa"/>
            <w:gridSpan w:val="2"/>
            <w:noWrap w:val="0"/>
            <w:vAlign w:val="center"/>
          </w:tcPr>
          <w:p w14:paraId="7C661289">
            <w:pPr>
              <w:pStyle w:val="228"/>
              <w:spacing w:before="0" w:beforeAutospacing="0" w:after="0" w:afterAutospacing="0"/>
              <w:jc w:val="center"/>
              <w:rPr>
                <w:color w:val="auto"/>
                <w:highlight w:val="none"/>
              </w:rPr>
            </w:pPr>
          </w:p>
        </w:tc>
        <w:tc>
          <w:tcPr>
            <w:tcW w:w="701" w:type="dxa"/>
            <w:noWrap w:val="0"/>
            <w:vAlign w:val="center"/>
          </w:tcPr>
          <w:p w14:paraId="3D61D0F5">
            <w:pPr>
              <w:pStyle w:val="228"/>
              <w:spacing w:before="0" w:beforeAutospacing="0" w:after="0" w:afterAutospacing="0"/>
              <w:jc w:val="center"/>
              <w:rPr>
                <w:color w:val="auto"/>
                <w:highlight w:val="none"/>
              </w:rPr>
            </w:pPr>
            <w:r>
              <w:rPr>
                <w:rFonts w:hint="eastAsia"/>
                <w:color w:val="auto"/>
                <w:highlight w:val="none"/>
              </w:rPr>
              <w:t>2</w:t>
            </w:r>
          </w:p>
        </w:tc>
        <w:tc>
          <w:tcPr>
            <w:tcW w:w="1791" w:type="dxa"/>
            <w:gridSpan w:val="2"/>
            <w:noWrap w:val="0"/>
            <w:vAlign w:val="center"/>
          </w:tcPr>
          <w:p w14:paraId="4AE174F8">
            <w:pPr>
              <w:pStyle w:val="228"/>
              <w:spacing w:before="0" w:beforeAutospacing="0" w:after="0" w:afterAutospacing="0"/>
              <w:jc w:val="center"/>
              <w:rPr>
                <w:color w:val="auto"/>
                <w:highlight w:val="none"/>
              </w:rPr>
            </w:pPr>
            <w:r>
              <w:rPr>
                <w:rFonts w:hint="eastAsia"/>
                <w:color w:val="auto"/>
                <w:highlight w:val="none"/>
              </w:rPr>
              <w:t>利润总额（万）</w:t>
            </w:r>
          </w:p>
        </w:tc>
        <w:tc>
          <w:tcPr>
            <w:tcW w:w="2675" w:type="dxa"/>
            <w:gridSpan w:val="2"/>
            <w:noWrap w:val="0"/>
            <w:vAlign w:val="center"/>
          </w:tcPr>
          <w:p w14:paraId="3ECC208F">
            <w:pPr>
              <w:pStyle w:val="228"/>
              <w:spacing w:before="0" w:beforeAutospacing="0" w:after="0" w:afterAutospacing="0"/>
              <w:jc w:val="center"/>
              <w:rPr>
                <w:color w:val="auto"/>
                <w:highlight w:val="none"/>
              </w:rPr>
            </w:pPr>
          </w:p>
        </w:tc>
      </w:tr>
      <w:tr w14:paraId="07AB5287">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1030" w:type="dxa"/>
            <w:noWrap w:val="0"/>
            <w:vAlign w:val="center"/>
          </w:tcPr>
          <w:p w14:paraId="4A54EAF7">
            <w:pPr>
              <w:pStyle w:val="228"/>
              <w:spacing w:before="0" w:beforeAutospacing="0" w:after="0" w:afterAutospacing="0"/>
              <w:jc w:val="center"/>
              <w:rPr>
                <w:color w:val="auto"/>
                <w:highlight w:val="none"/>
              </w:rPr>
            </w:pPr>
            <w:r>
              <w:rPr>
                <w:rFonts w:hint="eastAsia"/>
                <w:color w:val="auto"/>
                <w:highlight w:val="none"/>
              </w:rPr>
              <w:t>3</w:t>
            </w:r>
          </w:p>
        </w:tc>
        <w:tc>
          <w:tcPr>
            <w:tcW w:w="1885" w:type="dxa"/>
            <w:noWrap w:val="0"/>
            <w:vAlign w:val="center"/>
          </w:tcPr>
          <w:p w14:paraId="2AEF4C61">
            <w:pPr>
              <w:pStyle w:val="228"/>
              <w:spacing w:before="0" w:beforeAutospacing="0" w:after="0" w:afterAutospacing="0"/>
              <w:jc w:val="center"/>
              <w:rPr>
                <w:color w:val="auto"/>
                <w:highlight w:val="none"/>
              </w:rPr>
            </w:pPr>
            <w:r>
              <w:rPr>
                <w:rFonts w:hint="eastAsia"/>
                <w:color w:val="auto"/>
                <w:highlight w:val="none"/>
              </w:rPr>
              <w:t>年末“固定资产合计”（万）：</w:t>
            </w:r>
          </w:p>
        </w:tc>
        <w:tc>
          <w:tcPr>
            <w:tcW w:w="1278" w:type="dxa"/>
            <w:gridSpan w:val="2"/>
            <w:noWrap w:val="0"/>
            <w:vAlign w:val="center"/>
          </w:tcPr>
          <w:p w14:paraId="6F341EBB">
            <w:pPr>
              <w:pStyle w:val="228"/>
              <w:spacing w:before="0" w:beforeAutospacing="0" w:after="0" w:afterAutospacing="0"/>
              <w:jc w:val="center"/>
              <w:rPr>
                <w:color w:val="auto"/>
                <w:highlight w:val="none"/>
              </w:rPr>
            </w:pPr>
          </w:p>
        </w:tc>
        <w:tc>
          <w:tcPr>
            <w:tcW w:w="701" w:type="dxa"/>
            <w:noWrap w:val="0"/>
            <w:vAlign w:val="center"/>
          </w:tcPr>
          <w:p w14:paraId="6D47A4C6">
            <w:pPr>
              <w:pStyle w:val="228"/>
              <w:spacing w:before="0" w:beforeAutospacing="0" w:after="0" w:afterAutospacing="0"/>
              <w:jc w:val="center"/>
              <w:rPr>
                <w:color w:val="auto"/>
                <w:highlight w:val="none"/>
              </w:rPr>
            </w:pPr>
            <w:r>
              <w:rPr>
                <w:rFonts w:hint="eastAsia"/>
                <w:color w:val="auto"/>
                <w:highlight w:val="none"/>
              </w:rPr>
              <w:t>4</w:t>
            </w:r>
          </w:p>
        </w:tc>
        <w:tc>
          <w:tcPr>
            <w:tcW w:w="1791" w:type="dxa"/>
            <w:gridSpan w:val="2"/>
            <w:noWrap w:val="0"/>
            <w:vAlign w:val="center"/>
          </w:tcPr>
          <w:p w14:paraId="738A8DCB">
            <w:pPr>
              <w:pStyle w:val="228"/>
              <w:spacing w:before="0" w:beforeAutospacing="0" w:after="0" w:afterAutospacing="0"/>
              <w:jc w:val="center"/>
              <w:rPr>
                <w:color w:val="auto"/>
                <w:highlight w:val="none"/>
              </w:rPr>
            </w:pPr>
            <w:r>
              <w:rPr>
                <w:rFonts w:hint="eastAsia"/>
                <w:color w:val="auto"/>
                <w:highlight w:val="none"/>
              </w:rPr>
              <w:t>年末“流动资产”余额（万）：</w:t>
            </w:r>
          </w:p>
        </w:tc>
        <w:tc>
          <w:tcPr>
            <w:tcW w:w="2675" w:type="dxa"/>
            <w:gridSpan w:val="2"/>
            <w:noWrap w:val="0"/>
            <w:vAlign w:val="center"/>
          </w:tcPr>
          <w:p w14:paraId="7F3272FD">
            <w:pPr>
              <w:pStyle w:val="228"/>
              <w:spacing w:before="0" w:beforeAutospacing="0" w:after="0" w:afterAutospacing="0"/>
              <w:jc w:val="center"/>
              <w:rPr>
                <w:color w:val="auto"/>
                <w:highlight w:val="none"/>
              </w:rPr>
            </w:pPr>
          </w:p>
        </w:tc>
      </w:tr>
      <w:tr w14:paraId="74578CF5">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1030" w:type="dxa"/>
            <w:noWrap w:val="0"/>
            <w:vAlign w:val="center"/>
          </w:tcPr>
          <w:p w14:paraId="618442FD">
            <w:pPr>
              <w:pStyle w:val="228"/>
              <w:spacing w:before="0" w:beforeAutospacing="0" w:after="0" w:afterAutospacing="0"/>
              <w:jc w:val="center"/>
              <w:rPr>
                <w:color w:val="auto"/>
                <w:highlight w:val="none"/>
              </w:rPr>
            </w:pPr>
            <w:r>
              <w:rPr>
                <w:rFonts w:hint="eastAsia"/>
                <w:color w:val="auto"/>
                <w:highlight w:val="none"/>
              </w:rPr>
              <w:t>5</w:t>
            </w:r>
          </w:p>
        </w:tc>
        <w:tc>
          <w:tcPr>
            <w:tcW w:w="1885" w:type="dxa"/>
            <w:noWrap w:val="0"/>
            <w:vAlign w:val="center"/>
          </w:tcPr>
          <w:p w14:paraId="14634C57">
            <w:pPr>
              <w:pStyle w:val="228"/>
              <w:spacing w:before="0" w:beforeAutospacing="0" w:after="0" w:afterAutospacing="0"/>
              <w:jc w:val="center"/>
              <w:rPr>
                <w:color w:val="auto"/>
                <w:highlight w:val="none"/>
              </w:rPr>
            </w:pPr>
            <w:r>
              <w:rPr>
                <w:rFonts w:hint="eastAsia"/>
                <w:color w:val="auto"/>
                <w:highlight w:val="none"/>
              </w:rPr>
              <w:t>年末“短期负债”余额（万）：</w:t>
            </w:r>
          </w:p>
        </w:tc>
        <w:tc>
          <w:tcPr>
            <w:tcW w:w="1278" w:type="dxa"/>
            <w:gridSpan w:val="2"/>
            <w:noWrap w:val="0"/>
            <w:vAlign w:val="center"/>
          </w:tcPr>
          <w:p w14:paraId="5FF1450A">
            <w:pPr>
              <w:pStyle w:val="228"/>
              <w:spacing w:before="0" w:beforeAutospacing="0" w:after="0" w:afterAutospacing="0"/>
              <w:jc w:val="center"/>
              <w:rPr>
                <w:color w:val="auto"/>
                <w:highlight w:val="none"/>
              </w:rPr>
            </w:pPr>
          </w:p>
        </w:tc>
        <w:tc>
          <w:tcPr>
            <w:tcW w:w="701" w:type="dxa"/>
            <w:noWrap w:val="0"/>
            <w:vAlign w:val="center"/>
          </w:tcPr>
          <w:p w14:paraId="6161D207">
            <w:pPr>
              <w:pStyle w:val="228"/>
              <w:spacing w:before="0" w:beforeAutospacing="0" w:after="0" w:afterAutospacing="0"/>
              <w:jc w:val="center"/>
              <w:rPr>
                <w:color w:val="auto"/>
                <w:highlight w:val="none"/>
              </w:rPr>
            </w:pPr>
            <w:r>
              <w:rPr>
                <w:rFonts w:hint="eastAsia"/>
                <w:color w:val="auto"/>
                <w:highlight w:val="none"/>
              </w:rPr>
              <w:t>6</w:t>
            </w:r>
          </w:p>
        </w:tc>
        <w:tc>
          <w:tcPr>
            <w:tcW w:w="1791" w:type="dxa"/>
            <w:gridSpan w:val="2"/>
            <w:noWrap w:val="0"/>
            <w:vAlign w:val="center"/>
          </w:tcPr>
          <w:p w14:paraId="7338B3F9">
            <w:pPr>
              <w:pStyle w:val="228"/>
              <w:spacing w:before="0" w:beforeAutospacing="0" w:after="0" w:afterAutospacing="0"/>
              <w:jc w:val="center"/>
              <w:rPr>
                <w:color w:val="auto"/>
                <w:highlight w:val="none"/>
              </w:rPr>
            </w:pPr>
            <w:r>
              <w:rPr>
                <w:rFonts w:hint="eastAsia"/>
                <w:color w:val="auto"/>
                <w:highlight w:val="none"/>
              </w:rPr>
              <w:t>年末“长期负债”余额（万）：</w:t>
            </w:r>
          </w:p>
        </w:tc>
        <w:tc>
          <w:tcPr>
            <w:tcW w:w="2675" w:type="dxa"/>
            <w:gridSpan w:val="2"/>
            <w:noWrap w:val="0"/>
            <w:vAlign w:val="center"/>
          </w:tcPr>
          <w:p w14:paraId="5F913EFC">
            <w:pPr>
              <w:pStyle w:val="228"/>
              <w:spacing w:before="0" w:beforeAutospacing="0" w:after="0" w:afterAutospacing="0"/>
              <w:jc w:val="center"/>
              <w:rPr>
                <w:color w:val="auto"/>
                <w:highlight w:val="none"/>
              </w:rPr>
            </w:pPr>
          </w:p>
        </w:tc>
      </w:tr>
      <w:tr w14:paraId="64C18690">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1030" w:type="dxa"/>
            <w:noWrap w:val="0"/>
            <w:vAlign w:val="center"/>
          </w:tcPr>
          <w:p w14:paraId="01FBDCDE">
            <w:pPr>
              <w:pStyle w:val="228"/>
              <w:spacing w:before="0" w:beforeAutospacing="0" w:after="0" w:afterAutospacing="0"/>
              <w:jc w:val="center"/>
              <w:rPr>
                <w:color w:val="auto"/>
                <w:highlight w:val="none"/>
              </w:rPr>
            </w:pPr>
            <w:r>
              <w:rPr>
                <w:rFonts w:hint="eastAsia"/>
                <w:color w:val="auto"/>
                <w:highlight w:val="none"/>
              </w:rPr>
              <w:t>7</w:t>
            </w:r>
          </w:p>
        </w:tc>
        <w:tc>
          <w:tcPr>
            <w:tcW w:w="1885" w:type="dxa"/>
            <w:noWrap w:val="0"/>
            <w:vAlign w:val="center"/>
          </w:tcPr>
          <w:p w14:paraId="609D2553">
            <w:pPr>
              <w:pStyle w:val="228"/>
              <w:spacing w:before="0" w:beforeAutospacing="0" w:after="0" w:afterAutospacing="0"/>
              <w:jc w:val="center"/>
              <w:rPr>
                <w:color w:val="auto"/>
                <w:highlight w:val="none"/>
              </w:rPr>
            </w:pPr>
            <w:r>
              <w:rPr>
                <w:rFonts w:hint="eastAsia"/>
                <w:color w:val="auto"/>
                <w:highlight w:val="none"/>
              </w:rPr>
              <w:t>年末“资产总计”余额（万）</w:t>
            </w:r>
          </w:p>
        </w:tc>
        <w:tc>
          <w:tcPr>
            <w:tcW w:w="1278" w:type="dxa"/>
            <w:gridSpan w:val="2"/>
            <w:noWrap w:val="0"/>
            <w:vAlign w:val="center"/>
          </w:tcPr>
          <w:p w14:paraId="30EBB0F3">
            <w:pPr>
              <w:pStyle w:val="228"/>
              <w:spacing w:before="0" w:beforeAutospacing="0" w:after="0" w:afterAutospacing="0"/>
              <w:jc w:val="center"/>
              <w:rPr>
                <w:color w:val="auto"/>
                <w:highlight w:val="none"/>
              </w:rPr>
            </w:pPr>
          </w:p>
        </w:tc>
        <w:tc>
          <w:tcPr>
            <w:tcW w:w="701" w:type="dxa"/>
            <w:noWrap w:val="0"/>
            <w:vAlign w:val="center"/>
          </w:tcPr>
          <w:p w14:paraId="19D5C030">
            <w:pPr>
              <w:pStyle w:val="228"/>
              <w:spacing w:before="0" w:beforeAutospacing="0" w:after="0" w:afterAutospacing="0"/>
              <w:jc w:val="center"/>
              <w:rPr>
                <w:color w:val="auto"/>
                <w:highlight w:val="none"/>
              </w:rPr>
            </w:pPr>
            <w:r>
              <w:rPr>
                <w:rFonts w:hint="eastAsia"/>
                <w:color w:val="auto"/>
                <w:highlight w:val="none"/>
              </w:rPr>
              <w:t>8</w:t>
            </w:r>
          </w:p>
        </w:tc>
        <w:tc>
          <w:tcPr>
            <w:tcW w:w="1791" w:type="dxa"/>
            <w:gridSpan w:val="2"/>
            <w:noWrap w:val="0"/>
            <w:vAlign w:val="center"/>
          </w:tcPr>
          <w:p w14:paraId="36F524B9">
            <w:pPr>
              <w:pStyle w:val="228"/>
              <w:spacing w:before="0" w:beforeAutospacing="0" w:after="0" w:afterAutospacing="0"/>
              <w:jc w:val="center"/>
              <w:rPr>
                <w:color w:val="auto"/>
                <w:highlight w:val="none"/>
              </w:rPr>
            </w:pPr>
            <w:r>
              <w:rPr>
                <w:rFonts w:hint="eastAsia"/>
                <w:color w:val="auto"/>
                <w:highlight w:val="none"/>
              </w:rPr>
              <w:t>年末“货币资金”余额（万）：</w:t>
            </w:r>
          </w:p>
        </w:tc>
        <w:tc>
          <w:tcPr>
            <w:tcW w:w="2675" w:type="dxa"/>
            <w:gridSpan w:val="2"/>
            <w:noWrap w:val="0"/>
            <w:vAlign w:val="center"/>
          </w:tcPr>
          <w:p w14:paraId="26A64D55">
            <w:pPr>
              <w:pStyle w:val="228"/>
              <w:spacing w:before="0" w:beforeAutospacing="0" w:after="0" w:afterAutospacing="0"/>
              <w:jc w:val="center"/>
              <w:rPr>
                <w:color w:val="auto"/>
                <w:highlight w:val="none"/>
              </w:rPr>
            </w:pPr>
          </w:p>
        </w:tc>
      </w:tr>
      <w:tr w14:paraId="16FA7FF6">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9360" w:type="dxa"/>
            <w:gridSpan w:val="9"/>
            <w:shd w:val="clear" w:color="auto" w:fill="D9D9D9"/>
            <w:noWrap w:val="0"/>
            <w:vAlign w:val="center"/>
          </w:tcPr>
          <w:p w14:paraId="5DA326DE">
            <w:pPr>
              <w:pStyle w:val="228"/>
              <w:spacing w:before="0" w:beforeAutospacing="0" w:after="0" w:afterAutospacing="0"/>
              <w:jc w:val="center"/>
              <w:rPr>
                <w:b/>
                <w:color w:val="auto"/>
                <w:highlight w:val="none"/>
              </w:rPr>
            </w:pPr>
            <w:r>
              <w:rPr>
                <w:rFonts w:hint="eastAsia"/>
                <w:b/>
                <w:color w:val="auto"/>
                <w:highlight w:val="none"/>
              </w:rPr>
              <w:t>三、投标人其他信息</w:t>
            </w:r>
          </w:p>
        </w:tc>
      </w:tr>
      <w:tr w14:paraId="6557B404">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1030" w:type="dxa"/>
            <w:noWrap w:val="0"/>
            <w:vAlign w:val="center"/>
          </w:tcPr>
          <w:p w14:paraId="18AE0B44">
            <w:pPr>
              <w:pStyle w:val="228"/>
              <w:spacing w:before="0" w:beforeAutospacing="0" w:after="0" w:afterAutospacing="0"/>
              <w:jc w:val="center"/>
              <w:rPr>
                <w:color w:val="auto"/>
                <w:highlight w:val="none"/>
              </w:rPr>
            </w:pPr>
            <w:r>
              <w:rPr>
                <w:rFonts w:hint="eastAsia"/>
                <w:color w:val="auto"/>
                <w:highlight w:val="none"/>
              </w:rPr>
              <w:t>（一）</w:t>
            </w:r>
          </w:p>
        </w:tc>
        <w:tc>
          <w:tcPr>
            <w:tcW w:w="1885" w:type="dxa"/>
            <w:noWrap w:val="0"/>
            <w:vAlign w:val="center"/>
          </w:tcPr>
          <w:p w14:paraId="32941846">
            <w:pPr>
              <w:pStyle w:val="228"/>
              <w:spacing w:before="0" w:beforeAutospacing="0" w:after="0" w:afterAutospacing="0"/>
              <w:jc w:val="center"/>
              <w:rPr>
                <w:color w:val="auto"/>
                <w:highlight w:val="none"/>
              </w:rPr>
            </w:pPr>
            <w:r>
              <w:rPr>
                <w:rFonts w:hint="eastAsia"/>
                <w:color w:val="auto"/>
                <w:highlight w:val="none"/>
              </w:rPr>
              <w:t>公司取得的相关资质认证：</w:t>
            </w:r>
          </w:p>
        </w:tc>
        <w:tc>
          <w:tcPr>
            <w:tcW w:w="6445" w:type="dxa"/>
            <w:gridSpan w:val="7"/>
            <w:noWrap w:val="0"/>
            <w:vAlign w:val="center"/>
          </w:tcPr>
          <w:p w14:paraId="3DB6AE13">
            <w:pPr>
              <w:pStyle w:val="228"/>
              <w:spacing w:before="0" w:beforeAutospacing="0" w:after="0" w:afterAutospacing="0"/>
              <w:jc w:val="center"/>
              <w:rPr>
                <w:color w:val="auto"/>
                <w:highlight w:val="none"/>
              </w:rPr>
            </w:pPr>
          </w:p>
        </w:tc>
      </w:tr>
      <w:tr w14:paraId="7AF000E1">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1030" w:type="dxa"/>
            <w:noWrap w:val="0"/>
            <w:vAlign w:val="center"/>
          </w:tcPr>
          <w:p w14:paraId="4FBEA918">
            <w:pPr>
              <w:pStyle w:val="228"/>
              <w:spacing w:before="0" w:beforeAutospacing="0" w:after="0" w:afterAutospacing="0"/>
              <w:jc w:val="center"/>
              <w:rPr>
                <w:color w:val="auto"/>
                <w:highlight w:val="none"/>
              </w:rPr>
            </w:pPr>
            <w:r>
              <w:rPr>
                <w:rFonts w:hint="eastAsia"/>
                <w:color w:val="auto"/>
                <w:highlight w:val="none"/>
              </w:rPr>
              <w:t>（二）</w:t>
            </w:r>
          </w:p>
        </w:tc>
        <w:tc>
          <w:tcPr>
            <w:tcW w:w="1885" w:type="dxa"/>
            <w:noWrap w:val="0"/>
            <w:vAlign w:val="center"/>
          </w:tcPr>
          <w:p w14:paraId="0A1B378C">
            <w:pPr>
              <w:pStyle w:val="228"/>
              <w:spacing w:before="0" w:beforeAutospacing="0" w:after="0" w:afterAutospacing="0"/>
              <w:jc w:val="center"/>
              <w:rPr>
                <w:color w:val="auto"/>
                <w:highlight w:val="none"/>
              </w:rPr>
            </w:pPr>
            <w:r>
              <w:rPr>
                <w:rFonts w:hint="eastAsia"/>
                <w:color w:val="auto"/>
                <w:highlight w:val="none"/>
              </w:rPr>
              <w:t>公司获得的荣誉信誉认证表彰等情况</w:t>
            </w:r>
          </w:p>
        </w:tc>
        <w:tc>
          <w:tcPr>
            <w:tcW w:w="6445" w:type="dxa"/>
            <w:gridSpan w:val="7"/>
            <w:noWrap w:val="0"/>
            <w:vAlign w:val="center"/>
          </w:tcPr>
          <w:p w14:paraId="395CBCBC">
            <w:pPr>
              <w:pStyle w:val="228"/>
              <w:spacing w:before="0" w:beforeAutospacing="0" w:after="0" w:afterAutospacing="0"/>
              <w:jc w:val="center"/>
              <w:rPr>
                <w:color w:val="auto"/>
                <w:highlight w:val="none"/>
              </w:rPr>
            </w:pPr>
          </w:p>
        </w:tc>
      </w:tr>
      <w:tr w14:paraId="05CBE1F3">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9360" w:type="dxa"/>
            <w:gridSpan w:val="9"/>
            <w:shd w:val="clear" w:color="auto" w:fill="D9D9D9"/>
            <w:noWrap w:val="0"/>
            <w:vAlign w:val="center"/>
          </w:tcPr>
          <w:p w14:paraId="1E3657B9">
            <w:pPr>
              <w:pStyle w:val="228"/>
              <w:spacing w:before="0" w:beforeAutospacing="0" w:after="0" w:afterAutospacing="0"/>
              <w:jc w:val="center"/>
              <w:rPr>
                <w:b/>
                <w:color w:val="auto"/>
                <w:highlight w:val="none"/>
              </w:rPr>
            </w:pPr>
            <w:r>
              <w:rPr>
                <w:rFonts w:hint="eastAsia"/>
                <w:b/>
                <w:color w:val="auto"/>
                <w:highlight w:val="none"/>
              </w:rPr>
              <w:t>四、提供的案例清单</w:t>
            </w:r>
          </w:p>
        </w:tc>
      </w:tr>
      <w:tr w14:paraId="79579B0C">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2915" w:type="dxa"/>
            <w:gridSpan w:val="2"/>
            <w:noWrap w:val="0"/>
            <w:vAlign w:val="center"/>
          </w:tcPr>
          <w:p w14:paraId="355CDC16">
            <w:pPr>
              <w:pStyle w:val="228"/>
              <w:spacing w:before="0" w:beforeAutospacing="0" w:after="0" w:afterAutospacing="0"/>
              <w:jc w:val="center"/>
              <w:rPr>
                <w:color w:val="auto"/>
                <w:highlight w:val="none"/>
              </w:rPr>
            </w:pPr>
            <w:r>
              <w:rPr>
                <w:rFonts w:hint="eastAsia"/>
                <w:color w:val="auto"/>
                <w:highlight w:val="none"/>
              </w:rPr>
              <w:t>项目名称</w:t>
            </w:r>
          </w:p>
        </w:tc>
        <w:tc>
          <w:tcPr>
            <w:tcW w:w="1134" w:type="dxa"/>
            <w:noWrap w:val="0"/>
            <w:vAlign w:val="center"/>
          </w:tcPr>
          <w:p w14:paraId="6D9046A9">
            <w:pPr>
              <w:pStyle w:val="228"/>
              <w:spacing w:before="0" w:beforeAutospacing="0" w:after="0" w:afterAutospacing="0"/>
              <w:jc w:val="center"/>
              <w:rPr>
                <w:color w:val="auto"/>
                <w:highlight w:val="none"/>
              </w:rPr>
            </w:pPr>
            <w:r>
              <w:rPr>
                <w:rFonts w:hint="eastAsia"/>
                <w:color w:val="auto"/>
                <w:highlight w:val="none"/>
              </w:rPr>
              <w:t>合同金额（万）</w:t>
            </w:r>
          </w:p>
        </w:tc>
        <w:tc>
          <w:tcPr>
            <w:tcW w:w="1518" w:type="dxa"/>
            <w:gridSpan w:val="3"/>
            <w:noWrap w:val="0"/>
            <w:vAlign w:val="center"/>
          </w:tcPr>
          <w:p w14:paraId="13033D1D">
            <w:pPr>
              <w:pStyle w:val="228"/>
              <w:spacing w:before="0" w:beforeAutospacing="0" w:after="0" w:afterAutospacing="0"/>
              <w:jc w:val="center"/>
              <w:rPr>
                <w:color w:val="auto"/>
                <w:highlight w:val="none"/>
              </w:rPr>
            </w:pPr>
            <w:r>
              <w:rPr>
                <w:rFonts w:hint="eastAsia"/>
                <w:color w:val="auto"/>
                <w:highlight w:val="none"/>
              </w:rPr>
              <w:t>项目联系人及电话</w:t>
            </w:r>
          </w:p>
        </w:tc>
        <w:tc>
          <w:tcPr>
            <w:tcW w:w="1488" w:type="dxa"/>
            <w:gridSpan w:val="2"/>
            <w:noWrap w:val="0"/>
            <w:vAlign w:val="center"/>
          </w:tcPr>
          <w:p w14:paraId="61B9EACF">
            <w:pPr>
              <w:pStyle w:val="228"/>
              <w:spacing w:before="0" w:beforeAutospacing="0" w:after="0" w:afterAutospacing="0"/>
              <w:jc w:val="center"/>
              <w:rPr>
                <w:color w:val="auto"/>
                <w:highlight w:val="none"/>
              </w:rPr>
            </w:pPr>
            <w:r>
              <w:rPr>
                <w:rFonts w:hint="eastAsia"/>
                <w:color w:val="auto"/>
                <w:highlight w:val="none"/>
              </w:rPr>
              <w:t>实施时间</w:t>
            </w:r>
          </w:p>
        </w:tc>
        <w:tc>
          <w:tcPr>
            <w:tcW w:w="2305" w:type="dxa"/>
            <w:noWrap w:val="0"/>
            <w:vAlign w:val="center"/>
          </w:tcPr>
          <w:p w14:paraId="722234FC">
            <w:pPr>
              <w:pStyle w:val="228"/>
              <w:spacing w:before="0" w:beforeAutospacing="0" w:after="0" w:afterAutospacing="0"/>
              <w:jc w:val="center"/>
              <w:rPr>
                <w:color w:val="auto"/>
                <w:highlight w:val="none"/>
              </w:rPr>
            </w:pPr>
            <w:r>
              <w:rPr>
                <w:rFonts w:hint="eastAsia"/>
                <w:color w:val="auto"/>
                <w:highlight w:val="none"/>
              </w:rPr>
              <w:t>备注</w:t>
            </w:r>
          </w:p>
        </w:tc>
      </w:tr>
      <w:tr w14:paraId="1E2AFFB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2915" w:type="dxa"/>
            <w:gridSpan w:val="2"/>
            <w:noWrap w:val="0"/>
            <w:vAlign w:val="center"/>
          </w:tcPr>
          <w:p w14:paraId="15726D3D">
            <w:pPr>
              <w:pStyle w:val="228"/>
              <w:spacing w:before="0" w:beforeAutospacing="0" w:after="0" w:afterAutospacing="0"/>
              <w:jc w:val="center"/>
              <w:rPr>
                <w:color w:val="auto"/>
                <w:highlight w:val="none"/>
              </w:rPr>
            </w:pPr>
          </w:p>
        </w:tc>
        <w:tc>
          <w:tcPr>
            <w:tcW w:w="1134" w:type="dxa"/>
            <w:noWrap w:val="0"/>
            <w:vAlign w:val="center"/>
          </w:tcPr>
          <w:p w14:paraId="522EF757">
            <w:pPr>
              <w:pStyle w:val="228"/>
              <w:spacing w:before="0" w:beforeAutospacing="0" w:after="0" w:afterAutospacing="0"/>
              <w:jc w:val="center"/>
              <w:rPr>
                <w:color w:val="auto"/>
                <w:highlight w:val="none"/>
              </w:rPr>
            </w:pPr>
          </w:p>
        </w:tc>
        <w:tc>
          <w:tcPr>
            <w:tcW w:w="1518" w:type="dxa"/>
            <w:gridSpan w:val="3"/>
            <w:noWrap w:val="0"/>
            <w:vAlign w:val="center"/>
          </w:tcPr>
          <w:p w14:paraId="5130A6A0">
            <w:pPr>
              <w:pStyle w:val="228"/>
              <w:spacing w:before="0" w:beforeAutospacing="0" w:after="0" w:afterAutospacing="0"/>
              <w:jc w:val="center"/>
              <w:rPr>
                <w:color w:val="auto"/>
                <w:highlight w:val="none"/>
              </w:rPr>
            </w:pPr>
          </w:p>
        </w:tc>
        <w:tc>
          <w:tcPr>
            <w:tcW w:w="1488" w:type="dxa"/>
            <w:gridSpan w:val="2"/>
            <w:noWrap w:val="0"/>
            <w:vAlign w:val="center"/>
          </w:tcPr>
          <w:p w14:paraId="7DADF86C">
            <w:pPr>
              <w:pStyle w:val="228"/>
              <w:spacing w:before="0" w:beforeAutospacing="0" w:after="0" w:afterAutospacing="0"/>
              <w:jc w:val="center"/>
              <w:rPr>
                <w:color w:val="auto"/>
                <w:highlight w:val="none"/>
              </w:rPr>
            </w:pPr>
          </w:p>
        </w:tc>
        <w:tc>
          <w:tcPr>
            <w:tcW w:w="2305" w:type="dxa"/>
            <w:noWrap w:val="0"/>
            <w:vAlign w:val="center"/>
          </w:tcPr>
          <w:p w14:paraId="28B994EA">
            <w:pPr>
              <w:pStyle w:val="228"/>
              <w:spacing w:before="0" w:beforeAutospacing="0" w:after="0" w:afterAutospacing="0"/>
              <w:jc w:val="center"/>
              <w:rPr>
                <w:color w:val="auto"/>
                <w:highlight w:val="none"/>
              </w:rPr>
            </w:pPr>
          </w:p>
        </w:tc>
      </w:tr>
      <w:tr w14:paraId="4D7A2DB1">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2915" w:type="dxa"/>
            <w:gridSpan w:val="2"/>
            <w:noWrap w:val="0"/>
            <w:vAlign w:val="center"/>
          </w:tcPr>
          <w:p w14:paraId="4D350747">
            <w:pPr>
              <w:pStyle w:val="228"/>
              <w:spacing w:before="0" w:beforeAutospacing="0" w:after="0" w:afterAutospacing="0"/>
              <w:jc w:val="center"/>
              <w:rPr>
                <w:color w:val="auto"/>
                <w:highlight w:val="none"/>
              </w:rPr>
            </w:pPr>
          </w:p>
        </w:tc>
        <w:tc>
          <w:tcPr>
            <w:tcW w:w="1134" w:type="dxa"/>
            <w:noWrap w:val="0"/>
            <w:vAlign w:val="center"/>
          </w:tcPr>
          <w:p w14:paraId="1E10D86E">
            <w:pPr>
              <w:pStyle w:val="228"/>
              <w:spacing w:before="0" w:beforeAutospacing="0" w:after="0" w:afterAutospacing="0"/>
              <w:jc w:val="center"/>
              <w:rPr>
                <w:color w:val="auto"/>
                <w:highlight w:val="none"/>
              </w:rPr>
            </w:pPr>
          </w:p>
        </w:tc>
        <w:tc>
          <w:tcPr>
            <w:tcW w:w="1518" w:type="dxa"/>
            <w:gridSpan w:val="3"/>
            <w:noWrap w:val="0"/>
            <w:vAlign w:val="center"/>
          </w:tcPr>
          <w:p w14:paraId="7522C255">
            <w:pPr>
              <w:pStyle w:val="228"/>
              <w:spacing w:before="0" w:beforeAutospacing="0" w:after="0" w:afterAutospacing="0"/>
              <w:jc w:val="center"/>
              <w:rPr>
                <w:color w:val="auto"/>
                <w:highlight w:val="none"/>
              </w:rPr>
            </w:pPr>
          </w:p>
        </w:tc>
        <w:tc>
          <w:tcPr>
            <w:tcW w:w="1488" w:type="dxa"/>
            <w:gridSpan w:val="2"/>
            <w:noWrap w:val="0"/>
            <w:vAlign w:val="center"/>
          </w:tcPr>
          <w:p w14:paraId="61559C27">
            <w:pPr>
              <w:pStyle w:val="228"/>
              <w:spacing w:before="0" w:beforeAutospacing="0" w:after="0" w:afterAutospacing="0"/>
              <w:jc w:val="center"/>
              <w:rPr>
                <w:color w:val="auto"/>
                <w:highlight w:val="none"/>
              </w:rPr>
            </w:pPr>
          </w:p>
        </w:tc>
        <w:tc>
          <w:tcPr>
            <w:tcW w:w="2305" w:type="dxa"/>
            <w:noWrap w:val="0"/>
            <w:vAlign w:val="center"/>
          </w:tcPr>
          <w:p w14:paraId="6593E41A">
            <w:pPr>
              <w:pStyle w:val="228"/>
              <w:spacing w:before="0" w:beforeAutospacing="0" w:after="0" w:afterAutospacing="0"/>
              <w:jc w:val="center"/>
              <w:rPr>
                <w:color w:val="auto"/>
                <w:highlight w:val="none"/>
              </w:rPr>
            </w:pPr>
          </w:p>
        </w:tc>
      </w:tr>
      <w:tr w14:paraId="27D069CB">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2915" w:type="dxa"/>
            <w:gridSpan w:val="2"/>
            <w:noWrap w:val="0"/>
            <w:vAlign w:val="center"/>
          </w:tcPr>
          <w:p w14:paraId="228465BD">
            <w:pPr>
              <w:pStyle w:val="228"/>
              <w:spacing w:before="0" w:beforeAutospacing="0" w:after="0" w:afterAutospacing="0"/>
              <w:jc w:val="center"/>
              <w:rPr>
                <w:color w:val="auto"/>
                <w:highlight w:val="none"/>
              </w:rPr>
            </w:pPr>
          </w:p>
        </w:tc>
        <w:tc>
          <w:tcPr>
            <w:tcW w:w="1134" w:type="dxa"/>
            <w:noWrap w:val="0"/>
            <w:vAlign w:val="center"/>
          </w:tcPr>
          <w:p w14:paraId="6B209431">
            <w:pPr>
              <w:pStyle w:val="228"/>
              <w:spacing w:before="0" w:beforeAutospacing="0" w:after="0" w:afterAutospacing="0"/>
              <w:jc w:val="center"/>
              <w:rPr>
                <w:color w:val="auto"/>
                <w:highlight w:val="none"/>
              </w:rPr>
            </w:pPr>
          </w:p>
        </w:tc>
        <w:tc>
          <w:tcPr>
            <w:tcW w:w="1518" w:type="dxa"/>
            <w:gridSpan w:val="3"/>
            <w:noWrap w:val="0"/>
            <w:vAlign w:val="center"/>
          </w:tcPr>
          <w:p w14:paraId="2E8CB33E">
            <w:pPr>
              <w:pStyle w:val="228"/>
              <w:spacing w:before="0" w:beforeAutospacing="0" w:after="0" w:afterAutospacing="0"/>
              <w:jc w:val="center"/>
              <w:rPr>
                <w:color w:val="auto"/>
                <w:highlight w:val="none"/>
              </w:rPr>
            </w:pPr>
          </w:p>
        </w:tc>
        <w:tc>
          <w:tcPr>
            <w:tcW w:w="1488" w:type="dxa"/>
            <w:gridSpan w:val="2"/>
            <w:noWrap w:val="0"/>
            <w:vAlign w:val="center"/>
          </w:tcPr>
          <w:p w14:paraId="02D962E4">
            <w:pPr>
              <w:pStyle w:val="228"/>
              <w:spacing w:before="0" w:beforeAutospacing="0" w:after="0" w:afterAutospacing="0"/>
              <w:jc w:val="center"/>
              <w:rPr>
                <w:color w:val="auto"/>
                <w:highlight w:val="none"/>
              </w:rPr>
            </w:pPr>
          </w:p>
        </w:tc>
        <w:tc>
          <w:tcPr>
            <w:tcW w:w="2305" w:type="dxa"/>
            <w:noWrap w:val="0"/>
            <w:vAlign w:val="center"/>
          </w:tcPr>
          <w:p w14:paraId="550CC499">
            <w:pPr>
              <w:pStyle w:val="228"/>
              <w:spacing w:before="0" w:beforeAutospacing="0" w:after="0" w:afterAutospacing="0"/>
              <w:jc w:val="center"/>
              <w:rPr>
                <w:color w:val="auto"/>
                <w:highlight w:val="none"/>
              </w:rPr>
            </w:pPr>
          </w:p>
        </w:tc>
      </w:tr>
      <w:tr w14:paraId="2813C7A5">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2915" w:type="dxa"/>
            <w:gridSpan w:val="2"/>
            <w:noWrap w:val="0"/>
            <w:vAlign w:val="center"/>
          </w:tcPr>
          <w:p w14:paraId="56F31598">
            <w:pPr>
              <w:pStyle w:val="228"/>
              <w:spacing w:before="0" w:beforeAutospacing="0" w:after="0" w:afterAutospacing="0"/>
              <w:jc w:val="center"/>
              <w:rPr>
                <w:color w:val="auto"/>
                <w:highlight w:val="none"/>
              </w:rPr>
            </w:pPr>
          </w:p>
        </w:tc>
        <w:tc>
          <w:tcPr>
            <w:tcW w:w="1134" w:type="dxa"/>
            <w:noWrap w:val="0"/>
            <w:vAlign w:val="center"/>
          </w:tcPr>
          <w:p w14:paraId="2320D931">
            <w:pPr>
              <w:pStyle w:val="228"/>
              <w:spacing w:before="0" w:beforeAutospacing="0" w:after="0" w:afterAutospacing="0"/>
              <w:jc w:val="center"/>
              <w:rPr>
                <w:color w:val="auto"/>
                <w:highlight w:val="none"/>
              </w:rPr>
            </w:pPr>
          </w:p>
        </w:tc>
        <w:tc>
          <w:tcPr>
            <w:tcW w:w="1518" w:type="dxa"/>
            <w:gridSpan w:val="3"/>
            <w:noWrap w:val="0"/>
            <w:vAlign w:val="center"/>
          </w:tcPr>
          <w:p w14:paraId="55353609">
            <w:pPr>
              <w:pStyle w:val="228"/>
              <w:spacing w:before="0" w:beforeAutospacing="0" w:after="0" w:afterAutospacing="0"/>
              <w:jc w:val="center"/>
              <w:rPr>
                <w:color w:val="auto"/>
                <w:highlight w:val="none"/>
              </w:rPr>
            </w:pPr>
          </w:p>
        </w:tc>
        <w:tc>
          <w:tcPr>
            <w:tcW w:w="1488" w:type="dxa"/>
            <w:gridSpan w:val="2"/>
            <w:noWrap w:val="0"/>
            <w:vAlign w:val="center"/>
          </w:tcPr>
          <w:p w14:paraId="18E9B05D">
            <w:pPr>
              <w:pStyle w:val="228"/>
              <w:spacing w:before="0" w:beforeAutospacing="0" w:after="0" w:afterAutospacing="0"/>
              <w:jc w:val="center"/>
              <w:rPr>
                <w:color w:val="auto"/>
                <w:highlight w:val="none"/>
              </w:rPr>
            </w:pPr>
          </w:p>
        </w:tc>
        <w:tc>
          <w:tcPr>
            <w:tcW w:w="2305" w:type="dxa"/>
            <w:noWrap w:val="0"/>
            <w:vAlign w:val="center"/>
          </w:tcPr>
          <w:p w14:paraId="749EA446">
            <w:pPr>
              <w:pStyle w:val="228"/>
              <w:spacing w:before="0" w:beforeAutospacing="0" w:after="0" w:afterAutospacing="0"/>
              <w:jc w:val="center"/>
              <w:rPr>
                <w:color w:val="auto"/>
                <w:highlight w:val="none"/>
              </w:rPr>
            </w:pPr>
          </w:p>
        </w:tc>
      </w:tr>
      <w:tr w14:paraId="5A0CEF2C">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2915" w:type="dxa"/>
            <w:gridSpan w:val="2"/>
            <w:noWrap w:val="0"/>
            <w:vAlign w:val="center"/>
          </w:tcPr>
          <w:p w14:paraId="7885F6B0">
            <w:pPr>
              <w:pStyle w:val="228"/>
              <w:spacing w:before="0" w:beforeAutospacing="0" w:after="0" w:afterAutospacing="0"/>
              <w:jc w:val="center"/>
              <w:rPr>
                <w:color w:val="auto"/>
                <w:highlight w:val="none"/>
              </w:rPr>
            </w:pPr>
          </w:p>
        </w:tc>
        <w:tc>
          <w:tcPr>
            <w:tcW w:w="1134" w:type="dxa"/>
            <w:noWrap w:val="0"/>
            <w:vAlign w:val="center"/>
          </w:tcPr>
          <w:p w14:paraId="7FAFE1D1">
            <w:pPr>
              <w:pStyle w:val="228"/>
              <w:spacing w:before="0" w:beforeAutospacing="0" w:after="0" w:afterAutospacing="0"/>
              <w:jc w:val="center"/>
              <w:rPr>
                <w:color w:val="auto"/>
                <w:highlight w:val="none"/>
              </w:rPr>
            </w:pPr>
          </w:p>
        </w:tc>
        <w:tc>
          <w:tcPr>
            <w:tcW w:w="1518" w:type="dxa"/>
            <w:gridSpan w:val="3"/>
            <w:noWrap w:val="0"/>
            <w:vAlign w:val="center"/>
          </w:tcPr>
          <w:p w14:paraId="13561E93">
            <w:pPr>
              <w:pStyle w:val="228"/>
              <w:spacing w:before="0" w:beforeAutospacing="0" w:after="0" w:afterAutospacing="0"/>
              <w:jc w:val="center"/>
              <w:rPr>
                <w:color w:val="auto"/>
                <w:highlight w:val="none"/>
              </w:rPr>
            </w:pPr>
          </w:p>
        </w:tc>
        <w:tc>
          <w:tcPr>
            <w:tcW w:w="1488" w:type="dxa"/>
            <w:gridSpan w:val="2"/>
            <w:noWrap w:val="0"/>
            <w:vAlign w:val="center"/>
          </w:tcPr>
          <w:p w14:paraId="3301B681">
            <w:pPr>
              <w:pStyle w:val="228"/>
              <w:spacing w:before="0" w:beforeAutospacing="0" w:after="0" w:afterAutospacing="0"/>
              <w:jc w:val="center"/>
              <w:rPr>
                <w:color w:val="auto"/>
                <w:highlight w:val="none"/>
              </w:rPr>
            </w:pPr>
          </w:p>
        </w:tc>
        <w:tc>
          <w:tcPr>
            <w:tcW w:w="2305" w:type="dxa"/>
            <w:noWrap w:val="0"/>
            <w:vAlign w:val="center"/>
          </w:tcPr>
          <w:p w14:paraId="397D86CB">
            <w:pPr>
              <w:pStyle w:val="228"/>
              <w:spacing w:before="0" w:beforeAutospacing="0" w:after="0" w:afterAutospacing="0"/>
              <w:jc w:val="center"/>
              <w:rPr>
                <w:color w:val="auto"/>
                <w:highlight w:val="none"/>
              </w:rPr>
            </w:pPr>
          </w:p>
        </w:tc>
      </w:tr>
      <w:tr w14:paraId="526C283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2915" w:type="dxa"/>
            <w:gridSpan w:val="2"/>
            <w:noWrap w:val="0"/>
            <w:vAlign w:val="center"/>
          </w:tcPr>
          <w:p w14:paraId="09848E9D">
            <w:pPr>
              <w:pStyle w:val="228"/>
              <w:spacing w:before="0" w:beforeAutospacing="0" w:after="0" w:afterAutospacing="0"/>
              <w:jc w:val="center"/>
              <w:rPr>
                <w:color w:val="auto"/>
                <w:highlight w:val="none"/>
              </w:rPr>
            </w:pPr>
          </w:p>
        </w:tc>
        <w:tc>
          <w:tcPr>
            <w:tcW w:w="1134" w:type="dxa"/>
            <w:noWrap w:val="0"/>
            <w:vAlign w:val="center"/>
          </w:tcPr>
          <w:p w14:paraId="445F89BF">
            <w:pPr>
              <w:pStyle w:val="228"/>
              <w:spacing w:before="0" w:beforeAutospacing="0" w:after="0" w:afterAutospacing="0"/>
              <w:jc w:val="center"/>
              <w:rPr>
                <w:color w:val="auto"/>
                <w:highlight w:val="none"/>
              </w:rPr>
            </w:pPr>
          </w:p>
        </w:tc>
        <w:tc>
          <w:tcPr>
            <w:tcW w:w="1518" w:type="dxa"/>
            <w:gridSpan w:val="3"/>
            <w:noWrap w:val="0"/>
            <w:vAlign w:val="center"/>
          </w:tcPr>
          <w:p w14:paraId="709265A8">
            <w:pPr>
              <w:pStyle w:val="228"/>
              <w:spacing w:before="0" w:beforeAutospacing="0" w:after="0" w:afterAutospacing="0"/>
              <w:jc w:val="center"/>
              <w:rPr>
                <w:color w:val="auto"/>
                <w:highlight w:val="none"/>
              </w:rPr>
            </w:pPr>
          </w:p>
        </w:tc>
        <w:tc>
          <w:tcPr>
            <w:tcW w:w="1488" w:type="dxa"/>
            <w:gridSpan w:val="2"/>
            <w:noWrap w:val="0"/>
            <w:vAlign w:val="center"/>
          </w:tcPr>
          <w:p w14:paraId="06D59413">
            <w:pPr>
              <w:pStyle w:val="228"/>
              <w:spacing w:before="0" w:beforeAutospacing="0" w:after="0" w:afterAutospacing="0"/>
              <w:jc w:val="center"/>
              <w:rPr>
                <w:color w:val="auto"/>
                <w:highlight w:val="none"/>
              </w:rPr>
            </w:pPr>
          </w:p>
        </w:tc>
        <w:tc>
          <w:tcPr>
            <w:tcW w:w="2305" w:type="dxa"/>
            <w:noWrap w:val="0"/>
            <w:vAlign w:val="center"/>
          </w:tcPr>
          <w:p w14:paraId="79ADA368">
            <w:pPr>
              <w:pStyle w:val="228"/>
              <w:spacing w:before="0" w:beforeAutospacing="0" w:after="0" w:afterAutospacing="0"/>
              <w:jc w:val="center"/>
              <w:rPr>
                <w:color w:val="auto"/>
                <w:highlight w:val="none"/>
              </w:rPr>
            </w:pPr>
          </w:p>
        </w:tc>
      </w:tr>
      <w:tr w14:paraId="1F2DF52F">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2915" w:type="dxa"/>
            <w:gridSpan w:val="2"/>
            <w:noWrap w:val="0"/>
            <w:vAlign w:val="center"/>
          </w:tcPr>
          <w:p w14:paraId="52B524B2">
            <w:pPr>
              <w:pStyle w:val="228"/>
              <w:spacing w:before="0" w:beforeAutospacing="0" w:after="0" w:afterAutospacing="0"/>
              <w:jc w:val="center"/>
              <w:rPr>
                <w:color w:val="auto"/>
                <w:highlight w:val="none"/>
              </w:rPr>
            </w:pPr>
          </w:p>
        </w:tc>
        <w:tc>
          <w:tcPr>
            <w:tcW w:w="1134" w:type="dxa"/>
            <w:noWrap w:val="0"/>
            <w:vAlign w:val="center"/>
          </w:tcPr>
          <w:p w14:paraId="6A64C068">
            <w:pPr>
              <w:pStyle w:val="228"/>
              <w:spacing w:before="0" w:beforeAutospacing="0" w:after="0" w:afterAutospacing="0"/>
              <w:jc w:val="center"/>
              <w:rPr>
                <w:color w:val="auto"/>
                <w:highlight w:val="none"/>
              </w:rPr>
            </w:pPr>
          </w:p>
        </w:tc>
        <w:tc>
          <w:tcPr>
            <w:tcW w:w="1518" w:type="dxa"/>
            <w:gridSpan w:val="3"/>
            <w:noWrap w:val="0"/>
            <w:vAlign w:val="center"/>
          </w:tcPr>
          <w:p w14:paraId="24BEF8D4">
            <w:pPr>
              <w:pStyle w:val="228"/>
              <w:spacing w:before="0" w:beforeAutospacing="0" w:after="0" w:afterAutospacing="0"/>
              <w:jc w:val="center"/>
              <w:rPr>
                <w:color w:val="auto"/>
                <w:highlight w:val="none"/>
              </w:rPr>
            </w:pPr>
          </w:p>
        </w:tc>
        <w:tc>
          <w:tcPr>
            <w:tcW w:w="1488" w:type="dxa"/>
            <w:gridSpan w:val="2"/>
            <w:noWrap w:val="0"/>
            <w:vAlign w:val="center"/>
          </w:tcPr>
          <w:p w14:paraId="79EB200C">
            <w:pPr>
              <w:pStyle w:val="228"/>
              <w:spacing w:before="0" w:beforeAutospacing="0" w:after="0" w:afterAutospacing="0"/>
              <w:jc w:val="center"/>
              <w:rPr>
                <w:color w:val="auto"/>
                <w:highlight w:val="none"/>
              </w:rPr>
            </w:pPr>
          </w:p>
        </w:tc>
        <w:tc>
          <w:tcPr>
            <w:tcW w:w="2305" w:type="dxa"/>
            <w:noWrap w:val="0"/>
            <w:vAlign w:val="center"/>
          </w:tcPr>
          <w:p w14:paraId="76CF4680">
            <w:pPr>
              <w:pStyle w:val="228"/>
              <w:spacing w:before="0" w:beforeAutospacing="0" w:after="0" w:afterAutospacing="0"/>
              <w:jc w:val="center"/>
              <w:rPr>
                <w:color w:val="auto"/>
                <w:highlight w:val="none"/>
              </w:rPr>
            </w:pPr>
          </w:p>
        </w:tc>
      </w:tr>
      <w:tr w14:paraId="0F21E4AC">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2" w:hRule="atLeast"/>
          <w:jc w:val="center"/>
        </w:trPr>
        <w:tc>
          <w:tcPr>
            <w:tcW w:w="9360" w:type="dxa"/>
            <w:gridSpan w:val="9"/>
            <w:noWrap w:val="0"/>
            <w:vAlign w:val="center"/>
          </w:tcPr>
          <w:p w14:paraId="5BC88377">
            <w:pPr>
              <w:pStyle w:val="228"/>
              <w:spacing w:before="0" w:beforeAutospacing="0" w:after="0" w:afterAutospacing="0"/>
              <w:jc w:val="center"/>
              <w:rPr>
                <w:b/>
                <w:color w:val="auto"/>
                <w:highlight w:val="none"/>
              </w:rPr>
            </w:pPr>
            <w:r>
              <w:rPr>
                <w:rFonts w:hint="eastAsia"/>
                <w:b/>
                <w:color w:val="auto"/>
                <w:highlight w:val="none"/>
              </w:rPr>
              <w:t>五、其他投标单位综合实力证明材料</w:t>
            </w:r>
          </w:p>
        </w:tc>
      </w:tr>
      <w:tr w14:paraId="78ED3AE1">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544" w:hRule="atLeast"/>
          <w:jc w:val="center"/>
        </w:trPr>
        <w:tc>
          <w:tcPr>
            <w:tcW w:w="9360" w:type="dxa"/>
            <w:gridSpan w:val="9"/>
            <w:noWrap w:val="0"/>
            <w:vAlign w:val="center"/>
          </w:tcPr>
          <w:p w14:paraId="100CE588">
            <w:pPr>
              <w:pStyle w:val="228"/>
              <w:spacing w:before="0" w:beforeAutospacing="0" w:after="0" w:afterAutospacing="0"/>
              <w:jc w:val="center"/>
              <w:rPr>
                <w:color w:val="auto"/>
                <w:highlight w:val="none"/>
              </w:rPr>
            </w:pPr>
          </w:p>
        </w:tc>
      </w:tr>
    </w:tbl>
    <w:p w14:paraId="59061249">
      <w:pPr>
        <w:rPr>
          <w:rFonts w:hint="eastAsia" w:ascii="宋体" w:hAnsi="宋体" w:cs="宋体"/>
          <w:color w:val="auto"/>
          <w:highlight w:val="none"/>
        </w:rPr>
      </w:pPr>
    </w:p>
    <w:p w14:paraId="20D1CBE8">
      <w:pPr>
        <w:jc w:val="center"/>
        <w:rPr>
          <w:rFonts w:ascii="宋体" w:hAnsi="宋体"/>
          <w:b/>
          <w:bCs/>
          <w:color w:val="auto"/>
          <w:sz w:val="24"/>
          <w:highlight w:val="none"/>
        </w:rPr>
      </w:pPr>
      <w:r>
        <w:rPr>
          <w:b/>
          <w:bCs/>
          <w:color w:val="auto"/>
          <w:sz w:val="24"/>
          <w:highlight w:val="none"/>
        </w:rPr>
        <w:t>（</w:t>
      </w:r>
      <w:r>
        <w:rPr>
          <w:rFonts w:hint="eastAsia"/>
          <w:b/>
          <w:bCs/>
          <w:color w:val="auto"/>
          <w:sz w:val="24"/>
          <w:highlight w:val="none"/>
        </w:rPr>
        <w:t>二</w:t>
      </w:r>
      <w:r>
        <w:rPr>
          <w:b/>
          <w:bCs/>
          <w:color w:val="auto"/>
          <w:sz w:val="24"/>
          <w:highlight w:val="none"/>
        </w:rPr>
        <w:t>）</w:t>
      </w:r>
      <w:r>
        <w:rPr>
          <w:rFonts w:hint="eastAsia" w:ascii="宋体" w:hAnsi="宋体"/>
          <w:b/>
          <w:bCs/>
          <w:color w:val="auto"/>
          <w:sz w:val="24"/>
          <w:highlight w:val="none"/>
        </w:rPr>
        <w:t>拟派项目组团队一览表</w:t>
      </w:r>
    </w:p>
    <w:tbl>
      <w:tblPr>
        <w:tblStyle w:val="34"/>
        <w:tblW w:w="8975" w:type="dxa"/>
        <w:jc w:val="center"/>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fixed"/>
        <w:tblCellMar>
          <w:top w:w="0" w:type="dxa"/>
          <w:left w:w="108" w:type="dxa"/>
          <w:bottom w:w="0" w:type="dxa"/>
          <w:right w:w="108" w:type="dxa"/>
        </w:tblCellMar>
      </w:tblPr>
      <w:tblGrid>
        <w:gridCol w:w="916"/>
        <w:gridCol w:w="1559"/>
        <w:gridCol w:w="931"/>
        <w:gridCol w:w="867"/>
        <w:gridCol w:w="1511"/>
        <w:gridCol w:w="1581"/>
        <w:gridCol w:w="1610"/>
      </w:tblGrid>
      <w:tr w14:paraId="4C4BCFF3">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6E10F37">
            <w:pPr>
              <w:tabs>
                <w:tab w:val="left" w:pos="540"/>
              </w:tabs>
              <w:spacing w:line="360" w:lineRule="auto"/>
              <w:ind w:left="-132" w:right="-105" w:hanging="2"/>
              <w:jc w:val="center"/>
              <w:rPr>
                <w:rFonts w:ascii="宋体" w:hAnsi="宋体" w:cs="宋体"/>
                <w:color w:val="auto"/>
                <w:sz w:val="24"/>
                <w:highlight w:val="none"/>
              </w:rPr>
            </w:pPr>
            <w:r>
              <w:rPr>
                <w:rFonts w:hint="eastAsia" w:ascii="宋体" w:hAnsi="宋体" w:cs="宋体"/>
                <w:color w:val="auto"/>
                <w:sz w:val="24"/>
                <w:highlight w:val="none"/>
              </w:rPr>
              <w:t>序号</w:t>
            </w:r>
          </w:p>
        </w:tc>
        <w:tc>
          <w:tcPr>
            <w:tcW w:w="1559" w:type="dxa"/>
            <w:noWrap w:val="0"/>
            <w:vAlign w:val="center"/>
          </w:tcPr>
          <w:p w14:paraId="71D591BB">
            <w:pPr>
              <w:tabs>
                <w:tab w:val="left" w:pos="540"/>
              </w:tabs>
              <w:spacing w:line="360" w:lineRule="auto"/>
              <w:ind w:left="-132" w:right="-105" w:hanging="2"/>
              <w:jc w:val="center"/>
              <w:rPr>
                <w:rFonts w:ascii="宋体" w:hAnsi="宋体" w:cs="宋体"/>
                <w:color w:val="auto"/>
                <w:sz w:val="24"/>
                <w:highlight w:val="none"/>
              </w:rPr>
            </w:pPr>
            <w:r>
              <w:rPr>
                <w:rFonts w:hint="eastAsia" w:ascii="宋体" w:hAnsi="宋体" w:cs="宋体"/>
                <w:color w:val="auto"/>
                <w:sz w:val="24"/>
                <w:highlight w:val="none"/>
              </w:rPr>
              <w:t>姓名</w:t>
            </w:r>
          </w:p>
        </w:tc>
        <w:tc>
          <w:tcPr>
            <w:tcW w:w="931" w:type="dxa"/>
            <w:noWrap w:val="0"/>
            <w:vAlign w:val="center"/>
          </w:tcPr>
          <w:p w14:paraId="74BF1C18">
            <w:pPr>
              <w:tabs>
                <w:tab w:val="left" w:pos="540"/>
              </w:tabs>
              <w:spacing w:line="360" w:lineRule="auto"/>
              <w:ind w:left="-132" w:right="-105" w:hanging="2"/>
              <w:jc w:val="center"/>
              <w:rPr>
                <w:rFonts w:ascii="宋体" w:hAnsi="宋体" w:cs="宋体"/>
                <w:color w:val="auto"/>
                <w:sz w:val="24"/>
                <w:highlight w:val="none"/>
              </w:rPr>
            </w:pPr>
            <w:r>
              <w:rPr>
                <w:rFonts w:hint="eastAsia" w:ascii="宋体" w:hAnsi="宋体" w:cs="宋体"/>
                <w:color w:val="auto"/>
                <w:sz w:val="24"/>
                <w:highlight w:val="none"/>
              </w:rPr>
              <w:t>年龄</w:t>
            </w:r>
          </w:p>
        </w:tc>
        <w:tc>
          <w:tcPr>
            <w:tcW w:w="867" w:type="dxa"/>
            <w:noWrap w:val="0"/>
            <w:vAlign w:val="center"/>
          </w:tcPr>
          <w:p w14:paraId="2A105FB2">
            <w:pPr>
              <w:tabs>
                <w:tab w:val="left" w:pos="540"/>
              </w:tabs>
              <w:spacing w:line="360" w:lineRule="auto"/>
              <w:ind w:left="-132" w:right="-105" w:hanging="2"/>
              <w:jc w:val="center"/>
              <w:rPr>
                <w:rFonts w:ascii="宋体" w:hAnsi="宋体" w:cs="宋体"/>
                <w:color w:val="auto"/>
                <w:sz w:val="24"/>
                <w:highlight w:val="none"/>
              </w:rPr>
            </w:pPr>
            <w:r>
              <w:rPr>
                <w:rFonts w:hint="eastAsia" w:ascii="宋体" w:hAnsi="宋体" w:cs="宋体"/>
                <w:color w:val="auto"/>
                <w:sz w:val="24"/>
                <w:highlight w:val="none"/>
              </w:rPr>
              <w:t>性别</w:t>
            </w:r>
          </w:p>
        </w:tc>
        <w:tc>
          <w:tcPr>
            <w:tcW w:w="1511" w:type="dxa"/>
            <w:noWrap w:val="0"/>
            <w:vAlign w:val="center"/>
          </w:tcPr>
          <w:p w14:paraId="65E6EE87">
            <w:pPr>
              <w:tabs>
                <w:tab w:val="left" w:pos="540"/>
              </w:tabs>
              <w:spacing w:line="360" w:lineRule="auto"/>
              <w:ind w:left="-132" w:right="-105" w:hanging="2"/>
              <w:jc w:val="center"/>
              <w:rPr>
                <w:rFonts w:ascii="宋体" w:hAnsi="宋体" w:cs="宋体"/>
                <w:color w:val="auto"/>
                <w:sz w:val="24"/>
                <w:highlight w:val="none"/>
              </w:rPr>
            </w:pPr>
            <w:r>
              <w:rPr>
                <w:rFonts w:hint="eastAsia" w:ascii="宋体" w:hAnsi="宋体" w:cs="宋体"/>
                <w:color w:val="auto"/>
                <w:sz w:val="24"/>
                <w:highlight w:val="none"/>
              </w:rPr>
              <w:t>职称、资质</w:t>
            </w:r>
          </w:p>
        </w:tc>
        <w:tc>
          <w:tcPr>
            <w:tcW w:w="1581" w:type="dxa"/>
            <w:noWrap w:val="0"/>
            <w:vAlign w:val="center"/>
          </w:tcPr>
          <w:p w14:paraId="61EC15FB">
            <w:pPr>
              <w:tabs>
                <w:tab w:val="left" w:pos="540"/>
              </w:tabs>
              <w:spacing w:line="360" w:lineRule="auto"/>
              <w:ind w:left="-132" w:right="-105" w:hanging="2"/>
              <w:jc w:val="center"/>
              <w:rPr>
                <w:rFonts w:ascii="宋体" w:hAnsi="宋体" w:cs="宋体"/>
                <w:color w:val="auto"/>
                <w:sz w:val="24"/>
                <w:highlight w:val="none"/>
              </w:rPr>
            </w:pPr>
            <w:r>
              <w:rPr>
                <w:rFonts w:hint="eastAsia" w:ascii="宋体" w:hAnsi="宋体" w:cs="宋体"/>
                <w:color w:val="auto"/>
                <w:sz w:val="24"/>
                <w:highlight w:val="none"/>
              </w:rPr>
              <w:t>岗位</w:t>
            </w:r>
          </w:p>
        </w:tc>
        <w:tc>
          <w:tcPr>
            <w:tcW w:w="1610" w:type="dxa"/>
            <w:noWrap w:val="0"/>
            <w:vAlign w:val="center"/>
          </w:tcPr>
          <w:p w14:paraId="71885AB4">
            <w:pPr>
              <w:tabs>
                <w:tab w:val="left" w:pos="540"/>
              </w:tabs>
              <w:spacing w:line="360" w:lineRule="auto"/>
              <w:ind w:left="-132" w:right="-105" w:hanging="2"/>
              <w:jc w:val="center"/>
              <w:rPr>
                <w:rFonts w:ascii="宋体" w:hAnsi="宋体" w:cs="宋体"/>
                <w:color w:val="auto"/>
                <w:sz w:val="24"/>
                <w:highlight w:val="none"/>
              </w:rPr>
            </w:pPr>
            <w:r>
              <w:rPr>
                <w:rFonts w:hint="eastAsia" w:ascii="宋体" w:hAnsi="宋体" w:cs="宋体"/>
                <w:color w:val="auto"/>
                <w:sz w:val="24"/>
                <w:highlight w:val="none"/>
              </w:rPr>
              <w:t>证明材料页码</w:t>
            </w:r>
          </w:p>
        </w:tc>
      </w:tr>
      <w:tr w14:paraId="77A47C9C">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7F6F68B">
            <w:pPr>
              <w:tabs>
                <w:tab w:val="left" w:pos="540"/>
              </w:tabs>
              <w:spacing w:line="360" w:lineRule="auto"/>
              <w:ind w:left="-132" w:right="-105" w:hanging="2"/>
              <w:jc w:val="center"/>
              <w:rPr>
                <w:rFonts w:ascii="宋体" w:hAnsi="宋体" w:cs="宋体"/>
                <w:color w:val="auto"/>
                <w:sz w:val="24"/>
                <w:highlight w:val="none"/>
              </w:rPr>
            </w:pPr>
            <w:r>
              <w:rPr>
                <w:rFonts w:hint="eastAsia" w:ascii="宋体" w:hAnsi="宋体" w:cs="宋体"/>
                <w:color w:val="auto"/>
                <w:sz w:val="24"/>
                <w:highlight w:val="none"/>
              </w:rPr>
              <w:t>1</w:t>
            </w:r>
          </w:p>
        </w:tc>
        <w:tc>
          <w:tcPr>
            <w:tcW w:w="1559" w:type="dxa"/>
            <w:noWrap w:val="0"/>
            <w:vAlign w:val="center"/>
          </w:tcPr>
          <w:p w14:paraId="3E53C68A">
            <w:pPr>
              <w:tabs>
                <w:tab w:val="left" w:pos="540"/>
              </w:tabs>
              <w:spacing w:line="360" w:lineRule="auto"/>
              <w:ind w:left="-132" w:right="-105" w:hanging="2"/>
              <w:jc w:val="center"/>
              <w:rPr>
                <w:rFonts w:ascii="宋体" w:hAnsi="宋体" w:cs="宋体"/>
                <w:color w:val="auto"/>
                <w:sz w:val="24"/>
                <w:highlight w:val="none"/>
              </w:rPr>
            </w:pPr>
          </w:p>
        </w:tc>
        <w:tc>
          <w:tcPr>
            <w:tcW w:w="931" w:type="dxa"/>
            <w:noWrap w:val="0"/>
            <w:vAlign w:val="center"/>
          </w:tcPr>
          <w:p w14:paraId="63E62796">
            <w:pPr>
              <w:tabs>
                <w:tab w:val="left" w:pos="540"/>
              </w:tabs>
              <w:spacing w:line="360" w:lineRule="auto"/>
              <w:ind w:left="-132" w:right="-105" w:hanging="2"/>
              <w:jc w:val="center"/>
              <w:rPr>
                <w:rFonts w:ascii="宋体" w:hAnsi="宋体" w:cs="宋体"/>
                <w:color w:val="auto"/>
                <w:sz w:val="24"/>
                <w:highlight w:val="none"/>
              </w:rPr>
            </w:pPr>
          </w:p>
        </w:tc>
        <w:tc>
          <w:tcPr>
            <w:tcW w:w="867" w:type="dxa"/>
            <w:noWrap w:val="0"/>
            <w:vAlign w:val="center"/>
          </w:tcPr>
          <w:p w14:paraId="2A437D40">
            <w:pPr>
              <w:tabs>
                <w:tab w:val="left" w:pos="540"/>
              </w:tabs>
              <w:spacing w:line="360" w:lineRule="auto"/>
              <w:ind w:left="-132" w:right="-105" w:hanging="2"/>
              <w:jc w:val="center"/>
              <w:rPr>
                <w:rFonts w:ascii="宋体" w:hAnsi="宋体" w:cs="宋体"/>
                <w:color w:val="auto"/>
                <w:sz w:val="24"/>
                <w:highlight w:val="none"/>
              </w:rPr>
            </w:pPr>
          </w:p>
        </w:tc>
        <w:tc>
          <w:tcPr>
            <w:tcW w:w="1511" w:type="dxa"/>
            <w:noWrap w:val="0"/>
            <w:vAlign w:val="center"/>
          </w:tcPr>
          <w:p w14:paraId="7A9EE7C1">
            <w:pPr>
              <w:tabs>
                <w:tab w:val="left" w:pos="540"/>
              </w:tabs>
              <w:spacing w:line="360" w:lineRule="auto"/>
              <w:ind w:left="-132" w:right="-105" w:hanging="2"/>
              <w:jc w:val="center"/>
              <w:rPr>
                <w:rFonts w:ascii="宋体" w:hAnsi="宋体" w:cs="宋体"/>
                <w:color w:val="auto"/>
                <w:sz w:val="24"/>
                <w:highlight w:val="none"/>
              </w:rPr>
            </w:pPr>
          </w:p>
        </w:tc>
        <w:tc>
          <w:tcPr>
            <w:tcW w:w="1581" w:type="dxa"/>
            <w:noWrap w:val="0"/>
            <w:vAlign w:val="center"/>
          </w:tcPr>
          <w:p w14:paraId="1D97718B">
            <w:pPr>
              <w:tabs>
                <w:tab w:val="left" w:pos="540"/>
              </w:tabs>
              <w:spacing w:line="360" w:lineRule="auto"/>
              <w:ind w:left="-132" w:right="-105" w:hanging="2"/>
              <w:jc w:val="center"/>
              <w:rPr>
                <w:rFonts w:hint="eastAsia" w:ascii="宋体" w:hAnsi="宋体" w:cs="宋体"/>
                <w:color w:val="auto"/>
                <w:sz w:val="24"/>
                <w:highlight w:val="none"/>
              </w:rPr>
            </w:pPr>
            <w:r>
              <w:rPr>
                <w:rFonts w:hint="eastAsia" w:ascii="宋体" w:hAnsi="宋体" w:cs="宋体"/>
                <w:color w:val="auto"/>
                <w:sz w:val="24"/>
                <w:highlight w:val="none"/>
              </w:rPr>
              <w:t xml:space="preserve"> </w:t>
            </w:r>
          </w:p>
        </w:tc>
        <w:tc>
          <w:tcPr>
            <w:tcW w:w="1610" w:type="dxa"/>
            <w:noWrap w:val="0"/>
            <w:vAlign w:val="center"/>
          </w:tcPr>
          <w:p w14:paraId="4CA64484">
            <w:pPr>
              <w:tabs>
                <w:tab w:val="left" w:pos="540"/>
              </w:tabs>
              <w:spacing w:line="360" w:lineRule="auto"/>
              <w:ind w:left="-132" w:right="-105" w:hanging="2"/>
              <w:jc w:val="center"/>
              <w:rPr>
                <w:rFonts w:ascii="宋体" w:hAnsi="宋体" w:cs="宋体"/>
                <w:color w:val="auto"/>
                <w:sz w:val="24"/>
                <w:highlight w:val="none"/>
              </w:rPr>
            </w:pPr>
          </w:p>
        </w:tc>
      </w:tr>
      <w:tr w14:paraId="3A20D180">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DDB8534">
            <w:pPr>
              <w:tabs>
                <w:tab w:val="left" w:pos="540"/>
              </w:tabs>
              <w:spacing w:line="360" w:lineRule="auto"/>
              <w:ind w:left="-132" w:right="-105" w:hanging="2"/>
              <w:jc w:val="center"/>
              <w:rPr>
                <w:rFonts w:ascii="宋体" w:hAnsi="宋体" w:cs="宋体"/>
                <w:color w:val="auto"/>
                <w:sz w:val="24"/>
                <w:highlight w:val="none"/>
              </w:rPr>
            </w:pPr>
            <w:r>
              <w:rPr>
                <w:rFonts w:hint="eastAsia" w:ascii="宋体" w:hAnsi="宋体" w:cs="宋体"/>
                <w:color w:val="auto"/>
                <w:sz w:val="24"/>
                <w:highlight w:val="none"/>
              </w:rPr>
              <w:t>2</w:t>
            </w:r>
          </w:p>
        </w:tc>
        <w:tc>
          <w:tcPr>
            <w:tcW w:w="1559" w:type="dxa"/>
            <w:noWrap w:val="0"/>
            <w:vAlign w:val="center"/>
          </w:tcPr>
          <w:p w14:paraId="72E8D820">
            <w:pPr>
              <w:tabs>
                <w:tab w:val="left" w:pos="540"/>
              </w:tabs>
              <w:spacing w:line="360" w:lineRule="auto"/>
              <w:ind w:left="-132" w:right="-105" w:hanging="2"/>
              <w:jc w:val="center"/>
              <w:rPr>
                <w:rFonts w:ascii="宋体" w:hAnsi="宋体" w:cs="宋体"/>
                <w:color w:val="auto"/>
                <w:sz w:val="24"/>
                <w:highlight w:val="none"/>
              </w:rPr>
            </w:pPr>
          </w:p>
        </w:tc>
        <w:tc>
          <w:tcPr>
            <w:tcW w:w="931" w:type="dxa"/>
            <w:noWrap w:val="0"/>
            <w:vAlign w:val="center"/>
          </w:tcPr>
          <w:p w14:paraId="42263C49">
            <w:pPr>
              <w:tabs>
                <w:tab w:val="left" w:pos="540"/>
              </w:tabs>
              <w:spacing w:line="360" w:lineRule="auto"/>
              <w:ind w:left="-132" w:right="-105" w:hanging="2"/>
              <w:jc w:val="center"/>
              <w:rPr>
                <w:rFonts w:ascii="宋体" w:hAnsi="宋体" w:cs="宋体"/>
                <w:color w:val="auto"/>
                <w:sz w:val="24"/>
                <w:highlight w:val="none"/>
              </w:rPr>
            </w:pPr>
          </w:p>
        </w:tc>
        <w:tc>
          <w:tcPr>
            <w:tcW w:w="867" w:type="dxa"/>
            <w:noWrap w:val="0"/>
            <w:vAlign w:val="center"/>
          </w:tcPr>
          <w:p w14:paraId="2901D3E1">
            <w:pPr>
              <w:tabs>
                <w:tab w:val="left" w:pos="540"/>
              </w:tabs>
              <w:spacing w:line="360" w:lineRule="auto"/>
              <w:ind w:left="-132" w:right="-105" w:hanging="2"/>
              <w:jc w:val="center"/>
              <w:rPr>
                <w:rFonts w:ascii="宋体" w:hAnsi="宋体" w:cs="宋体"/>
                <w:color w:val="auto"/>
                <w:sz w:val="24"/>
                <w:highlight w:val="none"/>
              </w:rPr>
            </w:pPr>
          </w:p>
        </w:tc>
        <w:tc>
          <w:tcPr>
            <w:tcW w:w="1511" w:type="dxa"/>
            <w:noWrap w:val="0"/>
            <w:vAlign w:val="center"/>
          </w:tcPr>
          <w:p w14:paraId="2F4DA4D1">
            <w:pPr>
              <w:tabs>
                <w:tab w:val="left" w:pos="540"/>
              </w:tabs>
              <w:spacing w:line="360" w:lineRule="auto"/>
              <w:ind w:left="-132" w:right="-105" w:hanging="2"/>
              <w:jc w:val="center"/>
              <w:rPr>
                <w:rFonts w:ascii="宋体" w:hAnsi="宋体" w:cs="宋体"/>
                <w:color w:val="auto"/>
                <w:sz w:val="24"/>
                <w:highlight w:val="none"/>
              </w:rPr>
            </w:pPr>
          </w:p>
        </w:tc>
        <w:tc>
          <w:tcPr>
            <w:tcW w:w="1581" w:type="dxa"/>
            <w:noWrap w:val="0"/>
            <w:vAlign w:val="center"/>
          </w:tcPr>
          <w:p w14:paraId="1350D433">
            <w:pPr>
              <w:tabs>
                <w:tab w:val="left" w:pos="540"/>
              </w:tabs>
              <w:spacing w:line="360" w:lineRule="auto"/>
              <w:ind w:left="-132" w:right="-105" w:hanging="2"/>
              <w:jc w:val="center"/>
              <w:rPr>
                <w:rFonts w:ascii="宋体" w:hAnsi="宋体" w:cs="宋体"/>
                <w:color w:val="auto"/>
                <w:sz w:val="24"/>
                <w:highlight w:val="none"/>
              </w:rPr>
            </w:pPr>
          </w:p>
        </w:tc>
        <w:tc>
          <w:tcPr>
            <w:tcW w:w="1610" w:type="dxa"/>
            <w:noWrap w:val="0"/>
            <w:vAlign w:val="center"/>
          </w:tcPr>
          <w:p w14:paraId="3FBCAB13">
            <w:pPr>
              <w:tabs>
                <w:tab w:val="left" w:pos="540"/>
              </w:tabs>
              <w:spacing w:line="360" w:lineRule="auto"/>
              <w:ind w:left="-132" w:right="-105" w:hanging="2"/>
              <w:jc w:val="center"/>
              <w:rPr>
                <w:rFonts w:ascii="宋体" w:hAnsi="宋体" w:cs="宋体"/>
                <w:color w:val="auto"/>
                <w:sz w:val="24"/>
                <w:highlight w:val="none"/>
              </w:rPr>
            </w:pPr>
          </w:p>
        </w:tc>
      </w:tr>
      <w:tr w14:paraId="222FBC4D">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3DAD208F">
            <w:pPr>
              <w:tabs>
                <w:tab w:val="left" w:pos="540"/>
              </w:tabs>
              <w:spacing w:line="360" w:lineRule="auto"/>
              <w:ind w:left="-132" w:right="-105" w:hanging="2"/>
              <w:jc w:val="center"/>
              <w:rPr>
                <w:rFonts w:ascii="宋体" w:hAnsi="宋体" w:cs="宋体"/>
                <w:color w:val="auto"/>
                <w:sz w:val="24"/>
                <w:highlight w:val="none"/>
              </w:rPr>
            </w:pPr>
            <w:r>
              <w:rPr>
                <w:rFonts w:hint="eastAsia" w:ascii="宋体" w:hAnsi="宋体" w:cs="宋体"/>
                <w:color w:val="auto"/>
                <w:sz w:val="24"/>
                <w:highlight w:val="none"/>
              </w:rPr>
              <w:t>3</w:t>
            </w:r>
          </w:p>
        </w:tc>
        <w:tc>
          <w:tcPr>
            <w:tcW w:w="1559" w:type="dxa"/>
            <w:noWrap w:val="0"/>
            <w:vAlign w:val="center"/>
          </w:tcPr>
          <w:p w14:paraId="79EFA5DD">
            <w:pPr>
              <w:tabs>
                <w:tab w:val="left" w:pos="540"/>
              </w:tabs>
              <w:spacing w:line="360" w:lineRule="auto"/>
              <w:ind w:left="-132" w:right="-105" w:hanging="2"/>
              <w:jc w:val="center"/>
              <w:rPr>
                <w:rFonts w:ascii="宋体" w:hAnsi="宋体" w:cs="宋体"/>
                <w:color w:val="auto"/>
                <w:sz w:val="24"/>
                <w:highlight w:val="none"/>
              </w:rPr>
            </w:pPr>
          </w:p>
        </w:tc>
        <w:tc>
          <w:tcPr>
            <w:tcW w:w="931" w:type="dxa"/>
            <w:noWrap w:val="0"/>
            <w:vAlign w:val="center"/>
          </w:tcPr>
          <w:p w14:paraId="48434347">
            <w:pPr>
              <w:tabs>
                <w:tab w:val="left" w:pos="540"/>
              </w:tabs>
              <w:spacing w:line="360" w:lineRule="auto"/>
              <w:ind w:left="-132" w:right="-105" w:hanging="2"/>
              <w:jc w:val="center"/>
              <w:rPr>
                <w:rFonts w:ascii="宋体" w:hAnsi="宋体" w:cs="宋体"/>
                <w:color w:val="auto"/>
                <w:sz w:val="24"/>
                <w:highlight w:val="none"/>
              </w:rPr>
            </w:pPr>
          </w:p>
        </w:tc>
        <w:tc>
          <w:tcPr>
            <w:tcW w:w="867" w:type="dxa"/>
            <w:noWrap w:val="0"/>
            <w:vAlign w:val="center"/>
          </w:tcPr>
          <w:p w14:paraId="5E04815F">
            <w:pPr>
              <w:tabs>
                <w:tab w:val="left" w:pos="540"/>
              </w:tabs>
              <w:spacing w:line="360" w:lineRule="auto"/>
              <w:ind w:left="-132" w:right="-105" w:hanging="2"/>
              <w:jc w:val="center"/>
              <w:rPr>
                <w:rFonts w:ascii="宋体" w:hAnsi="宋体" w:cs="宋体"/>
                <w:color w:val="auto"/>
                <w:sz w:val="24"/>
                <w:highlight w:val="none"/>
              </w:rPr>
            </w:pPr>
          </w:p>
        </w:tc>
        <w:tc>
          <w:tcPr>
            <w:tcW w:w="1511" w:type="dxa"/>
            <w:noWrap w:val="0"/>
            <w:vAlign w:val="center"/>
          </w:tcPr>
          <w:p w14:paraId="34B74AAF">
            <w:pPr>
              <w:tabs>
                <w:tab w:val="left" w:pos="540"/>
              </w:tabs>
              <w:spacing w:line="360" w:lineRule="auto"/>
              <w:ind w:left="-132" w:right="-105" w:hanging="2"/>
              <w:jc w:val="center"/>
              <w:rPr>
                <w:rFonts w:ascii="宋体" w:hAnsi="宋体" w:cs="宋体"/>
                <w:color w:val="auto"/>
                <w:sz w:val="24"/>
                <w:highlight w:val="none"/>
              </w:rPr>
            </w:pPr>
          </w:p>
        </w:tc>
        <w:tc>
          <w:tcPr>
            <w:tcW w:w="1581" w:type="dxa"/>
            <w:noWrap w:val="0"/>
            <w:vAlign w:val="center"/>
          </w:tcPr>
          <w:p w14:paraId="0CE61024">
            <w:pPr>
              <w:spacing w:line="360" w:lineRule="auto"/>
              <w:ind w:left="-132" w:right="-105" w:hanging="2"/>
              <w:jc w:val="center"/>
              <w:rPr>
                <w:rFonts w:ascii="宋体" w:hAnsi="宋体" w:cs="宋体"/>
                <w:color w:val="auto"/>
                <w:sz w:val="24"/>
                <w:highlight w:val="none"/>
              </w:rPr>
            </w:pPr>
          </w:p>
        </w:tc>
        <w:tc>
          <w:tcPr>
            <w:tcW w:w="1610" w:type="dxa"/>
            <w:noWrap w:val="0"/>
            <w:vAlign w:val="center"/>
          </w:tcPr>
          <w:p w14:paraId="520DB706">
            <w:pPr>
              <w:spacing w:line="360" w:lineRule="auto"/>
              <w:ind w:left="-132" w:right="-105" w:hanging="2"/>
              <w:jc w:val="center"/>
              <w:rPr>
                <w:rFonts w:ascii="宋体" w:hAnsi="宋体" w:cs="宋体"/>
                <w:color w:val="auto"/>
                <w:sz w:val="24"/>
                <w:highlight w:val="none"/>
              </w:rPr>
            </w:pPr>
          </w:p>
        </w:tc>
      </w:tr>
      <w:tr w14:paraId="51E6AD05">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DFE7400">
            <w:pPr>
              <w:tabs>
                <w:tab w:val="left" w:pos="540"/>
              </w:tabs>
              <w:spacing w:line="360" w:lineRule="auto"/>
              <w:ind w:left="-132" w:right="-105" w:hanging="2"/>
              <w:jc w:val="center"/>
              <w:rPr>
                <w:rFonts w:ascii="宋体" w:hAnsi="宋体" w:cs="宋体"/>
                <w:color w:val="auto"/>
                <w:sz w:val="24"/>
                <w:highlight w:val="none"/>
              </w:rPr>
            </w:pPr>
            <w:r>
              <w:rPr>
                <w:rFonts w:hint="eastAsia" w:ascii="宋体" w:hAnsi="宋体" w:cs="宋体"/>
                <w:color w:val="auto"/>
                <w:sz w:val="24"/>
                <w:highlight w:val="none"/>
              </w:rPr>
              <w:t>4</w:t>
            </w:r>
          </w:p>
        </w:tc>
        <w:tc>
          <w:tcPr>
            <w:tcW w:w="1559" w:type="dxa"/>
            <w:noWrap w:val="0"/>
            <w:vAlign w:val="center"/>
          </w:tcPr>
          <w:p w14:paraId="25B79A52">
            <w:pPr>
              <w:tabs>
                <w:tab w:val="left" w:pos="540"/>
              </w:tabs>
              <w:spacing w:line="360" w:lineRule="auto"/>
              <w:ind w:left="-132" w:right="-105" w:hanging="2"/>
              <w:jc w:val="center"/>
              <w:rPr>
                <w:rFonts w:ascii="宋体" w:hAnsi="宋体" w:cs="宋体"/>
                <w:color w:val="auto"/>
                <w:sz w:val="24"/>
                <w:highlight w:val="none"/>
              </w:rPr>
            </w:pPr>
          </w:p>
        </w:tc>
        <w:tc>
          <w:tcPr>
            <w:tcW w:w="931" w:type="dxa"/>
            <w:noWrap w:val="0"/>
            <w:vAlign w:val="center"/>
          </w:tcPr>
          <w:p w14:paraId="2A24782F">
            <w:pPr>
              <w:tabs>
                <w:tab w:val="left" w:pos="540"/>
              </w:tabs>
              <w:spacing w:line="360" w:lineRule="auto"/>
              <w:ind w:left="-132" w:right="-105" w:hanging="2"/>
              <w:jc w:val="center"/>
              <w:rPr>
                <w:rFonts w:ascii="宋体" w:hAnsi="宋体" w:cs="宋体"/>
                <w:color w:val="auto"/>
                <w:sz w:val="24"/>
                <w:highlight w:val="none"/>
              </w:rPr>
            </w:pPr>
          </w:p>
        </w:tc>
        <w:tc>
          <w:tcPr>
            <w:tcW w:w="867" w:type="dxa"/>
            <w:noWrap w:val="0"/>
            <w:vAlign w:val="center"/>
          </w:tcPr>
          <w:p w14:paraId="4D9995F5">
            <w:pPr>
              <w:tabs>
                <w:tab w:val="left" w:pos="540"/>
              </w:tabs>
              <w:spacing w:line="360" w:lineRule="auto"/>
              <w:ind w:left="-132" w:right="-105" w:hanging="2"/>
              <w:jc w:val="center"/>
              <w:rPr>
                <w:rFonts w:ascii="宋体" w:hAnsi="宋体" w:cs="宋体"/>
                <w:color w:val="auto"/>
                <w:sz w:val="24"/>
                <w:highlight w:val="none"/>
              </w:rPr>
            </w:pPr>
          </w:p>
        </w:tc>
        <w:tc>
          <w:tcPr>
            <w:tcW w:w="1511" w:type="dxa"/>
            <w:noWrap w:val="0"/>
            <w:vAlign w:val="center"/>
          </w:tcPr>
          <w:p w14:paraId="03489007">
            <w:pPr>
              <w:tabs>
                <w:tab w:val="left" w:pos="540"/>
              </w:tabs>
              <w:spacing w:line="360" w:lineRule="auto"/>
              <w:ind w:left="-132" w:right="-105" w:hanging="2"/>
              <w:jc w:val="center"/>
              <w:rPr>
                <w:rFonts w:ascii="宋体" w:hAnsi="宋体" w:cs="宋体"/>
                <w:color w:val="auto"/>
                <w:sz w:val="24"/>
                <w:highlight w:val="none"/>
              </w:rPr>
            </w:pPr>
          </w:p>
        </w:tc>
        <w:tc>
          <w:tcPr>
            <w:tcW w:w="1581" w:type="dxa"/>
            <w:noWrap w:val="0"/>
            <w:vAlign w:val="center"/>
          </w:tcPr>
          <w:p w14:paraId="5D610640">
            <w:pPr>
              <w:spacing w:line="360" w:lineRule="auto"/>
              <w:ind w:left="-132" w:right="-105" w:hanging="2"/>
              <w:jc w:val="center"/>
              <w:rPr>
                <w:rFonts w:ascii="宋体" w:hAnsi="宋体" w:cs="宋体"/>
                <w:color w:val="auto"/>
                <w:sz w:val="24"/>
                <w:highlight w:val="none"/>
              </w:rPr>
            </w:pPr>
          </w:p>
        </w:tc>
        <w:tc>
          <w:tcPr>
            <w:tcW w:w="1610" w:type="dxa"/>
            <w:noWrap w:val="0"/>
            <w:vAlign w:val="center"/>
          </w:tcPr>
          <w:p w14:paraId="23CB159D">
            <w:pPr>
              <w:spacing w:line="360" w:lineRule="auto"/>
              <w:ind w:left="-132" w:right="-105" w:hanging="2"/>
              <w:jc w:val="center"/>
              <w:rPr>
                <w:rFonts w:ascii="宋体" w:hAnsi="宋体" w:cs="宋体"/>
                <w:color w:val="auto"/>
                <w:sz w:val="24"/>
                <w:highlight w:val="none"/>
              </w:rPr>
            </w:pPr>
          </w:p>
        </w:tc>
      </w:tr>
      <w:tr w14:paraId="14392942">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A7AF4F4">
            <w:pPr>
              <w:tabs>
                <w:tab w:val="left" w:pos="540"/>
              </w:tabs>
              <w:spacing w:line="360" w:lineRule="auto"/>
              <w:ind w:left="-132" w:right="-105" w:hanging="2"/>
              <w:jc w:val="center"/>
              <w:rPr>
                <w:rFonts w:ascii="宋体" w:hAnsi="宋体" w:cs="宋体"/>
                <w:color w:val="auto"/>
                <w:sz w:val="24"/>
                <w:highlight w:val="none"/>
              </w:rPr>
            </w:pPr>
            <w:r>
              <w:rPr>
                <w:rFonts w:hint="eastAsia" w:ascii="宋体" w:hAnsi="宋体" w:cs="宋体"/>
                <w:color w:val="auto"/>
                <w:sz w:val="24"/>
                <w:highlight w:val="none"/>
              </w:rPr>
              <w:t>5</w:t>
            </w:r>
          </w:p>
        </w:tc>
        <w:tc>
          <w:tcPr>
            <w:tcW w:w="1559" w:type="dxa"/>
            <w:noWrap w:val="0"/>
            <w:vAlign w:val="center"/>
          </w:tcPr>
          <w:p w14:paraId="092FA929">
            <w:pPr>
              <w:tabs>
                <w:tab w:val="left" w:pos="540"/>
              </w:tabs>
              <w:spacing w:line="360" w:lineRule="auto"/>
              <w:ind w:left="-132" w:right="-105" w:hanging="2"/>
              <w:jc w:val="center"/>
              <w:rPr>
                <w:rFonts w:ascii="宋体" w:hAnsi="宋体" w:cs="宋体"/>
                <w:color w:val="auto"/>
                <w:sz w:val="24"/>
                <w:highlight w:val="none"/>
              </w:rPr>
            </w:pPr>
          </w:p>
        </w:tc>
        <w:tc>
          <w:tcPr>
            <w:tcW w:w="931" w:type="dxa"/>
            <w:noWrap w:val="0"/>
            <w:vAlign w:val="center"/>
          </w:tcPr>
          <w:p w14:paraId="401C5672">
            <w:pPr>
              <w:tabs>
                <w:tab w:val="left" w:pos="540"/>
              </w:tabs>
              <w:spacing w:line="360" w:lineRule="auto"/>
              <w:ind w:left="-132" w:right="-105" w:hanging="2"/>
              <w:jc w:val="center"/>
              <w:rPr>
                <w:rFonts w:ascii="宋体" w:hAnsi="宋体" w:cs="宋体"/>
                <w:color w:val="auto"/>
                <w:sz w:val="24"/>
                <w:highlight w:val="none"/>
              </w:rPr>
            </w:pPr>
          </w:p>
        </w:tc>
        <w:tc>
          <w:tcPr>
            <w:tcW w:w="867" w:type="dxa"/>
            <w:noWrap w:val="0"/>
            <w:vAlign w:val="center"/>
          </w:tcPr>
          <w:p w14:paraId="0D50449E">
            <w:pPr>
              <w:tabs>
                <w:tab w:val="left" w:pos="540"/>
              </w:tabs>
              <w:spacing w:line="360" w:lineRule="auto"/>
              <w:ind w:left="-132" w:right="-105" w:hanging="2"/>
              <w:jc w:val="center"/>
              <w:rPr>
                <w:rFonts w:ascii="宋体" w:hAnsi="宋体" w:cs="宋体"/>
                <w:color w:val="auto"/>
                <w:sz w:val="24"/>
                <w:highlight w:val="none"/>
              </w:rPr>
            </w:pPr>
          </w:p>
        </w:tc>
        <w:tc>
          <w:tcPr>
            <w:tcW w:w="1511" w:type="dxa"/>
            <w:noWrap w:val="0"/>
            <w:vAlign w:val="center"/>
          </w:tcPr>
          <w:p w14:paraId="17C541F2">
            <w:pPr>
              <w:tabs>
                <w:tab w:val="left" w:pos="540"/>
              </w:tabs>
              <w:spacing w:line="360" w:lineRule="auto"/>
              <w:ind w:left="-132" w:right="-105" w:hanging="2"/>
              <w:jc w:val="center"/>
              <w:rPr>
                <w:rFonts w:ascii="宋体" w:hAnsi="宋体" w:cs="宋体"/>
                <w:color w:val="auto"/>
                <w:sz w:val="24"/>
                <w:highlight w:val="none"/>
              </w:rPr>
            </w:pPr>
          </w:p>
        </w:tc>
        <w:tc>
          <w:tcPr>
            <w:tcW w:w="1581" w:type="dxa"/>
            <w:noWrap w:val="0"/>
            <w:vAlign w:val="center"/>
          </w:tcPr>
          <w:p w14:paraId="6A8022DA">
            <w:pPr>
              <w:spacing w:line="360" w:lineRule="auto"/>
              <w:ind w:left="-132" w:right="-105" w:hanging="2"/>
              <w:jc w:val="center"/>
              <w:rPr>
                <w:rFonts w:ascii="宋体" w:hAnsi="宋体" w:cs="宋体"/>
                <w:color w:val="auto"/>
                <w:sz w:val="24"/>
                <w:highlight w:val="none"/>
              </w:rPr>
            </w:pPr>
          </w:p>
        </w:tc>
        <w:tc>
          <w:tcPr>
            <w:tcW w:w="1610" w:type="dxa"/>
            <w:noWrap w:val="0"/>
            <w:vAlign w:val="center"/>
          </w:tcPr>
          <w:p w14:paraId="4437126D">
            <w:pPr>
              <w:spacing w:line="360" w:lineRule="auto"/>
              <w:ind w:left="-132" w:right="-105" w:hanging="2"/>
              <w:jc w:val="center"/>
              <w:rPr>
                <w:rFonts w:ascii="宋体" w:hAnsi="宋体" w:cs="宋体"/>
                <w:color w:val="auto"/>
                <w:sz w:val="24"/>
                <w:highlight w:val="none"/>
              </w:rPr>
            </w:pPr>
          </w:p>
        </w:tc>
      </w:tr>
      <w:tr w14:paraId="2AEAAAF4">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10F73FC">
            <w:pPr>
              <w:tabs>
                <w:tab w:val="left" w:pos="540"/>
              </w:tabs>
              <w:spacing w:line="360" w:lineRule="auto"/>
              <w:ind w:left="-132" w:right="-105" w:hanging="2"/>
              <w:jc w:val="center"/>
              <w:rPr>
                <w:rFonts w:ascii="宋体" w:hAnsi="宋体" w:cs="宋体"/>
                <w:color w:val="auto"/>
                <w:sz w:val="24"/>
                <w:highlight w:val="none"/>
              </w:rPr>
            </w:pPr>
            <w:r>
              <w:rPr>
                <w:rFonts w:hint="eastAsia" w:ascii="宋体" w:hAnsi="宋体" w:cs="宋体"/>
                <w:color w:val="auto"/>
                <w:sz w:val="24"/>
                <w:highlight w:val="none"/>
              </w:rPr>
              <w:t>6</w:t>
            </w:r>
          </w:p>
        </w:tc>
        <w:tc>
          <w:tcPr>
            <w:tcW w:w="1559" w:type="dxa"/>
            <w:noWrap w:val="0"/>
            <w:vAlign w:val="center"/>
          </w:tcPr>
          <w:p w14:paraId="49C9A92C">
            <w:pPr>
              <w:tabs>
                <w:tab w:val="left" w:pos="540"/>
              </w:tabs>
              <w:spacing w:line="360" w:lineRule="auto"/>
              <w:ind w:left="-132" w:right="-105" w:hanging="2"/>
              <w:jc w:val="center"/>
              <w:rPr>
                <w:rFonts w:ascii="宋体" w:hAnsi="宋体" w:cs="宋体"/>
                <w:color w:val="auto"/>
                <w:sz w:val="24"/>
                <w:highlight w:val="none"/>
              </w:rPr>
            </w:pPr>
          </w:p>
        </w:tc>
        <w:tc>
          <w:tcPr>
            <w:tcW w:w="931" w:type="dxa"/>
            <w:noWrap w:val="0"/>
            <w:vAlign w:val="center"/>
          </w:tcPr>
          <w:p w14:paraId="6F101F6C">
            <w:pPr>
              <w:tabs>
                <w:tab w:val="left" w:pos="540"/>
              </w:tabs>
              <w:spacing w:line="360" w:lineRule="auto"/>
              <w:ind w:left="-132" w:right="-105" w:hanging="2"/>
              <w:jc w:val="center"/>
              <w:rPr>
                <w:rFonts w:ascii="宋体" w:hAnsi="宋体" w:cs="宋体"/>
                <w:color w:val="auto"/>
                <w:sz w:val="24"/>
                <w:highlight w:val="none"/>
              </w:rPr>
            </w:pPr>
          </w:p>
        </w:tc>
        <w:tc>
          <w:tcPr>
            <w:tcW w:w="867" w:type="dxa"/>
            <w:noWrap w:val="0"/>
            <w:vAlign w:val="center"/>
          </w:tcPr>
          <w:p w14:paraId="46857D33">
            <w:pPr>
              <w:tabs>
                <w:tab w:val="left" w:pos="540"/>
              </w:tabs>
              <w:spacing w:line="360" w:lineRule="auto"/>
              <w:ind w:left="-132" w:right="-105" w:hanging="2"/>
              <w:jc w:val="center"/>
              <w:rPr>
                <w:rFonts w:ascii="宋体" w:hAnsi="宋体" w:cs="宋体"/>
                <w:color w:val="auto"/>
                <w:sz w:val="24"/>
                <w:highlight w:val="none"/>
              </w:rPr>
            </w:pPr>
          </w:p>
        </w:tc>
        <w:tc>
          <w:tcPr>
            <w:tcW w:w="1511" w:type="dxa"/>
            <w:noWrap w:val="0"/>
            <w:vAlign w:val="center"/>
          </w:tcPr>
          <w:p w14:paraId="3F63CF37">
            <w:pPr>
              <w:tabs>
                <w:tab w:val="left" w:pos="540"/>
              </w:tabs>
              <w:spacing w:line="360" w:lineRule="auto"/>
              <w:ind w:left="-132" w:right="-105" w:hanging="2"/>
              <w:jc w:val="center"/>
              <w:rPr>
                <w:rFonts w:ascii="宋体" w:hAnsi="宋体" w:cs="宋体"/>
                <w:color w:val="auto"/>
                <w:sz w:val="24"/>
                <w:highlight w:val="none"/>
              </w:rPr>
            </w:pPr>
          </w:p>
        </w:tc>
        <w:tc>
          <w:tcPr>
            <w:tcW w:w="1581" w:type="dxa"/>
            <w:noWrap w:val="0"/>
            <w:vAlign w:val="center"/>
          </w:tcPr>
          <w:p w14:paraId="530D745D">
            <w:pPr>
              <w:spacing w:line="360" w:lineRule="auto"/>
              <w:ind w:left="-132" w:right="-105" w:hanging="2"/>
              <w:jc w:val="center"/>
              <w:rPr>
                <w:rFonts w:ascii="宋体" w:hAnsi="宋体" w:cs="宋体"/>
                <w:color w:val="auto"/>
                <w:sz w:val="24"/>
                <w:highlight w:val="none"/>
              </w:rPr>
            </w:pPr>
          </w:p>
        </w:tc>
        <w:tc>
          <w:tcPr>
            <w:tcW w:w="1610" w:type="dxa"/>
            <w:noWrap w:val="0"/>
            <w:vAlign w:val="center"/>
          </w:tcPr>
          <w:p w14:paraId="6B043AEF">
            <w:pPr>
              <w:spacing w:line="360" w:lineRule="auto"/>
              <w:ind w:left="-132" w:right="-105" w:hanging="2"/>
              <w:jc w:val="center"/>
              <w:rPr>
                <w:rFonts w:ascii="宋体" w:hAnsi="宋体" w:cs="宋体"/>
                <w:color w:val="auto"/>
                <w:sz w:val="24"/>
                <w:highlight w:val="none"/>
              </w:rPr>
            </w:pPr>
          </w:p>
        </w:tc>
      </w:tr>
      <w:tr w14:paraId="6606E255">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4A2F807">
            <w:pPr>
              <w:tabs>
                <w:tab w:val="left" w:pos="540"/>
              </w:tabs>
              <w:spacing w:line="360" w:lineRule="auto"/>
              <w:ind w:left="-132" w:right="-105" w:hanging="2"/>
              <w:jc w:val="center"/>
              <w:rPr>
                <w:rFonts w:ascii="宋体" w:hAnsi="宋体" w:cs="宋体"/>
                <w:color w:val="auto"/>
                <w:sz w:val="24"/>
                <w:highlight w:val="none"/>
              </w:rPr>
            </w:pPr>
            <w:r>
              <w:rPr>
                <w:rFonts w:hint="eastAsia" w:ascii="宋体" w:hAnsi="宋体" w:cs="宋体"/>
                <w:color w:val="auto"/>
                <w:sz w:val="24"/>
                <w:highlight w:val="none"/>
              </w:rPr>
              <w:t>7</w:t>
            </w:r>
          </w:p>
        </w:tc>
        <w:tc>
          <w:tcPr>
            <w:tcW w:w="1559" w:type="dxa"/>
            <w:noWrap w:val="0"/>
            <w:vAlign w:val="center"/>
          </w:tcPr>
          <w:p w14:paraId="65205000">
            <w:pPr>
              <w:tabs>
                <w:tab w:val="left" w:pos="540"/>
              </w:tabs>
              <w:spacing w:line="360" w:lineRule="auto"/>
              <w:ind w:left="-132" w:right="-105" w:hanging="2"/>
              <w:jc w:val="center"/>
              <w:rPr>
                <w:rFonts w:ascii="宋体" w:hAnsi="宋体" w:cs="宋体"/>
                <w:color w:val="auto"/>
                <w:sz w:val="24"/>
                <w:highlight w:val="none"/>
              </w:rPr>
            </w:pPr>
          </w:p>
        </w:tc>
        <w:tc>
          <w:tcPr>
            <w:tcW w:w="931" w:type="dxa"/>
            <w:noWrap w:val="0"/>
            <w:vAlign w:val="center"/>
          </w:tcPr>
          <w:p w14:paraId="6A8D136B">
            <w:pPr>
              <w:tabs>
                <w:tab w:val="left" w:pos="540"/>
              </w:tabs>
              <w:spacing w:line="360" w:lineRule="auto"/>
              <w:ind w:left="-132" w:right="-105" w:hanging="2"/>
              <w:jc w:val="center"/>
              <w:rPr>
                <w:rFonts w:ascii="宋体" w:hAnsi="宋体" w:cs="宋体"/>
                <w:color w:val="auto"/>
                <w:sz w:val="24"/>
                <w:highlight w:val="none"/>
              </w:rPr>
            </w:pPr>
          </w:p>
        </w:tc>
        <w:tc>
          <w:tcPr>
            <w:tcW w:w="867" w:type="dxa"/>
            <w:noWrap w:val="0"/>
            <w:vAlign w:val="center"/>
          </w:tcPr>
          <w:p w14:paraId="70A09DD8">
            <w:pPr>
              <w:tabs>
                <w:tab w:val="left" w:pos="540"/>
              </w:tabs>
              <w:spacing w:line="360" w:lineRule="auto"/>
              <w:ind w:left="-132" w:right="-105" w:hanging="2"/>
              <w:jc w:val="center"/>
              <w:rPr>
                <w:rFonts w:ascii="宋体" w:hAnsi="宋体" w:cs="宋体"/>
                <w:color w:val="auto"/>
                <w:sz w:val="24"/>
                <w:highlight w:val="none"/>
              </w:rPr>
            </w:pPr>
          </w:p>
        </w:tc>
        <w:tc>
          <w:tcPr>
            <w:tcW w:w="1511" w:type="dxa"/>
            <w:noWrap w:val="0"/>
            <w:vAlign w:val="center"/>
          </w:tcPr>
          <w:p w14:paraId="09678DF3">
            <w:pPr>
              <w:tabs>
                <w:tab w:val="left" w:pos="540"/>
              </w:tabs>
              <w:spacing w:line="360" w:lineRule="auto"/>
              <w:ind w:left="-132" w:right="-105" w:hanging="2"/>
              <w:jc w:val="center"/>
              <w:rPr>
                <w:rFonts w:ascii="宋体" w:hAnsi="宋体" w:cs="宋体"/>
                <w:color w:val="auto"/>
                <w:sz w:val="24"/>
                <w:highlight w:val="none"/>
              </w:rPr>
            </w:pPr>
          </w:p>
        </w:tc>
        <w:tc>
          <w:tcPr>
            <w:tcW w:w="1581" w:type="dxa"/>
            <w:noWrap w:val="0"/>
            <w:vAlign w:val="center"/>
          </w:tcPr>
          <w:p w14:paraId="772898B4">
            <w:pPr>
              <w:spacing w:line="360" w:lineRule="auto"/>
              <w:ind w:left="-132" w:right="-105" w:hanging="2"/>
              <w:jc w:val="center"/>
              <w:rPr>
                <w:rFonts w:ascii="宋体" w:hAnsi="宋体" w:cs="宋体"/>
                <w:color w:val="auto"/>
                <w:sz w:val="24"/>
                <w:highlight w:val="none"/>
              </w:rPr>
            </w:pPr>
          </w:p>
        </w:tc>
        <w:tc>
          <w:tcPr>
            <w:tcW w:w="1610" w:type="dxa"/>
            <w:noWrap w:val="0"/>
            <w:vAlign w:val="center"/>
          </w:tcPr>
          <w:p w14:paraId="08BC03E4">
            <w:pPr>
              <w:spacing w:line="360" w:lineRule="auto"/>
              <w:ind w:left="-132" w:right="-105" w:hanging="2"/>
              <w:jc w:val="center"/>
              <w:rPr>
                <w:rFonts w:ascii="宋体" w:hAnsi="宋体" w:cs="宋体"/>
                <w:color w:val="auto"/>
                <w:sz w:val="24"/>
                <w:highlight w:val="none"/>
              </w:rPr>
            </w:pPr>
          </w:p>
        </w:tc>
      </w:tr>
      <w:tr w14:paraId="01201E31">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4C9FFFA">
            <w:pPr>
              <w:tabs>
                <w:tab w:val="left" w:pos="540"/>
              </w:tabs>
              <w:spacing w:line="360" w:lineRule="auto"/>
              <w:ind w:left="-132" w:right="-105" w:hanging="2"/>
              <w:jc w:val="center"/>
              <w:rPr>
                <w:rFonts w:ascii="宋体" w:hAnsi="宋体" w:cs="宋体"/>
                <w:color w:val="auto"/>
                <w:sz w:val="24"/>
                <w:highlight w:val="none"/>
              </w:rPr>
            </w:pPr>
            <w:r>
              <w:rPr>
                <w:rFonts w:hint="eastAsia" w:ascii="宋体" w:hAnsi="宋体" w:cs="宋体"/>
                <w:color w:val="auto"/>
                <w:sz w:val="24"/>
                <w:highlight w:val="none"/>
              </w:rPr>
              <w:t>...</w:t>
            </w:r>
          </w:p>
        </w:tc>
        <w:tc>
          <w:tcPr>
            <w:tcW w:w="1559" w:type="dxa"/>
            <w:noWrap w:val="0"/>
            <w:vAlign w:val="center"/>
          </w:tcPr>
          <w:p w14:paraId="6DDF1E64">
            <w:pPr>
              <w:tabs>
                <w:tab w:val="left" w:pos="540"/>
              </w:tabs>
              <w:spacing w:line="360" w:lineRule="auto"/>
              <w:ind w:left="-132" w:right="-105" w:hanging="2"/>
              <w:jc w:val="center"/>
              <w:rPr>
                <w:rFonts w:ascii="宋体" w:hAnsi="宋体" w:cs="宋体"/>
                <w:color w:val="auto"/>
                <w:sz w:val="24"/>
                <w:highlight w:val="none"/>
              </w:rPr>
            </w:pPr>
          </w:p>
        </w:tc>
        <w:tc>
          <w:tcPr>
            <w:tcW w:w="931" w:type="dxa"/>
            <w:noWrap w:val="0"/>
            <w:vAlign w:val="center"/>
          </w:tcPr>
          <w:p w14:paraId="39925736">
            <w:pPr>
              <w:tabs>
                <w:tab w:val="left" w:pos="540"/>
              </w:tabs>
              <w:spacing w:line="360" w:lineRule="auto"/>
              <w:ind w:left="-132" w:right="-105" w:hanging="2"/>
              <w:jc w:val="center"/>
              <w:rPr>
                <w:rFonts w:ascii="宋体" w:hAnsi="宋体" w:cs="宋体"/>
                <w:color w:val="auto"/>
                <w:sz w:val="24"/>
                <w:highlight w:val="none"/>
              </w:rPr>
            </w:pPr>
          </w:p>
        </w:tc>
        <w:tc>
          <w:tcPr>
            <w:tcW w:w="867" w:type="dxa"/>
            <w:noWrap w:val="0"/>
            <w:vAlign w:val="center"/>
          </w:tcPr>
          <w:p w14:paraId="5E0138CA">
            <w:pPr>
              <w:tabs>
                <w:tab w:val="left" w:pos="540"/>
              </w:tabs>
              <w:spacing w:line="360" w:lineRule="auto"/>
              <w:ind w:left="-132" w:right="-105" w:hanging="2"/>
              <w:jc w:val="center"/>
              <w:rPr>
                <w:rFonts w:ascii="宋体" w:hAnsi="宋体" w:cs="宋体"/>
                <w:color w:val="auto"/>
                <w:sz w:val="24"/>
                <w:highlight w:val="none"/>
              </w:rPr>
            </w:pPr>
          </w:p>
        </w:tc>
        <w:tc>
          <w:tcPr>
            <w:tcW w:w="1511" w:type="dxa"/>
            <w:noWrap w:val="0"/>
            <w:vAlign w:val="center"/>
          </w:tcPr>
          <w:p w14:paraId="799DD9E5">
            <w:pPr>
              <w:tabs>
                <w:tab w:val="left" w:pos="540"/>
              </w:tabs>
              <w:spacing w:line="360" w:lineRule="auto"/>
              <w:ind w:left="-132" w:right="-105" w:hanging="2"/>
              <w:jc w:val="center"/>
              <w:rPr>
                <w:rFonts w:ascii="宋体" w:hAnsi="宋体" w:cs="宋体"/>
                <w:color w:val="auto"/>
                <w:sz w:val="24"/>
                <w:highlight w:val="none"/>
              </w:rPr>
            </w:pPr>
          </w:p>
        </w:tc>
        <w:tc>
          <w:tcPr>
            <w:tcW w:w="1581" w:type="dxa"/>
            <w:noWrap w:val="0"/>
            <w:vAlign w:val="center"/>
          </w:tcPr>
          <w:p w14:paraId="7B039386">
            <w:pPr>
              <w:tabs>
                <w:tab w:val="left" w:pos="540"/>
              </w:tabs>
              <w:spacing w:line="360" w:lineRule="auto"/>
              <w:ind w:left="-132" w:right="-105" w:hanging="2"/>
              <w:jc w:val="center"/>
              <w:rPr>
                <w:rFonts w:ascii="宋体" w:hAnsi="宋体" w:cs="宋体"/>
                <w:color w:val="auto"/>
                <w:sz w:val="24"/>
                <w:highlight w:val="none"/>
              </w:rPr>
            </w:pPr>
          </w:p>
        </w:tc>
        <w:tc>
          <w:tcPr>
            <w:tcW w:w="1610" w:type="dxa"/>
            <w:noWrap w:val="0"/>
            <w:vAlign w:val="center"/>
          </w:tcPr>
          <w:p w14:paraId="30C930E0">
            <w:pPr>
              <w:tabs>
                <w:tab w:val="left" w:pos="540"/>
              </w:tabs>
              <w:spacing w:line="360" w:lineRule="auto"/>
              <w:ind w:left="-132" w:right="-105" w:hanging="2"/>
              <w:jc w:val="center"/>
              <w:rPr>
                <w:rFonts w:ascii="宋体" w:hAnsi="宋体" w:cs="宋体"/>
                <w:color w:val="auto"/>
                <w:sz w:val="24"/>
                <w:highlight w:val="none"/>
              </w:rPr>
            </w:pPr>
          </w:p>
        </w:tc>
      </w:tr>
      <w:tr w14:paraId="04BEF93E">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B778730">
            <w:pPr>
              <w:tabs>
                <w:tab w:val="left" w:pos="540"/>
              </w:tabs>
              <w:spacing w:line="360" w:lineRule="auto"/>
              <w:ind w:left="-132" w:right="-105" w:hanging="2"/>
              <w:jc w:val="center"/>
              <w:rPr>
                <w:rFonts w:ascii="宋体" w:hAnsi="宋体" w:cs="宋体"/>
                <w:color w:val="auto"/>
                <w:sz w:val="24"/>
                <w:highlight w:val="none"/>
              </w:rPr>
            </w:pPr>
          </w:p>
        </w:tc>
        <w:tc>
          <w:tcPr>
            <w:tcW w:w="1559" w:type="dxa"/>
            <w:noWrap w:val="0"/>
            <w:vAlign w:val="center"/>
          </w:tcPr>
          <w:p w14:paraId="2F8CD2C7">
            <w:pPr>
              <w:tabs>
                <w:tab w:val="left" w:pos="540"/>
              </w:tabs>
              <w:spacing w:line="360" w:lineRule="auto"/>
              <w:ind w:left="-132" w:right="-105" w:hanging="2"/>
              <w:jc w:val="center"/>
              <w:rPr>
                <w:rFonts w:ascii="宋体" w:hAnsi="宋体" w:cs="宋体"/>
                <w:color w:val="auto"/>
                <w:sz w:val="24"/>
                <w:highlight w:val="none"/>
              </w:rPr>
            </w:pPr>
          </w:p>
        </w:tc>
        <w:tc>
          <w:tcPr>
            <w:tcW w:w="931" w:type="dxa"/>
            <w:noWrap w:val="0"/>
            <w:vAlign w:val="center"/>
          </w:tcPr>
          <w:p w14:paraId="77D33506">
            <w:pPr>
              <w:tabs>
                <w:tab w:val="left" w:pos="540"/>
              </w:tabs>
              <w:spacing w:line="360" w:lineRule="auto"/>
              <w:ind w:left="-132" w:right="-105" w:hanging="2"/>
              <w:jc w:val="center"/>
              <w:rPr>
                <w:rFonts w:ascii="宋体" w:hAnsi="宋体" w:cs="宋体"/>
                <w:color w:val="auto"/>
                <w:sz w:val="24"/>
                <w:highlight w:val="none"/>
              </w:rPr>
            </w:pPr>
          </w:p>
        </w:tc>
        <w:tc>
          <w:tcPr>
            <w:tcW w:w="867" w:type="dxa"/>
            <w:noWrap w:val="0"/>
            <w:vAlign w:val="center"/>
          </w:tcPr>
          <w:p w14:paraId="33B40317">
            <w:pPr>
              <w:tabs>
                <w:tab w:val="left" w:pos="540"/>
              </w:tabs>
              <w:spacing w:line="360" w:lineRule="auto"/>
              <w:ind w:left="-132" w:right="-105" w:hanging="2"/>
              <w:jc w:val="center"/>
              <w:rPr>
                <w:rFonts w:ascii="宋体" w:hAnsi="宋体" w:cs="宋体"/>
                <w:color w:val="auto"/>
                <w:sz w:val="24"/>
                <w:highlight w:val="none"/>
              </w:rPr>
            </w:pPr>
          </w:p>
        </w:tc>
        <w:tc>
          <w:tcPr>
            <w:tcW w:w="1511" w:type="dxa"/>
            <w:noWrap w:val="0"/>
            <w:vAlign w:val="center"/>
          </w:tcPr>
          <w:p w14:paraId="37B5AE38">
            <w:pPr>
              <w:tabs>
                <w:tab w:val="left" w:pos="540"/>
              </w:tabs>
              <w:spacing w:line="360" w:lineRule="auto"/>
              <w:ind w:left="-132" w:right="-105" w:hanging="2"/>
              <w:jc w:val="center"/>
              <w:rPr>
                <w:rFonts w:ascii="宋体" w:hAnsi="宋体" w:cs="宋体"/>
                <w:color w:val="auto"/>
                <w:sz w:val="24"/>
                <w:highlight w:val="none"/>
              </w:rPr>
            </w:pPr>
          </w:p>
        </w:tc>
        <w:tc>
          <w:tcPr>
            <w:tcW w:w="1581" w:type="dxa"/>
            <w:noWrap w:val="0"/>
            <w:vAlign w:val="center"/>
          </w:tcPr>
          <w:p w14:paraId="1A009406">
            <w:pPr>
              <w:tabs>
                <w:tab w:val="left" w:pos="540"/>
              </w:tabs>
              <w:spacing w:line="360" w:lineRule="auto"/>
              <w:ind w:left="-132" w:right="-105" w:hanging="2"/>
              <w:jc w:val="center"/>
              <w:rPr>
                <w:rFonts w:ascii="宋体" w:hAnsi="宋体" w:cs="宋体"/>
                <w:color w:val="auto"/>
                <w:sz w:val="24"/>
                <w:highlight w:val="none"/>
              </w:rPr>
            </w:pPr>
          </w:p>
        </w:tc>
        <w:tc>
          <w:tcPr>
            <w:tcW w:w="1610" w:type="dxa"/>
            <w:noWrap w:val="0"/>
            <w:vAlign w:val="center"/>
          </w:tcPr>
          <w:p w14:paraId="47FDB0FF">
            <w:pPr>
              <w:tabs>
                <w:tab w:val="left" w:pos="540"/>
              </w:tabs>
              <w:spacing w:line="360" w:lineRule="auto"/>
              <w:ind w:left="-132" w:right="-105" w:hanging="2"/>
              <w:jc w:val="center"/>
              <w:rPr>
                <w:rFonts w:ascii="宋体" w:hAnsi="宋体" w:cs="宋体"/>
                <w:color w:val="auto"/>
                <w:sz w:val="24"/>
                <w:highlight w:val="none"/>
              </w:rPr>
            </w:pPr>
          </w:p>
        </w:tc>
      </w:tr>
      <w:tr w14:paraId="66748EC3">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511C494E">
            <w:pPr>
              <w:tabs>
                <w:tab w:val="left" w:pos="540"/>
              </w:tabs>
              <w:spacing w:line="360" w:lineRule="auto"/>
              <w:ind w:left="-132" w:right="-105" w:hanging="2"/>
              <w:jc w:val="center"/>
              <w:rPr>
                <w:rFonts w:ascii="宋体" w:hAnsi="宋体" w:cs="宋体"/>
                <w:color w:val="auto"/>
                <w:sz w:val="24"/>
                <w:highlight w:val="none"/>
              </w:rPr>
            </w:pPr>
          </w:p>
        </w:tc>
        <w:tc>
          <w:tcPr>
            <w:tcW w:w="1559" w:type="dxa"/>
            <w:noWrap w:val="0"/>
            <w:vAlign w:val="center"/>
          </w:tcPr>
          <w:p w14:paraId="49DA0FCB">
            <w:pPr>
              <w:tabs>
                <w:tab w:val="left" w:pos="540"/>
              </w:tabs>
              <w:spacing w:line="360" w:lineRule="auto"/>
              <w:ind w:left="-132" w:right="-105" w:hanging="2"/>
              <w:jc w:val="center"/>
              <w:rPr>
                <w:rFonts w:ascii="宋体" w:hAnsi="宋体" w:cs="宋体"/>
                <w:color w:val="auto"/>
                <w:sz w:val="24"/>
                <w:highlight w:val="none"/>
              </w:rPr>
            </w:pPr>
          </w:p>
        </w:tc>
        <w:tc>
          <w:tcPr>
            <w:tcW w:w="931" w:type="dxa"/>
            <w:noWrap w:val="0"/>
            <w:vAlign w:val="center"/>
          </w:tcPr>
          <w:p w14:paraId="119BDB67">
            <w:pPr>
              <w:tabs>
                <w:tab w:val="left" w:pos="540"/>
              </w:tabs>
              <w:spacing w:line="360" w:lineRule="auto"/>
              <w:ind w:left="-132" w:right="-105" w:hanging="2"/>
              <w:jc w:val="center"/>
              <w:rPr>
                <w:rFonts w:ascii="宋体" w:hAnsi="宋体" w:cs="宋体"/>
                <w:color w:val="auto"/>
                <w:sz w:val="24"/>
                <w:highlight w:val="none"/>
              </w:rPr>
            </w:pPr>
          </w:p>
        </w:tc>
        <w:tc>
          <w:tcPr>
            <w:tcW w:w="867" w:type="dxa"/>
            <w:noWrap w:val="0"/>
            <w:vAlign w:val="center"/>
          </w:tcPr>
          <w:p w14:paraId="4663B973">
            <w:pPr>
              <w:tabs>
                <w:tab w:val="left" w:pos="540"/>
              </w:tabs>
              <w:spacing w:line="360" w:lineRule="auto"/>
              <w:ind w:left="-132" w:right="-105" w:hanging="2"/>
              <w:jc w:val="center"/>
              <w:rPr>
                <w:rFonts w:ascii="宋体" w:hAnsi="宋体" w:cs="宋体"/>
                <w:color w:val="auto"/>
                <w:sz w:val="24"/>
                <w:highlight w:val="none"/>
              </w:rPr>
            </w:pPr>
          </w:p>
        </w:tc>
        <w:tc>
          <w:tcPr>
            <w:tcW w:w="1511" w:type="dxa"/>
            <w:noWrap w:val="0"/>
            <w:vAlign w:val="center"/>
          </w:tcPr>
          <w:p w14:paraId="2E459451">
            <w:pPr>
              <w:tabs>
                <w:tab w:val="left" w:pos="540"/>
              </w:tabs>
              <w:spacing w:line="360" w:lineRule="auto"/>
              <w:ind w:left="-132" w:right="-105" w:hanging="2"/>
              <w:jc w:val="center"/>
              <w:rPr>
                <w:rFonts w:ascii="宋体" w:hAnsi="宋体" w:cs="宋体"/>
                <w:color w:val="auto"/>
                <w:sz w:val="24"/>
                <w:highlight w:val="none"/>
              </w:rPr>
            </w:pPr>
          </w:p>
        </w:tc>
        <w:tc>
          <w:tcPr>
            <w:tcW w:w="1581" w:type="dxa"/>
            <w:noWrap w:val="0"/>
            <w:vAlign w:val="center"/>
          </w:tcPr>
          <w:p w14:paraId="6ABA3D2E">
            <w:pPr>
              <w:tabs>
                <w:tab w:val="left" w:pos="540"/>
              </w:tabs>
              <w:spacing w:line="360" w:lineRule="auto"/>
              <w:ind w:left="-132" w:right="-105" w:hanging="2"/>
              <w:jc w:val="center"/>
              <w:rPr>
                <w:rFonts w:ascii="宋体" w:hAnsi="宋体" w:cs="宋体"/>
                <w:color w:val="auto"/>
                <w:sz w:val="24"/>
                <w:highlight w:val="none"/>
              </w:rPr>
            </w:pPr>
          </w:p>
        </w:tc>
        <w:tc>
          <w:tcPr>
            <w:tcW w:w="1610" w:type="dxa"/>
            <w:noWrap w:val="0"/>
            <w:vAlign w:val="center"/>
          </w:tcPr>
          <w:p w14:paraId="0F72EA8A">
            <w:pPr>
              <w:tabs>
                <w:tab w:val="left" w:pos="540"/>
              </w:tabs>
              <w:spacing w:line="360" w:lineRule="auto"/>
              <w:ind w:left="-132" w:right="-105" w:hanging="2"/>
              <w:jc w:val="center"/>
              <w:rPr>
                <w:rFonts w:ascii="宋体" w:hAnsi="宋体" w:cs="宋体"/>
                <w:color w:val="auto"/>
                <w:sz w:val="24"/>
                <w:highlight w:val="none"/>
              </w:rPr>
            </w:pPr>
          </w:p>
        </w:tc>
      </w:tr>
      <w:tr w14:paraId="2334BD8F">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469E9B7E">
            <w:pPr>
              <w:tabs>
                <w:tab w:val="left" w:pos="540"/>
              </w:tabs>
              <w:spacing w:line="360" w:lineRule="auto"/>
              <w:ind w:left="-132" w:right="-105" w:hanging="2"/>
              <w:jc w:val="center"/>
              <w:rPr>
                <w:rFonts w:ascii="宋体" w:hAnsi="宋体" w:cs="宋体"/>
                <w:color w:val="auto"/>
                <w:sz w:val="24"/>
                <w:highlight w:val="none"/>
              </w:rPr>
            </w:pPr>
          </w:p>
        </w:tc>
        <w:tc>
          <w:tcPr>
            <w:tcW w:w="1559" w:type="dxa"/>
            <w:noWrap w:val="0"/>
            <w:vAlign w:val="center"/>
          </w:tcPr>
          <w:p w14:paraId="331FE7CC">
            <w:pPr>
              <w:tabs>
                <w:tab w:val="left" w:pos="540"/>
              </w:tabs>
              <w:spacing w:line="360" w:lineRule="auto"/>
              <w:ind w:left="-132" w:right="-105" w:hanging="2"/>
              <w:jc w:val="center"/>
              <w:rPr>
                <w:rFonts w:ascii="宋体" w:hAnsi="宋体" w:cs="宋体"/>
                <w:color w:val="auto"/>
                <w:sz w:val="24"/>
                <w:highlight w:val="none"/>
              </w:rPr>
            </w:pPr>
          </w:p>
        </w:tc>
        <w:tc>
          <w:tcPr>
            <w:tcW w:w="931" w:type="dxa"/>
            <w:noWrap w:val="0"/>
            <w:vAlign w:val="center"/>
          </w:tcPr>
          <w:p w14:paraId="5CA9615B">
            <w:pPr>
              <w:tabs>
                <w:tab w:val="left" w:pos="540"/>
              </w:tabs>
              <w:spacing w:line="360" w:lineRule="auto"/>
              <w:ind w:left="-132" w:right="-105" w:hanging="2"/>
              <w:jc w:val="center"/>
              <w:rPr>
                <w:rFonts w:ascii="宋体" w:hAnsi="宋体" w:cs="宋体"/>
                <w:color w:val="auto"/>
                <w:sz w:val="24"/>
                <w:highlight w:val="none"/>
              </w:rPr>
            </w:pPr>
          </w:p>
        </w:tc>
        <w:tc>
          <w:tcPr>
            <w:tcW w:w="867" w:type="dxa"/>
            <w:noWrap w:val="0"/>
            <w:vAlign w:val="center"/>
          </w:tcPr>
          <w:p w14:paraId="38CAAB33">
            <w:pPr>
              <w:tabs>
                <w:tab w:val="left" w:pos="540"/>
              </w:tabs>
              <w:spacing w:line="360" w:lineRule="auto"/>
              <w:ind w:left="-132" w:right="-105" w:hanging="2"/>
              <w:jc w:val="center"/>
              <w:rPr>
                <w:rFonts w:ascii="宋体" w:hAnsi="宋体" w:cs="宋体"/>
                <w:color w:val="auto"/>
                <w:sz w:val="24"/>
                <w:highlight w:val="none"/>
              </w:rPr>
            </w:pPr>
          </w:p>
        </w:tc>
        <w:tc>
          <w:tcPr>
            <w:tcW w:w="1511" w:type="dxa"/>
            <w:noWrap w:val="0"/>
            <w:vAlign w:val="center"/>
          </w:tcPr>
          <w:p w14:paraId="293C5C91">
            <w:pPr>
              <w:tabs>
                <w:tab w:val="left" w:pos="540"/>
              </w:tabs>
              <w:spacing w:line="360" w:lineRule="auto"/>
              <w:ind w:left="-132" w:right="-105" w:hanging="2"/>
              <w:jc w:val="center"/>
              <w:rPr>
                <w:rFonts w:ascii="宋体" w:hAnsi="宋体" w:cs="宋体"/>
                <w:color w:val="auto"/>
                <w:sz w:val="24"/>
                <w:highlight w:val="none"/>
              </w:rPr>
            </w:pPr>
          </w:p>
        </w:tc>
        <w:tc>
          <w:tcPr>
            <w:tcW w:w="1581" w:type="dxa"/>
            <w:noWrap w:val="0"/>
            <w:vAlign w:val="center"/>
          </w:tcPr>
          <w:p w14:paraId="0E1E54B9">
            <w:pPr>
              <w:tabs>
                <w:tab w:val="left" w:pos="540"/>
              </w:tabs>
              <w:spacing w:line="360" w:lineRule="auto"/>
              <w:ind w:left="-132" w:right="-105" w:hanging="2"/>
              <w:jc w:val="center"/>
              <w:rPr>
                <w:rFonts w:ascii="宋体" w:hAnsi="宋体" w:cs="宋体"/>
                <w:color w:val="auto"/>
                <w:sz w:val="24"/>
                <w:highlight w:val="none"/>
              </w:rPr>
            </w:pPr>
          </w:p>
        </w:tc>
        <w:tc>
          <w:tcPr>
            <w:tcW w:w="1610" w:type="dxa"/>
            <w:noWrap w:val="0"/>
            <w:vAlign w:val="center"/>
          </w:tcPr>
          <w:p w14:paraId="4A8E6BC5">
            <w:pPr>
              <w:tabs>
                <w:tab w:val="left" w:pos="540"/>
              </w:tabs>
              <w:spacing w:line="360" w:lineRule="auto"/>
              <w:ind w:left="-132" w:right="-105" w:hanging="2"/>
              <w:jc w:val="center"/>
              <w:rPr>
                <w:rFonts w:ascii="宋体" w:hAnsi="宋体" w:cs="宋体"/>
                <w:color w:val="auto"/>
                <w:sz w:val="24"/>
                <w:highlight w:val="none"/>
              </w:rPr>
            </w:pPr>
          </w:p>
        </w:tc>
      </w:tr>
      <w:tr w14:paraId="384D3F04">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1EAE1C2C">
            <w:pPr>
              <w:tabs>
                <w:tab w:val="left" w:pos="540"/>
              </w:tabs>
              <w:spacing w:line="360" w:lineRule="auto"/>
              <w:ind w:left="-132" w:right="-105" w:hanging="2"/>
              <w:jc w:val="center"/>
              <w:rPr>
                <w:rFonts w:ascii="宋体" w:hAnsi="宋体" w:cs="宋体"/>
                <w:color w:val="auto"/>
                <w:sz w:val="24"/>
                <w:highlight w:val="none"/>
              </w:rPr>
            </w:pPr>
          </w:p>
        </w:tc>
        <w:tc>
          <w:tcPr>
            <w:tcW w:w="1559" w:type="dxa"/>
            <w:noWrap w:val="0"/>
            <w:vAlign w:val="center"/>
          </w:tcPr>
          <w:p w14:paraId="35065CDE">
            <w:pPr>
              <w:tabs>
                <w:tab w:val="left" w:pos="540"/>
              </w:tabs>
              <w:spacing w:line="360" w:lineRule="auto"/>
              <w:ind w:left="-132" w:right="-105" w:hanging="2"/>
              <w:jc w:val="center"/>
              <w:rPr>
                <w:rFonts w:ascii="宋体" w:hAnsi="宋体" w:cs="宋体"/>
                <w:color w:val="auto"/>
                <w:sz w:val="24"/>
                <w:highlight w:val="none"/>
              </w:rPr>
            </w:pPr>
          </w:p>
        </w:tc>
        <w:tc>
          <w:tcPr>
            <w:tcW w:w="931" w:type="dxa"/>
            <w:noWrap w:val="0"/>
            <w:vAlign w:val="center"/>
          </w:tcPr>
          <w:p w14:paraId="04DDDEBE">
            <w:pPr>
              <w:tabs>
                <w:tab w:val="left" w:pos="540"/>
              </w:tabs>
              <w:spacing w:line="360" w:lineRule="auto"/>
              <w:ind w:left="-132" w:right="-105" w:hanging="2"/>
              <w:jc w:val="center"/>
              <w:rPr>
                <w:rFonts w:ascii="宋体" w:hAnsi="宋体" w:cs="宋体"/>
                <w:color w:val="auto"/>
                <w:sz w:val="24"/>
                <w:highlight w:val="none"/>
              </w:rPr>
            </w:pPr>
          </w:p>
        </w:tc>
        <w:tc>
          <w:tcPr>
            <w:tcW w:w="867" w:type="dxa"/>
            <w:noWrap w:val="0"/>
            <w:vAlign w:val="center"/>
          </w:tcPr>
          <w:p w14:paraId="46E10628">
            <w:pPr>
              <w:tabs>
                <w:tab w:val="left" w:pos="540"/>
              </w:tabs>
              <w:spacing w:line="360" w:lineRule="auto"/>
              <w:ind w:left="-132" w:right="-105" w:hanging="2"/>
              <w:jc w:val="center"/>
              <w:rPr>
                <w:rFonts w:ascii="宋体" w:hAnsi="宋体" w:cs="宋体"/>
                <w:color w:val="auto"/>
                <w:sz w:val="24"/>
                <w:highlight w:val="none"/>
              </w:rPr>
            </w:pPr>
          </w:p>
        </w:tc>
        <w:tc>
          <w:tcPr>
            <w:tcW w:w="1511" w:type="dxa"/>
            <w:noWrap w:val="0"/>
            <w:vAlign w:val="center"/>
          </w:tcPr>
          <w:p w14:paraId="37D47E28">
            <w:pPr>
              <w:tabs>
                <w:tab w:val="left" w:pos="540"/>
              </w:tabs>
              <w:spacing w:line="360" w:lineRule="auto"/>
              <w:ind w:left="-132" w:right="-105" w:hanging="2"/>
              <w:jc w:val="center"/>
              <w:rPr>
                <w:rFonts w:ascii="宋体" w:hAnsi="宋体" w:cs="宋体"/>
                <w:color w:val="auto"/>
                <w:sz w:val="24"/>
                <w:highlight w:val="none"/>
              </w:rPr>
            </w:pPr>
          </w:p>
        </w:tc>
        <w:tc>
          <w:tcPr>
            <w:tcW w:w="1581" w:type="dxa"/>
            <w:noWrap w:val="0"/>
            <w:vAlign w:val="center"/>
          </w:tcPr>
          <w:p w14:paraId="1CD88B3B">
            <w:pPr>
              <w:tabs>
                <w:tab w:val="left" w:pos="540"/>
              </w:tabs>
              <w:spacing w:line="360" w:lineRule="auto"/>
              <w:ind w:left="-132" w:right="-105" w:hanging="2"/>
              <w:jc w:val="center"/>
              <w:rPr>
                <w:rFonts w:ascii="宋体" w:hAnsi="宋体" w:cs="宋体"/>
                <w:color w:val="auto"/>
                <w:sz w:val="24"/>
                <w:highlight w:val="none"/>
              </w:rPr>
            </w:pPr>
          </w:p>
        </w:tc>
        <w:tc>
          <w:tcPr>
            <w:tcW w:w="1610" w:type="dxa"/>
            <w:noWrap w:val="0"/>
            <w:vAlign w:val="center"/>
          </w:tcPr>
          <w:p w14:paraId="61F6F71F">
            <w:pPr>
              <w:tabs>
                <w:tab w:val="left" w:pos="540"/>
              </w:tabs>
              <w:spacing w:line="360" w:lineRule="auto"/>
              <w:ind w:left="-132" w:right="-105" w:hanging="2"/>
              <w:jc w:val="center"/>
              <w:rPr>
                <w:rFonts w:ascii="宋体" w:hAnsi="宋体" w:cs="宋体"/>
                <w:color w:val="auto"/>
                <w:sz w:val="24"/>
                <w:highlight w:val="none"/>
              </w:rPr>
            </w:pPr>
          </w:p>
        </w:tc>
      </w:tr>
      <w:tr w14:paraId="63D8A36F">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B93EC06">
            <w:pPr>
              <w:tabs>
                <w:tab w:val="left" w:pos="540"/>
              </w:tabs>
              <w:spacing w:line="360" w:lineRule="auto"/>
              <w:ind w:left="-132" w:right="-105" w:hanging="2"/>
              <w:jc w:val="center"/>
              <w:rPr>
                <w:rFonts w:ascii="宋体" w:hAnsi="宋体" w:cs="宋体"/>
                <w:color w:val="auto"/>
                <w:sz w:val="24"/>
                <w:highlight w:val="none"/>
              </w:rPr>
            </w:pPr>
          </w:p>
        </w:tc>
        <w:tc>
          <w:tcPr>
            <w:tcW w:w="1559" w:type="dxa"/>
            <w:noWrap w:val="0"/>
            <w:vAlign w:val="center"/>
          </w:tcPr>
          <w:p w14:paraId="357468E5">
            <w:pPr>
              <w:tabs>
                <w:tab w:val="left" w:pos="540"/>
              </w:tabs>
              <w:spacing w:line="360" w:lineRule="auto"/>
              <w:ind w:left="-132" w:right="-105" w:hanging="2"/>
              <w:jc w:val="center"/>
              <w:rPr>
                <w:rFonts w:ascii="宋体" w:hAnsi="宋体" w:cs="宋体"/>
                <w:color w:val="auto"/>
                <w:sz w:val="24"/>
                <w:highlight w:val="none"/>
              </w:rPr>
            </w:pPr>
          </w:p>
        </w:tc>
        <w:tc>
          <w:tcPr>
            <w:tcW w:w="931" w:type="dxa"/>
            <w:noWrap w:val="0"/>
            <w:vAlign w:val="center"/>
          </w:tcPr>
          <w:p w14:paraId="5FE4B659">
            <w:pPr>
              <w:tabs>
                <w:tab w:val="left" w:pos="540"/>
              </w:tabs>
              <w:spacing w:line="360" w:lineRule="auto"/>
              <w:ind w:left="-132" w:right="-105" w:hanging="2"/>
              <w:jc w:val="center"/>
              <w:rPr>
                <w:rFonts w:ascii="宋体" w:hAnsi="宋体" w:cs="宋体"/>
                <w:color w:val="auto"/>
                <w:sz w:val="24"/>
                <w:highlight w:val="none"/>
              </w:rPr>
            </w:pPr>
          </w:p>
        </w:tc>
        <w:tc>
          <w:tcPr>
            <w:tcW w:w="867" w:type="dxa"/>
            <w:noWrap w:val="0"/>
            <w:vAlign w:val="center"/>
          </w:tcPr>
          <w:p w14:paraId="2DE932A6">
            <w:pPr>
              <w:tabs>
                <w:tab w:val="left" w:pos="540"/>
              </w:tabs>
              <w:spacing w:line="360" w:lineRule="auto"/>
              <w:ind w:left="-132" w:right="-105" w:hanging="2"/>
              <w:jc w:val="center"/>
              <w:rPr>
                <w:rFonts w:ascii="宋体" w:hAnsi="宋体" w:cs="宋体"/>
                <w:color w:val="auto"/>
                <w:sz w:val="24"/>
                <w:highlight w:val="none"/>
              </w:rPr>
            </w:pPr>
          </w:p>
        </w:tc>
        <w:tc>
          <w:tcPr>
            <w:tcW w:w="1511" w:type="dxa"/>
            <w:noWrap w:val="0"/>
            <w:vAlign w:val="center"/>
          </w:tcPr>
          <w:p w14:paraId="13AD827C">
            <w:pPr>
              <w:tabs>
                <w:tab w:val="left" w:pos="540"/>
              </w:tabs>
              <w:spacing w:line="360" w:lineRule="auto"/>
              <w:ind w:left="-132" w:right="-105" w:hanging="2"/>
              <w:jc w:val="center"/>
              <w:rPr>
                <w:rFonts w:ascii="宋体" w:hAnsi="宋体" w:cs="宋体"/>
                <w:color w:val="auto"/>
                <w:sz w:val="24"/>
                <w:highlight w:val="none"/>
              </w:rPr>
            </w:pPr>
          </w:p>
        </w:tc>
        <w:tc>
          <w:tcPr>
            <w:tcW w:w="1581" w:type="dxa"/>
            <w:noWrap w:val="0"/>
            <w:vAlign w:val="center"/>
          </w:tcPr>
          <w:p w14:paraId="37584023">
            <w:pPr>
              <w:tabs>
                <w:tab w:val="left" w:pos="540"/>
              </w:tabs>
              <w:spacing w:line="360" w:lineRule="auto"/>
              <w:ind w:left="-132" w:right="-105" w:hanging="2"/>
              <w:jc w:val="center"/>
              <w:rPr>
                <w:rFonts w:ascii="宋体" w:hAnsi="宋体" w:cs="宋体"/>
                <w:color w:val="auto"/>
                <w:sz w:val="24"/>
                <w:highlight w:val="none"/>
              </w:rPr>
            </w:pPr>
          </w:p>
        </w:tc>
        <w:tc>
          <w:tcPr>
            <w:tcW w:w="1610" w:type="dxa"/>
            <w:noWrap w:val="0"/>
            <w:vAlign w:val="center"/>
          </w:tcPr>
          <w:p w14:paraId="53D740F4">
            <w:pPr>
              <w:tabs>
                <w:tab w:val="left" w:pos="540"/>
              </w:tabs>
              <w:spacing w:line="360" w:lineRule="auto"/>
              <w:ind w:left="-132" w:right="-105" w:hanging="2"/>
              <w:jc w:val="center"/>
              <w:rPr>
                <w:rFonts w:ascii="宋体" w:hAnsi="宋体" w:cs="宋体"/>
                <w:color w:val="auto"/>
                <w:sz w:val="24"/>
                <w:highlight w:val="none"/>
              </w:rPr>
            </w:pPr>
          </w:p>
        </w:tc>
      </w:tr>
      <w:tr w14:paraId="2D7BA5FD">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274C42A1">
            <w:pPr>
              <w:tabs>
                <w:tab w:val="left" w:pos="540"/>
              </w:tabs>
              <w:spacing w:line="360" w:lineRule="auto"/>
              <w:ind w:left="-132" w:right="-105" w:hanging="2"/>
              <w:jc w:val="center"/>
              <w:rPr>
                <w:rFonts w:ascii="宋体" w:hAnsi="宋体" w:cs="宋体"/>
                <w:color w:val="auto"/>
                <w:sz w:val="24"/>
                <w:highlight w:val="none"/>
              </w:rPr>
            </w:pPr>
          </w:p>
        </w:tc>
        <w:tc>
          <w:tcPr>
            <w:tcW w:w="1559" w:type="dxa"/>
            <w:noWrap w:val="0"/>
            <w:vAlign w:val="center"/>
          </w:tcPr>
          <w:p w14:paraId="4B33902E">
            <w:pPr>
              <w:tabs>
                <w:tab w:val="left" w:pos="540"/>
              </w:tabs>
              <w:spacing w:line="360" w:lineRule="auto"/>
              <w:ind w:left="-132" w:right="-105" w:hanging="2"/>
              <w:jc w:val="center"/>
              <w:rPr>
                <w:rFonts w:ascii="宋体" w:hAnsi="宋体" w:cs="宋体"/>
                <w:color w:val="auto"/>
                <w:sz w:val="24"/>
                <w:highlight w:val="none"/>
              </w:rPr>
            </w:pPr>
          </w:p>
        </w:tc>
        <w:tc>
          <w:tcPr>
            <w:tcW w:w="931" w:type="dxa"/>
            <w:noWrap w:val="0"/>
            <w:vAlign w:val="center"/>
          </w:tcPr>
          <w:p w14:paraId="7DF80A06">
            <w:pPr>
              <w:tabs>
                <w:tab w:val="left" w:pos="540"/>
              </w:tabs>
              <w:spacing w:line="360" w:lineRule="auto"/>
              <w:ind w:left="-132" w:right="-105" w:hanging="2"/>
              <w:jc w:val="center"/>
              <w:rPr>
                <w:rFonts w:ascii="宋体" w:hAnsi="宋体" w:cs="宋体"/>
                <w:color w:val="auto"/>
                <w:sz w:val="24"/>
                <w:highlight w:val="none"/>
              </w:rPr>
            </w:pPr>
          </w:p>
        </w:tc>
        <w:tc>
          <w:tcPr>
            <w:tcW w:w="867" w:type="dxa"/>
            <w:noWrap w:val="0"/>
            <w:vAlign w:val="center"/>
          </w:tcPr>
          <w:p w14:paraId="718CEAC1">
            <w:pPr>
              <w:tabs>
                <w:tab w:val="left" w:pos="540"/>
              </w:tabs>
              <w:spacing w:line="360" w:lineRule="auto"/>
              <w:ind w:left="-132" w:right="-105" w:hanging="2"/>
              <w:jc w:val="center"/>
              <w:rPr>
                <w:rFonts w:ascii="宋体" w:hAnsi="宋体" w:cs="宋体"/>
                <w:color w:val="auto"/>
                <w:sz w:val="24"/>
                <w:highlight w:val="none"/>
              </w:rPr>
            </w:pPr>
          </w:p>
        </w:tc>
        <w:tc>
          <w:tcPr>
            <w:tcW w:w="1511" w:type="dxa"/>
            <w:noWrap w:val="0"/>
            <w:vAlign w:val="center"/>
          </w:tcPr>
          <w:p w14:paraId="3F14EE04">
            <w:pPr>
              <w:tabs>
                <w:tab w:val="left" w:pos="540"/>
              </w:tabs>
              <w:spacing w:line="360" w:lineRule="auto"/>
              <w:ind w:left="-132" w:right="-105" w:hanging="2"/>
              <w:jc w:val="center"/>
              <w:rPr>
                <w:rFonts w:ascii="宋体" w:hAnsi="宋体" w:cs="宋体"/>
                <w:color w:val="auto"/>
                <w:sz w:val="24"/>
                <w:highlight w:val="none"/>
              </w:rPr>
            </w:pPr>
          </w:p>
        </w:tc>
        <w:tc>
          <w:tcPr>
            <w:tcW w:w="1581" w:type="dxa"/>
            <w:noWrap w:val="0"/>
            <w:vAlign w:val="center"/>
          </w:tcPr>
          <w:p w14:paraId="2D460D55">
            <w:pPr>
              <w:tabs>
                <w:tab w:val="left" w:pos="540"/>
              </w:tabs>
              <w:spacing w:line="360" w:lineRule="auto"/>
              <w:ind w:left="-132" w:right="-105" w:hanging="2"/>
              <w:jc w:val="center"/>
              <w:rPr>
                <w:rFonts w:ascii="宋体" w:hAnsi="宋体" w:cs="宋体"/>
                <w:color w:val="auto"/>
                <w:sz w:val="24"/>
                <w:highlight w:val="none"/>
              </w:rPr>
            </w:pPr>
          </w:p>
        </w:tc>
        <w:tc>
          <w:tcPr>
            <w:tcW w:w="1610" w:type="dxa"/>
            <w:noWrap w:val="0"/>
            <w:vAlign w:val="center"/>
          </w:tcPr>
          <w:p w14:paraId="020ABDC5">
            <w:pPr>
              <w:tabs>
                <w:tab w:val="left" w:pos="540"/>
              </w:tabs>
              <w:spacing w:line="360" w:lineRule="auto"/>
              <w:ind w:left="-132" w:right="-105" w:hanging="2"/>
              <w:jc w:val="center"/>
              <w:rPr>
                <w:rFonts w:ascii="宋体" w:hAnsi="宋体" w:cs="宋体"/>
                <w:color w:val="auto"/>
                <w:sz w:val="24"/>
                <w:highlight w:val="none"/>
              </w:rPr>
            </w:pPr>
          </w:p>
        </w:tc>
      </w:tr>
      <w:tr w14:paraId="506C0D70">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noWrap w:val="0"/>
            <w:vAlign w:val="center"/>
          </w:tcPr>
          <w:p w14:paraId="79D71CED">
            <w:pPr>
              <w:tabs>
                <w:tab w:val="left" w:pos="540"/>
              </w:tabs>
              <w:spacing w:line="360" w:lineRule="auto"/>
              <w:ind w:left="-132" w:right="-105" w:hanging="2"/>
              <w:jc w:val="center"/>
              <w:rPr>
                <w:rFonts w:ascii="宋体" w:hAnsi="宋体" w:cs="宋体"/>
                <w:color w:val="auto"/>
                <w:sz w:val="24"/>
                <w:highlight w:val="none"/>
              </w:rPr>
            </w:pPr>
          </w:p>
        </w:tc>
        <w:tc>
          <w:tcPr>
            <w:tcW w:w="1559" w:type="dxa"/>
            <w:noWrap w:val="0"/>
            <w:vAlign w:val="center"/>
          </w:tcPr>
          <w:p w14:paraId="3778DA31">
            <w:pPr>
              <w:tabs>
                <w:tab w:val="left" w:pos="540"/>
              </w:tabs>
              <w:spacing w:line="360" w:lineRule="auto"/>
              <w:ind w:left="-132" w:right="-105" w:hanging="2"/>
              <w:jc w:val="center"/>
              <w:rPr>
                <w:rFonts w:ascii="宋体" w:hAnsi="宋体" w:cs="宋体"/>
                <w:color w:val="auto"/>
                <w:sz w:val="24"/>
                <w:highlight w:val="none"/>
              </w:rPr>
            </w:pPr>
          </w:p>
        </w:tc>
        <w:tc>
          <w:tcPr>
            <w:tcW w:w="931" w:type="dxa"/>
            <w:noWrap w:val="0"/>
            <w:vAlign w:val="center"/>
          </w:tcPr>
          <w:p w14:paraId="1CA1AEC8">
            <w:pPr>
              <w:tabs>
                <w:tab w:val="left" w:pos="540"/>
              </w:tabs>
              <w:spacing w:line="360" w:lineRule="auto"/>
              <w:ind w:left="-132" w:right="-105" w:hanging="2"/>
              <w:jc w:val="center"/>
              <w:rPr>
                <w:rFonts w:ascii="宋体" w:hAnsi="宋体" w:cs="宋体"/>
                <w:color w:val="auto"/>
                <w:sz w:val="24"/>
                <w:highlight w:val="none"/>
              </w:rPr>
            </w:pPr>
          </w:p>
        </w:tc>
        <w:tc>
          <w:tcPr>
            <w:tcW w:w="867" w:type="dxa"/>
            <w:noWrap w:val="0"/>
            <w:vAlign w:val="center"/>
          </w:tcPr>
          <w:p w14:paraId="4DC60B00">
            <w:pPr>
              <w:tabs>
                <w:tab w:val="left" w:pos="540"/>
              </w:tabs>
              <w:spacing w:line="360" w:lineRule="auto"/>
              <w:ind w:left="-132" w:right="-105" w:hanging="2"/>
              <w:jc w:val="center"/>
              <w:rPr>
                <w:rFonts w:ascii="宋体" w:hAnsi="宋体" w:cs="宋体"/>
                <w:color w:val="auto"/>
                <w:sz w:val="24"/>
                <w:highlight w:val="none"/>
              </w:rPr>
            </w:pPr>
          </w:p>
        </w:tc>
        <w:tc>
          <w:tcPr>
            <w:tcW w:w="1511" w:type="dxa"/>
            <w:noWrap w:val="0"/>
            <w:vAlign w:val="center"/>
          </w:tcPr>
          <w:p w14:paraId="3FFB5BB3">
            <w:pPr>
              <w:tabs>
                <w:tab w:val="left" w:pos="540"/>
              </w:tabs>
              <w:spacing w:line="360" w:lineRule="auto"/>
              <w:ind w:left="-132" w:right="-105" w:hanging="2"/>
              <w:jc w:val="center"/>
              <w:rPr>
                <w:rFonts w:ascii="宋体" w:hAnsi="宋体" w:cs="宋体"/>
                <w:color w:val="auto"/>
                <w:sz w:val="24"/>
                <w:highlight w:val="none"/>
              </w:rPr>
            </w:pPr>
          </w:p>
        </w:tc>
        <w:tc>
          <w:tcPr>
            <w:tcW w:w="1581" w:type="dxa"/>
            <w:noWrap w:val="0"/>
            <w:vAlign w:val="center"/>
          </w:tcPr>
          <w:p w14:paraId="02CE5088">
            <w:pPr>
              <w:tabs>
                <w:tab w:val="left" w:pos="540"/>
              </w:tabs>
              <w:spacing w:line="360" w:lineRule="auto"/>
              <w:ind w:left="-132" w:right="-105" w:hanging="2"/>
              <w:jc w:val="center"/>
              <w:rPr>
                <w:rFonts w:ascii="宋体" w:hAnsi="宋体" w:cs="宋体"/>
                <w:color w:val="auto"/>
                <w:sz w:val="24"/>
                <w:highlight w:val="none"/>
              </w:rPr>
            </w:pPr>
          </w:p>
        </w:tc>
        <w:tc>
          <w:tcPr>
            <w:tcW w:w="1610" w:type="dxa"/>
            <w:noWrap w:val="0"/>
            <w:vAlign w:val="center"/>
          </w:tcPr>
          <w:p w14:paraId="3F5B48DB">
            <w:pPr>
              <w:tabs>
                <w:tab w:val="left" w:pos="540"/>
              </w:tabs>
              <w:spacing w:line="360" w:lineRule="auto"/>
              <w:ind w:left="-132" w:right="-105" w:hanging="2"/>
              <w:jc w:val="center"/>
              <w:rPr>
                <w:rFonts w:ascii="宋体" w:hAnsi="宋体" w:cs="宋体"/>
                <w:color w:val="auto"/>
                <w:sz w:val="24"/>
                <w:highlight w:val="none"/>
              </w:rPr>
            </w:pPr>
          </w:p>
        </w:tc>
      </w:tr>
    </w:tbl>
    <w:p w14:paraId="347D5A49">
      <w:pPr>
        <w:spacing w:line="360" w:lineRule="auto"/>
        <w:jc w:val="center"/>
        <w:rPr>
          <w:rFonts w:hint="eastAsia"/>
          <w:b w:val="0"/>
          <w:bCs w:val="0"/>
          <w:color w:val="auto"/>
          <w:sz w:val="24"/>
          <w:highlight w:val="none"/>
        </w:rPr>
      </w:pPr>
      <w:r>
        <w:rPr>
          <w:rFonts w:hint="eastAsia"/>
          <w:b w:val="0"/>
          <w:bCs w:val="0"/>
          <w:color w:val="auto"/>
          <w:sz w:val="24"/>
          <w:highlight w:val="none"/>
        </w:rPr>
        <w:t>注：项目管理团队自行组建，人数不限。后附人员评分证明材料（如有）</w:t>
      </w:r>
    </w:p>
    <w:p w14:paraId="24C71D3E">
      <w:pPr>
        <w:bidi w:val="0"/>
        <w:rPr>
          <w:b/>
          <w:bCs/>
          <w:color w:val="auto"/>
          <w:sz w:val="24"/>
          <w:highlight w:val="none"/>
        </w:rPr>
      </w:pPr>
    </w:p>
    <w:p w14:paraId="59D6013A">
      <w:pPr>
        <w:bidi w:val="0"/>
        <w:rPr>
          <w:b/>
          <w:bCs/>
          <w:color w:val="auto"/>
          <w:sz w:val="24"/>
          <w:highlight w:val="none"/>
        </w:rPr>
      </w:pPr>
    </w:p>
    <w:p w14:paraId="4E0DF086">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投标单位（公章）：</w:t>
      </w:r>
    </w:p>
    <w:p w14:paraId="7611665C">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法定代表人或授权委托人（签名或盖章）：</w:t>
      </w:r>
    </w:p>
    <w:p w14:paraId="05E57D49">
      <w:pPr>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rPr>
        <w:t>日期：     年    月    日</w:t>
      </w:r>
    </w:p>
    <w:p w14:paraId="72DDE262">
      <w:pPr>
        <w:bidi w:val="0"/>
        <w:jc w:val="center"/>
        <w:rPr>
          <w:rFonts w:hint="eastAsia" w:ascii="宋体" w:hAnsi="宋体" w:cs="宋体"/>
          <w:b/>
          <w:color w:val="auto"/>
          <w:sz w:val="24"/>
          <w:highlight w:val="none"/>
        </w:rPr>
      </w:pPr>
      <w:r>
        <w:rPr>
          <w:b/>
          <w:bCs/>
          <w:color w:val="auto"/>
          <w:sz w:val="24"/>
          <w:highlight w:val="none"/>
        </w:rPr>
        <w:br w:type="page" w:clear="all"/>
      </w:r>
      <w:r>
        <w:rPr>
          <w:b/>
          <w:bCs/>
          <w:color w:val="auto"/>
          <w:sz w:val="24"/>
          <w:highlight w:val="none"/>
        </w:rPr>
        <w:t>（</w:t>
      </w:r>
      <w:r>
        <w:rPr>
          <w:rFonts w:hint="eastAsia"/>
          <w:b/>
          <w:bCs/>
          <w:color w:val="auto"/>
          <w:sz w:val="24"/>
          <w:highlight w:val="none"/>
        </w:rPr>
        <w:t>三</w:t>
      </w:r>
      <w:r>
        <w:rPr>
          <w:b/>
          <w:bCs/>
          <w:color w:val="auto"/>
          <w:sz w:val="24"/>
          <w:highlight w:val="none"/>
        </w:rPr>
        <w:t>）</w:t>
      </w:r>
      <w:r>
        <w:rPr>
          <w:rFonts w:hint="eastAsia" w:ascii="宋体" w:hAnsi="宋体" w:cs="宋体"/>
          <w:b/>
          <w:color w:val="auto"/>
          <w:sz w:val="24"/>
          <w:highlight w:val="none"/>
        </w:rPr>
        <w:t>类似业绩一览表</w:t>
      </w:r>
    </w:p>
    <w:p w14:paraId="2D70E081">
      <w:pPr>
        <w:spacing w:line="360" w:lineRule="auto"/>
        <w:jc w:val="center"/>
        <w:rPr>
          <w:rFonts w:ascii="宋体" w:hAnsi="宋体" w:cs="宋体"/>
          <w:b/>
          <w:color w:val="auto"/>
          <w:sz w:val="24"/>
          <w:highlight w:val="none"/>
        </w:rPr>
      </w:pPr>
    </w:p>
    <w:tbl>
      <w:tblPr>
        <w:tblStyle w:val="34"/>
        <w:tblW w:w="9694"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55"/>
        <w:gridCol w:w="1541"/>
        <w:gridCol w:w="1541"/>
        <w:gridCol w:w="1668"/>
        <w:gridCol w:w="1898"/>
        <w:gridCol w:w="2091"/>
      </w:tblGrid>
      <w:tr w14:paraId="09401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40" w:hRule="atLeast"/>
        </w:trPr>
        <w:tc>
          <w:tcPr>
            <w:tcW w:w="955" w:type="dxa"/>
            <w:noWrap w:val="0"/>
            <w:vAlign w:val="center"/>
          </w:tcPr>
          <w:p w14:paraId="341595E9">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序号</w:t>
            </w:r>
          </w:p>
        </w:tc>
        <w:tc>
          <w:tcPr>
            <w:tcW w:w="1541" w:type="dxa"/>
            <w:noWrap w:val="0"/>
            <w:vAlign w:val="center"/>
          </w:tcPr>
          <w:p w14:paraId="32A177CF">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1541" w:type="dxa"/>
            <w:noWrap w:val="0"/>
            <w:vAlign w:val="center"/>
          </w:tcPr>
          <w:p w14:paraId="53888C80">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实施时间</w:t>
            </w:r>
          </w:p>
        </w:tc>
        <w:tc>
          <w:tcPr>
            <w:tcW w:w="1668" w:type="dxa"/>
            <w:noWrap w:val="0"/>
            <w:vAlign w:val="center"/>
          </w:tcPr>
          <w:p w14:paraId="18CC4310">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合同内容</w:t>
            </w:r>
          </w:p>
        </w:tc>
        <w:tc>
          <w:tcPr>
            <w:tcW w:w="1898" w:type="dxa"/>
            <w:noWrap w:val="0"/>
            <w:vAlign w:val="center"/>
          </w:tcPr>
          <w:p w14:paraId="3042708E">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合同金额（万元）</w:t>
            </w:r>
          </w:p>
        </w:tc>
        <w:tc>
          <w:tcPr>
            <w:tcW w:w="2091" w:type="dxa"/>
            <w:noWrap w:val="0"/>
            <w:vAlign w:val="center"/>
          </w:tcPr>
          <w:p w14:paraId="1CB4ED6D">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业主联系人及电话</w:t>
            </w:r>
          </w:p>
        </w:tc>
      </w:tr>
      <w:tr w14:paraId="0EEF2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955" w:type="dxa"/>
            <w:noWrap w:val="0"/>
            <w:vAlign w:val="center"/>
          </w:tcPr>
          <w:p w14:paraId="7E1C99A6">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1541" w:type="dxa"/>
            <w:noWrap w:val="0"/>
            <w:vAlign w:val="center"/>
          </w:tcPr>
          <w:p w14:paraId="617C8FF2">
            <w:pPr>
              <w:spacing w:line="400" w:lineRule="exact"/>
              <w:ind w:left="420"/>
              <w:rPr>
                <w:rFonts w:ascii="宋体" w:hAnsi="宋体" w:cs="宋体"/>
                <w:color w:val="auto"/>
                <w:sz w:val="24"/>
                <w:highlight w:val="none"/>
              </w:rPr>
            </w:pPr>
          </w:p>
        </w:tc>
        <w:tc>
          <w:tcPr>
            <w:tcW w:w="1541" w:type="dxa"/>
            <w:noWrap w:val="0"/>
            <w:vAlign w:val="center"/>
          </w:tcPr>
          <w:p w14:paraId="0C74EE6C">
            <w:pPr>
              <w:spacing w:line="400" w:lineRule="exact"/>
              <w:ind w:left="420"/>
              <w:rPr>
                <w:rFonts w:ascii="宋体" w:hAnsi="宋体" w:cs="宋体"/>
                <w:color w:val="auto"/>
                <w:sz w:val="24"/>
                <w:highlight w:val="none"/>
              </w:rPr>
            </w:pPr>
          </w:p>
        </w:tc>
        <w:tc>
          <w:tcPr>
            <w:tcW w:w="1668" w:type="dxa"/>
            <w:noWrap w:val="0"/>
            <w:vAlign w:val="center"/>
          </w:tcPr>
          <w:p w14:paraId="057166D3">
            <w:pPr>
              <w:spacing w:line="400" w:lineRule="exact"/>
              <w:ind w:left="420"/>
              <w:rPr>
                <w:rFonts w:ascii="宋体" w:hAnsi="宋体" w:cs="宋体"/>
                <w:color w:val="auto"/>
                <w:sz w:val="24"/>
                <w:highlight w:val="none"/>
              </w:rPr>
            </w:pPr>
          </w:p>
        </w:tc>
        <w:tc>
          <w:tcPr>
            <w:tcW w:w="1898" w:type="dxa"/>
            <w:noWrap w:val="0"/>
            <w:vAlign w:val="center"/>
          </w:tcPr>
          <w:p w14:paraId="3E52639D">
            <w:pPr>
              <w:spacing w:line="400" w:lineRule="exact"/>
              <w:ind w:left="420"/>
              <w:rPr>
                <w:rFonts w:ascii="宋体" w:hAnsi="宋体" w:cs="宋体"/>
                <w:color w:val="auto"/>
                <w:sz w:val="24"/>
                <w:highlight w:val="none"/>
              </w:rPr>
            </w:pPr>
          </w:p>
        </w:tc>
        <w:tc>
          <w:tcPr>
            <w:tcW w:w="2091" w:type="dxa"/>
            <w:noWrap w:val="0"/>
            <w:vAlign w:val="center"/>
          </w:tcPr>
          <w:p w14:paraId="06BA5DE2">
            <w:pPr>
              <w:spacing w:line="400" w:lineRule="exact"/>
              <w:ind w:left="420"/>
              <w:rPr>
                <w:rFonts w:ascii="宋体" w:hAnsi="宋体" w:cs="宋体"/>
                <w:color w:val="auto"/>
                <w:sz w:val="24"/>
                <w:highlight w:val="none"/>
              </w:rPr>
            </w:pPr>
          </w:p>
        </w:tc>
      </w:tr>
      <w:tr w14:paraId="23F9D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955" w:type="dxa"/>
            <w:noWrap w:val="0"/>
            <w:vAlign w:val="center"/>
          </w:tcPr>
          <w:p w14:paraId="2056C8D4">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1541" w:type="dxa"/>
            <w:noWrap w:val="0"/>
            <w:vAlign w:val="center"/>
          </w:tcPr>
          <w:p w14:paraId="5AB15FC9">
            <w:pPr>
              <w:spacing w:line="400" w:lineRule="exact"/>
              <w:ind w:left="420"/>
              <w:rPr>
                <w:rFonts w:ascii="宋体" w:hAnsi="宋体" w:cs="宋体"/>
                <w:color w:val="auto"/>
                <w:sz w:val="24"/>
                <w:highlight w:val="none"/>
              </w:rPr>
            </w:pPr>
          </w:p>
        </w:tc>
        <w:tc>
          <w:tcPr>
            <w:tcW w:w="1541" w:type="dxa"/>
            <w:noWrap w:val="0"/>
            <w:vAlign w:val="center"/>
          </w:tcPr>
          <w:p w14:paraId="4A4F7A61">
            <w:pPr>
              <w:spacing w:line="400" w:lineRule="exact"/>
              <w:ind w:left="420"/>
              <w:rPr>
                <w:rFonts w:ascii="宋体" w:hAnsi="宋体" w:cs="宋体"/>
                <w:color w:val="auto"/>
                <w:sz w:val="24"/>
                <w:highlight w:val="none"/>
              </w:rPr>
            </w:pPr>
          </w:p>
        </w:tc>
        <w:tc>
          <w:tcPr>
            <w:tcW w:w="1668" w:type="dxa"/>
            <w:noWrap w:val="0"/>
            <w:vAlign w:val="center"/>
          </w:tcPr>
          <w:p w14:paraId="5B0F5C3B">
            <w:pPr>
              <w:spacing w:line="400" w:lineRule="exact"/>
              <w:ind w:left="420"/>
              <w:rPr>
                <w:rFonts w:ascii="宋体" w:hAnsi="宋体" w:cs="宋体"/>
                <w:color w:val="auto"/>
                <w:sz w:val="24"/>
                <w:highlight w:val="none"/>
              </w:rPr>
            </w:pPr>
          </w:p>
        </w:tc>
        <w:tc>
          <w:tcPr>
            <w:tcW w:w="1898" w:type="dxa"/>
            <w:noWrap w:val="0"/>
            <w:vAlign w:val="center"/>
          </w:tcPr>
          <w:p w14:paraId="46DCA105">
            <w:pPr>
              <w:spacing w:line="400" w:lineRule="exact"/>
              <w:ind w:left="420"/>
              <w:rPr>
                <w:rFonts w:ascii="宋体" w:hAnsi="宋体" w:cs="宋体"/>
                <w:color w:val="auto"/>
                <w:sz w:val="24"/>
                <w:highlight w:val="none"/>
              </w:rPr>
            </w:pPr>
          </w:p>
        </w:tc>
        <w:tc>
          <w:tcPr>
            <w:tcW w:w="2091" w:type="dxa"/>
            <w:noWrap w:val="0"/>
            <w:vAlign w:val="center"/>
          </w:tcPr>
          <w:p w14:paraId="1926E194">
            <w:pPr>
              <w:spacing w:line="400" w:lineRule="exact"/>
              <w:ind w:left="420"/>
              <w:rPr>
                <w:rFonts w:ascii="宋体" w:hAnsi="宋体" w:cs="宋体"/>
                <w:color w:val="auto"/>
                <w:sz w:val="24"/>
                <w:highlight w:val="none"/>
              </w:rPr>
            </w:pPr>
          </w:p>
        </w:tc>
      </w:tr>
      <w:tr w14:paraId="35E5E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955" w:type="dxa"/>
            <w:noWrap w:val="0"/>
            <w:vAlign w:val="center"/>
          </w:tcPr>
          <w:p w14:paraId="0F01A3F0">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1541" w:type="dxa"/>
            <w:noWrap w:val="0"/>
            <w:vAlign w:val="center"/>
          </w:tcPr>
          <w:p w14:paraId="2C635D7F">
            <w:pPr>
              <w:spacing w:line="400" w:lineRule="exact"/>
              <w:ind w:left="420"/>
              <w:rPr>
                <w:rFonts w:ascii="宋体" w:hAnsi="宋体" w:cs="宋体"/>
                <w:color w:val="auto"/>
                <w:sz w:val="24"/>
                <w:highlight w:val="none"/>
              </w:rPr>
            </w:pPr>
          </w:p>
        </w:tc>
        <w:tc>
          <w:tcPr>
            <w:tcW w:w="1541" w:type="dxa"/>
            <w:noWrap w:val="0"/>
            <w:vAlign w:val="center"/>
          </w:tcPr>
          <w:p w14:paraId="564043B1">
            <w:pPr>
              <w:spacing w:line="400" w:lineRule="exact"/>
              <w:ind w:left="420"/>
              <w:rPr>
                <w:rFonts w:ascii="宋体" w:hAnsi="宋体" w:cs="宋体"/>
                <w:color w:val="auto"/>
                <w:sz w:val="24"/>
                <w:highlight w:val="none"/>
              </w:rPr>
            </w:pPr>
          </w:p>
        </w:tc>
        <w:tc>
          <w:tcPr>
            <w:tcW w:w="1668" w:type="dxa"/>
            <w:noWrap w:val="0"/>
            <w:vAlign w:val="center"/>
          </w:tcPr>
          <w:p w14:paraId="57C37540">
            <w:pPr>
              <w:spacing w:line="400" w:lineRule="exact"/>
              <w:ind w:left="420"/>
              <w:rPr>
                <w:rFonts w:ascii="宋体" w:hAnsi="宋体" w:cs="宋体"/>
                <w:color w:val="auto"/>
                <w:sz w:val="24"/>
                <w:highlight w:val="none"/>
              </w:rPr>
            </w:pPr>
          </w:p>
        </w:tc>
        <w:tc>
          <w:tcPr>
            <w:tcW w:w="1898" w:type="dxa"/>
            <w:noWrap w:val="0"/>
            <w:vAlign w:val="center"/>
          </w:tcPr>
          <w:p w14:paraId="49E3B0AE">
            <w:pPr>
              <w:spacing w:line="400" w:lineRule="exact"/>
              <w:ind w:left="420"/>
              <w:rPr>
                <w:rFonts w:ascii="宋体" w:hAnsi="宋体" w:cs="宋体"/>
                <w:color w:val="auto"/>
                <w:sz w:val="24"/>
                <w:highlight w:val="none"/>
              </w:rPr>
            </w:pPr>
          </w:p>
        </w:tc>
        <w:tc>
          <w:tcPr>
            <w:tcW w:w="2091" w:type="dxa"/>
            <w:noWrap w:val="0"/>
            <w:vAlign w:val="center"/>
          </w:tcPr>
          <w:p w14:paraId="15D47B3A">
            <w:pPr>
              <w:spacing w:line="400" w:lineRule="exact"/>
              <w:ind w:left="420"/>
              <w:rPr>
                <w:rFonts w:ascii="宋体" w:hAnsi="宋体" w:cs="宋体"/>
                <w:color w:val="auto"/>
                <w:sz w:val="24"/>
                <w:highlight w:val="none"/>
              </w:rPr>
            </w:pPr>
          </w:p>
        </w:tc>
      </w:tr>
      <w:tr w14:paraId="0CC9D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955" w:type="dxa"/>
            <w:noWrap w:val="0"/>
            <w:vAlign w:val="center"/>
          </w:tcPr>
          <w:p w14:paraId="79218FDC">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4</w:t>
            </w:r>
          </w:p>
        </w:tc>
        <w:tc>
          <w:tcPr>
            <w:tcW w:w="1541" w:type="dxa"/>
            <w:noWrap w:val="0"/>
            <w:vAlign w:val="center"/>
          </w:tcPr>
          <w:p w14:paraId="6CBD71DD">
            <w:pPr>
              <w:spacing w:line="400" w:lineRule="exact"/>
              <w:ind w:left="420"/>
              <w:rPr>
                <w:rFonts w:ascii="宋体" w:hAnsi="宋体" w:cs="宋体"/>
                <w:color w:val="auto"/>
                <w:sz w:val="24"/>
                <w:highlight w:val="none"/>
              </w:rPr>
            </w:pPr>
          </w:p>
        </w:tc>
        <w:tc>
          <w:tcPr>
            <w:tcW w:w="1541" w:type="dxa"/>
            <w:noWrap w:val="0"/>
            <w:vAlign w:val="center"/>
          </w:tcPr>
          <w:p w14:paraId="6D3E0705">
            <w:pPr>
              <w:spacing w:line="400" w:lineRule="exact"/>
              <w:ind w:left="420"/>
              <w:rPr>
                <w:rFonts w:ascii="宋体" w:hAnsi="宋体" w:cs="宋体"/>
                <w:color w:val="auto"/>
                <w:sz w:val="24"/>
                <w:highlight w:val="none"/>
              </w:rPr>
            </w:pPr>
          </w:p>
        </w:tc>
        <w:tc>
          <w:tcPr>
            <w:tcW w:w="1668" w:type="dxa"/>
            <w:noWrap w:val="0"/>
            <w:vAlign w:val="center"/>
          </w:tcPr>
          <w:p w14:paraId="7BEF0C89">
            <w:pPr>
              <w:spacing w:line="400" w:lineRule="exact"/>
              <w:ind w:left="420"/>
              <w:rPr>
                <w:rFonts w:ascii="宋体" w:hAnsi="宋体" w:cs="宋体"/>
                <w:color w:val="auto"/>
                <w:sz w:val="24"/>
                <w:highlight w:val="none"/>
              </w:rPr>
            </w:pPr>
          </w:p>
        </w:tc>
        <w:tc>
          <w:tcPr>
            <w:tcW w:w="1898" w:type="dxa"/>
            <w:noWrap w:val="0"/>
            <w:vAlign w:val="center"/>
          </w:tcPr>
          <w:p w14:paraId="7D202F7D">
            <w:pPr>
              <w:spacing w:line="400" w:lineRule="exact"/>
              <w:ind w:left="420"/>
              <w:rPr>
                <w:rFonts w:ascii="宋体" w:hAnsi="宋体" w:cs="宋体"/>
                <w:color w:val="auto"/>
                <w:sz w:val="24"/>
                <w:highlight w:val="none"/>
              </w:rPr>
            </w:pPr>
          </w:p>
        </w:tc>
        <w:tc>
          <w:tcPr>
            <w:tcW w:w="2091" w:type="dxa"/>
            <w:noWrap w:val="0"/>
            <w:vAlign w:val="center"/>
          </w:tcPr>
          <w:p w14:paraId="11068C97">
            <w:pPr>
              <w:spacing w:line="400" w:lineRule="exact"/>
              <w:ind w:left="420"/>
              <w:rPr>
                <w:rFonts w:ascii="宋体" w:hAnsi="宋体" w:cs="宋体"/>
                <w:color w:val="auto"/>
                <w:sz w:val="24"/>
                <w:highlight w:val="none"/>
              </w:rPr>
            </w:pPr>
          </w:p>
        </w:tc>
      </w:tr>
      <w:tr w14:paraId="0B46E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955" w:type="dxa"/>
            <w:noWrap w:val="0"/>
            <w:vAlign w:val="center"/>
          </w:tcPr>
          <w:p w14:paraId="1AE989EA">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5</w:t>
            </w:r>
          </w:p>
        </w:tc>
        <w:tc>
          <w:tcPr>
            <w:tcW w:w="1541" w:type="dxa"/>
            <w:noWrap w:val="0"/>
            <w:vAlign w:val="center"/>
          </w:tcPr>
          <w:p w14:paraId="2D8A7A1E">
            <w:pPr>
              <w:spacing w:line="400" w:lineRule="exact"/>
              <w:ind w:left="420"/>
              <w:rPr>
                <w:rFonts w:ascii="宋体" w:hAnsi="宋体" w:cs="宋体"/>
                <w:color w:val="auto"/>
                <w:sz w:val="24"/>
                <w:highlight w:val="none"/>
              </w:rPr>
            </w:pPr>
          </w:p>
        </w:tc>
        <w:tc>
          <w:tcPr>
            <w:tcW w:w="1541" w:type="dxa"/>
            <w:noWrap w:val="0"/>
            <w:vAlign w:val="center"/>
          </w:tcPr>
          <w:p w14:paraId="352939EE">
            <w:pPr>
              <w:spacing w:line="400" w:lineRule="exact"/>
              <w:ind w:left="420"/>
              <w:rPr>
                <w:rFonts w:ascii="宋体" w:hAnsi="宋体" w:cs="宋体"/>
                <w:color w:val="auto"/>
                <w:sz w:val="24"/>
                <w:highlight w:val="none"/>
              </w:rPr>
            </w:pPr>
          </w:p>
        </w:tc>
        <w:tc>
          <w:tcPr>
            <w:tcW w:w="1668" w:type="dxa"/>
            <w:noWrap w:val="0"/>
            <w:vAlign w:val="center"/>
          </w:tcPr>
          <w:p w14:paraId="058DDA9A">
            <w:pPr>
              <w:spacing w:line="400" w:lineRule="exact"/>
              <w:ind w:left="420"/>
              <w:rPr>
                <w:rFonts w:ascii="宋体" w:hAnsi="宋体" w:cs="宋体"/>
                <w:color w:val="auto"/>
                <w:sz w:val="24"/>
                <w:highlight w:val="none"/>
              </w:rPr>
            </w:pPr>
          </w:p>
        </w:tc>
        <w:tc>
          <w:tcPr>
            <w:tcW w:w="1898" w:type="dxa"/>
            <w:noWrap w:val="0"/>
            <w:vAlign w:val="center"/>
          </w:tcPr>
          <w:p w14:paraId="6DAEF1F8">
            <w:pPr>
              <w:spacing w:line="400" w:lineRule="exact"/>
              <w:ind w:left="420"/>
              <w:rPr>
                <w:rFonts w:ascii="宋体" w:hAnsi="宋体" w:cs="宋体"/>
                <w:color w:val="auto"/>
                <w:sz w:val="24"/>
                <w:highlight w:val="none"/>
              </w:rPr>
            </w:pPr>
          </w:p>
        </w:tc>
        <w:tc>
          <w:tcPr>
            <w:tcW w:w="2091" w:type="dxa"/>
            <w:noWrap w:val="0"/>
            <w:vAlign w:val="center"/>
          </w:tcPr>
          <w:p w14:paraId="31514EE9">
            <w:pPr>
              <w:spacing w:line="400" w:lineRule="exact"/>
              <w:ind w:left="420"/>
              <w:rPr>
                <w:rFonts w:ascii="宋体" w:hAnsi="宋体" w:cs="宋体"/>
                <w:color w:val="auto"/>
                <w:sz w:val="24"/>
                <w:highlight w:val="none"/>
              </w:rPr>
            </w:pPr>
          </w:p>
        </w:tc>
      </w:tr>
      <w:tr w14:paraId="31B73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955" w:type="dxa"/>
            <w:noWrap w:val="0"/>
            <w:textDirection w:val="tbRlV"/>
            <w:vAlign w:val="center"/>
          </w:tcPr>
          <w:p w14:paraId="12EA8949">
            <w:pPr>
              <w:spacing w:line="400" w:lineRule="exact"/>
              <w:ind w:left="113" w:right="113"/>
              <w:jc w:val="center"/>
              <w:rPr>
                <w:rFonts w:ascii="宋体" w:hAnsi="宋体" w:cs="宋体"/>
                <w:color w:val="auto"/>
                <w:sz w:val="24"/>
                <w:highlight w:val="none"/>
              </w:rPr>
            </w:pPr>
          </w:p>
        </w:tc>
        <w:tc>
          <w:tcPr>
            <w:tcW w:w="1541" w:type="dxa"/>
            <w:noWrap w:val="0"/>
            <w:vAlign w:val="center"/>
          </w:tcPr>
          <w:p w14:paraId="718189CB">
            <w:pPr>
              <w:spacing w:line="400" w:lineRule="exact"/>
              <w:ind w:left="420"/>
              <w:rPr>
                <w:rFonts w:ascii="宋体" w:hAnsi="宋体" w:cs="宋体"/>
                <w:color w:val="auto"/>
                <w:sz w:val="24"/>
                <w:highlight w:val="none"/>
              </w:rPr>
            </w:pPr>
          </w:p>
        </w:tc>
        <w:tc>
          <w:tcPr>
            <w:tcW w:w="1541" w:type="dxa"/>
            <w:noWrap w:val="0"/>
            <w:vAlign w:val="center"/>
          </w:tcPr>
          <w:p w14:paraId="1E3BEDC2">
            <w:pPr>
              <w:spacing w:line="400" w:lineRule="exact"/>
              <w:ind w:left="420"/>
              <w:rPr>
                <w:rFonts w:ascii="宋体" w:hAnsi="宋体" w:cs="宋体"/>
                <w:color w:val="auto"/>
                <w:sz w:val="24"/>
                <w:highlight w:val="none"/>
              </w:rPr>
            </w:pPr>
          </w:p>
        </w:tc>
        <w:tc>
          <w:tcPr>
            <w:tcW w:w="1668" w:type="dxa"/>
            <w:noWrap w:val="0"/>
            <w:vAlign w:val="center"/>
          </w:tcPr>
          <w:p w14:paraId="18D5F36C">
            <w:pPr>
              <w:spacing w:line="400" w:lineRule="exact"/>
              <w:ind w:left="420"/>
              <w:rPr>
                <w:rFonts w:ascii="宋体" w:hAnsi="宋体" w:cs="宋体"/>
                <w:color w:val="auto"/>
                <w:sz w:val="24"/>
                <w:highlight w:val="none"/>
              </w:rPr>
            </w:pPr>
          </w:p>
        </w:tc>
        <w:tc>
          <w:tcPr>
            <w:tcW w:w="1898" w:type="dxa"/>
            <w:noWrap w:val="0"/>
            <w:vAlign w:val="center"/>
          </w:tcPr>
          <w:p w14:paraId="19791AE4">
            <w:pPr>
              <w:spacing w:line="400" w:lineRule="exact"/>
              <w:ind w:left="420"/>
              <w:rPr>
                <w:rFonts w:ascii="宋体" w:hAnsi="宋体" w:cs="宋体"/>
                <w:color w:val="auto"/>
                <w:sz w:val="24"/>
                <w:highlight w:val="none"/>
              </w:rPr>
            </w:pPr>
          </w:p>
        </w:tc>
        <w:tc>
          <w:tcPr>
            <w:tcW w:w="2091" w:type="dxa"/>
            <w:noWrap w:val="0"/>
            <w:vAlign w:val="center"/>
          </w:tcPr>
          <w:p w14:paraId="4A9DCCB0">
            <w:pPr>
              <w:spacing w:line="400" w:lineRule="exact"/>
              <w:ind w:left="420"/>
              <w:rPr>
                <w:rFonts w:ascii="宋体" w:hAnsi="宋体" w:cs="宋体"/>
                <w:color w:val="auto"/>
                <w:sz w:val="24"/>
                <w:highlight w:val="none"/>
              </w:rPr>
            </w:pPr>
          </w:p>
        </w:tc>
      </w:tr>
      <w:tr w14:paraId="78491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955" w:type="dxa"/>
            <w:noWrap w:val="0"/>
            <w:vAlign w:val="center"/>
          </w:tcPr>
          <w:p w14:paraId="480E1BC4">
            <w:pPr>
              <w:spacing w:line="400" w:lineRule="exact"/>
              <w:jc w:val="center"/>
              <w:rPr>
                <w:rFonts w:ascii="宋体" w:hAnsi="宋体" w:cs="宋体"/>
                <w:color w:val="auto"/>
                <w:sz w:val="24"/>
                <w:highlight w:val="none"/>
              </w:rPr>
            </w:pPr>
          </w:p>
        </w:tc>
        <w:tc>
          <w:tcPr>
            <w:tcW w:w="1541" w:type="dxa"/>
            <w:noWrap w:val="0"/>
            <w:vAlign w:val="center"/>
          </w:tcPr>
          <w:p w14:paraId="731EEA66">
            <w:pPr>
              <w:spacing w:line="400" w:lineRule="exact"/>
              <w:jc w:val="center"/>
              <w:rPr>
                <w:rFonts w:ascii="宋体" w:hAnsi="宋体" w:cs="宋体"/>
                <w:color w:val="auto"/>
                <w:sz w:val="24"/>
                <w:highlight w:val="none"/>
              </w:rPr>
            </w:pPr>
          </w:p>
        </w:tc>
        <w:tc>
          <w:tcPr>
            <w:tcW w:w="1541" w:type="dxa"/>
            <w:noWrap w:val="0"/>
            <w:vAlign w:val="center"/>
          </w:tcPr>
          <w:p w14:paraId="268D9D2F">
            <w:pPr>
              <w:spacing w:line="400" w:lineRule="exact"/>
              <w:jc w:val="center"/>
              <w:rPr>
                <w:rFonts w:ascii="宋体" w:hAnsi="宋体" w:cs="宋体"/>
                <w:color w:val="auto"/>
                <w:sz w:val="24"/>
                <w:highlight w:val="none"/>
              </w:rPr>
            </w:pPr>
          </w:p>
        </w:tc>
        <w:tc>
          <w:tcPr>
            <w:tcW w:w="1668" w:type="dxa"/>
            <w:noWrap w:val="0"/>
            <w:vAlign w:val="center"/>
          </w:tcPr>
          <w:p w14:paraId="2E3CF56A">
            <w:pPr>
              <w:spacing w:line="400" w:lineRule="exact"/>
              <w:jc w:val="center"/>
              <w:rPr>
                <w:rFonts w:ascii="宋体" w:hAnsi="宋体" w:cs="宋体"/>
                <w:color w:val="auto"/>
                <w:sz w:val="24"/>
                <w:highlight w:val="none"/>
              </w:rPr>
            </w:pPr>
          </w:p>
        </w:tc>
        <w:tc>
          <w:tcPr>
            <w:tcW w:w="1898" w:type="dxa"/>
            <w:noWrap w:val="0"/>
            <w:vAlign w:val="center"/>
          </w:tcPr>
          <w:p w14:paraId="414D66F1">
            <w:pPr>
              <w:spacing w:line="400" w:lineRule="exact"/>
              <w:jc w:val="center"/>
              <w:rPr>
                <w:rFonts w:ascii="宋体" w:hAnsi="宋体" w:cs="宋体"/>
                <w:color w:val="auto"/>
                <w:sz w:val="24"/>
                <w:highlight w:val="none"/>
              </w:rPr>
            </w:pPr>
          </w:p>
        </w:tc>
        <w:tc>
          <w:tcPr>
            <w:tcW w:w="2091" w:type="dxa"/>
            <w:noWrap w:val="0"/>
            <w:vAlign w:val="center"/>
          </w:tcPr>
          <w:p w14:paraId="5B891FDD">
            <w:pPr>
              <w:spacing w:line="400" w:lineRule="exact"/>
              <w:jc w:val="center"/>
              <w:rPr>
                <w:rFonts w:ascii="宋体" w:hAnsi="宋体" w:cs="宋体"/>
                <w:color w:val="auto"/>
                <w:sz w:val="24"/>
                <w:highlight w:val="none"/>
              </w:rPr>
            </w:pPr>
          </w:p>
        </w:tc>
      </w:tr>
      <w:tr w14:paraId="1DED1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955" w:type="dxa"/>
            <w:noWrap w:val="0"/>
            <w:vAlign w:val="center"/>
          </w:tcPr>
          <w:p w14:paraId="543CFE46">
            <w:pPr>
              <w:spacing w:line="400" w:lineRule="exact"/>
              <w:jc w:val="center"/>
              <w:rPr>
                <w:rFonts w:ascii="宋体" w:hAnsi="宋体" w:cs="宋体"/>
                <w:color w:val="auto"/>
                <w:sz w:val="24"/>
                <w:highlight w:val="none"/>
              </w:rPr>
            </w:pPr>
          </w:p>
        </w:tc>
        <w:tc>
          <w:tcPr>
            <w:tcW w:w="1541" w:type="dxa"/>
            <w:noWrap w:val="0"/>
            <w:vAlign w:val="center"/>
          </w:tcPr>
          <w:p w14:paraId="5D9B3CC7">
            <w:pPr>
              <w:spacing w:line="400" w:lineRule="exact"/>
              <w:jc w:val="center"/>
              <w:rPr>
                <w:rFonts w:ascii="宋体" w:hAnsi="宋体" w:cs="宋体"/>
                <w:color w:val="auto"/>
                <w:sz w:val="24"/>
                <w:highlight w:val="none"/>
              </w:rPr>
            </w:pPr>
          </w:p>
        </w:tc>
        <w:tc>
          <w:tcPr>
            <w:tcW w:w="1541" w:type="dxa"/>
            <w:noWrap w:val="0"/>
            <w:vAlign w:val="center"/>
          </w:tcPr>
          <w:p w14:paraId="5B9DCE9D">
            <w:pPr>
              <w:spacing w:line="400" w:lineRule="exact"/>
              <w:jc w:val="center"/>
              <w:rPr>
                <w:rFonts w:ascii="宋体" w:hAnsi="宋体" w:cs="宋体"/>
                <w:color w:val="auto"/>
                <w:sz w:val="24"/>
                <w:highlight w:val="none"/>
              </w:rPr>
            </w:pPr>
          </w:p>
        </w:tc>
        <w:tc>
          <w:tcPr>
            <w:tcW w:w="1668" w:type="dxa"/>
            <w:noWrap w:val="0"/>
            <w:vAlign w:val="center"/>
          </w:tcPr>
          <w:p w14:paraId="16BDFF39">
            <w:pPr>
              <w:spacing w:line="400" w:lineRule="exact"/>
              <w:jc w:val="center"/>
              <w:rPr>
                <w:rFonts w:ascii="宋体" w:hAnsi="宋体" w:cs="宋体"/>
                <w:color w:val="auto"/>
                <w:sz w:val="24"/>
                <w:highlight w:val="none"/>
              </w:rPr>
            </w:pPr>
          </w:p>
        </w:tc>
        <w:tc>
          <w:tcPr>
            <w:tcW w:w="1898" w:type="dxa"/>
            <w:noWrap w:val="0"/>
            <w:vAlign w:val="center"/>
          </w:tcPr>
          <w:p w14:paraId="7F1CEC0F">
            <w:pPr>
              <w:spacing w:line="400" w:lineRule="exact"/>
              <w:jc w:val="center"/>
              <w:rPr>
                <w:rFonts w:ascii="宋体" w:hAnsi="宋体" w:cs="宋体"/>
                <w:color w:val="auto"/>
                <w:sz w:val="24"/>
                <w:highlight w:val="none"/>
              </w:rPr>
            </w:pPr>
          </w:p>
        </w:tc>
        <w:tc>
          <w:tcPr>
            <w:tcW w:w="2091" w:type="dxa"/>
            <w:noWrap w:val="0"/>
            <w:vAlign w:val="center"/>
          </w:tcPr>
          <w:p w14:paraId="6F8930DF">
            <w:pPr>
              <w:spacing w:line="400" w:lineRule="exact"/>
              <w:jc w:val="center"/>
              <w:rPr>
                <w:rFonts w:ascii="宋体" w:hAnsi="宋体" w:cs="宋体"/>
                <w:color w:val="auto"/>
                <w:sz w:val="24"/>
                <w:highlight w:val="none"/>
              </w:rPr>
            </w:pPr>
          </w:p>
        </w:tc>
      </w:tr>
    </w:tbl>
    <w:p w14:paraId="16019B4E">
      <w:pPr>
        <w:spacing w:line="500" w:lineRule="exact"/>
        <w:ind w:firstLine="480"/>
        <w:rPr>
          <w:color w:val="auto"/>
          <w:sz w:val="24"/>
          <w:highlight w:val="none"/>
        </w:rPr>
      </w:pPr>
    </w:p>
    <w:p w14:paraId="06D4EBBF">
      <w:pPr>
        <w:pStyle w:val="204"/>
        <w:rPr>
          <w:color w:val="auto"/>
          <w:sz w:val="24"/>
          <w:highlight w:val="none"/>
        </w:rPr>
      </w:pPr>
    </w:p>
    <w:p w14:paraId="099E2ADC">
      <w:pPr>
        <w:pStyle w:val="233"/>
        <w:ind w:firstLine="240"/>
        <w:rPr>
          <w:color w:val="auto"/>
          <w:highlight w:val="none"/>
        </w:rPr>
      </w:pPr>
    </w:p>
    <w:p w14:paraId="53C6C45C">
      <w:pPr>
        <w:pStyle w:val="233"/>
        <w:ind w:firstLine="240"/>
        <w:rPr>
          <w:color w:val="auto"/>
          <w:highlight w:val="none"/>
        </w:rPr>
      </w:pPr>
    </w:p>
    <w:p w14:paraId="677A8F7D">
      <w:pPr>
        <w:pStyle w:val="233"/>
        <w:ind w:firstLine="240"/>
        <w:rPr>
          <w:color w:val="auto"/>
          <w:highlight w:val="none"/>
        </w:rPr>
      </w:pPr>
    </w:p>
    <w:p w14:paraId="6E849166">
      <w:pPr>
        <w:pStyle w:val="233"/>
        <w:ind w:firstLine="240"/>
        <w:rPr>
          <w:color w:val="auto"/>
          <w:highlight w:val="none"/>
        </w:rPr>
      </w:pPr>
    </w:p>
    <w:p w14:paraId="01851E42">
      <w:pPr>
        <w:pStyle w:val="233"/>
        <w:ind w:firstLine="240"/>
        <w:rPr>
          <w:color w:val="auto"/>
          <w:highlight w:val="none"/>
        </w:rPr>
      </w:pPr>
    </w:p>
    <w:p w14:paraId="4D52F3B2">
      <w:pPr>
        <w:pStyle w:val="233"/>
        <w:ind w:firstLine="240"/>
        <w:rPr>
          <w:color w:val="auto"/>
          <w:highlight w:val="none"/>
        </w:rPr>
      </w:pPr>
    </w:p>
    <w:p w14:paraId="73F443CB">
      <w:pPr>
        <w:pStyle w:val="233"/>
        <w:ind w:firstLine="240"/>
        <w:rPr>
          <w:color w:val="auto"/>
          <w:highlight w:val="none"/>
        </w:rPr>
      </w:pPr>
    </w:p>
    <w:p w14:paraId="60A93C5A">
      <w:pPr>
        <w:pStyle w:val="233"/>
        <w:ind w:firstLine="240"/>
        <w:rPr>
          <w:color w:val="auto"/>
          <w:highlight w:val="none"/>
        </w:rPr>
      </w:pPr>
    </w:p>
    <w:p w14:paraId="10025612">
      <w:pPr>
        <w:pStyle w:val="233"/>
        <w:ind w:firstLine="240"/>
        <w:rPr>
          <w:color w:val="auto"/>
          <w:highlight w:val="none"/>
        </w:rPr>
      </w:pPr>
    </w:p>
    <w:p w14:paraId="453CC00E">
      <w:pPr>
        <w:pStyle w:val="233"/>
        <w:ind w:firstLine="240"/>
        <w:rPr>
          <w:color w:val="auto"/>
          <w:highlight w:val="none"/>
        </w:rPr>
      </w:pPr>
    </w:p>
    <w:p w14:paraId="2756AA53">
      <w:pPr>
        <w:pStyle w:val="233"/>
        <w:ind w:firstLine="240"/>
        <w:rPr>
          <w:color w:val="auto"/>
          <w:highlight w:val="none"/>
        </w:rPr>
      </w:pPr>
    </w:p>
    <w:p w14:paraId="0EE1B04E">
      <w:pPr>
        <w:pStyle w:val="233"/>
        <w:ind w:firstLine="240"/>
        <w:rPr>
          <w:color w:val="auto"/>
          <w:highlight w:val="none"/>
        </w:rPr>
      </w:pPr>
    </w:p>
    <w:p w14:paraId="0FF5E540">
      <w:pPr>
        <w:pStyle w:val="233"/>
        <w:ind w:firstLine="240"/>
        <w:rPr>
          <w:color w:val="auto"/>
          <w:highlight w:val="none"/>
        </w:rPr>
      </w:pPr>
    </w:p>
    <w:p w14:paraId="3810FB66">
      <w:pPr>
        <w:pStyle w:val="233"/>
        <w:ind w:firstLine="240"/>
        <w:rPr>
          <w:color w:val="auto"/>
          <w:highlight w:val="none"/>
        </w:rPr>
      </w:pPr>
    </w:p>
    <w:p w14:paraId="60385D46">
      <w:pPr>
        <w:pStyle w:val="233"/>
        <w:ind w:firstLine="240"/>
        <w:rPr>
          <w:color w:val="auto"/>
          <w:highlight w:val="none"/>
        </w:rPr>
      </w:pPr>
    </w:p>
    <w:p w14:paraId="2039AC09">
      <w:pPr>
        <w:pStyle w:val="233"/>
        <w:ind w:firstLine="240"/>
        <w:rPr>
          <w:color w:val="auto"/>
          <w:highlight w:val="none"/>
        </w:rPr>
      </w:pPr>
    </w:p>
    <w:p w14:paraId="760FE390">
      <w:pPr>
        <w:pStyle w:val="190"/>
        <w:keepLines/>
        <w:spacing w:line="400" w:lineRule="exact"/>
        <w:rPr>
          <w:rFonts w:hint="eastAsia" w:ascii="黑体" w:hAnsi="Arial" w:eastAsia="黑体"/>
          <w:color w:val="auto"/>
          <w:sz w:val="28"/>
          <w:szCs w:val="28"/>
          <w:highlight w:val="none"/>
        </w:rPr>
        <w:sectPr>
          <w:footerReference r:id="rId5" w:type="default"/>
          <w:pgSz w:w="11906" w:h="16838"/>
          <w:pgMar w:top="1440" w:right="1166" w:bottom="1440" w:left="1080" w:header="851" w:footer="992" w:gutter="0"/>
          <w:pgNumType w:start="1"/>
          <w:cols w:space="1701" w:num="1"/>
          <w:docGrid w:linePitch="360" w:charSpace="0"/>
        </w:sectPr>
      </w:pPr>
      <w:bookmarkStart w:id="23" w:name="_Toc475966769"/>
      <w:bookmarkStart w:id="24" w:name="_Toc25664"/>
      <w:bookmarkStart w:id="25" w:name="_Toc424045399"/>
      <w:bookmarkStart w:id="26" w:name="_Toc375841426"/>
      <w:bookmarkStart w:id="27" w:name="_Toc323364726"/>
      <w:bookmarkStart w:id="28" w:name="_Toc376513772"/>
      <w:bookmarkStart w:id="29" w:name="_Toc342901630"/>
    </w:p>
    <w:p w14:paraId="3879B5D0">
      <w:pPr>
        <w:pStyle w:val="190"/>
        <w:keepLines/>
        <w:spacing w:line="400" w:lineRule="exact"/>
        <w:rPr>
          <w:rFonts w:hint="eastAsia" w:ascii="黑体" w:hAnsi="Arial" w:eastAsia="黑体"/>
          <w:color w:val="auto"/>
          <w:sz w:val="28"/>
          <w:szCs w:val="28"/>
          <w:highlight w:val="none"/>
        </w:rPr>
      </w:pPr>
      <w:r>
        <w:rPr>
          <w:rFonts w:hint="eastAsia" w:ascii="黑体" w:hAnsi="Arial" w:eastAsia="黑体"/>
          <w:color w:val="auto"/>
          <w:sz w:val="28"/>
          <w:szCs w:val="28"/>
          <w:highlight w:val="none"/>
          <w:lang w:val="en-US" w:eastAsia="zh-CN"/>
        </w:rPr>
        <w:t>七</w:t>
      </w:r>
      <w:r>
        <w:rPr>
          <w:rFonts w:hint="eastAsia" w:ascii="黑体" w:hAnsi="Arial" w:eastAsia="黑体"/>
          <w:color w:val="auto"/>
          <w:sz w:val="28"/>
          <w:szCs w:val="28"/>
          <w:highlight w:val="none"/>
        </w:rPr>
        <w:t>、资格证明文件</w:t>
      </w:r>
    </w:p>
    <w:p w14:paraId="5742134C">
      <w:pPr>
        <w:spacing w:line="360" w:lineRule="auto"/>
        <w:ind w:firstLine="482"/>
        <w:rPr>
          <w:rFonts w:hint="eastAsia" w:ascii="宋体" w:hAnsi="宋体" w:cs="宋体"/>
          <w:b/>
          <w:bCs/>
          <w:color w:val="auto"/>
          <w:sz w:val="24"/>
          <w:szCs w:val="24"/>
          <w:highlight w:val="none"/>
        </w:rPr>
      </w:pPr>
    </w:p>
    <w:p w14:paraId="13DDBB0B">
      <w:pPr>
        <w:spacing w:line="360" w:lineRule="auto"/>
        <w:ind w:firstLine="482"/>
        <w:rPr>
          <w:rFonts w:hint="eastAsia" w:ascii="宋体" w:hAnsi="宋体" w:cs="宋体"/>
          <w:b/>
          <w:bCs/>
          <w:color w:val="auto"/>
          <w:sz w:val="24"/>
          <w:szCs w:val="24"/>
          <w:highlight w:val="none"/>
        </w:rPr>
      </w:pPr>
    </w:p>
    <w:p w14:paraId="2B1B9A86">
      <w:p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文件1：企业法人营业执照副本或其他有效登记证书（扫描件）。</w:t>
      </w:r>
    </w:p>
    <w:p w14:paraId="4F54BC83">
      <w:p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文件</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法定代表人授权委托书（法定代表人签署投标文件且亲自参与的必须提供《法定代表人亲自投标声明》）【授权委托人必须提供本单位近3个月中任意1个月份&lt;可不含投标当月&gt;）为其缴纳社保的证明扫描件】。</w:t>
      </w:r>
    </w:p>
    <w:p w14:paraId="4569F868">
      <w:p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文件</w:t>
      </w: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rPr>
        <w:t>：提供格式条款《关于资格的声明函》。</w:t>
      </w:r>
    </w:p>
    <w:p w14:paraId="2F5A849C">
      <w:p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文件</w:t>
      </w:r>
      <w:r>
        <w:rPr>
          <w:rFonts w:hint="eastAsia" w:ascii="宋体" w:hAnsi="宋体" w:cs="宋体"/>
          <w:b/>
          <w:bCs/>
          <w:color w:val="auto"/>
          <w:sz w:val="24"/>
          <w:szCs w:val="24"/>
          <w:highlight w:val="none"/>
          <w:lang w:val="en-US" w:eastAsia="zh-CN"/>
        </w:rPr>
        <w:t>4</w:t>
      </w:r>
      <w:r>
        <w:rPr>
          <w:rFonts w:hint="eastAsia" w:ascii="宋体" w:hAnsi="宋体" w:cs="宋体"/>
          <w:b/>
          <w:bCs/>
          <w:color w:val="auto"/>
          <w:sz w:val="24"/>
          <w:szCs w:val="24"/>
          <w:highlight w:val="none"/>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4A2A0D63">
      <w:pPr>
        <w:pStyle w:val="190"/>
        <w:keepLines/>
        <w:spacing w:line="400" w:lineRule="exact"/>
        <w:rPr>
          <w:rFonts w:hint="eastAsia" w:ascii="黑体" w:hAnsi="Arial" w:eastAsia="黑体"/>
          <w:b w:val="0"/>
          <w:color w:val="auto"/>
          <w:sz w:val="28"/>
          <w:szCs w:val="28"/>
          <w:highlight w:val="none"/>
        </w:rPr>
      </w:pPr>
    </w:p>
    <w:p w14:paraId="36782A8F">
      <w:pPr>
        <w:rPr>
          <w:rFonts w:hint="eastAsia" w:ascii="黑体" w:hAnsi="Arial" w:eastAsia="黑体"/>
          <w:b/>
          <w:color w:val="auto"/>
          <w:sz w:val="28"/>
          <w:szCs w:val="28"/>
          <w:highlight w:val="none"/>
        </w:rPr>
      </w:pPr>
    </w:p>
    <w:p w14:paraId="6BF9C0DF">
      <w:pPr>
        <w:rPr>
          <w:rFonts w:hint="eastAsia" w:ascii="黑体" w:hAnsi="Arial" w:eastAsia="黑体"/>
          <w:b/>
          <w:color w:val="auto"/>
          <w:sz w:val="28"/>
          <w:szCs w:val="28"/>
          <w:highlight w:val="none"/>
        </w:rPr>
      </w:pPr>
    </w:p>
    <w:p w14:paraId="23763767">
      <w:pPr>
        <w:rPr>
          <w:rFonts w:hint="eastAsia" w:ascii="黑体" w:hAnsi="Arial" w:eastAsia="黑体"/>
          <w:b/>
          <w:color w:val="auto"/>
          <w:sz w:val="28"/>
          <w:szCs w:val="28"/>
          <w:highlight w:val="none"/>
        </w:rPr>
      </w:pPr>
    </w:p>
    <w:p w14:paraId="566C3FAC">
      <w:pPr>
        <w:rPr>
          <w:rFonts w:hint="eastAsia" w:ascii="黑体" w:hAnsi="Arial" w:eastAsia="黑体"/>
          <w:b/>
          <w:color w:val="auto"/>
          <w:sz w:val="28"/>
          <w:szCs w:val="28"/>
          <w:highlight w:val="none"/>
        </w:rPr>
      </w:pPr>
    </w:p>
    <w:p w14:paraId="47EE9CD5">
      <w:pPr>
        <w:rPr>
          <w:rFonts w:hint="eastAsia" w:ascii="黑体" w:hAnsi="Arial" w:eastAsia="黑体"/>
          <w:b/>
          <w:color w:val="auto"/>
          <w:sz w:val="28"/>
          <w:szCs w:val="28"/>
          <w:highlight w:val="none"/>
        </w:rPr>
      </w:pPr>
    </w:p>
    <w:p w14:paraId="43B7791F">
      <w:pPr>
        <w:rPr>
          <w:rFonts w:hint="eastAsia" w:ascii="黑体" w:hAnsi="Arial" w:eastAsia="黑体"/>
          <w:b/>
          <w:color w:val="auto"/>
          <w:sz w:val="28"/>
          <w:szCs w:val="28"/>
          <w:highlight w:val="none"/>
        </w:rPr>
      </w:pPr>
    </w:p>
    <w:p w14:paraId="6CC63B9C">
      <w:pPr>
        <w:rPr>
          <w:rFonts w:hint="eastAsia" w:ascii="黑体" w:hAnsi="Arial" w:eastAsia="黑体"/>
          <w:b/>
          <w:color w:val="auto"/>
          <w:sz w:val="28"/>
          <w:szCs w:val="28"/>
          <w:highlight w:val="none"/>
        </w:rPr>
      </w:pPr>
    </w:p>
    <w:p w14:paraId="265A33ED">
      <w:pPr>
        <w:rPr>
          <w:rFonts w:hint="eastAsia" w:ascii="黑体" w:hAnsi="Arial" w:eastAsia="黑体"/>
          <w:b/>
          <w:color w:val="auto"/>
          <w:sz w:val="28"/>
          <w:szCs w:val="28"/>
          <w:highlight w:val="none"/>
        </w:rPr>
      </w:pPr>
    </w:p>
    <w:p w14:paraId="388799A4">
      <w:pPr>
        <w:rPr>
          <w:rFonts w:hint="eastAsia" w:ascii="黑体" w:hAnsi="Arial" w:eastAsia="黑体"/>
          <w:b/>
          <w:color w:val="auto"/>
          <w:sz w:val="28"/>
          <w:szCs w:val="28"/>
          <w:highlight w:val="none"/>
        </w:rPr>
      </w:pPr>
    </w:p>
    <w:p w14:paraId="64146B6D">
      <w:pPr>
        <w:rPr>
          <w:rFonts w:hint="eastAsia" w:ascii="黑体" w:hAnsi="Arial" w:eastAsia="黑体"/>
          <w:b/>
          <w:color w:val="auto"/>
          <w:sz w:val="28"/>
          <w:szCs w:val="28"/>
          <w:highlight w:val="none"/>
        </w:rPr>
      </w:pPr>
    </w:p>
    <w:bookmarkEnd w:id="23"/>
    <w:bookmarkEnd w:id="24"/>
    <w:bookmarkEnd w:id="25"/>
    <w:bookmarkEnd w:id="26"/>
    <w:bookmarkEnd w:id="27"/>
    <w:bookmarkEnd w:id="28"/>
    <w:bookmarkEnd w:id="29"/>
    <w:p w14:paraId="1493672F">
      <w:pPr>
        <w:spacing w:line="400" w:lineRule="exact"/>
        <w:outlineLvl w:val="1"/>
        <w:rPr>
          <w:rFonts w:ascii="黑体" w:hAnsi="黑体" w:eastAsia="黑体" w:cs="宋体"/>
          <w:b/>
          <w:color w:val="auto"/>
          <w:sz w:val="24"/>
          <w:highlight w:val="none"/>
        </w:rPr>
      </w:pPr>
      <w:r>
        <w:rPr>
          <w:rFonts w:hint="eastAsia" w:ascii="黑体" w:hAnsi="黑体" w:eastAsia="黑体" w:cs="宋体"/>
          <w:b/>
          <w:color w:val="auto"/>
          <w:sz w:val="24"/>
          <w:highlight w:val="none"/>
        </w:rPr>
        <w:br w:type="page" w:clear="all"/>
      </w:r>
      <w:r>
        <w:rPr>
          <w:rFonts w:hint="eastAsia" w:ascii="黑体" w:hAnsi="黑体" w:eastAsia="黑体" w:cs="宋体"/>
          <w:b/>
          <w:color w:val="auto"/>
          <w:sz w:val="24"/>
          <w:highlight w:val="none"/>
        </w:rPr>
        <w:t xml:space="preserve">部分格式                  </w:t>
      </w:r>
    </w:p>
    <w:p w14:paraId="60AF4822">
      <w:pPr>
        <w:pStyle w:val="190"/>
        <w:spacing w:line="400" w:lineRule="exact"/>
        <w:ind w:firstLine="1446"/>
        <w:rPr>
          <w:rFonts w:ascii="黑体"/>
          <w:b w:val="0"/>
          <w:color w:val="auto"/>
          <w:sz w:val="28"/>
          <w:szCs w:val="28"/>
          <w:highlight w:val="none"/>
        </w:rPr>
      </w:pPr>
      <w:r>
        <w:rPr>
          <w:rFonts w:hint="eastAsia" w:ascii="仿宋_GB2312" w:eastAsia="仿宋_GB2312"/>
          <w:color w:val="auto"/>
          <w:sz w:val="24"/>
          <w:highlight w:val="none"/>
        </w:rPr>
        <w:t>（若法定代表人亲自参加投标的，请提供《法定代表人亲自投标声明》）</w:t>
      </w:r>
    </w:p>
    <w:p w14:paraId="3CB1ED94">
      <w:pPr>
        <w:spacing w:line="400" w:lineRule="exact"/>
        <w:jc w:val="center"/>
        <w:outlineLvl w:val="1"/>
        <w:rPr>
          <w:rFonts w:hint="eastAsia" w:ascii="黑体" w:hAnsi="Times New Roman" w:eastAsia="黑体" w:cs="Times New Roman"/>
          <w:bCs/>
          <w:color w:val="auto"/>
          <w:sz w:val="28"/>
          <w:szCs w:val="28"/>
          <w:highlight w:val="none"/>
        </w:rPr>
      </w:pPr>
      <w:bookmarkStart w:id="30" w:name="OLE_LINK14"/>
      <w:r>
        <w:rPr>
          <w:rFonts w:hint="eastAsia" w:ascii="黑体" w:hAnsi="Times New Roman" w:eastAsia="黑体" w:cs="Times New Roman"/>
          <w:bCs/>
          <w:color w:val="auto"/>
          <w:sz w:val="28"/>
          <w:szCs w:val="28"/>
          <w:highlight w:val="none"/>
        </w:rPr>
        <w:t>（一）</w:t>
      </w:r>
      <w:bookmarkEnd w:id="30"/>
      <w:r>
        <w:rPr>
          <w:rFonts w:hint="eastAsia" w:ascii="黑体" w:hAnsi="Times New Roman" w:eastAsia="黑体" w:cs="Times New Roman"/>
          <w:bCs/>
          <w:color w:val="auto"/>
          <w:sz w:val="28"/>
          <w:szCs w:val="28"/>
          <w:highlight w:val="none"/>
        </w:rPr>
        <w:t>法定代表人授权委托书</w:t>
      </w:r>
    </w:p>
    <w:p w14:paraId="3FFF720F">
      <w:pPr>
        <w:spacing w:line="400" w:lineRule="exact"/>
        <w:rPr>
          <w:rFonts w:ascii="宋体" w:hAnsi="宋体" w:cs="宋体"/>
          <w:bCs/>
          <w:color w:val="auto"/>
          <w:sz w:val="24"/>
          <w:highlight w:val="none"/>
        </w:rPr>
      </w:pPr>
    </w:p>
    <w:p w14:paraId="12D7DFBA">
      <w:pPr>
        <w:spacing w:line="400" w:lineRule="exact"/>
        <w:rPr>
          <w:rFonts w:ascii="宋体" w:hAnsi="宋体"/>
          <w:b/>
          <w:bCs/>
          <w:color w:val="auto"/>
          <w:sz w:val="24"/>
          <w:highlight w:val="none"/>
        </w:rPr>
      </w:pPr>
      <w:r>
        <w:rPr>
          <w:rFonts w:hint="eastAsia" w:ascii="宋体" w:hAnsi="宋体" w:cs="宋体"/>
          <w:b/>
          <w:bCs/>
          <w:color w:val="auto"/>
          <w:sz w:val="24"/>
          <w:szCs w:val="24"/>
          <w:highlight w:val="none"/>
          <w:lang w:eastAsia="zh-CN"/>
        </w:rPr>
        <w:t>江阴临港化工园区管理办公室</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eastAsia="zh-CN"/>
        </w:rPr>
        <w:t>正军项目管理集团有限公司</w:t>
      </w:r>
      <w:r>
        <w:rPr>
          <w:rFonts w:hint="eastAsia" w:ascii="宋体" w:hAnsi="宋体"/>
          <w:b/>
          <w:bCs/>
          <w:color w:val="auto"/>
          <w:sz w:val="24"/>
          <w:highlight w:val="none"/>
        </w:rPr>
        <w:t>：</w:t>
      </w:r>
    </w:p>
    <w:p w14:paraId="0EC03496">
      <w:pPr>
        <w:spacing w:line="400" w:lineRule="exact"/>
        <w:ind w:firstLine="480"/>
        <w:rPr>
          <w:rFonts w:ascii="宋体" w:hAnsi="宋体" w:cs="宋体"/>
          <w:bCs/>
          <w:color w:val="auto"/>
          <w:sz w:val="24"/>
          <w:highlight w:val="none"/>
          <w:u w:val="single"/>
        </w:rPr>
      </w:pPr>
      <w:r>
        <w:rPr>
          <w:rFonts w:hint="eastAsia" w:ascii="宋体" w:hAnsi="宋体" w:cs="宋体"/>
          <w:bCs/>
          <w:color w:val="auto"/>
          <w:sz w:val="24"/>
          <w:highlight w:val="none"/>
          <w:u w:val="single"/>
        </w:rPr>
        <w:t>　　　　　　　　　　　　　　　　　　　　　　　</w:t>
      </w:r>
      <w:r>
        <w:rPr>
          <w:rFonts w:hint="eastAsia" w:ascii="宋体" w:hAnsi="宋体" w:cs="宋体"/>
          <w:bCs/>
          <w:color w:val="auto"/>
          <w:sz w:val="24"/>
          <w:highlight w:val="none"/>
        </w:rPr>
        <w:t>系中华人民共和国合法企业。法定地址：</w:t>
      </w:r>
      <w:r>
        <w:rPr>
          <w:rFonts w:hint="eastAsia" w:ascii="宋体" w:hAnsi="宋体" w:cs="宋体"/>
          <w:bCs/>
          <w:color w:val="auto"/>
          <w:sz w:val="24"/>
          <w:highlight w:val="none"/>
          <w:u w:val="single"/>
        </w:rPr>
        <w:t>　　　　　　　　　　　　　　　　　　　　　　　　　　　　　　　　　</w:t>
      </w:r>
    </w:p>
    <w:p w14:paraId="2533DE46">
      <w:pPr>
        <w:spacing w:line="400" w:lineRule="exact"/>
        <w:ind w:firstLine="480"/>
        <w:rPr>
          <w:rFonts w:ascii="宋体" w:hAnsi="宋体" w:cs="宋体"/>
          <w:bCs/>
          <w:color w:val="auto"/>
          <w:sz w:val="24"/>
          <w:highlight w:val="none"/>
        </w:rPr>
      </w:pPr>
      <w:r>
        <w:rPr>
          <w:rFonts w:hint="eastAsia" w:ascii="宋体" w:hAnsi="宋体" w:cs="宋体"/>
          <w:bCs/>
          <w:color w:val="auto"/>
          <w:sz w:val="24"/>
          <w:highlight w:val="none"/>
        </w:rPr>
        <w:t>特授权</w:t>
      </w:r>
      <w:r>
        <w:rPr>
          <w:rFonts w:hint="eastAsia" w:ascii="宋体" w:hAnsi="宋体" w:cs="宋体"/>
          <w:bCs/>
          <w:color w:val="auto"/>
          <w:sz w:val="24"/>
          <w:highlight w:val="none"/>
          <w:u w:val="single"/>
        </w:rPr>
        <w:t>　　　　</w:t>
      </w:r>
      <w:r>
        <w:rPr>
          <w:rFonts w:hint="eastAsia" w:ascii="宋体" w:hAnsi="宋体" w:cs="宋体"/>
          <w:bCs/>
          <w:color w:val="auto"/>
          <w:sz w:val="24"/>
          <w:highlight w:val="none"/>
        </w:rPr>
        <w:t>代表我公司（单位）全权办理针对上述项目的投标、参与评审、签约等具体工作，并签署全部有关的文件、协议及合同。</w:t>
      </w:r>
    </w:p>
    <w:p w14:paraId="091DA18B">
      <w:pPr>
        <w:spacing w:line="400" w:lineRule="exact"/>
        <w:ind w:firstLine="480"/>
        <w:rPr>
          <w:rFonts w:ascii="宋体" w:hAnsi="宋体" w:cs="宋体"/>
          <w:bCs/>
          <w:color w:val="auto"/>
          <w:sz w:val="24"/>
          <w:highlight w:val="none"/>
        </w:rPr>
      </w:pPr>
      <w:r>
        <w:rPr>
          <w:rFonts w:hint="eastAsia" w:ascii="宋体" w:hAnsi="宋体" w:cs="宋体"/>
          <w:bCs/>
          <w:color w:val="auto"/>
          <w:sz w:val="24"/>
          <w:highlight w:val="none"/>
        </w:rPr>
        <w:t>我公司（单位）对授权委托人的签名负全部责任。</w:t>
      </w:r>
    </w:p>
    <w:p w14:paraId="08B6C764">
      <w:pPr>
        <w:spacing w:line="400" w:lineRule="exact"/>
        <w:ind w:firstLine="480"/>
        <w:rPr>
          <w:rFonts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在撤销授权的书面通知送达你处以前，本授权书一直有效，授权委托人签署的所有文件（在授权书有效期内签署的）不因授权的撤销而失效。授权委托人无转委托权。</w:t>
      </w:r>
    </w:p>
    <w:p w14:paraId="529AFCA8">
      <w:pPr>
        <w:spacing w:line="400" w:lineRule="exact"/>
        <w:ind w:firstLine="480"/>
        <w:rPr>
          <w:rFonts w:ascii="宋体" w:hAnsi="宋体" w:cs="宋体"/>
          <w:bCs/>
          <w:color w:val="auto"/>
          <w:sz w:val="24"/>
          <w:highlight w:val="none"/>
        </w:rPr>
      </w:pPr>
      <w:r>
        <w:rPr>
          <w:rFonts w:hint="eastAsia" w:ascii="宋体" w:hAnsi="宋体" w:cs="宋体"/>
          <w:bCs/>
          <w:color w:val="auto"/>
          <w:sz w:val="24"/>
          <w:highlight w:val="none"/>
        </w:rPr>
        <w:t>授权委托人情况：</w:t>
      </w:r>
    </w:p>
    <w:p w14:paraId="6314F028">
      <w:pPr>
        <w:spacing w:line="400" w:lineRule="exact"/>
        <w:ind w:firstLine="480"/>
        <w:rPr>
          <w:rFonts w:ascii="宋体" w:hAnsi="宋体" w:cs="宋体"/>
          <w:bCs/>
          <w:color w:val="auto"/>
          <w:sz w:val="24"/>
          <w:highlight w:val="none"/>
        </w:rPr>
      </w:pPr>
      <w:r>
        <w:rPr>
          <w:rFonts w:hint="eastAsia" w:ascii="宋体" w:hAnsi="宋体" w:cs="宋体"/>
          <w:bCs/>
          <w:color w:val="auto"/>
          <w:sz w:val="24"/>
          <w:highlight w:val="none"/>
        </w:rPr>
        <w:t>姓名：</w:t>
      </w:r>
      <w:r>
        <w:rPr>
          <w:rFonts w:hint="eastAsia" w:ascii="宋体" w:hAnsi="宋体" w:cs="宋体"/>
          <w:bCs/>
          <w:color w:val="auto"/>
          <w:sz w:val="24"/>
          <w:highlight w:val="none"/>
          <w:u w:val="single"/>
        </w:rPr>
        <w:t>　　　　　　　</w:t>
      </w:r>
      <w:r>
        <w:rPr>
          <w:rFonts w:hint="eastAsia" w:ascii="宋体" w:hAnsi="宋体" w:cs="宋体"/>
          <w:bCs/>
          <w:color w:val="auto"/>
          <w:sz w:val="24"/>
          <w:highlight w:val="none"/>
        </w:rPr>
        <w:t>性别：</w:t>
      </w:r>
      <w:r>
        <w:rPr>
          <w:rFonts w:hint="eastAsia" w:ascii="宋体" w:hAnsi="宋体" w:cs="宋体"/>
          <w:bCs/>
          <w:color w:val="auto"/>
          <w:sz w:val="24"/>
          <w:highlight w:val="none"/>
          <w:u w:val="single"/>
        </w:rPr>
        <w:t>　　　　</w:t>
      </w:r>
      <w:r>
        <w:rPr>
          <w:rFonts w:hint="eastAsia" w:ascii="宋体" w:hAnsi="宋体" w:cs="宋体"/>
          <w:bCs/>
          <w:color w:val="auto"/>
          <w:sz w:val="24"/>
          <w:highlight w:val="none"/>
        </w:rPr>
        <w:t>年龄：</w:t>
      </w:r>
      <w:r>
        <w:rPr>
          <w:rFonts w:hint="eastAsia" w:ascii="宋体" w:hAnsi="宋体" w:cs="宋体"/>
          <w:bCs/>
          <w:color w:val="auto"/>
          <w:sz w:val="24"/>
          <w:highlight w:val="none"/>
          <w:u w:val="single"/>
        </w:rPr>
        <w:t>　　　　</w:t>
      </w:r>
      <w:r>
        <w:rPr>
          <w:rFonts w:hint="eastAsia" w:ascii="宋体" w:hAnsi="宋体" w:cs="宋体"/>
          <w:bCs/>
          <w:color w:val="auto"/>
          <w:sz w:val="24"/>
          <w:highlight w:val="none"/>
        </w:rPr>
        <w:t>职务：</w:t>
      </w:r>
      <w:r>
        <w:rPr>
          <w:rFonts w:hint="eastAsia" w:ascii="宋体" w:hAnsi="宋体" w:cs="宋体"/>
          <w:bCs/>
          <w:color w:val="auto"/>
          <w:sz w:val="24"/>
          <w:highlight w:val="none"/>
          <w:u w:val="single"/>
        </w:rPr>
        <w:t>　　　　　　</w:t>
      </w:r>
    </w:p>
    <w:p w14:paraId="408451B0">
      <w:pPr>
        <w:spacing w:line="400" w:lineRule="exact"/>
        <w:ind w:firstLine="480"/>
        <w:rPr>
          <w:rFonts w:ascii="宋体" w:hAnsi="宋体" w:cs="宋体"/>
          <w:bCs/>
          <w:color w:val="auto"/>
          <w:sz w:val="24"/>
          <w:highlight w:val="none"/>
          <w:u w:val="single"/>
        </w:rPr>
      </w:pPr>
      <w:r>
        <w:rPr>
          <w:rFonts w:hint="eastAsia" w:ascii="宋体" w:hAnsi="宋体" w:cs="宋体"/>
          <w:bCs/>
          <w:color w:val="auto"/>
          <w:sz w:val="24"/>
          <w:highlight w:val="none"/>
        </w:rPr>
        <w:t>身份证号码：</w:t>
      </w:r>
      <w:r>
        <w:rPr>
          <w:rFonts w:hint="eastAsia" w:ascii="宋体" w:hAnsi="宋体" w:cs="宋体"/>
          <w:bCs/>
          <w:color w:val="auto"/>
          <w:sz w:val="24"/>
          <w:highlight w:val="none"/>
          <w:u w:val="single"/>
        </w:rPr>
        <w:t>　　　　　　　　　　　　　　</w:t>
      </w:r>
      <w:r>
        <w:rPr>
          <w:rFonts w:hint="eastAsia" w:ascii="宋体" w:hAnsi="宋体" w:cs="宋体"/>
          <w:bCs/>
          <w:color w:val="auto"/>
          <w:sz w:val="24"/>
          <w:highlight w:val="none"/>
        </w:rPr>
        <w:t>电话：</w:t>
      </w:r>
      <w:r>
        <w:rPr>
          <w:rFonts w:hint="eastAsia" w:ascii="宋体" w:hAnsi="宋体" w:cs="宋体"/>
          <w:bCs/>
          <w:color w:val="auto"/>
          <w:sz w:val="24"/>
          <w:highlight w:val="none"/>
          <w:u w:val="single"/>
        </w:rPr>
        <w:t>　　　　　　　　　　</w:t>
      </w:r>
    </w:p>
    <w:p w14:paraId="1469C7D3">
      <w:pPr>
        <w:spacing w:line="400" w:lineRule="exact"/>
        <w:ind w:firstLine="480"/>
        <w:rPr>
          <w:rFonts w:ascii="宋体" w:hAnsi="宋体" w:cs="宋体"/>
          <w:bCs/>
          <w:color w:val="auto"/>
          <w:sz w:val="24"/>
          <w:highlight w:val="none"/>
          <w:u w:val="single"/>
        </w:rPr>
      </w:pPr>
      <w:r>
        <w:rPr>
          <w:rFonts w:hint="eastAsia" w:ascii="宋体" w:hAnsi="宋体" w:cs="宋体"/>
          <w:bCs/>
          <w:color w:val="auto"/>
          <w:sz w:val="24"/>
          <w:highlight w:val="none"/>
        </w:rPr>
        <w:t>通讯地址：</w:t>
      </w:r>
      <w:r>
        <w:rPr>
          <w:rFonts w:hint="eastAsia" w:ascii="宋体" w:hAnsi="宋体" w:cs="宋体"/>
          <w:bCs/>
          <w:color w:val="auto"/>
          <w:sz w:val="24"/>
          <w:highlight w:val="none"/>
          <w:u w:val="single"/>
        </w:rPr>
        <w:t>　　　　　　　　　　　　　　　　　　　　　　　　　　　　</w:t>
      </w:r>
    </w:p>
    <w:p w14:paraId="405360F3">
      <w:pPr>
        <w:spacing w:line="400" w:lineRule="exact"/>
        <w:ind w:firstLine="480"/>
        <w:rPr>
          <w:rFonts w:ascii="宋体" w:hAnsi="宋体" w:cs="宋体"/>
          <w:bCs/>
          <w:color w:val="auto"/>
          <w:sz w:val="24"/>
          <w:highlight w:val="none"/>
          <w:u w:val="single"/>
        </w:rPr>
      </w:pPr>
      <w:r>
        <w:rPr>
          <w:rFonts w:hint="eastAsia" w:ascii="宋体" w:hAnsi="宋体" w:cs="宋体"/>
          <w:bCs/>
          <w:color w:val="auto"/>
          <w:sz w:val="24"/>
          <w:highlight w:val="none"/>
        </w:rPr>
        <w:t>授权委托人签名：</w:t>
      </w:r>
      <w:r>
        <w:rPr>
          <w:rFonts w:hint="eastAsia" w:ascii="宋体" w:hAnsi="宋体" w:cs="宋体"/>
          <w:bCs/>
          <w:color w:val="auto"/>
          <w:sz w:val="24"/>
          <w:highlight w:val="none"/>
          <w:u w:val="single"/>
        </w:rPr>
        <w:t>　　　　　　　　　</w:t>
      </w:r>
      <w:r>
        <w:rPr>
          <w:rFonts w:hint="eastAsia" w:ascii="宋体" w:hAnsi="宋体" w:cs="宋体"/>
          <w:bCs/>
          <w:color w:val="auto"/>
          <w:sz w:val="24"/>
          <w:highlight w:val="none"/>
        </w:rPr>
        <w:t>单位名称（公章）：</w:t>
      </w:r>
      <w:r>
        <w:rPr>
          <w:rFonts w:hint="eastAsia" w:ascii="宋体" w:hAnsi="宋体" w:cs="宋体"/>
          <w:bCs/>
          <w:color w:val="auto"/>
          <w:sz w:val="24"/>
          <w:highlight w:val="none"/>
          <w:u w:val="single"/>
        </w:rPr>
        <w:t>　　　　　　　</w:t>
      </w:r>
    </w:p>
    <w:p w14:paraId="3522827B">
      <w:pPr>
        <w:spacing w:line="400" w:lineRule="exact"/>
        <w:ind w:firstLine="480"/>
        <w:rPr>
          <w:rFonts w:ascii="宋体" w:hAnsi="宋体" w:cs="宋体"/>
          <w:bCs/>
          <w:color w:val="auto"/>
          <w:sz w:val="24"/>
          <w:highlight w:val="none"/>
        </w:rPr>
      </w:pPr>
      <w:r>
        <w:rPr>
          <w:rFonts w:hint="eastAsia" w:ascii="宋体" w:hAnsi="宋体" w:cs="宋体"/>
          <w:bCs/>
          <w:color w:val="auto"/>
          <w:sz w:val="24"/>
          <w:highlight w:val="none"/>
        </w:rPr>
        <w:t xml:space="preserve">                     　　 法定代表人（签名或盖章）：</w:t>
      </w:r>
      <w:r>
        <w:rPr>
          <w:rFonts w:hint="eastAsia" w:ascii="宋体" w:hAnsi="宋体" w:cs="宋体"/>
          <w:bCs/>
          <w:color w:val="auto"/>
          <w:sz w:val="24"/>
          <w:highlight w:val="none"/>
          <w:u w:val="single"/>
        </w:rPr>
        <w:t>　　　　　　　</w:t>
      </w:r>
    </w:p>
    <w:p w14:paraId="3B98E34B">
      <w:pPr>
        <w:spacing w:line="400" w:lineRule="exact"/>
        <w:rPr>
          <w:rFonts w:ascii="宋体" w:hAnsi="宋体" w:cs="宋体"/>
          <w:b/>
          <w:bCs/>
          <w:color w:val="auto"/>
          <w:sz w:val="24"/>
          <w:highlight w:val="none"/>
        </w:rPr>
      </w:pPr>
    </w:p>
    <w:p w14:paraId="5AD89C15">
      <w:pPr>
        <w:spacing w:line="400" w:lineRule="exact"/>
        <w:jc w:val="center"/>
        <w:rPr>
          <w:rFonts w:ascii="宋体" w:hAnsi="宋体"/>
          <w:b/>
          <w:bCs/>
          <w:color w:val="auto"/>
          <w:sz w:val="24"/>
          <w:highlight w:val="none"/>
        </w:rPr>
      </w:pPr>
      <w:r>
        <w:rPr>
          <w:rFonts w:hint="eastAsia" w:ascii="宋体" w:hAnsi="宋体"/>
          <w:b/>
          <w:bCs/>
          <w:color w:val="auto"/>
          <w:sz w:val="24"/>
          <w:highlight w:val="none"/>
        </w:rPr>
        <w:t>【授权委托人必须提供本单位近3个月中任意1个月份&lt;可不含投标当月&gt;）为其缴纳社保的证明扫描件】</w:t>
      </w:r>
    </w:p>
    <w:p w14:paraId="721EC5F8">
      <w:pPr>
        <w:pStyle w:val="204"/>
        <w:rPr>
          <w:rFonts w:ascii="宋体" w:hAnsi="宋体" w:cs="宋体"/>
          <w:b/>
          <w:bCs w:val="0"/>
          <w:color w:val="auto"/>
          <w:sz w:val="24"/>
          <w:highlight w:val="none"/>
        </w:rPr>
      </w:pPr>
    </w:p>
    <w:p w14:paraId="115A3204">
      <w:pPr>
        <w:rPr>
          <w:color w:val="auto"/>
          <w:highlight w:val="none"/>
        </w:rPr>
      </w:pPr>
    </w:p>
    <w:tbl>
      <w:tblPr>
        <w:tblStyle w:val="34"/>
        <w:tblpPr w:leftFromText="180" w:rightFromText="180" w:vertAnchor="text" w:horzAnchor="page" w:tblpX="1972" w:tblpY="1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42"/>
        <w:gridCol w:w="2843"/>
        <w:gridCol w:w="2843"/>
      </w:tblGrid>
      <w:tr w14:paraId="501B2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9" w:hRule="atLeast"/>
        </w:trPr>
        <w:tc>
          <w:tcPr>
            <w:tcW w:w="2842" w:type="dxa"/>
            <w:noWrap w:val="0"/>
            <w:vAlign w:val="center"/>
          </w:tcPr>
          <w:p w14:paraId="4928BD00">
            <w:pPr>
              <w:spacing w:line="400" w:lineRule="exact"/>
              <w:jc w:val="center"/>
              <w:rPr>
                <w:rFonts w:ascii="宋体" w:hAnsi="宋体" w:cs="宋体"/>
                <w:bCs/>
                <w:color w:val="auto"/>
                <w:sz w:val="24"/>
                <w:highlight w:val="none"/>
              </w:rPr>
            </w:pPr>
            <w:r>
              <w:rPr>
                <w:rFonts w:hint="eastAsia" w:ascii="宋体" w:hAnsi="宋体" w:cs="宋体"/>
                <w:bCs/>
                <w:color w:val="auto"/>
                <w:sz w:val="24"/>
                <w:highlight w:val="none"/>
              </w:rPr>
              <w:t>法定代表人身份证</w:t>
            </w:r>
          </w:p>
          <w:p w14:paraId="6F471A95">
            <w:pPr>
              <w:spacing w:line="400" w:lineRule="exact"/>
              <w:jc w:val="center"/>
              <w:rPr>
                <w:rFonts w:ascii="宋体" w:hAnsi="宋体" w:cs="宋体"/>
                <w:bCs/>
                <w:color w:val="auto"/>
                <w:sz w:val="24"/>
                <w:highlight w:val="none"/>
              </w:rPr>
            </w:pPr>
            <w:r>
              <w:rPr>
                <w:rFonts w:hint="eastAsia" w:ascii="宋体" w:hAnsi="宋体" w:cs="宋体"/>
                <w:bCs/>
                <w:color w:val="auto"/>
                <w:sz w:val="24"/>
                <w:highlight w:val="none"/>
              </w:rPr>
              <w:t>复印件</w:t>
            </w:r>
          </w:p>
        </w:tc>
        <w:tc>
          <w:tcPr>
            <w:tcW w:w="2843" w:type="dxa"/>
            <w:noWrap w:val="0"/>
            <w:vAlign w:val="top"/>
          </w:tcPr>
          <w:p w14:paraId="18C8207C">
            <w:pPr>
              <w:spacing w:line="400" w:lineRule="exact"/>
              <w:rPr>
                <w:rFonts w:ascii="宋体" w:hAnsi="宋体" w:cs="宋体"/>
                <w:bCs/>
                <w:color w:val="auto"/>
                <w:sz w:val="24"/>
                <w:highlight w:val="none"/>
              </w:rPr>
            </w:pPr>
          </w:p>
        </w:tc>
        <w:tc>
          <w:tcPr>
            <w:tcW w:w="2843" w:type="dxa"/>
            <w:noWrap w:val="0"/>
            <w:vAlign w:val="center"/>
          </w:tcPr>
          <w:p w14:paraId="0D77AF15">
            <w:pPr>
              <w:spacing w:line="400" w:lineRule="exact"/>
              <w:jc w:val="center"/>
              <w:rPr>
                <w:rFonts w:ascii="宋体" w:hAnsi="宋体" w:cs="宋体"/>
                <w:bCs/>
                <w:color w:val="auto"/>
                <w:sz w:val="24"/>
                <w:highlight w:val="none"/>
              </w:rPr>
            </w:pPr>
            <w:r>
              <w:rPr>
                <w:rFonts w:hint="eastAsia" w:ascii="宋体" w:hAnsi="宋体" w:cs="宋体"/>
                <w:bCs/>
                <w:color w:val="auto"/>
                <w:sz w:val="24"/>
                <w:highlight w:val="none"/>
              </w:rPr>
              <w:t>授权委托人身份证</w:t>
            </w:r>
          </w:p>
          <w:p w14:paraId="41BF11CA">
            <w:pPr>
              <w:spacing w:line="400" w:lineRule="exact"/>
              <w:jc w:val="center"/>
              <w:rPr>
                <w:rFonts w:ascii="宋体" w:hAnsi="宋体" w:cs="宋体"/>
                <w:bCs/>
                <w:color w:val="auto"/>
                <w:sz w:val="24"/>
                <w:highlight w:val="none"/>
              </w:rPr>
            </w:pPr>
            <w:r>
              <w:rPr>
                <w:rFonts w:hint="eastAsia" w:ascii="宋体" w:hAnsi="宋体" w:cs="宋体"/>
                <w:bCs/>
                <w:color w:val="auto"/>
                <w:sz w:val="24"/>
                <w:highlight w:val="none"/>
              </w:rPr>
              <w:t>复印件</w:t>
            </w:r>
          </w:p>
        </w:tc>
      </w:tr>
    </w:tbl>
    <w:p w14:paraId="397DF4CE">
      <w:pPr>
        <w:spacing w:line="400" w:lineRule="exact"/>
        <w:jc w:val="center"/>
        <w:outlineLvl w:val="1"/>
        <w:rPr>
          <w:rFonts w:hint="eastAsia" w:ascii="黑体" w:eastAsia="黑体"/>
          <w:bCs/>
          <w:color w:val="auto"/>
          <w:sz w:val="28"/>
          <w:szCs w:val="28"/>
          <w:highlight w:val="none"/>
        </w:rPr>
      </w:pPr>
    </w:p>
    <w:p w14:paraId="43D81737">
      <w:pPr>
        <w:spacing w:line="400" w:lineRule="exact"/>
        <w:jc w:val="center"/>
        <w:outlineLvl w:val="1"/>
        <w:rPr>
          <w:rFonts w:hint="eastAsia" w:ascii="黑体" w:eastAsia="黑体"/>
          <w:bCs/>
          <w:color w:val="auto"/>
          <w:sz w:val="28"/>
          <w:szCs w:val="28"/>
          <w:highlight w:val="none"/>
        </w:rPr>
      </w:pPr>
    </w:p>
    <w:p w14:paraId="09074F89">
      <w:pPr>
        <w:spacing w:line="400" w:lineRule="exact"/>
        <w:jc w:val="center"/>
        <w:outlineLvl w:val="1"/>
        <w:rPr>
          <w:rFonts w:hint="eastAsia" w:ascii="黑体" w:eastAsia="黑体"/>
          <w:bCs/>
          <w:color w:val="auto"/>
          <w:sz w:val="28"/>
          <w:szCs w:val="28"/>
          <w:highlight w:val="none"/>
        </w:rPr>
      </w:pPr>
    </w:p>
    <w:p w14:paraId="67AB9752">
      <w:pPr>
        <w:spacing w:line="400" w:lineRule="exact"/>
        <w:jc w:val="center"/>
        <w:outlineLvl w:val="1"/>
        <w:rPr>
          <w:rFonts w:hint="eastAsia" w:ascii="黑体" w:eastAsia="黑体"/>
          <w:bCs/>
          <w:color w:val="auto"/>
          <w:sz w:val="28"/>
          <w:szCs w:val="28"/>
          <w:highlight w:val="none"/>
        </w:rPr>
      </w:pPr>
    </w:p>
    <w:p w14:paraId="7B48ABF6">
      <w:pPr>
        <w:spacing w:line="400" w:lineRule="exact"/>
        <w:jc w:val="center"/>
        <w:outlineLvl w:val="1"/>
        <w:rPr>
          <w:rFonts w:hint="eastAsia" w:ascii="黑体" w:eastAsia="黑体"/>
          <w:bCs/>
          <w:color w:val="auto"/>
          <w:sz w:val="28"/>
          <w:szCs w:val="28"/>
          <w:highlight w:val="none"/>
        </w:rPr>
      </w:pPr>
    </w:p>
    <w:p w14:paraId="70CE2C69">
      <w:pPr>
        <w:spacing w:line="400" w:lineRule="exact"/>
        <w:jc w:val="center"/>
        <w:outlineLvl w:val="1"/>
        <w:rPr>
          <w:rFonts w:hint="eastAsia" w:ascii="黑体" w:eastAsia="黑体"/>
          <w:bCs/>
          <w:color w:val="auto"/>
          <w:sz w:val="28"/>
          <w:szCs w:val="28"/>
          <w:highlight w:val="none"/>
        </w:rPr>
      </w:pPr>
    </w:p>
    <w:p w14:paraId="35C47E8D">
      <w:pPr>
        <w:spacing w:line="400" w:lineRule="exact"/>
        <w:jc w:val="center"/>
        <w:outlineLvl w:val="1"/>
        <w:rPr>
          <w:rFonts w:hint="eastAsia" w:ascii="黑体" w:eastAsia="黑体"/>
          <w:bCs/>
          <w:color w:val="auto"/>
          <w:sz w:val="28"/>
          <w:szCs w:val="28"/>
          <w:highlight w:val="none"/>
        </w:rPr>
      </w:pPr>
    </w:p>
    <w:p w14:paraId="651C828F">
      <w:pPr>
        <w:spacing w:line="400" w:lineRule="exact"/>
        <w:jc w:val="center"/>
        <w:outlineLvl w:val="1"/>
        <w:rPr>
          <w:rFonts w:hint="eastAsia" w:ascii="黑体" w:eastAsia="黑体"/>
          <w:bCs/>
          <w:color w:val="auto"/>
          <w:sz w:val="28"/>
          <w:szCs w:val="28"/>
          <w:highlight w:val="none"/>
        </w:rPr>
      </w:pPr>
    </w:p>
    <w:p w14:paraId="3606CED8">
      <w:pPr>
        <w:spacing w:line="400" w:lineRule="exact"/>
        <w:jc w:val="center"/>
        <w:outlineLvl w:val="1"/>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rPr>
          <w:rFonts w:hint="eastAsia" w:ascii="黑体" w:eastAsia="黑体"/>
          <w:bCs/>
          <w:color w:val="auto"/>
          <w:sz w:val="28"/>
          <w:szCs w:val="28"/>
          <w:highlight w:val="none"/>
        </w:rPr>
        <w:t>（一）法定代表人亲自投标声明</w:t>
      </w:r>
    </w:p>
    <w:p w14:paraId="14BEEE7A">
      <w:pPr>
        <w:spacing w:line="400" w:lineRule="exact"/>
        <w:jc w:val="center"/>
        <w:outlineLvl w:val="1"/>
        <w:rPr>
          <w:rFonts w:hint="eastAsia" w:ascii="黑体" w:eastAsia="黑体"/>
          <w:bCs/>
          <w:color w:val="auto"/>
          <w:sz w:val="28"/>
          <w:szCs w:val="28"/>
          <w:highlight w:val="none"/>
        </w:rPr>
      </w:pPr>
    </w:p>
    <w:p w14:paraId="167794FD">
      <w:pPr>
        <w:spacing w:line="400" w:lineRule="exact"/>
        <w:rPr>
          <w:rFonts w:hint="eastAsia" w:ascii="宋体" w:hAnsi="宋体"/>
          <w:b/>
          <w:bCs/>
          <w:color w:val="auto"/>
          <w:sz w:val="24"/>
          <w:highlight w:val="none"/>
        </w:rPr>
      </w:pPr>
    </w:p>
    <w:p w14:paraId="7B11E510">
      <w:pPr>
        <w:spacing w:line="400" w:lineRule="exact"/>
        <w:rPr>
          <w:rFonts w:ascii="宋体" w:hAnsi="宋体"/>
          <w:b/>
          <w:bCs/>
          <w:color w:val="auto"/>
          <w:sz w:val="24"/>
          <w:highlight w:val="none"/>
        </w:rPr>
      </w:pPr>
      <w:r>
        <w:rPr>
          <w:rFonts w:hint="eastAsia" w:ascii="宋体" w:hAnsi="宋体" w:cs="宋体"/>
          <w:b/>
          <w:bCs/>
          <w:color w:val="auto"/>
          <w:sz w:val="24"/>
          <w:szCs w:val="24"/>
          <w:highlight w:val="none"/>
          <w:lang w:eastAsia="zh-CN"/>
        </w:rPr>
        <w:t>江阴临港化工园区管理办公室</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eastAsia="zh-CN"/>
        </w:rPr>
        <w:t>正军项目管理集团有限公司</w:t>
      </w:r>
      <w:r>
        <w:rPr>
          <w:rFonts w:hint="eastAsia" w:ascii="宋体" w:hAnsi="宋体"/>
          <w:b/>
          <w:bCs/>
          <w:color w:val="auto"/>
          <w:sz w:val="24"/>
          <w:highlight w:val="none"/>
        </w:rPr>
        <w:t>：</w:t>
      </w:r>
    </w:p>
    <w:p w14:paraId="63C7D932">
      <w:pPr>
        <w:spacing w:line="400" w:lineRule="exact"/>
        <w:ind w:firstLine="480"/>
        <w:rPr>
          <w:rFonts w:ascii="宋体" w:hAnsi="宋体"/>
          <w:bCs/>
          <w:color w:val="auto"/>
          <w:sz w:val="24"/>
          <w:highlight w:val="none"/>
          <w:u w:val="single"/>
        </w:rPr>
      </w:pPr>
      <w:r>
        <w:rPr>
          <w:rFonts w:hint="eastAsia" w:ascii="宋体" w:hAnsi="宋体"/>
          <w:bCs/>
          <w:color w:val="auto"/>
          <w:sz w:val="24"/>
          <w:highlight w:val="none"/>
          <w:u w:val="single"/>
        </w:rPr>
        <w:t>　　　　　　　　　　　　　　　　　　　　　　　</w:t>
      </w:r>
      <w:r>
        <w:rPr>
          <w:rFonts w:hint="eastAsia" w:ascii="宋体" w:hAnsi="宋体"/>
          <w:bCs/>
          <w:color w:val="auto"/>
          <w:sz w:val="24"/>
          <w:highlight w:val="none"/>
        </w:rPr>
        <w:t>系中华人民共和国合法企业。法定地址：</w:t>
      </w:r>
      <w:r>
        <w:rPr>
          <w:rFonts w:hint="eastAsia" w:ascii="宋体" w:hAnsi="宋体"/>
          <w:bCs/>
          <w:color w:val="auto"/>
          <w:sz w:val="24"/>
          <w:highlight w:val="none"/>
          <w:u w:val="single"/>
        </w:rPr>
        <w:t>　　　　　　　　　　　　　　　　　　　　　　　　　　　　　　　　　</w:t>
      </w:r>
    </w:p>
    <w:p w14:paraId="7B70AD2A">
      <w:pPr>
        <w:spacing w:line="400" w:lineRule="exact"/>
        <w:ind w:firstLine="480"/>
        <w:rPr>
          <w:rFonts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项目（项目编号：</w:t>
      </w:r>
      <w:r>
        <w:rPr>
          <w:rFonts w:hint="eastAsia" w:ascii="宋体" w:hAnsi="宋体"/>
          <w:bCs/>
          <w:color w:val="auto"/>
          <w:sz w:val="24"/>
          <w:highlight w:val="none"/>
          <w:u w:val="single"/>
        </w:rPr>
        <w:t xml:space="preserve">　　　　      </w:t>
      </w:r>
      <w:r>
        <w:rPr>
          <w:rFonts w:hint="eastAsia" w:ascii="宋体" w:hAnsi="宋体"/>
          <w:bCs/>
          <w:color w:val="auto"/>
          <w:sz w:val="24"/>
          <w:highlight w:val="none"/>
        </w:rPr>
        <w:t>）由我单位法定代表人亲自参加投标、评标、签约等具体工作，并签署全部有关的文件、协议及合同。</w:t>
      </w:r>
    </w:p>
    <w:p w14:paraId="5DB5A02E">
      <w:pPr>
        <w:pStyle w:val="207"/>
        <w:ind w:right="1470"/>
        <w:rPr>
          <w:color w:val="auto"/>
          <w:highlight w:val="none"/>
        </w:rPr>
      </w:pPr>
    </w:p>
    <w:p w14:paraId="3FFC49E5">
      <w:pPr>
        <w:spacing w:line="400" w:lineRule="exact"/>
        <w:ind w:firstLine="480"/>
        <w:rPr>
          <w:rFonts w:ascii="宋体" w:hAnsi="宋体"/>
          <w:bCs/>
          <w:color w:val="auto"/>
          <w:sz w:val="24"/>
          <w:highlight w:val="none"/>
        </w:rPr>
      </w:pPr>
      <w:r>
        <w:rPr>
          <w:rFonts w:hint="eastAsia" w:ascii="宋体" w:hAnsi="宋体"/>
          <w:bCs/>
          <w:color w:val="auto"/>
          <w:sz w:val="24"/>
          <w:highlight w:val="none"/>
        </w:rPr>
        <w:t>法定代表人情况：</w:t>
      </w:r>
    </w:p>
    <w:p w14:paraId="42DFCD66">
      <w:pPr>
        <w:spacing w:line="400" w:lineRule="exact"/>
        <w:ind w:firstLine="480"/>
        <w:rPr>
          <w:rFonts w:ascii="宋体" w:hAnsi="宋体"/>
          <w:bCs/>
          <w:color w:val="auto"/>
          <w:sz w:val="24"/>
          <w:highlight w:val="none"/>
        </w:rPr>
      </w:pPr>
      <w:r>
        <w:rPr>
          <w:rFonts w:hint="eastAsia" w:ascii="宋体" w:hAnsi="宋体"/>
          <w:bCs/>
          <w:color w:val="auto"/>
          <w:sz w:val="24"/>
          <w:highlight w:val="none"/>
        </w:rPr>
        <w:t>姓名：</w:t>
      </w:r>
      <w:r>
        <w:rPr>
          <w:rFonts w:hint="eastAsia" w:ascii="宋体" w:hAnsi="宋体"/>
          <w:bCs/>
          <w:color w:val="auto"/>
          <w:sz w:val="24"/>
          <w:highlight w:val="none"/>
          <w:u w:val="single"/>
        </w:rPr>
        <w:t xml:space="preserve">              </w:t>
      </w:r>
      <w:r>
        <w:rPr>
          <w:rFonts w:hint="eastAsia" w:ascii="宋体" w:hAnsi="宋体"/>
          <w:bCs/>
          <w:color w:val="auto"/>
          <w:sz w:val="24"/>
          <w:highlight w:val="none"/>
        </w:rPr>
        <w:t>性别：</w:t>
      </w:r>
      <w:r>
        <w:rPr>
          <w:rFonts w:hint="eastAsia" w:ascii="宋体" w:hAnsi="宋体"/>
          <w:bCs/>
          <w:color w:val="auto"/>
          <w:sz w:val="24"/>
          <w:highlight w:val="none"/>
          <w:u w:val="single"/>
        </w:rPr>
        <w:t xml:space="preserve">          </w:t>
      </w:r>
      <w:r>
        <w:rPr>
          <w:rFonts w:hint="eastAsia" w:ascii="宋体" w:hAnsi="宋体"/>
          <w:bCs/>
          <w:color w:val="auto"/>
          <w:sz w:val="24"/>
          <w:highlight w:val="none"/>
        </w:rPr>
        <w:t>年龄：</w:t>
      </w:r>
      <w:r>
        <w:rPr>
          <w:rFonts w:hint="eastAsia" w:ascii="宋体" w:hAnsi="宋体"/>
          <w:bCs/>
          <w:color w:val="auto"/>
          <w:sz w:val="24"/>
          <w:highlight w:val="none"/>
          <w:u w:val="single"/>
        </w:rPr>
        <w:t xml:space="preserve">                     </w:t>
      </w:r>
    </w:p>
    <w:p w14:paraId="152CCB20">
      <w:pPr>
        <w:spacing w:line="400" w:lineRule="exact"/>
        <w:ind w:firstLine="480"/>
        <w:rPr>
          <w:rFonts w:ascii="宋体" w:hAnsi="宋体"/>
          <w:bCs/>
          <w:color w:val="auto"/>
          <w:sz w:val="24"/>
          <w:highlight w:val="none"/>
        </w:rPr>
      </w:pPr>
      <w:r>
        <w:rPr>
          <w:rFonts w:hint="eastAsia" w:ascii="宋体" w:hAnsi="宋体"/>
          <w:bCs/>
          <w:color w:val="auto"/>
          <w:sz w:val="24"/>
          <w:highlight w:val="none"/>
        </w:rPr>
        <w:t>身份证号码：</w:t>
      </w:r>
      <w:r>
        <w:rPr>
          <w:rFonts w:hint="eastAsia" w:ascii="宋体" w:hAnsi="宋体"/>
          <w:bCs/>
          <w:color w:val="auto"/>
          <w:sz w:val="24"/>
          <w:highlight w:val="none"/>
          <w:u w:val="single"/>
        </w:rPr>
        <w:t xml:space="preserve">                        </w:t>
      </w:r>
      <w:r>
        <w:rPr>
          <w:rFonts w:hint="eastAsia" w:ascii="宋体" w:hAnsi="宋体"/>
          <w:bCs/>
          <w:color w:val="auto"/>
          <w:sz w:val="24"/>
          <w:highlight w:val="none"/>
        </w:rPr>
        <w:t>电话：</w:t>
      </w:r>
      <w:r>
        <w:rPr>
          <w:rFonts w:hint="eastAsia" w:ascii="宋体" w:hAnsi="宋体"/>
          <w:bCs/>
          <w:color w:val="auto"/>
          <w:sz w:val="24"/>
          <w:highlight w:val="none"/>
          <w:u w:val="single"/>
        </w:rPr>
        <w:t xml:space="preserve">                     </w:t>
      </w:r>
    </w:p>
    <w:p w14:paraId="299C3338">
      <w:pPr>
        <w:spacing w:line="400" w:lineRule="exact"/>
        <w:ind w:firstLine="480"/>
        <w:rPr>
          <w:rFonts w:ascii="宋体" w:hAnsi="宋体"/>
          <w:bCs/>
          <w:color w:val="auto"/>
          <w:sz w:val="24"/>
          <w:highlight w:val="none"/>
        </w:rPr>
      </w:pPr>
      <w:r>
        <w:rPr>
          <w:rFonts w:hint="eastAsia" w:ascii="宋体" w:hAnsi="宋体"/>
          <w:bCs/>
          <w:color w:val="auto"/>
          <w:sz w:val="24"/>
          <w:highlight w:val="none"/>
        </w:rPr>
        <w:t>通讯地址：</w:t>
      </w:r>
      <w:r>
        <w:rPr>
          <w:rFonts w:hint="eastAsia" w:ascii="宋体" w:hAnsi="宋体"/>
          <w:bCs/>
          <w:color w:val="auto"/>
          <w:sz w:val="24"/>
          <w:highlight w:val="none"/>
          <w:u w:val="single"/>
        </w:rPr>
        <w:t xml:space="preserve">                                                     </w:t>
      </w:r>
    </w:p>
    <w:p w14:paraId="79A64B1A">
      <w:pPr>
        <w:pStyle w:val="207"/>
        <w:ind w:right="1470"/>
        <w:rPr>
          <w:color w:val="auto"/>
          <w:highlight w:val="none"/>
        </w:rPr>
      </w:pPr>
    </w:p>
    <w:p w14:paraId="1CB27861">
      <w:pPr>
        <w:pStyle w:val="207"/>
        <w:ind w:right="1470"/>
        <w:rPr>
          <w:color w:val="auto"/>
          <w:highlight w:val="none"/>
        </w:rPr>
      </w:pPr>
    </w:p>
    <w:p w14:paraId="7675178A">
      <w:pPr>
        <w:pStyle w:val="207"/>
        <w:ind w:right="1470"/>
        <w:rPr>
          <w:color w:val="auto"/>
          <w:highlight w:val="none"/>
        </w:rPr>
      </w:pPr>
    </w:p>
    <w:p w14:paraId="7A5BBD66">
      <w:pPr>
        <w:pStyle w:val="207"/>
        <w:ind w:right="1470"/>
        <w:rPr>
          <w:color w:val="auto"/>
          <w:highlight w:val="none"/>
        </w:rPr>
      </w:pPr>
    </w:p>
    <w:p w14:paraId="1B58DF56">
      <w:pPr>
        <w:spacing w:line="400" w:lineRule="exact"/>
        <w:ind w:right="480" w:firstLine="3480"/>
        <w:rPr>
          <w:rFonts w:ascii="宋体" w:hAnsi="宋体"/>
          <w:bCs/>
          <w:color w:val="auto"/>
          <w:sz w:val="24"/>
          <w:highlight w:val="none"/>
        </w:rPr>
      </w:pPr>
      <w:r>
        <w:rPr>
          <w:rFonts w:hint="eastAsia" w:ascii="宋体" w:hAnsi="宋体"/>
          <w:bCs/>
          <w:color w:val="auto"/>
          <w:sz w:val="24"/>
          <w:highlight w:val="none"/>
        </w:rPr>
        <w:t>单位名称（盖章）：</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p>
    <w:p w14:paraId="4029B395">
      <w:pPr>
        <w:spacing w:line="400" w:lineRule="exact"/>
        <w:ind w:right="480" w:firstLine="2520"/>
        <w:rPr>
          <w:rFonts w:ascii="宋体" w:hAnsi="宋体"/>
          <w:bCs/>
          <w:color w:val="auto"/>
          <w:sz w:val="24"/>
          <w:highlight w:val="none"/>
        </w:rPr>
      </w:pPr>
      <w:r>
        <w:rPr>
          <w:rFonts w:hint="eastAsia" w:ascii="宋体" w:hAnsi="宋体"/>
          <w:bCs/>
          <w:color w:val="auto"/>
          <w:sz w:val="24"/>
          <w:highlight w:val="none"/>
        </w:rPr>
        <w:t>法定代表人（签名或盖章）：</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p>
    <w:p w14:paraId="52F4033A">
      <w:pPr>
        <w:spacing w:line="400" w:lineRule="exact"/>
        <w:jc w:val="center"/>
        <w:outlineLvl w:val="1"/>
        <w:rPr>
          <w:rFonts w:hint="eastAsia" w:ascii="黑体" w:eastAsia="黑体"/>
          <w:bCs/>
          <w:color w:val="auto"/>
          <w:sz w:val="28"/>
          <w:szCs w:val="28"/>
          <w:highlight w:val="none"/>
        </w:rPr>
      </w:pPr>
    </w:p>
    <w:p w14:paraId="4C0EB319">
      <w:pPr>
        <w:spacing w:line="400" w:lineRule="exact"/>
        <w:rPr>
          <w:rFonts w:ascii="宋体" w:hAnsi="宋体" w:cs="宋体"/>
          <w:b/>
          <w:bCs/>
          <w:color w:val="auto"/>
          <w:sz w:val="24"/>
          <w:highlight w:val="none"/>
        </w:rPr>
      </w:pPr>
    </w:p>
    <w:p w14:paraId="28F91836">
      <w:pPr>
        <w:spacing w:line="400" w:lineRule="exact"/>
        <w:rPr>
          <w:rFonts w:ascii="宋体" w:hAnsi="宋体" w:cs="宋体"/>
          <w:b/>
          <w:bCs/>
          <w:color w:val="auto"/>
          <w:sz w:val="24"/>
          <w:highlight w:val="none"/>
        </w:rPr>
      </w:pPr>
    </w:p>
    <w:p w14:paraId="1BC6F0C7">
      <w:pPr>
        <w:spacing w:line="400" w:lineRule="exact"/>
        <w:rPr>
          <w:rFonts w:ascii="宋体" w:hAnsi="宋体" w:cs="宋体"/>
          <w:b/>
          <w:bCs/>
          <w:color w:val="auto"/>
          <w:sz w:val="24"/>
          <w:highlight w:val="none"/>
        </w:rPr>
      </w:pPr>
    </w:p>
    <w:p w14:paraId="0016BB5B">
      <w:pPr>
        <w:spacing w:line="400" w:lineRule="exact"/>
        <w:rPr>
          <w:rFonts w:ascii="宋体" w:hAnsi="宋体" w:cs="宋体"/>
          <w:b/>
          <w:bCs/>
          <w:color w:val="auto"/>
          <w:sz w:val="24"/>
          <w:highlight w:val="none"/>
        </w:rPr>
      </w:pPr>
    </w:p>
    <w:p w14:paraId="249C8850">
      <w:pPr>
        <w:spacing w:line="400" w:lineRule="exact"/>
        <w:rPr>
          <w:rFonts w:ascii="宋体" w:hAnsi="宋体" w:cs="宋体"/>
          <w:b/>
          <w:bCs/>
          <w:color w:val="auto"/>
          <w:sz w:val="24"/>
          <w:highlight w:val="none"/>
        </w:rPr>
      </w:pPr>
    </w:p>
    <w:p w14:paraId="171FD087">
      <w:pPr>
        <w:spacing w:line="400" w:lineRule="exact"/>
        <w:rPr>
          <w:rFonts w:ascii="宋体" w:hAnsi="宋体" w:cs="宋体"/>
          <w:b/>
          <w:bCs/>
          <w:color w:val="auto"/>
          <w:sz w:val="24"/>
          <w:highlight w:val="none"/>
        </w:rPr>
      </w:pPr>
    </w:p>
    <w:p w14:paraId="0F1B75F6">
      <w:pPr>
        <w:spacing w:line="400" w:lineRule="exact"/>
        <w:rPr>
          <w:rFonts w:ascii="宋体" w:hAnsi="宋体" w:cs="宋体"/>
          <w:b/>
          <w:bCs/>
          <w:color w:val="auto"/>
          <w:sz w:val="24"/>
          <w:highlight w:val="none"/>
        </w:rPr>
      </w:pPr>
    </w:p>
    <w:p w14:paraId="7A84240D">
      <w:pPr>
        <w:spacing w:line="400" w:lineRule="exact"/>
        <w:rPr>
          <w:rFonts w:ascii="宋体" w:hAnsi="宋体" w:cs="宋体"/>
          <w:b/>
          <w:bCs/>
          <w:color w:val="auto"/>
          <w:sz w:val="24"/>
          <w:highlight w:val="none"/>
        </w:rPr>
      </w:pPr>
    </w:p>
    <w:p w14:paraId="648AB970">
      <w:pPr>
        <w:spacing w:line="400" w:lineRule="exact"/>
        <w:rPr>
          <w:rFonts w:ascii="宋体" w:hAnsi="宋体" w:cs="宋体"/>
          <w:b/>
          <w:bCs/>
          <w:color w:val="auto"/>
          <w:sz w:val="24"/>
          <w:highlight w:val="none"/>
        </w:rPr>
      </w:pPr>
    </w:p>
    <w:p w14:paraId="101CC9D5">
      <w:pPr>
        <w:spacing w:line="400" w:lineRule="exact"/>
        <w:rPr>
          <w:rFonts w:ascii="宋体" w:hAnsi="宋体" w:cs="宋体"/>
          <w:b/>
          <w:bCs/>
          <w:color w:val="auto"/>
          <w:sz w:val="24"/>
          <w:highlight w:val="none"/>
        </w:rPr>
      </w:pPr>
    </w:p>
    <w:p w14:paraId="00C1F650">
      <w:pPr>
        <w:spacing w:line="400" w:lineRule="exact"/>
        <w:rPr>
          <w:rFonts w:ascii="宋体" w:hAnsi="宋体" w:cs="宋体"/>
          <w:b/>
          <w:bCs/>
          <w:color w:val="auto"/>
          <w:sz w:val="24"/>
          <w:highlight w:val="none"/>
        </w:rPr>
      </w:pPr>
    </w:p>
    <w:p w14:paraId="4D4406B7">
      <w:pPr>
        <w:spacing w:line="400" w:lineRule="exact"/>
        <w:rPr>
          <w:rFonts w:ascii="宋体" w:hAnsi="宋体" w:cs="宋体"/>
          <w:b/>
          <w:bCs/>
          <w:color w:val="auto"/>
          <w:sz w:val="24"/>
          <w:szCs w:val="24"/>
          <w:highlight w:val="none"/>
        </w:rPr>
      </w:pPr>
    </w:p>
    <w:p w14:paraId="1BA28FAA">
      <w:pPr>
        <w:spacing w:line="400" w:lineRule="exact"/>
        <w:rPr>
          <w:rFonts w:ascii="宋体" w:hAnsi="宋体" w:cs="宋体"/>
          <w:b/>
          <w:bCs/>
          <w:color w:val="auto"/>
          <w:sz w:val="24"/>
          <w:szCs w:val="24"/>
          <w:highlight w:val="none"/>
        </w:rPr>
      </w:pPr>
    </w:p>
    <w:p w14:paraId="22ECC70C">
      <w:pPr>
        <w:spacing w:line="400" w:lineRule="exact"/>
        <w:rPr>
          <w:rFonts w:ascii="宋体" w:hAnsi="宋体" w:cs="宋体"/>
          <w:b/>
          <w:bCs/>
          <w:color w:val="auto"/>
          <w:sz w:val="24"/>
          <w:highlight w:val="none"/>
        </w:rPr>
      </w:pPr>
    </w:p>
    <w:p w14:paraId="247DFB93">
      <w:pPr>
        <w:spacing w:line="400" w:lineRule="exact"/>
        <w:outlineLvl w:val="1"/>
        <w:rPr>
          <w:rFonts w:ascii="宋体" w:hAnsi="宋体" w:cs="宋体"/>
          <w:b/>
          <w:bCs/>
          <w:color w:val="auto"/>
          <w:sz w:val="24"/>
          <w:highlight w:val="none"/>
        </w:rPr>
      </w:pPr>
    </w:p>
    <w:p w14:paraId="6074DCB7">
      <w:pPr>
        <w:spacing w:line="400" w:lineRule="exact"/>
        <w:jc w:val="center"/>
        <w:outlineLvl w:val="1"/>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w:t>
      </w:r>
      <w:r>
        <w:rPr>
          <w:rFonts w:hint="eastAsia" w:ascii="黑体" w:hAnsi="Times New Roman" w:eastAsia="黑体" w:cs="Times New Roman"/>
          <w:bCs/>
          <w:color w:val="auto"/>
          <w:sz w:val="28"/>
          <w:szCs w:val="28"/>
          <w:highlight w:val="none"/>
          <w:lang w:val="en-US" w:eastAsia="zh-CN"/>
        </w:rPr>
        <w:t>二</w:t>
      </w:r>
      <w:r>
        <w:rPr>
          <w:rFonts w:hint="eastAsia" w:ascii="黑体" w:hAnsi="Times New Roman" w:eastAsia="黑体" w:cs="Times New Roman"/>
          <w:bCs/>
          <w:color w:val="auto"/>
          <w:sz w:val="28"/>
          <w:szCs w:val="28"/>
          <w:highlight w:val="none"/>
        </w:rPr>
        <w:t>）、（投标人）关于资格的声明函</w:t>
      </w:r>
    </w:p>
    <w:p w14:paraId="7D95821C">
      <w:pPr>
        <w:spacing w:line="400" w:lineRule="exact"/>
        <w:rPr>
          <w:rFonts w:ascii="宋体" w:hAnsi="宋体"/>
          <w:bCs/>
          <w:color w:val="auto"/>
          <w:sz w:val="24"/>
          <w:highlight w:val="none"/>
        </w:rPr>
      </w:pPr>
    </w:p>
    <w:p w14:paraId="15FEF9F3">
      <w:pPr>
        <w:spacing w:line="400" w:lineRule="exact"/>
        <w:rPr>
          <w:rFonts w:ascii="宋体" w:hAnsi="宋体"/>
          <w:b/>
          <w:bCs/>
          <w:color w:val="auto"/>
          <w:sz w:val="24"/>
          <w:highlight w:val="none"/>
        </w:rPr>
      </w:pPr>
      <w:r>
        <w:rPr>
          <w:rFonts w:hint="eastAsia" w:ascii="宋体" w:hAnsi="宋体" w:cs="宋体"/>
          <w:b/>
          <w:bCs/>
          <w:color w:val="auto"/>
          <w:sz w:val="24"/>
          <w:szCs w:val="24"/>
          <w:highlight w:val="none"/>
          <w:lang w:eastAsia="zh-CN"/>
        </w:rPr>
        <w:t>江阴临港化工园区管理办公室</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eastAsia="zh-CN"/>
        </w:rPr>
        <w:t>正军项目管理集团有限公司</w:t>
      </w:r>
      <w:r>
        <w:rPr>
          <w:rFonts w:hint="eastAsia" w:ascii="宋体" w:hAnsi="宋体"/>
          <w:b/>
          <w:bCs/>
          <w:color w:val="auto"/>
          <w:sz w:val="24"/>
          <w:highlight w:val="none"/>
        </w:rPr>
        <w:t>：</w:t>
      </w:r>
    </w:p>
    <w:p w14:paraId="63D63EE6">
      <w:pPr>
        <w:spacing w:line="400" w:lineRule="exact"/>
        <w:ind w:firstLine="480"/>
        <w:rPr>
          <w:rFonts w:ascii="宋体" w:hAnsi="宋体"/>
          <w:bCs/>
          <w:color w:val="auto"/>
          <w:sz w:val="24"/>
          <w:highlight w:val="none"/>
        </w:rPr>
      </w:pPr>
      <w:r>
        <w:rPr>
          <w:rFonts w:hint="eastAsia" w:ascii="宋体" w:hAnsi="宋体"/>
          <w:bCs/>
          <w:color w:val="auto"/>
          <w:sz w:val="24"/>
          <w:highlight w:val="none"/>
        </w:rPr>
        <w:t>按照《中华人民共和国政府采购法》第二十二条和招标文件的规定，我单位郑重声明如下：</w:t>
      </w:r>
    </w:p>
    <w:p w14:paraId="2EF902D2">
      <w:pPr>
        <w:spacing w:line="400" w:lineRule="exact"/>
        <w:ind w:firstLine="480"/>
        <w:rPr>
          <w:rFonts w:ascii="宋体" w:hAnsi="宋体"/>
          <w:bCs/>
          <w:color w:val="auto"/>
          <w:sz w:val="24"/>
          <w:highlight w:val="none"/>
        </w:rPr>
      </w:pPr>
      <w:r>
        <w:rPr>
          <w:rFonts w:hint="eastAsia" w:ascii="宋体" w:hAnsi="宋体"/>
          <w:bCs/>
          <w:color w:val="auto"/>
          <w:sz w:val="24"/>
          <w:highlight w:val="none"/>
        </w:rPr>
        <w:t>一、我单位是按照中华人民共和国法律规定登记注册的，注册地点为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，全称为</w:t>
      </w:r>
      <w:r>
        <w:rPr>
          <w:rFonts w:hint="eastAsia" w:ascii="宋体" w:hAnsi="宋体"/>
          <w:bCs/>
          <w:color w:val="auto"/>
          <w:sz w:val="24"/>
          <w:highlight w:val="none"/>
          <w:u w:val="single"/>
        </w:rPr>
        <w:t xml:space="preserve">               </w:t>
      </w:r>
      <w:r>
        <w:rPr>
          <w:rFonts w:hint="eastAsia" w:ascii="宋体" w:hAnsi="宋体"/>
          <w:bCs/>
          <w:color w:val="auto"/>
          <w:sz w:val="24"/>
          <w:highlight w:val="none"/>
        </w:rPr>
        <w:t>，统一社会信用代码为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，法定代表人 (单位负责人) 为</w:t>
      </w:r>
      <w:r>
        <w:rPr>
          <w:rFonts w:hint="eastAsia" w:ascii="宋体" w:hAnsi="宋体"/>
          <w:bCs/>
          <w:color w:val="auto"/>
          <w:sz w:val="24"/>
          <w:highlight w:val="none"/>
          <w:u w:val="single"/>
        </w:rPr>
        <w:t xml:space="preserve">                </w:t>
      </w:r>
      <w:r>
        <w:rPr>
          <w:rFonts w:hint="eastAsia" w:ascii="宋体" w:hAnsi="宋体"/>
          <w:bCs/>
          <w:color w:val="auto"/>
          <w:sz w:val="24"/>
          <w:highlight w:val="none"/>
        </w:rPr>
        <w:t>，具有独立承担民事责任的能力 (如属于分公司经总公司授权参与项目，由总公司承担民事责任的，须提供总公司项目授权书) 。</w:t>
      </w:r>
    </w:p>
    <w:p w14:paraId="45105528">
      <w:pPr>
        <w:spacing w:line="400" w:lineRule="exact"/>
        <w:ind w:firstLine="480"/>
        <w:rPr>
          <w:rFonts w:ascii="宋体" w:hAnsi="宋体"/>
          <w:bCs/>
          <w:color w:val="auto"/>
          <w:sz w:val="24"/>
          <w:highlight w:val="none"/>
        </w:rPr>
      </w:pPr>
      <w:r>
        <w:rPr>
          <w:rFonts w:hint="eastAsia" w:ascii="宋体" w:hAnsi="宋体"/>
          <w:bCs/>
          <w:color w:val="auto"/>
          <w:sz w:val="24"/>
          <w:highlight w:val="none"/>
        </w:rPr>
        <w:t>二、我单位具有良好的商业信誉(指投标人经营状况良好，无本资格声明第五条情形)和健全的财务会计制度。</w:t>
      </w:r>
    </w:p>
    <w:p w14:paraId="4F2F0E6E">
      <w:pPr>
        <w:spacing w:line="400" w:lineRule="exact"/>
        <w:ind w:firstLine="480"/>
        <w:rPr>
          <w:rFonts w:ascii="宋体" w:hAnsi="宋体"/>
          <w:bCs/>
          <w:color w:val="auto"/>
          <w:sz w:val="24"/>
          <w:highlight w:val="none"/>
        </w:rPr>
      </w:pPr>
      <w:r>
        <w:rPr>
          <w:rFonts w:hint="eastAsia" w:ascii="宋体" w:hAnsi="宋体"/>
          <w:bCs/>
          <w:color w:val="auto"/>
          <w:sz w:val="24"/>
          <w:highlight w:val="none"/>
        </w:rPr>
        <w:t>三、我单位依法进行纳税和社会保险申报并实际履行了义务。</w:t>
      </w:r>
    </w:p>
    <w:p w14:paraId="725FA523">
      <w:pPr>
        <w:spacing w:line="400" w:lineRule="exact"/>
        <w:ind w:firstLine="480"/>
        <w:rPr>
          <w:rFonts w:ascii="宋体" w:hAnsi="宋体"/>
          <w:bCs/>
          <w:color w:val="auto"/>
          <w:sz w:val="24"/>
          <w:highlight w:val="none"/>
        </w:rPr>
      </w:pPr>
      <w:r>
        <w:rPr>
          <w:rFonts w:hint="eastAsia" w:ascii="宋体" w:hAnsi="宋体"/>
          <w:bCs/>
          <w:color w:val="auto"/>
          <w:sz w:val="24"/>
          <w:highlight w:val="none"/>
        </w:rPr>
        <w:t>四、我单位具备履行本项采购合同所必需的设备和专业技术能力，为履行本项采购合同我公司具备如下主要设备和主要专业技术能力：主要设备有：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rPr>
        <w:t>。主要专业技术能力有：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w:t>
      </w:r>
    </w:p>
    <w:p w14:paraId="7172D9E1">
      <w:pPr>
        <w:spacing w:line="400" w:lineRule="exact"/>
        <w:ind w:firstLine="480"/>
        <w:rPr>
          <w:rFonts w:ascii="宋体" w:hAnsi="宋体"/>
          <w:bCs/>
          <w:color w:val="auto"/>
          <w:sz w:val="24"/>
          <w:highlight w:val="none"/>
        </w:rPr>
      </w:pPr>
      <w:r>
        <w:rPr>
          <w:rFonts w:hint="eastAsia" w:ascii="宋体" w:hAnsi="宋体"/>
          <w:bCs/>
          <w:color w:val="auto"/>
          <w:sz w:val="24"/>
          <w:highlight w:val="none"/>
        </w:rPr>
        <w:t>五、我单位参加本次政府采购活动前3年内，我单位在经营活动中没有因违法经营 受到刑事处罚或者责令停产停业、吊销许可证或者执照、较大数额罚款等行政处罚。</w:t>
      </w:r>
    </w:p>
    <w:p w14:paraId="79A4FCA5">
      <w:pPr>
        <w:spacing w:line="400" w:lineRule="exact"/>
        <w:ind w:firstLine="480"/>
        <w:rPr>
          <w:rFonts w:ascii="宋体" w:hAnsi="宋体"/>
          <w:bCs/>
          <w:color w:val="auto"/>
          <w:sz w:val="24"/>
          <w:highlight w:val="none"/>
        </w:rPr>
      </w:pPr>
      <w:r>
        <w:rPr>
          <w:rFonts w:hint="eastAsia" w:ascii="宋体" w:hAnsi="宋体"/>
          <w:bCs/>
          <w:color w:val="auto"/>
          <w:sz w:val="24"/>
          <w:highlight w:val="none"/>
        </w:rPr>
        <w:t>六、我单位具备法律、行政法规规定的其他条件。</w:t>
      </w:r>
    </w:p>
    <w:p w14:paraId="064D52F8">
      <w:pPr>
        <w:spacing w:line="400" w:lineRule="exact"/>
        <w:ind w:firstLine="480"/>
        <w:rPr>
          <w:rFonts w:ascii="宋体" w:hAnsi="宋体"/>
          <w:bCs/>
          <w:color w:val="auto"/>
          <w:sz w:val="24"/>
          <w:highlight w:val="none"/>
        </w:rPr>
      </w:pPr>
      <w:r>
        <w:rPr>
          <w:rFonts w:hint="eastAsia" w:ascii="宋体" w:hAnsi="宋体"/>
          <w:bCs/>
          <w:color w:val="auto"/>
          <w:sz w:val="24"/>
          <w:highlight w:val="none"/>
        </w:rPr>
        <w:t>七、我单位未被列入“信用中国”网站、“中国政府采购网”列入失信被执行人、 重大税收违法失信主体、政府采购严重违法失信行为信息记录名单。</w:t>
      </w:r>
    </w:p>
    <w:p w14:paraId="210E5FD4">
      <w:pPr>
        <w:spacing w:line="400" w:lineRule="exact"/>
        <w:ind w:firstLine="480"/>
        <w:rPr>
          <w:rFonts w:ascii="宋体" w:hAnsi="宋体"/>
          <w:bCs/>
          <w:color w:val="auto"/>
          <w:sz w:val="24"/>
          <w:highlight w:val="none"/>
        </w:rPr>
      </w:pPr>
      <w:r>
        <w:rPr>
          <w:rFonts w:hint="eastAsia" w:ascii="宋体" w:hAnsi="宋体"/>
          <w:bCs/>
          <w:color w:val="auto"/>
          <w:sz w:val="24"/>
          <w:highlight w:val="none"/>
        </w:rPr>
        <w:t>八、我单位不具有违反政府采购法第二十二条的任何情形。</w:t>
      </w:r>
    </w:p>
    <w:p w14:paraId="63922946">
      <w:pPr>
        <w:spacing w:line="400" w:lineRule="exact"/>
        <w:ind w:left="479"/>
        <w:rPr>
          <w:rFonts w:hint="eastAsia" w:ascii="宋体" w:hAnsi="宋体"/>
          <w:bCs/>
          <w:color w:val="auto"/>
          <w:sz w:val="24"/>
          <w:highlight w:val="none"/>
        </w:rPr>
      </w:pPr>
      <w:r>
        <w:rPr>
          <w:rFonts w:hint="eastAsia" w:ascii="宋体" w:hAnsi="宋体"/>
          <w:bCs/>
          <w:color w:val="auto"/>
          <w:sz w:val="24"/>
          <w:highlight w:val="none"/>
        </w:rPr>
        <w:t xml:space="preserve">九、我单位投标文件中所有关于投标资格的文件、证明、陈述均是真实的、准确的。 </w:t>
      </w:r>
    </w:p>
    <w:p w14:paraId="5FC423A3">
      <w:pPr>
        <w:spacing w:line="400" w:lineRule="exact"/>
        <w:ind w:firstLine="480"/>
        <w:rPr>
          <w:rFonts w:ascii="宋体" w:hAnsi="宋体"/>
          <w:bCs/>
          <w:color w:val="auto"/>
          <w:sz w:val="24"/>
          <w:highlight w:val="none"/>
          <w:u w:val="single"/>
        </w:rPr>
      </w:pPr>
      <w:r>
        <w:rPr>
          <w:rFonts w:hint="eastAsia" w:ascii="宋体" w:hAnsi="宋体"/>
          <w:bCs/>
          <w:color w:val="auto"/>
          <w:sz w:val="24"/>
          <w:highlight w:val="none"/>
        </w:rPr>
        <w:t>我单位承诺遵守《中华人民共和国政府采购法》第二十二、七十七条之规定，若有违背，我公司 (单位) 愿意承担因“提供虚假材料谋取中标的”的一切法律后果，依法接受相应处罚。</w:t>
      </w:r>
    </w:p>
    <w:p w14:paraId="7C0CD02B">
      <w:pPr>
        <w:spacing w:line="400" w:lineRule="exact"/>
        <w:ind w:firstLine="480"/>
        <w:rPr>
          <w:rFonts w:ascii="宋体" w:hAnsi="宋体"/>
          <w:bCs/>
          <w:color w:val="auto"/>
          <w:sz w:val="24"/>
          <w:highlight w:val="none"/>
        </w:rPr>
      </w:pPr>
    </w:p>
    <w:p w14:paraId="716BF419">
      <w:pPr>
        <w:spacing w:line="400" w:lineRule="exact"/>
        <w:ind w:firstLine="3840"/>
        <w:rPr>
          <w:rFonts w:ascii="宋体" w:hAnsi="宋体"/>
          <w:bCs/>
          <w:color w:val="auto"/>
          <w:sz w:val="24"/>
          <w:highlight w:val="none"/>
        </w:rPr>
      </w:pPr>
      <w:r>
        <w:rPr>
          <w:rFonts w:hint="eastAsia" w:ascii="宋体" w:hAnsi="宋体"/>
          <w:bCs/>
          <w:color w:val="auto"/>
          <w:sz w:val="24"/>
          <w:highlight w:val="none"/>
        </w:rPr>
        <w:t xml:space="preserve">投标单位（电子签章）：  </w:t>
      </w:r>
    </w:p>
    <w:p w14:paraId="79182AA3">
      <w:pPr>
        <w:spacing w:line="400" w:lineRule="exact"/>
        <w:rPr>
          <w:rFonts w:ascii="宋体" w:hAnsi="宋体"/>
          <w:bCs/>
          <w:color w:val="auto"/>
          <w:sz w:val="24"/>
          <w:highlight w:val="none"/>
        </w:rPr>
      </w:pPr>
    </w:p>
    <w:p w14:paraId="239254F4">
      <w:pPr>
        <w:spacing w:line="360" w:lineRule="exact"/>
        <w:ind w:firstLine="4080"/>
        <w:rPr>
          <w:rFonts w:ascii="宋体" w:hAnsi="宋体"/>
          <w:b/>
          <w:bCs/>
          <w:color w:val="auto"/>
          <w:sz w:val="24"/>
          <w:highlight w:val="none"/>
        </w:rPr>
      </w:pPr>
      <w:r>
        <w:rPr>
          <w:rFonts w:hint="eastAsia" w:ascii="宋体" w:hAnsi="宋体"/>
          <w:color w:val="auto"/>
          <w:sz w:val="24"/>
          <w:highlight w:val="none"/>
        </w:rPr>
        <w:t xml:space="preserve"> 日期：     年    月    日</w:t>
      </w:r>
    </w:p>
    <w:p w14:paraId="5BC0E052">
      <w:pPr>
        <w:spacing w:line="360" w:lineRule="exact"/>
        <w:rPr>
          <w:rFonts w:ascii="宋体" w:hAnsi="宋体"/>
          <w:b/>
          <w:bCs/>
          <w:color w:val="auto"/>
          <w:sz w:val="24"/>
          <w:highlight w:val="none"/>
        </w:rPr>
      </w:pPr>
    </w:p>
    <w:p w14:paraId="483674FF">
      <w:pPr>
        <w:spacing w:line="360" w:lineRule="exact"/>
        <w:rPr>
          <w:rFonts w:ascii="宋体" w:hAnsi="宋体"/>
          <w:b/>
          <w:bCs/>
          <w:color w:val="auto"/>
          <w:sz w:val="24"/>
          <w:highlight w:val="none"/>
        </w:rPr>
      </w:pPr>
      <w:r>
        <w:rPr>
          <w:rFonts w:ascii="宋体" w:hAnsi="宋体"/>
          <w:b/>
          <w:bCs/>
          <w:color w:val="auto"/>
          <w:sz w:val="24"/>
          <w:highlight w:val="none"/>
        </w:rPr>
        <w:t>说明：</w:t>
      </w:r>
    </w:p>
    <w:p w14:paraId="49EE0E66">
      <w:pPr>
        <w:spacing w:line="360" w:lineRule="exact"/>
        <w:rPr>
          <w:rFonts w:ascii="宋体" w:hAnsi="宋体"/>
          <w:b/>
          <w:bCs/>
          <w:color w:val="auto"/>
          <w:sz w:val="24"/>
          <w:highlight w:val="none"/>
        </w:rPr>
      </w:pPr>
      <w:r>
        <w:rPr>
          <w:rFonts w:ascii="宋体" w:hAnsi="宋体"/>
          <w:b/>
          <w:bCs/>
          <w:color w:val="auto"/>
          <w:sz w:val="24"/>
          <w:highlight w:val="none"/>
        </w:rPr>
        <w:t>1.无此表或对此表作实质性修改，投标无效。</w:t>
      </w:r>
    </w:p>
    <w:p w14:paraId="3462ADA7">
      <w:pPr>
        <w:spacing w:line="360" w:lineRule="exact"/>
        <w:rPr>
          <w:rFonts w:ascii="宋体" w:hAnsi="宋体"/>
          <w:b/>
          <w:bCs/>
          <w:color w:val="auto"/>
          <w:sz w:val="24"/>
          <w:highlight w:val="none"/>
        </w:rPr>
      </w:pPr>
      <w:r>
        <w:rPr>
          <w:rFonts w:ascii="宋体" w:hAnsi="宋体"/>
          <w:b/>
          <w:bCs/>
          <w:color w:val="auto"/>
          <w:sz w:val="24"/>
          <w:highlight w:val="none"/>
        </w:rPr>
        <w:t>2.投标人须对此表中内容作出承诺，否则投标无效。</w:t>
      </w:r>
    </w:p>
    <w:p w14:paraId="2F373382">
      <w:pPr>
        <w:spacing w:line="360" w:lineRule="exact"/>
        <w:rPr>
          <w:rFonts w:ascii="宋体" w:hAnsi="宋体"/>
          <w:b/>
          <w:bCs/>
          <w:color w:val="auto"/>
          <w:sz w:val="28"/>
          <w:szCs w:val="28"/>
          <w:highlight w:val="none"/>
        </w:rPr>
      </w:pPr>
      <w:r>
        <w:rPr>
          <w:rFonts w:ascii="宋体" w:hAnsi="宋体"/>
          <w:b/>
          <w:bCs/>
          <w:color w:val="auto"/>
          <w:sz w:val="24"/>
          <w:highlight w:val="none"/>
        </w:rPr>
        <w:t>3.采购人保留核查以上承诺事项真实性的权利。</w:t>
      </w:r>
    </w:p>
    <w:p w14:paraId="1463DE4C">
      <w:pPr>
        <w:jc w:val="center"/>
        <w:rPr>
          <w:rFonts w:hint="eastAsia" w:ascii="黑体" w:hAnsi="黑体" w:eastAsia="黑体" w:cs="黑体"/>
          <w:bCs/>
          <w:color w:val="auto"/>
          <w:sz w:val="28"/>
          <w:szCs w:val="28"/>
          <w:highlight w:val="none"/>
        </w:rPr>
      </w:pPr>
    </w:p>
    <w:p w14:paraId="69D7253B">
      <w:pPr>
        <w:numPr>
          <w:ilvl w:val="0"/>
          <w:numId w:val="0"/>
        </w:numPr>
        <w:spacing w:line="360" w:lineRule="auto"/>
        <w:jc w:val="center"/>
        <w:rPr>
          <w:rFonts w:hint="eastAsia" w:ascii="黑体" w:hAnsi="宋体" w:eastAsia="黑体" w:cs="黑体"/>
          <w:color w:val="auto"/>
          <w:spacing w:val="6"/>
          <w:sz w:val="28"/>
          <w:szCs w:val="28"/>
          <w:highlight w:val="none"/>
          <w:lang w:bidi="ar"/>
        </w:rPr>
      </w:pPr>
      <w:r>
        <w:rPr>
          <w:rFonts w:hint="eastAsia" w:ascii="黑体" w:hAnsi="黑体" w:eastAsia="黑体" w:cs="黑体"/>
          <w:bCs/>
          <w:color w:val="auto"/>
          <w:sz w:val="28"/>
          <w:szCs w:val="28"/>
          <w:highlight w:val="none"/>
        </w:rPr>
        <w:t>（</w:t>
      </w:r>
      <w:r>
        <w:rPr>
          <w:rFonts w:hint="eastAsia" w:ascii="黑体" w:hAnsi="黑体" w:eastAsia="黑体" w:cs="黑体"/>
          <w:bCs/>
          <w:color w:val="auto"/>
          <w:sz w:val="28"/>
          <w:szCs w:val="28"/>
          <w:highlight w:val="none"/>
          <w:lang w:val="en-US" w:eastAsia="zh-CN"/>
        </w:rPr>
        <w:t>三</w:t>
      </w:r>
      <w:r>
        <w:rPr>
          <w:rFonts w:hint="eastAsia" w:ascii="黑体" w:hAnsi="黑体" w:eastAsia="黑体" w:cs="黑体"/>
          <w:bCs/>
          <w:color w:val="auto"/>
          <w:sz w:val="28"/>
          <w:szCs w:val="28"/>
          <w:highlight w:val="none"/>
        </w:rPr>
        <w:t>）、</w:t>
      </w:r>
      <w:r>
        <w:rPr>
          <w:rFonts w:hint="eastAsia" w:ascii="黑体" w:hAnsi="黑体" w:eastAsia="黑体" w:cs="宋体"/>
          <w:color w:val="auto"/>
          <w:sz w:val="28"/>
          <w:szCs w:val="28"/>
          <w:highlight w:val="none"/>
        </w:rPr>
        <w:t>中小企业声明函</w:t>
      </w:r>
      <w:r>
        <w:rPr>
          <w:rFonts w:hint="eastAsia" w:ascii="黑体" w:hAnsi="宋体" w:eastAsia="黑体" w:cs="黑体"/>
          <w:color w:val="auto"/>
          <w:spacing w:val="6"/>
          <w:sz w:val="28"/>
          <w:szCs w:val="28"/>
          <w:highlight w:val="none"/>
          <w:lang w:bidi="ar"/>
        </w:rPr>
        <w:t>（工程、服务）</w:t>
      </w:r>
    </w:p>
    <w:p w14:paraId="62FC25A8">
      <w:pPr>
        <w:ind w:firstLine="504"/>
        <w:rPr>
          <w:rFonts w:hint="eastAsia" w:ascii="宋体" w:hAnsi="宋体" w:cs="宋体"/>
          <w:color w:val="auto"/>
          <w:spacing w:val="6"/>
          <w:sz w:val="24"/>
          <w:szCs w:val="24"/>
          <w:highlight w:val="none"/>
        </w:rPr>
      </w:pPr>
    </w:p>
    <w:p w14:paraId="3CFF5A7D">
      <w:pPr>
        <w:spacing w:line="360" w:lineRule="auto"/>
        <w:ind w:firstLine="504"/>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本公司（联合体）郑重声明，根据《政府采购促进中小企业发展管理办法》（财库 ﹝2020﹞46号）的规定，本公司（联合体）参加</w:t>
      </w:r>
      <w:r>
        <w:rPr>
          <w:rFonts w:hint="eastAsia" w:ascii="宋体" w:hAnsi="宋体" w:cs="宋体"/>
          <w:color w:val="auto"/>
          <w:spacing w:val="6"/>
          <w:sz w:val="24"/>
          <w:szCs w:val="24"/>
          <w:highlight w:val="none"/>
          <w:u w:val="single"/>
          <w:lang w:bidi="ar"/>
        </w:rPr>
        <w:t>（单位名称）</w:t>
      </w:r>
      <w:r>
        <w:rPr>
          <w:rFonts w:hint="eastAsia" w:ascii="宋体" w:hAnsi="宋体" w:cs="宋体"/>
          <w:color w:val="auto"/>
          <w:spacing w:val="6"/>
          <w:sz w:val="24"/>
          <w:szCs w:val="24"/>
          <w:highlight w:val="none"/>
          <w:lang w:bidi="ar"/>
        </w:rPr>
        <w:t>的</w:t>
      </w:r>
      <w:r>
        <w:rPr>
          <w:rFonts w:hint="eastAsia" w:ascii="宋体" w:hAnsi="宋体" w:cs="宋体"/>
          <w:color w:val="auto"/>
          <w:spacing w:val="6"/>
          <w:sz w:val="24"/>
          <w:szCs w:val="24"/>
          <w:highlight w:val="none"/>
          <w:u w:val="single"/>
          <w:lang w:bidi="ar"/>
        </w:rPr>
        <w:t>（项目名称）</w:t>
      </w:r>
      <w:r>
        <w:rPr>
          <w:rFonts w:hint="eastAsia" w:ascii="宋体" w:hAnsi="宋体" w:cs="宋体"/>
          <w:color w:val="auto"/>
          <w:spacing w:val="6"/>
          <w:sz w:val="24"/>
          <w:szCs w:val="24"/>
          <w:highlight w:val="none"/>
          <w:lang w:bidi="ar"/>
        </w:rPr>
        <w:t>采购活动，工程的施工单位全部为符合政策要求的中小企业（或者：服务全部由符合政策要求的中 小企业承接）。相关企业（含联合体中的中小企业、签订分包意向协议的中小企业）的具体情况如下：</w:t>
      </w:r>
    </w:p>
    <w:p w14:paraId="7A9A94A1">
      <w:pPr>
        <w:spacing w:line="360" w:lineRule="auto"/>
        <w:ind w:firstLine="504"/>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1、</w:t>
      </w:r>
      <w:r>
        <w:rPr>
          <w:rFonts w:hint="eastAsia" w:ascii="宋体" w:hAnsi="宋体" w:cs="宋体"/>
          <w:color w:val="auto"/>
          <w:spacing w:val="6"/>
          <w:sz w:val="24"/>
          <w:szCs w:val="24"/>
          <w:highlight w:val="none"/>
          <w:u w:val="single"/>
          <w:lang w:bidi="ar"/>
        </w:rPr>
        <w:t>（标的名称）</w:t>
      </w:r>
      <w:r>
        <w:rPr>
          <w:rFonts w:hint="eastAsia" w:ascii="宋体" w:hAnsi="宋体" w:cs="宋体"/>
          <w:color w:val="auto"/>
          <w:spacing w:val="6"/>
          <w:sz w:val="24"/>
          <w:szCs w:val="24"/>
          <w:highlight w:val="none"/>
          <w:lang w:bidi="ar"/>
        </w:rPr>
        <w:t>，属于</w:t>
      </w:r>
      <w:r>
        <w:rPr>
          <w:rFonts w:hint="eastAsia" w:ascii="宋体" w:hAnsi="宋体" w:cs="宋体"/>
          <w:color w:val="auto"/>
          <w:spacing w:val="6"/>
          <w:sz w:val="24"/>
          <w:szCs w:val="24"/>
          <w:highlight w:val="none"/>
          <w:u w:val="single"/>
          <w:lang w:bidi="ar"/>
        </w:rPr>
        <w:t>（采购文件中明确的所属行业）</w:t>
      </w:r>
      <w:r>
        <w:rPr>
          <w:rFonts w:hint="eastAsia" w:ascii="宋体" w:hAnsi="宋体" w:cs="宋体"/>
          <w:color w:val="auto"/>
          <w:spacing w:val="6"/>
          <w:sz w:val="24"/>
          <w:szCs w:val="24"/>
          <w:highlight w:val="none"/>
          <w:lang w:bidi="ar"/>
        </w:rPr>
        <w:t>；承建（承接）企业为</w:t>
      </w:r>
      <w:r>
        <w:rPr>
          <w:rFonts w:hint="eastAsia" w:ascii="宋体" w:hAnsi="宋体" w:cs="宋体"/>
          <w:color w:val="auto"/>
          <w:spacing w:val="6"/>
          <w:sz w:val="24"/>
          <w:szCs w:val="24"/>
          <w:highlight w:val="none"/>
          <w:u w:val="single"/>
          <w:lang w:bidi="ar"/>
        </w:rPr>
        <w:t>（企业名称）</w:t>
      </w:r>
      <w:r>
        <w:rPr>
          <w:rFonts w:hint="eastAsia" w:ascii="宋体" w:hAnsi="宋体" w:cs="宋体"/>
          <w:color w:val="auto"/>
          <w:spacing w:val="6"/>
          <w:sz w:val="24"/>
          <w:szCs w:val="24"/>
          <w:highlight w:val="none"/>
          <w:lang w:bidi="ar"/>
        </w:rPr>
        <w:t>，从业人员</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lang w:bidi="ar"/>
        </w:rPr>
        <w:t>人，营业收入为</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lang w:bidi="ar"/>
        </w:rPr>
        <w:t>万元，资产总额为</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lang w:bidi="ar"/>
        </w:rPr>
        <w:t>万元</w:t>
      </w:r>
      <w:r>
        <w:rPr>
          <w:rFonts w:hint="eastAsia" w:ascii="宋体" w:hAnsi="宋体" w:cs="宋体"/>
          <w:color w:val="auto"/>
          <w:spacing w:val="6"/>
          <w:sz w:val="24"/>
          <w:szCs w:val="24"/>
          <w:highlight w:val="none"/>
          <w:vertAlign w:val="superscript"/>
          <w:lang w:bidi="ar"/>
        </w:rPr>
        <w:t>１</w:t>
      </w:r>
      <w:r>
        <w:rPr>
          <w:rFonts w:hint="eastAsia" w:ascii="宋体" w:hAnsi="宋体" w:cs="宋体"/>
          <w:color w:val="auto"/>
          <w:spacing w:val="6"/>
          <w:sz w:val="24"/>
          <w:szCs w:val="24"/>
          <w:highlight w:val="none"/>
          <w:lang w:bidi="ar"/>
        </w:rPr>
        <w:t>，属于</w:t>
      </w:r>
      <w:r>
        <w:rPr>
          <w:rFonts w:hint="eastAsia" w:ascii="宋体" w:hAnsi="宋体" w:cs="宋体"/>
          <w:color w:val="auto"/>
          <w:spacing w:val="6"/>
          <w:sz w:val="24"/>
          <w:szCs w:val="24"/>
          <w:highlight w:val="none"/>
          <w:u w:val="single"/>
          <w:lang w:bidi="ar"/>
        </w:rPr>
        <w:t>（中型 企业、小型企业、微型企业）</w:t>
      </w:r>
      <w:r>
        <w:rPr>
          <w:rFonts w:hint="eastAsia" w:ascii="宋体" w:hAnsi="宋体" w:cs="宋体"/>
          <w:color w:val="auto"/>
          <w:spacing w:val="6"/>
          <w:sz w:val="24"/>
          <w:szCs w:val="24"/>
          <w:highlight w:val="none"/>
          <w:lang w:bidi="ar"/>
        </w:rPr>
        <w:t>；</w:t>
      </w:r>
    </w:p>
    <w:p w14:paraId="16AC965F">
      <w:pPr>
        <w:spacing w:line="360" w:lineRule="auto"/>
        <w:ind w:firstLine="504"/>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2、</w:t>
      </w:r>
      <w:r>
        <w:rPr>
          <w:rFonts w:hint="eastAsia" w:ascii="宋体" w:hAnsi="宋体" w:cs="宋体"/>
          <w:color w:val="auto"/>
          <w:spacing w:val="6"/>
          <w:sz w:val="24"/>
          <w:szCs w:val="24"/>
          <w:highlight w:val="none"/>
          <w:u w:val="single"/>
          <w:lang w:bidi="ar"/>
        </w:rPr>
        <w:t>（标的名称）</w:t>
      </w:r>
      <w:r>
        <w:rPr>
          <w:rFonts w:hint="eastAsia" w:ascii="宋体" w:hAnsi="宋体" w:cs="宋体"/>
          <w:color w:val="auto"/>
          <w:spacing w:val="6"/>
          <w:sz w:val="24"/>
          <w:szCs w:val="24"/>
          <w:highlight w:val="none"/>
          <w:lang w:bidi="ar"/>
        </w:rPr>
        <w:t>，属于</w:t>
      </w:r>
      <w:r>
        <w:rPr>
          <w:rFonts w:hint="eastAsia" w:ascii="宋体" w:hAnsi="宋体" w:cs="宋体"/>
          <w:color w:val="auto"/>
          <w:spacing w:val="6"/>
          <w:sz w:val="24"/>
          <w:szCs w:val="24"/>
          <w:highlight w:val="none"/>
          <w:u w:val="single"/>
          <w:lang w:bidi="ar"/>
        </w:rPr>
        <w:t>（采购文件中明确的所属行业）</w:t>
      </w:r>
      <w:r>
        <w:rPr>
          <w:rFonts w:hint="eastAsia" w:ascii="宋体" w:hAnsi="宋体" w:cs="宋体"/>
          <w:color w:val="auto"/>
          <w:spacing w:val="6"/>
          <w:sz w:val="24"/>
          <w:szCs w:val="24"/>
          <w:highlight w:val="none"/>
          <w:lang w:bidi="ar"/>
        </w:rPr>
        <w:t>；承建（承接）企业为</w:t>
      </w:r>
      <w:r>
        <w:rPr>
          <w:rFonts w:hint="eastAsia" w:ascii="宋体" w:hAnsi="宋体" w:cs="宋体"/>
          <w:color w:val="auto"/>
          <w:spacing w:val="6"/>
          <w:sz w:val="24"/>
          <w:szCs w:val="24"/>
          <w:highlight w:val="none"/>
          <w:u w:val="single"/>
          <w:lang w:bidi="ar"/>
        </w:rPr>
        <w:t>（企业名称）</w:t>
      </w:r>
      <w:r>
        <w:rPr>
          <w:rFonts w:hint="eastAsia" w:ascii="宋体" w:hAnsi="宋体" w:cs="宋体"/>
          <w:color w:val="auto"/>
          <w:spacing w:val="6"/>
          <w:sz w:val="24"/>
          <w:szCs w:val="24"/>
          <w:highlight w:val="none"/>
          <w:lang w:bidi="ar"/>
        </w:rPr>
        <w:t>，从业人员</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lang w:bidi="ar"/>
        </w:rPr>
        <w:t>人，营业收入为</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lang w:bidi="ar"/>
        </w:rPr>
        <w:t>万元，资产总额为</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lang w:bidi="ar"/>
        </w:rPr>
        <w:t xml:space="preserve"> 万元</w:t>
      </w:r>
      <w:r>
        <w:rPr>
          <w:rFonts w:hint="eastAsia" w:ascii="宋体" w:hAnsi="宋体" w:cs="宋体"/>
          <w:color w:val="auto"/>
          <w:spacing w:val="6"/>
          <w:sz w:val="24"/>
          <w:szCs w:val="24"/>
          <w:highlight w:val="none"/>
          <w:vertAlign w:val="superscript"/>
          <w:lang w:bidi="ar"/>
        </w:rPr>
        <w:t>１</w:t>
      </w:r>
      <w:r>
        <w:rPr>
          <w:rFonts w:hint="eastAsia" w:ascii="宋体" w:hAnsi="宋体" w:cs="宋体"/>
          <w:color w:val="auto"/>
          <w:spacing w:val="6"/>
          <w:sz w:val="24"/>
          <w:szCs w:val="24"/>
          <w:highlight w:val="none"/>
          <w:lang w:bidi="ar"/>
        </w:rPr>
        <w:t>，属于</w:t>
      </w:r>
      <w:r>
        <w:rPr>
          <w:rFonts w:hint="eastAsia" w:ascii="宋体" w:hAnsi="宋体" w:cs="宋体"/>
          <w:color w:val="auto"/>
          <w:spacing w:val="6"/>
          <w:sz w:val="24"/>
          <w:szCs w:val="24"/>
          <w:highlight w:val="none"/>
          <w:u w:val="single"/>
          <w:lang w:bidi="ar"/>
        </w:rPr>
        <w:t>（中型 企业、小型企业、微型企业）</w:t>
      </w:r>
      <w:r>
        <w:rPr>
          <w:rFonts w:hint="eastAsia" w:ascii="宋体" w:hAnsi="宋体" w:cs="宋体"/>
          <w:color w:val="auto"/>
          <w:spacing w:val="6"/>
          <w:sz w:val="24"/>
          <w:szCs w:val="24"/>
          <w:highlight w:val="none"/>
          <w:lang w:bidi="ar"/>
        </w:rPr>
        <w:t>；</w:t>
      </w:r>
    </w:p>
    <w:p w14:paraId="20334D44">
      <w:pPr>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 xml:space="preserve">   ……</w:t>
      </w:r>
    </w:p>
    <w:p w14:paraId="4F94BEDB">
      <w:pPr>
        <w:spacing w:line="360" w:lineRule="auto"/>
        <w:ind w:firstLine="504"/>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 xml:space="preserve">以上企业，不属于大企业的分支机构，不存在控股股东为大企业的情形，也不存在与大企业的负责人为同一人的情形。 </w:t>
      </w:r>
    </w:p>
    <w:p w14:paraId="231047A9">
      <w:pPr>
        <w:spacing w:line="360" w:lineRule="auto"/>
        <w:ind w:firstLine="504"/>
        <w:rPr>
          <w:rFonts w:hint="eastAsia" w:ascii="宋体" w:hAnsi="宋体" w:cs="宋体"/>
          <w:color w:val="auto"/>
          <w:sz w:val="24"/>
          <w:szCs w:val="24"/>
          <w:highlight w:val="none"/>
        </w:rPr>
      </w:pPr>
      <w:r>
        <w:rPr>
          <w:rFonts w:hint="eastAsia" w:ascii="宋体" w:hAnsi="宋体" w:cs="宋体"/>
          <w:color w:val="auto"/>
          <w:spacing w:val="6"/>
          <w:sz w:val="24"/>
          <w:szCs w:val="24"/>
          <w:highlight w:val="none"/>
          <w:lang w:bidi="ar"/>
        </w:rPr>
        <w:t>本企业对上述声明内容的真实性负责。如有虚假，将依法承担相应责任。</w:t>
      </w:r>
      <w:r>
        <w:rPr>
          <w:rFonts w:hint="eastAsia" w:ascii="宋体" w:hAnsi="宋体" w:cs="宋体"/>
          <w:color w:val="auto"/>
          <w:sz w:val="24"/>
          <w:szCs w:val="24"/>
          <w:highlight w:val="none"/>
          <w:lang w:bidi="ar"/>
        </w:rPr>
        <w:t xml:space="preserve"> </w:t>
      </w:r>
    </w:p>
    <w:p w14:paraId="7AF6D955">
      <w:pPr>
        <w:pStyle w:val="334"/>
        <w:spacing w:line="500" w:lineRule="exact"/>
        <w:ind w:firstLine="480"/>
        <w:rPr>
          <w:rFonts w:ascii="宋体" w:hAnsi="宋体" w:eastAsia="宋体" w:cs="仿宋"/>
          <w:color w:val="auto"/>
          <w:highlight w:val="none"/>
        </w:rPr>
      </w:pPr>
    </w:p>
    <w:p w14:paraId="1E09162B">
      <w:pPr>
        <w:spacing w:line="580" w:lineRule="exact"/>
        <w:rPr>
          <w:rFonts w:ascii="宋体" w:hAnsi="宋体"/>
          <w:bCs/>
          <w:color w:val="auto"/>
          <w:sz w:val="24"/>
          <w:highlight w:val="none"/>
        </w:rPr>
      </w:pPr>
    </w:p>
    <w:p w14:paraId="6893FD66">
      <w:pPr>
        <w:spacing w:line="500" w:lineRule="exact"/>
        <w:rPr>
          <w:rFonts w:ascii="宋体" w:hAnsi="宋体"/>
          <w:bCs/>
          <w:color w:val="auto"/>
          <w:sz w:val="24"/>
          <w:highlight w:val="none"/>
        </w:rPr>
      </w:pPr>
    </w:p>
    <w:p w14:paraId="117920A6">
      <w:pPr>
        <w:spacing w:line="500" w:lineRule="exact"/>
        <w:ind w:firstLine="3840"/>
        <w:jc w:val="left"/>
        <w:rPr>
          <w:rFonts w:ascii="宋体" w:hAnsi="宋体"/>
          <w:bCs/>
          <w:color w:val="auto"/>
          <w:sz w:val="24"/>
          <w:highlight w:val="none"/>
        </w:rPr>
      </w:pPr>
      <w:r>
        <w:rPr>
          <w:rFonts w:hint="eastAsia" w:ascii="宋体" w:hAnsi="宋体"/>
          <w:bCs/>
          <w:color w:val="auto"/>
          <w:sz w:val="24"/>
          <w:highlight w:val="none"/>
        </w:rPr>
        <w:t>企业名称（盖章）：</w:t>
      </w:r>
    </w:p>
    <w:p w14:paraId="2B1651B9">
      <w:pPr>
        <w:spacing w:line="500" w:lineRule="exact"/>
        <w:ind w:firstLine="4800"/>
        <w:rPr>
          <w:rFonts w:ascii="宋体" w:hAnsi="宋体"/>
          <w:bCs/>
          <w:color w:val="auto"/>
          <w:sz w:val="24"/>
          <w:highlight w:val="none"/>
        </w:rPr>
      </w:pPr>
    </w:p>
    <w:p w14:paraId="1F0552C8">
      <w:pPr>
        <w:spacing w:line="500" w:lineRule="exact"/>
        <w:ind w:firstLine="3840"/>
        <w:outlineLvl w:val="1"/>
        <w:rPr>
          <w:rFonts w:ascii="宋体" w:hAnsi="宋体"/>
          <w:bCs/>
          <w:color w:val="auto"/>
          <w:sz w:val="24"/>
          <w:highlight w:val="none"/>
        </w:rPr>
      </w:pPr>
      <w:r>
        <w:rPr>
          <w:rFonts w:hint="eastAsia" w:ascii="宋体" w:hAnsi="宋体"/>
          <w:bCs/>
          <w:color w:val="auto"/>
          <w:sz w:val="24"/>
          <w:highlight w:val="none"/>
        </w:rPr>
        <w:t>日　　　　　　期：</w:t>
      </w:r>
    </w:p>
    <w:p w14:paraId="1E240DCA">
      <w:pPr>
        <w:spacing w:line="500" w:lineRule="exact"/>
        <w:rPr>
          <w:rFonts w:ascii="楷体_GB2312" w:hAnsi="华文中宋" w:eastAsia="楷体_GB2312"/>
          <w:bCs/>
          <w:color w:val="auto"/>
          <w:spacing w:val="20"/>
          <w:sz w:val="72"/>
          <w:highlight w:val="none"/>
        </w:rPr>
      </w:pPr>
    </w:p>
    <w:p w14:paraId="24DE29FE">
      <w:pPr>
        <w:spacing w:line="400" w:lineRule="exact"/>
        <w:rPr>
          <w:rFonts w:ascii="宋体" w:hAnsi="宋体"/>
          <w:bCs/>
          <w:color w:val="auto"/>
          <w:sz w:val="18"/>
          <w:szCs w:val="18"/>
          <w:highlight w:val="none"/>
        </w:rPr>
      </w:pPr>
      <w:r>
        <w:rPr>
          <w:rFonts w:hint="eastAsia" w:ascii="宋体" w:hAnsi="宋体" w:cs="宋体"/>
          <w:color w:val="auto"/>
          <w:sz w:val="18"/>
          <w:szCs w:val="18"/>
          <w:highlight w:val="none"/>
          <w:shd w:val="clear" w:color="auto" w:fill="FFFFFF"/>
        </w:rPr>
        <w:t>注：</w:t>
      </w:r>
      <w:r>
        <w:rPr>
          <w:rFonts w:hint="eastAsia" w:ascii="宋体" w:hAnsi="宋体"/>
          <w:bCs/>
          <w:color w:val="auto"/>
          <w:sz w:val="18"/>
          <w:szCs w:val="18"/>
          <w:highlight w:val="none"/>
          <w:vertAlign w:val="superscript"/>
        </w:rPr>
        <w:t>1</w:t>
      </w:r>
      <w:r>
        <w:rPr>
          <w:rFonts w:hint="eastAsia" w:ascii="宋体" w:hAnsi="宋体"/>
          <w:bCs/>
          <w:color w:val="auto"/>
          <w:sz w:val="18"/>
          <w:szCs w:val="18"/>
          <w:highlight w:val="none"/>
        </w:rPr>
        <w:t>从业人员、营业收入、资产总额填报上一年度数据，无上一年度数据的新成立企业可不填报。</w:t>
      </w:r>
    </w:p>
    <w:p w14:paraId="6FD358B2">
      <w:pPr>
        <w:spacing w:line="500" w:lineRule="exact"/>
        <w:jc w:val="center"/>
        <w:rPr>
          <w:rFonts w:ascii="黑体" w:hAnsi="黑体" w:eastAsia="黑体"/>
          <w:color w:val="auto"/>
          <w:spacing w:val="6"/>
          <w:sz w:val="28"/>
          <w:szCs w:val="28"/>
          <w:highlight w:val="none"/>
        </w:rPr>
      </w:pPr>
      <w:r>
        <w:rPr>
          <w:rFonts w:hint="eastAsia" w:ascii="宋体" w:hAnsi="宋体"/>
          <w:bCs/>
          <w:color w:val="auto"/>
          <w:sz w:val="18"/>
          <w:szCs w:val="18"/>
          <w:highlight w:val="none"/>
          <w:vertAlign w:val="superscript"/>
        </w:rPr>
        <w:t>2</w:t>
      </w:r>
      <w:r>
        <w:rPr>
          <w:rFonts w:hint="eastAsia" w:ascii="宋体" w:hAnsi="宋体" w:cs="宋体"/>
          <w:color w:val="auto"/>
          <w:sz w:val="18"/>
          <w:szCs w:val="18"/>
          <w:highlight w:val="none"/>
        </w:rPr>
        <w:t>中标、中标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color w:val="auto"/>
          <w:sz w:val="18"/>
          <w:szCs w:val="18"/>
          <w:highlight w:val="none"/>
        </w:rPr>
        <w:t>。</w:t>
      </w:r>
      <w:r>
        <w:rPr>
          <w:rFonts w:ascii="楷体_GB2312" w:hAnsi="宋体" w:eastAsia="楷体_GB2312"/>
          <w:b/>
          <w:bCs/>
          <w:color w:val="auto"/>
          <w:sz w:val="28"/>
          <w:szCs w:val="28"/>
          <w:highlight w:val="none"/>
        </w:rPr>
        <w:br w:type="page" w:clear="all"/>
      </w:r>
      <w:r>
        <w:rPr>
          <w:rFonts w:hint="eastAsia" w:ascii="宋体" w:hAnsi="宋体" w:cs="宋体"/>
          <w:color w:val="auto"/>
          <w:sz w:val="18"/>
          <w:szCs w:val="18"/>
          <w:highlight w:val="none"/>
          <w:shd w:val="clear" w:color="auto" w:fill="FFFFFF"/>
        </w:rPr>
        <w:t> </w:t>
      </w:r>
      <w:r>
        <w:rPr>
          <w:rFonts w:hint="eastAsia" w:ascii="黑体" w:hAnsi="黑体" w:eastAsia="黑体"/>
          <w:color w:val="auto"/>
          <w:spacing w:val="6"/>
          <w:sz w:val="28"/>
          <w:szCs w:val="28"/>
          <w:highlight w:val="none"/>
          <w:lang w:eastAsia="zh-CN"/>
        </w:rPr>
        <w:t>（</w:t>
      </w:r>
      <w:r>
        <w:rPr>
          <w:rFonts w:hint="eastAsia" w:ascii="黑体" w:hAnsi="黑体" w:eastAsia="黑体"/>
          <w:color w:val="auto"/>
          <w:spacing w:val="6"/>
          <w:sz w:val="28"/>
          <w:szCs w:val="28"/>
          <w:highlight w:val="none"/>
          <w:lang w:val="en-US" w:eastAsia="zh-CN"/>
        </w:rPr>
        <w:t>四</w:t>
      </w:r>
      <w:r>
        <w:rPr>
          <w:rFonts w:hint="eastAsia" w:ascii="黑体" w:hAnsi="黑体" w:eastAsia="黑体"/>
          <w:color w:val="auto"/>
          <w:spacing w:val="6"/>
          <w:sz w:val="28"/>
          <w:szCs w:val="28"/>
          <w:highlight w:val="none"/>
          <w:lang w:eastAsia="zh-CN"/>
        </w:rPr>
        <w:t>）</w:t>
      </w:r>
      <w:r>
        <w:rPr>
          <w:rFonts w:hint="eastAsia" w:ascii="黑体" w:hAnsi="黑体" w:eastAsia="黑体"/>
          <w:color w:val="auto"/>
          <w:spacing w:val="6"/>
          <w:sz w:val="28"/>
          <w:szCs w:val="28"/>
          <w:highlight w:val="none"/>
        </w:rPr>
        <w:t>、残疾人福利性单位声明函</w:t>
      </w:r>
    </w:p>
    <w:p w14:paraId="6BE9EC0B">
      <w:pPr>
        <w:spacing w:line="400" w:lineRule="exact"/>
        <w:jc w:val="center"/>
        <w:rPr>
          <w:rFonts w:ascii="仿宋_GB2312" w:eastAsia="仿宋_GB2312"/>
          <w:b/>
          <w:bCs/>
          <w:color w:val="auto"/>
          <w:sz w:val="24"/>
          <w:highlight w:val="none"/>
        </w:rPr>
      </w:pPr>
      <w:r>
        <w:rPr>
          <w:rFonts w:hint="eastAsia" w:ascii="仿宋_GB2312" w:eastAsia="仿宋_GB2312"/>
          <w:b/>
          <w:bCs/>
          <w:color w:val="auto"/>
          <w:sz w:val="24"/>
          <w:highlight w:val="none"/>
        </w:rPr>
        <w:t>（非残疾人福利性单位无需填写提供）</w:t>
      </w:r>
    </w:p>
    <w:p w14:paraId="404829C4">
      <w:pPr>
        <w:spacing w:line="500" w:lineRule="exact"/>
        <w:ind w:firstLine="504"/>
        <w:rPr>
          <w:rFonts w:ascii="宋体" w:hAnsi="宋体"/>
          <w:color w:val="auto"/>
          <w:spacing w:val="6"/>
          <w:sz w:val="24"/>
          <w:highlight w:val="none"/>
        </w:rPr>
      </w:pPr>
    </w:p>
    <w:p w14:paraId="0F95387F">
      <w:pPr>
        <w:spacing w:line="500" w:lineRule="exact"/>
        <w:ind w:firstLine="504"/>
        <w:rPr>
          <w:rFonts w:ascii="宋体" w:hAnsi="宋体"/>
          <w:color w:val="auto"/>
          <w:spacing w:val="6"/>
          <w:sz w:val="24"/>
          <w:highlight w:val="none"/>
        </w:rPr>
      </w:pPr>
      <w:r>
        <w:rPr>
          <w:rFonts w:hint="eastAsia" w:ascii="宋体" w:hAnsi="宋体"/>
          <w:color w:val="auto"/>
          <w:spacing w:val="6"/>
          <w:sz w:val="24"/>
          <w:highlight w:val="none"/>
        </w:rPr>
        <w:t>本单位郑重声明，根据《财政部 民政部 中国残疾人联合会关于促进残疾人就业政府采购政策的通知》（财库</w:t>
      </w:r>
      <w:r>
        <w:rPr>
          <w:rFonts w:hint="eastAsia" w:ascii="宋体" w:hAnsi="宋体"/>
          <w:color w:val="auto"/>
          <w:sz w:val="24"/>
          <w:highlight w:val="none"/>
        </w:rPr>
        <w:t>〔2017〕 141</w:t>
      </w:r>
      <w:r>
        <w:rPr>
          <w:rFonts w:hint="eastAsia" w:ascii="宋体" w:hAnsi="宋体"/>
          <w:color w:val="auto"/>
          <w:spacing w:val="6"/>
          <w:sz w:val="24"/>
          <w:highlight w:val="none"/>
        </w:rPr>
        <w:t>号）的规定，本单位为符合条件的残疾人福利性单位，且本单位参加</w:t>
      </w:r>
      <w:r>
        <w:rPr>
          <w:rFonts w:hint="eastAsia" w:ascii="宋体" w:hAnsi="宋体"/>
          <w:bCs/>
          <w:color w:val="auto"/>
          <w:sz w:val="24"/>
          <w:highlight w:val="none"/>
          <w:u w:val="single"/>
        </w:rPr>
        <w:t>　　　　　</w:t>
      </w:r>
      <w:r>
        <w:rPr>
          <w:rFonts w:hint="eastAsia" w:ascii="宋体" w:hAnsi="宋体"/>
          <w:bCs/>
          <w:color w:val="auto"/>
          <w:sz w:val="24"/>
          <w:highlight w:val="none"/>
        </w:rPr>
        <w:t>单位的</w:t>
      </w:r>
      <w:r>
        <w:rPr>
          <w:rFonts w:hint="eastAsia" w:ascii="宋体" w:hAnsi="宋体"/>
          <w:bCs/>
          <w:color w:val="auto"/>
          <w:sz w:val="24"/>
          <w:highlight w:val="none"/>
          <w:u w:val="single"/>
        </w:rPr>
        <w:t>　　　　　　　　　　　</w:t>
      </w:r>
      <w:r>
        <w:rPr>
          <w:rFonts w:hint="eastAsia" w:ascii="宋体" w:hAnsi="宋体"/>
          <w:bCs/>
          <w:color w:val="auto"/>
          <w:sz w:val="24"/>
          <w:highlight w:val="none"/>
        </w:rPr>
        <w:t>项目</w:t>
      </w:r>
      <w:r>
        <w:rPr>
          <w:rFonts w:hint="eastAsia" w:ascii="宋体" w:hAnsi="宋体"/>
          <w:color w:val="auto"/>
          <w:spacing w:val="6"/>
          <w:sz w:val="24"/>
          <w:highlight w:val="none"/>
        </w:rPr>
        <w:t>采购活动提供本单位制造的货物（由本单位承担工程/提供服务），或者提供其他残疾人福利性单位制造的货物（不包括使用非残疾人福利性单位注册商标的货物）。</w:t>
      </w:r>
    </w:p>
    <w:p w14:paraId="2E56A607">
      <w:pPr>
        <w:spacing w:line="500" w:lineRule="exact"/>
        <w:ind w:firstLine="504"/>
        <w:rPr>
          <w:rFonts w:ascii="宋体" w:hAnsi="宋体"/>
          <w:color w:val="auto"/>
          <w:spacing w:val="6"/>
          <w:sz w:val="24"/>
          <w:highlight w:val="none"/>
        </w:rPr>
      </w:pPr>
      <w:r>
        <w:rPr>
          <w:rFonts w:hint="eastAsia" w:ascii="宋体" w:hAnsi="宋体"/>
          <w:color w:val="auto"/>
          <w:spacing w:val="6"/>
          <w:sz w:val="24"/>
          <w:highlight w:val="none"/>
        </w:rPr>
        <w:t>本单位对上述声明的真实性负责。如有虚假，将依法承担相应责任。</w:t>
      </w:r>
    </w:p>
    <w:p w14:paraId="1E869947">
      <w:pPr>
        <w:spacing w:line="500" w:lineRule="exact"/>
        <w:ind w:firstLine="504"/>
        <w:rPr>
          <w:rFonts w:ascii="宋体" w:hAnsi="宋体"/>
          <w:color w:val="auto"/>
          <w:spacing w:val="6"/>
          <w:sz w:val="24"/>
          <w:highlight w:val="none"/>
        </w:rPr>
      </w:pPr>
    </w:p>
    <w:p w14:paraId="2CD8B1E8">
      <w:pPr>
        <w:spacing w:line="500" w:lineRule="exact"/>
        <w:ind w:firstLine="504"/>
        <w:rPr>
          <w:rFonts w:ascii="宋体" w:hAnsi="宋体"/>
          <w:color w:val="auto"/>
          <w:spacing w:val="6"/>
          <w:sz w:val="24"/>
          <w:highlight w:val="none"/>
        </w:rPr>
      </w:pPr>
    </w:p>
    <w:p w14:paraId="47523ECE">
      <w:pPr>
        <w:spacing w:line="400" w:lineRule="exact"/>
        <w:ind w:firstLine="4320"/>
        <w:jc w:val="left"/>
        <w:outlineLvl w:val="1"/>
        <w:rPr>
          <w:rFonts w:ascii="宋体" w:hAnsi="宋体"/>
          <w:bCs/>
          <w:color w:val="auto"/>
          <w:sz w:val="24"/>
          <w:highlight w:val="none"/>
        </w:rPr>
      </w:pPr>
      <w:r>
        <w:rPr>
          <w:rFonts w:hint="eastAsia" w:ascii="宋体" w:hAnsi="宋体"/>
          <w:bCs/>
          <w:color w:val="auto"/>
          <w:sz w:val="24"/>
          <w:highlight w:val="none"/>
        </w:rPr>
        <w:t>投标单位（公章）：</w:t>
      </w:r>
    </w:p>
    <w:p w14:paraId="0550ECC1">
      <w:pPr>
        <w:spacing w:line="400" w:lineRule="exact"/>
        <w:ind w:firstLine="3600"/>
        <w:jc w:val="left"/>
        <w:outlineLvl w:val="1"/>
        <w:rPr>
          <w:rFonts w:ascii="宋体" w:hAnsi="宋体"/>
          <w:bCs/>
          <w:color w:val="auto"/>
          <w:sz w:val="24"/>
          <w:highlight w:val="none"/>
        </w:rPr>
      </w:pPr>
    </w:p>
    <w:p w14:paraId="19F3F795">
      <w:pPr>
        <w:widowControl/>
        <w:shd w:val="clear" w:color="auto" w:fill="FFFFFF"/>
        <w:spacing w:beforeAutospacing="1" w:afterAutospacing="1" w:line="315" w:lineRule="atLeast"/>
        <w:ind w:firstLine="4080"/>
        <w:jc w:val="left"/>
        <w:rPr>
          <w:rFonts w:ascii="Verdana" w:hAnsi="Verdana" w:eastAsia="Verdana" w:cs="Verdana"/>
          <w:color w:val="auto"/>
          <w:szCs w:val="21"/>
          <w:highlight w:val="none"/>
        </w:rPr>
      </w:pPr>
      <w:r>
        <w:rPr>
          <w:rFonts w:hint="eastAsia" w:ascii="宋体" w:hAnsi="宋体"/>
          <w:bCs/>
          <w:color w:val="auto"/>
          <w:sz w:val="24"/>
          <w:highlight w:val="none"/>
        </w:rPr>
        <w:t>日期：     年    月    日</w:t>
      </w:r>
      <w:r>
        <w:rPr>
          <w:rFonts w:hint="eastAsia" w:ascii="宋体" w:hAnsi="宋体"/>
          <w:color w:val="auto"/>
          <w:spacing w:val="6"/>
          <w:sz w:val="24"/>
          <w:highlight w:val="none"/>
        </w:rPr>
        <w:t>　　</w:t>
      </w:r>
      <w:r>
        <w:rPr>
          <w:rFonts w:hint="eastAsia" w:ascii="楷体_GB2312" w:eastAsia="楷体_GB2312"/>
          <w:color w:val="auto"/>
          <w:spacing w:val="6"/>
          <w:sz w:val="24"/>
          <w:highlight w:val="none"/>
        </w:rPr>
        <w:t>　　　　　　　　</w:t>
      </w:r>
    </w:p>
    <w:p w14:paraId="41FE7328">
      <w:pPr>
        <w:spacing w:line="500" w:lineRule="exact"/>
        <w:rPr>
          <w:rFonts w:hint="eastAsia" w:ascii="宋体" w:hAnsi="宋体" w:cs="宋体"/>
          <w:color w:val="auto"/>
          <w:spacing w:val="6"/>
          <w:sz w:val="24"/>
          <w:szCs w:val="24"/>
          <w:highlight w:val="none"/>
        </w:rPr>
      </w:pPr>
    </w:p>
    <w:p w14:paraId="6AF1CCF3">
      <w:pPr>
        <w:spacing w:line="500" w:lineRule="exact"/>
        <w:rPr>
          <w:rFonts w:hint="eastAsia" w:ascii="宋体" w:hAnsi="宋体" w:cs="宋体"/>
          <w:color w:val="auto"/>
          <w:spacing w:val="6"/>
          <w:sz w:val="24"/>
          <w:szCs w:val="24"/>
          <w:highlight w:val="none"/>
        </w:rPr>
      </w:pPr>
    </w:p>
    <w:p w14:paraId="160EB071">
      <w:pPr>
        <w:spacing w:line="500" w:lineRule="exact"/>
        <w:rPr>
          <w:rFonts w:hint="eastAsia" w:ascii="宋体" w:hAnsi="宋体" w:cs="宋体"/>
          <w:color w:val="auto"/>
          <w:spacing w:val="6"/>
          <w:sz w:val="24"/>
          <w:szCs w:val="24"/>
          <w:highlight w:val="none"/>
        </w:rPr>
      </w:pPr>
    </w:p>
    <w:p w14:paraId="7430511C">
      <w:pPr>
        <w:spacing w:line="500" w:lineRule="exact"/>
        <w:rPr>
          <w:rFonts w:hint="eastAsia" w:ascii="宋体" w:hAnsi="宋体" w:cs="宋体"/>
          <w:color w:val="auto"/>
          <w:spacing w:val="6"/>
          <w:sz w:val="24"/>
          <w:szCs w:val="24"/>
          <w:highlight w:val="none"/>
        </w:rPr>
      </w:pPr>
    </w:p>
    <w:sectPr>
      <w:pgSz w:w="11906" w:h="16838"/>
      <w:pgMar w:top="1440" w:right="1166" w:bottom="1440" w:left="108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DFKai-SB">
    <w:altName w:val="Microsoft JhengHei Light"/>
    <w:panose1 w:val="03050502040202030202"/>
    <w:charset w:val="00"/>
    <w:family w:val="auto"/>
    <w:pitch w:val="default"/>
    <w:sig w:usb0="00000000" w:usb1="00000000" w:usb2="00000000" w:usb3="00000000" w:csb0="00000000" w:csb1="00000000"/>
  </w:font>
  <w:font w:name="Microsoft JhengHei Light">
    <w:panose1 w:val="020B0304030504040204"/>
    <w:charset w:val="88"/>
    <w:family w:val="auto"/>
    <w:pitch w:val="default"/>
    <w:sig w:usb0="800002A7" w:usb1="28CF4400" w:usb2="00000016" w:usb3="00000000" w:csb0="00100009" w:csb1="00000000"/>
  </w:font>
  <w:font w:name="Cambria">
    <w:panose1 w:val="02040503050406030204"/>
    <w:charset w:val="00"/>
    <w:family w:val="auto"/>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H Yb 1gj">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黑体....">
    <w:altName w:val="黑体"/>
    <w:panose1 w:val="02010609060101010101"/>
    <w:charset w:val="00"/>
    <w:family w:val="auto"/>
    <w:pitch w:val="default"/>
    <w:sig w:usb0="00000000" w:usb1="00000000" w:usb2="00000000" w:usb3="00000000" w:csb0="00000000" w:csb1="00000000"/>
  </w:font>
  <w:font w:name="长城仿宋">
    <w:altName w:val="仿宋"/>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6A5AE">
    <w:pPr>
      <w:pStyle w:val="2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048D7">
    <w:pPr>
      <w:pStyle w:val="21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4C04B2">
                          <w:pPr>
                            <w:pStyle w:val="217"/>
                            <w:tabs>
                              <w:tab w:val="clear" w:pos="4153"/>
                              <w:tab w:val="clear" w:pos="8306"/>
                            </w:tabs>
                            <w:jc w:val="center"/>
                          </w:pPr>
                          <w:r>
                            <w:fldChar w:fldCharType="begin"/>
                          </w:r>
                          <w:r>
                            <w:rPr>
                              <w:rStyle w:val="237"/>
                            </w:rPr>
                            <w:instrText xml:space="preserve"> PAGE </w:instrText>
                          </w:r>
                          <w:r>
                            <w:fldChar w:fldCharType="separate"/>
                          </w:r>
                          <w:r>
                            <w:rPr>
                              <w:rStyle w:val="237"/>
                            </w:rPr>
                            <w:t>5</w:t>
                          </w:r>
                          <w:r>
                            <w:fldChar w:fldCharType="end"/>
                          </w:r>
                        </w:p>
                        <w:p w14:paraId="7FCB2BB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F4C04B2">
                    <w:pPr>
                      <w:pStyle w:val="217"/>
                      <w:tabs>
                        <w:tab w:val="clear" w:pos="4153"/>
                        <w:tab w:val="clear" w:pos="8306"/>
                      </w:tabs>
                      <w:jc w:val="center"/>
                    </w:pPr>
                    <w:r>
                      <w:fldChar w:fldCharType="begin"/>
                    </w:r>
                    <w:r>
                      <w:rPr>
                        <w:rStyle w:val="237"/>
                      </w:rPr>
                      <w:instrText xml:space="preserve"> PAGE </w:instrText>
                    </w:r>
                    <w:r>
                      <w:fldChar w:fldCharType="separate"/>
                    </w:r>
                    <w:r>
                      <w:rPr>
                        <w:rStyle w:val="237"/>
                      </w:rPr>
                      <w:t>5</w:t>
                    </w:r>
                    <w:r>
                      <w:fldChar w:fldCharType="end"/>
                    </w:r>
                  </w:p>
                  <w:p w14:paraId="7FCB2BB7"/>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65E4D">
    <w:pPr>
      <w:pStyle w:val="220"/>
      <w:jc w:val="left"/>
      <w:rPr>
        <w:rFonts w:hint="eastAsia" w:ascii="宋体" w:hAnsi="宋体" w:eastAsia="宋体" w:cs="宋体"/>
        <w:lang w:eastAsia="zh-CN"/>
      </w:rPr>
    </w:pPr>
    <w:r>
      <w:rPr>
        <w:rFonts w:hint="eastAsia"/>
      </w:rPr>
      <w:t xml:space="preserve"> </w:t>
    </w:r>
    <w:r>
      <w:rPr>
        <w:rFonts w:hint="eastAsia"/>
        <w:lang w:eastAsia="zh-CN"/>
      </w:rPr>
      <w:t>JSZC-320281-HAZJ-G2026-0008</w:t>
    </w:r>
    <w:r>
      <w:rPr>
        <w:rFonts w:hint="eastAsia"/>
      </w:rPr>
      <w:t xml:space="preserve">                       </w:t>
    </w:r>
    <w:r>
      <w:rPr>
        <w:rFonts w:hint="eastAsia"/>
        <w:lang w:val="en-US" w:eastAsia="zh-CN"/>
      </w:rPr>
      <w:t xml:space="preserve">    </w:t>
    </w:r>
    <w:r>
      <w:rPr>
        <w:rFonts w:hint="eastAsia" w:ascii="宋体" w:hAnsi="宋体" w:cs="宋体"/>
        <w:lang w:eastAsia="zh-CN"/>
      </w:rPr>
      <w:t>江阴临港化工园区限值限量在线大气监测设备更换（二期）</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0C4EDA0"/>
    <w:multiLevelType w:val="singleLevel"/>
    <w:tmpl w:val="C0C4EDA0"/>
    <w:lvl w:ilvl="0" w:tentative="0">
      <w:start w:val="1"/>
      <w:numFmt w:val="decimal"/>
      <w:suff w:val="nothing"/>
      <w:lvlText w:val="（%1）"/>
      <w:lvlJc w:val="left"/>
    </w:lvl>
  </w:abstractNum>
  <w:abstractNum w:abstractNumId="2">
    <w:nsid w:val="CF092B84"/>
    <w:multiLevelType w:val="multilevel"/>
    <w:tmpl w:val="CF092B84"/>
    <w:lvl w:ilvl="0" w:tentative="0">
      <w:start w:val="1"/>
      <w:numFmt w:val="decimal"/>
      <w:pStyle w:val="330"/>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000000"/>
    <w:multiLevelType w:val="multilevel"/>
    <w:tmpl w:val="00000000"/>
    <w:lvl w:ilvl="0" w:tentative="0">
      <w:start w:val="1"/>
      <w:numFmt w:val="chineseCounting"/>
      <w:suff w:val="nothing"/>
      <w:lvlText w:val="（%1）"/>
      <w:lvlJc w:val="left"/>
      <w:rPr>
        <w:rFonts w:hint="eastAsia"/>
      </w:rPr>
    </w:lvl>
    <w:lvl w:ilvl="1" w:tentative="0">
      <w:start w:val="1"/>
      <w:numFmt w:val="decimal"/>
      <w:suff w:val="nothing"/>
      <w:lvlText w:val="%2．"/>
      <w:lvlJc w:val="left"/>
      <w:rPr>
        <w:rFonts w:hint="eastAsia"/>
      </w:rPr>
    </w:lvl>
    <w:lvl w:ilvl="2" w:tentative="0">
      <w:start w:val="1"/>
      <w:numFmt w:val="decimal"/>
      <w:suff w:val="nothing"/>
      <w:lvlText w:val="（%3）"/>
      <w:lvlJc w:val="left"/>
      <w:rPr>
        <w:rFonts w:hint="eastAsia"/>
      </w:rPr>
    </w:lvl>
    <w:lvl w:ilvl="3" w:tentative="0">
      <w:start w:val="1"/>
      <w:numFmt w:val="decimalEnclosedCircleChinese"/>
      <w:suff w:val="nothing"/>
      <w:lvlText w:val="%4"/>
      <w:lvlJc w:val="left"/>
      <w:rPr>
        <w:rFonts w:hint="eastAsia"/>
      </w:rPr>
    </w:lvl>
    <w:lvl w:ilvl="4" w:tentative="0">
      <w:start w:val="1"/>
      <w:numFmt w:val="decimal"/>
      <w:suff w:val="nothing"/>
      <w:lvlText w:val="%5）"/>
      <w:lvlJc w:val="left"/>
      <w:rPr>
        <w:rFonts w:hint="eastAsia"/>
      </w:rPr>
    </w:lvl>
    <w:lvl w:ilvl="5" w:tentative="0">
      <w:start w:val="1"/>
      <w:numFmt w:val="lowerLetter"/>
      <w:suff w:val="nothing"/>
      <w:lvlText w:val="%6．"/>
      <w:lvlJc w:val="left"/>
      <w:rPr>
        <w:rFonts w:hint="eastAsia"/>
      </w:rPr>
    </w:lvl>
    <w:lvl w:ilvl="6" w:tentative="0">
      <w:start w:val="1"/>
      <w:numFmt w:val="lowerLetter"/>
      <w:suff w:val="nothing"/>
      <w:lvlText w:val="%7）"/>
      <w:lvlJc w:val="left"/>
      <w:rPr>
        <w:rFonts w:hint="eastAsia"/>
      </w:rPr>
    </w:lvl>
    <w:lvl w:ilvl="7" w:tentative="0">
      <w:start w:val="1"/>
      <w:numFmt w:val="lowerRoman"/>
      <w:suff w:val="nothing"/>
      <w:lvlText w:val="%8．"/>
      <w:lvlJc w:val="left"/>
      <w:rPr>
        <w:rFonts w:hint="eastAsia"/>
      </w:rPr>
    </w:lvl>
    <w:lvl w:ilvl="8" w:tentative="0">
      <w:start w:val="1"/>
      <w:numFmt w:val="lowerRoman"/>
      <w:suff w:val="nothing"/>
      <w:lvlText w:val="%9）"/>
      <w:lvlJc w:val="left"/>
      <w:rPr>
        <w:rFonts w:hint="eastAsia"/>
      </w:rPr>
    </w:lvl>
  </w:abstractNum>
  <w:abstractNum w:abstractNumId="4">
    <w:nsid w:val="0053208E"/>
    <w:multiLevelType w:val="multilevel"/>
    <w:tmpl w:val="0053208E"/>
    <w:lvl w:ilvl="0" w:tentative="0">
      <w:start w:val="1"/>
      <w:numFmt w:val="upperLetter"/>
      <w:pStyle w:val="193"/>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248C179"/>
    <w:multiLevelType w:val="multilevel"/>
    <w:tmpl w:val="0248C179"/>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E064151"/>
    <w:multiLevelType w:val="multilevel"/>
    <w:tmpl w:val="0E064151"/>
    <w:lvl w:ilvl="0" w:tentative="0">
      <w:start w:val="1"/>
      <w:numFmt w:val="bullet"/>
      <w:suff w:val="nothing"/>
      <w:lvlText w:val=""/>
      <w:lvlJc w:val="left"/>
      <w:pPr>
        <w:ind w:left="0" w:firstLine="48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7">
    <w:nsid w:val="39792995"/>
    <w:multiLevelType w:val="multilevel"/>
    <w:tmpl w:val="39792995"/>
    <w:lvl w:ilvl="0" w:tentative="0">
      <w:start w:val="1"/>
      <w:numFmt w:val="bullet"/>
      <w:suff w:val="nothing"/>
      <w:lvlText w:val=""/>
      <w:lvlJc w:val="left"/>
      <w:pPr>
        <w:ind w:left="0" w:firstLine="48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8">
    <w:nsid w:val="59ADCABA"/>
    <w:multiLevelType w:val="multilevel"/>
    <w:tmpl w:val="59ADCABA"/>
    <w:lvl w:ilvl="0" w:tentative="0">
      <w:start w:val="1"/>
      <w:numFmt w:val="bullet"/>
      <w:pStyle w:val="34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9">
    <w:nsid w:val="61C08049"/>
    <w:multiLevelType w:val="singleLevel"/>
    <w:tmpl w:val="61C08049"/>
    <w:lvl w:ilvl="0" w:tentative="0">
      <w:start w:val="1"/>
      <w:numFmt w:val="decimal"/>
      <w:suff w:val="nothing"/>
      <w:lvlText w:val="（%1）"/>
      <w:lvlJc w:val="left"/>
    </w:lvl>
  </w:abstractNum>
  <w:num w:numId="1">
    <w:abstractNumId w:val="4"/>
  </w:num>
  <w:num w:numId="2">
    <w:abstractNumId w:val="2"/>
  </w:num>
  <w:num w:numId="3">
    <w:abstractNumId w:val="8"/>
  </w:num>
  <w:num w:numId="4">
    <w:abstractNumId w:val="0"/>
  </w:num>
  <w:num w:numId="5">
    <w:abstractNumId w:val="3"/>
  </w:num>
  <w:num w:numId="6">
    <w:abstractNumId w:val="6"/>
  </w:num>
  <w:num w:numId="7">
    <w:abstractNumId w:val="7"/>
  </w:num>
  <w:num w:numId="8">
    <w:abstractNumId w:val="5"/>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DB1C83"/>
    <w:rsid w:val="041471AE"/>
    <w:rsid w:val="09440A55"/>
    <w:rsid w:val="0CD074C4"/>
    <w:rsid w:val="0E8B67DF"/>
    <w:rsid w:val="11140D0D"/>
    <w:rsid w:val="11DC69E9"/>
    <w:rsid w:val="122B7BC9"/>
    <w:rsid w:val="14DE58BA"/>
    <w:rsid w:val="155B515D"/>
    <w:rsid w:val="18781D0A"/>
    <w:rsid w:val="1A2F0966"/>
    <w:rsid w:val="250364AF"/>
    <w:rsid w:val="257302A1"/>
    <w:rsid w:val="28763B0B"/>
    <w:rsid w:val="2F1808D1"/>
    <w:rsid w:val="359E2A14"/>
    <w:rsid w:val="39F7069B"/>
    <w:rsid w:val="40D601B1"/>
    <w:rsid w:val="43ED6D81"/>
    <w:rsid w:val="47482EE3"/>
    <w:rsid w:val="48BA1BBF"/>
    <w:rsid w:val="4D02382F"/>
    <w:rsid w:val="50120532"/>
    <w:rsid w:val="50EF617E"/>
    <w:rsid w:val="51AE6039"/>
    <w:rsid w:val="537B5B70"/>
    <w:rsid w:val="53E551DE"/>
    <w:rsid w:val="56937355"/>
    <w:rsid w:val="64195594"/>
    <w:rsid w:val="693C20B0"/>
    <w:rsid w:val="6C114060"/>
    <w:rsid w:val="6F3C65DA"/>
    <w:rsid w:val="6FB631A0"/>
    <w:rsid w:val="72D62F87"/>
    <w:rsid w:val="75800018"/>
    <w:rsid w:val="78011BF1"/>
    <w:rsid w:val="78A31478"/>
    <w:rsid w:val="791F184B"/>
    <w:rsid w:val="7A8B709C"/>
    <w:rsid w:val="7B991509"/>
    <w:rsid w:val="7BEE6EA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45"/>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4"/>
    <w:qFormat/>
    <w:uiPriority w:val="0"/>
    <w:pPr>
      <w:spacing w:line="360" w:lineRule="auto"/>
      <w:ind w:firstLine="0" w:firstLineChars="0"/>
    </w:pPr>
    <w:rPr>
      <w:rFonts w:ascii="Times New Roman" w:hAnsi="Times New Roman" w:eastAsia="宋体"/>
      <w:kern w:val="0"/>
    </w:rPr>
  </w:style>
  <w:style w:type="paragraph" w:styleId="14">
    <w:name w:val="Body Text First Indent"/>
    <w:basedOn w:val="13"/>
    <w:next w:val="15"/>
    <w:qFormat/>
    <w:uiPriority w:val="0"/>
    <w:pPr>
      <w:ind w:firstLine="420" w:firstLineChars="100"/>
    </w:pPr>
  </w:style>
  <w:style w:type="paragraph" w:styleId="15">
    <w:name w:val="toc 6"/>
    <w:basedOn w:val="1"/>
    <w:next w:val="1"/>
    <w:unhideWhenUsed/>
    <w:qFormat/>
    <w:uiPriority w:val="39"/>
    <w:pPr>
      <w:spacing w:after="57"/>
      <w:ind w:left="1417" w:right="0" w:firstLine="0"/>
    </w:pPr>
  </w:style>
  <w:style w:type="paragraph" w:styleId="16">
    <w:name w:val="Body Text Indent"/>
    <w:basedOn w:val="1"/>
    <w:next w:val="17"/>
    <w:qFormat/>
    <w:uiPriority w:val="0"/>
    <w:pPr>
      <w:ind w:left="0" w:leftChars="0" w:firstLine="0" w:firstLineChars="0"/>
    </w:pPr>
  </w:style>
  <w:style w:type="paragraph" w:styleId="17">
    <w:name w:val="envelope return"/>
    <w:basedOn w:val="1"/>
    <w:qFormat/>
    <w:uiPriority w:val="0"/>
    <w:rPr>
      <w:rFonts w:ascii="Arial" w:hAnsi="Arial"/>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pPr>
      <w:spacing w:line="360" w:lineRule="auto"/>
    </w:pPr>
    <w:rPr>
      <w:rFonts w:ascii="宋体" w:hAnsi="Courier New" w:eastAsia="楷体_GB2312"/>
      <w:sz w:val="26"/>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87"/>
    <w:semiHidden/>
    <w:unhideWhenUsed/>
    <w:qFormat/>
    <w:uiPriority w:val="99"/>
    <w:pPr>
      <w:spacing w:after="0" w:line="240" w:lineRule="auto"/>
    </w:pPr>
    <w:rPr>
      <w:sz w:val="20"/>
    </w:rPr>
  </w:style>
  <w:style w:type="paragraph" w:styleId="23">
    <w:name w:val="footer"/>
    <w:basedOn w:val="1"/>
    <w:link w:val="60"/>
    <w:unhideWhenUsed/>
    <w:qFormat/>
    <w:uiPriority w:val="99"/>
    <w:pPr>
      <w:tabs>
        <w:tab w:val="center" w:pos="7143"/>
        <w:tab w:val="right" w:pos="14287"/>
      </w:tabs>
      <w:spacing w:after="0" w:line="240" w:lineRule="auto"/>
    </w:pPr>
  </w:style>
  <w:style w:type="paragraph" w:styleId="24">
    <w:name w:val="header"/>
    <w:basedOn w:val="1"/>
    <w:link w:val="58"/>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3"/>
    <w:qFormat/>
    <w:uiPriority w:val="11"/>
    <w:pPr>
      <w:spacing w:before="200" w:after="200"/>
    </w:pPr>
    <w:rPr>
      <w:sz w:val="24"/>
      <w:szCs w:val="24"/>
    </w:rPr>
  </w:style>
  <w:style w:type="paragraph" w:styleId="28">
    <w:name w:val="footnote text"/>
    <w:basedOn w:val="1"/>
    <w:link w:val="186"/>
    <w:semiHidden/>
    <w:unhideWhenUsed/>
    <w:qFormat/>
    <w:uiPriority w:val="99"/>
    <w:pPr>
      <w:spacing w:after="40" w:line="240" w:lineRule="auto"/>
    </w:pPr>
    <w:rPr>
      <w:sz w:val="18"/>
    </w:r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spacing w:before="0" w:beforeAutospacing="1" w:after="0" w:afterAutospacing="1"/>
      <w:ind w:left="0" w:right="0"/>
      <w:jc w:val="left"/>
    </w:pPr>
    <w:rPr>
      <w:kern w:val="0"/>
      <w:sz w:val="24"/>
      <w:lang w:val="en-US" w:eastAsia="zh-CN"/>
    </w:rPr>
  </w:style>
  <w:style w:type="paragraph" w:styleId="33">
    <w:name w:val="Title"/>
    <w:basedOn w:val="1"/>
    <w:next w:val="1"/>
    <w:link w:val="52"/>
    <w:qFormat/>
    <w:uiPriority w:val="10"/>
    <w:pPr>
      <w:spacing w:before="300" w:after="200"/>
      <w:contextualSpacing/>
    </w:pPr>
    <w:rPr>
      <w:sz w:val="48"/>
      <w:szCs w:val="48"/>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索引 411"/>
    <w:basedOn w:val="1"/>
    <w:next w:val="1"/>
    <w:qFormat/>
    <w:uiPriority w:val="0"/>
    <w:pPr>
      <w:spacing w:line="360" w:lineRule="auto"/>
      <w:ind w:left="960" w:hanging="240"/>
      <w:jc w:val="left"/>
    </w:pPr>
    <w:rPr>
      <w:sz w:val="20"/>
      <w:szCs w:val="20"/>
    </w:rPr>
  </w:style>
  <w:style w:type="character" w:customStyle="1" w:styleId="41">
    <w:name w:val="Heading 1 Char"/>
    <w:link w:val="2"/>
    <w:qFormat/>
    <w:uiPriority w:val="9"/>
    <w:rPr>
      <w:rFonts w:ascii="Arial" w:hAnsi="Arial" w:eastAsia="Arial" w:cs="Arial"/>
      <w:sz w:val="40"/>
      <w:szCs w:val="40"/>
    </w:rPr>
  </w:style>
  <w:style w:type="character" w:customStyle="1" w:styleId="42">
    <w:name w:val="Heading 2 Char"/>
    <w:link w:val="3"/>
    <w:qFormat/>
    <w:uiPriority w:val="9"/>
    <w:rPr>
      <w:rFonts w:ascii="Arial" w:hAnsi="Arial" w:eastAsia="Arial" w:cs="Arial"/>
      <w:sz w:val="34"/>
    </w:rPr>
  </w:style>
  <w:style w:type="character" w:customStyle="1" w:styleId="43">
    <w:name w:val="Heading 3 Char"/>
    <w:link w:val="4"/>
    <w:qFormat/>
    <w:uiPriority w:val="9"/>
    <w:rPr>
      <w:rFonts w:ascii="Arial" w:hAnsi="Arial" w:eastAsia="Arial" w:cs="Arial"/>
      <w:sz w:val="30"/>
      <w:szCs w:val="30"/>
    </w:rPr>
  </w:style>
  <w:style w:type="character" w:customStyle="1" w:styleId="44">
    <w:name w:val="Heading 4 Char"/>
    <w:link w:val="5"/>
    <w:qFormat/>
    <w:uiPriority w:val="9"/>
    <w:rPr>
      <w:rFonts w:ascii="Arial" w:hAnsi="Arial" w:eastAsia="Arial" w:cs="Arial"/>
      <w:b/>
      <w:bCs/>
      <w:sz w:val="26"/>
      <w:szCs w:val="26"/>
    </w:rPr>
  </w:style>
  <w:style w:type="character" w:customStyle="1" w:styleId="45">
    <w:name w:val="Heading 5 Char"/>
    <w:link w:val="6"/>
    <w:qFormat/>
    <w:uiPriority w:val="9"/>
    <w:rPr>
      <w:rFonts w:ascii="Arial" w:hAnsi="Arial" w:eastAsia="Arial" w:cs="Arial"/>
      <w:b/>
      <w:bCs/>
      <w:sz w:val="24"/>
      <w:szCs w:val="24"/>
    </w:rPr>
  </w:style>
  <w:style w:type="character" w:customStyle="1" w:styleId="46">
    <w:name w:val="Heading 6 Char"/>
    <w:link w:val="7"/>
    <w:qFormat/>
    <w:uiPriority w:val="9"/>
    <w:rPr>
      <w:rFonts w:ascii="Arial" w:hAnsi="Arial" w:eastAsia="Arial" w:cs="Arial"/>
      <w:b/>
      <w:bCs/>
      <w:sz w:val="22"/>
      <w:szCs w:val="22"/>
    </w:rPr>
  </w:style>
  <w:style w:type="character" w:customStyle="1" w:styleId="47">
    <w:name w:val="Heading 7 Char"/>
    <w:link w:val="8"/>
    <w:qFormat/>
    <w:uiPriority w:val="9"/>
    <w:rPr>
      <w:rFonts w:ascii="Arial" w:hAnsi="Arial" w:eastAsia="Arial" w:cs="Arial"/>
      <w:b/>
      <w:bCs/>
      <w:i/>
      <w:iCs/>
      <w:sz w:val="22"/>
      <w:szCs w:val="22"/>
    </w:rPr>
  </w:style>
  <w:style w:type="character" w:customStyle="1" w:styleId="48">
    <w:name w:val="Heading 8 Char"/>
    <w:link w:val="9"/>
    <w:qFormat/>
    <w:uiPriority w:val="9"/>
    <w:rPr>
      <w:rFonts w:ascii="Arial" w:hAnsi="Arial" w:eastAsia="Arial" w:cs="Arial"/>
      <w:i/>
      <w:iCs/>
      <w:sz w:val="22"/>
      <w:szCs w:val="22"/>
    </w:rPr>
  </w:style>
  <w:style w:type="character" w:customStyle="1" w:styleId="49">
    <w:name w:val="Heading 9 Char"/>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link w:val="33"/>
    <w:qFormat/>
    <w:uiPriority w:val="10"/>
    <w:rPr>
      <w:sz w:val="48"/>
      <w:szCs w:val="48"/>
    </w:rPr>
  </w:style>
  <w:style w:type="character" w:customStyle="1" w:styleId="53">
    <w:name w:val="Subtitle Char"/>
    <w:link w:val="27"/>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24"/>
    <w:qFormat/>
    <w:uiPriority w:val="99"/>
  </w:style>
  <w:style w:type="character" w:customStyle="1" w:styleId="59">
    <w:name w:val="Footer Char"/>
    <w:link w:val="23"/>
    <w:qFormat/>
    <w:uiPriority w:val="99"/>
  </w:style>
  <w:style w:type="character" w:customStyle="1" w:styleId="60">
    <w:name w:val="Caption Char"/>
    <w:link w:val="23"/>
    <w:qFormat/>
    <w:uiPriority w:val="99"/>
  </w:style>
  <w:style w:type="table" w:customStyle="1" w:styleId="6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8"/>
    <w:qFormat/>
    <w:uiPriority w:val="99"/>
    <w:rPr>
      <w:sz w:val="18"/>
    </w:rPr>
  </w:style>
  <w:style w:type="character" w:customStyle="1" w:styleId="187">
    <w:name w:val="Endnote Text Char"/>
    <w:link w:val="22"/>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标题 11"/>
    <w:basedOn w:val="1"/>
    <w:next w:val="1"/>
    <w:link w:val="196"/>
    <w:qFormat/>
    <w:uiPriority w:val="0"/>
    <w:pPr>
      <w:keepNext/>
      <w:jc w:val="center"/>
      <w:outlineLvl w:val="0"/>
    </w:pPr>
    <w:rPr>
      <w:rFonts w:ascii="楷体_GB2312" w:eastAsia="楷体_GB2312"/>
      <w:b/>
      <w:sz w:val="28"/>
    </w:rPr>
  </w:style>
  <w:style w:type="paragraph" w:customStyle="1" w:styleId="190">
    <w:name w:val="标题 21"/>
    <w:basedOn w:val="1"/>
    <w:next w:val="1"/>
    <w:qFormat/>
    <w:uiPriority w:val="0"/>
    <w:pPr>
      <w:keepNext/>
      <w:jc w:val="center"/>
      <w:outlineLvl w:val="1"/>
    </w:pPr>
    <w:rPr>
      <w:rFonts w:ascii="楷体_GB2312" w:eastAsia="楷体_GB2312"/>
      <w:b/>
      <w:bCs/>
      <w:sz w:val="18"/>
    </w:rPr>
  </w:style>
  <w:style w:type="paragraph" w:customStyle="1" w:styleId="191">
    <w:name w:val="标题 31"/>
    <w:basedOn w:val="1"/>
    <w:next w:val="1"/>
    <w:qFormat/>
    <w:uiPriority w:val="0"/>
    <w:pPr>
      <w:keepNext/>
      <w:jc w:val="center"/>
      <w:outlineLvl w:val="2"/>
    </w:pPr>
    <w:rPr>
      <w:rFonts w:eastAsia="楷体_GB2312"/>
      <w:b/>
      <w:bCs/>
      <w:sz w:val="15"/>
    </w:rPr>
  </w:style>
  <w:style w:type="paragraph" w:customStyle="1" w:styleId="192">
    <w:name w:val="标题 41"/>
    <w:basedOn w:val="1"/>
    <w:next w:val="1"/>
    <w:qFormat/>
    <w:uiPriority w:val="0"/>
    <w:pPr>
      <w:keepNext/>
      <w:jc w:val="center"/>
      <w:outlineLvl w:val="3"/>
    </w:pPr>
    <w:rPr>
      <w:rFonts w:eastAsia="楷体_GB2312"/>
      <w:b/>
      <w:bCs/>
      <w:sz w:val="13"/>
    </w:rPr>
  </w:style>
  <w:style w:type="paragraph" w:customStyle="1" w:styleId="193">
    <w:name w:val="标题 51"/>
    <w:basedOn w:val="1"/>
    <w:next w:val="1"/>
    <w:qFormat/>
    <w:uiPriority w:val="0"/>
    <w:pPr>
      <w:keepNext/>
      <w:numPr>
        <w:ilvl w:val="0"/>
        <w:numId w:val="1"/>
      </w:numPr>
      <w:outlineLvl w:val="4"/>
    </w:pPr>
    <w:rPr>
      <w:rFonts w:ascii="楷体_GB2312" w:eastAsia="楷体_GB2312"/>
      <w:bCs/>
      <w:sz w:val="28"/>
    </w:rPr>
  </w:style>
  <w:style w:type="character" w:customStyle="1" w:styleId="194">
    <w:name w:val="默认段落字体1"/>
    <w:link w:val="1"/>
    <w:semiHidden/>
    <w:qFormat/>
    <w:uiPriority w:val="0"/>
  </w:style>
  <w:style w:type="table" w:customStyle="1" w:styleId="195">
    <w:name w:val="普通表格1"/>
    <w:semiHidden/>
    <w:qFormat/>
    <w:uiPriority w:val="0"/>
  </w:style>
  <w:style w:type="character" w:customStyle="1" w:styleId="196">
    <w:name w:val="标题 1 Char"/>
    <w:link w:val="189"/>
    <w:qFormat/>
    <w:uiPriority w:val="0"/>
    <w:rPr>
      <w:rFonts w:ascii="楷体_GB2312" w:eastAsia="楷体_GB2312"/>
      <w:b/>
      <w:sz w:val="28"/>
    </w:rPr>
  </w:style>
  <w:style w:type="paragraph" w:customStyle="1" w:styleId="197">
    <w:name w:val="引文目录1"/>
    <w:basedOn w:val="1"/>
    <w:next w:val="1"/>
    <w:semiHidden/>
    <w:qFormat/>
    <w:uiPriority w:val="0"/>
    <w:pPr>
      <w:ind w:left="420"/>
    </w:pPr>
  </w:style>
  <w:style w:type="paragraph" w:customStyle="1" w:styleId="198">
    <w:name w:val="正文缩进1"/>
    <w:basedOn w:val="1"/>
    <w:link w:val="199"/>
    <w:qFormat/>
    <w:uiPriority w:val="0"/>
    <w:pPr>
      <w:ind w:firstLine="420"/>
    </w:pPr>
  </w:style>
  <w:style w:type="character" w:customStyle="1" w:styleId="199">
    <w:name w:val="正文缩进 Char"/>
    <w:link w:val="198"/>
    <w:qFormat/>
    <w:uiPriority w:val="0"/>
    <w:rPr>
      <w:sz w:val="21"/>
    </w:rPr>
  </w:style>
  <w:style w:type="paragraph" w:customStyle="1" w:styleId="200">
    <w:name w:val="文档结构图1"/>
    <w:basedOn w:val="1"/>
    <w:semiHidden/>
    <w:qFormat/>
    <w:uiPriority w:val="0"/>
    <w:pPr>
      <w:shd w:val="clear" w:color="auto" w:fill="000080"/>
    </w:pPr>
  </w:style>
  <w:style w:type="paragraph" w:customStyle="1" w:styleId="201">
    <w:name w:val="批注文字1"/>
    <w:basedOn w:val="1"/>
    <w:link w:val="202"/>
    <w:qFormat/>
    <w:uiPriority w:val="0"/>
    <w:pPr>
      <w:jc w:val="left"/>
    </w:pPr>
  </w:style>
  <w:style w:type="character" w:customStyle="1" w:styleId="202">
    <w:name w:val="批注文字 Char"/>
    <w:link w:val="201"/>
    <w:qFormat/>
    <w:uiPriority w:val="0"/>
    <w:rPr>
      <w:sz w:val="21"/>
    </w:rPr>
  </w:style>
  <w:style w:type="paragraph" w:customStyle="1" w:styleId="203">
    <w:name w:val="正文文本 31"/>
    <w:basedOn w:val="1"/>
    <w:qFormat/>
    <w:uiPriority w:val="0"/>
    <w:rPr>
      <w:rFonts w:ascii="仿宋_GB2312" w:eastAsia="仿宋_GB2312"/>
      <w:sz w:val="24"/>
    </w:rPr>
  </w:style>
  <w:style w:type="paragraph" w:customStyle="1" w:styleId="204">
    <w:name w:val="正文文本1"/>
    <w:basedOn w:val="1"/>
    <w:next w:val="1"/>
    <w:qFormat/>
    <w:uiPriority w:val="0"/>
    <w:rPr>
      <w:rFonts w:ascii="华文中宋" w:eastAsia="华文中宋"/>
      <w:bCs/>
      <w:sz w:val="28"/>
    </w:rPr>
  </w:style>
  <w:style w:type="paragraph" w:customStyle="1" w:styleId="205">
    <w:name w:val="正文文本缩进1"/>
    <w:basedOn w:val="1"/>
    <w:next w:val="1"/>
    <w:qFormat/>
    <w:uiPriority w:val="0"/>
    <w:pPr>
      <w:ind w:firstLine="576"/>
    </w:pPr>
    <w:rPr>
      <w:b/>
      <w:sz w:val="30"/>
    </w:rPr>
  </w:style>
  <w:style w:type="paragraph" w:customStyle="1" w:styleId="206">
    <w:name w:val="列表 21"/>
    <w:basedOn w:val="1"/>
    <w:qFormat/>
    <w:uiPriority w:val="0"/>
    <w:pPr>
      <w:ind w:left="100" w:hanging="200"/>
      <w:jc w:val="left"/>
    </w:pPr>
    <w:rPr>
      <w:rFonts w:ascii="宋体" w:hAnsi="宋体"/>
    </w:rPr>
  </w:style>
  <w:style w:type="paragraph" w:customStyle="1" w:styleId="207">
    <w:name w:val="文本块1"/>
    <w:basedOn w:val="1"/>
    <w:qFormat/>
    <w:uiPriority w:val="0"/>
    <w:pPr>
      <w:spacing w:line="360" w:lineRule="auto"/>
      <w:ind w:left="1994" w:right="-284" w:hanging="1440"/>
    </w:pPr>
    <w:rPr>
      <w:rFonts w:ascii="楷体_GB2312" w:eastAsia="楷体_GB2312"/>
      <w:sz w:val="24"/>
    </w:rPr>
  </w:style>
  <w:style w:type="paragraph" w:customStyle="1" w:styleId="208">
    <w:name w:val="索引 41"/>
    <w:basedOn w:val="1"/>
    <w:next w:val="1"/>
    <w:semiHidden/>
    <w:qFormat/>
    <w:uiPriority w:val="0"/>
    <w:pPr>
      <w:ind w:left="1260"/>
    </w:pPr>
  </w:style>
  <w:style w:type="paragraph" w:customStyle="1" w:styleId="209">
    <w:name w:val="目录 31"/>
    <w:basedOn w:val="1"/>
    <w:next w:val="1"/>
    <w:unhideWhenUsed/>
    <w:qFormat/>
    <w:uiPriority w:val="39"/>
    <w:pPr>
      <w:widowControl/>
      <w:spacing w:after="100" w:line="276" w:lineRule="auto"/>
      <w:ind w:left="440"/>
      <w:jc w:val="left"/>
    </w:pPr>
    <w:rPr>
      <w:rFonts w:ascii="Calibri" w:hAnsi="Calibri"/>
      <w:sz w:val="22"/>
      <w:szCs w:val="22"/>
    </w:rPr>
  </w:style>
  <w:style w:type="paragraph" w:customStyle="1" w:styleId="210">
    <w:name w:val="纯文本111"/>
    <w:basedOn w:val="1"/>
    <w:link w:val="211"/>
    <w:qFormat/>
    <w:uiPriority w:val="0"/>
    <w:rPr>
      <w:rFonts w:ascii="宋体" w:hAnsi="Courier New"/>
      <w:szCs w:val="21"/>
    </w:rPr>
  </w:style>
  <w:style w:type="character" w:customStyle="1" w:styleId="211">
    <w:name w:val="纯文本 Char"/>
    <w:link w:val="210"/>
    <w:qFormat/>
    <w:uiPriority w:val="0"/>
    <w:rPr>
      <w:rFonts w:ascii="宋体" w:hAnsi="Courier New" w:eastAsia="宋体" w:cs="Courier New"/>
      <w:sz w:val="21"/>
      <w:szCs w:val="21"/>
    </w:rPr>
  </w:style>
  <w:style w:type="paragraph" w:customStyle="1" w:styleId="212">
    <w:name w:val="日期1"/>
    <w:basedOn w:val="1"/>
    <w:next w:val="1"/>
    <w:qFormat/>
    <w:uiPriority w:val="0"/>
    <w:rPr>
      <w:rFonts w:eastAsia="黑体"/>
      <w:b/>
      <w:sz w:val="36"/>
    </w:rPr>
  </w:style>
  <w:style w:type="paragraph" w:customStyle="1" w:styleId="213">
    <w:name w:val="正文文本缩进 21"/>
    <w:basedOn w:val="1"/>
    <w:link w:val="214"/>
    <w:qFormat/>
    <w:uiPriority w:val="0"/>
    <w:pPr>
      <w:ind w:left="900"/>
    </w:pPr>
    <w:rPr>
      <w:rFonts w:ascii="楷体_GB2312" w:eastAsia="楷体_GB2312"/>
      <w:b/>
      <w:sz w:val="28"/>
    </w:rPr>
  </w:style>
  <w:style w:type="character" w:customStyle="1" w:styleId="214">
    <w:name w:val="正文文本缩进 2 Char"/>
    <w:link w:val="213"/>
    <w:qFormat/>
    <w:uiPriority w:val="0"/>
    <w:rPr>
      <w:rFonts w:ascii="楷体_GB2312" w:eastAsia="楷体_GB2312"/>
      <w:b/>
      <w:sz w:val="28"/>
      <w:lang w:val="en-US" w:eastAsia="zh-CN" w:bidi="ar-SA"/>
    </w:rPr>
  </w:style>
  <w:style w:type="paragraph" w:customStyle="1" w:styleId="215">
    <w:name w:val="批注框文本1"/>
    <w:basedOn w:val="1"/>
    <w:link w:val="216"/>
    <w:qFormat/>
    <w:uiPriority w:val="0"/>
    <w:rPr>
      <w:sz w:val="18"/>
      <w:szCs w:val="18"/>
    </w:rPr>
  </w:style>
  <w:style w:type="character" w:customStyle="1" w:styleId="216">
    <w:name w:val="批注框文本 Char"/>
    <w:link w:val="215"/>
    <w:qFormat/>
    <w:uiPriority w:val="0"/>
    <w:rPr>
      <w:sz w:val="18"/>
      <w:szCs w:val="18"/>
    </w:rPr>
  </w:style>
  <w:style w:type="paragraph" w:customStyle="1" w:styleId="217">
    <w:name w:val="页脚1"/>
    <w:basedOn w:val="1"/>
    <w:link w:val="218"/>
    <w:qFormat/>
    <w:uiPriority w:val="99"/>
    <w:pPr>
      <w:tabs>
        <w:tab w:val="center" w:pos="4153"/>
        <w:tab w:val="right" w:pos="8306"/>
      </w:tabs>
      <w:jc w:val="left"/>
    </w:pPr>
    <w:rPr>
      <w:sz w:val="18"/>
    </w:rPr>
  </w:style>
  <w:style w:type="character" w:customStyle="1" w:styleId="218">
    <w:name w:val="页脚 Char"/>
    <w:link w:val="217"/>
    <w:qFormat/>
    <w:uiPriority w:val="99"/>
    <w:rPr>
      <w:sz w:val="18"/>
    </w:rPr>
  </w:style>
  <w:style w:type="paragraph" w:customStyle="1" w:styleId="219">
    <w:name w:val="寄信人地址1"/>
    <w:basedOn w:val="1"/>
    <w:qFormat/>
    <w:uiPriority w:val="0"/>
    <w:pPr>
      <w:tabs>
        <w:tab w:val="left" w:pos="1630"/>
      </w:tabs>
      <w:jc w:val="left"/>
    </w:pPr>
    <w:rPr>
      <w:rFonts w:ascii="Arial" w:hAnsi="Arial" w:eastAsia="DFKai-SB" w:cs="Arial"/>
      <w:sz w:val="28"/>
      <w:lang w:eastAsia="zh-TW"/>
    </w:rPr>
  </w:style>
  <w:style w:type="paragraph" w:customStyle="1" w:styleId="220">
    <w:name w:val="页眉1"/>
    <w:basedOn w:val="1"/>
    <w:link w:val="221"/>
    <w:qFormat/>
    <w:uiPriority w:val="99"/>
    <w:pPr>
      <w:pBdr>
        <w:bottom w:val="single" w:color="000000" w:sz="6" w:space="1"/>
      </w:pBdr>
      <w:tabs>
        <w:tab w:val="center" w:pos="4153"/>
        <w:tab w:val="right" w:pos="8306"/>
      </w:tabs>
      <w:jc w:val="center"/>
    </w:pPr>
    <w:rPr>
      <w:sz w:val="18"/>
    </w:rPr>
  </w:style>
  <w:style w:type="character" w:customStyle="1" w:styleId="221">
    <w:name w:val="页眉 Char"/>
    <w:link w:val="220"/>
    <w:qFormat/>
    <w:uiPriority w:val="99"/>
    <w:rPr>
      <w:rFonts w:eastAsia="宋体"/>
      <w:sz w:val="18"/>
      <w:lang w:val="en-US" w:eastAsia="zh-CN" w:bidi="ar-SA"/>
    </w:rPr>
  </w:style>
  <w:style w:type="paragraph" w:customStyle="1" w:styleId="222">
    <w:name w:val="目录 11"/>
    <w:basedOn w:val="1"/>
    <w:next w:val="1"/>
    <w:qFormat/>
    <w:uiPriority w:val="39"/>
    <w:pPr>
      <w:tabs>
        <w:tab w:val="right" w:leader="dot" w:pos="8296"/>
      </w:tabs>
      <w:jc w:val="left"/>
    </w:pPr>
    <w:rPr>
      <w:rFonts w:ascii="宋体" w:hAnsi="宋体"/>
      <w:b/>
      <w:szCs w:val="24"/>
      <w:shd w:val="clear" w:color="auto" w:fill="FFFFFF"/>
    </w:rPr>
  </w:style>
  <w:style w:type="paragraph" w:customStyle="1" w:styleId="223">
    <w:name w:val="副标题1"/>
    <w:basedOn w:val="1"/>
    <w:next w:val="1"/>
    <w:link w:val="224"/>
    <w:qFormat/>
    <w:uiPriority w:val="0"/>
    <w:pPr>
      <w:spacing w:before="240" w:after="60" w:line="312" w:lineRule="auto"/>
      <w:jc w:val="center"/>
      <w:outlineLvl w:val="1"/>
    </w:pPr>
    <w:rPr>
      <w:rFonts w:ascii="Cambria" w:hAnsi="Cambria"/>
      <w:b/>
      <w:bCs/>
      <w:sz w:val="32"/>
      <w:szCs w:val="32"/>
    </w:rPr>
  </w:style>
  <w:style w:type="character" w:customStyle="1" w:styleId="224">
    <w:name w:val="副标题 Char"/>
    <w:link w:val="223"/>
    <w:qFormat/>
    <w:uiPriority w:val="0"/>
    <w:rPr>
      <w:rFonts w:ascii="Cambria" w:hAnsi="Cambria" w:eastAsia="宋体"/>
      <w:b/>
      <w:bCs/>
      <w:sz w:val="32"/>
      <w:szCs w:val="32"/>
      <w:lang w:val="en-US" w:eastAsia="zh-CN" w:bidi="ar-SA"/>
    </w:rPr>
  </w:style>
  <w:style w:type="paragraph" w:customStyle="1" w:styleId="225">
    <w:name w:val="正文文本缩进 311"/>
    <w:basedOn w:val="1"/>
    <w:qFormat/>
    <w:uiPriority w:val="0"/>
    <w:pPr>
      <w:ind w:left="359" w:firstLine="359"/>
    </w:pPr>
  </w:style>
  <w:style w:type="paragraph" w:customStyle="1" w:styleId="226">
    <w:name w:val="目录 21"/>
    <w:basedOn w:val="1"/>
    <w:next w:val="1"/>
    <w:qFormat/>
    <w:uiPriority w:val="39"/>
    <w:pPr>
      <w:ind w:left="420"/>
    </w:pPr>
    <w:rPr>
      <w:szCs w:val="24"/>
    </w:rPr>
  </w:style>
  <w:style w:type="paragraph" w:customStyle="1" w:styleId="227">
    <w:name w:val="正文文本 21"/>
    <w:basedOn w:val="1"/>
    <w:qFormat/>
    <w:uiPriority w:val="0"/>
    <w:pPr>
      <w:spacing w:after="120" w:line="480" w:lineRule="auto"/>
    </w:pPr>
  </w:style>
  <w:style w:type="paragraph" w:customStyle="1" w:styleId="228">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29">
    <w:name w:val="标题1"/>
    <w:basedOn w:val="1"/>
    <w:next w:val="1"/>
    <w:link w:val="230"/>
    <w:qFormat/>
    <w:uiPriority w:val="0"/>
    <w:pPr>
      <w:spacing w:before="240" w:after="60"/>
      <w:jc w:val="center"/>
      <w:outlineLvl w:val="0"/>
    </w:pPr>
    <w:rPr>
      <w:rFonts w:ascii="Cambria" w:hAnsi="Cambria"/>
      <w:b/>
      <w:bCs/>
      <w:sz w:val="32"/>
      <w:szCs w:val="32"/>
    </w:rPr>
  </w:style>
  <w:style w:type="character" w:customStyle="1" w:styleId="230">
    <w:name w:val="标题 Char"/>
    <w:link w:val="229"/>
    <w:qFormat/>
    <w:uiPriority w:val="0"/>
    <w:rPr>
      <w:rFonts w:ascii="Cambria" w:hAnsi="Cambria"/>
      <w:b/>
      <w:bCs/>
      <w:sz w:val="32"/>
      <w:szCs w:val="32"/>
      <w:lang w:bidi="ar-SA"/>
    </w:rPr>
  </w:style>
  <w:style w:type="paragraph" w:customStyle="1" w:styleId="231">
    <w:name w:val="批注主题1"/>
    <w:basedOn w:val="201"/>
    <w:next w:val="201"/>
    <w:link w:val="232"/>
    <w:qFormat/>
    <w:uiPriority w:val="0"/>
    <w:rPr>
      <w:b/>
      <w:bCs/>
    </w:rPr>
  </w:style>
  <w:style w:type="character" w:customStyle="1" w:styleId="232">
    <w:name w:val="批注主题 Char"/>
    <w:link w:val="231"/>
    <w:qFormat/>
    <w:uiPriority w:val="0"/>
    <w:rPr>
      <w:b/>
      <w:bCs/>
      <w:sz w:val="21"/>
    </w:rPr>
  </w:style>
  <w:style w:type="paragraph" w:customStyle="1" w:styleId="233">
    <w:name w:val="正文首行缩进1"/>
    <w:basedOn w:val="204"/>
    <w:qFormat/>
    <w:uiPriority w:val="0"/>
    <w:pPr>
      <w:spacing w:after="120" w:line="240" w:lineRule="auto"/>
      <w:ind w:firstLine="420"/>
    </w:pPr>
    <w:rPr>
      <w:rFonts w:ascii="宋体" w:hAnsi="宋体" w:eastAsia="宋体"/>
      <w:sz w:val="24"/>
    </w:rPr>
  </w:style>
  <w:style w:type="paragraph" w:customStyle="1" w:styleId="234">
    <w:name w:val="正文首行缩进 21"/>
    <w:basedOn w:val="205"/>
    <w:next w:val="1"/>
    <w:qFormat/>
    <w:uiPriority w:val="0"/>
    <w:pPr>
      <w:spacing w:after="120"/>
      <w:ind w:left="480" w:firstLine="210"/>
      <w:jc w:val="left"/>
    </w:pPr>
    <w:rPr>
      <w:rFonts w:ascii="DFKai-SB" w:eastAsia="DFKai-SB"/>
      <w:spacing w:val="-8"/>
    </w:rPr>
  </w:style>
  <w:style w:type="table" w:customStyle="1" w:styleId="235">
    <w:name w:val="网格型1"/>
    <w:basedOn w:val="195"/>
    <w:qFormat/>
    <w:uiPriority w:val="0"/>
    <w:pPr>
      <w:widowControl w:val="0"/>
      <w:jc w:val="both"/>
    </w:pPr>
  </w:style>
  <w:style w:type="character" w:customStyle="1" w:styleId="236">
    <w:name w:val="要点1"/>
    <w:link w:val="1"/>
    <w:qFormat/>
    <w:uiPriority w:val="0"/>
    <w:rPr>
      <w:b/>
      <w:bCs/>
    </w:rPr>
  </w:style>
  <w:style w:type="character" w:customStyle="1" w:styleId="237">
    <w:name w:val="页码1"/>
    <w:link w:val="1"/>
    <w:qFormat/>
    <w:uiPriority w:val="0"/>
  </w:style>
  <w:style w:type="character" w:customStyle="1" w:styleId="238">
    <w:name w:val="已访问的超链接1"/>
    <w:link w:val="1"/>
    <w:qFormat/>
    <w:uiPriority w:val="0"/>
    <w:rPr>
      <w:color w:val="000000"/>
      <w:u w:val="none"/>
    </w:rPr>
  </w:style>
  <w:style w:type="character" w:customStyle="1" w:styleId="239">
    <w:name w:val="强调1"/>
    <w:link w:val="1"/>
    <w:qFormat/>
    <w:uiPriority w:val="0"/>
  </w:style>
  <w:style w:type="character" w:customStyle="1" w:styleId="240">
    <w:name w:val="HTML 打字机1"/>
    <w:link w:val="1"/>
    <w:qFormat/>
    <w:uiPriority w:val="0"/>
    <w:rPr>
      <w:rFonts w:ascii="宋体" w:hAnsi="宋体" w:eastAsia="宋体" w:cs="宋体"/>
      <w:sz w:val="24"/>
      <w:szCs w:val="24"/>
    </w:rPr>
  </w:style>
  <w:style w:type="character" w:customStyle="1" w:styleId="241">
    <w:name w:val="超链接1"/>
    <w:link w:val="1"/>
    <w:qFormat/>
    <w:uiPriority w:val="99"/>
    <w:rPr>
      <w:color w:val="000000"/>
      <w:u w:val="none"/>
    </w:rPr>
  </w:style>
  <w:style w:type="character" w:customStyle="1" w:styleId="242">
    <w:name w:val="批注引用1"/>
    <w:link w:val="1"/>
    <w:qFormat/>
    <w:uiPriority w:val="0"/>
    <w:rPr>
      <w:sz w:val="21"/>
      <w:szCs w:val="21"/>
    </w:rPr>
  </w:style>
  <w:style w:type="paragraph" w:customStyle="1" w:styleId="243">
    <w:name w:val="_Style 2"/>
    <w:basedOn w:val="1"/>
    <w:next w:val="1"/>
    <w:qFormat/>
    <w:uiPriority w:val="0"/>
    <w:pPr>
      <w:ind w:firstLine="420"/>
    </w:pPr>
    <w:rPr>
      <w:rFonts w:ascii="Times New Roman" w:hAnsi="Times New Roman" w:eastAsia="宋体" w:cs="Times New Roman"/>
    </w:rPr>
  </w:style>
  <w:style w:type="paragraph" w:customStyle="1" w:styleId="244">
    <w:name w:val="正文1"/>
    <w:basedOn w:val="1"/>
    <w:next w:val="1"/>
    <w:qFormat/>
    <w:uiPriority w:val="99"/>
    <w:pPr>
      <w:spacing w:before="120" w:line="360" w:lineRule="auto"/>
      <w:ind w:left="420" w:firstLine="527"/>
    </w:pPr>
    <w:rPr>
      <w:rFonts w:ascii="宋体" w:hAnsi="宋体"/>
    </w:rPr>
  </w:style>
  <w:style w:type="character" w:customStyle="1" w:styleId="245">
    <w:name w:val="active13"/>
    <w:link w:val="1"/>
    <w:qFormat/>
    <w:uiPriority w:val="0"/>
    <w:rPr>
      <w:color w:val="FFFFFF"/>
      <w:shd w:val="clear" w:color="auto" w:fill="0F5BB9"/>
    </w:rPr>
  </w:style>
  <w:style w:type="character" w:customStyle="1" w:styleId="246">
    <w:name w:val="font112"/>
    <w:link w:val="1"/>
    <w:qFormat/>
    <w:uiPriority w:val="0"/>
    <w:rPr>
      <w:rFonts w:ascii="Arial" w:hAnsi="Arial" w:cs="Arial"/>
      <w:color w:val="000000"/>
      <w:sz w:val="22"/>
      <w:szCs w:val="22"/>
      <w:u w:val="none"/>
      <w:vertAlign w:val="superscript"/>
    </w:rPr>
  </w:style>
  <w:style w:type="character" w:customStyle="1" w:styleId="247">
    <w:name w:val="font21"/>
    <w:link w:val="1"/>
    <w:qFormat/>
    <w:uiPriority w:val="0"/>
    <w:rPr>
      <w:rFonts w:ascii="Arial" w:hAnsi="Arial" w:cs="Arial"/>
      <w:color w:val="000000"/>
      <w:sz w:val="22"/>
      <w:szCs w:val="22"/>
      <w:u w:val="none"/>
      <w:vertAlign w:val="superscript"/>
    </w:rPr>
  </w:style>
  <w:style w:type="character" w:customStyle="1" w:styleId="248">
    <w:name w:val="font91"/>
    <w:link w:val="1"/>
    <w:qFormat/>
    <w:uiPriority w:val="0"/>
    <w:rPr>
      <w:rFonts w:ascii="Arial" w:hAnsi="Arial" w:cs="Arial"/>
      <w:color w:val="000000"/>
      <w:sz w:val="22"/>
      <w:szCs w:val="22"/>
      <w:u w:val="none"/>
    </w:rPr>
  </w:style>
  <w:style w:type="character" w:customStyle="1" w:styleId="249">
    <w:name w:val="font101"/>
    <w:link w:val="1"/>
    <w:qFormat/>
    <w:uiPriority w:val="0"/>
    <w:rPr>
      <w:rFonts w:ascii="Arial" w:hAnsi="Arial" w:cs="Arial"/>
      <w:color w:val="000000"/>
      <w:sz w:val="22"/>
      <w:szCs w:val="22"/>
      <w:u w:val="none"/>
    </w:rPr>
  </w:style>
  <w:style w:type="character" w:customStyle="1" w:styleId="250">
    <w:name w:val="font61"/>
    <w:link w:val="1"/>
    <w:qFormat/>
    <w:uiPriority w:val="0"/>
    <w:rPr>
      <w:rFonts w:ascii="等线 Light" w:hAnsi="等线 Light" w:eastAsia="等线 Light" w:cs="等线 Light"/>
      <w:color w:val="000000"/>
      <w:sz w:val="22"/>
      <w:szCs w:val="22"/>
      <w:u w:val="none"/>
    </w:rPr>
  </w:style>
  <w:style w:type="character" w:customStyle="1" w:styleId="251">
    <w:name w:val="font01"/>
    <w:link w:val="1"/>
    <w:qFormat/>
    <w:uiPriority w:val="0"/>
    <w:rPr>
      <w:rFonts w:hint="eastAsia" w:ascii="宋体" w:hAnsi="宋体" w:eastAsia="宋体" w:cs="宋体"/>
      <w:color w:val="FF0000"/>
      <w:sz w:val="20"/>
      <w:szCs w:val="20"/>
      <w:u w:val="none"/>
    </w:rPr>
  </w:style>
  <w:style w:type="character" w:customStyle="1" w:styleId="252">
    <w:name w:val="apple-converted-space"/>
    <w:link w:val="1"/>
    <w:qFormat/>
    <w:uiPriority w:val="0"/>
    <w:rPr>
      <w:rFonts w:cs="Times New Roman"/>
    </w:rPr>
  </w:style>
  <w:style w:type="character" w:customStyle="1" w:styleId="253">
    <w:name w:val="批注框文本 Char1"/>
    <w:link w:val="1"/>
    <w:qFormat/>
    <w:uiPriority w:val="0"/>
    <w:rPr>
      <w:rFonts w:eastAsia="宋体"/>
      <w:sz w:val="18"/>
      <w:szCs w:val="18"/>
      <w:lang w:val="en-US" w:eastAsia="zh-CN" w:bidi="ar-SA"/>
    </w:rPr>
  </w:style>
  <w:style w:type="character" w:customStyle="1" w:styleId="254">
    <w:name w:val="font71"/>
    <w:link w:val="1"/>
    <w:qFormat/>
    <w:uiPriority w:val="0"/>
    <w:rPr>
      <w:rFonts w:ascii="Calibri" w:hAnsi="Calibri" w:cs="Calibri"/>
      <w:color w:val="000000"/>
      <w:sz w:val="22"/>
      <w:szCs w:val="22"/>
      <w:u w:val="none"/>
    </w:rPr>
  </w:style>
  <w:style w:type="character" w:customStyle="1" w:styleId="255">
    <w:name w:val="font81"/>
    <w:link w:val="1"/>
    <w:qFormat/>
    <w:uiPriority w:val="0"/>
    <w:rPr>
      <w:rFonts w:hint="eastAsia" w:ascii="宋体" w:hAnsi="宋体" w:eastAsia="宋体" w:cs="宋体"/>
      <w:color w:val="000000"/>
      <w:sz w:val="22"/>
      <w:szCs w:val="22"/>
      <w:u w:val="none"/>
    </w:rPr>
  </w:style>
  <w:style w:type="character" w:customStyle="1" w:styleId="256">
    <w:name w:val="case31"/>
    <w:link w:val="1"/>
    <w:qFormat/>
    <w:uiPriority w:val="0"/>
    <w:rPr>
      <w:sz w:val="21"/>
      <w:szCs w:val="21"/>
    </w:rPr>
  </w:style>
  <w:style w:type="character" w:customStyle="1" w:styleId="257">
    <w:name w:val="apple-style-span"/>
    <w:link w:val="1"/>
    <w:qFormat/>
    <w:uiPriority w:val="0"/>
    <w:rPr>
      <w:rFonts w:cs="Times New Roman"/>
    </w:rPr>
  </w:style>
  <w:style w:type="character" w:customStyle="1" w:styleId="258">
    <w:name w:val="font51"/>
    <w:link w:val="1"/>
    <w:qFormat/>
    <w:uiPriority w:val="0"/>
    <w:rPr>
      <w:rFonts w:hint="eastAsia" w:ascii="宋体" w:hAnsi="宋体" w:eastAsia="宋体" w:cs="宋体"/>
      <w:color w:val="000000"/>
      <w:sz w:val="22"/>
      <w:szCs w:val="22"/>
      <w:u w:val="none"/>
    </w:rPr>
  </w:style>
  <w:style w:type="paragraph" w:customStyle="1" w:styleId="259">
    <w:name w:val="正文_3"/>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60">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61">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262">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3">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4">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65">
    <w:name w:val="font7"/>
    <w:basedOn w:val="1"/>
    <w:qFormat/>
    <w:uiPriority w:val="0"/>
    <w:pPr>
      <w:widowControl/>
      <w:spacing w:before="100" w:beforeAutospacing="1" w:after="100" w:afterAutospacing="1"/>
      <w:jc w:val="left"/>
    </w:pPr>
    <w:rPr>
      <w:b/>
      <w:bCs/>
      <w:i/>
      <w:iCs/>
      <w:sz w:val="20"/>
    </w:rPr>
  </w:style>
  <w:style w:type="paragraph" w:customStyle="1" w:styleId="266">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7">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268">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269">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70">
    <w:name w:val="格式10"/>
    <w:basedOn w:val="1"/>
    <w:qFormat/>
    <w:uiPriority w:val="0"/>
    <w:pPr>
      <w:spacing w:line="360" w:lineRule="exact"/>
      <w:ind w:left="480"/>
    </w:pPr>
    <w:rPr>
      <w:sz w:val="24"/>
      <w:szCs w:val="24"/>
    </w:rPr>
  </w:style>
  <w:style w:type="paragraph" w:customStyle="1" w:styleId="271">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7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273">
    <w:name w:val="普通文字"/>
    <w:basedOn w:val="1"/>
    <w:next w:val="1"/>
    <w:qFormat/>
    <w:uiPriority w:val="0"/>
    <w:rPr>
      <w:rFonts w:ascii="宋体"/>
      <w:sz w:val="24"/>
    </w:rPr>
  </w:style>
  <w:style w:type="paragraph" w:customStyle="1" w:styleId="274">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275">
    <w:name w:val="列出段落"/>
    <w:basedOn w:val="1"/>
    <w:qFormat/>
    <w:uiPriority w:val="0"/>
    <w:pPr>
      <w:ind w:firstLine="420"/>
    </w:pPr>
    <w:rPr>
      <w:szCs w:val="21"/>
    </w:rPr>
  </w:style>
  <w:style w:type="paragraph" w:customStyle="1" w:styleId="276">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77">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78">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79">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80">
    <w:name w:val="修订"/>
    <w:unhideWhenUsed/>
    <w:qFormat/>
    <w:uiPriority w:val="99"/>
    <w:rPr>
      <w:rFonts w:hint="default" w:ascii="Times New Roman" w:hAnsi="Times New Roman" w:eastAsia="宋体" w:cs="Times New Roman"/>
      <w:sz w:val="21"/>
      <w:lang w:val="en-US" w:eastAsia="zh-CN" w:bidi="ar-SA"/>
    </w:rPr>
  </w:style>
  <w:style w:type="paragraph" w:customStyle="1" w:styleId="281">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2">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83">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28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285">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86">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7">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88">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89">
    <w:name w:val="font8"/>
    <w:basedOn w:val="1"/>
    <w:qFormat/>
    <w:uiPriority w:val="0"/>
    <w:pPr>
      <w:widowControl/>
      <w:spacing w:before="100" w:beforeAutospacing="1" w:after="100" w:afterAutospacing="1"/>
      <w:jc w:val="left"/>
    </w:pPr>
    <w:rPr>
      <w:rFonts w:hint="eastAsia" w:ascii="宋体" w:hAnsi="宋体"/>
      <w:b/>
      <w:bCs/>
      <w:i/>
      <w:iCs/>
      <w:sz w:val="20"/>
    </w:rPr>
  </w:style>
  <w:style w:type="paragraph" w:customStyle="1" w:styleId="290">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291">
    <w:name w:val="Table Paragraph"/>
    <w:basedOn w:val="1"/>
    <w:qFormat/>
    <w:uiPriority w:val="1"/>
    <w:rPr>
      <w:rFonts w:ascii="宋体" w:hAnsi="宋体" w:cs="宋体"/>
      <w:szCs w:val="24"/>
      <w:lang w:val="zh-CN" w:bidi="zh-CN"/>
    </w:rPr>
  </w:style>
  <w:style w:type="paragraph" w:customStyle="1" w:styleId="292">
    <w:name w:val="纯文本1"/>
    <w:basedOn w:val="1"/>
    <w:qFormat/>
    <w:uiPriority w:val="0"/>
    <w:rPr>
      <w:rFonts w:ascii="宋体" w:hAnsi="Courier New" w:eastAsia="楷体_GB2312"/>
      <w:sz w:val="28"/>
      <w:szCs w:val="20"/>
    </w:rPr>
  </w:style>
  <w:style w:type="paragraph" w:customStyle="1" w:styleId="293">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294">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95">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96">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297">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98">
    <w:name w:val="CM11"/>
    <w:basedOn w:val="299"/>
    <w:next w:val="299"/>
    <w:qFormat/>
    <w:uiPriority w:val="0"/>
    <w:rPr>
      <w:rFonts w:ascii="H Yb 1gj" w:hAnsi="Calibri" w:eastAsia="H Yb 1gj" w:cs="Times New Roman"/>
      <w:color w:val="000000"/>
      <w:lang w:eastAsia="zh-TW"/>
    </w:rPr>
  </w:style>
  <w:style w:type="paragraph" w:customStyle="1" w:styleId="299">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00">
    <w:name w:val="Char Char Char Char"/>
    <w:basedOn w:val="200"/>
    <w:qFormat/>
    <w:uiPriority w:val="0"/>
    <w:pPr>
      <w:spacing w:line="360" w:lineRule="auto"/>
    </w:pPr>
    <w:rPr>
      <w:rFonts w:ascii="Tahoma" w:hAnsi="Tahoma"/>
      <w:sz w:val="24"/>
      <w:szCs w:val="24"/>
    </w:rPr>
  </w:style>
  <w:style w:type="paragraph" w:customStyle="1" w:styleId="301">
    <w:name w:val="纯文本11"/>
    <w:basedOn w:val="1"/>
    <w:qFormat/>
    <w:uiPriority w:val="0"/>
    <w:rPr>
      <w:rFonts w:ascii="宋体" w:hAnsi="Courier New" w:eastAsia="楷体_GB2312"/>
      <w:sz w:val="28"/>
      <w:szCs w:val="20"/>
    </w:rPr>
  </w:style>
  <w:style w:type="paragraph" w:customStyle="1" w:styleId="302">
    <w:name w:val="font6"/>
    <w:basedOn w:val="1"/>
    <w:qFormat/>
    <w:uiPriority w:val="0"/>
    <w:pPr>
      <w:widowControl/>
      <w:spacing w:before="100" w:beforeAutospacing="1" w:after="100" w:afterAutospacing="1"/>
      <w:jc w:val="left"/>
    </w:pPr>
    <w:rPr>
      <w:rFonts w:hint="eastAsia" w:ascii="宋体" w:hAnsi="宋体"/>
      <w:b/>
      <w:bCs/>
      <w:sz w:val="20"/>
    </w:rPr>
  </w:style>
  <w:style w:type="paragraph" w:customStyle="1" w:styleId="303">
    <w:name w:val="纯文本5"/>
    <w:basedOn w:val="1"/>
    <w:qFormat/>
    <w:uiPriority w:val="0"/>
    <w:pPr>
      <w:widowControl w:val="0"/>
      <w:jc w:val="both"/>
    </w:pPr>
    <w:rPr>
      <w:rFonts w:ascii="宋体" w:hAnsi="Courier New" w:eastAsia="楷体_GB2312"/>
      <w:sz w:val="26"/>
      <w:szCs w:val="20"/>
    </w:rPr>
  </w:style>
  <w:style w:type="paragraph" w:customStyle="1" w:styleId="304">
    <w:name w:val="段落文字"/>
    <w:basedOn w:val="1"/>
    <w:qFormat/>
    <w:uiPriority w:val="0"/>
    <w:pPr>
      <w:spacing w:line="360" w:lineRule="auto"/>
      <w:ind w:firstLine="560"/>
    </w:pPr>
    <w:rPr>
      <w:rFonts w:ascii="仿宋" w:hAnsi="仿宋" w:eastAsia="仿宋"/>
      <w:sz w:val="28"/>
      <w:szCs w:val="28"/>
    </w:rPr>
  </w:style>
  <w:style w:type="paragraph" w:customStyle="1" w:styleId="305">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6">
    <w:name w:val="列出段落4"/>
    <w:basedOn w:val="1"/>
    <w:qFormat/>
    <w:uiPriority w:val="34"/>
    <w:pPr>
      <w:widowControl w:val="0"/>
      <w:spacing w:line="240" w:lineRule="auto"/>
      <w:ind w:firstLine="420"/>
    </w:pPr>
    <w:rPr>
      <w:rFonts w:ascii="Times New Roman" w:cs="Times New Roman"/>
      <w:sz w:val="21"/>
    </w:rPr>
  </w:style>
  <w:style w:type="paragraph" w:customStyle="1" w:styleId="307">
    <w:name w:val="+正文"/>
    <w:basedOn w:val="1"/>
    <w:qFormat/>
    <w:uiPriority w:val="0"/>
    <w:pPr>
      <w:spacing w:line="360" w:lineRule="auto"/>
      <w:ind w:firstLine="200"/>
    </w:pPr>
    <w:rPr>
      <w:sz w:val="24"/>
    </w:rPr>
  </w:style>
  <w:style w:type="paragraph" w:customStyle="1" w:styleId="308">
    <w:name w:val="TOC 标题"/>
    <w:basedOn w:val="189"/>
    <w:next w:val="1"/>
    <w:qFormat/>
    <w:uiPriority w:val="39"/>
    <w:pPr>
      <w:keepLines/>
      <w:widowControl/>
      <w:spacing w:before="480" w:line="276" w:lineRule="auto"/>
      <w:jc w:val="left"/>
      <w:outlineLvl w:val="9"/>
    </w:pPr>
    <w:rPr>
      <w:rFonts w:ascii="Cambria" w:hAnsi="Cambria" w:eastAsia="宋体"/>
      <w:bCs/>
      <w:color w:val="365F91"/>
      <w:szCs w:val="28"/>
    </w:rPr>
  </w:style>
  <w:style w:type="paragraph" w:customStyle="1" w:styleId="309">
    <w:name w:val="CM17"/>
    <w:basedOn w:val="299"/>
    <w:next w:val="299"/>
    <w:qFormat/>
    <w:uiPriority w:val="0"/>
    <w:pPr>
      <w:spacing w:line="468" w:lineRule="atLeast"/>
    </w:pPr>
    <w:rPr>
      <w:rFonts w:ascii="黑体" w:eastAsia="黑体" w:cs="Times New Roman"/>
      <w:color w:val="000000"/>
    </w:rPr>
  </w:style>
  <w:style w:type="paragraph" w:customStyle="1" w:styleId="310">
    <w:name w:val="Char"/>
    <w:basedOn w:val="1"/>
    <w:qFormat/>
    <w:uiPriority w:val="0"/>
    <w:pPr>
      <w:tabs>
        <w:tab w:val="left" w:pos="360"/>
      </w:tabs>
    </w:pPr>
    <w:rPr>
      <w:sz w:val="24"/>
      <w:szCs w:val="24"/>
    </w:rPr>
  </w:style>
  <w:style w:type="paragraph" w:customStyle="1" w:styleId="311">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2">
    <w:name w:val="CM12"/>
    <w:basedOn w:val="299"/>
    <w:next w:val="299"/>
    <w:qFormat/>
    <w:uiPriority w:val="0"/>
    <w:pPr>
      <w:spacing w:line="311" w:lineRule="atLeast"/>
    </w:pPr>
    <w:rPr>
      <w:rFonts w:ascii="黑体...." w:hAnsi="Calibri" w:eastAsia="黑体...." w:cs="Times New Roman"/>
      <w:color w:val="000000"/>
      <w:lang w:eastAsia="zh-TW"/>
    </w:rPr>
  </w:style>
  <w:style w:type="paragraph" w:customStyle="1" w:styleId="313">
    <w:name w:val="列出段落111"/>
    <w:basedOn w:val="1"/>
    <w:qFormat/>
    <w:uiPriority w:val="34"/>
    <w:pPr>
      <w:ind w:firstLine="420"/>
    </w:pPr>
  </w:style>
  <w:style w:type="paragraph" w:customStyle="1" w:styleId="31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15">
    <w:name w:val="纯文本4"/>
    <w:basedOn w:val="1"/>
    <w:qFormat/>
    <w:uiPriority w:val="0"/>
    <w:rPr>
      <w:rFonts w:ascii="宋体" w:hAnsi="Courier New" w:eastAsia="楷体_GB2312"/>
      <w:sz w:val="26"/>
    </w:rPr>
  </w:style>
  <w:style w:type="paragraph" w:customStyle="1" w:styleId="316">
    <w:name w:val="插图题注"/>
    <w:next w:val="1"/>
    <w:qFormat/>
    <w:uiPriority w:val="0"/>
    <w:pPr>
      <w:jc w:val="center"/>
    </w:pPr>
    <w:rPr>
      <w:rFonts w:hint="default" w:ascii="Arial" w:hAnsi="Arial" w:eastAsia="宋体" w:cs="Times New Roman"/>
      <w:sz w:val="18"/>
      <w:szCs w:val="18"/>
      <w:lang w:val="en-US" w:eastAsia="zh-CN" w:bidi="ar-SA"/>
    </w:rPr>
  </w:style>
  <w:style w:type="paragraph" w:customStyle="1" w:styleId="317">
    <w:name w:val="font13"/>
    <w:basedOn w:val="1"/>
    <w:qFormat/>
    <w:uiPriority w:val="0"/>
    <w:pPr>
      <w:widowControl/>
      <w:spacing w:before="100" w:beforeAutospacing="1" w:after="100" w:afterAutospacing="1"/>
      <w:jc w:val="left"/>
    </w:pPr>
    <w:rPr>
      <w:i/>
      <w:iCs/>
      <w:sz w:val="36"/>
      <w:szCs w:val="36"/>
    </w:rPr>
  </w:style>
  <w:style w:type="paragraph" w:customStyle="1" w:styleId="31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楷体_GB2312" w:hAnsi="宋体" w:eastAsia="楷体_GB2312"/>
      <w:b/>
      <w:bCs/>
      <w:sz w:val="24"/>
      <w:szCs w:val="24"/>
    </w:rPr>
  </w:style>
  <w:style w:type="paragraph" w:customStyle="1" w:styleId="319">
    <w:name w:val="xl49"/>
    <w:basedOn w:val="1"/>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32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21">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322">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23">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4">
    <w:name w:val="msotocheading"/>
    <w:basedOn w:val="189"/>
    <w:next w:val="1"/>
    <w:qFormat/>
    <w:uiPriority w:val="0"/>
    <w:pPr>
      <w:keepLines/>
      <w:widowControl/>
      <w:spacing w:before="480" w:line="276" w:lineRule="auto"/>
      <w:jc w:val="left"/>
      <w:outlineLvl w:val="9"/>
    </w:pPr>
    <w:rPr>
      <w:rFonts w:ascii="Cambria" w:hAnsi="Cambria" w:eastAsia="宋体"/>
      <w:bCs/>
      <w:color w:val="365F91"/>
      <w:szCs w:val="28"/>
    </w:rPr>
  </w:style>
  <w:style w:type="paragraph" w:customStyle="1" w:styleId="325">
    <w:name w:val=" Char"/>
    <w:basedOn w:val="1"/>
    <w:qFormat/>
    <w:uiPriority w:val="0"/>
    <w:pPr>
      <w:spacing w:line="360" w:lineRule="auto"/>
    </w:pPr>
    <w:rPr>
      <w:rFonts w:ascii="Tahoma" w:hAnsi="Tahoma"/>
    </w:rPr>
  </w:style>
  <w:style w:type="paragraph" w:customStyle="1" w:styleId="326">
    <w:name w:val="纯文本2"/>
    <w:basedOn w:val="1"/>
    <w:unhideWhenUsed/>
    <w:qFormat/>
    <w:uiPriority w:val="0"/>
    <w:pPr>
      <w:spacing w:line="360" w:lineRule="auto"/>
      <w:ind w:firstLine="200"/>
      <w:jc w:val="left"/>
    </w:pPr>
    <w:rPr>
      <w:rFonts w:ascii="宋体" w:hAnsi="Courier New"/>
      <w:sz w:val="24"/>
      <w:szCs w:val="20"/>
    </w:rPr>
  </w:style>
  <w:style w:type="paragraph" w:customStyle="1" w:styleId="327">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32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29">
    <w:name w:val="首行缩进"/>
    <w:basedOn w:val="1"/>
    <w:qFormat/>
    <w:uiPriority w:val="0"/>
    <w:pPr>
      <w:ind w:firstLine="720"/>
      <w:jc w:val="left"/>
    </w:pPr>
    <w:rPr>
      <w:rFonts w:ascii="宋体" w:hAnsi="宋体"/>
      <w:sz w:val="24"/>
    </w:rPr>
  </w:style>
  <w:style w:type="paragraph" w:customStyle="1" w:styleId="330">
    <w:name w:val="默认段落字体 Para Char"/>
    <w:basedOn w:val="1"/>
    <w:qFormat/>
    <w:uiPriority w:val="0"/>
    <w:pPr>
      <w:numPr>
        <w:ilvl w:val="0"/>
        <w:numId w:val="2"/>
      </w:numPr>
    </w:pPr>
    <w:rPr>
      <w:sz w:val="24"/>
      <w:szCs w:val="24"/>
    </w:rPr>
  </w:style>
  <w:style w:type="paragraph" w:customStyle="1" w:styleId="331">
    <w:name w:val="font14"/>
    <w:basedOn w:val="1"/>
    <w:qFormat/>
    <w:uiPriority w:val="0"/>
    <w:pPr>
      <w:widowControl/>
      <w:spacing w:before="100" w:beforeAutospacing="1" w:after="100" w:afterAutospacing="1"/>
      <w:jc w:val="left"/>
    </w:pPr>
    <w:rPr>
      <w:sz w:val="36"/>
      <w:szCs w:val="36"/>
    </w:rPr>
  </w:style>
  <w:style w:type="paragraph" w:customStyle="1" w:styleId="33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3">
    <w:name w:val="font11"/>
    <w:basedOn w:val="1"/>
    <w:qFormat/>
    <w:uiPriority w:val="0"/>
    <w:pPr>
      <w:widowControl/>
      <w:spacing w:before="100" w:beforeAutospacing="1" w:after="100" w:afterAutospacing="1"/>
      <w:jc w:val="left"/>
    </w:pPr>
    <w:rPr>
      <w:b/>
      <w:bCs/>
      <w:sz w:val="18"/>
      <w:szCs w:val="18"/>
    </w:rPr>
  </w:style>
  <w:style w:type="paragraph" w:customStyle="1" w:styleId="334">
    <w:name w:val="CM13"/>
    <w:basedOn w:val="299"/>
    <w:next w:val="299"/>
    <w:qFormat/>
    <w:uiPriority w:val="0"/>
    <w:rPr>
      <w:rFonts w:ascii="黑体...." w:hAnsi="Calibri" w:eastAsia="黑体...." w:cs="Times New Roman"/>
      <w:color w:val="000000"/>
      <w:lang w:eastAsia="zh-TW"/>
    </w:rPr>
  </w:style>
  <w:style w:type="paragraph" w:customStyle="1" w:styleId="335">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36">
    <w:name w:val="font9"/>
    <w:basedOn w:val="1"/>
    <w:qFormat/>
    <w:uiPriority w:val="0"/>
    <w:pPr>
      <w:widowControl/>
      <w:spacing w:before="100" w:beforeAutospacing="1" w:after="100" w:afterAutospacing="1"/>
      <w:jc w:val="left"/>
    </w:pPr>
    <w:rPr>
      <w:b/>
      <w:bCs/>
      <w:sz w:val="20"/>
    </w:rPr>
  </w:style>
  <w:style w:type="paragraph" w:customStyle="1" w:styleId="337">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38">
    <w:name w:val=" Char Char1 Char Char Char Char"/>
    <w:basedOn w:val="200"/>
    <w:qFormat/>
    <w:uiPriority w:val="0"/>
    <w:pPr>
      <w:spacing w:line="436" w:lineRule="exact"/>
      <w:ind w:left="357"/>
      <w:jc w:val="left"/>
      <w:outlineLvl w:val="3"/>
    </w:pPr>
    <w:rPr>
      <w:rFonts w:ascii="Tahoma" w:hAnsi="Tahoma"/>
      <w:b/>
      <w:sz w:val="24"/>
      <w:szCs w:val="24"/>
    </w:rPr>
  </w:style>
  <w:style w:type="table" w:customStyle="1" w:styleId="339">
    <w:name w:val="Table Normal"/>
    <w:unhideWhenUsed/>
    <w:qFormat/>
    <w:uiPriority w:val="0"/>
    <w:rPr>
      <w:lang w:val="en-US" w:eastAsia="zh-CN" w:bidi="ar-SA"/>
    </w:rPr>
  </w:style>
  <w:style w:type="paragraph" w:customStyle="1" w:styleId="340">
    <w:name w:val="Table Text"/>
    <w:basedOn w:val="1"/>
    <w:semiHidden/>
    <w:qFormat/>
    <w:uiPriority w:val="0"/>
    <w:rPr>
      <w:rFonts w:ascii="Times New Roman" w:hAnsi="Times New Roman" w:eastAsia="Times New Roman" w:cs="Times New Roman"/>
      <w:sz w:val="18"/>
      <w:szCs w:val="18"/>
      <w:lang w:val="en-US" w:eastAsia="en-US" w:bidi="ar-SA"/>
    </w:rPr>
  </w:style>
  <w:style w:type="paragraph" w:customStyle="1" w:styleId="341">
    <w:name w:val="正文文本缩进 31"/>
    <w:basedOn w:val="1"/>
    <w:qFormat/>
    <w:uiPriority w:val="0"/>
    <w:pPr>
      <w:widowControl w:val="0"/>
      <w:spacing w:line="300" w:lineRule="auto"/>
      <w:ind w:firstLine="480"/>
    </w:pPr>
    <w:rPr>
      <w:lang w:val="en-US" w:eastAsia="en-US"/>
    </w:rPr>
  </w:style>
  <w:style w:type="paragraph" w:customStyle="1" w:styleId="342">
    <w:name w:val="文档正文"/>
    <w:basedOn w:val="1"/>
    <w:qFormat/>
    <w:uiPriority w:val="0"/>
    <w:pPr>
      <w:spacing w:line="312" w:lineRule="atLeast"/>
      <w:ind w:firstLine="567"/>
    </w:pPr>
    <w:rPr>
      <w:rFonts w:ascii="长城仿宋" w:eastAsia="长城仿宋"/>
      <w:sz w:val="28"/>
      <w:szCs w:val="20"/>
    </w:rPr>
  </w:style>
  <w:style w:type="paragraph" w:customStyle="1" w:styleId="343">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character" w:customStyle="1" w:styleId="344">
    <w:name w:val="无"/>
    <w:link w:val="1"/>
    <w:qFormat/>
    <w:uiPriority w:val="0"/>
  </w:style>
  <w:style w:type="character" w:customStyle="1" w:styleId="345">
    <w:name w:val="Hyperlink.0"/>
    <w:link w:val="1"/>
    <w:qFormat/>
    <w:uiPriority w:val="0"/>
    <w:rPr>
      <w:rFonts w:ascii="宋体" w:hAnsi="宋体" w:eastAsia="宋体" w:cs="宋体"/>
      <w:sz w:val="24"/>
      <w:szCs w:val="24"/>
      <w:lang w:val="en-US"/>
    </w:rPr>
  </w:style>
  <w:style w:type="paragraph" w:customStyle="1" w:styleId="346">
    <w:name w:val="正文首行缩进12"/>
    <w:basedOn w:val="347"/>
    <w:qFormat/>
    <w:uiPriority w:val="0"/>
    <w:pPr>
      <w:spacing w:after="120" w:line="240" w:lineRule="auto"/>
      <w:ind w:firstLine="240"/>
      <w:jc w:val="left"/>
    </w:pPr>
    <w:rPr>
      <w:rFonts w:ascii="宋体" w:hAnsi="宋体" w:eastAsia="宋体"/>
      <w:sz w:val="24"/>
      <w:lang w:val="en-US" w:eastAsia="en-US"/>
    </w:rPr>
  </w:style>
  <w:style w:type="paragraph" w:customStyle="1" w:styleId="347">
    <w:name w:val="正文文本121"/>
    <w:basedOn w:val="1"/>
    <w:next w:val="1"/>
    <w:qFormat/>
    <w:uiPriority w:val="0"/>
    <w:pPr>
      <w:spacing w:line="360" w:lineRule="auto"/>
    </w:pPr>
    <w:rPr>
      <w:rFonts w:ascii="楷体_GB2312" w:eastAsia="楷体_GB2312"/>
      <w:bCs/>
      <w:sz w:val="28"/>
    </w:rPr>
  </w:style>
  <w:style w:type="paragraph" w:customStyle="1" w:styleId="348">
    <w:name w:val="列表1"/>
    <w:basedOn w:val="1"/>
    <w:qFormat/>
    <w:uiPriority w:val="0"/>
    <w:pPr>
      <w:numPr>
        <w:ilvl w:val="0"/>
        <w:numId w:val="3"/>
      </w:numPr>
      <w:spacing w:after="20" w:line="288" w:lineRule="auto"/>
    </w:pPr>
    <w:rPr>
      <w:szCs w:val="20"/>
      <w:lang w:val="en-GB"/>
    </w:rPr>
  </w:style>
  <w:style w:type="paragraph" w:customStyle="1" w:styleId="349">
    <w:name w:val="列出段落1"/>
    <w:basedOn w:val="1"/>
    <w:qFormat/>
    <w:uiPriority w:val="0"/>
    <w:pPr>
      <w:spacing w:line="240" w:lineRule="auto"/>
      <w:ind w:firstLine="420"/>
    </w:pPr>
    <w:rPr>
      <w:rFonts w:ascii="Calibri" w:hAnsi="Calibri"/>
      <w:sz w:val="21"/>
      <w:szCs w:val="22"/>
    </w:rPr>
  </w:style>
  <w:style w:type="paragraph" w:customStyle="1" w:styleId="350">
    <w:name w:val="_Style 1"/>
    <w:basedOn w:val="1"/>
    <w:qFormat/>
    <w:uiPriority w:val="0"/>
    <w:pPr>
      <w:ind w:firstLine="420"/>
    </w:pPr>
    <w:rPr>
      <w:rFonts w:ascii="Calibri" w:hAnsi="Calibri"/>
      <w:sz w:val="24"/>
      <w:szCs w:val="24"/>
    </w:rPr>
  </w:style>
  <w:style w:type="paragraph" w:customStyle="1" w:styleId="351">
    <w:name w:val="列表 211"/>
    <w:basedOn w:val="1"/>
    <w:qFormat/>
    <w:uiPriority w:val="0"/>
    <w:pPr>
      <w:ind w:left="100" w:hanging="200"/>
      <w:jc w:val="left"/>
    </w:pPr>
    <w:rPr>
      <w:rFonts w:ascii="宋体" w:hAnsi="宋体"/>
    </w:rPr>
  </w:style>
  <w:style w:type="paragraph" w:customStyle="1" w:styleId="352">
    <w:name w:val="表格"/>
    <w:basedOn w:val="1"/>
    <w:qFormat/>
    <w:uiPriority w:val="0"/>
    <w:pPr>
      <w:widowControl/>
      <w:jc w:val="center"/>
    </w:pPr>
    <w:rPr>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is</Company>
  <Pages>58</Pages>
  <Words>14927</Words>
  <Characters>15773</Characters>
  <TotalTime>34</TotalTime>
  <ScaleCrop>false</ScaleCrop>
  <LinksUpToDate>false</LinksUpToDate>
  <CharactersWithSpaces>16102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2022-03-15T08:52:00Z</dcterms:created>
  <dc:creator>居丽</dc:creator>
  <cp:lastModifiedBy>辛迪77^_^</cp:lastModifiedBy>
  <dcterms:modified xsi:type="dcterms:W3CDTF">2026-04-26T12:13:18Z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F19BDEAAB22E4F4B8D742AFEE944F2F0_13</vt:lpwstr>
  </property>
  <property fmtid="{D5CDD505-2E9C-101B-9397-08002B2CF9AE}" pid="4" name="KSOTemplateDocerSaveRecord">
    <vt:lpwstr>eyJoZGlkIjoiODk2NzEzNmI4YjBkZDkwZGEzMWMwYTEwNzgwOGRlYjIiLCJ1c2VySWQiOiIzOTM0MjQwMDQifQ==</vt:lpwstr>
  </property>
</Properties>
</file>