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FEDDB">
      <w:pPr>
        <w:rPr>
          <w:rFonts w:hint="eastAsia" w:ascii="宋体" w:hAnsi="宋体" w:cs="宋体"/>
          <w:b/>
          <w:sz w:val="36"/>
          <w:szCs w:val="36"/>
          <w:highlight w:val="none"/>
        </w:rPr>
      </w:pPr>
    </w:p>
    <w:p w14:paraId="0DF2F16A">
      <w:pPr>
        <w:pStyle w:val="9"/>
        <w:ind w:firstLine="0"/>
        <w:rPr>
          <w:rFonts w:hint="eastAsia" w:ascii="宋体" w:hAnsi="宋体" w:cs="宋体"/>
          <w:b/>
          <w:sz w:val="56"/>
          <w:szCs w:val="56"/>
          <w:highlight w:val="none"/>
        </w:rPr>
      </w:pPr>
    </w:p>
    <w:p w14:paraId="6991FDE4">
      <w:pPr>
        <w:spacing w:line="360" w:lineRule="auto"/>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绿雅社区卫生服务站公共卫生服务采购项目</w:t>
      </w:r>
    </w:p>
    <w:p w14:paraId="2902ACB3">
      <w:pPr>
        <w:jc w:val="both"/>
        <w:rPr>
          <w:rFonts w:hint="eastAsia" w:ascii="宋体" w:hAnsi="宋体" w:eastAsia="宋体" w:cs="宋体"/>
          <w:b/>
          <w:sz w:val="56"/>
          <w:szCs w:val="56"/>
          <w:highlight w:val="none"/>
          <w:lang w:eastAsia="zh-CN"/>
        </w:rPr>
      </w:pPr>
    </w:p>
    <w:p w14:paraId="58F7A551">
      <w:pPr>
        <w:jc w:val="center"/>
        <w:rPr>
          <w:rFonts w:hint="eastAsia" w:ascii="宋体" w:hAnsi="宋体" w:cs="宋体"/>
          <w:b/>
          <w:sz w:val="36"/>
          <w:highlight w:val="none"/>
        </w:rPr>
      </w:pPr>
    </w:p>
    <w:p w14:paraId="5C8ABBE3">
      <w:pPr>
        <w:pStyle w:val="9"/>
        <w:rPr>
          <w:rFonts w:hint="eastAsia"/>
          <w:highlight w:val="none"/>
        </w:rPr>
      </w:pPr>
    </w:p>
    <w:p w14:paraId="7E6F461D">
      <w:pPr>
        <w:pStyle w:val="9"/>
        <w:spacing w:line="480" w:lineRule="auto"/>
        <w:jc w:val="center"/>
        <w:rPr>
          <w:rFonts w:hint="eastAsia" w:ascii="宋体" w:hAnsi="宋体" w:cs="宋体"/>
          <w:b/>
          <w:bCs/>
          <w:sz w:val="48"/>
          <w:szCs w:val="48"/>
          <w:highlight w:val="none"/>
        </w:rPr>
      </w:pPr>
      <w:r>
        <w:rPr>
          <w:rFonts w:hint="eastAsia" w:ascii="宋体" w:hAnsi="宋体" w:cs="宋体"/>
          <w:b/>
          <w:bCs/>
          <w:sz w:val="48"/>
          <w:szCs w:val="48"/>
          <w:highlight w:val="none"/>
        </w:rPr>
        <w:t>竞争性磋商文件</w:t>
      </w:r>
    </w:p>
    <w:p w14:paraId="6DCF4115">
      <w:pPr>
        <w:snapToGrid w:val="0"/>
        <w:spacing w:line="480" w:lineRule="auto"/>
        <w:jc w:val="center"/>
        <w:rPr>
          <w:rFonts w:hint="eastAsia" w:ascii="宋体" w:hAnsi="宋体" w:cs="宋体"/>
          <w:b/>
          <w:sz w:val="30"/>
          <w:szCs w:val="30"/>
          <w:highlight w:val="none"/>
        </w:rPr>
      </w:pPr>
    </w:p>
    <w:p w14:paraId="6B11DBF7">
      <w:pPr>
        <w:snapToGrid w:val="0"/>
        <w:spacing w:line="480" w:lineRule="auto"/>
        <w:jc w:val="center"/>
        <w:rPr>
          <w:rFonts w:hint="eastAsia" w:ascii="宋体" w:hAnsi="宋体" w:cs="宋体"/>
          <w:b/>
          <w:bCs/>
          <w:sz w:val="32"/>
          <w:szCs w:val="32"/>
          <w:highlight w:val="none"/>
        </w:rPr>
      </w:pPr>
      <w:r>
        <w:rPr>
          <w:rFonts w:hint="eastAsia" w:ascii="宋体" w:hAnsi="宋体" w:cs="宋体"/>
          <w:b/>
          <w:sz w:val="30"/>
          <w:szCs w:val="30"/>
          <w:highlight w:val="none"/>
        </w:rPr>
        <w:t>（文件编号：</w:t>
      </w:r>
      <w:r>
        <w:rPr>
          <w:rFonts w:hint="eastAsia" w:ascii="宋体" w:hAnsi="宋体" w:cs="宋体"/>
          <w:b/>
          <w:sz w:val="30"/>
          <w:szCs w:val="30"/>
          <w:highlight w:val="none"/>
          <w:lang w:val="en-US" w:eastAsia="zh-CN"/>
        </w:rPr>
        <w:t>XZZB-FW-2026007</w:t>
      </w:r>
      <w:r>
        <w:rPr>
          <w:rFonts w:hint="eastAsia" w:ascii="宋体" w:hAnsi="宋体" w:cs="宋体"/>
          <w:b/>
          <w:sz w:val="30"/>
          <w:szCs w:val="30"/>
          <w:highlight w:val="none"/>
        </w:rPr>
        <w:t>）</w:t>
      </w:r>
    </w:p>
    <w:p w14:paraId="5F47D821">
      <w:pPr>
        <w:pStyle w:val="7"/>
        <w:rPr>
          <w:rFonts w:hint="eastAsia" w:ascii="宋体" w:hAnsi="宋体" w:cs="宋体"/>
          <w:highlight w:val="none"/>
        </w:rPr>
      </w:pPr>
    </w:p>
    <w:p w14:paraId="7C8FF026">
      <w:pPr>
        <w:rPr>
          <w:rFonts w:hint="eastAsia" w:ascii="宋体" w:hAnsi="宋体" w:cs="宋体"/>
          <w:b/>
          <w:sz w:val="28"/>
          <w:szCs w:val="24"/>
          <w:highlight w:val="none"/>
        </w:rPr>
      </w:pPr>
    </w:p>
    <w:p w14:paraId="570ECFC0">
      <w:pPr>
        <w:pStyle w:val="15"/>
        <w:spacing w:line="300" w:lineRule="auto"/>
        <w:jc w:val="both"/>
        <w:rPr>
          <w:rFonts w:hint="eastAsia" w:ascii="宋体" w:hAnsi="宋体" w:cs="宋体"/>
          <w:sz w:val="33"/>
          <w:highlight w:val="none"/>
        </w:rPr>
      </w:pPr>
      <w:r>
        <w:rPr>
          <w:rFonts w:hint="eastAsia" w:ascii="宋体" w:hAnsi="宋体" w:cs="宋体"/>
          <w:sz w:val="48"/>
          <w:szCs w:val="48"/>
          <w:highlight w:val="none"/>
          <w:lang w:val="en-US" w:eastAsia="zh-CN"/>
        </w:rPr>
        <w:t xml:space="preserve"> </w:t>
      </w:r>
    </w:p>
    <w:p w14:paraId="61D6591B">
      <w:pPr>
        <w:overflowPunct w:val="0"/>
        <w:spacing w:line="500" w:lineRule="exact"/>
        <w:ind w:firstLine="301" w:firstLineChars="100"/>
        <w:rPr>
          <w:rFonts w:hint="eastAsia" w:ascii="宋体" w:hAnsi="宋体" w:cs="宋体"/>
          <w:b/>
          <w:sz w:val="30"/>
          <w:szCs w:val="30"/>
          <w:highlight w:val="none"/>
        </w:rPr>
      </w:pPr>
    </w:p>
    <w:p w14:paraId="77ECF643">
      <w:pPr>
        <w:pStyle w:val="11"/>
        <w:rPr>
          <w:rFonts w:hint="eastAsia" w:ascii="宋体" w:hAnsi="宋体" w:cs="宋体"/>
          <w:b/>
          <w:sz w:val="30"/>
          <w:szCs w:val="30"/>
          <w:highlight w:val="none"/>
        </w:rPr>
      </w:pPr>
    </w:p>
    <w:p w14:paraId="66BC4A66">
      <w:pPr>
        <w:pStyle w:val="11"/>
        <w:rPr>
          <w:rFonts w:hint="eastAsia" w:ascii="宋体" w:hAnsi="宋体" w:cs="宋体"/>
          <w:b/>
          <w:sz w:val="30"/>
          <w:szCs w:val="30"/>
          <w:highlight w:val="none"/>
        </w:rPr>
      </w:pPr>
    </w:p>
    <w:p w14:paraId="39FF09F5">
      <w:pPr>
        <w:overflowPunct w:val="0"/>
        <w:spacing w:line="500" w:lineRule="exact"/>
        <w:rPr>
          <w:rFonts w:hint="eastAsia" w:ascii="宋体" w:hAnsi="宋体" w:eastAsia="宋体" w:cs="宋体"/>
          <w:b/>
          <w:sz w:val="32"/>
          <w:szCs w:val="32"/>
          <w:highlight w:val="none"/>
          <w:lang w:eastAsia="zh-CN"/>
        </w:rPr>
      </w:pPr>
      <w:r>
        <w:rPr>
          <w:rFonts w:hint="eastAsia" w:ascii="宋体" w:hAnsi="宋体" w:cs="宋体"/>
          <w:b/>
          <w:sz w:val="32"/>
          <w:szCs w:val="32"/>
          <w:highlight w:val="none"/>
        </w:rPr>
        <w:t>采购人：</w:t>
      </w:r>
      <w:r>
        <w:rPr>
          <w:rFonts w:hint="eastAsia" w:ascii="宋体" w:hAnsi="宋体" w:cs="宋体"/>
          <w:b/>
          <w:sz w:val="32"/>
          <w:szCs w:val="32"/>
          <w:highlight w:val="none"/>
          <w:lang w:eastAsia="zh-CN"/>
        </w:rPr>
        <w:t>克拉玛依市克拉玛依区迎宾街道社区卫生服务中心</w:t>
      </w:r>
    </w:p>
    <w:p w14:paraId="53BE063D">
      <w:pPr>
        <w:spacing w:line="600" w:lineRule="auto"/>
        <w:rPr>
          <w:rFonts w:hint="eastAsia" w:ascii="宋体" w:hAnsi="宋体" w:cs="宋体"/>
          <w:b/>
          <w:sz w:val="32"/>
          <w:szCs w:val="32"/>
          <w:highlight w:val="none"/>
        </w:rPr>
      </w:pPr>
    </w:p>
    <w:p w14:paraId="4A94FE99">
      <w:pPr>
        <w:spacing w:line="600" w:lineRule="auto"/>
        <w:rPr>
          <w:rFonts w:hint="eastAsia" w:ascii="宋体" w:hAnsi="宋体" w:eastAsia="宋体" w:cs="宋体"/>
          <w:b/>
          <w:bCs/>
          <w:sz w:val="32"/>
          <w:szCs w:val="32"/>
          <w:highlight w:val="none"/>
          <w:lang w:eastAsia="zh-CN"/>
        </w:rPr>
      </w:pPr>
      <w:r>
        <w:rPr>
          <w:rFonts w:hint="eastAsia" w:ascii="宋体" w:hAnsi="宋体" w:cs="宋体"/>
          <w:b/>
          <w:sz w:val="32"/>
          <w:szCs w:val="32"/>
          <w:highlight w:val="none"/>
        </w:rPr>
        <w:t>采购代理机构：</w:t>
      </w:r>
      <w:r>
        <w:rPr>
          <w:rFonts w:hint="eastAsia" w:ascii="宋体" w:hAnsi="宋体" w:cs="宋体"/>
          <w:b/>
          <w:bCs/>
          <w:sz w:val="32"/>
          <w:szCs w:val="32"/>
          <w:highlight w:val="none"/>
          <w:lang w:eastAsia="zh-CN"/>
        </w:rPr>
        <w:t>新疆新咨工程咨询有限公司</w:t>
      </w:r>
    </w:p>
    <w:p w14:paraId="74C483C7">
      <w:pPr>
        <w:spacing w:line="360" w:lineRule="auto"/>
        <w:ind w:firstLine="6505" w:firstLineChars="1800"/>
        <w:jc w:val="both"/>
        <w:rPr>
          <w:rFonts w:hint="eastAsia" w:ascii="宋体" w:hAnsi="宋体" w:cs="宋体"/>
          <w:b/>
          <w:bCs/>
          <w:color w:val="FF0000"/>
          <w:sz w:val="32"/>
          <w:szCs w:val="32"/>
          <w:highlight w:val="none"/>
        </w:rPr>
      </w:pPr>
      <w:r>
        <w:rPr>
          <w:rFonts w:hint="eastAsia" w:ascii="宋体" w:hAnsi="宋体" w:cs="宋体"/>
          <w:b/>
          <w:sz w:val="36"/>
          <w:szCs w:val="21"/>
          <w:highlight w:val="none"/>
        </w:rPr>
        <w:t xml:space="preserve"> </w:t>
      </w:r>
      <w:r>
        <w:rPr>
          <w:rFonts w:hint="eastAsia" w:ascii="宋体" w:hAnsi="宋体" w:cs="宋体"/>
          <w:b/>
          <w:sz w:val="32"/>
          <w:szCs w:val="32"/>
          <w:highlight w:val="none"/>
        </w:rPr>
        <w:t>20</w:t>
      </w:r>
      <w:r>
        <w:rPr>
          <w:rFonts w:hint="eastAsia" w:ascii="宋体" w:hAnsi="宋体" w:cs="宋体"/>
          <w:b/>
          <w:sz w:val="32"/>
          <w:szCs w:val="32"/>
          <w:highlight w:val="none"/>
          <w:lang w:val="en-US" w:eastAsia="zh-CN"/>
        </w:rPr>
        <w:t>26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04</w:t>
      </w:r>
      <w:r>
        <w:rPr>
          <w:rFonts w:hint="eastAsia" w:ascii="宋体" w:hAnsi="宋体" w:cs="宋体"/>
          <w:b/>
          <w:sz w:val="32"/>
          <w:szCs w:val="32"/>
          <w:highlight w:val="none"/>
        </w:rPr>
        <w:t>月</w:t>
      </w:r>
    </w:p>
    <w:p w14:paraId="6BD5CE2E">
      <w:pPr>
        <w:pStyle w:val="7"/>
        <w:rPr>
          <w:rFonts w:hint="eastAsia" w:ascii="宋体" w:hAnsi="宋体" w:cs="宋体"/>
          <w:sz w:val="28"/>
          <w:szCs w:val="28"/>
          <w:highlight w:val="none"/>
        </w:rPr>
        <w:sectPr>
          <w:headerReference r:id="rId5" w:type="first"/>
          <w:headerReference r:id="rId3" w:type="default"/>
          <w:footerReference r:id="rId6" w:type="default"/>
          <w:headerReference r:id="rId4" w:type="even"/>
          <w:footerReference r:id="rId7" w:type="even"/>
          <w:pgSz w:w="11906" w:h="16838"/>
          <w:pgMar w:top="1440" w:right="1083" w:bottom="1440" w:left="1083" w:header="850" w:footer="992" w:gutter="0"/>
          <w:pgNumType w:fmt="decimal" w:start="0"/>
          <w:cols w:space="0" w:num="1"/>
          <w:titlePg/>
          <w:rtlGutter w:val="0"/>
          <w:docGrid w:linePitch="312" w:charSpace="0"/>
        </w:sectPr>
      </w:pPr>
    </w:p>
    <w:p w14:paraId="54D2978C">
      <w:pPr>
        <w:spacing w:line="360" w:lineRule="auto"/>
        <w:jc w:val="center"/>
        <w:rPr>
          <w:rFonts w:hint="eastAsia" w:ascii="宋体" w:hAnsi="宋体" w:cs="宋体"/>
          <w:sz w:val="44"/>
          <w:szCs w:val="44"/>
          <w:highlight w:val="none"/>
        </w:rPr>
      </w:pPr>
      <w:r>
        <w:rPr>
          <w:rFonts w:hint="eastAsia" w:ascii="宋体" w:hAnsi="宋体" w:cs="宋体"/>
          <w:b/>
          <w:sz w:val="44"/>
          <w:szCs w:val="44"/>
          <w:highlight w:val="none"/>
        </w:rPr>
        <w:t>目    录</w:t>
      </w:r>
    </w:p>
    <w:p w14:paraId="308AABA6">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52"/>
          <w:szCs w:val="52"/>
          <w:highlight w:val="none"/>
        </w:rPr>
        <w:fldChar w:fldCharType="begin"/>
      </w:r>
      <w:r>
        <w:rPr>
          <w:rFonts w:hint="eastAsia" w:ascii="宋体" w:hAnsi="宋体" w:eastAsia="宋体" w:cs="宋体"/>
          <w:sz w:val="52"/>
          <w:szCs w:val="52"/>
          <w:highlight w:val="none"/>
        </w:rPr>
        <w:instrText xml:space="preserve">TOC \o "1-1" \h \u </w:instrText>
      </w:r>
      <w:bookmarkStart w:id="0" w:name="_Toc20703"/>
      <w:bookmarkStart w:id="1" w:name="_Toc28786"/>
      <w:bookmarkStart w:id="2" w:name="_Toc21543"/>
      <w:bookmarkStart w:id="3" w:name="_Toc23865"/>
      <w:r>
        <w:rPr>
          <w:rFonts w:hint="eastAsia" w:ascii="宋体" w:hAnsi="宋体" w:eastAsia="宋体" w:cs="宋体"/>
          <w:sz w:val="52"/>
          <w:szCs w:val="52"/>
          <w:highlight w:val="none"/>
        </w:rPr>
        <w:fldChar w:fldCharType="separate"/>
      </w: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_Toc7803 </w:instrText>
      </w:r>
      <w:r>
        <w:rPr>
          <w:rFonts w:hint="eastAsia" w:ascii="宋体" w:hAnsi="宋体" w:eastAsia="宋体" w:cs="宋体"/>
          <w:sz w:val="32"/>
          <w:szCs w:val="52"/>
          <w:highlight w:val="none"/>
        </w:rPr>
        <w:fldChar w:fldCharType="separate"/>
      </w:r>
      <w:r>
        <w:rPr>
          <w:rFonts w:hint="eastAsia"/>
          <w:sz w:val="32"/>
          <w:szCs w:val="28"/>
          <w:highlight w:val="none"/>
        </w:rPr>
        <w:t>第一章、竞争性磋商采购公告</w:t>
      </w:r>
      <w:r>
        <w:rPr>
          <w:sz w:val="32"/>
          <w:szCs w:val="28"/>
          <w:highlight w:val="none"/>
        </w:rPr>
        <w:tab/>
      </w:r>
      <w:r>
        <w:rPr>
          <w:sz w:val="32"/>
          <w:szCs w:val="28"/>
          <w:highlight w:val="none"/>
        </w:rPr>
        <w:fldChar w:fldCharType="begin"/>
      </w:r>
      <w:r>
        <w:rPr>
          <w:sz w:val="32"/>
          <w:szCs w:val="28"/>
          <w:highlight w:val="none"/>
        </w:rPr>
        <w:instrText xml:space="preserve"> PAGEREF _Toc7803 \h </w:instrText>
      </w:r>
      <w:r>
        <w:rPr>
          <w:sz w:val="32"/>
          <w:szCs w:val="28"/>
          <w:highlight w:val="none"/>
        </w:rPr>
        <w:fldChar w:fldCharType="separate"/>
      </w:r>
      <w:r>
        <w:rPr>
          <w:sz w:val="32"/>
          <w:szCs w:val="28"/>
          <w:highlight w:val="none"/>
        </w:rPr>
        <w:t>- 2 -</w:t>
      </w:r>
      <w:r>
        <w:rPr>
          <w:sz w:val="32"/>
          <w:szCs w:val="28"/>
          <w:highlight w:val="none"/>
        </w:rPr>
        <w:fldChar w:fldCharType="end"/>
      </w:r>
      <w:r>
        <w:rPr>
          <w:rFonts w:hint="eastAsia" w:ascii="宋体" w:hAnsi="宋体" w:eastAsia="宋体" w:cs="宋体"/>
          <w:sz w:val="32"/>
          <w:szCs w:val="52"/>
          <w:highlight w:val="none"/>
        </w:rPr>
        <w:fldChar w:fldCharType="end"/>
      </w:r>
    </w:p>
    <w:p w14:paraId="12D745B9">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_Toc27273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第二章、供应商须知</w:t>
      </w:r>
      <w:r>
        <w:rPr>
          <w:sz w:val="32"/>
          <w:szCs w:val="28"/>
          <w:highlight w:val="none"/>
        </w:rPr>
        <w:tab/>
      </w:r>
      <w:r>
        <w:rPr>
          <w:sz w:val="32"/>
          <w:szCs w:val="28"/>
          <w:highlight w:val="none"/>
        </w:rPr>
        <w:fldChar w:fldCharType="begin"/>
      </w:r>
      <w:r>
        <w:rPr>
          <w:sz w:val="32"/>
          <w:szCs w:val="28"/>
          <w:highlight w:val="none"/>
        </w:rPr>
        <w:instrText xml:space="preserve"> PAGEREF _Toc27273 \h </w:instrText>
      </w:r>
      <w:r>
        <w:rPr>
          <w:sz w:val="32"/>
          <w:szCs w:val="28"/>
          <w:highlight w:val="none"/>
        </w:rPr>
        <w:fldChar w:fldCharType="separate"/>
      </w:r>
      <w:r>
        <w:rPr>
          <w:sz w:val="32"/>
          <w:szCs w:val="28"/>
          <w:highlight w:val="none"/>
        </w:rPr>
        <w:t>- 5 -</w:t>
      </w:r>
      <w:r>
        <w:rPr>
          <w:sz w:val="32"/>
          <w:szCs w:val="28"/>
          <w:highlight w:val="none"/>
        </w:rPr>
        <w:fldChar w:fldCharType="end"/>
      </w:r>
      <w:r>
        <w:rPr>
          <w:rFonts w:hint="eastAsia" w:ascii="宋体" w:hAnsi="宋体" w:eastAsia="宋体" w:cs="宋体"/>
          <w:sz w:val="32"/>
          <w:szCs w:val="52"/>
          <w:highlight w:val="none"/>
        </w:rPr>
        <w:fldChar w:fldCharType="end"/>
      </w:r>
    </w:p>
    <w:p w14:paraId="07F8BEC0">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_Toc1256 </w:instrText>
      </w:r>
      <w:r>
        <w:rPr>
          <w:rFonts w:hint="eastAsia" w:ascii="宋体" w:hAnsi="宋体" w:eastAsia="宋体" w:cs="宋体"/>
          <w:sz w:val="32"/>
          <w:szCs w:val="52"/>
          <w:highlight w:val="none"/>
        </w:rPr>
        <w:fldChar w:fldCharType="separate"/>
      </w:r>
      <w:r>
        <w:rPr>
          <w:rFonts w:hint="eastAsia"/>
          <w:sz w:val="32"/>
          <w:szCs w:val="28"/>
          <w:highlight w:val="none"/>
          <w:lang w:val="en-US" w:eastAsia="zh-CN"/>
        </w:rPr>
        <w:t>第三章、项目采购需求</w:t>
      </w:r>
      <w:r>
        <w:rPr>
          <w:sz w:val="32"/>
          <w:szCs w:val="28"/>
          <w:highlight w:val="none"/>
        </w:rPr>
        <w:tab/>
      </w:r>
      <w:r>
        <w:rPr>
          <w:sz w:val="32"/>
          <w:szCs w:val="28"/>
          <w:highlight w:val="none"/>
        </w:rPr>
        <w:fldChar w:fldCharType="begin"/>
      </w:r>
      <w:r>
        <w:rPr>
          <w:sz w:val="32"/>
          <w:szCs w:val="28"/>
          <w:highlight w:val="none"/>
        </w:rPr>
        <w:instrText xml:space="preserve"> PAGEREF _Toc1256 \h </w:instrText>
      </w:r>
      <w:r>
        <w:rPr>
          <w:sz w:val="32"/>
          <w:szCs w:val="28"/>
          <w:highlight w:val="none"/>
        </w:rPr>
        <w:fldChar w:fldCharType="separate"/>
      </w:r>
      <w:r>
        <w:rPr>
          <w:sz w:val="32"/>
          <w:szCs w:val="28"/>
          <w:highlight w:val="none"/>
        </w:rPr>
        <w:t>- 24 -</w:t>
      </w:r>
      <w:r>
        <w:rPr>
          <w:sz w:val="32"/>
          <w:szCs w:val="28"/>
          <w:highlight w:val="none"/>
        </w:rPr>
        <w:fldChar w:fldCharType="end"/>
      </w:r>
      <w:r>
        <w:rPr>
          <w:rFonts w:hint="eastAsia" w:ascii="宋体" w:hAnsi="宋体" w:eastAsia="宋体" w:cs="宋体"/>
          <w:sz w:val="32"/>
          <w:szCs w:val="52"/>
          <w:highlight w:val="none"/>
        </w:rPr>
        <w:fldChar w:fldCharType="end"/>
      </w:r>
    </w:p>
    <w:p w14:paraId="559892C2">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_Toc1699 </w:instrText>
      </w:r>
      <w:r>
        <w:rPr>
          <w:rFonts w:hint="eastAsia" w:ascii="宋体" w:hAnsi="宋体" w:eastAsia="宋体" w:cs="宋体"/>
          <w:sz w:val="32"/>
          <w:szCs w:val="52"/>
          <w:highlight w:val="none"/>
        </w:rPr>
        <w:fldChar w:fldCharType="separate"/>
      </w:r>
      <w:r>
        <w:rPr>
          <w:rFonts w:hint="eastAsia"/>
          <w:sz w:val="32"/>
          <w:szCs w:val="28"/>
          <w:highlight w:val="none"/>
        </w:rPr>
        <w:t>第四章</w:t>
      </w:r>
      <w:r>
        <w:rPr>
          <w:rFonts w:hint="eastAsia"/>
          <w:sz w:val="32"/>
          <w:szCs w:val="28"/>
          <w:highlight w:val="none"/>
          <w:lang w:eastAsia="zh-CN"/>
        </w:rPr>
        <w:t>、</w:t>
      </w:r>
      <w:r>
        <w:rPr>
          <w:rFonts w:hint="eastAsia"/>
          <w:sz w:val="32"/>
          <w:szCs w:val="28"/>
          <w:highlight w:val="none"/>
        </w:rPr>
        <w:t>合同条款</w:t>
      </w:r>
      <w:r>
        <w:rPr>
          <w:sz w:val="32"/>
          <w:szCs w:val="28"/>
          <w:highlight w:val="none"/>
        </w:rPr>
        <w:tab/>
      </w:r>
      <w:r>
        <w:rPr>
          <w:sz w:val="32"/>
          <w:szCs w:val="28"/>
          <w:highlight w:val="none"/>
        </w:rPr>
        <w:fldChar w:fldCharType="begin"/>
      </w:r>
      <w:r>
        <w:rPr>
          <w:sz w:val="32"/>
          <w:szCs w:val="28"/>
          <w:highlight w:val="none"/>
        </w:rPr>
        <w:instrText xml:space="preserve"> PAGEREF _Toc1699 \h </w:instrText>
      </w:r>
      <w:r>
        <w:rPr>
          <w:sz w:val="32"/>
          <w:szCs w:val="28"/>
          <w:highlight w:val="none"/>
        </w:rPr>
        <w:fldChar w:fldCharType="separate"/>
      </w:r>
      <w:r>
        <w:rPr>
          <w:sz w:val="32"/>
          <w:szCs w:val="28"/>
          <w:highlight w:val="none"/>
        </w:rPr>
        <w:t>- 27 -</w:t>
      </w:r>
      <w:r>
        <w:rPr>
          <w:sz w:val="32"/>
          <w:szCs w:val="28"/>
          <w:highlight w:val="none"/>
        </w:rPr>
        <w:fldChar w:fldCharType="end"/>
      </w:r>
      <w:r>
        <w:rPr>
          <w:rFonts w:hint="eastAsia" w:ascii="宋体" w:hAnsi="宋体" w:eastAsia="宋体" w:cs="宋体"/>
          <w:sz w:val="32"/>
          <w:szCs w:val="52"/>
          <w:highlight w:val="none"/>
        </w:rPr>
        <w:fldChar w:fldCharType="end"/>
      </w:r>
    </w:p>
    <w:p w14:paraId="353F82A0">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_Toc27037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第五章、响应文件格式</w:t>
      </w:r>
      <w:r>
        <w:rPr>
          <w:sz w:val="32"/>
          <w:szCs w:val="28"/>
          <w:highlight w:val="none"/>
        </w:rPr>
        <w:tab/>
      </w:r>
      <w:r>
        <w:rPr>
          <w:sz w:val="32"/>
          <w:szCs w:val="28"/>
          <w:highlight w:val="none"/>
        </w:rPr>
        <w:fldChar w:fldCharType="begin"/>
      </w:r>
      <w:r>
        <w:rPr>
          <w:sz w:val="32"/>
          <w:szCs w:val="28"/>
          <w:highlight w:val="none"/>
        </w:rPr>
        <w:instrText xml:space="preserve"> PAGEREF _Toc27037 \h </w:instrText>
      </w:r>
      <w:r>
        <w:rPr>
          <w:sz w:val="32"/>
          <w:szCs w:val="28"/>
          <w:highlight w:val="none"/>
        </w:rPr>
        <w:fldChar w:fldCharType="separate"/>
      </w:r>
      <w:r>
        <w:rPr>
          <w:sz w:val="32"/>
          <w:szCs w:val="28"/>
          <w:highlight w:val="none"/>
        </w:rPr>
        <w:t>- 32 -</w:t>
      </w:r>
      <w:r>
        <w:rPr>
          <w:sz w:val="32"/>
          <w:szCs w:val="28"/>
          <w:highlight w:val="none"/>
        </w:rPr>
        <w:fldChar w:fldCharType="end"/>
      </w:r>
      <w:r>
        <w:rPr>
          <w:rFonts w:hint="eastAsia" w:ascii="宋体" w:hAnsi="宋体" w:eastAsia="宋体" w:cs="宋体"/>
          <w:sz w:val="32"/>
          <w:szCs w:val="52"/>
          <w:highlight w:val="none"/>
        </w:rPr>
        <w:fldChar w:fldCharType="end"/>
      </w:r>
    </w:p>
    <w:p w14:paraId="2869EDDE">
      <w:pPr>
        <w:pStyle w:val="17"/>
        <w:keepNext w:val="0"/>
        <w:keepLines w:val="0"/>
        <w:pageBreakBefore w:val="0"/>
        <w:widowControl w:val="0"/>
        <w:tabs>
          <w:tab w:val="right" w:leader="dot" w:pos="9740"/>
        </w:tabs>
        <w:kinsoku/>
        <w:wordWrap/>
        <w:overflowPunct/>
        <w:topLinePunct w:val="0"/>
        <w:autoSpaceDE w:val="0"/>
        <w:autoSpaceDN w:val="0"/>
        <w:bidi w:val="0"/>
        <w:adjustRightInd w:val="0"/>
        <w:snapToGrid/>
        <w:spacing w:line="1160" w:lineRule="exact"/>
        <w:textAlignment w:val="baseline"/>
        <w:rPr>
          <w:sz w:val="32"/>
          <w:szCs w:val="28"/>
          <w:highlight w:val="none"/>
        </w:rPr>
      </w:pPr>
      <w:r>
        <w:rPr>
          <w:rFonts w:hint="eastAsia" w:ascii="宋体" w:hAnsi="宋体" w:eastAsia="宋体" w:cs="宋体"/>
          <w:sz w:val="32"/>
          <w:szCs w:val="52"/>
          <w:highlight w:val="none"/>
        </w:rPr>
        <w:fldChar w:fldCharType="begin"/>
      </w:r>
      <w:r>
        <w:rPr>
          <w:rFonts w:hint="eastAsia" w:ascii="宋体" w:hAnsi="宋体" w:eastAsia="宋体" w:cs="宋体"/>
          <w:sz w:val="32"/>
          <w:szCs w:val="52"/>
          <w:highlight w:val="none"/>
        </w:rPr>
        <w:instrText xml:space="preserve"> HYPERLINK \l _Toc14366 </w:instrText>
      </w:r>
      <w:r>
        <w:rPr>
          <w:rFonts w:hint="eastAsia" w:ascii="宋体" w:hAnsi="宋体" w:eastAsia="宋体" w:cs="宋体"/>
          <w:sz w:val="32"/>
          <w:szCs w:val="52"/>
          <w:highlight w:val="none"/>
        </w:rPr>
        <w:fldChar w:fldCharType="separate"/>
      </w:r>
      <w:r>
        <w:rPr>
          <w:rFonts w:hint="eastAsia" w:ascii="宋体" w:hAnsi="宋体" w:eastAsia="宋体" w:cs="宋体"/>
          <w:bCs/>
          <w:kern w:val="0"/>
          <w:sz w:val="32"/>
          <w:szCs w:val="52"/>
          <w:highlight w:val="none"/>
          <w:lang w:val="en-US" w:eastAsia="zh-CN" w:bidi="ar-SA"/>
        </w:rPr>
        <w:t>第六章、评审标准（综合评分法）</w:t>
      </w:r>
      <w:r>
        <w:rPr>
          <w:sz w:val="32"/>
          <w:szCs w:val="28"/>
          <w:highlight w:val="none"/>
        </w:rPr>
        <w:tab/>
      </w:r>
      <w:r>
        <w:rPr>
          <w:sz w:val="32"/>
          <w:szCs w:val="28"/>
          <w:highlight w:val="none"/>
        </w:rPr>
        <w:fldChar w:fldCharType="begin"/>
      </w:r>
      <w:r>
        <w:rPr>
          <w:sz w:val="32"/>
          <w:szCs w:val="28"/>
          <w:highlight w:val="none"/>
        </w:rPr>
        <w:instrText xml:space="preserve"> PAGEREF _Toc14366 \h </w:instrText>
      </w:r>
      <w:r>
        <w:rPr>
          <w:sz w:val="32"/>
          <w:szCs w:val="28"/>
          <w:highlight w:val="none"/>
        </w:rPr>
        <w:fldChar w:fldCharType="separate"/>
      </w:r>
      <w:r>
        <w:rPr>
          <w:sz w:val="32"/>
          <w:szCs w:val="28"/>
          <w:highlight w:val="none"/>
        </w:rPr>
        <w:t>- 47 -</w:t>
      </w:r>
      <w:r>
        <w:rPr>
          <w:sz w:val="32"/>
          <w:szCs w:val="28"/>
          <w:highlight w:val="none"/>
        </w:rPr>
        <w:fldChar w:fldCharType="end"/>
      </w:r>
      <w:r>
        <w:rPr>
          <w:rFonts w:hint="eastAsia" w:ascii="宋体" w:hAnsi="宋体" w:eastAsia="宋体" w:cs="宋体"/>
          <w:sz w:val="32"/>
          <w:szCs w:val="52"/>
          <w:highlight w:val="none"/>
        </w:rPr>
        <w:fldChar w:fldCharType="end"/>
      </w:r>
    </w:p>
    <w:p w14:paraId="4D2E7989">
      <w:pPr>
        <w:pStyle w:val="17"/>
        <w:keepNext w:val="0"/>
        <w:keepLines w:val="0"/>
        <w:pageBreakBefore w:val="0"/>
        <w:widowControl w:val="0"/>
        <w:tabs>
          <w:tab w:val="right" w:leader="dot" w:pos="10466"/>
        </w:tabs>
        <w:kinsoku/>
        <w:wordWrap/>
        <w:overflowPunct/>
        <w:topLinePunct w:val="0"/>
        <w:autoSpaceDE w:val="0"/>
        <w:autoSpaceDN w:val="0"/>
        <w:bidi w:val="0"/>
        <w:adjustRightInd w:val="0"/>
        <w:snapToGrid/>
        <w:spacing w:line="1160" w:lineRule="exact"/>
        <w:textAlignment w:val="baseline"/>
        <w:rPr>
          <w:rFonts w:hint="eastAsia" w:ascii="宋体" w:hAnsi="宋体" w:eastAsia="宋体" w:cs="宋体"/>
          <w:sz w:val="36"/>
          <w:szCs w:val="36"/>
          <w:highlight w:val="none"/>
        </w:rPr>
      </w:pPr>
      <w:r>
        <w:rPr>
          <w:rFonts w:hint="eastAsia" w:ascii="宋体" w:hAnsi="宋体" w:eastAsia="宋体" w:cs="宋体"/>
          <w:sz w:val="32"/>
          <w:szCs w:val="52"/>
          <w:highlight w:val="none"/>
        </w:rPr>
        <w:fldChar w:fldCharType="end"/>
      </w:r>
    </w:p>
    <w:p w14:paraId="47091024">
      <w:pPr>
        <w:pStyle w:val="17"/>
        <w:tabs>
          <w:tab w:val="right" w:leader="dot" w:pos="10466"/>
        </w:tabs>
        <w:spacing w:line="1000" w:lineRule="exact"/>
        <w:jc w:val="center"/>
        <w:rPr>
          <w:rFonts w:hint="eastAsia" w:ascii="宋体" w:hAnsi="宋体" w:cs="宋体"/>
          <w:sz w:val="48"/>
          <w:szCs w:val="48"/>
          <w:highlight w:val="none"/>
        </w:rPr>
        <w:sectPr>
          <w:headerReference r:id="rId8" w:type="default"/>
          <w:footerReference r:id="rId9" w:type="default"/>
          <w:pgSz w:w="11906" w:h="16838"/>
          <w:pgMar w:top="1440" w:right="1083" w:bottom="1440" w:left="1083" w:header="850" w:footer="992" w:gutter="0"/>
          <w:pgNumType w:fmt="decimal" w:start="1"/>
          <w:cols w:space="0" w:num="1"/>
          <w:titlePg/>
          <w:rtlGutter w:val="0"/>
          <w:docGrid w:linePitch="312" w:charSpace="0"/>
        </w:sectPr>
      </w:pPr>
    </w:p>
    <w:p w14:paraId="7543867B">
      <w:pPr>
        <w:pStyle w:val="2"/>
        <w:bidi w:val="0"/>
        <w:rPr>
          <w:rFonts w:hint="eastAsia"/>
          <w:highlight w:val="none"/>
        </w:rPr>
      </w:pPr>
      <w:bookmarkStart w:id="4" w:name="_Toc24741"/>
      <w:bookmarkStart w:id="5" w:name="_Toc7803"/>
      <w:r>
        <w:rPr>
          <w:rFonts w:hint="eastAsia"/>
          <w:highlight w:val="none"/>
        </w:rPr>
        <w:t>第一章、竞争性磋商公告</w:t>
      </w:r>
      <w:bookmarkEnd w:id="0"/>
      <w:bookmarkEnd w:id="1"/>
      <w:bookmarkEnd w:id="2"/>
      <w:bookmarkEnd w:id="3"/>
      <w:bookmarkEnd w:id="4"/>
      <w:bookmarkEnd w:id="5"/>
    </w:p>
    <w:tbl>
      <w:tblPr>
        <w:tblStyle w:val="24"/>
        <w:tblpPr w:leftFromText="180" w:rightFromText="180" w:vertAnchor="text" w:horzAnchor="page" w:tblpX="1382" w:tblpY="394"/>
        <w:tblOverlap w:val="never"/>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3"/>
      </w:tblGrid>
      <w:tr w14:paraId="034E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683" w:type="dxa"/>
            <w:vAlign w:val="top"/>
          </w:tcPr>
          <w:p w14:paraId="276E576C">
            <w:pPr>
              <w:spacing w:line="400" w:lineRule="exact"/>
              <w:ind w:firstLine="480" w:firstLineChars="200"/>
              <w:rPr>
                <w:rFonts w:hint="eastAsia" w:ascii="宋体" w:hAnsi="宋体" w:eastAsia="宋体" w:cs="宋体"/>
                <w:sz w:val="24"/>
                <w:szCs w:val="24"/>
                <w:highlight w:val="none"/>
                <w:lang w:eastAsia="zh-CN"/>
              </w:rPr>
            </w:pPr>
            <w:bookmarkStart w:id="6" w:name="_Toc2578"/>
            <w:bookmarkStart w:id="7" w:name="_Toc8079"/>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eastAsia="zh-CN"/>
              </w:rPr>
              <w:t>：</w:t>
            </w:r>
          </w:p>
          <w:p w14:paraId="4D056BD8">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none"/>
                <w:lang w:eastAsia="zh-CN"/>
              </w:rPr>
              <w:t>绿雅社区卫生服务站公共卫生服务采购项目</w:t>
            </w:r>
            <w:r>
              <w:rPr>
                <w:rFonts w:hint="eastAsia" w:ascii="宋体" w:hAnsi="宋体" w:eastAsia="宋体" w:cs="宋体"/>
                <w:sz w:val="24"/>
                <w:szCs w:val="24"/>
                <w:highlight w:val="none"/>
              </w:rPr>
              <w:t>的潜在供应商应在新疆政府采购网获取采购文件，并于</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日上午10:</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（北京时间）前提交响应文件。</w:t>
            </w:r>
          </w:p>
        </w:tc>
      </w:tr>
    </w:tbl>
    <w:p w14:paraId="5DD07AFD">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项目基本情况</w:t>
      </w:r>
      <w:bookmarkEnd w:id="6"/>
      <w:bookmarkEnd w:id="7"/>
    </w:p>
    <w:p w14:paraId="41C49A24">
      <w:pPr>
        <w:keepNext w:val="0"/>
        <w:keepLines w:val="0"/>
        <w:pageBreakBefore w:val="0"/>
        <w:widowControl w:val="0"/>
        <w:kinsoku/>
        <w:overflowPunct/>
        <w:bidi w:val="0"/>
        <w:snapToGrid/>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XZZB-FW-2026007</w:t>
      </w:r>
    </w:p>
    <w:p w14:paraId="49B7E3C8">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绿雅社区卫生服务站公共卫生服务采购项目</w:t>
      </w:r>
    </w:p>
    <w:p w14:paraId="56ADF3A4">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358B2BE3">
      <w:pPr>
        <w:keepNext w:val="0"/>
        <w:keepLines w:val="0"/>
        <w:pageBreakBefore w:val="0"/>
        <w:widowControl w:val="0"/>
        <w:kinsoku/>
        <w:overflowPunct/>
        <w:bidi w:val="0"/>
        <w:snapToGrid/>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1365000</w:t>
      </w:r>
    </w:p>
    <w:p w14:paraId="3C3A3F40">
      <w:pPr>
        <w:keepNext w:val="0"/>
        <w:keepLines w:val="0"/>
        <w:pageBreakBefore w:val="0"/>
        <w:widowControl w:val="0"/>
        <w:kinsoku/>
        <w:overflowPunct/>
        <w:bidi w:val="0"/>
        <w:snapToGrid/>
        <w:spacing w:line="360" w:lineRule="auto"/>
        <w:ind w:firstLine="480" w:firstLineChars="200"/>
        <w:rPr>
          <w:rFonts w:hint="default"/>
          <w:color w:val="auto"/>
          <w:highlight w:val="none"/>
          <w:lang w:val="en-US"/>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1365000</w:t>
      </w:r>
    </w:p>
    <w:p w14:paraId="0FE68986">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bookmarkStart w:id="8" w:name="_Toc28359013"/>
      <w:bookmarkStart w:id="9" w:name="_Toc35393799"/>
      <w:bookmarkStart w:id="10" w:name="_Toc28359090"/>
      <w:bookmarkStart w:id="11" w:name="_Toc35393630"/>
      <w:r>
        <w:rPr>
          <w:rFonts w:hint="eastAsia" w:ascii="宋体" w:hAnsi="宋体" w:eastAsia="宋体" w:cs="宋体"/>
          <w:sz w:val="24"/>
          <w:szCs w:val="24"/>
          <w:highlight w:val="none"/>
        </w:rPr>
        <w:t>采购需求：</w:t>
      </w:r>
      <w:r>
        <w:rPr>
          <w:rFonts w:ascii="宋体" w:hAnsi="宋体" w:eastAsia="宋体" w:cs="宋体"/>
          <w:sz w:val="24"/>
          <w:szCs w:val="24"/>
          <w:highlight w:val="none"/>
        </w:rPr>
        <w:t>保障绿雅社区全体居民（尤其是老人、儿童、孕产妇、慢性病患者等重点人群）公平、可及地获得国家规定的全部基本公共卫生服务.</w:t>
      </w:r>
      <w:r>
        <w:rPr>
          <w:rFonts w:hint="eastAsia" w:ascii="宋体" w:hAnsi="宋体" w:eastAsia="宋体" w:cs="宋体"/>
          <w:sz w:val="24"/>
          <w:szCs w:val="24"/>
          <w:highlight w:val="none"/>
          <w:lang w:val="en-US" w:eastAsia="zh-CN"/>
        </w:rPr>
        <w:t>其他详细内容见磋商文件。</w:t>
      </w:r>
    </w:p>
    <w:p w14:paraId="0BE91CB8">
      <w:pPr>
        <w:keepNext w:val="0"/>
        <w:keepLines w:val="0"/>
        <w:pageBreakBefore w:val="0"/>
        <w:widowControl w:val="0"/>
        <w:kinsoku/>
        <w:wordWrap w:val="0"/>
        <w:overflowPunct/>
        <w:topLinePunct/>
        <w:bidi w:val="0"/>
        <w:snapToGrid/>
        <w:spacing w:line="360" w:lineRule="auto"/>
        <w:ind w:firstLine="480" w:firstLineChars="200"/>
        <w:rPr>
          <w:rFonts w:hint="default" w:ascii="宋体" w:hAnsi="宋体" w:eastAsia="宋体" w:cs="宋体"/>
          <w:sz w:val="24"/>
          <w:szCs w:val="24"/>
          <w:highlight w:val="none"/>
          <w:lang w:val="en-US" w:eastAsia="zh-CN"/>
        </w:rPr>
      </w:pPr>
      <w:bookmarkStart w:id="12" w:name="_Toc3918"/>
      <w:bookmarkStart w:id="13" w:name="_Toc17658"/>
      <w:r>
        <w:rPr>
          <w:rFonts w:hint="eastAsia" w:ascii="宋体" w:hAnsi="宋体" w:cs="宋体"/>
          <w:sz w:val="24"/>
          <w:szCs w:val="24"/>
          <w:highlight w:val="none"/>
          <w:lang w:val="en-US" w:eastAsia="zh-CN"/>
        </w:rPr>
        <w:t>服务期限：</w:t>
      </w:r>
      <w:r>
        <w:rPr>
          <w:rFonts w:hint="eastAsia" w:ascii="宋体" w:hAnsi="宋体" w:cs="宋体"/>
          <w:b w:val="0"/>
          <w:bCs w:val="0"/>
          <w:color w:val="auto"/>
          <w:sz w:val="24"/>
          <w:szCs w:val="24"/>
          <w:highlight w:val="none"/>
          <w:lang w:val="en-US" w:eastAsia="zh-CN"/>
        </w:rPr>
        <w:t>自合同签订之日起至2026年12月31日</w:t>
      </w:r>
      <w:r>
        <w:rPr>
          <w:rFonts w:hint="eastAsia" w:ascii="宋体" w:hAnsi="宋体" w:cs="宋体"/>
          <w:sz w:val="24"/>
          <w:szCs w:val="24"/>
          <w:highlight w:val="none"/>
          <w:lang w:val="en-US" w:eastAsia="zh-CN"/>
        </w:rPr>
        <w:t>。</w:t>
      </w:r>
    </w:p>
    <w:p w14:paraId="191935D6">
      <w:pPr>
        <w:keepNext w:val="0"/>
        <w:keepLines w:val="0"/>
        <w:pageBreakBefore w:val="0"/>
        <w:widowControl w:val="0"/>
        <w:kinsoku/>
        <w:wordWrap w:val="0"/>
        <w:overflowPunct/>
        <w:topLinePunct/>
        <w:bidi w:val="0"/>
        <w:snapToGrid/>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本项目不接受联合体投标。</w:t>
      </w:r>
    </w:p>
    <w:p w14:paraId="48871741">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申请人的资格要求</w:t>
      </w:r>
      <w:bookmarkEnd w:id="8"/>
      <w:bookmarkEnd w:id="9"/>
      <w:bookmarkEnd w:id="10"/>
      <w:bookmarkEnd w:id="11"/>
      <w:bookmarkEnd w:id="12"/>
      <w:bookmarkEnd w:id="13"/>
    </w:p>
    <w:p w14:paraId="4D396330">
      <w:pPr>
        <w:keepNext w:val="0"/>
        <w:keepLines w:val="0"/>
        <w:pageBreakBefore w:val="0"/>
        <w:widowControl w:val="0"/>
        <w:numPr>
          <w:ilvl w:val="0"/>
          <w:numId w:val="2"/>
        </w:numPr>
        <w:kinsoku/>
        <w:overflowPunct/>
        <w:bidi w:val="0"/>
        <w:snapToGrid/>
        <w:spacing w:line="360" w:lineRule="auto"/>
        <w:ind w:left="0" w:leftChars="0" w:firstLine="400" w:firstLineChars="0"/>
        <w:rPr>
          <w:rFonts w:hint="eastAsia" w:ascii="宋体" w:hAnsi="宋体" w:eastAsia="宋体" w:cs="宋体"/>
          <w:sz w:val="24"/>
          <w:szCs w:val="24"/>
          <w:highlight w:val="none"/>
        </w:rPr>
      </w:pPr>
      <w:bookmarkStart w:id="14" w:name="_Toc28359081"/>
      <w:bookmarkStart w:id="15" w:name="_Toc35393623"/>
      <w:bookmarkStart w:id="16" w:name="_Toc28359004"/>
      <w:bookmarkStart w:id="17" w:name="_Toc35393792"/>
      <w:bookmarkStart w:id="18" w:name="_Toc13180"/>
      <w:bookmarkStart w:id="19" w:name="_Toc8748"/>
      <w:r>
        <w:rPr>
          <w:rFonts w:hint="eastAsia" w:ascii="宋体" w:hAnsi="宋体" w:eastAsia="宋体" w:cs="宋体"/>
          <w:sz w:val="24"/>
          <w:szCs w:val="24"/>
          <w:highlight w:val="none"/>
        </w:rPr>
        <w:t>满足《中华人民共和国政府采购法》第二十二条规定；</w:t>
      </w:r>
    </w:p>
    <w:p w14:paraId="4F39D31C">
      <w:pPr>
        <w:keepNext w:val="0"/>
        <w:keepLines w:val="0"/>
        <w:pageBreakBefore w:val="0"/>
        <w:widowControl w:val="0"/>
        <w:numPr>
          <w:ilvl w:val="0"/>
          <w:numId w:val="2"/>
        </w:numPr>
        <w:kinsoku/>
        <w:overflowPunct/>
        <w:bidi w:val="0"/>
        <w:snapToGrid/>
        <w:spacing w:line="360" w:lineRule="auto"/>
        <w:ind w:left="0" w:leftChars="0" w:firstLine="400" w:firstLineChars="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落实政府采购政策需满足的资格要求：标项1：本项目面向</w:t>
      </w:r>
      <w:r>
        <w:rPr>
          <w:rFonts w:hint="eastAsia" w:ascii="宋体" w:hAnsi="宋体" w:cs="宋体"/>
          <w:sz w:val="24"/>
          <w:szCs w:val="24"/>
          <w:highlight w:val="none"/>
          <w:lang w:val="en-US" w:eastAsia="zh-CN"/>
        </w:rPr>
        <w:t>中小企业；</w:t>
      </w:r>
    </w:p>
    <w:p w14:paraId="7B7761F6">
      <w:pPr>
        <w:keepNext w:val="0"/>
        <w:keepLines w:val="0"/>
        <w:pageBreakBefore w:val="0"/>
        <w:widowControl w:val="0"/>
        <w:numPr>
          <w:ilvl w:val="0"/>
          <w:numId w:val="2"/>
        </w:numPr>
        <w:kinsoku/>
        <w:wordWrap w:val="0"/>
        <w:overflowPunct/>
        <w:topLinePunct/>
        <w:bidi w:val="0"/>
        <w:snapToGrid/>
        <w:spacing w:line="360" w:lineRule="auto"/>
        <w:ind w:left="0" w:leftChars="0" w:firstLine="400" w:firstLineChars="0"/>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特定资格要求：</w:t>
      </w:r>
      <w:bookmarkEnd w:id="14"/>
      <w:bookmarkEnd w:id="15"/>
      <w:bookmarkEnd w:id="16"/>
      <w:bookmarkEnd w:id="17"/>
      <w:r>
        <w:rPr>
          <w:rFonts w:hint="eastAsia" w:ascii="宋体" w:hAnsi="宋体" w:cs="宋体"/>
          <w:i w:val="0"/>
          <w:iCs w:val="0"/>
          <w:kern w:val="2"/>
          <w:sz w:val="24"/>
          <w:szCs w:val="24"/>
          <w:highlight w:val="none"/>
          <w:lang w:val="en-US" w:eastAsia="zh-CN" w:bidi="ar-SA"/>
        </w:rPr>
        <w:t>无</w:t>
      </w:r>
    </w:p>
    <w:p w14:paraId="2C3558E8">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获取采购文件</w:t>
      </w:r>
      <w:bookmarkEnd w:id="18"/>
      <w:bookmarkEnd w:id="19"/>
    </w:p>
    <w:p w14:paraId="5BC51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bookmarkStart w:id="20" w:name="_Toc35393801"/>
      <w:bookmarkStart w:id="21" w:name="_Toc28359015"/>
      <w:bookmarkStart w:id="22" w:name="_Toc28359092"/>
      <w:bookmarkStart w:id="23" w:name="_Toc35393632"/>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日至</w:t>
      </w:r>
      <w:r>
        <w:rPr>
          <w:rFonts w:hint="eastAsia" w:ascii="宋体" w:hAnsi="宋体" w:cs="宋体"/>
          <w:sz w:val="24"/>
          <w:szCs w:val="24"/>
          <w:highlight w:val="none"/>
          <w:lang w:eastAsia="zh-CN"/>
        </w:rPr>
        <w:t>2026</w:t>
      </w:r>
      <w:r>
        <w:rPr>
          <w:rFonts w:hint="eastAsia" w:ascii="宋体" w:hAnsi="宋体" w:cs="宋体"/>
          <w:sz w:val="24"/>
          <w:szCs w:val="24"/>
          <w:highlight w:val="none"/>
          <w:lang w:val="en-US" w:eastAsia="zh-CN"/>
        </w:rPr>
        <w:t>年04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日</w:t>
      </w:r>
      <w:r>
        <w:rPr>
          <w:rFonts w:hint="eastAsia" w:ascii="宋体" w:hAnsi="宋体" w:eastAsia="宋体" w:cs="宋体"/>
          <w:sz w:val="24"/>
          <w:szCs w:val="24"/>
          <w:highlight w:val="none"/>
          <w:lang w:val="en-US" w:eastAsia="zh-CN"/>
        </w:rPr>
        <w:t>，每天上午00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00至14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00，下午14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00至23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59（北京时间，法定节假日除外）</w:t>
      </w:r>
    </w:p>
    <w:p w14:paraId="5C8CD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地点：新疆政府采购网政采云平台（www.zcygov.cn） </w:t>
      </w:r>
    </w:p>
    <w:p w14:paraId="370BC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w:t>
      </w:r>
      <w:bookmarkStart w:id="24" w:name="_Toc26021"/>
      <w:bookmarkStart w:id="25" w:name="_Toc23684"/>
      <w:r>
        <w:rPr>
          <w:rFonts w:hint="eastAsia" w:ascii="宋体" w:hAnsi="宋体" w:eastAsia="宋体" w:cs="宋体"/>
          <w:sz w:val="24"/>
          <w:szCs w:val="24"/>
          <w:highlight w:val="none"/>
          <w:lang w:val="en-US"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AEA6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售价（元）：0元</w:t>
      </w:r>
    </w:p>
    <w:bookmarkEnd w:id="20"/>
    <w:bookmarkEnd w:id="21"/>
    <w:bookmarkEnd w:id="22"/>
    <w:bookmarkEnd w:id="23"/>
    <w:bookmarkEnd w:id="24"/>
    <w:bookmarkEnd w:id="25"/>
    <w:p w14:paraId="01ED0340">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default"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响应文件</w:t>
      </w:r>
      <w:r>
        <w:rPr>
          <w:rFonts w:hint="eastAsia" w:ascii="宋体" w:hAnsi="宋体" w:cs="宋体"/>
          <w:b/>
          <w:bCs w:val="0"/>
          <w:color w:val="000000"/>
          <w:sz w:val="24"/>
          <w:szCs w:val="24"/>
          <w:highlight w:val="none"/>
          <w:lang w:val="en-US" w:eastAsia="zh-CN"/>
        </w:rPr>
        <w:t>提交</w:t>
      </w:r>
    </w:p>
    <w:p w14:paraId="249C8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bookmarkStart w:id="26" w:name="_Toc35393633"/>
      <w:bookmarkStart w:id="27" w:name="_Toc28359093"/>
      <w:bookmarkStart w:id="28" w:name="_Toc35393802"/>
      <w:bookmarkStart w:id="29" w:name="_Toc28359016"/>
      <w:r>
        <w:rPr>
          <w:rFonts w:hint="eastAsia" w:ascii="宋体" w:hAnsi="宋体" w:eastAsia="宋体" w:cs="宋体"/>
          <w:sz w:val="24"/>
          <w:szCs w:val="24"/>
          <w:highlight w:val="none"/>
          <w:lang w:val="en-US" w:eastAsia="zh-CN"/>
        </w:rPr>
        <w:t>截止时间：</w:t>
      </w:r>
      <w:r>
        <w:rPr>
          <w:rFonts w:hint="eastAsia" w:ascii="宋体" w:hAnsi="宋体" w:cs="宋体"/>
          <w:sz w:val="24"/>
          <w:szCs w:val="24"/>
          <w:highlight w:val="none"/>
          <w:lang w:val="en-US" w:eastAsia="zh-CN"/>
        </w:rPr>
        <w:t>2026年04月24日</w:t>
      </w:r>
      <w:r>
        <w:rPr>
          <w:rFonts w:hint="eastAsia" w:ascii="宋体" w:hAnsi="宋体" w:eastAsia="宋体" w:cs="宋体"/>
          <w:sz w:val="24"/>
          <w:szCs w:val="24"/>
          <w:highlight w:val="none"/>
          <w:lang w:val="en-US" w:eastAsia="zh-CN"/>
        </w:rPr>
        <w:t>10:30（北京时间）</w:t>
      </w:r>
    </w:p>
    <w:p w14:paraId="241678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投标地点：新疆政府采购网政采云平台（www.zcygov.cn）</w:t>
      </w:r>
    </w:p>
    <w:p w14:paraId="2C9E8B5E">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sz w:val="24"/>
          <w:szCs w:val="24"/>
          <w:highlight w:val="none"/>
          <w:lang w:val="en-US" w:eastAsia="zh-CN"/>
        </w:rPr>
      </w:pPr>
      <w:r>
        <w:rPr>
          <w:rFonts w:hint="eastAsia" w:ascii="宋体" w:hAnsi="宋体" w:eastAsia="宋体" w:cs="宋体"/>
          <w:b/>
          <w:bCs w:val="0"/>
          <w:color w:val="000000"/>
          <w:sz w:val="24"/>
          <w:szCs w:val="24"/>
          <w:highlight w:val="none"/>
          <w:lang w:val="en-US" w:eastAsia="zh-CN"/>
        </w:rPr>
        <w:t>响应文件</w:t>
      </w:r>
      <w:r>
        <w:rPr>
          <w:rFonts w:hint="eastAsia" w:ascii="宋体" w:hAnsi="宋体" w:cs="宋体"/>
          <w:b/>
          <w:bCs w:val="0"/>
          <w:color w:val="000000"/>
          <w:sz w:val="24"/>
          <w:szCs w:val="24"/>
          <w:highlight w:val="none"/>
          <w:lang w:val="en-US" w:eastAsia="zh-CN"/>
        </w:rPr>
        <w:t>开启</w:t>
      </w:r>
    </w:p>
    <w:p w14:paraId="5590D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开启时间：2026年04月24日</w:t>
      </w:r>
      <w:r>
        <w:rPr>
          <w:rFonts w:hint="eastAsia" w:ascii="宋体" w:hAnsi="宋体" w:eastAsia="宋体" w:cs="宋体"/>
          <w:sz w:val="24"/>
          <w:szCs w:val="24"/>
          <w:highlight w:val="none"/>
          <w:lang w:val="en-US" w:eastAsia="zh-CN"/>
        </w:rPr>
        <w:t>10:30（北京时间）</w:t>
      </w:r>
    </w:p>
    <w:p w14:paraId="5DD98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bookmarkEnd w:id="26"/>
      <w:bookmarkEnd w:id="27"/>
      <w:bookmarkEnd w:id="28"/>
      <w:bookmarkEnd w:id="29"/>
      <w:bookmarkStart w:id="30" w:name="_Toc1186"/>
      <w:bookmarkStart w:id="31" w:name="_Toc18495"/>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登录政采云平台https://www.zcygov.cn/，进入“项目采购-开标评标-右边选择对应项目点击“进入项目”进入开标大厅。</w:t>
      </w:r>
    </w:p>
    <w:p w14:paraId="1A33C457">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公告期限</w:t>
      </w:r>
      <w:bookmarkEnd w:id="30"/>
      <w:bookmarkEnd w:id="31"/>
    </w:p>
    <w:p w14:paraId="7492A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3"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个工作日</w:t>
      </w:r>
    </w:p>
    <w:p w14:paraId="34D67BBC">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bookmarkStart w:id="32" w:name="_Toc35393635"/>
      <w:bookmarkStart w:id="33" w:name="_Toc30113"/>
      <w:bookmarkStart w:id="34" w:name="_Toc24586"/>
      <w:bookmarkStart w:id="35" w:name="_Toc35393804"/>
      <w:bookmarkStart w:id="36" w:name="_Toc1786"/>
      <w:bookmarkStart w:id="37" w:name="_Toc27802"/>
      <w:r>
        <w:rPr>
          <w:rFonts w:hint="eastAsia" w:ascii="宋体" w:hAnsi="宋体" w:eastAsia="宋体" w:cs="宋体"/>
          <w:b/>
          <w:bCs w:val="0"/>
          <w:color w:val="000000"/>
          <w:sz w:val="24"/>
          <w:szCs w:val="24"/>
          <w:highlight w:val="none"/>
          <w:lang w:val="en-US" w:eastAsia="zh-CN"/>
        </w:rPr>
        <w:t>其他补充事宜</w:t>
      </w:r>
      <w:bookmarkEnd w:id="32"/>
      <w:bookmarkEnd w:id="33"/>
      <w:bookmarkEnd w:id="34"/>
      <w:bookmarkEnd w:id="35"/>
    </w:p>
    <w:p w14:paraId="6FDDCA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请</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随时关注本项目的澄清、答疑、变更事项。</w:t>
      </w:r>
    </w:p>
    <w:p w14:paraId="07E5CB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本项目实行电子招投标，</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须登录政采云平台申请获取</w:t>
      </w:r>
      <w:r>
        <w:rPr>
          <w:rFonts w:hint="eastAsia" w:ascii="宋体" w:hAnsi="宋体" w:cs="宋体"/>
          <w:sz w:val="24"/>
          <w:szCs w:val="24"/>
          <w:highlight w:val="none"/>
          <w:lang w:val="en-US" w:eastAsia="zh-CN"/>
        </w:rPr>
        <w:t>磋商文件</w:t>
      </w:r>
      <w:r>
        <w:rPr>
          <w:rFonts w:hint="eastAsia" w:ascii="宋体" w:hAnsi="宋体" w:eastAsia="宋体" w:cs="宋体"/>
          <w:sz w:val="24"/>
          <w:szCs w:val="24"/>
          <w:highlight w:val="none"/>
          <w:lang w:val="en-US" w:eastAsia="zh-CN"/>
        </w:rPr>
        <w:t>，并通过政采云电子投标客户端制作投标文件，同时自行承担与投标有关的一切费用。</w:t>
      </w:r>
    </w:p>
    <w:p w14:paraId="11EF123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应在开标前应确保成为政采云平台</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，并完成CA数字证书（符合国密标准）申领。因未注册入库、未办理CA数字证书等原因造成无法投标或投标失败等后果由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自行承担。</w:t>
      </w:r>
    </w:p>
    <w:p w14:paraId="4ACDBCD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可前往新疆政府采购网（http：//www.ccgp-xinjiang.gov.cn/） 下载专区，下载政采</w:t>
      </w:r>
      <w:r>
        <w:rPr>
          <w:rFonts w:hint="eastAsia" w:ascii="宋体" w:hAnsi="宋体" w:cs="宋体"/>
          <w:sz w:val="24"/>
          <w:szCs w:val="24"/>
          <w:highlight w:val="none"/>
          <w:lang w:val="en-US" w:eastAsia="zh-CN"/>
        </w:rPr>
        <w:t>云电子投标客户端，安装完成后，可通过账号密码或CA登录客户端进行投标文件制作。在使用政采云电子投标客户端时，建议使用WIN7及以上操作系统。如需咨询，请联系新疆CA服务热线0991-2819290。</w:t>
      </w:r>
    </w:p>
    <w:p w14:paraId="3D1053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采用不见面开标，供应商须在投标截止时间前通过CA在政采云平台上传加密的电子投标文件。供应商对不见面开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A3878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供应商在开标前须提前配置好电脑浏览器，开标时请使用制作加密电子投标文件的CA锁进行解密及报价确认。本项目投标文件解密时间定为30分钟，如因自身原因导致无法正常解密，后果由供应商自行承担。</w:t>
      </w:r>
    </w:p>
    <w:p w14:paraId="16F9F8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特别提示：</w:t>
      </w:r>
    </w:p>
    <w:p w14:paraId="7CE6D40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采购限额标准以上，200万元以下的货物和服务采购项目、400万元以下的工程采购项目，适宜由中小企业提供的，采购人应当专门面向中小企业采购。</w:t>
      </w:r>
    </w:p>
    <w:p w14:paraId="43A7E99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超过200万元的货物和服务采购项目、超过400万元的工程采购项目中适宜由中小企业提供的，预留该部分采购项目预算总额的30%以上专门面向中小企业采购，其中预留给小微企业的比例不低于60%。</w:t>
      </w:r>
    </w:p>
    <w:p w14:paraId="40EB230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2A032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14:paraId="034AF4D3">
      <w:pPr>
        <w:keepNext w:val="0"/>
        <w:keepLines w:val="0"/>
        <w:pageBreakBefore w:val="0"/>
        <w:widowControl w:val="0"/>
        <w:numPr>
          <w:ilvl w:val="0"/>
          <w:numId w:val="1"/>
        </w:numPr>
        <w:kinsoku/>
        <w:wordWrap w:val="0"/>
        <w:overflowPunct/>
        <w:topLinePunct/>
        <w:bidi w:val="0"/>
        <w:snapToGrid/>
        <w:spacing w:line="360" w:lineRule="auto"/>
        <w:ind w:left="0" w:leftChars="0" w:firstLine="420" w:firstLineChars="0"/>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凡对本次采购提出询问，请按以下方式联系。</w:t>
      </w:r>
      <w:bookmarkEnd w:id="36"/>
      <w:bookmarkEnd w:id="37"/>
    </w:p>
    <w:p w14:paraId="1C3E2497">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bookmarkStart w:id="38" w:name="_Toc20031"/>
      <w:r>
        <w:rPr>
          <w:rFonts w:hint="eastAsia" w:ascii="宋体" w:hAnsi="宋体" w:eastAsia="宋体" w:cs="宋体"/>
          <w:sz w:val="24"/>
          <w:szCs w:val="24"/>
          <w:highlight w:val="none"/>
          <w:lang w:val="en-US" w:eastAsia="zh-CN"/>
        </w:rPr>
        <w:t>1.采购人信息</w:t>
      </w:r>
      <w:bookmarkEnd w:id="38"/>
    </w:p>
    <w:p w14:paraId="31B688D7">
      <w:pPr>
        <w:tabs>
          <w:tab w:val="left" w:pos="360"/>
        </w:tabs>
        <w:spacing w:line="360" w:lineRule="auto"/>
        <w:ind w:firstLine="480" w:firstLineChars="200"/>
        <w:jc w:val="left"/>
        <w:rPr>
          <w:rFonts w:hint="default" w:ascii="宋体" w:hAnsi="宋体" w:eastAsia="宋体" w:cs="宋体"/>
          <w:kern w:val="0"/>
          <w:sz w:val="24"/>
          <w:highlight w:val="none"/>
          <w:lang w:val="en-US" w:eastAsia="zh-CN"/>
        </w:rPr>
      </w:pPr>
      <w:bookmarkStart w:id="39" w:name="_Toc18899"/>
      <w:bookmarkStart w:id="40" w:name="_Toc28359009"/>
      <w:bookmarkStart w:id="41" w:name="_Toc28359086"/>
      <w:r>
        <w:rPr>
          <w:rFonts w:hint="eastAsia" w:ascii="宋体" w:hAnsi="宋体" w:eastAsia="宋体" w:cs="宋体"/>
          <w:kern w:val="0"/>
          <w:sz w:val="24"/>
          <w:highlight w:val="none"/>
          <w:lang w:val="en-US" w:eastAsia="zh-CN"/>
        </w:rPr>
        <w:t>名    称</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克拉玛依市克拉玛依区迎宾街道社区卫生服务中心</w:t>
      </w:r>
    </w:p>
    <w:p w14:paraId="33C06748">
      <w:pPr>
        <w:tabs>
          <w:tab w:val="left" w:pos="360"/>
        </w:tabs>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地    址：</w:t>
      </w:r>
      <w:r>
        <w:rPr>
          <w:rFonts w:hint="eastAsia" w:ascii="宋体" w:hAnsi="宋体" w:eastAsia="宋体" w:cs="宋体"/>
          <w:kern w:val="0"/>
          <w:sz w:val="24"/>
          <w:highlight w:val="none"/>
          <w:lang w:val="en-US" w:eastAsia="zh-CN"/>
        </w:rPr>
        <w:t>克拉玛依区南新路街道 77 号</w:t>
      </w:r>
    </w:p>
    <w:p w14:paraId="392A1643">
      <w:pPr>
        <w:tabs>
          <w:tab w:val="left" w:pos="360"/>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highlight w:val="none"/>
          <w:lang w:eastAsia="zh-CN"/>
        </w:rPr>
        <w:t>联系电话：0990-7559758</w:t>
      </w:r>
    </w:p>
    <w:p w14:paraId="34FA2AAE">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bookmarkEnd w:id="39"/>
      <w:bookmarkEnd w:id="40"/>
      <w:bookmarkEnd w:id="41"/>
    </w:p>
    <w:p w14:paraId="509362DD">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称：</w:t>
      </w:r>
      <w:r>
        <w:rPr>
          <w:rFonts w:hint="eastAsia" w:ascii="宋体" w:hAnsi="宋体" w:cs="宋体"/>
          <w:sz w:val="24"/>
          <w:szCs w:val="24"/>
          <w:highlight w:val="none"/>
          <w:lang w:val="en-US" w:eastAsia="zh-CN"/>
        </w:rPr>
        <w:t>新疆新咨工程咨询有限公司</w:t>
      </w:r>
    </w:p>
    <w:p w14:paraId="16175D62">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址：新疆克拉玛依市克拉玛依区新兴路 108-20</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号</w:t>
      </w:r>
    </w:p>
    <w:p w14:paraId="099A0833">
      <w:pPr>
        <w:keepNext w:val="0"/>
        <w:keepLines w:val="0"/>
        <w:pageBreakBefore w:val="0"/>
        <w:widowControl w:val="0"/>
        <w:kinsoku/>
        <w:overflowPunct/>
        <w:bidi w:val="0"/>
        <w:snapToGrid/>
        <w:spacing w:line="360" w:lineRule="auto"/>
        <w:ind w:firstLine="480" w:firstLineChars="200"/>
        <w:rPr>
          <w:rFonts w:hint="eastAsia" w:ascii="宋体" w:hAnsi="宋体" w:eastAsia="宋体" w:cs="宋体"/>
          <w:kern w:val="2"/>
          <w:sz w:val="24"/>
          <w:highlight w:val="none"/>
          <w:lang w:val="en-US" w:eastAsia="zh-CN" w:bidi="ar-SA"/>
        </w:rPr>
      </w:pPr>
      <w:r>
        <w:rPr>
          <w:rFonts w:hint="eastAsia" w:ascii="宋体" w:hAnsi="宋体" w:eastAsia="宋体" w:cs="宋体"/>
          <w:sz w:val="24"/>
          <w:szCs w:val="24"/>
          <w:highlight w:val="none"/>
          <w:lang w:val="en-US" w:eastAsia="zh-CN"/>
        </w:rPr>
        <w:t>联系方式：13199900322、18690635205</w:t>
      </w:r>
    </w:p>
    <w:p w14:paraId="0034D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2" w:name="_Toc28359021"/>
      <w:bookmarkStart w:id="43" w:name="_Toc35393639"/>
      <w:bookmarkStart w:id="44" w:name="_Toc35393808"/>
      <w:bookmarkStart w:id="45" w:name="_Toc28359098"/>
      <w:bookmarkStart w:id="46" w:name="_Toc2952"/>
      <w:bookmarkStart w:id="47" w:name="_Toc22784"/>
      <w:bookmarkStart w:id="48" w:name="_Toc2401"/>
      <w:bookmarkStart w:id="49" w:name="_Toc27035"/>
      <w:r>
        <w:rPr>
          <w:rFonts w:hint="eastAsia" w:ascii="宋体" w:hAnsi="宋体" w:eastAsia="宋体" w:cs="宋体"/>
          <w:color w:val="auto"/>
          <w:sz w:val="24"/>
          <w:szCs w:val="24"/>
          <w:highlight w:val="none"/>
          <w:lang w:val="en-US" w:eastAsia="zh-CN"/>
        </w:rPr>
        <w:t>3.项目联系方式</w:t>
      </w:r>
      <w:bookmarkEnd w:id="42"/>
      <w:bookmarkEnd w:id="43"/>
      <w:bookmarkEnd w:id="44"/>
      <w:bookmarkEnd w:id="45"/>
    </w:p>
    <w:p w14:paraId="66C154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cs="宋体"/>
          <w:color w:val="auto"/>
          <w:kern w:val="0"/>
          <w:sz w:val="24"/>
          <w:highlight w:val="none"/>
          <w:lang w:val="en-US" w:eastAsia="zh-CN"/>
        </w:rPr>
        <w:t>陈鑫 、秦玉欣</w:t>
      </w:r>
    </w:p>
    <w:p w14:paraId="3A8C1B67">
      <w:pPr>
        <w:keepNext w:val="0"/>
        <w:keepLines w:val="0"/>
        <w:pageBreakBefore w:val="0"/>
        <w:widowControl w:val="0"/>
        <w:kinsoku/>
        <w:overflowPunct/>
        <w:bidi w:val="0"/>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13199900322、18690635205</w:t>
      </w:r>
    </w:p>
    <w:p w14:paraId="70BF8E4D">
      <w:pPr>
        <w:pStyle w:val="4"/>
        <w:rPr>
          <w:rFonts w:hint="default"/>
          <w:highlight w:val="none"/>
          <w:lang w:val="en-US" w:eastAsia="zh-CN"/>
        </w:rPr>
      </w:pPr>
    </w:p>
    <w:p w14:paraId="238A04DD">
      <w:pPr>
        <w:pStyle w:val="2"/>
        <w:jc w:val="center"/>
        <w:rPr>
          <w:rFonts w:hint="eastAsia" w:ascii="宋体" w:hAnsi="宋体" w:cs="宋体"/>
          <w:sz w:val="44"/>
          <w:highlight w:val="none"/>
        </w:rPr>
      </w:pPr>
      <w:bookmarkStart w:id="50" w:name="_Toc31507"/>
      <w:bookmarkStart w:id="51" w:name="_Toc27273"/>
      <w:r>
        <w:rPr>
          <w:rFonts w:hint="eastAsia" w:ascii="宋体" w:hAnsi="宋体" w:eastAsia="宋体" w:cs="宋体"/>
          <w:b/>
          <w:bCs/>
          <w:kern w:val="0"/>
          <w:sz w:val="36"/>
          <w:szCs w:val="36"/>
          <w:highlight w:val="none"/>
          <w:lang w:val="en-US" w:eastAsia="zh-CN" w:bidi="ar-SA"/>
        </w:rPr>
        <w:t>第二章、供应商须知</w:t>
      </w:r>
      <w:bookmarkEnd w:id="46"/>
      <w:bookmarkEnd w:id="47"/>
      <w:bookmarkEnd w:id="48"/>
      <w:bookmarkEnd w:id="49"/>
      <w:bookmarkEnd w:id="50"/>
      <w:bookmarkEnd w:id="51"/>
    </w:p>
    <w:p w14:paraId="391DE0E2">
      <w:pPr>
        <w:jc w:val="center"/>
        <w:outlineLvl w:val="9"/>
        <w:rPr>
          <w:rFonts w:hint="eastAsia" w:ascii="宋体" w:hAnsi="宋体" w:eastAsia="宋体" w:cs="宋体"/>
          <w:b w:val="0"/>
          <w:bCs w:val="0"/>
          <w:kern w:val="2"/>
          <w:sz w:val="32"/>
          <w:szCs w:val="32"/>
          <w:highlight w:val="none"/>
          <w:lang w:val="en-US" w:eastAsia="zh-CN" w:bidi="ar-SA"/>
        </w:rPr>
      </w:pPr>
      <w:bookmarkStart w:id="52" w:name="_Toc15212"/>
      <w:r>
        <w:rPr>
          <w:rFonts w:hint="eastAsia" w:ascii="宋体" w:hAnsi="宋体" w:eastAsia="宋体" w:cs="宋体"/>
          <w:b w:val="0"/>
          <w:bCs w:val="0"/>
          <w:kern w:val="2"/>
          <w:sz w:val="32"/>
          <w:szCs w:val="32"/>
          <w:highlight w:val="none"/>
          <w:lang w:val="en-US" w:eastAsia="zh-CN" w:bidi="ar-SA"/>
        </w:rPr>
        <w:t>前附表</w:t>
      </w:r>
      <w:bookmarkEnd w:id="52"/>
    </w:p>
    <w:tbl>
      <w:tblPr>
        <w:tblStyle w:val="24"/>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9685"/>
      </w:tblGrid>
      <w:tr w14:paraId="77E8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55" w:type="dxa"/>
            <w:vAlign w:val="center"/>
          </w:tcPr>
          <w:p w14:paraId="64324615">
            <w:pPr>
              <w:pStyle w:val="12"/>
              <w:spacing w:line="240" w:lineRule="auto"/>
              <w:jc w:val="center"/>
              <w:rPr>
                <w:rFonts w:hint="eastAsia" w:hAnsi="宋体" w:eastAsia="宋体" w:cs="宋体"/>
                <w:sz w:val="24"/>
                <w:szCs w:val="24"/>
                <w:highlight w:val="none"/>
                <w:lang w:eastAsia="zh-CN"/>
              </w:rPr>
            </w:pPr>
            <w:r>
              <w:rPr>
                <w:rFonts w:hint="eastAsia" w:hAnsi="宋体" w:cs="宋体"/>
                <w:sz w:val="24"/>
                <w:szCs w:val="24"/>
                <w:highlight w:val="none"/>
                <w:lang w:eastAsia="zh-CN"/>
              </w:rPr>
              <w:t>序号</w:t>
            </w:r>
          </w:p>
        </w:tc>
        <w:tc>
          <w:tcPr>
            <w:tcW w:w="9685" w:type="dxa"/>
            <w:vAlign w:val="center"/>
          </w:tcPr>
          <w:p w14:paraId="464B1417">
            <w:pPr>
              <w:pStyle w:val="12"/>
              <w:spacing w:line="240" w:lineRule="auto"/>
              <w:jc w:val="center"/>
              <w:rPr>
                <w:rFonts w:hint="eastAsia" w:hAnsi="宋体" w:cs="宋体"/>
                <w:sz w:val="24"/>
                <w:szCs w:val="24"/>
                <w:highlight w:val="none"/>
              </w:rPr>
            </w:pPr>
            <w:r>
              <w:rPr>
                <w:rFonts w:hint="eastAsia" w:hAnsi="宋体" w:cs="宋体"/>
                <w:sz w:val="24"/>
                <w:szCs w:val="24"/>
                <w:highlight w:val="none"/>
              </w:rPr>
              <w:t>内容规定</w:t>
            </w:r>
          </w:p>
        </w:tc>
      </w:tr>
      <w:tr w14:paraId="4F2E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5" w:type="dxa"/>
            <w:vAlign w:val="center"/>
          </w:tcPr>
          <w:p w14:paraId="2A3F5C91">
            <w:pPr>
              <w:pStyle w:val="12"/>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9685" w:type="dxa"/>
            <w:vAlign w:val="center"/>
          </w:tcPr>
          <w:p w14:paraId="6C875112">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r>
              <w:rPr>
                <w:rFonts w:hint="eastAsia" w:hAnsi="宋体" w:cs="宋体"/>
                <w:bCs/>
                <w:sz w:val="24"/>
                <w:szCs w:val="24"/>
                <w:highlight w:val="none"/>
                <w:lang w:eastAsia="zh-CN"/>
              </w:rPr>
              <w:t>绿雅社区卫生服务站公共卫生服务采购项目</w:t>
            </w:r>
          </w:p>
          <w:p w14:paraId="7EB71550">
            <w:pPr>
              <w:pStyle w:val="12"/>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竞争性磋商文件编号：</w:t>
            </w:r>
            <w:r>
              <w:rPr>
                <w:rFonts w:hint="eastAsia" w:hAnsi="宋体" w:cs="宋体"/>
                <w:bCs/>
                <w:sz w:val="24"/>
                <w:szCs w:val="24"/>
                <w:highlight w:val="none"/>
                <w:lang w:val="en-US" w:eastAsia="zh-CN"/>
              </w:rPr>
              <w:t>XZZB-FW-2026007</w:t>
            </w:r>
          </w:p>
        </w:tc>
      </w:tr>
      <w:tr w14:paraId="074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55" w:type="dxa"/>
            <w:vAlign w:val="center"/>
          </w:tcPr>
          <w:p w14:paraId="375AB3EF">
            <w:pPr>
              <w:pStyle w:val="12"/>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9685" w:type="dxa"/>
            <w:vAlign w:val="top"/>
          </w:tcPr>
          <w:p w14:paraId="78A1E723">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购</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人：</w:t>
            </w:r>
            <w:r>
              <w:rPr>
                <w:rFonts w:hint="eastAsia" w:hAnsi="宋体" w:cs="宋体"/>
                <w:bCs/>
                <w:sz w:val="24"/>
                <w:szCs w:val="24"/>
                <w:highlight w:val="none"/>
                <w:lang w:val="en-US" w:eastAsia="zh-CN"/>
              </w:rPr>
              <w:t>克拉玛依市克拉玛依区迎宾街道社区卫生服务中心</w:t>
            </w:r>
          </w:p>
          <w:p w14:paraId="70192876">
            <w:pPr>
              <w:pStyle w:val="12"/>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地</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址：</w:t>
            </w:r>
            <w:r>
              <w:rPr>
                <w:rFonts w:hint="eastAsia" w:ascii="宋体" w:hAnsi="宋体" w:eastAsia="宋体" w:cs="宋体"/>
                <w:bCs/>
                <w:sz w:val="24"/>
                <w:szCs w:val="24"/>
                <w:highlight w:val="none"/>
                <w:lang w:val="en-US" w:eastAsia="zh-CN"/>
              </w:rPr>
              <w:t>克拉玛依区南新路街道 77 号</w:t>
            </w:r>
          </w:p>
          <w:p w14:paraId="346B3D04">
            <w:pPr>
              <w:pStyle w:val="12"/>
              <w:spacing w:line="360" w:lineRule="auto"/>
              <w:rPr>
                <w:rFonts w:hint="default" w:hAnsi="宋体" w:eastAsia="宋体" w:cs="宋体"/>
                <w:bCs/>
                <w:sz w:val="24"/>
                <w:szCs w:val="24"/>
                <w:highlight w:val="none"/>
                <w:lang w:val="en-US" w:eastAsia="zh-CN"/>
              </w:rPr>
            </w:pPr>
            <w:r>
              <w:rPr>
                <w:rFonts w:hint="eastAsia" w:ascii="宋体" w:hAnsi="宋体" w:eastAsia="宋体" w:cs="宋体"/>
                <w:bCs/>
                <w:sz w:val="24"/>
                <w:szCs w:val="24"/>
                <w:highlight w:val="none"/>
              </w:rPr>
              <w:t>联</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系</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人</w:t>
            </w:r>
            <w:r>
              <w:rPr>
                <w:rFonts w:hint="eastAsia" w:hAnsi="宋体" w:eastAsia="宋体" w:cs="宋体"/>
                <w:bCs/>
                <w:sz w:val="24"/>
                <w:szCs w:val="24"/>
                <w:highlight w:val="none"/>
                <w:lang w:eastAsia="zh-CN"/>
              </w:rPr>
              <w:t>：</w:t>
            </w:r>
            <w:r>
              <w:rPr>
                <w:rFonts w:hint="eastAsia" w:hAnsi="宋体" w:eastAsia="宋体" w:cs="宋体"/>
                <w:bCs/>
                <w:sz w:val="24"/>
                <w:szCs w:val="24"/>
                <w:highlight w:val="none"/>
                <w:lang w:val="en-US" w:eastAsia="zh-CN"/>
              </w:rPr>
              <w:t>阿娃古力</w:t>
            </w:r>
          </w:p>
          <w:p w14:paraId="4EC96711">
            <w:pPr>
              <w:pStyle w:val="12"/>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0990-7559758</w:t>
            </w:r>
          </w:p>
        </w:tc>
      </w:tr>
      <w:tr w14:paraId="07DA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55" w:type="dxa"/>
            <w:vAlign w:val="center"/>
          </w:tcPr>
          <w:p w14:paraId="5F2BE32E">
            <w:pPr>
              <w:pStyle w:val="12"/>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9685" w:type="dxa"/>
            <w:vAlign w:val="center"/>
          </w:tcPr>
          <w:p w14:paraId="58A9B020">
            <w:pPr>
              <w:pStyle w:val="12"/>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采购代理机构：</w:t>
            </w:r>
            <w:r>
              <w:rPr>
                <w:rFonts w:hint="eastAsia" w:hAnsi="宋体" w:cs="宋体"/>
                <w:bCs/>
                <w:sz w:val="24"/>
                <w:szCs w:val="24"/>
                <w:highlight w:val="none"/>
                <w:lang w:val="en-US" w:eastAsia="zh-CN"/>
              </w:rPr>
              <w:t>新疆新咨工程咨询有限公司</w:t>
            </w:r>
          </w:p>
          <w:p w14:paraId="5B4AC0F6">
            <w:pPr>
              <w:pStyle w:val="12"/>
              <w:spacing w:line="36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地    址：新疆克拉玛依市克拉玛依区新兴路 108-201号</w:t>
            </w:r>
          </w:p>
          <w:p w14:paraId="4ED55B7C">
            <w:pPr>
              <w:pStyle w:val="12"/>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联 系 人：</w:t>
            </w:r>
            <w:r>
              <w:rPr>
                <w:rFonts w:hint="eastAsia" w:hAnsi="宋体" w:cs="宋体"/>
                <w:bCs/>
                <w:sz w:val="24"/>
                <w:szCs w:val="24"/>
                <w:highlight w:val="none"/>
                <w:lang w:val="en-US" w:eastAsia="zh-CN"/>
              </w:rPr>
              <w:t>陈鑫、秦玉欣</w:t>
            </w:r>
          </w:p>
          <w:p w14:paraId="17DCC437">
            <w:pPr>
              <w:pStyle w:val="12"/>
              <w:spacing w:line="360" w:lineRule="auto"/>
              <w:rPr>
                <w:rFonts w:hint="default" w:ascii="宋体" w:hAnsi="宋体" w:eastAsia="宋体" w:cs="宋体"/>
                <w:bCs/>
                <w:sz w:val="24"/>
                <w:szCs w:val="24"/>
                <w:highlight w:val="none"/>
                <w:lang w:val="en-US"/>
              </w:rPr>
            </w:pPr>
            <w:r>
              <w:rPr>
                <w:rFonts w:hint="eastAsia" w:ascii="宋体" w:hAnsi="宋体" w:eastAsia="宋体" w:cs="宋体"/>
                <w:bCs/>
                <w:sz w:val="24"/>
                <w:szCs w:val="24"/>
                <w:highlight w:val="none"/>
                <w:lang w:val="en-US" w:eastAsia="zh-CN"/>
              </w:rPr>
              <w:t>联系电话：13199900322、18690635205</w:t>
            </w:r>
          </w:p>
        </w:tc>
      </w:tr>
      <w:tr w14:paraId="30C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18725EE0">
            <w:pPr>
              <w:pStyle w:val="12"/>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9685" w:type="dxa"/>
            <w:vAlign w:val="center"/>
          </w:tcPr>
          <w:p w14:paraId="205DEDD5">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响应文件有效期：递交响应文件截止之日起</w:t>
            </w:r>
            <w:r>
              <w:rPr>
                <w:rFonts w:hint="eastAsia" w:hAnsi="宋体" w:cs="宋体"/>
                <w:bCs/>
                <w:sz w:val="24"/>
                <w:szCs w:val="24"/>
                <w:highlight w:val="none"/>
                <w:lang w:val="en-US" w:eastAsia="zh-CN"/>
              </w:rPr>
              <w:t>90</w:t>
            </w:r>
            <w:r>
              <w:rPr>
                <w:rFonts w:hint="eastAsia" w:ascii="宋体" w:hAnsi="宋体" w:eastAsia="宋体" w:cs="宋体"/>
                <w:bCs/>
                <w:sz w:val="24"/>
                <w:szCs w:val="24"/>
                <w:highlight w:val="none"/>
              </w:rPr>
              <w:t>天（日历日）</w:t>
            </w:r>
          </w:p>
        </w:tc>
      </w:tr>
      <w:tr w14:paraId="6C6B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7C9F2F9D">
            <w:pPr>
              <w:pStyle w:val="12"/>
              <w:spacing w:line="240" w:lineRule="auto"/>
              <w:jc w:val="center"/>
              <w:rPr>
                <w:rFonts w:hint="eastAsia" w:ascii="宋体" w:hAnsi="宋体" w:eastAsia="宋体" w:cs="宋体"/>
                <w:bCs/>
                <w:sz w:val="24"/>
                <w:szCs w:val="24"/>
                <w:highlight w:val="none"/>
                <w:lang w:val="en-US" w:eastAsia="zh-CN"/>
              </w:rPr>
            </w:pPr>
            <w:r>
              <w:rPr>
                <w:rFonts w:hint="eastAsia" w:hAnsi="宋体" w:cs="宋体"/>
                <w:bCs/>
                <w:sz w:val="24"/>
                <w:szCs w:val="24"/>
                <w:highlight w:val="none"/>
                <w:lang w:val="en-US" w:eastAsia="zh-CN"/>
              </w:rPr>
              <w:t>5</w:t>
            </w:r>
          </w:p>
        </w:tc>
        <w:tc>
          <w:tcPr>
            <w:tcW w:w="9685" w:type="dxa"/>
            <w:vAlign w:val="center"/>
          </w:tcPr>
          <w:p w14:paraId="1957AFF8">
            <w:pPr>
              <w:pStyle w:val="12"/>
              <w:spacing w:line="360" w:lineRule="auto"/>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本项目不收取保证金。</w:t>
            </w:r>
          </w:p>
        </w:tc>
      </w:tr>
      <w:tr w14:paraId="20E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55" w:type="dxa"/>
            <w:vAlign w:val="center"/>
          </w:tcPr>
          <w:p w14:paraId="0D59D4D3">
            <w:pPr>
              <w:pStyle w:val="12"/>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6</w:t>
            </w:r>
          </w:p>
        </w:tc>
        <w:tc>
          <w:tcPr>
            <w:tcW w:w="9685" w:type="dxa"/>
            <w:vAlign w:val="center"/>
          </w:tcPr>
          <w:p w14:paraId="08E2BB6C">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采购人不统一组织考察，各供应商自行对采购项目进行考察。</w:t>
            </w:r>
          </w:p>
          <w:p w14:paraId="2AA7C8F2">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供应商如有疑问，于</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eastAsia="宋体" w:cs="宋体"/>
                <w:bCs/>
                <w:sz w:val="24"/>
                <w:szCs w:val="24"/>
                <w:highlight w:val="none"/>
              </w:rPr>
              <w:t>19</w:t>
            </w:r>
            <w:r>
              <w:rPr>
                <w:rFonts w:hint="eastAsia" w:hAnsi="宋体" w:eastAsia="宋体" w:cs="宋体"/>
                <w:bCs/>
                <w:sz w:val="24"/>
                <w:szCs w:val="24"/>
                <w:highlight w:val="none"/>
                <w:lang w:eastAsia="zh-CN"/>
              </w:rPr>
              <w:t>：</w:t>
            </w:r>
            <w:r>
              <w:rPr>
                <w:rFonts w:hint="eastAsia" w:hAnsi="宋体" w:eastAsia="宋体" w:cs="宋体"/>
                <w:bCs/>
                <w:sz w:val="24"/>
                <w:szCs w:val="24"/>
                <w:highlight w:val="none"/>
                <w:lang w:val="en-US" w:eastAsia="zh-CN"/>
              </w:rPr>
              <w:t>00</w:t>
            </w:r>
            <w:r>
              <w:rPr>
                <w:rFonts w:hint="eastAsia" w:ascii="宋体" w:hAnsi="宋体" w:eastAsia="宋体" w:cs="宋体"/>
                <w:bCs/>
                <w:sz w:val="24"/>
                <w:szCs w:val="24"/>
                <w:highlight w:val="none"/>
              </w:rPr>
              <w:t>前将有关疑问以扫描件形式（必须加盖供应商公章）发送到邮箱</w:t>
            </w:r>
            <w:r>
              <w:rPr>
                <w:rFonts w:hint="eastAsia" w:hAnsi="宋体" w:eastAsia="宋体" w:cs="宋体"/>
                <w:bCs/>
                <w:sz w:val="24"/>
                <w:szCs w:val="24"/>
                <w:highlight w:val="none"/>
                <w:lang w:eastAsia="zh-CN"/>
              </w:rPr>
              <w:t>：</w:t>
            </w:r>
            <w:r>
              <w:rPr>
                <w:rFonts w:hint="eastAsia" w:hAnsi="宋体" w:cs="宋体"/>
                <w:sz w:val="24"/>
                <w:szCs w:val="24"/>
                <w:highlight w:val="none"/>
                <w:lang w:val="en-US" w:eastAsia="zh-CN"/>
              </w:rPr>
              <w:t>862754334@qq.com</w:t>
            </w:r>
            <w:r>
              <w:rPr>
                <w:rFonts w:hint="eastAsia" w:ascii="宋体" w:hAnsi="宋体" w:eastAsia="宋体" w:cs="宋体"/>
                <w:bCs/>
                <w:sz w:val="24"/>
                <w:szCs w:val="24"/>
                <w:highlight w:val="none"/>
              </w:rPr>
              <w:t xml:space="preserve"> ，采购人将对所提疑问以书面形式发至领取竞争性磋商文件的每位供应商。</w:t>
            </w:r>
          </w:p>
          <w:p w14:paraId="6E5C890E">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书面提问截止时间：</w:t>
            </w:r>
            <w:r>
              <w:rPr>
                <w:rFonts w:hint="eastAsia" w:ascii="宋体" w:hAnsi="宋体" w:eastAsia="宋体" w:cs="宋体"/>
                <w:sz w:val="24"/>
                <w:szCs w:val="24"/>
                <w:highlight w:val="none"/>
                <w:lang w:eastAsia="zh-CN"/>
              </w:rPr>
              <w:t>202</w:t>
            </w:r>
            <w:r>
              <w:rPr>
                <w:rFonts w:hint="eastAsia"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hAnsi="宋体" w:cs="宋体"/>
                <w:sz w:val="24"/>
                <w:szCs w:val="24"/>
                <w:highlight w:val="none"/>
                <w:lang w:val="en-US" w:eastAsia="zh-CN"/>
              </w:rPr>
              <w:t>04</w:t>
            </w:r>
            <w:r>
              <w:rPr>
                <w:rFonts w:hint="eastAsia" w:ascii="宋体" w:hAnsi="宋体" w:eastAsia="宋体" w:cs="宋体"/>
                <w:sz w:val="24"/>
                <w:szCs w:val="24"/>
                <w:highlight w:val="none"/>
                <w:lang w:val="en-US" w:eastAsia="zh-CN"/>
              </w:rPr>
              <w:t>月</w:t>
            </w:r>
            <w:r>
              <w:rPr>
                <w:rFonts w:hint="eastAsia" w:hAnsi="宋体" w:cs="宋体"/>
                <w:sz w:val="24"/>
                <w:szCs w:val="24"/>
                <w:highlight w:val="none"/>
                <w:lang w:val="en-US" w:eastAsia="zh-CN"/>
              </w:rPr>
              <w:t>22</w:t>
            </w:r>
            <w:r>
              <w:rPr>
                <w:rFonts w:hint="eastAsia" w:ascii="宋体" w:hAnsi="宋体" w:eastAsia="宋体" w:cs="宋体"/>
                <w:sz w:val="24"/>
                <w:szCs w:val="24"/>
                <w:highlight w:val="none"/>
                <w:lang w:val="en-US" w:eastAsia="zh-CN"/>
              </w:rPr>
              <w:t>日</w:t>
            </w:r>
            <w:r>
              <w:rPr>
                <w:rFonts w:hint="eastAsia" w:ascii="宋体" w:hAnsi="宋体" w:eastAsia="宋体" w:cs="宋体"/>
                <w:bCs/>
                <w:sz w:val="24"/>
                <w:szCs w:val="24"/>
                <w:highlight w:val="none"/>
              </w:rPr>
              <w:t>19：00</w:t>
            </w:r>
          </w:p>
          <w:p w14:paraId="6D84E60D">
            <w:pPr>
              <w:pStyle w:val="12"/>
              <w:spacing w:line="360" w:lineRule="auto"/>
              <w:rPr>
                <w:rFonts w:hint="default" w:hAnsi="宋体" w:cs="宋体"/>
                <w:sz w:val="24"/>
                <w:szCs w:val="24"/>
                <w:highlight w:val="none"/>
                <w:lang w:val="en-US" w:eastAsia="zh-CN"/>
              </w:rPr>
            </w:pPr>
            <w:r>
              <w:rPr>
                <w:rFonts w:hint="eastAsia" w:ascii="宋体" w:hAnsi="宋体" w:eastAsia="宋体" w:cs="宋体"/>
                <w:bCs/>
                <w:sz w:val="24"/>
                <w:szCs w:val="24"/>
                <w:highlight w:val="none"/>
              </w:rPr>
              <w:t>电</w:t>
            </w:r>
            <w:r>
              <w:rPr>
                <w:rFonts w:hint="eastAsia"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话：</w:t>
            </w:r>
            <w:r>
              <w:rPr>
                <w:rFonts w:hint="eastAsia" w:hAnsi="宋体" w:cs="宋体"/>
                <w:sz w:val="24"/>
                <w:szCs w:val="24"/>
                <w:highlight w:val="none"/>
                <w:lang w:val="en-US" w:eastAsia="zh-CN"/>
              </w:rPr>
              <w:t>13199900322、</w:t>
            </w:r>
            <w:r>
              <w:rPr>
                <w:rFonts w:hint="eastAsia" w:ascii="宋体" w:hAnsi="宋体" w:cs="宋体"/>
                <w:color w:val="auto"/>
                <w:sz w:val="24"/>
                <w:szCs w:val="24"/>
                <w:highlight w:val="none"/>
                <w:lang w:val="en-US" w:eastAsia="zh-CN"/>
              </w:rPr>
              <w:t>18690635205</w:t>
            </w:r>
          </w:p>
          <w:p w14:paraId="0B87B4E7">
            <w:pPr>
              <w:pStyle w:val="12"/>
              <w:spacing w:line="36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联系人：</w:t>
            </w:r>
            <w:r>
              <w:rPr>
                <w:rFonts w:hint="eastAsia" w:hAnsi="宋体" w:cs="宋体"/>
                <w:bCs/>
                <w:sz w:val="24"/>
                <w:szCs w:val="24"/>
                <w:highlight w:val="none"/>
                <w:lang w:val="en-US" w:eastAsia="zh-CN"/>
              </w:rPr>
              <w:t>陈鑫、</w:t>
            </w:r>
            <w:r>
              <w:rPr>
                <w:rFonts w:hint="eastAsia" w:hAnsi="宋体" w:cs="宋体"/>
                <w:sz w:val="24"/>
                <w:szCs w:val="24"/>
                <w:highlight w:val="none"/>
                <w:lang w:val="en-US" w:eastAsia="zh-CN"/>
              </w:rPr>
              <w:t>秦玉欣</w:t>
            </w:r>
          </w:p>
        </w:tc>
      </w:tr>
      <w:tr w14:paraId="448B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5" w:type="dxa"/>
            <w:vAlign w:val="center"/>
          </w:tcPr>
          <w:p w14:paraId="2A033B0C">
            <w:pPr>
              <w:pStyle w:val="12"/>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7</w:t>
            </w:r>
          </w:p>
        </w:tc>
        <w:tc>
          <w:tcPr>
            <w:tcW w:w="9685" w:type="dxa"/>
            <w:vAlign w:val="center"/>
          </w:tcPr>
          <w:p w14:paraId="4572223E">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政府采购云平台（www.zcygov.cn），</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应于投标截止时间之前将电子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上传到“政采云”平台。</w:t>
            </w:r>
          </w:p>
          <w:p w14:paraId="2673C91D">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1.本项目实行网上投标，采用电子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，若</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参与投标，应自行承担投标一切费用。</w:t>
            </w:r>
          </w:p>
          <w:p w14:paraId="712382DD">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应在开标前应确保成为新疆政府采购网正式注册入库</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，并完成CA数字证书申领。因未注册入库、未办理CA数字证书等原因造成无法递交电子版</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或递交电子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失败等后果由</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自行承担。</w:t>
            </w:r>
          </w:p>
          <w:p w14:paraId="2C2EDBA0">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应使用最新版本的CA驱动和政采云投标客户端，客户端下载、安装完成后，可通过账号密码或CA登录客户端进行</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14:paraId="01DE317E">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应当在递交电子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截止时间前，将生成的“电子加密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”上传递交至“政府采购云平台”，递交电子</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截止时间以后上传递交的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将被“政府采购云平台”拒收。</w:t>
            </w:r>
          </w:p>
          <w:p w14:paraId="127113D9">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登录政采云平台，在开标时间后30分钟内</w:t>
            </w:r>
            <w:r>
              <w:rPr>
                <w:rFonts w:hint="eastAsia" w:hAnsi="宋体" w:cs="宋体"/>
                <w:bCs/>
                <w:sz w:val="24"/>
                <w:szCs w:val="24"/>
                <w:highlight w:val="none"/>
                <w:lang w:eastAsia="zh-CN"/>
              </w:rPr>
              <w:t>（</w:t>
            </w:r>
            <w:r>
              <w:rPr>
                <w:rFonts w:hint="eastAsia" w:hAnsi="宋体" w:cs="宋体"/>
                <w:sz w:val="24"/>
                <w:szCs w:val="24"/>
                <w:highlight w:val="none"/>
                <w:lang w:eastAsia="zh-CN"/>
              </w:rPr>
              <w:t>2026年0</w:t>
            </w:r>
            <w:r>
              <w:rPr>
                <w:rFonts w:hint="eastAsia" w:hAnsi="宋体" w:cs="宋体"/>
                <w:sz w:val="24"/>
                <w:szCs w:val="24"/>
                <w:highlight w:val="none"/>
                <w:lang w:val="en-US" w:eastAsia="zh-CN"/>
              </w:rPr>
              <w:t>4</w:t>
            </w:r>
            <w:r>
              <w:rPr>
                <w:rFonts w:hint="eastAsia" w:hAnsi="宋体" w:cs="宋体"/>
                <w:sz w:val="24"/>
                <w:szCs w:val="24"/>
                <w:highlight w:val="none"/>
                <w:lang w:eastAsia="zh-CN"/>
              </w:rPr>
              <w:t>月</w:t>
            </w:r>
            <w:r>
              <w:rPr>
                <w:rFonts w:hint="eastAsia" w:hAnsi="宋体" w:cs="宋体"/>
                <w:sz w:val="24"/>
                <w:szCs w:val="24"/>
                <w:highlight w:val="none"/>
                <w:lang w:val="en-US" w:eastAsia="zh-CN"/>
              </w:rPr>
              <w:t>24</w:t>
            </w:r>
            <w:r>
              <w:rPr>
                <w:rFonts w:hint="eastAsia" w:hAnsi="宋体" w:cs="宋体"/>
                <w:sz w:val="24"/>
                <w:szCs w:val="24"/>
                <w:highlight w:val="none"/>
                <w:lang w:eastAsia="zh-CN"/>
              </w:rPr>
              <w:t>日</w:t>
            </w:r>
            <w:r>
              <w:rPr>
                <w:rFonts w:hint="eastAsia" w:hAnsi="宋体" w:cs="宋体"/>
                <w:kern w:val="0"/>
                <w:sz w:val="24"/>
                <w:highlight w:val="none"/>
                <w:lang w:val="en-US" w:eastAsia="zh-CN"/>
              </w:rPr>
              <w:t>10:30-11:00</w:t>
            </w:r>
            <w:r>
              <w:rPr>
                <w:rFonts w:hint="eastAsia" w:hAnsi="宋体" w:cs="宋体"/>
                <w:bCs/>
                <w:sz w:val="24"/>
                <w:szCs w:val="24"/>
                <w:highlight w:val="none"/>
                <w:lang w:eastAsia="zh-CN"/>
              </w:rPr>
              <w:t>）</w:t>
            </w:r>
            <w:r>
              <w:rPr>
                <w:rFonts w:hint="eastAsia" w:ascii="宋体" w:hAnsi="宋体" w:eastAsia="宋体" w:cs="宋体"/>
                <w:bCs/>
                <w:sz w:val="24"/>
                <w:szCs w:val="24"/>
                <w:highlight w:val="none"/>
              </w:rPr>
              <w:t>用“项目采购-开标评标”功能进行解密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。若</w:t>
            </w:r>
            <w:r>
              <w:rPr>
                <w:rFonts w:hint="eastAsia" w:hAnsi="宋体" w:cs="宋体"/>
                <w:bCs/>
                <w:sz w:val="24"/>
                <w:szCs w:val="24"/>
                <w:highlight w:val="none"/>
                <w:lang w:eastAsia="zh-CN"/>
              </w:rPr>
              <w:t>供应商</w:t>
            </w:r>
            <w:r>
              <w:rPr>
                <w:rFonts w:hint="eastAsia" w:ascii="宋体" w:hAnsi="宋体" w:eastAsia="宋体" w:cs="宋体"/>
                <w:bCs/>
                <w:sz w:val="24"/>
                <w:szCs w:val="24"/>
                <w:highlight w:val="none"/>
              </w:rPr>
              <w:t>在规定时间内未按时解密的，视为无效响应。解密与加密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 xml:space="preserve">须使用同一个CA。 </w:t>
            </w:r>
          </w:p>
        </w:tc>
      </w:tr>
      <w:tr w14:paraId="313B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55" w:type="dxa"/>
            <w:vAlign w:val="center"/>
          </w:tcPr>
          <w:p w14:paraId="5A8CE6D7">
            <w:pPr>
              <w:pStyle w:val="12"/>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8</w:t>
            </w:r>
          </w:p>
        </w:tc>
        <w:tc>
          <w:tcPr>
            <w:tcW w:w="9685" w:type="dxa"/>
            <w:vAlign w:val="center"/>
          </w:tcPr>
          <w:p w14:paraId="0DF5F3E6">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递交响应文件截止时间：</w:t>
            </w:r>
            <w:r>
              <w:rPr>
                <w:rFonts w:hint="eastAsia" w:hAnsi="宋体" w:cs="宋体"/>
                <w:sz w:val="24"/>
                <w:szCs w:val="24"/>
                <w:highlight w:val="none"/>
                <w:lang w:eastAsia="zh-CN"/>
              </w:rPr>
              <w:t>2026年0</w:t>
            </w:r>
            <w:r>
              <w:rPr>
                <w:rFonts w:hint="eastAsia" w:hAnsi="宋体" w:cs="宋体"/>
                <w:sz w:val="24"/>
                <w:szCs w:val="24"/>
                <w:highlight w:val="none"/>
                <w:lang w:val="en-US" w:eastAsia="zh-CN"/>
              </w:rPr>
              <w:t>4</w:t>
            </w:r>
            <w:r>
              <w:rPr>
                <w:rFonts w:hint="eastAsia" w:hAnsi="宋体" w:cs="宋体"/>
                <w:sz w:val="24"/>
                <w:szCs w:val="24"/>
                <w:highlight w:val="none"/>
                <w:lang w:eastAsia="zh-CN"/>
              </w:rPr>
              <w:t>月</w:t>
            </w:r>
            <w:r>
              <w:rPr>
                <w:rFonts w:hint="eastAsia" w:hAnsi="宋体" w:cs="宋体"/>
                <w:sz w:val="24"/>
                <w:szCs w:val="24"/>
                <w:highlight w:val="none"/>
                <w:lang w:val="en-US" w:eastAsia="zh-CN"/>
              </w:rPr>
              <w:t>24</w:t>
            </w:r>
            <w:r>
              <w:rPr>
                <w:rFonts w:hint="eastAsia" w:hAnsi="宋体" w:cs="宋体"/>
                <w:sz w:val="24"/>
                <w:szCs w:val="24"/>
                <w:highlight w:val="none"/>
                <w:lang w:eastAsia="zh-CN"/>
              </w:rPr>
              <w:t>日</w:t>
            </w:r>
            <w:r>
              <w:rPr>
                <w:rFonts w:hint="eastAsia" w:ascii="宋体" w:hAnsi="宋体" w:cs="宋体"/>
                <w:sz w:val="24"/>
                <w:szCs w:val="24"/>
                <w:highlight w:val="none"/>
                <w:lang w:val="en-US" w:eastAsia="zh-CN"/>
              </w:rPr>
              <w:t>上午1</w:t>
            </w:r>
            <w:r>
              <w:rPr>
                <w:rFonts w:hint="eastAsia" w:hAnsi="宋体" w:cs="宋体"/>
                <w:sz w:val="24"/>
                <w:szCs w:val="24"/>
                <w:highlight w:val="none"/>
                <w:lang w:val="en-US" w:eastAsia="zh-CN"/>
              </w:rPr>
              <w:t>0</w:t>
            </w:r>
            <w:r>
              <w:rPr>
                <w:rFonts w:hint="eastAsia" w:ascii="宋体" w:hAnsi="宋体" w:cs="宋体"/>
                <w:sz w:val="24"/>
                <w:szCs w:val="24"/>
                <w:highlight w:val="none"/>
                <w:lang w:val="en-US" w:eastAsia="zh-CN"/>
              </w:rPr>
              <w:t>:</w:t>
            </w:r>
            <w:r>
              <w:rPr>
                <w:rFonts w:hint="eastAsia" w:hAnsi="宋体" w:cs="宋体"/>
                <w:sz w:val="24"/>
                <w:szCs w:val="24"/>
                <w:highlight w:val="none"/>
                <w:lang w:val="en-US" w:eastAsia="zh-CN"/>
              </w:rPr>
              <w:t>30</w:t>
            </w:r>
            <w:r>
              <w:rPr>
                <w:rFonts w:hint="eastAsia" w:ascii="宋体" w:hAnsi="宋体" w:eastAsia="宋体" w:cs="宋体"/>
                <w:kern w:val="2"/>
                <w:sz w:val="24"/>
                <w:highlight w:val="none"/>
                <w:lang w:val="en-US" w:eastAsia="zh-CN" w:bidi="ar-SA"/>
              </w:rPr>
              <w:t>（北京时间）</w:t>
            </w:r>
          </w:p>
          <w:p w14:paraId="79890D44">
            <w:pPr>
              <w:pStyle w:val="12"/>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递交响应文件地点：新疆政府采购网政采云平台（www.zcygov.cn）</w:t>
            </w:r>
          </w:p>
        </w:tc>
      </w:tr>
      <w:tr w14:paraId="3B4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55" w:type="dxa"/>
            <w:vAlign w:val="center"/>
          </w:tcPr>
          <w:p w14:paraId="59C2EB51">
            <w:pPr>
              <w:pStyle w:val="12"/>
              <w:spacing w:line="240" w:lineRule="auto"/>
              <w:jc w:val="center"/>
              <w:rPr>
                <w:rFonts w:hint="eastAsia" w:ascii="宋体" w:hAnsi="宋体" w:eastAsia="宋体" w:cs="宋体"/>
                <w:bCs/>
                <w:sz w:val="24"/>
                <w:szCs w:val="24"/>
                <w:highlight w:val="none"/>
                <w:lang w:eastAsia="zh-CN"/>
              </w:rPr>
            </w:pPr>
            <w:r>
              <w:rPr>
                <w:rFonts w:hint="eastAsia" w:hAnsi="宋体" w:cs="宋体"/>
                <w:bCs/>
                <w:sz w:val="24"/>
                <w:szCs w:val="24"/>
                <w:highlight w:val="none"/>
                <w:lang w:val="en-US" w:eastAsia="zh-CN"/>
              </w:rPr>
              <w:t>9</w:t>
            </w:r>
          </w:p>
        </w:tc>
        <w:tc>
          <w:tcPr>
            <w:tcW w:w="9685" w:type="dxa"/>
            <w:vAlign w:val="center"/>
          </w:tcPr>
          <w:p w14:paraId="629E2F1B">
            <w:pPr>
              <w:spacing w:line="360" w:lineRule="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val="en-US" w:eastAsia="zh-CN"/>
              </w:rPr>
              <w:t>本项目最高限价：</w:t>
            </w:r>
            <w:r>
              <w:rPr>
                <w:rFonts w:hint="eastAsia" w:ascii="宋体" w:hAnsi="宋体" w:eastAsia="宋体" w:cs="宋体"/>
                <w:b/>
                <w:bCs w:val="0"/>
                <w:sz w:val="24"/>
                <w:szCs w:val="24"/>
                <w:highlight w:val="none"/>
                <w:lang w:val="en-US" w:eastAsia="zh-CN"/>
              </w:rPr>
              <w:t xml:space="preserve">1、基本公共卫生工作服务费最高限价： </w:t>
            </w:r>
            <w:r>
              <w:rPr>
                <w:rFonts w:hint="eastAsia" w:ascii="宋体" w:hAnsi="宋体" w:cs="宋体"/>
                <w:b/>
                <w:bCs w:val="0"/>
                <w:sz w:val="24"/>
                <w:szCs w:val="24"/>
                <w:highlight w:val="none"/>
                <w:lang w:val="en-US" w:eastAsia="zh-CN"/>
              </w:rPr>
              <w:t>90</w:t>
            </w:r>
            <w:r>
              <w:rPr>
                <w:rFonts w:hint="eastAsia" w:ascii="宋体" w:hAnsi="宋体" w:eastAsia="宋体" w:cs="宋体"/>
                <w:b/>
                <w:bCs w:val="0"/>
                <w:sz w:val="24"/>
                <w:szCs w:val="24"/>
                <w:highlight w:val="none"/>
                <w:lang w:val="en-US" w:eastAsia="zh-CN"/>
              </w:rPr>
              <w:t>元/人</w:t>
            </w:r>
            <w:r>
              <w:rPr>
                <w:rFonts w:hint="eastAsia" w:ascii="宋体" w:hAnsi="宋体" w:cs="宋体"/>
                <w:b/>
                <w:bCs w:val="0"/>
                <w:sz w:val="24"/>
                <w:szCs w:val="24"/>
                <w:highlight w:val="none"/>
                <w:lang w:val="en-US" w:eastAsia="zh-CN"/>
              </w:rPr>
              <w:t>/</w:t>
            </w:r>
            <w:r>
              <w:rPr>
                <w:rFonts w:hint="eastAsia" w:ascii="宋体" w:hAnsi="宋体" w:eastAsia="宋体" w:cs="宋体"/>
                <w:b/>
                <w:bCs w:val="0"/>
                <w:sz w:val="24"/>
                <w:szCs w:val="24"/>
                <w:highlight w:val="none"/>
                <w:lang w:val="en-US" w:eastAsia="zh-CN"/>
              </w:rPr>
              <w:t>年；</w:t>
            </w:r>
          </w:p>
          <w:p w14:paraId="177929F0">
            <w:pPr>
              <w:spacing w:line="360" w:lineRule="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val="en-US" w:eastAsia="zh-CN"/>
              </w:rPr>
              <w:t xml:space="preserve">注：1.如国家公共卫生拨付标准进行变更，按照按国家公共卫生实际拨付最新标准为主； </w:t>
            </w:r>
          </w:p>
          <w:p w14:paraId="54E19474">
            <w:pPr>
              <w:spacing w:line="360" w:lineRule="auto"/>
              <w:rPr>
                <w:rFonts w:hint="eastAsia" w:ascii="宋体" w:hAnsi="宋体" w:eastAsia="宋体" w:cs="宋体"/>
                <w:bCs/>
                <w:sz w:val="24"/>
                <w:szCs w:val="24"/>
                <w:highlight w:val="none"/>
                <w:lang w:eastAsia="zh-CN"/>
              </w:rPr>
            </w:pP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 xml:space="preserve">本项目费用（国家公共卫生拨付标准为 </w:t>
            </w:r>
            <w:r>
              <w:rPr>
                <w:rFonts w:hint="eastAsia" w:ascii="宋体" w:hAnsi="宋体" w:cs="宋体"/>
                <w:b/>
                <w:bCs w:val="0"/>
                <w:sz w:val="24"/>
                <w:szCs w:val="24"/>
                <w:highlight w:val="none"/>
                <w:lang w:val="en-US" w:eastAsia="zh-CN"/>
              </w:rPr>
              <w:t>90</w:t>
            </w:r>
            <w:r>
              <w:rPr>
                <w:rFonts w:hint="eastAsia" w:ascii="宋体" w:hAnsi="宋体" w:eastAsia="宋体" w:cs="宋体"/>
                <w:b/>
                <w:bCs w:val="0"/>
                <w:sz w:val="24"/>
                <w:szCs w:val="24"/>
                <w:highlight w:val="none"/>
                <w:lang w:val="en-US" w:eastAsia="zh-CN"/>
              </w:rPr>
              <w:t>元/人/年）不做调整，各</w:t>
            </w:r>
            <w:r>
              <w:rPr>
                <w:rFonts w:hint="eastAsia" w:ascii="宋体" w:hAnsi="宋体" w:cs="宋体"/>
                <w:b/>
                <w:bCs w:val="0"/>
                <w:sz w:val="24"/>
                <w:szCs w:val="24"/>
                <w:highlight w:val="none"/>
                <w:lang w:val="en-US" w:eastAsia="zh-CN"/>
              </w:rPr>
              <w:t>供应商</w:t>
            </w:r>
            <w:r>
              <w:rPr>
                <w:rFonts w:hint="eastAsia" w:ascii="宋体" w:hAnsi="宋体" w:eastAsia="宋体" w:cs="宋体"/>
                <w:b/>
                <w:bCs w:val="0"/>
                <w:sz w:val="24"/>
                <w:szCs w:val="24"/>
                <w:highlight w:val="none"/>
                <w:lang w:val="en-US" w:eastAsia="zh-CN"/>
              </w:rPr>
              <w:t>的商务报价如高于或低于标准，则该</w:t>
            </w:r>
            <w:r>
              <w:rPr>
                <w:rFonts w:hint="eastAsia" w:ascii="宋体" w:hAnsi="宋体" w:cs="宋体"/>
                <w:b/>
                <w:bCs w:val="0"/>
                <w:sz w:val="24"/>
                <w:szCs w:val="24"/>
                <w:highlight w:val="none"/>
                <w:lang w:val="en-US" w:eastAsia="zh-CN"/>
              </w:rPr>
              <w:t>供应商</w:t>
            </w:r>
            <w:r>
              <w:rPr>
                <w:rFonts w:hint="eastAsia" w:ascii="宋体" w:hAnsi="宋体" w:eastAsia="宋体" w:cs="宋体"/>
                <w:b/>
                <w:bCs w:val="0"/>
                <w:sz w:val="24"/>
                <w:szCs w:val="24"/>
                <w:highlight w:val="none"/>
                <w:lang w:val="en-US" w:eastAsia="zh-CN"/>
              </w:rPr>
              <w:t>的响应文件作无效响应处理</w:t>
            </w:r>
          </w:p>
        </w:tc>
      </w:tr>
      <w:tr w14:paraId="000A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5" w:type="dxa"/>
            <w:vAlign w:val="center"/>
          </w:tcPr>
          <w:p w14:paraId="11F6B324">
            <w:pPr>
              <w:pStyle w:val="12"/>
              <w:spacing w:line="240" w:lineRule="auto"/>
              <w:jc w:val="center"/>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10</w:t>
            </w:r>
          </w:p>
        </w:tc>
        <w:tc>
          <w:tcPr>
            <w:tcW w:w="9685" w:type="dxa"/>
            <w:vAlign w:val="center"/>
          </w:tcPr>
          <w:p w14:paraId="3AC059B6">
            <w:pPr>
              <w:pStyle w:val="12"/>
              <w:numPr>
                <w:ilvl w:val="0"/>
                <w:numId w:val="0"/>
              </w:numPr>
              <w:spacing w:line="360" w:lineRule="auto"/>
              <w:rPr>
                <w:rFonts w:hint="eastAsia" w:ascii="宋体" w:hAnsi="宋体"/>
                <w:b w:val="0"/>
                <w:bCs w:val="0"/>
                <w:sz w:val="24"/>
                <w:highlight w:val="none"/>
              </w:rPr>
            </w:pPr>
            <w:r>
              <w:rPr>
                <w:rFonts w:hint="eastAsia" w:hAnsi="宋体"/>
                <w:b w:val="0"/>
                <w:bCs w:val="0"/>
                <w:sz w:val="24"/>
                <w:highlight w:val="none"/>
                <w:lang w:eastAsia="zh-CN"/>
              </w:rPr>
              <w:t>（</w:t>
            </w:r>
            <w:r>
              <w:rPr>
                <w:rFonts w:hint="eastAsia" w:hAnsi="宋体"/>
                <w:b w:val="0"/>
                <w:bCs w:val="0"/>
                <w:sz w:val="24"/>
                <w:highlight w:val="none"/>
                <w:lang w:val="en-US" w:eastAsia="zh-CN"/>
              </w:rPr>
              <w:t>1</w:t>
            </w:r>
            <w:r>
              <w:rPr>
                <w:rFonts w:hint="eastAsia" w:hAnsi="宋体"/>
                <w:b w:val="0"/>
                <w:bCs w:val="0"/>
                <w:sz w:val="24"/>
                <w:highlight w:val="none"/>
                <w:lang w:eastAsia="zh-CN"/>
              </w:rPr>
              <w:t>）</w:t>
            </w:r>
            <w:r>
              <w:rPr>
                <w:rFonts w:hint="eastAsia" w:ascii="宋体" w:hAnsi="宋体"/>
                <w:b w:val="0"/>
                <w:bCs w:val="0"/>
                <w:sz w:val="24"/>
                <w:highlight w:val="none"/>
              </w:rPr>
              <w:t>采购代理费：</w:t>
            </w:r>
            <w:r>
              <w:rPr>
                <w:rFonts w:hint="eastAsia" w:ascii="宋体" w:hAnsi="宋体"/>
                <w:b w:val="0"/>
                <w:bCs w:val="0"/>
                <w:sz w:val="24"/>
                <w:highlight w:val="none"/>
                <w:lang w:val="en-US" w:eastAsia="zh-CN"/>
              </w:rPr>
              <w:t>经与采购人协商，本项目采购代理服务费由成交供应商在领取成交通知书同时向采购代理机构支付</w:t>
            </w:r>
            <w:r>
              <w:rPr>
                <w:rFonts w:hint="eastAsia" w:ascii="宋体" w:hAnsi="宋体"/>
                <w:b w:val="0"/>
                <w:bCs w:val="0"/>
                <w:sz w:val="24"/>
                <w:highlight w:val="none"/>
              </w:rPr>
              <w:t>，本项目采购代理费为：</w:t>
            </w:r>
            <w:r>
              <w:rPr>
                <w:rFonts w:hint="eastAsia" w:hAnsi="宋体"/>
                <w:b w:val="0"/>
                <w:bCs w:val="0"/>
                <w:sz w:val="24"/>
                <w:highlight w:val="none"/>
                <w:lang w:val="en-US" w:eastAsia="zh-CN"/>
              </w:rPr>
              <w:t>3600</w:t>
            </w:r>
            <w:r>
              <w:rPr>
                <w:rFonts w:hint="eastAsia" w:ascii="宋体" w:hAnsi="宋体"/>
                <w:b w:val="0"/>
                <w:bCs w:val="0"/>
                <w:sz w:val="24"/>
                <w:highlight w:val="none"/>
              </w:rPr>
              <w:t>元（大写：人民币</w:t>
            </w:r>
            <w:r>
              <w:rPr>
                <w:rFonts w:hint="eastAsia" w:hAnsi="宋体"/>
                <w:b w:val="0"/>
                <w:bCs w:val="0"/>
                <w:sz w:val="24"/>
                <w:highlight w:val="none"/>
                <w:lang w:val="en-US" w:eastAsia="zh-CN"/>
              </w:rPr>
              <w:t>叁仟陆佰元</w:t>
            </w:r>
            <w:r>
              <w:rPr>
                <w:rFonts w:hint="eastAsia" w:ascii="宋体" w:hAnsi="宋体"/>
                <w:b w:val="0"/>
                <w:bCs w:val="0"/>
                <w:sz w:val="24"/>
                <w:highlight w:val="none"/>
              </w:rPr>
              <w:t>整）</w:t>
            </w:r>
          </w:p>
          <w:p w14:paraId="50A928EF">
            <w:pPr>
              <w:pStyle w:val="12"/>
              <w:numPr>
                <w:ilvl w:val="0"/>
                <w:numId w:val="0"/>
              </w:numPr>
              <w:spacing w:line="360" w:lineRule="auto"/>
              <w:rPr>
                <w:rFonts w:hint="eastAsia" w:ascii="宋体" w:hAnsi="宋体"/>
                <w:b w:val="0"/>
                <w:bCs w:val="0"/>
                <w:sz w:val="24"/>
                <w:highlight w:val="none"/>
              </w:rPr>
            </w:pPr>
            <w:r>
              <w:rPr>
                <w:rFonts w:hint="eastAsia" w:ascii="宋体" w:hAnsi="宋体"/>
                <w:b w:val="0"/>
                <w:bCs w:val="0"/>
                <w:sz w:val="24"/>
                <w:highlight w:val="none"/>
              </w:rPr>
              <w:t>（2）中标供应商领取中标通知书时支付采购代理费。此部分费用供应商自行考虑计入本次投标报价中，不因供应商漏报或忽略而后期追加费用。</w:t>
            </w:r>
          </w:p>
          <w:p w14:paraId="146ED653">
            <w:pPr>
              <w:pStyle w:val="12"/>
              <w:spacing w:line="360" w:lineRule="auto"/>
              <w:rPr>
                <w:rFonts w:hint="eastAsia" w:ascii="宋体" w:hAnsi="宋体"/>
                <w:b w:val="0"/>
                <w:bCs w:val="0"/>
                <w:sz w:val="24"/>
                <w:highlight w:val="none"/>
              </w:rPr>
            </w:pPr>
            <w:r>
              <w:rPr>
                <w:rFonts w:hint="eastAsia" w:ascii="宋体" w:hAnsi="宋体"/>
                <w:b w:val="0"/>
                <w:bCs w:val="0"/>
                <w:sz w:val="24"/>
                <w:highlight w:val="none"/>
              </w:rPr>
              <w:t>（3）缴纳账户信息：</w:t>
            </w:r>
          </w:p>
          <w:p w14:paraId="2E6E6287">
            <w:pPr>
              <w:pStyle w:val="12"/>
              <w:spacing w:line="360" w:lineRule="auto"/>
              <w:rPr>
                <w:rFonts w:hint="eastAsia" w:ascii="宋体" w:hAnsi="宋体"/>
                <w:b w:val="0"/>
                <w:bCs w:val="0"/>
                <w:sz w:val="24"/>
                <w:highlight w:val="none"/>
              </w:rPr>
            </w:pPr>
            <w:r>
              <w:rPr>
                <w:rFonts w:hint="eastAsia" w:ascii="宋体" w:hAnsi="宋体"/>
                <w:b w:val="0"/>
                <w:bCs w:val="0"/>
                <w:sz w:val="24"/>
                <w:highlight w:val="none"/>
              </w:rPr>
              <w:t>账户名称：</w:t>
            </w:r>
            <w:r>
              <w:rPr>
                <w:rFonts w:hint="eastAsia" w:ascii="宋体" w:hAnsi="宋体"/>
                <w:b w:val="0"/>
                <w:bCs w:val="0"/>
                <w:sz w:val="24"/>
                <w:highlight w:val="none"/>
                <w:lang w:eastAsia="zh-CN"/>
              </w:rPr>
              <w:t>新疆新咨工程咨询有限公司</w:t>
            </w:r>
            <w:r>
              <w:rPr>
                <w:rFonts w:hint="eastAsia" w:ascii="宋体" w:hAnsi="宋体"/>
                <w:b w:val="0"/>
                <w:bCs w:val="0"/>
                <w:sz w:val="24"/>
                <w:highlight w:val="none"/>
              </w:rPr>
              <w:t>克拉玛依</w:t>
            </w:r>
            <w:r>
              <w:rPr>
                <w:rFonts w:hint="eastAsia" w:hAnsi="宋体"/>
                <w:b w:val="0"/>
                <w:bCs w:val="0"/>
                <w:sz w:val="24"/>
                <w:highlight w:val="none"/>
                <w:lang w:val="en-US" w:eastAsia="zh-CN"/>
              </w:rPr>
              <w:t>市</w:t>
            </w:r>
            <w:r>
              <w:rPr>
                <w:rFonts w:hint="eastAsia" w:ascii="宋体" w:hAnsi="宋体"/>
                <w:b w:val="0"/>
                <w:bCs w:val="0"/>
                <w:sz w:val="24"/>
                <w:highlight w:val="none"/>
              </w:rPr>
              <w:t>分公司</w:t>
            </w:r>
          </w:p>
          <w:p w14:paraId="10E7BBD0">
            <w:pPr>
              <w:pStyle w:val="12"/>
              <w:spacing w:line="360" w:lineRule="auto"/>
              <w:rPr>
                <w:rFonts w:hint="eastAsia" w:ascii="宋体" w:hAnsi="宋体"/>
                <w:b w:val="0"/>
                <w:bCs w:val="0"/>
                <w:sz w:val="24"/>
                <w:highlight w:val="none"/>
              </w:rPr>
            </w:pPr>
            <w:r>
              <w:rPr>
                <w:rFonts w:hint="eastAsia" w:ascii="宋体" w:hAnsi="宋体"/>
                <w:b w:val="0"/>
                <w:bCs w:val="0"/>
                <w:sz w:val="24"/>
                <w:highlight w:val="none"/>
              </w:rPr>
              <w:t>开 户 行：</w:t>
            </w:r>
            <w:r>
              <w:rPr>
                <w:rFonts w:hint="eastAsia" w:ascii="宋体" w:hAnsi="宋体"/>
                <w:b w:val="0"/>
                <w:bCs w:val="0"/>
                <w:sz w:val="24"/>
                <w:highlight w:val="none"/>
                <w:lang w:val="en-US" w:eastAsia="zh-CN"/>
              </w:rPr>
              <w:t>中国工商银行股份有限公司克拉玛依迎宾支行</w:t>
            </w:r>
            <w:r>
              <w:rPr>
                <w:rFonts w:hint="eastAsia" w:ascii="宋体" w:hAnsi="宋体"/>
                <w:b w:val="0"/>
                <w:bCs w:val="0"/>
                <w:sz w:val="24"/>
                <w:highlight w:val="none"/>
              </w:rPr>
              <w:t xml:space="preserve">   </w:t>
            </w:r>
          </w:p>
          <w:p w14:paraId="7CA62C88">
            <w:pPr>
              <w:pStyle w:val="12"/>
              <w:spacing w:line="360" w:lineRule="auto"/>
              <w:rPr>
                <w:rFonts w:hint="eastAsia" w:ascii="宋体" w:hAnsi="宋体"/>
                <w:b/>
                <w:bCs/>
                <w:sz w:val="24"/>
                <w:highlight w:val="none"/>
              </w:rPr>
            </w:pPr>
            <w:r>
              <w:rPr>
                <w:rFonts w:hint="eastAsia" w:ascii="宋体" w:hAnsi="宋体"/>
                <w:b w:val="0"/>
                <w:bCs w:val="0"/>
                <w:sz w:val="24"/>
                <w:highlight w:val="none"/>
              </w:rPr>
              <w:t>账    号：</w:t>
            </w:r>
            <w:r>
              <w:rPr>
                <w:rFonts w:hint="eastAsia" w:ascii="宋体" w:hAnsi="宋体"/>
                <w:b w:val="0"/>
                <w:bCs w:val="0"/>
                <w:sz w:val="24"/>
                <w:highlight w:val="none"/>
                <w:lang w:val="en-US" w:eastAsia="zh-CN"/>
              </w:rPr>
              <w:t>3003 0203 0920 0153 009</w:t>
            </w:r>
          </w:p>
        </w:tc>
      </w:tr>
      <w:tr w14:paraId="2EDC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55" w:type="dxa"/>
            <w:vAlign w:val="center"/>
          </w:tcPr>
          <w:p w14:paraId="25A4E44F">
            <w:pPr>
              <w:pStyle w:val="12"/>
              <w:spacing w:line="240" w:lineRule="auto"/>
              <w:jc w:val="center"/>
              <w:rPr>
                <w:rFonts w:hint="default" w:hAnsi="宋体" w:cs="宋体"/>
                <w:bCs/>
                <w:sz w:val="24"/>
                <w:szCs w:val="24"/>
                <w:highlight w:val="none"/>
                <w:lang w:val="en-US" w:eastAsia="zh-CN"/>
              </w:rPr>
            </w:pPr>
            <w:r>
              <w:rPr>
                <w:rFonts w:hint="eastAsia" w:hAnsi="宋体" w:cs="宋体"/>
                <w:bCs/>
                <w:sz w:val="24"/>
                <w:szCs w:val="24"/>
                <w:highlight w:val="none"/>
                <w:lang w:val="en-US" w:eastAsia="zh-CN"/>
              </w:rPr>
              <w:t>11</w:t>
            </w:r>
          </w:p>
        </w:tc>
        <w:tc>
          <w:tcPr>
            <w:tcW w:w="9685" w:type="dxa"/>
            <w:vAlign w:val="center"/>
          </w:tcPr>
          <w:p w14:paraId="5E7009BD">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本项目采购标的对应的中小企业划分标准所属行业：根据工信部联企业〔2011〕300 号 </w:t>
            </w:r>
          </w:p>
          <w:p w14:paraId="23CBAAE0">
            <w:pPr>
              <w:pStyle w:val="1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中小企业划型标准规定：</w:t>
            </w:r>
            <w:r>
              <w:rPr>
                <w:rFonts w:hint="eastAsia" w:ascii="宋体" w:hAnsi="宋体" w:eastAsia="宋体" w:cs="宋体"/>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lang w:val="en-US" w:eastAsia="zh-CN"/>
              </w:rPr>
              <w:t>。</w:t>
            </w:r>
          </w:p>
        </w:tc>
      </w:tr>
    </w:tbl>
    <w:p w14:paraId="7BEBFD93">
      <w:pPr>
        <w:spacing w:line="360" w:lineRule="auto"/>
        <w:jc w:val="both"/>
        <w:rPr>
          <w:rFonts w:hint="eastAsia" w:ascii="宋体" w:hAnsi="宋体" w:cs="宋体"/>
          <w:sz w:val="28"/>
          <w:szCs w:val="21"/>
          <w:highlight w:val="none"/>
        </w:rPr>
      </w:pPr>
    </w:p>
    <w:p w14:paraId="72678BCB">
      <w:pPr>
        <w:pStyle w:val="11"/>
        <w:rPr>
          <w:rFonts w:hint="eastAsia"/>
          <w:highlight w:val="none"/>
        </w:rPr>
      </w:pPr>
    </w:p>
    <w:p w14:paraId="3CF9F62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highlight w:val="none"/>
        </w:rPr>
      </w:pPr>
      <w:bookmarkStart w:id="53" w:name="_Toc747"/>
      <w:bookmarkStart w:id="54" w:name="_Toc10597"/>
      <w:bookmarkStart w:id="55" w:name="_Toc21073"/>
      <w:bookmarkStart w:id="56" w:name="_Toc26948"/>
      <w:r>
        <w:rPr>
          <w:rFonts w:hint="eastAsia" w:ascii="宋体" w:hAnsi="宋体" w:eastAsia="宋体" w:cs="宋体"/>
          <w:b/>
          <w:bCs/>
          <w:sz w:val="28"/>
          <w:szCs w:val="28"/>
          <w:highlight w:val="none"/>
        </w:rPr>
        <w:t>A</w:t>
      </w:r>
      <w:bookmarkStart w:id="57" w:name="_Toc154996576"/>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说明</w:t>
      </w:r>
    </w:p>
    <w:p w14:paraId="7B67114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58" w:name="_Toc246216180"/>
      <w:bookmarkStart w:id="59" w:name="_Toc233274811"/>
      <w:bookmarkStart w:id="60" w:name="_Toc243906311"/>
      <w:bookmarkStart w:id="61" w:name="_Toc243907571"/>
      <w:bookmarkStart w:id="62" w:name="_Toc2067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适用范围</w:t>
      </w:r>
      <w:bookmarkEnd w:id="58"/>
      <w:bookmarkEnd w:id="59"/>
      <w:bookmarkEnd w:id="60"/>
      <w:bookmarkEnd w:id="6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及磋商依据</w:t>
      </w:r>
      <w:bookmarkEnd w:id="62"/>
    </w:p>
    <w:p w14:paraId="627CC7C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适用范围</w:t>
      </w:r>
    </w:p>
    <w:p w14:paraId="0E980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本竞争性磋商文件仅适用</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的采购。</w:t>
      </w:r>
    </w:p>
    <w:p w14:paraId="5345B7E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磋商依据</w:t>
      </w:r>
    </w:p>
    <w:p w14:paraId="4EB145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根据《中华人民共和国政府采购法》、《中华人民共和国政府采购法实施条例》、《政府采购货物和服务招标投标管理办法》（中华人民共和国财政部令第87号）、《财政部关于印发〈政府采购竞争性磋商采购方式管理暂行办法〉的通知》（财库〔2014〕214号）及有关法律、法规。</w:t>
      </w:r>
      <w:bookmarkStart w:id="63" w:name="_Toc5511"/>
      <w:bookmarkStart w:id="64" w:name="_Toc246216181"/>
      <w:bookmarkStart w:id="65" w:name="_Toc233274812"/>
      <w:bookmarkStart w:id="66" w:name="_Toc243906312"/>
      <w:bookmarkStart w:id="67" w:name="_Toc243907572"/>
    </w:p>
    <w:p w14:paraId="765F690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定义</w:t>
      </w:r>
      <w:bookmarkEnd w:id="63"/>
      <w:bookmarkEnd w:id="64"/>
      <w:bookmarkEnd w:id="65"/>
      <w:bookmarkEnd w:id="66"/>
      <w:bookmarkEnd w:id="67"/>
    </w:p>
    <w:p w14:paraId="1626F1C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“采购人”系指</w:t>
      </w:r>
      <w:r>
        <w:rPr>
          <w:rFonts w:hint="eastAsia" w:ascii="宋体" w:hAnsi="宋体" w:cs="宋体"/>
          <w:snapToGrid w:val="0"/>
          <w:color w:val="000000"/>
          <w:kern w:val="0"/>
          <w:sz w:val="24"/>
          <w:szCs w:val="24"/>
          <w:highlight w:val="none"/>
          <w:lang w:val="en-US" w:eastAsia="zh-CN"/>
        </w:rPr>
        <w:t>克拉玛依市克拉玛依区迎宾街道社区卫生服务中心</w:t>
      </w:r>
      <w:r>
        <w:rPr>
          <w:rFonts w:hint="eastAsia" w:ascii="宋体" w:hAnsi="宋体" w:eastAsia="宋体" w:cs="宋体"/>
          <w:snapToGrid w:val="0"/>
          <w:color w:val="000000"/>
          <w:kern w:val="0"/>
          <w:sz w:val="24"/>
          <w:szCs w:val="24"/>
          <w:highlight w:val="none"/>
          <w:lang w:val="en-US" w:eastAsia="zh-CN"/>
        </w:rPr>
        <w:t>，在签订和执行合同阶段称“甲方”。</w:t>
      </w:r>
    </w:p>
    <w:p w14:paraId="20016CA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“采购代理机构”系指新疆新咨工程咨询有限公司。</w:t>
      </w:r>
    </w:p>
    <w:p w14:paraId="1B37A13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“供应商”系指具备资格并响应竞争性磋商文件要求提交响应文件的法人，供应商若中标，在签订和执行合同阶段称“乙方”。</w:t>
      </w:r>
    </w:p>
    <w:p w14:paraId="30AF4BF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“采购文件”系指由采购人向供应商发出的本采购项目的全部文件（包括修改文件、项目采购需求、补充文件、答疑纪要、各种通知和附件等）。</w:t>
      </w:r>
    </w:p>
    <w:p w14:paraId="2B54542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“响应文件”系指供应商根据竞争性磋商文件提交的所有文件。</w:t>
      </w:r>
    </w:p>
    <w:p w14:paraId="09EE853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“服务”系指合同条款、技术规范及标准、项目采购需求、本竞争性磋商文件规定，中标供应商为保证完成</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的采购应承担的所有工作，合同条款、技术规范及标准、项目采购需求、采购文件约定的全部内容及责任和义务。</w:t>
      </w:r>
    </w:p>
    <w:p w14:paraId="6C38F54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凡提及的“天、日期、星期、月份和年份”系指公历日历的日历天、日期、星期、月份和年份。 </w:t>
      </w:r>
    </w:p>
    <w:p w14:paraId="67787C87">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68" w:name="_Toc243906313"/>
      <w:bookmarkStart w:id="69" w:name="_Toc246216182"/>
      <w:bookmarkStart w:id="70" w:name="_Toc233274813"/>
      <w:bookmarkStart w:id="71" w:name="_Toc243907573"/>
      <w:bookmarkStart w:id="72" w:name="_Toc26901"/>
      <w:bookmarkStart w:id="73" w:name="_Toc243906314"/>
      <w:bookmarkStart w:id="74" w:name="_Toc246216183"/>
      <w:bookmarkStart w:id="75" w:name="_Toc243907574"/>
      <w:bookmarkStart w:id="76" w:name="_Toc233274814"/>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采购范围</w:t>
      </w:r>
      <w:bookmarkEnd w:id="68"/>
      <w:bookmarkEnd w:id="69"/>
      <w:bookmarkEnd w:id="70"/>
      <w:bookmarkEnd w:id="7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及</w:t>
      </w:r>
      <w:bookmarkEnd w:id="7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服务期</w:t>
      </w:r>
    </w:p>
    <w:p w14:paraId="374CCB1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采购范围：完成</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 xml:space="preserve">合同条款、项目采购需求、本竞争性磋商文件约定的全部内容及义务。 </w:t>
      </w:r>
    </w:p>
    <w:p w14:paraId="0D7D5CF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cs="宋体"/>
          <w:snapToGrid w:val="0"/>
          <w:color w:val="000000"/>
          <w:kern w:val="0"/>
          <w:sz w:val="24"/>
          <w:szCs w:val="24"/>
          <w:highlight w:val="none"/>
          <w:lang w:val="en-US" w:eastAsia="zh-CN"/>
        </w:rPr>
        <w:t>服务期限</w:t>
      </w:r>
      <w:r>
        <w:rPr>
          <w:rFonts w:hint="eastAsia" w:ascii="宋体" w:hAnsi="宋体" w:eastAsia="宋体" w:cs="宋体"/>
          <w:snapToGrid w:val="0"/>
          <w:color w:val="000000"/>
          <w:kern w:val="0"/>
          <w:sz w:val="24"/>
          <w:szCs w:val="24"/>
          <w:highlight w:val="none"/>
          <w:lang w:val="en-US" w:eastAsia="zh-CN"/>
        </w:rPr>
        <w:t>：</w:t>
      </w:r>
      <w:r>
        <w:rPr>
          <w:rFonts w:hint="eastAsia" w:ascii="宋体" w:hAnsi="宋体" w:cs="宋体"/>
          <w:b w:val="0"/>
          <w:bCs w:val="0"/>
          <w:color w:val="auto"/>
          <w:sz w:val="24"/>
          <w:szCs w:val="24"/>
          <w:highlight w:val="none"/>
          <w:lang w:val="en-US" w:eastAsia="zh-CN"/>
        </w:rPr>
        <w:t>自合同签订之日起至2026年12月31日</w:t>
      </w:r>
      <w:r>
        <w:rPr>
          <w:rFonts w:hint="eastAsia" w:ascii="宋体" w:hAnsi="宋体" w:eastAsia="宋体" w:cs="宋体"/>
          <w:snapToGrid w:val="0"/>
          <w:color w:val="000000"/>
          <w:kern w:val="0"/>
          <w:sz w:val="24"/>
          <w:szCs w:val="24"/>
          <w:highlight w:val="none"/>
          <w:lang w:val="en-US" w:eastAsia="zh-CN"/>
        </w:rPr>
        <w:t>。</w:t>
      </w:r>
    </w:p>
    <w:bookmarkEnd w:id="73"/>
    <w:bookmarkEnd w:id="74"/>
    <w:bookmarkEnd w:id="75"/>
    <w:bookmarkEnd w:id="76"/>
    <w:p w14:paraId="1326A5D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合格供应商资格要求</w:t>
      </w:r>
    </w:p>
    <w:p w14:paraId="2FDF23A9">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详见第一章“竞争性磋商公告”中的供应商资格要求。</w:t>
      </w:r>
      <w:bookmarkStart w:id="77" w:name="_Toc243907575"/>
      <w:bookmarkStart w:id="78" w:name="_Toc245897275"/>
      <w:bookmarkStart w:id="79" w:name="_Toc243906315"/>
      <w:bookmarkStart w:id="80" w:name="_Toc233274815"/>
    </w:p>
    <w:p w14:paraId="5DB971E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单位负责人为同一人或者存在直接控股、管理关系的不同供应商，不得参加同一合同项下的政府采购活动。</w:t>
      </w:r>
    </w:p>
    <w:p w14:paraId="35D701CE">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为采购项目提供整体设计、规范编制或者项目管理、监理、检测等服务的供应商，不得再参加该采购项目的其他采购活动。</w:t>
      </w:r>
    </w:p>
    <w:p w14:paraId="14B214D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在单一品目的货物采购采购中，同一品牌同一型号的产品有多家供应商参加磋商，只能按照一家供应商计算。</w:t>
      </w:r>
    </w:p>
    <w:p w14:paraId="5309553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同一分包的货物，制造商参与磋商的，不得再委托代理商参与磋商。</w:t>
      </w:r>
    </w:p>
    <w:p w14:paraId="1B74891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回避。政府采购活动中，采购人员及相关人员与供应商有下列利害关系之一的，应当回避：</w:t>
      </w:r>
    </w:p>
    <w:p w14:paraId="4809CE9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参加采购活动前3年内与供应商存在劳动关系；</w:t>
      </w:r>
    </w:p>
    <w:p w14:paraId="53BA853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参加采购活动前3年内担任供应商的董事、监事；</w:t>
      </w:r>
    </w:p>
    <w:p w14:paraId="0032D77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参加采购活动前3年内是供应商的控股股东或者实际控制人；</w:t>
      </w:r>
    </w:p>
    <w:p w14:paraId="5B2CFEC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与供应商的法定代表人或者负责人有夫妻、直系血亲、三代以内旁系血亲或者近姻亲关系；</w:t>
      </w:r>
    </w:p>
    <w:p w14:paraId="75BD844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与供应商有其他可能影响政府采购活动公平、公正进行的关系。</w:t>
      </w:r>
    </w:p>
    <w:p w14:paraId="6F4F67C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1A31CF3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6E0F8E3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实地考察和费用</w:t>
      </w:r>
      <w:bookmarkEnd w:id="77"/>
      <w:bookmarkEnd w:id="78"/>
      <w:bookmarkEnd w:id="79"/>
      <w:bookmarkEnd w:id="80"/>
    </w:p>
    <w:p w14:paraId="085DC9A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实地考察</w:t>
      </w:r>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采购人不组织统一实地考察。供应商须对采购项目的现场及采购项目所涉及的国家、自治区、</w:t>
      </w:r>
      <w:r>
        <w:rPr>
          <w:rFonts w:hint="eastAsia" w:ascii="宋体" w:hAnsi="宋体" w:cs="宋体"/>
          <w:snapToGrid w:val="0"/>
          <w:color w:val="000000"/>
          <w:kern w:val="0"/>
          <w:sz w:val="24"/>
          <w:szCs w:val="24"/>
          <w:highlight w:val="none"/>
          <w:lang w:val="en-US" w:eastAsia="zh-CN"/>
        </w:rPr>
        <w:t>克拉玛依</w:t>
      </w:r>
      <w:r>
        <w:rPr>
          <w:rFonts w:hint="eastAsia" w:ascii="宋体" w:hAnsi="宋体" w:eastAsia="宋体" w:cs="宋体"/>
          <w:snapToGrid w:val="0"/>
          <w:color w:val="000000"/>
          <w:kern w:val="0"/>
          <w:sz w:val="24"/>
          <w:szCs w:val="24"/>
          <w:highlight w:val="none"/>
          <w:lang w:val="en-US" w:eastAsia="zh-CN"/>
        </w:rPr>
        <w:t>地区、相关部门等与此相关的政策进行充分的调查、研究，参观并考察项目情况及其周围环境（包括当地气候条件及自然环境等）以取得所有与准备磋商和实施磋商有关的必要资料及信息。实地考察所发生的任何费用均由供应商自理。</w:t>
      </w:r>
    </w:p>
    <w:p w14:paraId="177AEE6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参与磋商费用</w:t>
      </w:r>
    </w:p>
    <w:p w14:paraId="7E4E335E">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供应商应承担所有与磋商准备和磋商有关的全部费用，不论磋商结果如何，采购人和采购代理机构无义务和责任承担供应商所发生的一切费用。</w:t>
      </w:r>
    </w:p>
    <w:p w14:paraId="779CE25F">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供应商在磋商准备、实地考察和磋商的全过程中，如果发生人身伤亡、财物或其它任何损失，不论何种原因所造成，均由供应商自行承担全部责任和损失。</w:t>
      </w:r>
    </w:p>
    <w:p w14:paraId="5C02295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81" w:name="_Toc243907576"/>
      <w:bookmarkStart w:id="82" w:name="_Toc243906316"/>
      <w:bookmarkStart w:id="83" w:name="_Toc233274816"/>
      <w:bookmarkStart w:id="84" w:name="_Toc245897276"/>
      <w:bookmarkStart w:id="85" w:name="_Toc1105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法律适用</w:t>
      </w:r>
      <w:bookmarkEnd w:id="81"/>
      <w:bookmarkEnd w:id="82"/>
      <w:bookmarkEnd w:id="83"/>
      <w:bookmarkEnd w:id="84"/>
      <w:bookmarkEnd w:id="85"/>
    </w:p>
    <w:p w14:paraId="7C4E679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本次磋商活动及由本次磋商产生的合同受中国法律制约和保护。</w:t>
      </w:r>
    </w:p>
    <w:p w14:paraId="18930047">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86" w:name="_Toc233274817"/>
      <w:bookmarkStart w:id="87" w:name="_Toc243907577"/>
      <w:bookmarkStart w:id="88" w:name="_Toc245897277"/>
      <w:bookmarkStart w:id="89" w:name="_Toc1885"/>
      <w:bookmarkStart w:id="90" w:name="_Toc24390631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竞争性磋商文件的约束力</w:t>
      </w:r>
      <w:bookmarkEnd w:id="86"/>
      <w:bookmarkEnd w:id="87"/>
      <w:bookmarkEnd w:id="88"/>
      <w:bookmarkEnd w:id="89"/>
      <w:bookmarkEnd w:id="90"/>
    </w:p>
    <w:p w14:paraId="05FC87B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供应商若中标，即被认为接受了本竞争性磋商文件中的所有条件和规定。是采购人与中标供应商签订合同的依据且是合同的组成部分。</w:t>
      </w:r>
    </w:p>
    <w:p w14:paraId="24BDC3F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技术资料</w:t>
      </w:r>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供应商确认采购人提供的技术资料（详见本竞争性磋商文件第三章）存在缺项、漏项或计算误差，应在前附表中规定的提问截止时间前，以书面方式向采购人或采购代理机构提出。供应商未在规定的时间内对采购人或采购代理机构提供的技术资料提出异议，视为供应商已认可采购人或采购代理机构提供的资料包含了所需的技术资料全部内容。</w:t>
      </w:r>
    </w:p>
    <w:p w14:paraId="5646B4C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磋商报价</w:t>
      </w:r>
      <w:bookmarkEnd w:id="57"/>
      <w:r>
        <w:rPr>
          <w:rFonts w:hint="eastAsia" w:ascii="宋体" w:hAnsi="宋体" w:cs="宋体"/>
          <w:snapToGrid w:val="0"/>
          <w:color w:val="000000"/>
          <w:kern w:val="0"/>
          <w:sz w:val="24"/>
          <w:szCs w:val="24"/>
          <w:highlight w:val="none"/>
          <w:lang w:val="en-US" w:eastAsia="zh-CN"/>
        </w:rPr>
        <w:t>：</w:t>
      </w:r>
      <w:r>
        <w:rPr>
          <w:rFonts w:hint="eastAsia" w:ascii="宋体" w:hAnsi="宋体" w:eastAsia="宋体" w:cs="宋体"/>
          <w:snapToGrid w:val="0"/>
          <w:color w:val="000000"/>
          <w:kern w:val="0"/>
          <w:sz w:val="24"/>
          <w:szCs w:val="24"/>
          <w:highlight w:val="none"/>
          <w:lang w:val="en-US" w:eastAsia="zh-CN"/>
        </w:rPr>
        <w:t>采购范围、本磋商文件及合同约定等完成本采购项目的全部费用（包括：人工费、调研、勘察、用车、差旅、税金等所有相关费用）。供应商认为需包含的其它费用。</w:t>
      </w:r>
    </w:p>
    <w:p w14:paraId="7719F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91" w:name="_Toc16729"/>
      <w:r>
        <w:rPr>
          <w:rFonts w:hint="eastAsia" w:ascii="宋体" w:hAnsi="宋体" w:eastAsia="宋体" w:cs="宋体"/>
          <w:b/>
          <w:bCs/>
          <w:sz w:val="28"/>
          <w:szCs w:val="28"/>
          <w:highlight w:val="none"/>
        </w:rPr>
        <w:t>B</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磋商文件</w:t>
      </w:r>
      <w:bookmarkEnd w:id="91"/>
    </w:p>
    <w:p w14:paraId="102107DD">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92" w:name="_Toc243906319"/>
      <w:bookmarkStart w:id="93" w:name="_Toc233274819"/>
      <w:bookmarkStart w:id="94" w:name="_Toc17888"/>
      <w:bookmarkStart w:id="95" w:name="_Toc246216188"/>
      <w:bookmarkStart w:id="96" w:name="_Toc24390757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竞争性磋商文件的组成</w:t>
      </w:r>
      <w:bookmarkEnd w:id="92"/>
      <w:bookmarkEnd w:id="93"/>
      <w:bookmarkEnd w:id="94"/>
      <w:bookmarkEnd w:id="95"/>
      <w:bookmarkEnd w:id="96"/>
    </w:p>
    <w:p w14:paraId="2A534F6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本竞争性磋商文件是对</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磋商程序、合同条款进行说明。竞争性磋商文件包括下列内容：</w:t>
      </w:r>
    </w:p>
    <w:p w14:paraId="0E8B1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竞争性磋商公告</w:t>
      </w:r>
    </w:p>
    <w:p w14:paraId="74519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供应商须知</w:t>
      </w:r>
    </w:p>
    <w:p w14:paraId="0AFF2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项目采购需求</w:t>
      </w:r>
    </w:p>
    <w:p w14:paraId="6B7EA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合同条款</w:t>
      </w:r>
    </w:p>
    <w:p w14:paraId="3E142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第五章  响应文件格式</w:t>
      </w:r>
    </w:p>
    <w:p w14:paraId="45D7AA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评审标准（综合评分法）</w:t>
      </w:r>
    </w:p>
    <w:p w14:paraId="3093603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 竞争性磋商文件以中文编印，以中文文本为准。</w:t>
      </w:r>
    </w:p>
    <w:p w14:paraId="2D2AC05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除非有特殊要求，竞争性磋商文件不单独提供采购项目使用地的自然环境、气候条件、劳动力及公用设施等情况，供应商被视为熟悉上述条件或若中标履行合同有关的一切情况。</w:t>
      </w:r>
    </w:p>
    <w:p w14:paraId="419F037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采购人向供应商提供的有关数据和资料，是采购人现有的能被供应商利用的资料，供应商对此做出的推论、理解和结论自行负责。</w:t>
      </w:r>
    </w:p>
    <w:p w14:paraId="7E09C33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97" w:name="_Toc245897280"/>
      <w:bookmarkStart w:id="98" w:name="_Toc1610"/>
      <w:bookmarkStart w:id="99" w:name="_Toc233274820"/>
      <w:bookmarkStart w:id="100" w:name="_Toc243907580"/>
      <w:bookmarkStart w:id="101" w:name="_Toc243906320"/>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竞争性磋商文件的澄清</w:t>
      </w:r>
      <w:bookmarkEnd w:id="97"/>
      <w:bookmarkEnd w:id="98"/>
      <w:bookmarkEnd w:id="99"/>
      <w:bookmarkEnd w:id="100"/>
      <w:bookmarkEnd w:id="101"/>
    </w:p>
    <w:p w14:paraId="3C4FFF0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供应商对竞争性磋商文件如有疑问，可要求澄清，应按竞争性磋商文件“供应商须知前附表中的规定”以书面形式（必须加盖供应商公章）送达至新疆新咨工程咨询有限公司或发至邮箱：862754334@qq.com 。采购人和采购代理机构将视情况以书面形式予以答复，并发至领取竞争性磋商文件的每位供应商。答复中包括所提问题，但不包括问题的来源。</w:t>
      </w:r>
    </w:p>
    <w:p w14:paraId="01382AA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澄清内容包括所有需要回答的问题和答复，各供应商需登陆新疆政府采购网政采云 平台（www.zcygov.cn）进行查看并下载。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14:paraId="4AA78A5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02" w:name="_Toc243906321"/>
      <w:bookmarkStart w:id="103" w:name="_Toc243907581"/>
      <w:bookmarkStart w:id="104" w:name="_Toc233274821"/>
      <w:bookmarkStart w:id="105" w:name="_Toc245897281"/>
      <w:bookmarkStart w:id="106" w:name="_Toc27323"/>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竞争性磋商文件的修改和补充</w:t>
      </w:r>
      <w:bookmarkEnd w:id="102"/>
      <w:bookmarkEnd w:id="103"/>
      <w:bookmarkEnd w:id="104"/>
      <w:bookmarkEnd w:id="105"/>
      <w:bookmarkEnd w:id="106"/>
    </w:p>
    <w:p w14:paraId="4996D8A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递交响应文件截止日期5日前的任何时候，采购人可主动地或依据供应商要求澄清的疑问而修改、补充竞争性磋商文件，采购代理机构将对修改和补充的内容以书面形式发至新疆政府采购网，修改和补充文件将作为竞争性磋商文件的组成部分，对所有供应商具有约束力。</w:t>
      </w:r>
    </w:p>
    <w:p w14:paraId="0B5637B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使供应商在准备响应文件时有合理的时间考虑竞争性磋商文件的修改和/或补充，采购代理机构可延长递交响应文件截止时间和开启时间，但至少应当在规定的递交响应文件的截止时间5日前，以书面形式通知所有获取竞争性磋商文件的每位供应商。</w:t>
      </w:r>
    </w:p>
    <w:p w14:paraId="5552166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07" w:name="_Toc246216191"/>
      <w:bookmarkStart w:id="108" w:name="_Toc233274822"/>
      <w:bookmarkStart w:id="109" w:name="_Toc243907582"/>
      <w:bookmarkStart w:id="110" w:name="_Toc243906322"/>
      <w:bookmarkStart w:id="111" w:name="_Toc154996580"/>
      <w:r>
        <w:rPr>
          <w:rFonts w:hint="eastAsia" w:ascii="宋体" w:hAnsi="宋体" w:eastAsia="宋体" w:cs="宋体"/>
          <w:snapToGrid w:val="0"/>
          <w:color w:val="000000"/>
          <w:kern w:val="0"/>
          <w:sz w:val="24"/>
          <w:szCs w:val="24"/>
          <w:highlight w:val="none"/>
          <w:lang w:val="en-US" w:eastAsia="zh-CN"/>
        </w:rPr>
        <w:t>采购代理机构对采购文件作出的澄清、修改在政采云平台内进行披露，请供应商及时关注并获取相关资料。因登记有误、线路故障或其它任何意外情形，导致供应商未及时获取的，采购代理机构不因此承担任何责任，且有关的采购活动继续有效进行。当采购文件的澄清、修改及进行其他答复等就同一内容的表述不一致时，以最后发布的内容为准。</w:t>
      </w:r>
    </w:p>
    <w:p w14:paraId="2F7F98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112" w:name="_Toc23883"/>
      <w:r>
        <w:rPr>
          <w:rFonts w:hint="eastAsia" w:ascii="宋体" w:hAnsi="宋体" w:eastAsia="宋体" w:cs="宋体"/>
          <w:b/>
          <w:bCs/>
          <w:sz w:val="28"/>
          <w:szCs w:val="28"/>
          <w:highlight w:val="none"/>
        </w:rPr>
        <w:t>C</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响应文件的编写</w:t>
      </w:r>
      <w:bookmarkEnd w:id="107"/>
      <w:bookmarkEnd w:id="108"/>
      <w:bookmarkEnd w:id="109"/>
      <w:bookmarkEnd w:id="110"/>
      <w:bookmarkEnd w:id="112"/>
    </w:p>
    <w:p w14:paraId="6F66B272">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13" w:name="_Toc243906323"/>
      <w:bookmarkStart w:id="114" w:name="_Toc245897283"/>
      <w:bookmarkStart w:id="115" w:name="_Toc13094"/>
      <w:bookmarkStart w:id="116" w:name="_Toc243907583"/>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响应文件的编写</w:t>
      </w:r>
      <w:bookmarkEnd w:id="113"/>
      <w:bookmarkEnd w:id="114"/>
      <w:bookmarkEnd w:id="115"/>
      <w:bookmarkEnd w:id="116"/>
    </w:p>
    <w:p w14:paraId="562E9FB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编制响应文件。</w:t>
      </w:r>
    </w:p>
    <w:p w14:paraId="020C796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17" w:name="_Toc16737"/>
      <w:bookmarkStart w:id="118" w:name="_Toc245897284"/>
      <w:bookmarkStart w:id="119" w:name="_Toc233274824"/>
      <w:bookmarkStart w:id="120" w:name="_Toc243907584"/>
      <w:bookmarkStart w:id="121" w:name="_Toc24390632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响应文件的语言及计量单位</w:t>
      </w:r>
      <w:bookmarkEnd w:id="117"/>
      <w:bookmarkEnd w:id="118"/>
      <w:bookmarkEnd w:id="119"/>
      <w:bookmarkEnd w:id="120"/>
      <w:bookmarkEnd w:id="121"/>
    </w:p>
    <w:p w14:paraId="2127863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7D55666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除在竞争性磋商文件的项目采购需求中另有规定外，计量单位应使用中华人民共和国法定计量单位（国际单位制和国家选定的其它计量单位）。如供应商采用其它计量单位，需事先得到采购人的同意。 </w:t>
      </w:r>
    </w:p>
    <w:p w14:paraId="28A723D3">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22" w:name="_Toc24056"/>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响应文件的组成：</w:t>
      </w:r>
      <w:bookmarkEnd w:id="12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（以下响应文件格式详见第五章“响应文件格式”）</w:t>
      </w:r>
    </w:p>
    <w:p w14:paraId="0FABC67E">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资格证明文件（后续供应商在线制作响应文件时需对资格审查项进行逐一关联响应）</w:t>
      </w:r>
      <w:bookmarkEnd w:id="111"/>
      <w:bookmarkStart w:id="123" w:name="_Toc243907594"/>
      <w:bookmarkStart w:id="124" w:name="_Toc243906333"/>
      <w:bookmarkStart w:id="125" w:name="_Toc233274834"/>
      <w:bookmarkStart w:id="126" w:name="_Toc246216203"/>
      <w:r>
        <w:rPr>
          <w:rFonts w:hint="eastAsia" w:ascii="宋体" w:hAnsi="宋体" w:eastAsia="宋体" w:cs="宋体"/>
          <w:snapToGrid w:val="0"/>
          <w:color w:val="000000"/>
          <w:kern w:val="0"/>
          <w:sz w:val="24"/>
          <w:szCs w:val="24"/>
          <w:highlight w:val="none"/>
          <w:lang w:val="en-US" w:eastAsia="zh-CN"/>
        </w:rPr>
        <w:t>资格证明文件应简要客观反映企业面貌，使采购人对其有感性了解，必须如实提供，如发现失实之处将影响其成交。资格证明文件包括但不仅限于以下内容，供应商对照第六章“1、资格性审查”提供必要的证明材料：</w:t>
      </w:r>
    </w:p>
    <w:p w14:paraId="538D1A6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封面</w:t>
      </w:r>
    </w:p>
    <w:p w14:paraId="37113E9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资格性/符合性自查表（详见文件格式1）；</w:t>
      </w:r>
    </w:p>
    <w:p w14:paraId="0B218DC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法定代表人资格证明书（详见格式2）；</w:t>
      </w:r>
    </w:p>
    <w:p w14:paraId="09636E3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法定代表人授权委托书（详见格式3）；</w:t>
      </w:r>
    </w:p>
    <w:p w14:paraId="69AC2EC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有效期内的三证合一企业营业执照（复印件）；</w:t>
      </w:r>
    </w:p>
    <w:p w14:paraId="1CA9965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基本情况表（详见格式4）；</w:t>
      </w:r>
    </w:p>
    <w:p w14:paraId="124F7BF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诚信声明（详见格式5）；</w:t>
      </w:r>
    </w:p>
    <w:p w14:paraId="66EBFDF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提供上年度（202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年度</w:t>
      </w:r>
      <w:r>
        <w:rPr>
          <w:rFonts w:hint="eastAsia" w:ascii="宋体" w:hAnsi="宋体" w:eastAsia="宋体" w:cs="宋体"/>
          <w:sz w:val="24"/>
          <w:szCs w:val="24"/>
          <w:highlight w:val="none"/>
          <w:lang w:val="en-US" w:eastAsia="zh-CN"/>
        </w:rPr>
        <w:t>或202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r>
        <w:rPr>
          <w:rFonts w:hint="eastAsia" w:ascii="宋体" w:hAnsi="宋体" w:eastAsia="宋体" w:cs="宋体"/>
          <w:sz w:val="24"/>
          <w:szCs w:val="24"/>
          <w:highlight w:val="none"/>
        </w:rPr>
        <w:t>）财务会计报告/企业财务报表（包括资产负债表、损益表、利润表、现金流量表，新成立的公司提供情况说明）</w:t>
      </w:r>
    </w:p>
    <w:p w14:paraId="0C2D834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无重大违法记录承诺书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格式6</w:t>
      </w:r>
      <w:r>
        <w:rPr>
          <w:rFonts w:hint="eastAsia" w:ascii="宋体" w:hAnsi="宋体" w:eastAsia="宋体" w:cs="宋体"/>
          <w:sz w:val="24"/>
          <w:szCs w:val="24"/>
          <w:highlight w:val="none"/>
          <w:lang w:eastAsia="zh-CN"/>
        </w:rPr>
        <w:t>）；</w:t>
      </w:r>
    </w:p>
    <w:p w14:paraId="14E9DEE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格式7</w:t>
      </w:r>
      <w:r>
        <w:rPr>
          <w:rFonts w:hint="eastAsia" w:ascii="宋体" w:hAnsi="宋体" w:eastAsia="宋体" w:cs="宋体"/>
          <w:sz w:val="24"/>
          <w:szCs w:val="24"/>
          <w:highlight w:val="none"/>
          <w:lang w:eastAsia="zh-CN"/>
        </w:rPr>
        <w:t>）</w:t>
      </w:r>
    </w:p>
    <w:p w14:paraId="1047636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Style w:val="27"/>
          <w:rFonts w:hint="eastAsia" w:ascii="宋体" w:hAnsi="宋体" w:cs="宋体"/>
          <w:b w:val="0"/>
          <w:bCs/>
          <w:color w:val="auto"/>
          <w:sz w:val="24"/>
          <w:highlight w:val="none"/>
          <w:lang w:val="en-US" w:eastAsia="zh-CN"/>
        </w:rPr>
        <w:t>投标截止前6个月内任意一个月</w:t>
      </w:r>
      <w:r>
        <w:rPr>
          <w:rStyle w:val="27"/>
          <w:rFonts w:hint="eastAsia" w:ascii="宋体" w:hAnsi="宋体" w:eastAsia="宋体" w:cs="宋体"/>
          <w:b w:val="0"/>
          <w:bCs/>
          <w:color w:val="auto"/>
          <w:sz w:val="24"/>
          <w:highlight w:val="none"/>
          <w:lang w:eastAsia="zh-CN"/>
        </w:rPr>
        <w:t>依法缴纳税收和社会保障资金的良好记录的证明材料（附复印件）</w:t>
      </w:r>
    </w:p>
    <w:p w14:paraId="52845E7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供应商未被列入“信用中国”网站（www.creditchina.gov.cn）失信被执行人、重大税收违法案件当事人名单及中国政府采购网（www.ccgp.gov.cn）“政府采购严重违法失信行为信息记录”</w:t>
      </w:r>
      <w:r>
        <w:rPr>
          <w:rFonts w:hint="eastAsia" w:ascii="宋体" w:hAnsi="宋体" w:eastAsia="宋体" w:cs="宋体"/>
          <w:sz w:val="24"/>
          <w:szCs w:val="24"/>
          <w:highlight w:val="none"/>
          <w:lang w:val="en-US" w:eastAsia="zh-CN"/>
        </w:rPr>
        <w:t>相关截图</w:t>
      </w:r>
    </w:p>
    <w:p w14:paraId="7BFA1C4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商务部分主要包括但不限于以下内容：</w:t>
      </w:r>
    </w:p>
    <w:p w14:paraId="04BDA5D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响应函（详见格式</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p>
    <w:p w14:paraId="55C7609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商务报价一览表</w:t>
      </w:r>
      <w:r>
        <w:rPr>
          <w:rFonts w:hint="eastAsia" w:ascii="宋体" w:hAnsi="宋体" w:cs="宋体"/>
          <w:bCs/>
          <w:sz w:val="24"/>
          <w:szCs w:val="24"/>
          <w:highlight w:val="none"/>
          <w:lang w:eastAsia="zh-CN"/>
        </w:rPr>
        <w:t>（首次）</w:t>
      </w:r>
      <w:r>
        <w:rPr>
          <w:rFonts w:hint="eastAsia" w:ascii="宋体" w:hAnsi="宋体" w:eastAsia="宋体" w:cs="宋体"/>
          <w:sz w:val="24"/>
          <w:szCs w:val="24"/>
          <w:highlight w:val="none"/>
        </w:rPr>
        <w:t>（详见格式</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p>
    <w:p w14:paraId="635BD29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商务条款偏离表（详见格式</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p w14:paraId="0706AFF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2023</w:t>
      </w:r>
      <w:r>
        <w:rPr>
          <w:rFonts w:hint="eastAsia" w:ascii="宋体" w:hAnsi="宋体" w:eastAsia="宋体" w:cs="宋体"/>
          <w:sz w:val="24"/>
          <w:szCs w:val="24"/>
          <w:highlight w:val="none"/>
          <w:lang w:val="zh-CN"/>
        </w:rPr>
        <w:t>年1月1日至今</w:t>
      </w:r>
      <w:r>
        <w:rPr>
          <w:rFonts w:hint="eastAsia" w:ascii="宋体" w:hAnsi="宋体" w:eastAsia="宋体" w:cs="宋体"/>
          <w:sz w:val="24"/>
          <w:szCs w:val="24"/>
          <w:highlight w:val="none"/>
        </w:rPr>
        <w:t>）同类项目业绩表（详见格式</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p>
    <w:p w14:paraId="275B6AF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供应商认为有必要提供的声明及文件资料</w:t>
      </w:r>
    </w:p>
    <w:p w14:paraId="0ED449C9">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技术部分主要包括但不限于以下内容：</w:t>
      </w:r>
    </w:p>
    <w:p w14:paraId="2F39A76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服务人员明细表（格式12）</w:t>
      </w:r>
    </w:p>
    <w:p w14:paraId="2D3ED63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医用耗材、器械、医用设备、仪器一览表（格式13）</w:t>
      </w:r>
    </w:p>
    <w:p w14:paraId="39DFA87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中小企业声明函（格式14）</w:t>
      </w:r>
    </w:p>
    <w:p w14:paraId="11D573C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供应商认为有必要提供的文件资料</w:t>
      </w:r>
      <w:r>
        <w:rPr>
          <w:rFonts w:hint="eastAsia" w:ascii="宋体" w:hAnsi="宋体" w:eastAsia="宋体" w:cs="宋体"/>
          <w:sz w:val="24"/>
          <w:szCs w:val="24"/>
          <w:highlight w:val="none"/>
          <w:lang w:val="en-US" w:eastAsia="zh-CN"/>
        </w:rPr>
        <w:t>及评分表需要提供的资料</w:t>
      </w:r>
    </w:p>
    <w:p w14:paraId="6AA41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特别说明：</w:t>
      </w:r>
    </w:p>
    <w:p w14:paraId="1C184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①上述各种证件、证书复印件须加盖供应商公章。如未按要求加盖供应商公章者，可能导致其响应文件无效。</w:t>
      </w:r>
    </w:p>
    <w:p w14:paraId="28954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②供应商应如实提供资料，并保证真实可靠，不得弄虚作假。如供应商隐瞒事实真相、弄虚作假，一经查实，取消该供应商的投标资格，若中标的，取消其中标资格。</w:t>
      </w:r>
    </w:p>
    <w:p w14:paraId="4FB28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③响应文件包括但不限于以上内容，各供应商应对照“第三章 项目采购需求”及“第六章 评审标准（综合评分法）”提供相关的证明资料。</w:t>
      </w:r>
    </w:p>
    <w:p w14:paraId="52AD5F0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响应文件格式</w:t>
      </w:r>
    </w:p>
    <w:p w14:paraId="30B6FDF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27" w:name="_Toc3663"/>
      <w:r>
        <w:rPr>
          <w:rFonts w:hint="eastAsia" w:ascii="宋体" w:hAnsi="宋体" w:eastAsia="宋体" w:cs="宋体"/>
          <w:snapToGrid w:val="0"/>
          <w:color w:val="000000"/>
          <w:kern w:val="0"/>
          <w:sz w:val="24"/>
          <w:szCs w:val="24"/>
          <w:highlight w:val="none"/>
          <w:lang w:val="en-US" w:eastAsia="zh-CN"/>
        </w:rPr>
        <w:t>供应商应按本章“14、响应文件的组成”中的要求提供响应文件，文件格式可参考第五章“响应文件格式”。若表格的栏目设计不够，供应商可按照同一格式自制表格填写；未提出的格式，供应商应自行拟定格式佐证响应。</w:t>
      </w:r>
    </w:p>
    <w:p w14:paraId="0C87E49B">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商务报价</w:t>
      </w:r>
      <w:bookmarkEnd w:id="127"/>
    </w:p>
    <w:p w14:paraId="1FE822A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供应商的商务报价应是为采购人提供全部服务，以及合同条款、技术规范及标准、项目采购需求、本竞争性磋商文件约定的所有费用的总和。</w:t>
      </w:r>
    </w:p>
    <w:p w14:paraId="2B74E03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任何因供应商忽视或误解采购范围、技术规范及标准、项目采购需求、合同条款和项目现场情况，若中标，采购人将不予批准由此而产生的索赔或供货期延长申请。</w:t>
      </w:r>
    </w:p>
    <w:p w14:paraId="26B47D8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商务报价中不得包含合同条款、技术规范及标准、项目采购需求、本竞争性磋商文件要求以外的其他内容。</w:t>
      </w:r>
    </w:p>
    <w:p w14:paraId="7E377F0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商务报价总价应包括的内容和计价因素</w:t>
      </w:r>
    </w:p>
    <w:p w14:paraId="4956F68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完成</w:t>
      </w:r>
      <w:r>
        <w:rPr>
          <w:rFonts w:hint="eastAsia" w:ascii="宋体" w:hAnsi="宋体" w:cs="宋体"/>
          <w:sz w:val="24"/>
          <w:szCs w:val="24"/>
          <w:highlight w:val="none"/>
          <w:lang w:eastAsia="zh-CN"/>
        </w:rPr>
        <w:t>绿雅社区卫生服务站公共卫生服务采购项目</w:t>
      </w:r>
      <w:r>
        <w:rPr>
          <w:rFonts w:hint="eastAsia" w:ascii="宋体" w:hAnsi="宋体" w:eastAsia="宋体" w:cs="宋体"/>
          <w:sz w:val="24"/>
          <w:szCs w:val="24"/>
          <w:highlight w:val="none"/>
        </w:rPr>
        <w:t>的采购应承担的所有工作，合同条款、技术规范及标准、项目采购需求、采购文件约定的全部内容及责任和义务。</w:t>
      </w:r>
    </w:p>
    <w:p w14:paraId="230CC53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根据对本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72C8BA9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28" w:name="_Toc233274828"/>
      <w:bookmarkStart w:id="129" w:name="_Toc246216197"/>
      <w:bookmarkStart w:id="130" w:name="_Toc243907588"/>
      <w:bookmarkStart w:id="131" w:name="_Toc243906327"/>
      <w:r>
        <w:rPr>
          <w:rFonts w:hint="eastAsia" w:ascii="宋体" w:hAnsi="宋体" w:eastAsia="宋体" w:cs="宋体"/>
          <w:snapToGrid w:val="0"/>
          <w:color w:val="000000"/>
          <w:kern w:val="0"/>
          <w:sz w:val="24"/>
          <w:szCs w:val="24"/>
          <w:highlight w:val="none"/>
          <w:lang w:val="en-US" w:eastAsia="zh-CN"/>
        </w:rPr>
        <w:t>供应商应按照磋商文件所附的格式完整地填写商务报价一览表。供应商应对采购范围内的全部内容进行报价。</w:t>
      </w:r>
    </w:p>
    <w:p w14:paraId="4FCD866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供应商若中标，不得以任何理由在合同执行期间予以价格调整。任何包含价格调整的要求将被认为是非响应而予以拒绝。</w:t>
      </w:r>
    </w:p>
    <w:p w14:paraId="1B0F2EF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en-US"/>
        </w:rPr>
        <w:t>评标委员会认为供应商的报价明显低于其他通过符合性审查供应商的报价，有可能影响产品质量或者不能诚信履约的，将启动异常低价投标（响应）审查程序</w:t>
      </w:r>
      <w:r>
        <w:rPr>
          <w:rFonts w:hint="eastAsia" w:ascii="宋体" w:hAnsi="宋体" w:eastAsia="宋体" w:cs="宋体"/>
          <w:snapToGrid w:val="0"/>
          <w:color w:val="000000"/>
          <w:kern w:val="0"/>
          <w:sz w:val="24"/>
          <w:szCs w:val="24"/>
          <w:highlight w:val="none"/>
          <w:lang w:val="en-US" w:eastAsia="zh-CN"/>
        </w:rPr>
        <w:t>。具体详见《关于推动解决政府采购异常低价问题的通知 》</w:t>
      </w:r>
    </w:p>
    <w:bookmarkEnd w:id="128"/>
    <w:bookmarkEnd w:id="129"/>
    <w:bookmarkEnd w:id="130"/>
    <w:bookmarkEnd w:id="131"/>
    <w:p w14:paraId="2C9C0F4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32" w:name="_Toc245897288"/>
      <w:bookmarkStart w:id="133" w:name="_Toc592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商务报价货币</w:t>
      </w:r>
      <w:bookmarkEnd w:id="132"/>
      <w:bookmarkEnd w:id="133"/>
    </w:p>
    <w:p w14:paraId="15BA214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商务报价一览表和响应文件中的所有报价一律使用人民币（RMB）填报。</w:t>
      </w:r>
    </w:p>
    <w:p w14:paraId="35D3645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34" w:name="_Toc233274829"/>
      <w:bookmarkStart w:id="135" w:name="_Toc245897289"/>
      <w:bookmarkStart w:id="136" w:name="_Toc243906328"/>
      <w:bookmarkStart w:id="137" w:name="_Toc243907589"/>
      <w:bookmarkStart w:id="138" w:name="_Toc2728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供应商资格证明文件</w:t>
      </w:r>
      <w:bookmarkEnd w:id="134"/>
      <w:bookmarkEnd w:id="135"/>
      <w:bookmarkEnd w:id="136"/>
      <w:bookmarkEnd w:id="137"/>
      <w:bookmarkEnd w:id="138"/>
    </w:p>
    <w:p w14:paraId="20D4B2D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供应商必须提交证明其有资格参加磋商和中标后有能力履行合同的文件。</w:t>
      </w:r>
    </w:p>
    <w:p w14:paraId="1D00D60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39" w:name="_Toc245897290"/>
      <w:bookmarkStart w:id="140" w:name="_Toc243907590"/>
      <w:bookmarkStart w:id="141" w:name="_Toc233274830"/>
      <w:bookmarkStart w:id="142" w:name="_Toc243906329"/>
      <w:bookmarkStart w:id="143" w:name="_Toc13375"/>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提供的服务符合竞争性磋商文件规定的技术响应文件</w:t>
      </w:r>
      <w:bookmarkEnd w:id="139"/>
      <w:bookmarkEnd w:id="140"/>
      <w:bookmarkEnd w:id="141"/>
      <w:bookmarkEnd w:id="142"/>
      <w:bookmarkEnd w:id="143"/>
    </w:p>
    <w:p w14:paraId="3D44F60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供应商须提交证明其拟供服务符合竞争性磋商文件、技术规范及标准、项目采购需求规定的技术响应文件，作为响应文件的一部分；</w:t>
      </w:r>
    </w:p>
    <w:p w14:paraId="07E025AE">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上述文件可以是文字资料、图纸和数据，并须提供主要技术性能的详细描述及设备清单和所提供服务的详细说明；</w:t>
      </w:r>
    </w:p>
    <w:p w14:paraId="00C8724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供应商应逐条对竞争性磋商文件、项目采购需求、合同条款等进行仔细阅读，提出自己提供的服务是否对其做出了实质性的响应。</w:t>
      </w:r>
    </w:p>
    <w:p w14:paraId="5C895CA2">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44" w:name="_Toc243906330"/>
      <w:bookmarkStart w:id="145" w:name="_Toc245897291"/>
      <w:bookmarkStart w:id="146" w:name="_Toc8762"/>
      <w:bookmarkStart w:id="147" w:name="_Toc233274831"/>
      <w:bookmarkStart w:id="148" w:name="_Toc24390759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响应文件有效期</w:t>
      </w:r>
      <w:bookmarkEnd w:id="144"/>
      <w:bookmarkEnd w:id="145"/>
      <w:bookmarkEnd w:id="146"/>
      <w:bookmarkEnd w:id="147"/>
      <w:bookmarkEnd w:id="148"/>
    </w:p>
    <w:p w14:paraId="318A18F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响应文件有效期为递交响应文件截止之日起90天（日历日）。供应商的响应文件有效期比规定的有效期短的，将被视为非响应而予以拒绝。</w:t>
      </w:r>
    </w:p>
    <w:p w14:paraId="5F7B464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特殊情况下，在原有效期届满之前，采购人可征得供应商的同意延长其有效期，这种要求与答复均应以书面形式。供应商拒绝延长的，其响应文件失效。同意延长有效期的供应商，既不要求也不允许其修改响应文件。</w:t>
      </w:r>
    </w:p>
    <w:p w14:paraId="0DC20F1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49" w:name="_Toc233274832"/>
      <w:bookmarkStart w:id="150" w:name="_Toc243907592"/>
      <w:bookmarkStart w:id="151" w:name="_Toc245897292"/>
      <w:bookmarkStart w:id="152" w:name="_Toc243906331"/>
      <w:bookmarkStart w:id="153" w:name="_Toc29290"/>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响应文件的签署及规定</w:t>
      </w:r>
      <w:bookmarkEnd w:id="149"/>
      <w:bookmarkEnd w:id="150"/>
      <w:bookmarkEnd w:id="151"/>
      <w:bookmarkEnd w:id="152"/>
      <w:bookmarkEnd w:id="153"/>
    </w:p>
    <w:p w14:paraId="024C461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响应文件采用电子文档。响应文件中应按照采购文件第五章响应文件格式中规定签字、盖章的地方必须按其规定签字、盖章。</w:t>
      </w:r>
    </w:p>
    <w:p w14:paraId="305161F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若供应商对响应文件做必要修改或澄清，则应在修改或澄清处加盖供应商公章或由法定代表人或法定代表人授权代表签字确认。</w:t>
      </w:r>
    </w:p>
    <w:p w14:paraId="4C9E8AE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响应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099B0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D</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响应文件的递交、修改和撤回</w:t>
      </w:r>
      <w:bookmarkEnd w:id="123"/>
      <w:bookmarkEnd w:id="124"/>
      <w:bookmarkEnd w:id="125"/>
      <w:bookmarkEnd w:id="126"/>
    </w:p>
    <w:p w14:paraId="0CF2AF9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54" w:name="_Toc243907600"/>
      <w:bookmarkStart w:id="155" w:name="_Toc233274840"/>
      <w:bookmarkStart w:id="156" w:name="_Toc243906339"/>
      <w:bookmarkStart w:id="157" w:name="_Toc24621620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响应文件递交的方式</w:t>
      </w:r>
    </w:p>
    <w:p w14:paraId="79E873C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响应文件制作完成并生成加密标书，在投标截止时间前，供应商需将加密的响应文件上传至政采云平台。（详见第二章“供应商须知前附表”）</w:t>
      </w:r>
    </w:p>
    <w:p w14:paraId="2B83D3C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投标截止时间以平台显示的时间为准，逾期系统将自动关闭，未完成上传的响应文件视为逾期送达，将被拒绝。</w:t>
      </w:r>
    </w:p>
    <w:p w14:paraId="1F240E2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供应商成功上传电子加密响应文件后，可自行打印响应文件接收回执。</w:t>
      </w:r>
    </w:p>
    <w:p w14:paraId="794BDB00">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58" w:name="_Toc243907597"/>
      <w:bookmarkStart w:id="159" w:name="_Toc245897297"/>
      <w:bookmarkStart w:id="160" w:name="_Toc243906336"/>
      <w:bookmarkStart w:id="161" w:name="_Toc23327483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迟交的</w:t>
      </w:r>
      <w:bookmarkEnd w:id="158"/>
      <w:bookmarkEnd w:id="159"/>
      <w:bookmarkEnd w:id="160"/>
      <w:bookmarkEnd w:id="16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w:t>
      </w:r>
    </w:p>
    <w:p w14:paraId="0B07009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62" w:name="_Toc243907598"/>
      <w:bookmarkStart w:id="163" w:name="_Toc243906337"/>
      <w:bookmarkStart w:id="164" w:name="_Toc233274838"/>
      <w:bookmarkStart w:id="165" w:name="_Toc245897298"/>
      <w:r>
        <w:rPr>
          <w:rFonts w:hint="eastAsia" w:ascii="宋体" w:hAnsi="宋体" w:eastAsia="宋体" w:cs="宋体"/>
          <w:snapToGrid w:val="0"/>
          <w:color w:val="000000"/>
          <w:kern w:val="0"/>
          <w:sz w:val="24"/>
          <w:szCs w:val="24"/>
          <w:highlight w:val="none"/>
          <w:lang w:val="en-US" w:eastAsia="zh-CN"/>
        </w:rPr>
        <w:t>拒绝接收在规定的响应文件接收截止时间后递交的任何响应文件。</w:t>
      </w:r>
      <w:bookmarkStart w:id="166" w:name="_Toc213839733"/>
      <w:bookmarkEnd w:id="166"/>
    </w:p>
    <w:p w14:paraId="4947C0E0">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响应文件的修改和撤回</w:t>
      </w:r>
      <w:bookmarkEnd w:id="162"/>
      <w:bookmarkEnd w:id="163"/>
      <w:bookmarkEnd w:id="164"/>
      <w:bookmarkEnd w:id="165"/>
    </w:p>
    <w:p w14:paraId="700F9A4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供应商在投标截止时间前，可以对其所递交的响应文件进行修改并重新上传，但以投标截止时间前最后一次上传的响应文件为有效响应文件。在投标截止时间后，供应商不得要求修改或撤回其响应文件。</w:t>
      </w:r>
    </w:p>
    <w:p w14:paraId="087DCF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E</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磋商、评审、</w:t>
      </w:r>
      <w:bookmarkEnd w:id="154"/>
      <w:bookmarkEnd w:id="155"/>
      <w:bookmarkEnd w:id="156"/>
      <w:bookmarkEnd w:id="157"/>
      <w:r>
        <w:rPr>
          <w:rFonts w:hint="eastAsia" w:ascii="宋体" w:hAnsi="宋体" w:eastAsia="宋体" w:cs="宋体"/>
          <w:b/>
          <w:bCs/>
          <w:sz w:val="28"/>
          <w:szCs w:val="28"/>
          <w:highlight w:val="none"/>
        </w:rPr>
        <w:t>确定中标供应商</w:t>
      </w:r>
    </w:p>
    <w:p w14:paraId="2AEFE34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67" w:name="_Toc21048"/>
      <w:bookmarkStart w:id="168" w:name="_Toc233274842"/>
      <w:bookmarkStart w:id="169" w:name="_Toc243906341"/>
      <w:bookmarkStart w:id="170" w:name="_Toc243907602"/>
      <w:bookmarkStart w:id="171" w:name="_Toc245897302"/>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磋商会议</w:t>
      </w:r>
      <w:bookmarkEnd w:id="16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及磋商小组</w:t>
      </w:r>
    </w:p>
    <w:p w14:paraId="5D4A517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采购人在本供应商须知前附表规定的时间和地点组织磋商会议。</w:t>
      </w:r>
    </w:p>
    <w:p w14:paraId="6A9DA62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开标由采购代理机构主持，财政部门和有关监督部门可视情况派员现场监督。</w:t>
      </w:r>
    </w:p>
    <w:p w14:paraId="214762A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次采用不见面开标方式，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30FB34C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14:paraId="14DE73A9">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64B9E3E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响应文件的解密：供应商登录政采云平台，在开标时间后30分钟内（</w:t>
      </w:r>
      <w:r>
        <w:rPr>
          <w:rFonts w:hint="eastAsia" w:ascii="宋体" w:hAnsi="宋体" w:cs="宋体"/>
          <w:sz w:val="24"/>
          <w:szCs w:val="24"/>
          <w:highlight w:val="none"/>
          <w:lang w:eastAsia="zh-CN"/>
        </w:rPr>
        <w:t>2026年0</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lang w:eastAsia="zh-CN"/>
        </w:rPr>
        <w:t>日</w:t>
      </w:r>
      <w:r>
        <w:rPr>
          <w:rFonts w:hint="eastAsia" w:ascii="宋体" w:hAnsi="宋体" w:eastAsia="宋体" w:cs="宋体"/>
          <w:snapToGrid w:val="0"/>
          <w:color w:val="000000"/>
          <w:kern w:val="0"/>
          <w:sz w:val="24"/>
          <w:szCs w:val="24"/>
          <w:highlight w:val="none"/>
          <w:lang w:val="en-US" w:eastAsia="zh-CN"/>
        </w:rPr>
        <w:t>10:30-11:00）用“项目采购-开标评标”功能进行解密响应文件。若供应商在规定时间内（</w:t>
      </w:r>
      <w:r>
        <w:rPr>
          <w:rFonts w:hint="eastAsia" w:ascii="宋体" w:hAnsi="宋体" w:cs="宋体"/>
          <w:sz w:val="24"/>
          <w:szCs w:val="24"/>
          <w:highlight w:val="none"/>
          <w:lang w:eastAsia="zh-CN"/>
        </w:rPr>
        <w:t>2026年0</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lang w:eastAsia="zh-CN"/>
        </w:rPr>
        <w:t>日</w:t>
      </w:r>
      <w:r>
        <w:rPr>
          <w:rFonts w:hint="eastAsia" w:ascii="宋体" w:hAnsi="宋体" w:eastAsia="宋体" w:cs="宋体"/>
          <w:snapToGrid w:val="0"/>
          <w:color w:val="000000"/>
          <w:kern w:val="0"/>
          <w:sz w:val="24"/>
          <w:szCs w:val="24"/>
          <w:highlight w:val="none"/>
          <w:lang w:val="en-US" w:eastAsia="zh-CN"/>
        </w:rPr>
        <w:t>10:30-11:00）未按时解密的，视为无效投标。解密与加密响应文件须使用同一个CA。（详见第二章“供应商须知前附表”）</w:t>
      </w:r>
    </w:p>
    <w:p w14:paraId="55CB07A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供应商应在开启报价30分钟内进行签字确认。</w:t>
      </w:r>
    </w:p>
    <w:p w14:paraId="3CFFF11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开标完毕，进行下一步评标。</w:t>
      </w:r>
    </w:p>
    <w:bookmarkEnd w:id="168"/>
    <w:bookmarkEnd w:id="169"/>
    <w:bookmarkEnd w:id="170"/>
    <w:bookmarkEnd w:id="171"/>
    <w:p w14:paraId="1A757342">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中标供应商。</w:t>
      </w:r>
    </w:p>
    <w:p w14:paraId="59DFD77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w:t>
      </w:r>
    </w:p>
    <w:p w14:paraId="70D3E7A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14:paraId="1B4EBF3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磋商小组与各供应商进行了相同轮次的磋商后，为了更好地实现采购目标，磋商小组可以修改竞争性磋商文件，但涉及实质性变动的，将以书面形式通知所有参加磋商的供应商。供应商收到修改竞争性磋商文件的通知后，可以决定是否继续参加磋商活动。</w:t>
      </w:r>
    </w:p>
    <w:p w14:paraId="626922B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供应商应当按照竞争性磋商文件的变动情况和磋商小组的要求重新提交响应文件，并由其法定代表人或委托代理人签字或者加盖公章。由委托代理人签字的，应当附法定代表人授权书。</w:t>
      </w:r>
    </w:p>
    <w:p w14:paraId="53C643A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竞争性磋商文件能够详细列明采购标的的技术、服务要求的，磋商小组在磋商结束后，磋商小组应当要求所有实质性响应的供应商在规定时间内提交最后报价，最后报价是供应商响应文件的有效组成部分。</w:t>
      </w:r>
    </w:p>
    <w:p w14:paraId="1E19666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竞争性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14:paraId="30B301A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已提交响应文件的供应商，在提交最后报价之前，可以根据磋商情况退出磋商。</w:t>
      </w:r>
    </w:p>
    <w:p w14:paraId="023BFA1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磋商小组判断响应文件的响应性仅基于响应文件本身而不依靠任何外部证据，但响应文件有不真实、不正确的内容除外。</w:t>
      </w:r>
    </w:p>
    <w:p w14:paraId="0F2DCF1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如果响应文件实质上没有响应竞争性磋商文件的要求，磋商小组将予以拒绝，供应商不得通过修正或撤消不符合要求的偏离或保留，而使其成为实质上响应。</w:t>
      </w:r>
    </w:p>
    <w:p w14:paraId="7FEC124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72" w:name="_Toc233274843"/>
      <w:bookmarkStart w:id="173" w:name="_Toc243906344"/>
      <w:bookmarkStart w:id="174" w:name="_Toc243907605"/>
      <w:bookmarkStart w:id="175" w:name="_Toc31800"/>
      <w:bookmarkStart w:id="176" w:name="_Toc24589730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评审</w:t>
      </w:r>
      <w:bookmarkEnd w:id="172"/>
      <w:bookmarkEnd w:id="173"/>
      <w:bookmarkEnd w:id="174"/>
      <w:bookmarkEnd w:id="175"/>
      <w:bookmarkEnd w:id="176"/>
    </w:p>
    <w:p w14:paraId="2B204AE8">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经磋商确定最终采购需求和提交最后报价的供应商后，由磋商小组采用综合评分法对提交最后报价的供应商响应文件和最后报价进行综合评分。</w:t>
      </w:r>
    </w:p>
    <w:p w14:paraId="11E9BF4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磋商小组将对实质性响应竞争性磋商文件的响应文件进行详细评审和比较。对技术要求、价格等进行比较，并与竞争性磋商文件、项目采购需求和采购人的实际需要进行比较和评价。</w:t>
      </w:r>
    </w:p>
    <w:p w14:paraId="1EBEA7E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商务报价错误的修正</w:t>
      </w:r>
    </w:p>
    <w:p w14:paraId="432F23B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如果发现商务报价存在计算或表达上错误，则按下列原则进行修正：</w:t>
      </w:r>
    </w:p>
    <w:p w14:paraId="2301F9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bookmarkStart w:id="177" w:name="_Toc224620071"/>
      <w:bookmarkStart w:id="178" w:name="_Toc224623663"/>
      <w:bookmarkStart w:id="179" w:name="_Toc224620150"/>
      <w:bookmarkStart w:id="180" w:name="_Toc224624628"/>
      <w:bookmarkStart w:id="181" w:name="_Toc224622928"/>
      <w:bookmarkStart w:id="182" w:name="_Toc224624488"/>
      <w:bookmarkStart w:id="183" w:name="_Toc224623451"/>
      <w:bookmarkStart w:id="184" w:name="_Toc224623557"/>
      <w:bookmarkStart w:id="185" w:name="_Toc243907606"/>
      <w:bookmarkStart w:id="186" w:name="_Toc245897305"/>
      <w:bookmarkStart w:id="187" w:name="_Toc224624767"/>
      <w:bookmarkStart w:id="188" w:name="_Toc243906345"/>
      <w:r>
        <w:rPr>
          <w:rFonts w:hint="eastAsia" w:ascii="宋体" w:hAnsi="宋体" w:eastAsia="宋体" w:cs="宋体"/>
          <w:snapToGrid w:val="0"/>
          <w:color w:val="000000"/>
          <w:kern w:val="0"/>
          <w:sz w:val="24"/>
          <w:szCs w:val="24"/>
          <w:highlight w:val="none"/>
          <w:lang w:val="en-US" w:eastAsia="zh-CN"/>
        </w:rPr>
        <w:t>（1）用数字表示的数额与用文字表示的数额不一致时，以文字数额为准；</w:t>
      </w:r>
    </w:p>
    <w:p w14:paraId="5C7D4F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（2）单价与工程量的乘积与总价之间不一致时，以单价为准。若单价有明显小数点错位，应以总价为准，并修改单价。</w:t>
      </w:r>
    </w:p>
    <w:p w14:paraId="61E436B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磋商小组将按第27.3条原则修正商务报价，并要求供应商进行确认。确认后的报价和文件将对供应商具有约束力。并以修正后的报价作为评审的依据。</w:t>
      </w:r>
    </w:p>
    <w:p w14:paraId="4D0566F4">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89" w:name="_Toc24366"/>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响应文件的澄清</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313240F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14:paraId="58842AE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14:paraId="2739B3A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磋商小组允许供应商通过澄清答复修正其最后报价中不构成重大偏离的、微小的、非正规的、不一致的或不规范的地方，但这些修正不能影响任何供应商的相关名次排列。</w:t>
      </w:r>
    </w:p>
    <w:p w14:paraId="28ED892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如果供应商在响应文件中未对竞争性磋商文件、技术规格及标准、项目采购需求、合同条款等提出偏离意见或澄清，将视同供应商同意上述文件的全部条款和要求。</w:t>
      </w:r>
    </w:p>
    <w:p w14:paraId="24369977">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90" w:name="_Toc243906346"/>
      <w:bookmarkStart w:id="191" w:name="_Toc243907607"/>
      <w:bookmarkStart w:id="192" w:name="_Toc233274845"/>
      <w:bookmarkStart w:id="193" w:name="_Toc245897306"/>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重大偏离</w:t>
      </w:r>
      <w:bookmarkEnd w:id="190"/>
      <w:bookmarkEnd w:id="191"/>
      <w:bookmarkEnd w:id="192"/>
      <w:bookmarkEnd w:id="193"/>
    </w:p>
    <w:p w14:paraId="7141A27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194" w:name="_Toc243906347"/>
      <w:bookmarkStart w:id="195" w:name="_Toc243907608"/>
      <w:bookmarkStart w:id="196" w:name="_Toc233274846"/>
      <w:bookmarkStart w:id="197" w:name="_Toc245897307"/>
      <w:r>
        <w:rPr>
          <w:rFonts w:hint="eastAsia" w:ascii="宋体" w:hAnsi="宋体" w:eastAsia="宋体" w:cs="宋体"/>
          <w:snapToGrid w:val="0"/>
          <w:color w:val="000000"/>
          <w:kern w:val="0"/>
          <w:sz w:val="24"/>
          <w:szCs w:val="24"/>
          <w:highlight w:val="none"/>
          <w:lang w:val="en-US" w:eastAsia="zh-CN"/>
        </w:rPr>
        <w:t>重大偏离是指实质上影响合同的采购范围、供货期、质量和性能等，或者实质上不满足竞争性磋商文件的要求，而且限制了采购人的权力或减轻了供应商的义务。纠正或承认这些偏离将会对其他实质上响应要求的供应商合理的竞争地位产生不公正的影响。</w:t>
      </w:r>
    </w:p>
    <w:bookmarkEnd w:id="194"/>
    <w:bookmarkEnd w:id="195"/>
    <w:bookmarkEnd w:id="196"/>
    <w:bookmarkEnd w:id="197"/>
    <w:p w14:paraId="18FFB635">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无效响应文件</w:t>
      </w:r>
    </w:p>
    <w:p w14:paraId="249E3BA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响应文件有下列情形之一的，由磋商小组评审后按无效响应文件处理：</w:t>
      </w:r>
    </w:p>
    <w:p w14:paraId="076EB8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供应商的商务报价高于采购项目预算；</w:t>
      </w:r>
    </w:p>
    <w:p w14:paraId="6A959C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响应文件附有采购人不能接受条件的；</w:t>
      </w:r>
    </w:p>
    <w:p w14:paraId="1E3C8B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出现重大偏离的；</w:t>
      </w:r>
    </w:p>
    <w:p w14:paraId="7F2E33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对竞争性磋商文件提出的实质性要求和条件未能实质性响应；</w:t>
      </w:r>
    </w:p>
    <w:p w14:paraId="0EDEA8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《中华人民共和国政府采购法》、《政府采购竞争性磋商采购方式管理暂行办法》及相关法律法规及竞争性磋商文件明确规定可以作无效响应的其他情形。</w:t>
      </w:r>
    </w:p>
    <w:p w14:paraId="7B998584">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198" w:name="_Toc245897308"/>
      <w:bookmarkStart w:id="199" w:name="_Toc243906348"/>
      <w:bookmarkStart w:id="200" w:name="_Toc233274847"/>
      <w:bookmarkStart w:id="201" w:name="_Toc243907609"/>
      <w:bookmarkStart w:id="202" w:name="_Toc1395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评审</w:t>
      </w:r>
      <w:bookmarkEnd w:id="198"/>
      <w:bookmarkEnd w:id="199"/>
      <w:bookmarkEnd w:id="200"/>
      <w:bookmarkEnd w:id="201"/>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标准</w:t>
      </w:r>
      <w:bookmarkEnd w:id="202"/>
    </w:p>
    <w:p w14:paraId="0C8CB6A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03" w:name="_Toc6083"/>
      <w:bookmarkStart w:id="204" w:name="_Toc243907610"/>
      <w:bookmarkStart w:id="205" w:name="_Toc233274848"/>
      <w:bookmarkStart w:id="206" w:name="_Toc243906349"/>
      <w:bookmarkStart w:id="207" w:name="_Toc245897309"/>
      <w:r>
        <w:rPr>
          <w:rFonts w:hint="eastAsia" w:ascii="宋体" w:hAnsi="宋体" w:eastAsia="宋体" w:cs="宋体"/>
          <w:snapToGrid w:val="0"/>
          <w:color w:val="000000"/>
          <w:kern w:val="0"/>
          <w:sz w:val="24"/>
          <w:szCs w:val="24"/>
          <w:highlight w:val="none"/>
          <w:lang w:val="en-US" w:eastAsia="zh-CN"/>
        </w:rPr>
        <w:t>本项目评审严格按照竞争性磋商文件的要求和条件进行。</w:t>
      </w:r>
      <w:bookmarkEnd w:id="203"/>
    </w:p>
    <w:p w14:paraId="66AD6BA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08" w:name="_Toc18030"/>
      <w:r>
        <w:rPr>
          <w:rFonts w:hint="eastAsia" w:ascii="宋体" w:hAnsi="宋体" w:eastAsia="宋体" w:cs="宋体"/>
          <w:snapToGrid w:val="0"/>
          <w:color w:val="000000"/>
          <w:kern w:val="0"/>
          <w:sz w:val="24"/>
          <w:szCs w:val="24"/>
          <w:highlight w:val="none"/>
          <w:lang w:val="en-US" w:eastAsia="zh-CN"/>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bookmarkEnd w:id="208"/>
    </w:p>
    <w:p w14:paraId="37114C21">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09" w:name="_Toc27318"/>
      <w:r>
        <w:rPr>
          <w:rFonts w:hint="eastAsia" w:ascii="宋体" w:hAnsi="宋体" w:eastAsia="宋体" w:cs="宋体"/>
          <w:snapToGrid w:val="0"/>
          <w:color w:val="000000"/>
          <w:kern w:val="0"/>
          <w:sz w:val="24"/>
          <w:szCs w:val="24"/>
          <w:highlight w:val="none"/>
          <w:lang w:val="en-US" w:eastAsia="zh-CN"/>
        </w:rPr>
        <w:t>登录“中国执行信息公开网”（网址：shixin.court.gov.cn）失信被执行人名单库查询。（如查询到该公司信息，说明该公司为失信被执行人），拒绝参与政府采购活动，同时对信用信息查询记录和证据进行打印存档。</w:t>
      </w:r>
      <w:bookmarkEnd w:id="209"/>
    </w:p>
    <w:p w14:paraId="676DB6D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0" w:name="_Toc14009"/>
      <w:r>
        <w:rPr>
          <w:rFonts w:hint="eastAsia" w:ascii="宋体" w:hAnsi="宋体" w:eastAsia="宋体" w:cs="宋体"/>
          <w:snapToGrid w:val="0"/>
          <w:color w:val="000000"/>
          <w:kern w:val="0"/>
          <w:sz w:val="24"/>
          <w:szCs w:val="24"/>
          <w:highlight w:val="none"/>
          <w:lang w:val="en-US" w:eastAsia="zh-CN"/>
        </w:rPr>
        <w:t>响应文件初审。初审分为资格性审查和符合性审查。</w:t>
      </w:r>
      <w:bookmarkEnd w:id="210"/>
    </w:p>
    <w:p w14:paraId="7083454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1" w:name="_Toc2827"/>
      <w:r>
        <w:rPr>
          <w:rFonts w:hint="eastAsia" w:ascii="宋体" w:hAnsi="宋体" w:eastAsia="宋体" w:cs="宋体"/>
          <w:snapToGrid w:val="0"/>
          <w:color w:val="000000"/>
          <w:kern w:val="0"/>
          <w:sz w:val="24"/>
          <w:szCs w:val="24"/>
          <w:highlight w:val="none"/>
          <w:lang w:val="en-US" w:eastAsia="zh-CN"/>
        </w:rPr>
        <w:t>资格性检查。依据法律法规和竞争性磋商文件的规定，对响应文件中的资格条件等进行审查，以确定供应商是否具备磋商资格。</w:t>
      </w:r>
      <w:bookmarkEnd w:id="211"/>
    </w:p>
    <w:p w14:paraId="028D234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2" w:name="_Toc31794"/>
      <w:r>
        <w:rPr>
          <w:rFonts w:hint="eastAsia" w:ascii="宋体" w:hAnsi="宋体" w:eastAsia="宋体" w:cs="宋体"/>
          <w:snapToGrid w:val="0"/>
          <w:color w:val="000000"/>
          <w:kern w:val="0"/>
          <w:sz w:val="24"/>
          <w:szCs w:val="24"/>
          <w:highlight w:val="none"/>
          <w:lang w:val="en-US" w:eastAsia="zh-CN"/>
        </w:rPr>
        <w:t>符合性检查。依据竞争性磋商文件的规定，从响应文件的有效性、完整性和对竞争性磋商文件的响应程度进行审查，以确定是否对竞争性磋商文件的实质性要求作出响应。</w:t>
      </w:r>
      <w:bookmarkEnd w:id="212"/>
    </w:p>
    <w:p w14:paraId="2EE2A8B1">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3" w:name="_Toc22746"/>
      <w:r>
        <w:rPr>
          <w:rFonts w:hint="eastAsia" w:ascii="宋体" w:hAnsi="宋体" w:eastAsia="宋体" w:cs="宋体"/>
          <w:snapToGrid w:val="0"/>
          <w:color w:val="000000"/>
          <w:kern w:val="0"/>
          <w:sz w:val="24"/>
          <w:szCs w:val="24"/>
          <w:highlight w:val="none"/>
          <w:lang w:val="en-US" w:eastAsia="zh-CN"/>
        </w:rPr>
        <w:t>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bookmarkEnd w:id="213"/>
    </w:p>
    <w:p w14:paraId="3BD9C2B0">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4" w:name="_Toc827"/>
      <w:r>
        <w:rPr>
          <w:rFonts w:hint="eastAsia" w:ascii="宋体" w:hAnsi="宋体" w:eastAsia="宋体" w:cs="宋体"/>
          <w:snapToGrid w:val="0"/>
          <w:color w:val="000000"/>
          <w:kern w:val="0"/>
          <w:sz w:val="24"/>
          <w:szCs w:val="24"/>
          <w:highlight w:val="none"/>
          <w:lang w:val="en-US" w:eastAsia="zh-CN"/>
        </w:rPr>
        <w:t>比较与评价。磋商小组按磋商文件中规定的评审方法和标准，对资格性审查和符合性审查均合格的响应文件进行商务和技术评估，综合比较与评价。</w:t>
      </w:r>
      <w:bookmarkEnd w:id="214"/>
    </w:p>
    <w:p w14:paraId="74BBDF9F">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5" w:name="_Toc4343"/>
      <w:r>
        <w:rPr>
          <w:rFonts w:hint="eastAsia" w:ascii="宋体" w:hAnsi="宋体" w:eastAsia="宋体" w:cs="宋体"/>
          <w:snapToGrid w:val="0"/>
          <w:color w:val="000000"/>
          <w:kern w:val="0"/>
          <w:sz w:val="24"/>
          <w:szCs w:val="24"/>
          <w:highlight w:val="none"/>
          <w:lang w:val="en-US" w:eastAsia="zh-CN"/>
        </w:rPr>
        <w:t>磋商结束后，磋商小组应当要求所有实质性响应的供应商在规定时间内提交最后报价。两轮（若有）以上报价的，供应商在未提高响应文件中承诺的其服务质量的情况下，其最后报价不得高于对该项目之前的报价，否则，磋商小组应当对其响应文件按无效处理，不允许进入综合评分，并书面告知供应商，说明理由。</w:t>
      </w:r>
      <w:bookmarkEnd w:id="215"/>
    </w:p>
    <w:p w14:paraId="1169631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16" w:name="_Toc5972"/>
      <w:r>
        <w:rPr>
          <w:rFonts w:hint="eastAsia" w:ascii="宋体" w:hAnsi="宋体" w:eastAsia="宋体" w:cs="宋体"/>
          <w:snapToGrid w:val="0"/>
          <w:color w:val="000000"/>
          <w:kern w:val="0"/>
          <w:sz w:val="24"/>
          <w:szCs w:val="24"/>
          <w:highlight w:val="none"/>
          <w:lang w:val="en-US" w:eastAsia="zh-CN"/>
        </w:rPr>
        <w:t>本项目评审采用综合评分法，严格按照竞争性磋商文件的要求和条件进行。</w:t>
      </w:r>
      <w:bookmarkEnd w:id="216"/>
    </w:p>
    <w:p w14:paraId="437F0DF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17" w:name="_Toc13053"/>
      <w:r>
        <w:rPr>
          <w:rFonts w:hint="eastAsia" w:ascii="宋体" w:hAnsi="宋体" w:eastAsia="宋体" w:cs="宋体"/>
          <w:snapToGrid w:val="0"/>
          <w:color w:val="000000"/>
          <w:kern w:val="0"/>
          <w:sz w:val="24"/>
          <w:szCs w:val="24"/>
          <w:highlight w:val="none"/>
          <w:lang w:val="en-US" w:eastAsia="zh-CN"/>
        </w:rPr>
        <w:t>评审分值：</w:t>
      </w:r>
      <w:bookmarkEnd w:id="217"/>
      <w:bookmarkStart w:id="218" w:name="_Toc23415"/>
      <w:r>
        <w:rPr>
          <w:rFonts w:hint="eastAsia" w:ascii="宋体" w:hAnsi="宋体" w:eastAsia="宋体" w:cs="宋体"/>
          <w:snapToGrid w:val="0"/>
          <w:color w:val="000000"/>
          <w:kern w:val="0"/>
          <w:sz w:val="24"/>
          <w:szCs w:val="24"/>
          <w:highlight w:val="none"/>
          <w:lang w:val="en-US" w:eastAsia="zh-CN"/>
        </w:rPr>
        <w:t>总分值为100分，其中价格部分分值为10分，其余部分分值为90分。具体评标方法详本竞争性磋商文件第六章“评标方法（综合评分法）”</w:t>
      </w:r>
    </w:p>
    <w:p w14:paraId="792EA81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推荐中标候选供应商</w:t>
      </w:r>
      <w:bookmarkEnd w:id="218"/>
    </w:p>
    <w:p w14:paraId="44140529">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19" w:name="_Toc6296"/>
      <w:r>
        <w:rPr>
          <w:rFonts w:hint="eastAsia" w:ascii="宋体" w:hAnsi="宋体" w:eastAsia="宋体" w:cs="宋体"/>
          <w:snapToGrid w:val="0"/>
          <w:color w:val="000000"/>
          <w:kern w:val="0"/>
          <w:sz w:val="24"/>
          <w:szCs w:val="24"/>
          <w:highlight w:val="none"/>
          <w:lang w:val="en-US" w:eastAsia="zh-CN"/>
        </w:rPr>
        <w:t>各供应商的评审得分由高至低排序，评审得分排列前3名的供应商被推荐为中标候选供应商。评审得分相同的，按照最后报价由低到高的顺序推荐。评审得分且最后报价相同的，按照技术指标优劣顺序推荐。</w:t>
      </w:r>
      <w:bookmarkEnd w:id="219"/>
    </w:p>
    <w:p w14:paraId="1078244F">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bookmarkStart w:id="220" w:name="_Toc696"/>
      <w:r>
        <w:rPr>
          <w:rFonts w:hint="eastAsia" w:ascii="宋体" w:hAnsi="宋体" w:eastAsia="宋体" w:cs="宋体"/>
          <w:snapToGrid w:val="0"/>
          <w:color w:val="000000"/>
          <w:kern w:val="0"/>
          <w:sz w:val="24"/>
          <w:szCs w:val="24"/>
          <w:highlight w:val="none"/>
          <w:lang w:val="en-US" w:eastAsia="zh-CN"/>
        </w:rPr>
        <w:t>评分计算结果保留两位小数，第三位小数四舍五入。</w:t>
      </w:r>
      <w:bookmarkEnd w:id="220"/>
    </w:p>
    <w:p w14:paraId="0952CA88">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21" w:name="_Toc20547"/>
      <w:r>
        <w:rPr>
          <w:rFonts w:hint="eastAsia" w:ascii="宋体" w:hAnsi="宋体" w:eastAsia="宋体" w:cs="宋体"/>
          <w:snapToGrid w:val="0"/>
          <w:color w:val="000000"/>
          <w:kern w:val="0"/>
          <w:sz w:val="24"/>
          <w:szCs w:val="24"/>
          <w:highlight w:val="none"/>
          <w:lang w:val="en-US" w:eastAsia="zh-CN"/>
        </w:rPr>
        <w:t>磋商小组复核。磋商小组评分汇总结束后，磋商小组应当进行评审复核，对拟推荐为中标候选供应商的、报价最低的、供应商资格审查未通过的、供应商响应文件作无效处理的重点复核。</w:t>
      </w:r>
      <w:bookmarkEnd w:id="221"/>
    </w:p>
    <w:p w14:paraId="1E7EF89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22" w:name="_Toc12942"/>
      <w:r>
        <w:rPr>
          <w:rFonts w:hint="eastAsia" w:ascii="宋体" w:hAnsi="宋体" w:eastAsia="宋体" w:cs="宋体"/>
          <w:snapToGrid w:val="0"/>
          <w:color w:val="000000"/>
          <w:kern w:val="0"/>
          <w:sz w:val="24"/>
          <w:szCs w:val="24"/>
          <w:highlight w:val="none"/>
          <w:lang w:val="en-US" w:eastAsia="zh-CN"/>
        </w:rPr>
        <w:t>采购人根据磋商小组推荐的中标候选供应商及有关规定确定第一名为中标供应商。</w:t>
      </w:r>
      <w:bookmarkEnd w:id="222"/>
    </w:p>
    <w:p w14:paraId="5B9A1972">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3" w:name="_Toc119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采购人依法接受和拒绝任一或所有供应商的权力</w:t>
      </w:r>
      <w:bookmarkEnd w:id="223"/>
    </w:p>
    <w:p w14:paraId="28A78F2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采购人保留确定中标供应商之前的任何时候依法接受或拒绝任一或所有供应商的权力，对受影响的供应商不承担任何责任，也无义务向受影响的供应商解释采取这一行动的理由。</w:t>
      </w:r>
    </w:p>
    <w:p w14:paraId="0B066535">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4" w:name="_Toc2626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中标通知</w:t>
      </w:r>
      <w:bookmarkEnd w:id="204"/>
      <w:bookmarkEnd w:id="205"/>
      <w:bookmarkEnd w:id="206"/>
      <w:bookmarkEnd w:id="207"/>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书</w:t>
      </w:r>
      <w:bookmarkEnd w:id="224"/>
    </w:p>
    <w:p w14:paraId="3A4F01E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采购人确定中标供应商后，及时通知采购代理机构，采购代理机构将按程序公告中标结果，同时向中标供应商发出中标通知书，中标通知书一经发出即发生法律效力。</w:t>
      </w:r>
    </w:p>
    <w:p w14:paraId="4F23642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《中标通知书》将是合同的组成部分。</w:t>
      </w:r>
    </w:p>
    <w:p w14:paraId="5228105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25" w:name="_Toc233274849"/>
      <w:bookmarkStart w:id="226" w:name="_Toc3148"/>
      <w:bookmarkStart w:id="227" w:name="_Toc243907611"/>
      <w:bookmarkStart w:id="228" w:name="_Toc243906350"/>
      <w:bookmarkStart w:id="229" w:name="_Toc245897310"/>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纪律与保密事项</w:t>
      </w:r>
      <w:bookmarkEnd w:id="225"/>
      <w:bookmarkEnd w:id="226"/>
      <w:bookmarkEnd w:id="227"/>
      <w:bookmarkEnd w:id="228"/>
      <w:bookmarkEnd w:id="229"/>
    </w:p>
    <w:p w14:paraId="592A3439">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凡参与磋商工作的有关人员均应自觉接受有关主管部门的监督，不得向他人透露可能影响公平竞争的有关磋商的其他情况。</w:t>
      </w:r>
    </w:p>
    <w:p w14:paraId="6070CA0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领取本竞争性磋商文件及其它相关资料者，应对文件进行保密，不得用作本次磋商以外的任何用途。由采购人向供应商提供的图纸、技术资料和所有其它资料，均视为保密资料，除非得到采购人的同意，不得向第三方透露。</w:t>
      </w:r>
    </w:p>
    <w:p w14:paraId="0AC2B1B8">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不得与采购人串通磋商，不得向采购人或者磋商小组成员行贿谋取中标，不得以他人名义参与磋商或者以其它任何方式弄虚作假骗取参与磋商；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14:paraId="6D90014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114CF80A">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磋商之日起直至授予中标供应商合同为止，凡属于对响应文件的审查、澄清、评价、比较有关的资料和中标供应商的推荐情况及与评审有关的其他任何情况均严格保密。</w:t>
      </w:r>
    </w:p>
    <w:p w14:paraId="719E8F0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从磋商之日起至授予合同期间，供应商试图向磋商小组、采购代理机构施加任何影响或对采购人的比较及授予合同的决定进行影响，都可能导致其响应文件被拒绝。</w:t>
      </w:r>
    </w:p>
    <w:p w14:paraId="295F3C0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除供应商被要求对响应文件进行澄清外，从磋商之时起至授予合同期间，供应商不得就与其响应文件有关的事项主动与磋商小组、采购代理机构以及采购人联系。</w:t>
      </w:r>
    </w:p>
    <w:p w14:paraId="0139450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中标供应商确定后，采购人不对未中标供应商就评审过程以及未能中标原因作出任何解释，未中标供应商不得向磋商小组或其他有关人员询问评审过程的情况和索取评审过程的资料。</w:t>
      </w:r>
    </w:p>
    <w:p w14:paraId="269ED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bookmarkStart w:id="230" w:name="_Toc26532"/>
      <w:r>
        <w:rPr>
          <w:rFonts w:hint="eastAsia" w:ascii="宋体" w:hAnsi="宋体" w:eastAsia="宋体" w:cs="宋体"/>
          <w:b/>
          <w:bCs/>
          <w:sz w:val="28"/>
          <w:szCs w:val="28"/>
          <w:highlight w:val="none"/>
        </w:rPr>
        <w:t>F</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授予合同</w:t>
      </w:r>
      <w:bookmarkEnd w:id="230"/>
      <w:bookmarkStart w:id="231" w:name="_Toc243906355"/>
      <w:bookmarkStart w:id="232" w:name="_Toc245897315"/>
      <w:bookmarkStart w:id="233" w:name="_Toc233274853"/>
      <w:bookmarkStart w:id="234" w:name="_Toc243907618"/>
    </w:p>
    <w:bookmarkEnd w:id="231"/>
    <w:bookmarkEnd w:id="232"/>
    <w:bookmarkEnd w:id="233"/>
    <w:bookmarkEnd w:id="234"/>
    <w:p w14:paraId="49F1E9BA">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35" w:name="_Toc9074"/>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授予合同标准</w:t>
      </w:r>
      <w:bookmarkEnd w:id="235"/>
    </w:p>
    <w:p w14:paraId="364593E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本采购项目的采购合同将授予按本须知第31条所确定中标供应商。</w:t>
      </w:r>
    </w:p>
    <w:p w14:paraId="3D22FBB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36" w:name="_Toc233274855"/>
      <w:bookmarkStart w:id="237" w:name="_Toc245897317"/>
      <w:bookmarkStart w:id="238" w:name="_Toc243906357"/>
      <w:bookmarkStart w:id="239" w:name="_Toc243907620"/>
      <w:bookmarkStart w:id="240" w:name="_Toc11509"/>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3签订合同</w:t>
      </w:r>
      <w:bookmarkEnd w:id="236"/>
      <w:bookmarkEnd w:id="237"/>
      <w:bookmarkEnd w:id="238"/>
      <w:bookmarkEnd w:id="239"/>
      <w:bookmarkEnd w:id="240"/>
    </w:p>
    <w:p w14:paraId="26F4D78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中标供应商应当自中标通知书发出之日起三十日内，按照竞争性磋商文件和中标供应商的响应文件订立书面合同。中标供应商不得要求订立背离本响应文件合同条款等响应文件实质性内容的其他协议。</w:t>
      </w:r>
    </w:p>
    <w:p w14:paraId="1A71665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中标通知书、中标供应商的响应文件及其澄清文件、技术规范及标准、项目采购需求、本竞争性磋商文件（含修改文件或补充文件）及答疑纪要等，均为签订合同的依据。</w:t>
      </w:r>
    </w:p>
    <w:p w14:paraId="2434709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采购人如不按本须知36.1条规定与中标供应商签订合同，或者采购人、中标供应商签订背离合同实质性内容的协议，由监督管理部门责令其改正。</w:t>
      </w:r>
    </w:p>
    <w:p w14:paraId="1CD08DE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中标供应商如不按本须知36.1条规定与采购人签订合同，则按违约处理，采购人将有权取消中标供应商资格，给采购人造成损失，还应当予以赔偿，同时依法承担相应的法律责</w:t>
      </w:r>
      <w:r>
        <w:rPr>
          <w:rFonts w:hint="eastAsia" w:ascii="宋体" w:hAnsi="宋体" w:cs="宋体"/>
          <w:snapToGrid w:val="0"/>
          <w:color w:val="000000"/>
          <w:kern w:val="0"/>
          <w:sz w:val="24"/>
          <w:szCs w:val="24"/>
          <w:highlight w:val="none"/>
          <w:lang w:val="en-US" w:eastAsia="zh-CN"/>
        </w:rPr>
        <w:t>任</w:t>
      </w:r>
      <w:r>
        <w:rPr>
          <w:rFonts w:hint="eastAsia" w:ascii="宋体" w:hAnsi="宋体" w:eastAsia="宋体" w:cs="宋体"/>
          <w:snapToGrid w:val="0"/>
          <w:color w:val="000000"/>
          <w:kern w:val="0"/>
          <w:sz w:val="24"/>
          <w:szCs w:val="24"/>
          <w:highlight w:val="none"/>
          <w:lang w:val="en-US" w:eastAsia="zh-CN"/>
        </w:rPr>
        <w:t>。</w:t>
      </w:r>
    </w:p>
    <w:p w14:paraId="03774D1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中标供应商拒绝与采购人签订合同的，采购人可以按照评审报告推荐的中标候选供应商名单排序，确定下一名候选供应商为中标供应商，并组织重新选定的中标供应商和采购人签订合同，也可以重新开展政府采购活动。</w:t>
      </w:r>
    </w:p>
    <w:p w14:paraId="53582C75">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bookmarkStart w:id="241" w:name="_Toc243907621"/>
      <w:bookmarkStart w:id="242" w:name="_Toc9818"/>
      <w:bookmarkStart w:id="243" w:name="_Toc245897318"/>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合同的签订准则</w:t>
      </w:r>
      <w:bookmarkEnd w:id="241"/>
      <w:bookmarkEnd w:id="242"/>
      <w:bookmarkEnd w:id="243"/>
    </w:p>
    <w:p w14:paraId="338FB54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合同签订必须由采购人、中标供应商双方法定代表人或其委托代理人签署并加盖法人公章后方能生效。</w:t>
      </w:r>
    </w:p>
    <w:p w14:paraId="251FB97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合同转包（实质性要求）</w:t>
      </w:r>
    </w:p>
    <w:p w14:paraId="03A14198">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14:paraId="6F26378C">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中标供应商转包的，视同拒绝履行政府采购合同义务，将依法追究法律责任。</w:t>
      </w:r>
    </w:p>
    <w:p w14:paraId="0AA95A40">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3验收</w:t>
      </w:r>
    </w:p>
    <w:p w14:paraId="5A7CE89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本项目采购人将严格按照政府采购相关法律法规要求进行验收。</w:t>
      </w:r>
    </w:p>
    <w:p w14:paraId="344AB1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G</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询问、质疑、投诉</w:t>
      </w:r>
    </w:p>
    <w:p w14:paraId="324474A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询问</w:t>
      </w:r>
    </w:p>
    <w:p w14:paraId="6A61DEE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供应商对采购活动事项有疑问的，可以向采购人或采购代理机构提出询问，采购人或采购代理机构应当在三个工作日内对供应商依法提出的询问作出答复，但答复的内容不得涉及商业秘密。</w:t>
      </w:r>
    </w:p>
    <w:p w14:paraId="00E4C8E5">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质疑</w:t>
      </w:r>
    </w:p>
    <w:p w14:paraId="54F137B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供应商认为竞争性磋商文件、采购过程和中标结果使自己的合法权益受到损害的，可以在知道或者应知其权益受到损害之日起七个工作日内，将质疑文件原件和必要的证明材料书面送达采购人或采购代理机构。</w:t>
      </w:r>
    </w:p>
    <w:p w14:paraId="4FF1C25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如对竞争性磋商文件技术指标、参数、评分标准有质疑，向采购人提出，由采购人按相关规定做出答复或委托采购代理机构代为答复。供应商如对采购过程和采购结果有质疑，向采购代理机构提出，由采购代理机构按相关规定作出答复。</w:t>
      </w:r>
    </w:p>
    <w:p w14:paraId="5DB3DB6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上述应知其权益受到损害之日是指： </w:t>
      </w:r>
    </w:p>
    <w:p w14:paraId="285CB0AC">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对竞争性磋商文件提出质疑的，为竞争性磋商文件公告期限届满之日起计算； </w:t>
      </w:r>
    </w:p>
    <w:p w14:paraId="34E53AC4">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对采购过程提出质疑的，自采购程序环节结束之日起计算；</w:t>
      </w:r>
    </w:p>
    <w:p w14:paraId="7518930B">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对中标结果提出质疑的，自中标结果公告期限届满之日起计算。</w:t>
      </w:r>
    </w:p>
    <w:p w14:paraId="67E2643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质疑供应商在法定质疑期内应当一次性提出针对同一采购环节提出质疑。</w:t>
      </w:r>
    </w:p>
    <w:p w14:paraId="0D16FAC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2D736DED">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供应商的姓名或者名称、地址、邮编、联系人及联系电话（包括座机、手机、传真号码等）； </w:t>
      </w:r>
    </w:p>
    <w:p w14:paraId="0041AFB5">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质疑项目的名称、项目编号、包号、采购公告发布时间、递交响应文件或响应文件截止时间； </w:t>
      </w:r>
    </w:p>
    <w:p w14:paraId="01EEF37B">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具体、明确的质疑事项和与质疑事项相关的请求； </w:t>
      </w:r>
    </w:p>
    <w:p w14:paraId="03EF4B35">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事实依据（具体条款，认为自己合法权益受到损害或可能受到损害的相关证据材料。如涉及到产品功能或技术指标的，应出具相关制造商的证明文件）； </w:t>
      </w:r>
    </w:p>
    <w:p w14:paraId="69084E06">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必要的法律依据； </w:t>
      </w:r>
    </w:p>
    <w:p w14:paraId="417CF749">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提起质疑的日期；</w:t>
      </w:r>
    </w:p>
    <w:p w14:paraId="7EF145D0">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质疑文件应当署名，质疑人为自然人的，应当由本人签字并附有效身份证明；质疑人为法人或其他组织的，应当由法定代表人签字并加盖单位公章；</w:t>
      </w:r>
    </w:p>
    <w:p w14:paraId="05317D0C">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供应商委托代理质疑的，应当提交授权委托书，并载明代理人的姓名或者名称、代理事项、 具体权限、期限和相关事项。</w:t>
      </w:r>
    </w:p>
    <w:p w14:paraId="7C12943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质疑供应商是指直接参加本项目采购活动的供应商，未参加政府采购活动的供应商或在采购活动中自身权益未受到损害的供应商所提出的质疑不予受理。</w:t>
      </w:r>
    </w:p>
    <w:p w14:paraId="34E9750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采购人、采购代理机构在收到供应商的书面质疑后将及时组织调查核实，在七个工作日内作出答复，并以书面形式通知质疑供应商和其他有关供应商，答复的内容不涉及商业秘密。</w:t>
      </w:r>
    </w:p>
    <w:p w14:paraId="3A296E45">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投诉</w:t>
      </w:r>
    </w:p>
    <w:p w14:paraId="0959629E">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质疑供应商对采购人、采购代理机构的答复不满意，或采购人、采购代理机构未在规定的时间内作出答复的，可以在答复期满后十五个工作日内向采购项目同级财政部门提起投诉。</w:t>
      </w:r>
    </w:p>
    <w:p w14:paraId="500C0EF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供应商投诉的事项不得超出已质疑事项的范围，但基于质疑答复内容提出的投诉事项除外。</w:t>
      </w:r>
    </w:p>
    <w:p w14:paraId="0F16D78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4诚实信用</w:t>
      </w:r>
    </w:p>
    <w:p w14:paraId="16B66A60">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rPr>
        <w:t>供应商不得虚假承诺，否则，按照提供虚假材料谋取中标处理。</w:t>
      </w:r>
    </w:p>
    <w:p w14:paraId="06DCA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H   义务、工作纪律</w:t>
      </w:r>
    </w:p>
    <w:p w14:paraId="0C892A0F">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磋商小组在政府采购活动中承担以下义务：</w:t>
      </w:r>
    </w:p>
    <w:p w14:paraId="52867B5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遵守评审工作纪律；</w:t>
      </w:r>
    </w:p>
    <w:p w14:paraId="4B468FDD">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按照客观、公正、审慎的原则，根据竞争性磋商文件规定的评审程序、评审方法和评审标准进行独立评审；</w:t>
      </w:r>
    </w:p>
    <w:p w14:paraId="70BDD9AE">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不得泄露评审文件、评审情况和在评审过程中获悉的商业秘密；</w:t>
      </w:r>
    </w:p>
    <w:p w14:paraId="0391DC7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及时向财政部门报告评审过程中发现的采购人、采购代理机构向评审专家做倾向性、误导性的解释或者说明，以及供应商行贿、提供虚假材料或者串通等违法行为；</w:t>
      </w:r>
    </w:p>
    <w:p w14:paraId="1145B2A1">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发现竞争性磋商文件内容违反国家有关强制性规定或者竞争性磋商文件存在歧义、重大缺陷导致评审工作无法进行时，停止评审并向采购人或者采购代理机构书面说明情况；</w:t>
      </w:r>
    </w:p>
    <w:p w14:paraId="4A8D7FE4">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及时向财政、监察等部门举报在评审过程中受到非法干预的情况；</w:t>
      </w:r>
    </w:p>
    <w:p w14:paraId="739D99CF">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配合答复处理供应商的询问、质疑和投诉等事项；</w:t>
      </w:r>
    </w:p>
    <w:p w14:paraId="45998913">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法律、法规和规章规定的其他义务。</w:t>
      </w:r>
    </w:p>
    <w:p w14:paraId="121C4DE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磋商小组在政府采购活动中应当遵守以下工作纪律：</w:t>
      </w:r>
    </w:p>
    <w:p w14:paraId="600EAFE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不得参加与自己有《中华人民共和国政府采购法实施条例》第九条规定的利害关系的政府采购项目的评标活动。发现参加了与自己有利害关系的评审活动，须主动提出回避，退出评审；</w:t>
      </w:r>
    </w:p>
    <w:p w14:paraId="069141C7">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评审前，应当将通讯工具或者相关电子设备交由采购代理机构统一保管；</w:t>
      </w:r>
    </w:p>
    <w:p w14:paraId="461D7A28">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评审过程中，不得与外界联系，因发生不可预见情况，确实需要与外界联系的，应当在监督人员监督之下办理；</w:t>
      </w:r>
    </w:p>
    <w:p w14:paraId="54DC0A9B">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过程中，不得发表影响评审公正的倾向性、歧视性言论，不得征询或者接受采购人的倾向性意见，不得明示或暗示供应商在澄清时表达与其响应文件原义不同的意见，不得以竞争性磋商文件没有规定的评审方法和标准作为评审的依据，不得修改或者细化评审程序、评审方法、评审因素和评审标准，不得违规撰写评审意见，不得拒绝对自己的评审意见签字确认；</w:t>
      </w:r>
    </w:p>
    <w:p w14:paraId="3AC5766C">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在评审过程中和评审结束后，不得记录、复制或带走任何评审资料，不得向外界透露评审内容；</w:t>
      </w:r>
    </w:p>
    <w:p w14:paraId="17964286">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评审现场服从采购代理机构工作人员的管理，接受现场监督人员的合法监督；</w:t>
      </w:r>
    </w:p>
    <w:p w14:paraId="7F9934C5">
      <w:pPr>
        <w:keepNext w:val="0"/>
        <w:keepLines w:val="0"/>
        <w:pageBreakBefore w:val="0"/>
        <w:widowControl/>
        <w:numPr>
          <w:ilvl w:val="1"/>
          <w:numId w:val="5"/>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遵守有关廉洁自律规定，不得私下接触供应商，不得收受供应商及有关业务单位和个人的财物或好处，不得接受采购代理机构的请托。</w:t>
      </w:r>
    </w:p>
    <w:p w14:paraId="5622C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381F736">
      <w:pPr>
        <w:numPr>
          <w:ilvl w:val="0"/>
          <w:numId w:val="0"/>
        </w:numPr>
        <w:spacing w:line="360" w:lineRule="auto"/>
        <w:jc w:val="both"/>
        <w:rPr>
          <w:rFonts w:hint="eastAsia" w:ascii="宋体" w:hAnsi="宋体" w:eastAsia="宋体" w:cs="宋体"/>
          <w:b/>
          <w:bCs/>
          <w:kern w:val="0"/>
          <w:sz w:val="36"/>
          <w:szCs w:val="36"/>
          <w:highlight w:val="none"/>
          <w:lang w:val="en-US" w:eastAsia="zh-CN" w:bidi="ar-SA"/>
        </w:rPr>
      </w:pPr>
    </w:p>
    <w:p w14:paraId="59F4020E">
      <w:pPr>
        <w:rPr>
          <w:rFonts w:hint="eastAsia"/>
          <w:highlight w:val="none"/>
          <w:lang w:val="en-US" w:eastAsia="zh-CN"/>
        </w:rPr>
      </w:pPr>
      <w:r>
        <w:rPr>
          <w:rFonts w:hint="eastAsia"/>
          <w:highlight w:val="none"/>
          <w:lang w:val="en-US" w:eastAsia="zh-CN"/>
        </w:rPr>
        <w:br w:type="page"/>
      </w:r>
    </w:p>
    <w:p w14:paraId="468CB809">
      <w:pPr>
        <w:pStyle w:val="2"/>
        <w:numPr>
          <w:ilvl w:val="0"/>
          <w:numId w:val="17"/>
        </w:numPr>
        <w:bidi w:val="0"/>
        <w:rPr>
          <w:rFonts w:hint="eastAsia"/>
          <w:highlight w:val="none"/>
          <w:lang w:val="en-US" w:eastAsia="zh-CN"/>
        </w:rPr>
      </w:pPr>
      <w:bookmarkStart w:id="244" w:name="_Toc1256"/>
      <w:r>
        <w:rPr>
          <w:rFonts w:hint="eastAsia"/>
          <w:highlight w:val="none"/>
          <w:lang w:val="en-US" w:eastAsia="zh-CN"/>
        </w:rPr>
        <w:t>项目采购需求</w:t>
      </w:r>
      <w:bookmarkEnd w:id="53"/>
      <w:bookmarkEnd w:id="54"/>
      <w:bookmarkEnd w:id="55"/>
      <w:bookmarkEnd w:id="56"/>
      <w:bookmarkEnd w:id="244"/>
      <w:bookmarkStart w:id="245" w:name="_Toc14376"/>
      <w:bookmarkStart w:id="246" w:name="_Toc15242"/>
      <w:bookmarkStart w:id="247" w:name="_Toc490672253"/>
      <w:bookmarkStart w:id="248" w:name="_Toc6481"/>
      <w:bookmarkStart w:id="249" w:name="_Toc13200"/>
    </w:p>
    <w:p w14:paraId="1C12E7E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总则</w:t>
      </w:r>
    </w:p>
    <w:p w14:paraId="51148F8D">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本章条款仅限于</w:t>
      </w:r>
      <w:r>
        <w:rPr>
          <w:rFonts w:hint="eastAsia" w:ascii="宋体" w:hAnsi="宋体" w:cs="宋体"/>
          <w:color w:val="auto"/>
          <w:sz w:val="24"/>
          <w:szCs w:val="24"/>
          <w:highlight w:val="none"/>
          <w:lang w:val="en-US" w:eastAsia="zh-CN"/>
        </w:rPr>
        <w:t>绿雅社区卫生服务站公共卫生服务采购项目</w:t>
      </w:r>
      <w:r>
        <w:rPr>
          <w:rFonts w:hint="eastAsia" w:ascii="宋体" w:hAnsi="宋体" w:eastAsia="宋体" w:cs="宋体"/>
          <w:color w:val="auto"/>
          <w:sz w:val="24"/>
          <w:szCs w:val="24"/>
          <w:highlight w:val="none"/>
        </w:rPr>
        <w:t>。</w:t>
      </w:r>
    </w:p>
    <w:p w14:paraId="78152DAF">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本章条款提出的是最低限度的技术要求，并未对一切技术细节做出规定，也未引述有关规范条文，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不得以本文件未提出要求为理由而规避国家和行业强制规范、标准的规定，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应保证提供符合本章条款和相关标准的服务。</w:t>
      </w:r>
    </w:p>
    <w:p w14:paraId="6D3E30DB">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没有以书面形式对本章条款提出异议，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就可以认为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提供的成果符合本章条款的要求。</w:t>
      </w:r>
    </w:p>
    <w:p w14:paraId="57600DBA">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中，应对</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中的服务进行详细的说明。</w:t>
      </w:r>
    </w:p>
    <w:p w14:paraId="016B2073">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在签订合同之后，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有权提出因规范标准有变化而产生的一些补充要求。</w:t>
      </w:r>
    </w:p>
    <w:p w14:paraId="4D845D35">
      <w:pPr>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本章条款使用标准如与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所执行标准发生矛盾时，按较高标准执行。</w:t>
      </w:r>
    </w:p>
    <w:bookmarkEnd w:id="245"/>
    <w:bookmarkEnd w:id="246"/>
    <w:bookmarkEnd w:id="247"/>
    <w:bookmarkEnd w:id="248"/>
    <w:bookmarkEnd w:id="249"/>
    <w:p w14:paraId="0728CD6C">
      <w:pPr>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bookmarkStart w:id="250" w:name="_Toc1699"/>
      <w:bookmarkStart w:id="251" w:name="_Toc29406"/>
      <w:r>
        <w:rPr>
          <w:rFonts w:hint="eastAsia" w:ascii="宋体" w:hAnsi="宋体" w:cs="宋体"/>
          <w:color w:val="auto"/>
          <w:sz w:val="24"/>
          <w:szCs w:val="24"/>
          <w:highlight w:val="none"/>
          <w:lang w:val="en-US" w:eastAsia="zh-CN"/>
        </w:rPr>
        <w:t>三、项目需求</w:t>
      </w:r>
    </w:p>
    <w:p w14:paraId="53B17C1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3.1项目基本情况</w:t>
      </w:r>
    </w:p>
    <w:p w14:paraId="7EAD7E5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绿雅社区卫生服务站位于克拉玛依区</w:t>
      </w:r>
      <w:r>
        <w:rPr>
          <w:rFonts w:hint="eastAsia" w:ascii="宋体" w:hAnsi="宋体" w:eastAsia="宋体" w:cs="宋体"/>
          <w:spacing w:val="10"/>
          <w:sz w:val="24"/>
          <w:szCs w:val="24"/>
          <w:highlight w:val="none"/>
          <w:woUserID w:val="1"/>
        </w:rPr>
        <w:t>迎宾街道</w:t>
      </w:r>
      <w:r>
        <w:rPr>
          <w:rFonts w:hint="eastAsia" w:ascii="宋体" w:hAnsi="宋体" w:eastAsia="宋体" w:cs="宋体"/>
          <w:spacing w:val="10"/>
          <w:sz w:val="24"/>
          <w:szCs w:val="24"/>
          <w:highlight w:val="none"/>
        </w:rPr>
        <w:t>玮五</w:t>
      </w:r>
      <w:r>
        <w:rPr>
          <w:rFonts w:hint="eastAsia" w:ascii="宋体" w:hAnsi="宋体" w:eastAsia="宋体" w:cs="宋体"/>
          <w:spacing w:val="10"/>
          <w:sz w:val="24"/>
          <w:szCs w:val="24"/>
          <w:highlight w:val="none"/>
          <w:woUserID w:val="1"/>
        </w:rPr>
        <w:t>路155号</w:t>
      </w:r>
      <w:r>
        <w:rPr>
          <w:rFonts w:hint="eastAsia" w:ascii="宋体" w:hAnsi="宋体" w:eastAsia="宋体" w:cs="宋体"/>
          <w:spacing w:val="10"/>
          <w:sz w:val="24"/>
          <w:szCs w:val="24"/>
          <w:highlight w:val="none"/>
        </w:rPr>
        <w:t>。建筑面积为1753.55平米，设有全科门诊、收费室、药房、观察室、输液留观室及其他办公用房。服务范围为绿雅</w:t>
      </w:r>
      <w:r>
        <w:rPr>
          <w:rFonts w:hint="eastAsia" w:ascii="宋体" w:hAnsi="宋体" w:eastAsia="宋体" w:cs="宋体"/>
          <w:spacing w:val="10"/>
          <w:sz w:val="24"/>
          <w:szCs w:val="24"/>
          <w:highlight w:val="none"/>
          <w:woUserID w:val="1"/>
        </w:rPr>
        <w:t>社</w:t>
      </w:r>
      <w:r>
        <w:rPr>
          <w:rFonts w:hint="eastAsia" w:ascii="宋体" w:hAnsi="宋体" w:eastAsia="宋体" w:cs="宋体"/>
          <w:spacing w:val="10"/>
          <w:sz w:val="24"/>
          <w:szCs w:val="24"/>
          <w:highlight w:val="none"/>
        </w:rPr>
        <w:t>区（绿雅佳苑一期、二期、三期、兴博家园、朗润家园、鼎悦嘉园、鼎尊家园）、龙尚</w:t>
      </w:r>
      <w:r>
        <w:rPr>
          <w:rFonts w:hint="eastAsia" w:ascii="宋体" w:hAnsi="宋体" w:eastAsia="宋体" w:cs="宋体"/>
          <w:spacing w:val="10"/>
          <w:sz w:val="24"/>
          <w:szCs w:val="24"/>
          <w:highlight w:val="none"/>
          <w:woUserID w:val="1"/>
        </w:rPr>
        <w:t>社</w:t>
      </w:r>
      <w:r>
        <w:rPr>
          <w:rFonts w:hint="eastAsia" w:ascii="宋体" w:hAnsi="宋体" w:eastAsia="宋体" w:cs="宋体"/>
          <w:spacing w:val="10"/>
          <w:sz w:val="24"/>
          <w:szCs w:val="24"/>
          <w:highlight w:val="none"/>
        </w:rPr>
        <w:t>区（</w:t>
      </w:r>
      <w:r>
        <w:rPr>
          <w:rFonts w:hint="eastAsia" w:ascii="宋体" w:hAnsi="宋体" w:eastAsia="宋体" w:cs="宋体"/>
          <w:spacing w:val="10"/>
          <w:sz w:val="24"/>
          <w:szCs w:val="24"/>
          <w:highlight w:val="none"/>
          <w:woUserID w:val="1"/>
        </w:rPr>
        <w:t>龙润园、瑞祥园、尚品园</w:t>
      </w:r>
      <w:r>
        <w:rPr>
          <w:rFonts w:hint="eastAsia" w:ascii="宋体" w:hAnsi="宋体" w:eastAsia="宋体" w:cs="宋体"/>
          <w:spacing w:val="10"/>
          <w:sz w:val="24"/>
          <w:szCs w:val="24"/>
          <w:highlight w:val="none"/>
        </w:rPr>
        <w:t>）、云</w:t>
      </w:r>
      <w:r>
        <w:rPr>
          <w:rFonts w:hint="eastAsia" w:ascii="宋体" w:hAnsi="宋体" w:eastAsia="宋体" w:cs="宋体"/>
          <w:spacing w:val="10"/>
          <w:sz w:val="24"/>
          <w:szCs w:val="24"/>
          <w:highlight w:val="none"/>
          <w:woUserID w:val="1"/>
        </w:rPr>
        <w:t>祥社</w:t>
      </w:r>
      <w:r>
        <w:rPr>
          <w:rFonts w:hint="eastAsia" w:ascii="宋体" w:hAnsi="宋体" w:eastAsia="宋体" w:cs="宋体"/>
          <w:spacing w:val="10"/>
          <w:sz w:val="24"/>
          <w:szCs w:val="24"/>
          <w:highlight w:val="none"/>
        </w:rPr>
        <w:t>区（</w:t>
      </w:r>
      <w:r>
        <w:rPr>
          <w:rFonts w:hint="eastAsia" w:ascii="宋体" w:hAnsi="宋体" w:eastAsia="宋体" w:cs="宋体"/>
          <w:spacing w:val="10"/>
          <w:sz w:val="24"/>
          <w:szCs w:val="24"/>
          <w:highlight w:val="none"/>
          <w:woUserID w:val="1"/>
        </w:rPr>
        <w:t>美居花园</w:t>
      </w:r>
      <w:r>
        <w:rPr>
          <w:rFonts w:hint="eastAsia" w:ascii="宋体" w:hAnsi="宋体" w:eastAsia="宋体" w:cs="宋体"/>
          <w:spacing w:val="10"/>
          <w:sz w:val="24"/>
          <w:szCs w:val="24"/>
          <w:highlight w:val="none"/>
        </w:rPr>
        <w:t>、融合家园、鼎诚嘉园、</w:t>
      </w:r>
      <w:r>
        <w:rPr>
          <w:rFonts w:hint="eastAsia" w:ascii="宋体" w:hAnsi="宋体" w:eastAsia="宋体" w:cs="宋体"/>
          <w:spacing w:val="10"/>
          <w:sz w:val="24"/>
          <w:szCs w:val="24"/>
          <w:highlight w:val="none"/>
          <w:woUserID w:val="1"/>
        </w:rPr>
        <w:t>云水园、国电公寓</w:t>
      </w:r>
      <w:r>
        <w:rPr>
          <w:rFonts w:hint="eastAsia" w:ascii="宋体" w:hAnsi="宋体" w:eastAsia="宋体" w:cs="宋体"/>
          <w:spacing w:val="10"/>
          <w:sz w:val="24"/>
          <w:szCs w:val="24"/>
          <w:highlight w:val="none"/>
        </w:rPr>
        <w:t>）、鑫辉</w:t>
      </w:r>
      <w:r>
        <w:rPr>
          <w:rFonts w:hint="eastAsia" w:ascii="宋体" w:hAnsi="宋体" w:eastAsia="宋体" w:cs="宋体"/>
          <w:spacing w:val="10"/>
          <w:sz w:val="24"/>
          <w:szCs w:val="24"/>
          <w:highlight w:val="none"/>
          <w:woUserID w:val="1"/>
        </w:rPr>
        <w:t>社</w:t>
      </w:r>
      <w:r>
        <w:rPr>
          <w:rFonts w:hint="eastAsia" w:ascii="宋体" w:hAnsi="宋体" w:eastAsia="宋体" w:cs="宋体"/>
          <w:spacing w:val="10"/>
          <w:sz w:val="24"/>
          <w:szCs w:val="24"/>
          <w:highlight w:val="none"/>
        </w:rPr>
        <w:t>区</w:t>
      </w:r>
      <w:r>
        <w:rPr>
          <w:rFonts w:hint="eastAsia" w:ascii="宋体" w:hAnsi="宋体" w:eastAsia="宋体" w:cs="宋体"/>
          <w:spacing w:val="10"/>
          <w:sz w:val="24"/>
          <w:szCs w:val="24"/>
          <w:highlight w:val="none"/>
          <w:woUserID w:val="1"/>
        </w:rPr>
        <w:t>（鑫辉花园、苏苑大厦、鼎泰综合楼）</w:t>
      </w:r>
      <w:r>
        <w:rPr>
          <w:rFonts w:hint="eastAsia" w:ascii="宋体" w:hAnsi="宋体" w:eastAsia="宋体" w:cs="宋体"/>
          <w:spacing w:val="10"/>
          <w:sz w:val="24"/>
          <w:szCs w:val="24"/>
          <w:highlight w:val="none"/>
        </w:rPr>
        <w:t>。辖区常住人口数</w:t>
      </w:r>
      <w:r>
        <w:rPr>
          <w:rFonts w:hint="eastAsia" w:ascii="宋体" w:hAnsi="宋体" w:eastAsia="宋体" w:cs="宋体"/>
          <w:spacing w:val="10"/>
          <w:sz w:val="24"/>
          <w:szCs w:val="24"/>
          <w:highlight w:val="none"/>
          <w:lang w:val="en-US" w:eastAsia="zh-CN"/>
        </w:rPr>
        <w:t>22750</w:t>
      </w:r>
      <w:r>
        <w:rPr>
          <w:rFonts w:hint="eastAsia" w:ascii="宋体" w:hAnsi="宋体" w:eastAsia="宋体" w:cs="宋体"/>
          <w:spacing w:val="10"/>
          <w:sz w:val="24"/>
          <w:szCs w:val="24"/>
          <w:highlight w:val="none"/>
        </w:rPr>
        <w:t xml:space="preserve"> 人（该数据为目前统计常驻人口数，不包括流动人口，具体服务人口数可能会有部分变化）。</w:t>
      </w:r>
    </w:p>
    <w:p w14:paraId="167A2D5B">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3.2项目内容</w:t>
      </w:r>
    </w:p>
    <w:p w14:paraId="19D78B6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绿雅社区卫生服务站由克拉玛依市克拉玛依区迎宾街道社区卫生服务中心实施一体化管理，通过公开磋商的方式，由社会力量（除政府所属行政机关之外的企事业单位、慈善机构、基金会、商业保险机构等单位或个人）举办，以人的健康为中心、家庭为单位、社区（村）为范围、需求为导向，以解决社区（村）主要卫生问题、满足基本医疗卫生需求为目的，合理使用社区资源和适宜技术，履行融医疗、预防、保健、康复、健康教育、计划生育技术、中医（民族医）药服务功能等为一体的社区卫生服务站基本职能。</w:t>
      </w:r>
    </w:p>
    <w:p w14:paraId="44B8BC2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3.2.1必须开展的服务项目。</w:t>
      </w:r>
    </w:p>
    <w:p w14:paraId="766405A3">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3.2.1.1、基本医疗服务。运用适宜的中西医药及技术，开展常见病、多发病、慢性病的诊疗，提供8小时服务。与区域内综合医院建立定点协作关系，提供会诊和双向转诊服务，开展康复期医疗服务。</w:t>
      </w:r>
    </w:p>
    <w:p w14:paraId="622B25C1">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（1）、一般常见病、多发病治疗、护理和诊断明确的慢性病治疗、管理。</w:t>
      </w:r>
    </w:p>
    <w:p w14:paraId="18E95C9F">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（2）、社区现场应急救护。</w:t>
      </w:r>
    </w:p>
    <w:p w14:paraId="0764F46D">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cs="宋体"/>
          <w:spacing w:val="10"/>
          <w:sz w:val="24"/>
          <w:szCs w:val="24"/>
          <w:highlight w:val="none"/>
          <w:lang w:val="en-US" w:eastAsia="zh-CN"/>
        </w:rPr>
        <w:t>3</w:t>
      </w:r>
      <w:r>
        <w:rPr>
          <w:rFonts w:hint="eastAsia" w:ascii="宋体" w:hAnsi="宋体" w:eastAsia="宋体" w:cs="宋体"/>
          <w:spacing w:val="10"/>
          <w:sz w:val="24"/>
          <w:szCs w:val="24"/>
          <w:highlight w:val="none"/>
        </w:rPr>
        <w:t>）、转诊服务。</w:t>
      </w:r>
    </w:p>
    <w:p w14:paraId="6D08A26A">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cs="宋体"/>
          <w:spacing w:val="10"/>
          <w:sz w:val="24"/>
          <w:szCs w:val="24"/>
          <w:highlight w:val="none"/>
          <w:lang w:val="en-US" w:eastAsia="zh-CN"/>
        </w:rPr>
        <w:t>4</w:t>
      </w:r>
      <w:r>
        <w:rPr>
          <w:rFonts w:hint="eastAsia" w:ascii="宋体" w:hAnsi="宋体" w:eastAsia="宋体" w:cs="宋体"/>
          <w:spacing w:val="10"/>
          <w:sz w:val="24"/>
          <w:szCs w:val="24"/>
          <w:highlight w:val="none"/>
        </w:rPr>
        <w:t>）、康复医疗服务。</w:t>
      </w:r>
    </w:p>
    <w:p w14:paraId="6B3E67E4">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w:t>
      </w:r>
      <w:r>
        <w:rPr>
          <w:rFonts w:hint="eastAsia" w:ascii="宋体" w:hAnsi="宋体" w:cs="宋体"/>
          <w:spacing w:val="10"/>
          <w:sz w:val="24"/>
          <w:szCs w:val="24"/>
          <w:highlight w:val="none"/>
          <w:lang w:val="en-US" w:eastAsia="zh-CN"/>
        </w:rPr>
        <w:t>5</w:t>
      </w:r>
      <w:r>
        <w:rPr>
          <w:rFonts w:hint="eastAsia" w:ascii="宋体" w:hAnsi="宋体" w:eastAsia="宋体" w:cs="宋体"/>
          <w:spacing w:val="10"/>
          <w:sz w:val="24"/>
          <w:szCs w:val="24"/>
          <w:highlight w:val="none"/>
        </w:rPr>
        <w:t>）、卫生行政部门批准的其他适宜社区医疗的服务</w:t>
      </w:r>
    </w:p>
    <w:p w14:paraId="2E4B0984">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3.2.1.</w:t>
      </w:r>
      <w:r>
        <w:rPr>
          <w:rFonts w:hint="eastAsia" w:ascii="宋体" w:hAnsi="宋体" w:cs="宋体"/>
          <w:spacing w:val="10"/>
          <w:sz w:val="24"/>
          <w:szCs w:val="24"/>
          <w:highlight w:val="none"/>
          <w:lang w:val="en-US" w:eastAsia="zh-CN"/>
        </w:rPr>
        <w:t>2</w:t>
      </w:r>
      <w:r>
        <w:rPr>
          <w:rFonts w:hint="eastAsia" w:ascii="宋体" w:hAnsi="宋体" w:eastAsia="宋体" w:cs="宋体"/>
          <w:spacing w:val="10"/>
          <w:sz w:val="24"/>
          <w:szCs w:val="24"/>
          <w:highlight w:val="none"/>
        </w:rPr>
        <w:t>、基本公共卫生服务。</w:t>
      </w:r>
    </w:p>
    <w:p w14:paraId="6AA29F9D">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（1）建立城乡居民健康档案；</w:t>
      </w:r>
    </w:p>
    <w:p w14:paraId="6ED65975">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（2）健康教育；</w:t>
      </w:r>
    </w:p>
    <w:p w14:paraId="2C8CB6B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（3）传染病及突发公共卫生事件报告和处理；</w:t>
      </w:r>
    </w:p>
    <w:p w14:paraId="5BDFD460">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（4）老年人健康管理；</w:t>
      </w:r>
    </w:p>
    <w:p w14:paraId="4E1A0E78">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（5）中医药健康管理；</w:t>
      </w:r>
    </w:p>
    <w:p w14:paraId="76426C90">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（6）慢性病患者管理（高血压患者</w:t>
      </w:r>
      <w:r>
        <w:rPr>
          <w:rFonts w:hint="eastAsia" w:ascii="宋体" w:hAnsi="宋体" w:eastAsia="宋体" w:cs="宋体"/>
          <w:spacing w:val="10"/>
          <w:sz w:val="24"/>
          <w:szCs w:val="24"/>
          <w:highlight w:val="none"/>
          <w:woUserID w:val="1"/>
        </w:rPr>
        <w:t>、</w:t>
      </w:r>
      <w:r>
        <w:rPr>
          <w:rFonts w:hint="eastAsia" w:ascii="宋体" w:hAnsi="宋体" w:eastAsia="宋体" w:cs="宋体"/>
          <w:spacing w:val="10"/>
          <w:sz w:val="24"/>
          <w:szCs w:val="24"/>
          <w:highlight w:val="none"/>
        </w:rPr>
        <w:t>2型糖尿病患者</w:t>
      </w:r>
      <w:r>
        <w:rPr>
          <w:rFonts w:hint="eastAsia" w:ascii="宋体" w:hAnsi="宋体" w:eastAsia="宋体" w:cs="宋体"/>
          <w:spacing w:val="10"/>
          <w:sz w:val="24"/>
          <w:szCs w:val="24"/>
          <w:highlight w:val="none"/>
          <w:woUserID w:val="1"/>
        </w:rPr>
        <w:t>、慢阻肺患者</w:t>
      </w:r>
      <w:r>
        <w:rPr>
          <w:rFonts w:hint="eastAsia" w:ascii="宋体" w:hAnsi="宋体" w:eastAsia="宋体" w:cs="宋体"/>
          <w:spacing w:val="10"/>
          <w:sz w:val="24"/>
          <w:szCs w:val="24"/>
          <w:highlight w:val="none"/>
        </w:rPr>
        <w:t>）；</w:t>
      </w:r>
    </w:p>
    <w:p w14:paraId="138B7ACA">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（7）免费提供避孕药具；</w:t>
      </w:r>
    </w:p>
    <w:p w14:paraId="785449F7">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（8）健康素养促进；</w:t>
      </w:r>
    </w:p>
    <w:p w14:paraId="458E753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（9）卫生计生监督协管；</w:t>
      </w:r>
    </w:p>
    <w:p w14:paraId="38D852F1">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（10）0～6岁儿童健康管理；</w:t>
      </w:r>
    </w:p>
    <w:p w14:paraId="1352AA5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（11）孕产妇健康管理；</w:t>
      </w:r>
    </w:p>
    <w:p w14:paraId="5113B81F">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（12）预防接种；</w:t>
      </w:r>
    </w:p>
    <w:p w14:paraId="57100F54">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（13）严重精神障碍患者管理；</w:t>
      </w:r>
    </w:p>
    <w:p w14:paraId="7EC1305D">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（14）肺结核患者健康管理。</w:t>
      </w:r>
    </w:p>
    <w:p w14:paraId="5B472AF1">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3.2.1.</w:t>
      </w:r>
      <w:r>
        <w:rPr>
          <w:rFonts w:hint="eastAsia" w:ascii="宋体" w:hAnsi="宋体" w:cs="宋体"/>
          <w:spacing w:val="10"/>
          <w:sz w:val="24"/>
          <w:szCs w:val="24"/>
          <w:highlight w:val="none"/>
          <w:lang w:val="en-US" w:eastAsia="zh-CN"/>
        </w:rPr>
        <w:t>3</w:t>
      </w:r>
      <w:r>
        <w:rPr>
          <w:rFonts w:hint="eastAsia" w:ascii="宋体" w:hAnsi="宋体" w:eastAsia="宋体" w:cs="宋体"/>
          <w:spacing w:val="10"/>
          <w:sz w:val="24"/>
          <w:szCs w:val="24"/>
          <w:highlight w:val="none"/>
        </w:rPr>
        <w:t>、医养结合、公共卫生事件应急处置、友善老年人机构、优质服务基层行等有效、经济、方便、综合、连续的基层综合性医疗卫生服务。</w:t>
      </w:r>
    </w:p>
    <w:p w14:paraId="7DBC39C7">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3.2.1.</w:t>
      </w:r>
      <w:r>
        <w:rPr>
          <w:rFonts w:hint="eastAsia" w:ascii="宋体" w:hAnsi="宋体" w:cs="宋体"/>
          <w:spacing w:val="10"/>
          <w:sz w:val="24"/>
          <w:szCs w:val="24"/>
          <w:highlight w:val="none"/>
          <w:lang w:val="en-US" w:eastAsia="zh-CN"/>
        </w:rPr>
        <w:t>4</w:t>
      </w:r>
      <w:r>
        <w:rPr>
          <w:rFonts w:hint="eastAsia" w:ascii="宋体" w:hAnsi="宋体" w:eastAsia="宋体" w:cs="宋体"/>
          <w:spacing w:val="10"/>
          <w:sz w:val="24"/>
          <w:szCs w:val="24"/>
          <w:highlight w:val="none"/>
        </w:rPr>
        <w:t>、全民免费健康体检工作。</w:t>
      </w:r>
    </w:p>
    <w:p w14:paraId="1491ECB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3.3、服务期限及实施地点</w:t>
      </w:r>
    </w:p>
    <w:p w14:paraId="2AF16923">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本项目自服务合同签订之日起</w:t>
      </w:r>
      <w:r>
        <w:rPr>
          <w:rFonts w:hint="eastAsia" w:ascii="宋体" w:hAnsi="宋体" w:cs="宋体"/>
          <w:spacing w:val="10"/>
          <w:sz w:val="24"/>
          <w:szCs w:val="24"/>
          <w:highlight w:val="none"/>
          <w:lang w:val="en-US" w:eastAsia="zh-CN"/>
        </w:rPr>
        <w:t>至2026年12月31日</w:t>
      </w:r>
      <w:r>
        <w:rPr>
          <w:rFonts w:hint="eastAsia" w:ascii="宋体" w:hAnsi="宋体" w:eastAsia="宋体" w:cs="宋体"/>
          <w:spacing w:val="10"/>
          <w:sz w:val="24"/>
          <w:szCs w:val="24"/>
          <w:highlight w:val="none"/>
        </w:rPr>
        <w:t>，项目每年分季度和年度验收。服务提供地点为克拉玛依区绿雅社区卫生服务站。</w:t>
      </w:r>
    </w:p>
    <w:p w14:paraId="0FE1094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3.4经费保障</w:t>
      </w:r>
    </w:p>
    <w:p w14:paraId="23256B0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3.4.1、绿雅社区卫生服务站按照规定享受与政府举办的医疗卫生机构同等的税收、财政补助、用地、用水、用电、用气、用热等政策，并依法接受监督管理。自主承担除房屋使用费以外的机构基本运营费用（如水、电、暖、网络等费用），并与公办基层医疗机构同价，房屋使用期间要负责房屋的维护、修缮等，不可随意改造房屋构造及功能区域。</w:t>
      </w:r>
    </w:p>
    <w:p w14:paraId="0B5FE8C6">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3.4.2、基本公共卫生服务补助经费以最近的克拉玛依市统计年鉴中的辖区人口数或由所在街道办事处、公安部门提供的人口数据为标准，依照克拉玛依区社区卫生服务机构考核办法、细则、以及投标人完成的相关工作的工作量经考核验收合格后按相关标准执行并支付。</w:t>
      </w:r>
    </w:p>
    <w:p w14:paraId="0E634DE7">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3.4.3、其他由各级政府拨付的补助、补偿等资金，按政府办社区卫生服务机构拨付标准予以兑现。</w:t>
      </w:r>
    </w:p>
    <w:p w14:paraId="02D2BBD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3.4.4、现行各类政府惠民政策按政府办社区卫生服务机构标准执行。</w:t>
      </w:r>
    </w:p>
    <w:p w14:paraId="1BDE9EE8">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4、运行管理准则</w:t>
      </w:r>
    </w:p>
    <w:p w14:paraId="05644554">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4.1、绿雅社区卫生服务站服务内容按克拉玛依区社区卫生服务机构提供的服务项目为标准，超出服务项目范围的需经区卫健委批准、审核。</w:t>
      </w:r>
    </w:p>
    <w:p w14:paraId="06916C4D">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4.2、绿雅社区卫生服务站接受区卫健委的直接行政管理及督导考核，同时接受迎宾街道社区卫生服务中心的业务指导督导考核。</w:t>
      </w:r>
    </w:p>
    <w:p w14:paraId="4799399B">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5、绿雅社区卫生服务站承接方的权利与义务</w:t>
      </w:r>
    </w:p>
    <w:p w14:paraId="1B459DC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5.1、绿雅社区卫生服务站应能够按照国家、克拉玛依市和克拉玛依区社区卫生服务管理规范及要求，履行提供社区公共卫生服务和基本医疗服务等职能。</w:t>
      </w:r>
    </w:p>
    <w:p w14:paraId="64227DB6">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5.2、绿雅社区卫生服务站应严格遵守国家有关法律、法规、规章和技术规范，加强对医务人员的教育，实施全面质量管理，预防服务差错和事故，确保服务安全。绿雅社区卫生服务站承接方或其聘用医务人员发生违法违规行为应承担相应的法律责任。</w:t>
      </w:r>
    </w:p>
    <w:p w14:paraId="17A74A43">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5.3、绿雅社区卫生服务站承接方应有独立承担民事责任的资格，发生医疗差错事故或因工作不力导致不良后果应承担相应民事责任。</w:t>
      </w:r>
    </w:p>
    <w:p w14:paraId="4E5C18C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5.4、承接方在绿雅社区卫生服务站执行政府规定的医疗服务和药品价格政策，应符合医保定点相关规定。并自行申请本市城镇基本医疗保险、医疗救助、工伤保险、生育保险等社会保障的定点服务资质，执行与公立医疗机构相同的报销政策；如在许可周期内发现存在过度医疗、乱收费或弄虚作假骗取医疗保险基金等严重违反医保制度规定情况应承担相应的法律责任。</w:t>
      </w:r>
    </w:p>
    <w:p w14:paraId="5FBF3DE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5.5、绿雅社区卫生服务站提供的基本医疗服务实行政府指导价，严格按照收费标准进行收费，依据有关规定提供减免费用等惠民服务，并按克拉玛依区社区卫生服务机构同等标准享受财政补助政策。</w:t>
      </w:r>
    </w:p>
    <w:p w14:paraId="7F7B6370">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5.6、卫生行政部门应将绿雅社区卫生服务站纳入全区医疗卫生职称评定、人才选拔和培训体系，在技术职称评定、继续教育、全科医生培养、住院医师规范化培训、职业技能培训等方面与克拉玛依区社区卫生服务机构享受同等待遇。</w:t>
      </w:r>
    </w:p>
    <w:p w14:paraId="315AE8E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5.7、绿雅社区卫生服务站上级业务管理部门及行政管理部门应公平公正对待试点站点承接方，不得以高于克拉玛依区社区卫生服务机构工作标准的要求进行工作部署及考核验收。</w:t>
      </w:r>
    </w:p>
    <w:p w14:paraId="2AB9764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5.8、鼓励社会力量承接的社区卫生服务机构与公立医院在预约挂号、双向转诊和分级医疗、应急医疗保障与服务等方面开展合作，提供全天、无假日医疗服务。支持公立医院与社会力量承接社区卫生服务机构合作、协作与交流。</w:t>
      </w:r>
    </w:p>
    <w:p w14:paraId="12030BDC">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6、绿雅社区卫生服务站承接方要求</w:t>
      </w:r>
    </w:p>
    <w:p w14:paraId="5B151B70">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绿雅社区卫生服务站承接方须以独立方式运营，不得以多方联合体方式运营。</w:t>
      </w:r>
    </w:p>
    <w:p w14:paraId="267D92E4">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7、绿雅社区卫生服务站的监管和退出</w:t>
      </w:r>
    </w:p>
    <w:p w14:paraId="66AF7C53">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7.1、绿雅社区卫生服务站的社会承接方自申请取得区卫生行政部门准许并投标成功、签订协议后，除遇不可抗拒因素外，未经区卫生行政部门同意，运营期内不得申请退出社区卫生服务体系，运营期满后退出社区卫生服务体系的，需提前一年向区卫生行政部门进行书面申请。</w:t>
      </w:r>
    </w:p>
    <w:p w14:paraId="663D6897">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7.2、将绿雅社区卫生服务站纳入全行业医疗监督执法和医疗质量监管范围。加强绿雅社区卫生服务站所使用药品、医疗器械的监管。对非卫生技术人员行医、超出登记的诊疗科目范围开展诊疗活动、大处方、过度医疗、乱收费、违法违规发布医疗广告、欺骗患者谋取不当利益、出现重大医疗事故、弄虚作假骗取医疗保险基金等方面的问题进行重点监督，并依法进行查处。对违法违规行为，由政府相关部门依法处置。构成犯罪的，依法追究刑事责任。</w:t>
      </w:r>
    </w:p>
    <w:p w14:paraId="2DD4406D">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7.3、强化绿雅社区卫生服务站的财务资产监管，确保政府对绿雅社区卫生服务站投入的资金或提供的房屋、设备规范使用。绿雅站承接方在退出社区卫生服务体系或注销、吊销执业资质后，政府投入的设备或房屋由政府收回处置。</w:t>
      </w:r>
    </w:p>
    <w:p w14:paraId="00BE30BB">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7.4、绿雅社区卫生服务站按季度、年度参加</w:t>
      </w:r>
      <w:r>
        <w:rPr>
          <w:rFonts w:hint="eastAsia" w:ascii="宋体" w:hAnsi="宋体" w:eastAsia="宋体" w:cs="宋体"/>
          <w:spacing w:val="10"/>
          <w:sz w:val="24"/>
          <w:szCs w:val="24"/>
          <w:highlight w:val="none"/>
          <w:woUserID w:val="1"/>
        </w:rPr>
        <w:t>迎宾</w:t>
      </w:r>
      <w:r>
        <w:rPr>
          <w:rFonts w:hint="eastAsia" w:ascii="宋体" w:hAnsi="宋体" w:eastAsia="宋体" w:cs="宋体"/>
          <w:spacing w:val="10"/>
          <w:sz w:val="24"/>
          <w:szCs w:val="24"/>
          <w:highlight w:val="none"/>
        </w:rPr>
        <w:t>街道社区卫生服务中心的业务指导、评价及绩效考核。</w:t>
      </w:r>
      <w:r>
        <w:rPr>
          <w:rFonts w:hint="eastAsia" w:ascii="宋体" w:hAnsi="宋体" w:eastAsia="宋体" w:cs="宋体"/>
          <w:spacing w:val="10"/>
          <w:sz w:val="24"/>
          <w:szCs w:val="24"/>
          <w:highlight w:val="none"/>
          <w:woUserID w:val="1"/>
        </w:rPr>
        <w:t>迎宾</w:t>
      </w:r>
      <w:r>
        <w:rPr>
          <w:rFonts w:hint="eastAsia" w:ascii="宋体" w:hAnsi="宋体" w:eastAsia="宋体" w:cs="宋体"/>
          <w:spacing w:val="10"/>
          <w:sz w:val="24"/>
          <w:szCs w:val="24"/>
          <w:highlight w:val="none"/>
        </w:rPr>
        <w:t>街道社区卫生服务中心将根据评价及绩效考核的结果给予奖惩。</w:t>
      </w:r>
    </w:p>
    <w:p w14:paraId="43B4D352">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7.5、绿雅社区卫生服务站承接方凡发生以下情况，由</w:t>
      </w:r>
      <w:r>
        <w:rPr>
          <w:rFonts w:hint="eastAsia" w:ascii="宋体" w:hAnsi="宋体" w:eastAsia="宋体" w:cs="宋体"/>
          <w:spacing w:val="10"/>
          <w:sz w:val="24"/>
          <w:szCs w:val="24"/>
          <w:highlight w:val="none"/>
          <w:woUserID w:val="1"/>
        </w:rPr>
        <w:t>迎宾</w:t>
      </w:r>
      <w:r>
        <w:rPr>
          <w:rFonts w:hint="eastAsia" w:ascii="宋体" w:hAnsi="宋体" w:eastAsia="宋体" w:cs="宋体"/>
          <w:spacing w:val="10"/>
          <w:sz w:val="24"/>
          <w:szCs w:val="24"/>
          <w:highlight w:val="none"/>
        </w:rPr>
        <w:t>街道社区卫生服务中心终止与其签订的相关协议，并由卫生行政部门责令其退出社区卫生服务体系。</w:t>
      </w:r>
    </w:p>
    <w:p w14:paraId="25BC405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7.6社会力量举办的社区卫生服务站（村卫生室）实行动态管理，区卫健委按年度考核成绩对社会力量举办的社区卫生服务站（村卫生室）考核情况进行排名，考核结果为优秀的予以通报表扬，在相关项目和经费安排上优先予以考虑；对基本合格的进行约谈；对考核不合格或连续两年考核基本合格的社区卫生服务站，社区卫生服务中心终止与其签订的相关协议。</w:t>
      </w:r>
    </w:p>
    <w:p w14:paraId="1F93AB60">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8、服务范围及内容</w:t>
      </w:r>
    </w:p>
    <w:p w14:paraId="4CF1F2A6">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8.1服务范围</w:t>
      </w:r>
    </w:p>
    <w:p w14:paraId="4D4A784E">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woUserID w:val="1"/>
        </w:rPr>
        <w:t>绿雅社区卫生服务站位于克拉玛依区迎宾街道玮五路155号。建筑面积为1753.55平米，设有全科门诊、收费室、药房、观察室、输液留观室及其他办公用房。服务范围为绿雅社区（绿雅佳苑一期、二期、三期、兴博家园、朗润家园、鼎悦嘉园、鼎尊家园）、龙尚社区（龙润园、瑞祥园、尚品园）、云祥社区（美居花园、融合家园、鼎诚嘉园、云水园、国电公寓）、鑫辉社区（鑫辉花园、苏苑大厦、鼎泰综合楼）。辖区常住人口数</w:t>
      </w:r>
      <w:r>
        <w:rPr>
          <w:rFonts w:hint="eastAsia" w:ascii="宋体" w:hAnsi="宋体" w:eastAsia="宋体" w:cs="宋体"/>
          <w:spacing w:val="10"/>
          <w:sz w:val="24"/>
          <w:szCs w:val="24"/>
          <w:highlight w:val="none"/>
          <w:lang w:val="en-US" w:eastAsia="zh-CN"/>
        </w:rPr>
        <w:t>22750</w:t>
      </w:r>
      <w:r>
        <w:rPr>
          <w:rFonts w:hint="eastAsia" w:ascii="宋体" w:hAnsi="宋体" w:eastAsia="宋体" w:cs="宋体"/>
          <w:spacing w:val="10"/>
          <w:sz w:val="24"/>
          <w:szCs w:val="24"/>
          <w:highlight w:val="none"/>
        </w:rPr>
        <w:t xml:space="preserve"> 人（该数据为目前统计常驻人口数，不包括流动人口，具体服务人口数可能会有部分变化）。</w:t>
      </w:r>
    </w:p>
    <w:p w14:paraId="7FAC1DD7">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8.2基本公共卫生服务</w:t>
      </w:r>
    </w:p>
    <w:p w14:paraId="5C4CF976">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8.2.1、社区卫生信息管理：根据国家规定收集、报告辖区有关卫生信息，建立和管理居民健康档案，向辖区街道办事处及有关单位和部门提出改进社区公共卫生状况的建议。</w:t>
      </w:r>
    </w:p>
    <w:p w14:paraId="6F575817">
      <w:pPr>
        <w:spacing w:before="3" w:line="352" w:lineRule="auto"/>
        <w:ind w:left="16" w:firstLine="472"/>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rPr>
        <w:t>8.2.2、社区健康教育：普及卫生保健常识，实施重点人群及重点场所健康教育，帮助居民形成维护和增进健康的行为方式。</w:t>
      </w:r>
    </w:p>
    <w:p w14:paraId="6B9B08A9">
      <w:pPr>
        <w:spacing w:before="3" w:line="352" w:lineRule="auto"/>
        <w:ind w:left="16" w:firstLine="47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8.2.3、社区预防：传染病疫情报告和监测，预防接种，协助开展结核病、性病、艾滋病及其他常见传染病、地方病的预防控制；协助处理辖区内的突发公共卫生事件；社区慢性病管</w:t>
      </w:r>
      <w:r>
        <w:rPr>
          <w:rFonts w:hint="eastAsia" w:ascii="宋体" w:hAnsi="宋体" w:eastAsia="宋体" w:cs="宋体"/>
          <w:spacing w:val="10"/>
          <w:sz w:val="24"/>
          <w:szCs w:val="24"/>
          <w:highlight w:val="none"/>
        </w:rPr>
        <w:t>理，开展高危人群和重点慢性病筛查和管理；实施精神病社区管理，为社区居民提供心理健康指导；配合开展爱国卫生、健康教育的宣传工作。</w:t>
      </w:r>
    </w:p>
    <w:p w14:paraId="68FD9551">
      <w:pPr>
        <w:spacing w:before="3" w:line="352" w:lineRule="auto"/>
        <w:ind w:left="16" w:firstLine="47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8.2.4、社区保健：提供婚前保健、孕前保健、孕</w:t>
      </w:r>
      <w:r>
        <w:rPr>
          <w:rFonts w:hint="eastAsia" w:ascii="宋体" w:hAnsi="宋体" w:eastAsia="宋体" w:cs="宋体"/>
          <w:spacing w:val="9"/>
          <w:sz w:val="24"/>
          <w:szCs w:val="24"/>
          <w:highlight w:val="none"/>
        </w:rPr>
        <w:t>前期保健、更年期保健、开展妇女常见</w:t>
      </w:r>
      <w:r>
        <w:rPr>
          <w:rFonts w:hint="eastAsia" w:ascii="宋体" w:hAnsi="宋体" w:eastAsia="宋体" w:cs="宋体"/>
          <w:spacing w:val="7"/>
          <w:sz w:val="24"/>
          <w:szCs w:val="24"/>
          <w:highlight w:val="none"/>
        </w:rPr>
        <w:t>病预防和筛查；开展新生儿保健、婴幼儿及学龄前儿童保健，协助对辖区内托幼机构进行卫生</w:t>
      </w:r>
      <w:r>
        <w:rPr>
          <w:rFonts w:hint="eastAsia" w:ascii="宋体" w:hAnsi="宋体" w:eastAsia="宋体" w:cs="宋体"/>
          <w:spacing w:val="9"/>
          <w:sz w:val="24"/>
          <w:szCs w:val="24"/>
          <w:highlight w:val="none"/>
        </w:rPr>
        <w:t>保健指导；指导老年人进行疾病预防和自我保健，开展家</w:t>
      </w:r>
      <w:r>
        <w:rPr>
          <w:rFonts w:hint="eastAsia" w:ascii="宋体" w:hAnsi="宋体" w:eastAsia="宋体" w:cs="宋体"/>
          <w:spacing w:val="8"/>
          <w:sz w:val="24"/>
          <w:szCs w:val="24"/>
          <w:highlight w:val="none"/>
        </w:rPr>
        <w:t>庭访视，提供针对性的健康指导。</w:t>
      </w:r>
    </w:p>
    <w:p w14:paraId="72967462">
      <w:pPr>
        <w:spacing w:before="1" w:line="228" w:lineRule="auto"/>
        <w:ind w:left="48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8.2.5、社区康复：残疾康复，疾病恢复期及家庭和社会康复训练指</w:t>
      </w:r>
      <w:r>
        <w:rPr>
          <w:rFonts w:hint="eastAsia" w:ascii="宋体" w:hAnsi="宋体" w:eastAsia="宋体" w:cs="宋体"/>
          <w:spacing w:val="7"/>
          <w:sz w:val="24"/>
          <w:szCs w:val="24"/>
          <w:highlight w:val="none"/>
        </w:rPr>
        <w:t>导等。</w:t>
      </w:r>
    </w:p>
    <w:p w14:paraId="38DCC973">
      <w:pPr>
        <w:spacing w:before="154" w:line="231" w:lineRule="auto"/>
        <w:ind w:left="48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8.2.6、社区计划生育：计划生育技术服务与咨询指导，发放避孕药</w:t>
      </w:r>
      <w:r>
        <w:rPr>
          <w:rFonts w:hint="eastAsia" w:ascii="宋体" w:hAnsi="宋体" w:eastAsia="宋体" w:cs="宋体"/>
          <w:spacing w:val="7"/>
          <w:sz w:val="24"/>
          <w:szCs w:val="24"/>
          <w:highlight w:val="none"/>
        </w:rPr>
        <w:t>具等。</w:t>
      </w:r>
    </w:p>
    <w:p w14:paraId="31817494">
      <w:pPr>
        <w:spacing w:before="154" w:line="229" w:lineRule="auto"/>
        <w:ind w:left="48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8.2.7、承担卫生行政部门规定的其他公共卫生服务。具体如下表：</w:t>
      </w:r>
    </w:p>
    <w:p w14:paraId="7385366E">
      <w:pPr>
        <w:spacing w:line="85" w:lineRule="auto"/>
        <w:rPr>
          <w:rFonts w:hint="eastAsia" w:ascii="宋体" w:hAnsi="宋体" w:eastAsia="宋体" w:cs="宋体"/>
          <w:sz w:val="24"/>
          <w:szCs w:val="24"/>
          <w:highlight w:val="none"/>
        </w:rPr>
      </w:pPr>
    </w:p>
    <w:tbl>
      <w:tblPr>
        <w:tblStyle w:val="41"/>
        <w:tblW w:w="9197" w:type="dxa"/>
        <w:tblInd w:w="5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01"/>
        <w:gridCol w:w="1700"/>
        <w:gridCol w:w="5469"/>
      </w:tblGrid>
      <w:tr w14:paraId="5C629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727" w:type="dxa"/>
            <w:vAlign w:val="top"/>
          </w:tcPr>
          <w:p w14:paraId="219D2004">
            <w:pPr>
              <w:pStyle w:val="53"/>
              <w:spacing w:before="34" w:line="231" w:lineRule="auto"/>
              <w:ind w:left="1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序号</w:t>
            </w:r>
          </w:p>
        </w:tc>
        <w:tc>
          <w:tcPr>
            <w:tcW w:w="1301" w:type="dxa"/>
            <w:vAlign w:val="top"/>
          </w:tcPr>
          <w:p w14:paraId="3CD2F149">
            <w:pPr>
              <w:pStyle w:val="53"/>
              <w:spacing w:before="34" w:line="232" w:lineRule="auto"/>
              <w:ind w:left="41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类别</w:t>
            </w:r>
          </w:p>
        </w:tc>
        <w:tc>
          <w:tcPr>
            <w:tcW w:w="1700" w:type="dxa"/>
            <w:vAlign w:val="top"/>
          </w:tcPr>
          <w:p w14:paraId="638249D5">
            <w:pPr>
              <w:pStyle w:val="53"/>
              <w:spacing w:before="34" w:line="231" w:lineRule="auto"/>
              <w:ind w:left="45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服务对象</w:t>
            </w:r>
          </w:p>
        </w:tc>
        <w:tc>
          <w:tcPr>
            <w:tcW w:w="5469" w:type="dxa"/>
            <w:vAlign w:val="top"/>
          </w:tcPr>
          <w:p w14:paraId="2A15D89F">
            <w:pPr>
              <w:pStyle w:val="53"/>
              <w:spacing w:before="34" w:line="231" w:lineRule="auto"/>
              <w:ind w:left="41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项目及内容</w:t>
            </w:r>
          </w:p>
        </w:tc>
      </w:tr>
      <w:tr w14:paraId="1695D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27" w:type="dxa"/>
            <w:vAlign w:val="top"/>
          </w:tcPr>
          <w:p w14:paraId="053336DB">
            <w:pPr>
              <w:rPr>
                <w:rFonts w:hint="eastAsia" w:ascii="宋体" w:hAnsi="宋体" w:eastAsia="宋体" w:cs="宋体"/>
                <w:sz w:val="24"/>
                <w:szCs w:val="24"/>
                <w:highlight w:val="none"/>
              </w:rPr>
            </w:pPr>
          </w:p>
          <w:p w14:paraId="12151F7C">
            <w:pPr>
              <w:pStyle w:val="53"/>
              <w:spacing w:before="62" w:line="142" w:lineRule="exact"/>
              <w:ind w:left="277"/>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一</w:t>
            </w:r>
          </w:p>
        </w:tc>
        <w:tc>
          <w:tcPr>
            <w:tcW w:w="1301" w:type="dxa"/>
            <w:vAlign w:val="top"/>
          </w:tcPr>
          <w:p w14:paraId="2C2A21B8">
            <w:pPr>
              <w:pStyle w:val="53"/>
              <w:spacing w:before="158" w:line="252" w:lineRule="auto"/>
              <w:ind w:left="12" w:right="4"/>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建立居民健康</w:t>
            </w:r>
            <w:r>
              <w:rPr>
                <w:rFonts w:hint="eastAsia" w:ascii="宋体" w:hAnsi="宋体" w:eastAsia="宋体" w:cs="宋体"/>
                <w:spacing w:val="2"/>
                <w:sz w:val="24"/>
                <w:szCs w:val="24"/>
                <w:highlight w:val="none"/>
              </w:rPr>
              <w:t>档案</w:t>
            </w:r>
          </w:p>
        </w:tc>
        <w:tc>
          <w:tcPr>
            <w:tcW w:w="1700" w:type="dxa"/>
            <w:vAlign w:val="top"/>
          </w:tcPr>
          <w:p w14:paraId="60ABD3E4">
            <w:pPr>
              <w:pStyle w:val="53"/>
              <w:spacing w:before="28" w:line="241" w:lineRule="auto"/>
              <w:ind w:left="21" w:right="2" w:hanging="6"/>
              <w:jc w:val="both"/>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辖区内常住居民，</w:t>
            </w:r>
            <w:r>
              <w:rPr>
                <w:rFonts w:hint="eastAsia" w:ascii="宋体" w:hAnsi="宋体" w:eastAsia="宋体" w:cs="宋体"/>
                <w:spacing w:val="18"/>
                <w:sz w:val="24"/>
                <w:szCs w:val="24"/>
                <w:highlight w:val="none"/>
              </w:rPr>
              <w:t>包括居住半年以上</w:t>
            </w:r>
            <w:r>
              <w:rPr>
                <w:rFonts w:hint="eastAsia" w:ascii="宋体" w:hAnsi="宋体" w:eastAsia="宋体" w:cs="宋体"/>
                <w:spacing w:val="5"/>
                <w:sz w:val="24"/>
                <w:szCs w:val="24"/>
                <w:highlight w:val="none"/>
              </w:rPr>
              <w:t>非户籍居民</w:t>
            </w:r>
          </w:p>
        </w:tc>
        <w:tc>
          <w:tcPr>
            <w:tcW w:w="5469" w:type="dxa"/>
            <w:vAlign w:val="top"/>
          </w:tcPr>
          <w:p w14:paraId="410749E7">
            <w:pPr>
              <w:pStyle w:val="53"/>
              <w:spacing w:before="287" w:line="231" w:lineRule="auto"/>
              <w:ind w:left="42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1.建立健康档案。2.健康档案维护管理。</w:t>
            </w:r>
          </w:p>
        </w:tc>
      </w:tr>
      <w:tr w14:paraId="22BD9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7" w:type="dxa"/>
            <w:vAlign w:val="top"/>
          </w:tcPr>
          <w:p w14:paraId="36F92FB6">
            <w:pPr>
              <w:pStyle w:val="53"/>
              <w:spacing w:before="265" w:line="180" w:lineRule="auto"/>
              <w:ind w:left="280"/>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1301" w:type="dxa"/>
            <w:vAlign w:val="top"/>
          </w:tcPr>
          <w:p w14:paraId="12A184F6">
            <w:pPr>
              <w:pStyle w:val="53"/>
              <w:spacing w:before="290" w:line="231" w:lineRule="auto"/>
              <w:ind w:left="1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健康教育</w:t>
            </w:r>
          </w:p>
        </w:tc>
        <w:tc>
          <w:tcPr>
            <w:tcW w:w="1700" w:type="dxa"/>
            <w:vAlign w:val="top"/>
          </w:tcPr>
          <w:p w14:paraId="063F436F">
            <w:pPr>
              <w:pStyle w:val="53"/>
              <w:spacing w:before="289" w:line="230" w:lineRule="auto"/>
              <w:ind w:left="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辖区内常住居民</w:t>
            </w:r>
          </w:p>
        </w:tc>
        <w:tc>
          <w:tcPr>
            <w:tcW w:w="5469" w:type="dxa"/>
            <w:vAlign w:val="top"/>
          </w:tcPr>
          <w:p w14:paraId="3CA7D10F">
            <w:pPr>
              <w:pStyle w:val="53"/>
              <w:spacing w:before="31"/>
              <w:ind w:left="16" w:right="6" w:firstLine="406"/>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1.提供健康教育资料。2.设置健康教育宣传栏。3.</w:t>
            </w:r>
            <w:r>
              <w:rPr>
                <w:rFonts w:hint="eastAsia" w:ascii="宋体" w:hAnsi="宋体" w:eastAsia="宋体" w:cs="宋体"/>
                <w:spacing w:val="9"/>
                <w:sz w:val="24"/>
                <w:szCs w:val="24"/>
                <w:highlight w:val="none"/>
              </w:rPr>
              <w:t>开展公众健康咨询服务。4.举办健康知识讲座。</w:t>
            </w:r>
            <w:r>
              <w:rPr>
                <w:rFonts w:hint="eastAsia" w:ascii="宋体" w:hAnsi="宋体" w:eastAsia="宋体" w:cs="宋体"/>
                <w:spacing w:val="8"/>
                <w:sz w:val="24"/>
                <w:szCs w:val="24"/>
                <w:highlight w:val="none"/>
              </w:rPr>
              <w:t>5.开展</w:t>
            </w:r>
            <w:r>
              <w:rPr>
                <w:rFonts w:hint="eastAsia" w:ascii="宋体" w:hAnsi="宋体" w:eastAsia="宋体" w:cs="宋体"/>
                <w:spacing w:val="4"/>
                <w:sz w:val="24"/>
                <w:szCs w:val="24"/>
                <w:highlight w:val="none"/>
              </w:rPr>
              <w:t>个体化健康教育。</w:t>
            </w:r>
          </w:p>
        </w:tc>
      </w:tr>
      <w:tr w14:paraId="451F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27" w:type="dxa"/>
            <w:vAlign w:val="top"/>
          </w:tcPr>
          <w:p w14:paraId="1043A1F3">
            <w:pPr>
              <w:pStyle w:val="53"/>
              <w:spacing w:before="132" w:line="195" w:lineRule="auto"/>
              <w:ind w:left="280"/>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1301" w:type="dxa"/>
            <w:vAlign w:val="top"/>
          </w:tcPr>
          <w:p w14:paraId="5DF5C628">
            <w:pPr>
              <w:pStyle w:val="53"/>
              <w:spacing w:before="172" w:line="230" w:lineRule="auto"/>
              <w:ind w:left="1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预防接种</w:t>
            </w:r>
          </w:p>
        </w:tc>
        <w:tc>
          <w:tcPr>
            <w:tcW w:w="1700" w:type="dxa"/>
            <w:vAlign w:val="top"/>
          </w:tcPr>
          <w:p w14:paraId="22CFC7E1">
            <w:pPr>
              <w:pStyle w:val="53"/>
              <w:spacing w:before="41"/>
              <w:ind w:left="15" w:right="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辖区内0～6岁儿童</w:t>
            </w:r>
            <w:r>
              <w:rPr>
                <w:rFonts w:hint="eastAsia" w:ascii="宋体" w:hAnsi="宋体" w:eastAsia="宋体" w:cs="宋体"/>
                <w:spacing w:val="7"/>
                <w:sz w:val="24"/>
                <w:szCs w:val="24"/>
                <w:highlight w:val="none"/>
              </w:rPr>
              <w:t>和其他重点人群</w:t>
            </w:r>
          </w:p>
        </w:tc>
        <w:tc>
          <w:tcPr>
            <w:tcW w:w="5469" w:type="dxa"/>
            <w:vAlign w:val="top"/>
          </w:tcPr>
          <w:p w14:paraId="18345853">
            <w:pPr>
              <w:pStyle w:val="53"/>
              <w:spacing w:before="41"/>
              <w:ind w:left="27" w:right="5" w:firstLine="3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1.预防接种管理。2.预防接种。3.疑似预防接种异</w:t>
            </w:r>
            <w:r>
              <w:rPr>
                <w:rFonts w:hint="eastAsia" w:ascii="宋体" w:hAnsi="宋体" w:eastAsia="宋体" w:cs="宋体"/>
                <w:spacing w:val="3"/>
                <w:sz w:val="24"/>
                <w:szCs w:val="24"/>
                <w:highlight w:val="none"/>
              </w:rPr>
              <w:t>常反应处理。</w:t>
            </w:r>
          </w:p>
        </w:tc>
      </w:tr>
      <w:tr w14:paraId="1FF6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27" w:type="dxa"/>
            <w:vAlign w:val="top"/>
          </w:tcPr>
          <w:p w14:paraId="57E64D54">
            <w:pPr>
              <w:pStyle w:val="53"/>
              <w:spacing w:before="106" w:line="250" w:lineRule="exact"/>
              <w:ind w:left="298"/>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四</w:t>
            </w:r>
          </w:p>
        </w:tc>
        <w:tc>
          <w:tcPr>
            <w:tcW w:w="1301" w:type="dxa"/>
            <w:vAlign w:val="top"/>
          </w:tcPr>
          <w:p w14:paraId="7B9D7ACB">
            <w:pPr>
              <w:pStyle w:val="53"/>
              <w:spacing w:before="171" w:line="231" w:lineRule="auto"/>
              <w:ind w:left="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儿童健康管理</w:t>
            </w:r>
          </w:p>
        </w:tc>
        <w:tc>
          <w:tcPr>
            <w:tcW w:w="1700" w:type="dxa"/>
            <w:vAlign w:val="top"/>
          </w:tcPr>
          <w:p w14:paraId="4368E5FD">
            <w:pPr>
              <w:pStyle w:val="53"/>
              <w:spacing w:before="44" w:line="239" w:lineRule="auto"/>
              <w:ind w:left="18" w:right="42" w:hanging="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辖区内常住的0～6</w:t>
            </w:r>
            <w:r>
              <w:rPr>
                <w:rFonts w:hint="eastAsia" w:ascii="宋体" w:hAnsi="宋体" w:eastAsia="宋体" w:cs="宋体"/>
                <w:spacing w:val="4"/>
                <w:sz w:val="24"/>
                <w:szCs w:val="24"/>
                <w:highlight w:val="none"/>
              </w:rPr>
              <w:t>岁儿童</w:t>
            </w:r>
          </w:p>
        </w:tc>
        <w:tc>
          <w:tcPr>
            <w:tcW w:w="5469" w:type="dxa"/>
            <w:vAlign w:val="top"/>
          </w:tcPr>
          <w:p w14:paraId="274CDD49">
            <w:pPr>
              <w:pStyle w:val="53"/>
              <w:spacing w:before="44" w:line="239" w:lineRule="auto"/>
              <w:ind w:left="24" w:right="5" w:firstLine="39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1.新生儿家庭访视。2.新生儿满月健康管理。3.婴</w:t>
            </w:r>
            <w:r>
              <w:rPr>
                <w:rFonts w:hint="eastAsia" w:ascii="宋体" w:hAnsi="宋体" w:eastAsia="宋体" w:cs="宋体"/>
                <w:spacing w:val="6"/>
                <w:sz w:val="24"/>
                <w:szCs w:val="24"/>
                <w:highlight w:val="none"/>
              </w:rPr>
              <w:t>幼儿健康管理。4.学龄前儿童健康管理。</w:t>
            </w:r>
          </w:p>
        </w:tc>
      </w:tr>
      <w:tr w14:paraId="27AB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27" w:type="dxa"/>
            <w:vAlign w:val="top"/>
          </w:tcPr>
          <w:p w14:paraId="673B30D2">
            <w:pPr>
              <w:pStyle w:val="53"/>
              <w:spacing w:before="230" w:line="200" w:lineRule="auto"/>
              <w:ind w:left="277"/>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1301" w:type="dxa"/>
            <w:vAlign w:val="top"/>
          </w:tcPr>
          <w:p w14:paraId="01F1C9DC">
            <w:pPr>
              <w:pStyle w:val="53"/>
              <w:spacing w:before="144" w:line="258" w:lineRule="auto"/>
              <w:ind w:left="14" w:right="4" w:firstLine="5"/>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孕产妇健康管</w:t>
            </w:r>
            <w:r>
              <w:rPr>
                <w:rFonts w:hint="eastAsia" w:ascii="宋体" w:hAnsi="宋体" w:eastAsia="宋体" w:cs="宋体"/>
                <w:sz w:val="24"/>
                <w:szCs w:val="24"/>
                <w:highlight w:val="none"/>
              </w:rPr>
              <w:t>理</w:t>
            </w:r>
          </w:p>
        </w:tc>
        <w:tc>
          <w:tcPr>
            <w:tcW w:w="1700" w:type="dxa"/>
            <w:vAlign w:val="top"/>
          </w:tcPr>
          <w:p w14:paraId="299FE1FB">
            <w:pPr>
              <w:pStyle w:val="53"/>
              <w:spacing w:before="145" w:line="253" w:lineRule="auto"/>
              <w:ind w:left="16" w:right="2" w:hanging="1"/>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辖区内常住的孕产</w:t>
            </w:r>
            <w:r>
              <w:rPr>
                <w:rFonts w:hint="eastAsia" w:ascii="宋体" w:hAnsi="宋体" w:eastAsia="宋体" w:cs="宋体"/>
                <w:sz w:val="24"/>
                <w:szCs w:val="24"/>
                <w:highlight w:val="none"/>
              </w:rPr>
              <w:t>妇</w:t>
            </w:r>
          </w:p>
        </w:tc>
        <w:tc>
          <w:tcPr>
            <w:tcW w:w="5469" w:type="dxa"/>
            <w:vAlign w:val="top"/>
          </w:tcPr>
          <w:p w14:paraId="32CA4D13">
            <w:pPr>
              <w:pStyle w:val="53"/>
              <w:spacing w:before="145" w:line="251" w:lineRule="auto"/>
              <w:ind w:left="16" w:right="5" w:firstLine="40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1.孕早期健康管理。2.孕中期健康管理。3.孕晚期</w:t>
            </w:r>
            <w:r>
              <w:rPr>
                <w:rFonts w:hint="eastAsia" w:ascii="宋体" w:hAnsi="宋体" w:eastAsia="宋体" w:cs="宋体"/>
                <w:spacing w:val="5"/>
                <w:sz w:val="24"/>
                <w:szCs w:val="24"/>
                <w:highlight w:val="none"/>
              </w:rPr>
              <w:t>健康管理。4.产后访视。5.产后42天健康检</w:t>
            </w:r>
            <w:r>
              <w:rPr>
                <w:rFonts w:hint="eastAsia" w:ascii="宋体" w:hAnsi="宋体" w:eastAsia="宋体" w:cs="宋体"/>
                <w:spacing w:val="4"/>
                <w:sz w:val="24"/>
                <w:szCs w:val="24"/>
                <w:highlight w:val="none"/>
              </w:rPr>
              <w:t>查。</w:t>
            </w:r>
          </w:p>
        </w:tc>
      </w:tr>
      <w:tr w14:paraId="3E07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27" w:type="dxa"/>
            <w:vAlign w:val="top"/>
          </w:tcPr>
          <w:p w14:paraId="27259453">
            <w:pPr>
              <w:pStyle w:val="53"/>
              <w:spacing w:before="107"/>
              <w:ind w:left="276"/>
              <w:rPr>
                <w:rFonts w:hint="eastAsia" w:ascii="宋体" w:hAnsi="宋体" w:eastAsia="宋体" w:cs="宋体"/>
                <w:sz w:val="24"/>
                <w:szCs w:val="24"/>
                <w:highlight w:val="none"/>
              </w:rPr>
            </w:pPr>
            <w:r>
              <w:rPr>
                <w:rFonts w:hint="eastAsia" w:ascii="宋体" w:hAnsi="宋体" w:eastAsia="宋体" w:cs="宋体"/>
                <w:sz w:val="24"/>
                <w:szCs w:val="24"/>
                <w:highlight w:val="none"/>
              </w:rPr>
              <w:t>六</w:t>
            </w:r>
          </w:p>
        </w:tc>
        <w:tc>
          <w:tcPr>
            <w:tcW w:w="1301" w:type="dxa"/>
            <w:vAlign w:val="top"/>
          </w:tcPr>
          <w:p w14:paraId="7ED60D0E">
            <w:pPr>
              <w:pStyle w:val="53"/>
              <w:spacing w:before="41"/>
              <w:ind w:left="14" w:right="4"/>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老年人健康管</w:t>
            </w:r>
            <w:r>
              <w:rPr>
                <w:rFonts w:hint="eastAsia" w:ascii="宋体" w:hAnsi="宋体" w:eastAsia="宋体" w:cs="宋体"/>
                <w:sz w:val="24"/>
                <w:szCs w:val="24"/>
                <w:highlight w:val="none"/>
              </w:rPr>
              <w:t>理</w:t>
            </w:r>
          </w:p>
        </w:tc>
        <w:tc>
          <w:tcPr>
            <w:tcW w:w="1700" w:type="dxa"/>
            <w:vAlign w:val="top"/>
          </w:tcPr>
          <w:p w14:paraId="63D80BF9">
            <w:pPr>
              <w:pStyle w:val="53"/>
              <w:spacing w:before="41"/>
              <w:ind w:left="25" w:right="3" w:hanging="1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辖区内65岁及以上</w:t>
            </w:r>
            <w:r>
              <w:rPr>
                <w:rFonts w:hint="eastAsia" w:ascii="宋体" w:hAnsi="宋体" w:eastAsia="宋体" w:cs="宋体"/>
                <w:spacing w:val="3"/>
                <w:sz w:val="24"/>
                <w:szCs w:val="24"/>
                <w:highlight w:val="none"/>
              </w:rPr>
              <w:t>常住居民</w:t>
            </w:r>
          </w:p>
        </w:tc>
        <w:tc>
          <w:tcPr>
            <w:tcW w:w="5469" w:type="dxa"/>
            <w:vAlign w:val="top"/>
          </w:tcPr>
          <w:p w14:paraId="4D1E2500">
            <w:pPr>
              <w:pStyle w:val="53"/>
              <w:spacing w:before="41"/>
              <w:ind w:left="18" w:right="5" w:firstLine="40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1.生活方式和健康状况评估。2.体格检查。3.辅助</w:t>
            </w:r>
            <w:r>
              <w:rPr>
                <w:rFonts w:hint="eastAsia" w:ascii="宋体" w:hAnsi="宋体" w:eastAsia="宋体" w:cs="宋体"/>
                <w:spacing w:val="4"/>
                <w:sz w:val="24"/>
                <w:szCs w:val="24"/>
                <w:highlight w:val="none"/>
              </w:rPr>
              <w:t>检查。4.健康指导。</w:t>
            </w:r>
          </w:p>
        </w:tc>
      </w:tr>
      <w:tr w14:paraId="494B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7" w:type="dxa"/>
            <w:vMerge w:val="restart"/>
            <w:tcBorders>
              <w:bottom w:val="nil"/>
            </w:tcBorders>
            <w:vAlign w:val="top"/>
          </w:tcPr>
          <w:p w14:paraId="7956DD43">
            <w:pPr>
              <w:spacing w:line="277" w:lineRule="auto"/>
              <w:rPr>
                <w:rFonts w:hint="eastAsia" w:ascii="宋体" w:hAnsi="宋体" w:eastAsia="宋体" w:cs="宋体"/>
                <w:sz w:val="24"/>
                <w:szCs w:val="24"/>
                <w:highlight w:val="none"/>
              </w:rPr>
            </w:pPr>
          </w:p>
          <w:p w14:paraId="24951B97">
            <w:pPr>
              <w:spacing w:line="277" w:lineRule="auto"/>
              <w:rPr>
                <w:rFonts w:hint="eastAsia" w:ascii="宋体" w:hAnsi="宋体" w:eastAsia="宋体" w:cs="宋体"/>
                <w:sz w:val="24"/>
                <w:szCs w:val="24"/>
                <w:highlight w:val="none"/>
              </w:rPr>
            </w:pPr>
          </w:p>
          <w:p w14:paraId="29F548EA">
            <w:pPr>
              <w:pStyle w:val="53"/>
              <w:spacing w:before="61" w:line="250" w:lineRule="exact"/>
              <w:ind w:left="278"/>
              <w:rPr>
                <w:rFonts w:hint="eastAsia" w:ascii="宋体" w:hAnsi="宋体" w:eastAsia="宋体" w:cs="宋体"/>
                <w:sz w:val="24"/>
                <w:szCs w:val="24"/>
                <w:highlight w:val="none"/>
              </w:rPr>
            </w:pPr>
            <w:r>
              <w:rPr>
                <w:rFonts w:hint="eastAsia" w:ascii="宋体" w:hAnsi="宋体" w:eastAsia="宋体" w:cs="宋体"/>
                <w:sz w:val="24"/>
                <w:szCs w:val="24"/>
                <w:highlight w:val="none"/>
              </w:rPr>
              <w:t>七</w:t>
            </w:r>
          </w:p>
        </w:tc>
        <w:tc>
          <w:tcPr>
            <w:tcW w:w="1301" w:type="dxa"/>
            <w:vAlign w:val="top"/>
          </w:tcPr>
          <w:p w14:paraId="2315968E">
            <w:pPr>
              <w:pStyle w:val="53"/>
              <w:spacing w:before="31"/>
              <w:ind w:left="13" w:right="4" w:firstLine="4"/>
              <w:jc w:val="both"/>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慢性病患者健</w:t>
            </w:r>
            <w:r>
              <w:rPr>
                <w:rFonts w:hint="eastAsia" w:ascii="宋体" w:hAnsi="宋体" w:eastAsia="宋体" w:cs="宋体"/>
                <w:spacing w:val="23"/>
                <w:sz w:val="24"/>
                <w:szCs w:val="24"/>
                <w:highlight w:val="none"/>
              </w:rPr>
              <w:t>康管理（高血</w:t>
            </w:r>
            <w:r>
              <w:rPr>
                <w:rFonts w:hint="eastAsia" w:ascii="宋体" w:hAnsi="宋体" w:eastAsia="宋体" w:cs="宋体"/>
                <w:spacing w:val="-4"/>
                <w:sz w:val="24"/>
                <w:szCs w:val="24"/>
                <w:highlight w:val="none"/>
              </w:rPr>
              <w:t>压）</w:t>
            </w:r>
          </w:p>
        </w:tc>
        <w:tc>
          <w:tcPr>
            <w:tcW w:w="1700" w:type="dxa"/>
            <w:vAlign w:val="top"/>
          </w:tcPr>
          <w:p w14:paraId="5236996B">
            <w:pPr>
              <w:pStyle w:val="53"/>
              <w:spacing w:before="31"/>
              <w:ind w:left="21" w:right="2" w:hanging="6"/>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辖区内35岁及以上</w:t>
            </w:r>
            <w:r>
              <w:rPr>
                <w:rFonts w:hint="eastAsia" w:ascii="宋体" w:hAnsi="宋体" w:eastAsia="宋体" w:cs="宋体"/>
                <w:spacing w:val="18"/>
                <w:sz w:val="24"/>
                <w:szCs w:val="24"/>
                <w:highlight w:val="none"/>
              </w:rPr>
              <w:t>常住居民中原发性</w:t>
            </w:r>
            <w:r>
              <w:rPr>
                <w:rFonts w:hint="eastAsia" w:ascii="宋体" w:hAnsi="宋体" w:eastAsia="宋体" w:cs="宋体"/>
                <w:spacing w:val="5"/>
                <w:sz w:val="24"/>
                <w:szCs w:val="24"/>
                <w:highlight w:val="none"/>
              </w:rPr>
              <w:t>高血压患者</w:t>
            </w:r>
          </w:p>
        </w:tc>
        <w:tc>
          <w:tcPr>
            <w:tcW w:w="5469" w:type="dxa"/>
            <w:vAlign w:val="top"/>
          </w:tcPr>
          <w:p w14:paraId="25CBA7FC">
            <w:pPr>
              <w:pStyle w:val="53"/>
              <w:spacing w:before="290" w:line="229"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1.检查发现。2.随访评估和分类干预。3.</w:t>
            </w:r>
            <w:r>
              <w:rPr>
                <w:rFonts w:hint="eastAsia" w:ascii="宋体" w:hAnsi="宋体" w:eastAsia="宋体" w:cs="宋体"/>
                <w:sz w:val="24"/>
                <w:szCs w:val="24"/>
                <w:highlight w:val="none"/>
              </w:rPr>
              <w:t>健康体检。</w:t>
            </w:r>
          </w:p>
        </w:tc>
      </w:tr>
      <w:tr w14:paraId="5DD7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27" w:type="dxa"/>
            <w:vMerge w:val="continue"/>
            <w:tcBorders>
              <w:top w:val="nil"/>
            </w:tcBorders>
            <w:vAlign w:val="top"/>
          </w:tcPr>
          <w:p w14:paraId="609AEF90">
            <w:pPr>
              <w:rPr>
                <w:rFonts w:hint="eastAsia" w:ascii="宋体" w:hAnsi="宋体" w:eastAsia="宋体" w:cs="宋体"/>
                <w:sz w:val="24"/>
                <w:szCs w:val="24"/>
                <w:highlight w:val="none"/>
              </w:rPr>
            </w:pPr>
          </w:p>
        </w:tc>
        <w:tc>
          <w:tcPr>
            <w:tcW w:w="1301" w:type="dxa"/>
            <w:vAlign w:val="top"/>
          </w:tcPr>
          <w:p w14:paraId="7AE9A4BE">
            <w:pPr>
              <w:pStyle w:val="53"/>
              <w:spacing w:before="35" w:line="239" w:lineRule="auto"/>
              <w:ind w:left="12" w:right="4" w:firstLine="5"/>
              <w:jc w:val="both"/>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慢性病患者健</w:t>
            </w:r>
            <w:r>
              <w:rPr>
                <w:rFonts w:hint="eastAsia" w:ascii="宋体" w:hAnsi="宋体" w:eastAsia="宋体" w:cs="宋体"/>
                <w:spacing w:val="-5"/>
                <w:sz w:val="24"/>
                <w:szCs w:val="24"/>
                <w:highlight w:val="none"/>
              </w:rPr>
              <w:t>康管理（2型糖</w:t>
            </w:r>
            <w:r>
              <w:rPr>
                <w:rFonts w:hint="eastAsia" w:ascii="宋体" w:hAnsi="宋体" w:eastAsia="宋体" w:cs="宋体"/>
                <w:spacing w:val="1"/>
                <w:sz w:val="24"/>
                <w:szCs w:val="24"/>
                <w:highlight w:val="none"/>
              </w:rPr>
              <w:t>尿病）</w:t>
            </w:r>
          </w:p>
        </w:tc>
        <w:tc>
          <w:tcPr>
            <w:tcW w:w="1700" w:type="dxa"/>
            <w:vAlign w:val="top"/>
          </w:tcPr>
          <w:p w14:paraId="3F03995B">
            <w:pPr>
              <w:pStyle w:val="53"/>
              <w:spacing w:before="35" w:line="239" w:lineRule="auto"/>
              <w:ind w:left="14" w:right="3"/>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辖区内35岁及以上</w:t>
            </w:r>
            <w:r>
              <w:rPr>
                <w:rFonts w:hint="eastAsia" w:ascii="宋体" w:hAnsi="宋体" w:eastAsia="宋体" w:cs="宋体"/>
                <w:spacing w:val="11"/>
                <w:sz w:val="24"/>
                <w:szCs w:val="24"/>
                <w:highlight w:val="none"/>
              </w:rPr>
              <w:t>常住居民中2型糖</w:t>
            </w:r>
            <w:r>
              <w:rPr>
                <w:rFonts w:hint="eastAsia" w:ascii="宋体" w:hAnsi="宋体" w:eastAsia="宋体" w:cs="宋体"/>
                <w:spacing w:val="6"/>
                <w:sz w:val="24"/>
                <w:szCs w:val="24"/>
                <w:highlight w:val="none"/>
              </w:rPr>
              <w:t>尿病患者</w:t>
            </w:r>
          </w:p>
        </w:tc>
        <w:tc>
          <w:tcPr>
            <w:tcW w:w="5469" w:type="dxa"/>
            <w:vAlign w:val="top"/>
          </w:tcPr>
          <w:p w14:paraId="6D66B629">
            <w:pPr>
              <w:pStyle w:val="53"/>
              <w:spacing w:before="290" w:line="229"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1.检查发现。2.随访评估和分类干预。3.</w:t>
            </w:r>
            <w:r>
              <w:rPr>
                <w:rFonts w:hint="eastAsia" w:ascii="宋体" w:hAnsi="宋体" w:eastAsia="宋体" w:cs="宋体"/>
                <w:sz w:val="24"/>
                <w:szCs w:val="24"/>
                <w:highlight w:val="none"/>
              </w:rPr>
              <w:t>健康体检。</w:t>
            </w:r>
          </w:p>
        </w:tc>
      </w:tr>
      <w:tr w14:paraId="6703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27" w:type="dxa"/>
            <w:tcBorders>
              <w:top w:val="nil"/>
            </w:tcBorders>
            <w:vAlign w:val="top"/>
          </w:tcPr>
          <w:p w14:paraId="41C8934B">
            <w:pPr>
              <w:ind w:left="0" w:leftChars="0" w:firstLine="0" w:firstLineChars="0"/>
              <w:rPr>
                <w:rFonts w:hint="eastAsia" w:ascii="宋体" w:hAnsi="宋体" w:eastAsia="宋体" w:cs="宋体"/>
                <w:sz w:val="24"/>
                <w:szCs w:val="24"/>
                <w:highlight w:val="none"/>
              </w:rPr>
            </w:pPr>
          </w:p>
        </w:tc>
        <w:tc>
          <w:tcPr>
            <w:tcW w:w="1301" w:type="dxa"/>
            <w:vAlign w:val="top"/>
          </w:tcPr>
          <w:p w14:paraId="3F5388AF">
            <w:pPr>
              <w:pStyle w:val="53"/>
              <w:spacing w:before="35" w:line="239" w:lineRule="auto"/>
              <w:ind w:left="12" w:leftChars="0" w:right="4" w:firstLine="5" w:firstLineChars="0"/>
              <w:jc w:val="both"/>
              <w:rPr>
                <w:rFonts w:hint="eastAsia" w:ascii="宋体" w:hAnsi="宋体" w:eastAsia="宋体" w:cs="宋体"/>
                <w:spacing w:val="22"/>
                <w:sz w:val="24"/>
                <w:szCs w:val="24"/>
                <w:highlight w:val="none"/>
              </w:rPr>
            </w:pPr>
            <w:r>
              <w:rPr>
                <w:rFonts w:hint="eastAsia" w:ascii="宋体" w:hAnsi="宋体" w:eastAsia="宋体" w:cs="宋体"/>
                <w:spacing w:val="22"/>
                <w:sz w:val="24"/>
                <w:szCs w:val="24"/>
                <w:highlight w:val="none"/>
                <w:woUserID w:val="1"/>
              </w:rPr>
              <w:t>慢性病患者健</w:t>
            </w:r>
            <w:r>
              <w:rPr>
                <w:rFonts w:hint="eastAsia" w:ascii="宋体" w:hAnsi="宋体" w:eastAsia="宋体" w:cs="宋体"/>
                <w:spacing w:val="-5"/>
                <w:sz w:val="24"/>
                <w:szCs w:val="24"/>
                <w:highlight w:val="none"/>
                <w:woUserID w:val="1"/>
              </w:rPr>
              <w:t>康管理（慢阻肺患者</w:t>
            </w:r>
            <w:r>
              <w:rPr>
                <w:rFonts w:hint="eastAsia" w:ascii="宋体" w:hAnsi="宋体" w:eastAsia="宋体" w:cs="宋体"/>
                <w:spacing w:val="1"/>
                <w:sz w:val="24"/>
                <w:szCs w:val="24"/>
                <w:highlight w:val="none"/>
                <w:woUserID w:val="1"/>
              </w:rPr>
              <w:t>）</w:t>
            </w:r>
          </w:p>
        </w:tc>
        <w:tc>
          <w:tcPr>
            <w:tcW w:w="1700" w:type="dxa"/>
            <w:vAlign w:val="top"/>
          </w:tcPr>
          <w:p w14:paraId="64FE47C2">
            <w:pPr>
              <w:pStyle w:val="53"/>
              <w:spacing w:before="35" w:line="239" w:lineRule="auto"/>
              <w:ind w:left="14" w:leftChars="0" w:right="3" w:firstLine="0" w:firstLineChars="0"/>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woUserID w:val="1"/>
              </w:rPr>
              <w:t>辖区内35岁及以上</w:t>
            </w:r>
            <w:r>
              <w:rPr>
                <w:rFonts w:hint="eastAsia" w:ascii="宋体" w:hAnsi="宋体" w:eastAsia="宋体" w:cs="宋体"/>
                <w:spacing w:val="11"/>
                <w:sz w:val="24"/>
                <w:szCs w:val="24"/>
                <w:highlight w:val="none"/>
                <w:woUserID w:val="1"/>
              </w:rPr>
              <w:t>常住居民中慢阻肺</w:t>
            </w:r>
            <w:r>
              <w:rPr>
                <w:rFonts w:hint="eastAsia" w:ascii="宋体" w:hAnsi="宋体" w:eastAsia="宋体" w:cs="宋体"/>
                <w:spacing w:val="6"/>
                <w:sz w:val="24"/>
                <w:szCs w:val="24"/>
                <w:highlight w:val="none"/>
                <w:woUserID w:val="1"/>
              </w:rPr>
              <w:t>患者</w:t>
            </w:r>
          </w:p>
        </w:tc>
        <w:tc>
          <w:tcPr>
            <w:tcW w:w="5469" w:type="dxa"/>
            <w:vAlign w:val="top"/>
          </w:tcPr>
          <w:p w14:paraId="1F0DE536">
            <w:pPr>
              <w:pStyle w:val="53"/>
              <w:spacing w:before="290" w:line="229" w:lineRule="auto"/>
              <w:ind w:left="0" w:leftChars="0" w:firstLine="0" w:firstLineChars="0"/>
              <w:jc w:val="righ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woUserID w:val="1"/>
              </w:rPr>
              <w:t>1.检查发现。2.随访评估和分类干预。3.</w:t>
            </w:r>
            <w:r>
              <w:rPr>
                <w:rFonts w:hint="eastAsia" w:ascii="宋体" w:hAnsi="宋体" w:eastAsia="宋体" w:cs="宋体"/>
                <w:sz w:val="24"/>
                <w:szCs w:val="24"/>
                <w:highlight w:val="none"/>
                <w:woUserID w:val="1"/>
              </w:rPr>
              <w:t>健康体检。</w:t>
            </w:r>
          </w:p>
        </w:tc>
      </w:tr>
      <w:tr w14:paraId="56B62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727" w:type="dxa"/>
            <w:vAlign w:val="top"/>
          </w:tcPr>
          <w:p w14:paraId="0F2ADBC3">
            <w:pPr>
              <w:spacing w:line="291" w:lineRule="auto"/>
              <w:rPr>
                <w:rFonts w:hint="eastAsia" w:ascii="宋体" w:hAnsi="宋体" w:eastAsia="宋体" w:cs="宋体"/>
                <w:sz w:val="24"/>
                <w:szCs w:val="24"/>
                <w:highlight w:val="none"/>
              </w:rPr>
            </w:pPr>
          </w:p>
          <w:p w14:paraId="207F9886">
            <w:pPr>
              <w:pStyle w:val="53"/>
              <w:spacing w:before="62" w:line="242" w:lineRule="auto"/>
              <w:ind w:left="273"/>
              <w:rPr>
                <w:rFonts w:hint="eastAsia" w:ascii="宋体" w:hAnsi="宋体" w:eastAsia="宋体" w:cs="宋体"/>
                <w:sz w:val="24"/>
                <w:szCs w:val="24"/>
                <w:highlight w:val="none"/>
              </w:rPr>
            </w:pPr>
            <w:r>
              <w:rPr>
                <w:rFonts w:hint="eastAsia" w:ascii="宋体" w:hAnsi="宋体" w:eastAsia="宋体" w:cs="宋体"/>
                <w:sz w:val="24"/>
                <w:szCs w:val="24"/>
                <w:highlight w:val="none"/>
              </w:rPr>
              <w:t>八</w:t>
            </w:r>
          </w:p>
        </w:tc>
        <w:tc>
          <w:tcPr>
            <w:tcW w:w="1301" w:type="dxa"/>
            <w:vAlign w:val="top"/>
          </w:tcPr>
          <w:p w14:paraId="46C304BB">
            <w:pPr>
              <w:pStyle w:val="53"/>
              <w:spacing w:before="293" w:line="252" w:lineRule="auto"/>
              <w:ind w:left="24" w:right="4" w:hanging="10"/>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严重精神障碍</w:t>
            </w:r>
            <w:r>
              <w:rPr>
                <w:rFonts w:hint="eastAsia" w:ascii="宋体" w:hAnsi="宋体" w:eastAsia="宋体" w:cs="宋体"/>
                <w:spacing w:val="3"/>
                <w:sz w:val="24"/>
                <w:szCs w:val="24"/>
                <w:highlight w:val="none"/>
              </w:rPr>
              <w:t>患者管理</w:t>
            </w:r>
          </w:p>
        </w:tc>
        <w:tc>
          <w:tcPr>
            <w:tcW w:w="1700" w:type="dxa"/>
            <w:vAlign w:val="top"/>
          </w:tcPr>
          <w:p w14:paraId="6AF7EABD">
            <w:pPr>
              <w:pStyle w:val="53"/>
              <w:spacing w:before="31" w:line="243" w:lineRule="auto"/>
              <w:ind w:left="15" w:right="2"/>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辖区内常住居民中诊断明确、在家居住的严重精神障碍</w:t>
            </w:r>
            <w:r>
              <w:rPr>
                <w:rFonts w:hint="eastAsia" w:ascii="宋体" w:hAnsi="宋体" w:eastAsia="宋体" w:cs="宋体"/>
                <w:spacing w:val="2"/>
                <w:sz w:val="24"/>
                <w:szCs w:val="24"/>
                <w:highlight w:val="none"/>
              </w:rPr>
              <w:t>患者</w:t>
            </w:r>
          </w:p>
        </w:tc>
        <w:tc>
          <w:tcPr>
            <w:tcW w:w="5469" w:type="dxa"/>
            <w:vAlign w:val="top"/>
          </w:tcPr>
          <w:p w14:paraId="626F2734">
            <w:pPr>
              <w:pStyle w:val="53"/>
              <w:spacing w:before="292" w:line="251" w:lineRule="auto"/>
              <w:ind w:left="17" w:right="5" w:firstLine="40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1.患者信息管理。2.随访评估和分类干预。3.健康</w:t>
            </w:r>
            <w:r>
              <w:rPr>
                <w:rFonts w:hint="eastAsia" w:ascii="宋体" w:hAnsi="宋体" w:eastAsia="宋体" w:cs="宋体"/>
                <w:spacing w:val="1"/>
                <w:sz w:val="24"/>
                <w:szCs w:val="24"/>
                <w:highlight w:val="none"/>
              </w:rPr>
              <w:t>体检。</w:t>
            </w:r>
          </w:p>
        </w:tc>
      </w:tr>
      <w:tr w14:paraId="21BF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27" w:type="dxa"/>
            <w:vAlign w:val="top"/>
          </w:tcPr>
          <w:p w14:paraId="0122D08C">
            <w:pPr>
              <w:pStyle w:val="53"/>
              <w:spacing w:before="107" w:line="233" w:lineRule="auto"/>
              <w:ind w:left="281"/>
              <w:rPr>
                <w:rFonts w:hint="eastAsia" w:ascii="宋体" w:hAnsi="宋体" w:eastAsia="宋体" w:cs="宋体"/>
                <w:sz w:val="24"/>
                <w:szCs w:val="24"/>
                <w:highlight w:val="none"/>
              </w:rPr>
            </w:pPr>
            <w:r>
              <w:rPr>
                <w:rFonts w:hint="eastAsia" w:ascii="宋体" w:hAnsi="宋体" w:eastAsia="宋体" w:cs="宋体"/>
                <w:sz w:val="24"/>
                <w:szCs w:val="24"/>
                <w:highlight w:val="none"/>
              </w:rPr>
              <w:t>九</w:t>
            </w:r>
          </w:p>
        </w:tc>
        <w:tc>
          <w:tcPr>
            <w:tcW w:w="1301" w:type="dxa"/>
            <w:vAlign w:val="top"/>
          </w:tcPr>
          <w:p w14:paraId="623D79C0">
            <w:pPr>
              <w:pStyle w:val="53"/>
              <w:spacing w:before="44" w:line="239" w:lineRule="auto"/>
              <w:ind w:left="13" w:right="4" w:firstLine="3"/>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结核病患者健</w:t>
            </w:r>
            <w:r>
              <w:rPr>
                <w:rFonts w:hint="eastAsia" w:ascii="宋体" w:hAnsi="宋体" w:eastAsia="宋体" w:cs="宋体"/>
                <w:spacing w:val="5"/>
                <w:sz w:val="24"/>
                <w:szCs w:val="24"/>
                <w:highlight w:val="none"/>
              </w:rPr>
              <w:t>康管理</w:t>
            </w:r>
          </w:p>
        </w:tc>
        <w:tc>
          <w:tcPr>
            <w:tcW w:w="1700" w:type="dxa"/>
            <w:vAlign w:val="top"/>
          </w:tcPr>
          <w:p w14:paraId="57D03C61">
            <w:pPr>
              <w:pStyle w:val="53"/>
              <w:spacing w:before="44" w:line="239" w:lineRule="auto"/>
              <w:ind w:left="15" w:right="2"/>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辖区内确诊的常住</w:t>
            </w:r>
            <w:r>
              <w:rPr>
                <w:rFonts w:hint="eastAsia" w:ascii="宋体" w:hAnsi="宋体" w:eastAsia="宋体" w:cs="宋体"/>
                <w:spacing w:val="6"/>
                <w:sz w:val="24"/>
                <w:szCs w:val="24"/>
                <w:highlight w:val="none"/>
              </w:rPr>
              <w:t>肺结核患者</w:t>
            </w:r>
          </w:p>
        </w:tc>
        <w:tc>
          <w:tcPr>
            <w:tcW w:w="5469" w:type="dxa"/>
            <w:vAlign w:val="top"/>
          </w:tcPr>
          <w:p w14:paraId="5FD957BE">
            <w:pPr>
              <w:pStyle w:val="53"/>
              <w:spacing w:before="44" w:line="239" w:lineRule="auto"/>
              <w:ind w:left="20" w:right="5" w:firstLine="40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1.筛查及推介转诊。2.第一次入户随访。3.督导服</w:t>
            </w:r>
            <w:r>
              <w:rPr>
                <w:rFonts w:hint="eastAsia" w:ascii="宋体" w:hAnsi="宋体" w:eastAsia="宋体" w:cs="宋体"/>
                <w:spacing w:val="5"/>
                <w:sz w:val="24"/>
                <w:szCs w:val="24"/>
                <w:highlight w:val="none"/>
              </w:rPr>
              <w:t>药和随访管理。4.结案评估。</w:t>
            </w:r>
          </w:p>
        </w:tc>
      </w:tr>
      <w:tr w14:paraId="3F8F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27" w:type="dxa"/>
            <w:vAlign w:val="top"/>
          </w:tcPr>
          <w:p w14:paraId="156079C1">
            <w:pPr>
              <w:pStyle w:val="53"/>
              <w:spacing w:before="228" w:line="231" w:lineRule="auto"/>
              <w:ind w:left="280"/>
              <w:rPr>
                <w:rFonts w:hint="eastAsia" w:ascii="宋体" w:hAnsi="宋体" w:eastAsia="宋体" w:cs="宋体"/>
                <w:sz w:val="24"/>
                <w:szCs w:val="24"/>
                <w:highlight w:val="none"/>
              </w:rPr>
            </w:pPr>
            <w:r>
              <w:rPr>
                <w:rFonts w:hint="eastAsia" w:ascii="宋体" w:hAnsi="宋体" w:eastAsia="宋体" w:cs="宋体"/>
                <w:sz w:val="24"/>
                <w:szCs w:val="24"/>
                <w:highlight w:val="none"/>
              </w:rPr>
              <w:t>十</w:t>
            </w:r>
          </w:p>
        </w:tc>
        <w:tc>
          <w:tcPr>
            <w:tcW w:w="1301" w:type="dxa"/>
            <w:vAlign w:val="top"/>
          </w:tcPr>
          <w:p w14:paraId="2894B431">
            <w:pPr>
              <w:pStyle w:val="53"/>
              <w:spacing w:before="159" w:line="258" w:lineRule="auto"/>
              <w:ind w:left="14" w:right="4" w:firstLine="24"/>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中医药健康管</w:t>
            </w:r>
            <w:r>
              <w:rPr>
                <w:rFonts w:hint="eastAsia" w:ascii="宋体" w:hAnsi="宋体" w:eastAsia="宋体" w:cs="宋体"/>
                <w:sz w:val="24"/>
                <w:szCs w:val="24"/>
                <w:highlight w:val="none"/>
              </w:rPr>
              <w:t>理</w:t>
            </w:r>
          </w:p>
        </w:tc>
        <w:tc>
          <w:tcPr>
            <w:tcW w:w="1700" w:type="dxa"/>
            <w:vAlign w:val="top"/>
          </w:tcPr>
          <w:p w14:paraId="55F66F42">
            <w:pPr>
              <w:pStyle w:val="53"/>
              <w:spacing w:before="31"/>
              <w:ind w:left="15" w:right="2"/>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辖区内65岁及以上</w:t>
            </w:r>
            <w:r>
              <w:rPr>
                <w:rFonts w:hint="eastAsia" w:ascii="宋体" w:hAnsi="宋体" w:eastAsia="宋体" w:cs="宋体"/>
                <w:spacing w:val="19"/>
                <w:sz w:val="24"/>
                <w:szCs w:val="24"/>
                <w:highlight w:val="none"/>
              </w:rPr>
              <w:t>常住居民和0～36</w:t>
            </w:r>
            <w:r>
              <w:rPr>
                <w:rFonts w:hint="eastAsia" w:ascii="宋体" w:hAnsi="宋体" w:eastAsia="宋体" w:cs="宋体"/>
                <w:spacing w:val="6"/>
                <w:sz w:val="24"/>
                <w:szCs w:val="24"/>
                <w:highlight w:val="none"/>
              </w:rPr>
              <w:t>个月儿童</w:t>
            </w:r>
          </w:p>
        </w:tc>
        <w:tc>
          <w:tcPr>
            <w:tcW w:w="5469" w:type="dxa"/>
            <w:vAlign w:val="top"/>
          </w:tcPr>
          <w:p w14:paraId="3D87D88C">
            <w:pPr>
              <w:pStyle w:val="53"/>
              <w:spacing w:before="292" w:line="230" w:lineRule="auto"/>
              <w:ind w:left="42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1.老年人中医体质辨识。2.儿童中医调养。</w:t>
            </w:r>
          </w:p>
        </w:tc>
      </w:tr>
      <w:tr w14:paraId="4C41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27" w:type="dxa"/>
            <w:vAlign w:val="top"/>
          </w:tcPr>
          <w:p w14:paraId="4453781C">
            <w:pPr>
              <w:spacing w:line="293" w:lineRule="auto"/>
              <w:rPr>
                <w:rFonts w:hint="eastAsia" w:ascii="宋体" w:hAnsi="宋体" w:eastAsia="宋体" w:cs="宋体"/>
                <w:sz w:val="24"/>
                <w:szCs w:val="24"/>
                <w:highlight w:val="none"/>
              </w:rPr>
            </w:pPr>
          </w:p>
          <w:p w14:paraId="0A904E60">
            <w:pPr>
              <w:pStyle w:val="53"/>
              <w:spacing w:before="62" w:line="231" w:lineRule="auto"/>
              <w:ind w:left="1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十一</w:t>
            </w:r>
          </w:p>
        </w:tc>
        <w:tc>
          <w:tcPr>
            <w:tcW w:w="1301" w:type="dxa"/>
            <w:vAlign w:val="top"/>
          </w:tcPr>
          <w:p w14:paraId="74A3B97F">
            <w:pPr>
              <w:pStyle w:val="53"/>
              <w:spacing w:before="162" w:line="252" w:lineRule="auto"/>
              <w:ind w:left="13" w:right="4" w:firstLine="2"/>
              <w:jc w:val="both"/>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传染病和突发</w:t>
            </w:r>
            <w:r>
              <w:rPr>
                <w:rFonts w:hint="eastAsia" w:ascii="宋体" w:hAnsi="宋体" w:eastAsia="宋体" w:cs="宋体"/>
                <w:spacing w:val="23"/>
                <w:sz w:val="24"/>
                <w:szCs w:val="24"/>
                <w:highlight w:val="none"/>
              </w:rPr>
              <w:t>公共卫生事件</w:t>
            </w:r>
            <w:r>
              <w:rPr>
                <w:rFonts w:hint="eastAsia" w:ascii="宋体" w:hAnsi="宋体" w:eastAsia="宋体" w:cs="宋体"/>
                <w:spacing w:val="6"/>
                <w:sz w:val="24"/>
                <w:szCs w:val="24"/>
                <w:highlight w:val="none"/>
              </w:rPr>
              <w:t>报告和处理</w:t>
            </w:r>
          </w:p>
        </w:tc>
        <w:tc>
          <w:tcPr>
            <w:tcW w:w="1700" w:type="dxa"/>
            <w:vAlign w:val="top"/>
          </w:tcPr>
          <w:p w14:paraId="4C5B54DA">
            <w:pPr>
              <w:spacing w:line="357" w:lineRule="auto"/>
              <w:rPr>
                <w:rFonts w:hint="eastAsia" w:ascii="宋体" w:hAnsi="宋体" w:eastAsia="宋体" w:cs="宋体"/>
                <w:sz w:val="24"/>
                <w:szCs w:val="24"/>
                <w:highlight w:val="none"/>
              </w:rPr>
            </w:pPr>
          </w:p>
          <w:p w14:paraId="342D4704">
            <w:pPr>
              <w:pStyle w:val="53"/>
              <w:spacing w:before="62" w:line="230" w:lineRule="auto"/>
              <w:ind w:left="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辖区内服务人口</w:t>
            </w:r>
          </w:p>
        </w:tc>
        <w:tc>
          <w:tcPr>
            <w:tcW w:w="5469" w:type="dxa"/>
            <w:vAlign w:val="top"/>
          </w:tcPr>
          <w:p w14:paraId="32553050">
            <w:pPr>
              <w:pStyle w:val="53"/>
              <w:spacing w:before="34" w:line="242" w:lineRule="auto"/>
              <w:ind w:left="19" w:right="5" w:firstLine="404"/>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1.传染病疫情和突发公共卫生事件风险管理。2.传</w:t>
            </w:r>
            <w:r>
              <w:rPr>
                <w:rFonts w:hint="eastAsia" w:ascii="宋体" w:hAnsi="宋体" w:eastAsia="宋体" w:cs="宋体"/>
                <w:spacing w:val="9"/>
                <w:sz w:val="24"/>
                <w:szCs w:val="24"/>
                <w:highlight w:val="none"/>
              </w:rPr>
              <w:t>染病和突发公共卫生事件的发现和登记。3.传染病和突发公共卫生事件相关信息报告。4.传染病和突发公共卫</w:t>
            </w:r>
            <w:r>
              <w:rPr>
                <w:rFonts w:hint="eastAsia" w:ascii="宋体" w:hAnsi="宋体" w:eastAsia="宋体" w:cs="宋体"/>
                <w:spacing w:val="3"/>
                <w:sz w:val="24"/>
                <w:szCs w:val="24"/>
                <w:highlight w:val="none"/>
              </w:rPr>
              <w:t>生事件的处理。</w:t>
            </w:r>
          </w:p>
        </w:tc>
      </w:tr>
      <w:tr w14:paraId="032D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27" w:type="dxa"/>
            <w:shd w:val="clear" w:color="auto" w:fill="auto"/>
            <w:vAlign w:val="top"/>
          </w:tcPr>
          <w:p w14:paraId="59991D91">
            <w:pPr>
              <w:pStyle w:val="53"/>
              <w:spacing w:before="230" w:line="231" w:lineRule="auto"/>
              <w:ind w:left="179"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1"/>
                <w:sz w:val="24"/>
                <w:szCs w:val="24"/>
                <w:highlight w:val="none"/>
              </w:rPr>
              <w:t>十二</w:t>
            </w:r>
          </w:p>
        </w:tc>
        <w:tc>
          <w:tcPr>
            <w:tcW w:w="1301" w:type="dxa"/>
            <w:shd w:val="clear" w:color="auto" w:fill="auto"/>
            <w:vAlign w:val="top"/>
          </w:tcPr>
          <w:p w14:paraId="6703A9CA">
            <w:pPr>
              <w:pStyle w:val="53"/>
              <w:spacing w:before="162" w:line="252" w:lineRule="auto"/>
              <w:ind w:left="13" w:leftChars="0" w:right="4" w:rightChars="0" w:firstLine="2"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22"/>
                <w:sz w:val="24"/>
                <w:szCs w:val="24"/>
                <w:highlight w:val="none"/>
              </w:rPr>
              <w:t>卫生计生监督</w:t>
            </w:r>
            <w:r>
              <w:rPr>
                <w:rFonts w:hint="eastAsia" w:ascii="宋体" w:hAnsi="宋体" w:eastAsia="宋体" w:cs="宋体"/>
                <w:spacing w:val="2"/>
                <w:sz w:val="24"/>
                <w:szCs w:val="24"/>
                <w:highlight w:val="none"/>
              </w:rPr>
              <w:t>协管</w:t>
            </w:r>
          </w:p>
        </w:tc>
        <w:tc>
          <w:tcPr>
            <w:tcW w:w="1700" w:type="dxa"/>
            <w:shd w:val="clear" w:color="auto" w:fill="auto"/>
            <w:vAlign w:val="top"/>
          </w:tcPr>
          <w:p w14:paraId="2732A35C">
            <w:pPr>
              <w:pStyle w:val="53"/>
              <w:spacing w:before="294" w:line="230" w:lineRule="auto"/>
              <w:ind w:left="15"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6"/>
                <w:sz w:val="24"/>
                <w:szCs w:val="24"/>
                <w:highlight w:val="none"/>
              </w:rPr>
              <w:t>辖区内居民</w:t>
            </w:r>
          </w:p>
        </w:tc>
        <w:tc>
          <w:tcPr>
            <w:tcW w:w="5469" w:type="dxa"/>
            <w:shd w:val="clear" w:color="auto" w:fill="auto"/>
            <w:vAlign w:val="top"/>
          </w:tcPr>
          <w:p w14:paraId="32136660">
            <w:pPr>
              <w:pStyle w:val="53"/>
              <w:spacing w:before="35"/>
              <w:ind w:left="16" w:leftChars="0" w:right="5" w:rightChars="0" w:firstLine="406" w:firstLineChars="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8"/>
                <w:sz w:val="24"/>
                <w:szCs w:val="24"/>
                <w:highlight w:val="none"/>
              </w:rPr>
              <w:t>1.食源性疾病及相关信息报告。2.饮用水卫生安全</w:t>
            </w:r>
            <w:r>
              <w:rPr>
                <w:rFonts w:hint="eastAsia" w:ascii="宋体" w:hAnsi="宋体" w:eastAsia="宋体" w:cs="宋体"/>
                <w:spacing w:val="9"/>
                <w:sz w:val="24"/>
                <w:szCs w:val="24"/>
                <w:highlight w:val="none"/>
              </w:rPr>
              <w:t>巡查。3.学校卫生服务。4.非法行医和非法采</w:t>
            </w:r>
            <w:r>
              <w:rPr>
                <w:rFonts w:hint="eastAsia" w:ascii="宋体" w:hAnsi="宋体" w:eastAsia="宋体" w:cs="宋体"/>
                <w:spacing w:val="8"/>
                <w:sz w:val="24"/>
                <w:szCs w:val="24"/>
                <w:highlight w:val="none"/>
              </w:rPr>
              <w:t>供血信息</w:t>
            </w:r>
            <w:r>
              <w:rPr>
                <w:rFonts w:hint="eastAsia" w:ascii="宋体" w:hAnsi="宋体" w:eastAsia="宋体" w:cs="宋体"/>
                <w:spacing w:val="6"/>
                <w:sz w:val="24"/>
                <w:szCs w:val="24"/>
                <w:highlight w:val="none"/>
              </w:rPr>
              <w:t>报告。5.计划生育相关信息报告。</w:t>
            </w:r>
          </w:p>
        </w:tc>
      </w:tr>
      <w:tr w14:paraId="23E7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27" w:type="dxa"/>
            <w:shd w:val="clear" w:color="auto" w:fill="auto"/>
            <w:vAlign w:val="top"/>
          </w:tcPr>
          <w:p w14:paraId="5871484B">
            <w:pPr>
              <w:spacing w:line="294" w:lineRule="auto"/>
              <w:rPr>
                <w:rFonts w:hint="eastAsia" w:ascii="宋体" w:hAnsi="宋体" w:eastAsia="宋体" w:cs="宋体"/>
                <w:sz w:val="24"/>
                <w:szCs w:val="24"/>
                <w:highlight w:val="none"/>
              </w:rPr>
            </w:pPr>
          </w:p>
          <w:p w14:paraId="13E74941">
            <w:pPr>
              <w:pStyle w:val="53"/>
              <w:spacing w:before="61" w:line="231" w:lineRule="auto"/>
              <w:ind w:left="179"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1"/>
                <w:sz w:val="24"/>
                <w:szCs w:val="24"/>
                <w:highlight w:val="none"/>
              </w:rPr>
              <w:t>十三</w:t>
            </w:r>
          </w:p>
        </w:tc>
        <w:tc>
          <w:tcPr>
            <w:tcW w:w="1301" w:type="dxa"/>
            <w:shd w:val="clear" w:color="auto" w:fill="auto"/>
            <w:vAlign w:val="top"/>
          </w:tcPr>
          <w:p w14:paraId="43A68AF3">
            <w:pPr>
              <w:pStyle w:val="53"/>
              <w:spacing w:before="296" w:line="250" w:lineRule="auto"/>
              <w:ind w:left="16" w:leftChars="0" w:right="4" w:rightChars="0" w:firstLine="3"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21"/>
                <w:sz w:val="24"/>
                <w:szCs w:val="24"/>
                <w:highlight w:val="none"/>
              </w:rPr>
              <w:t>免费提供避孕</w:t>
            </w:r>
            <w:r>
              <w:rPr>
                <w:rFonts w:hint="eastAsia" w:ascii="宋体" w:hAnsi="宋体" w:eastAsia="宋体" w:cs="宋体"/>
                <w:sz w:val="24"/>
                <w:szCs w:val="24"/>
                <w:highlight w:val="none"/>
              </w:rPr>
              <w:t>药具</w:t>
            </w:r>
          </w:p>
        </w:tc>
        <w:tc>
          <w:tcPr>
            <w:tcW w:w="7169" w:type="dxa"/>
            <w:gridSpan w:val="2"/>
            <w:shd w:val="clear" w:color="auto" w:fill="auto"/>
            <w:vAlign w:val="top"/>
          </w:tcPr>
          <w:p w14:paraId="01A8D8C9">
            <w:pPr>
              <w:pStyle w:val="53"/>
              <w:spacing w:before="35" w:line="251" w:lineRule="auto"/>
              <w:ind w:left="17" w:firstLine="6"/>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1.省级卫生计生部门作为本地区免费避孕药具采购主体依法实施避孕药</w:t>
            </w:r>
            <w:r>
              <w:rPr>
                <w:rFonts w:hint="eastAsia" w:ascii="宋体" w:hAnsi="宋体" w:eastAsia="宋体" w:cs="宋体"/>
                <w:spacing w:val="-1"/>
                <w:sz w:val="24"/>
                <w:szCs w:val="24"/>
                <w:highlight w:val="none"/>
              </w:rPr>
              <w:t>具采购。</w:t>
            </w:r>
          </w:p>
          <w:p w14:paraId="6398B074">
            <w:pPr>
              <w:pStyle w:val="53"/>
              <w:spacing w:before="35"/>
              <w:ind w:left="16" w:leftChars="0" w:right="5" w:rightChars="0" w:firstLine="406" w:firstLineChars="0"/>
              <w:jc w:val="both"/>
              <w:rPr>
                <w:rFonts w:hint="eastAsia" w:ascii="宋体" w:hAnsi="宋体" w:eastAsia="宋体" w:cs="宋体"/>
                <w:spacing w:val="8"/>
                <w:sz w:val="24"/>
                <w:szCs w:val="24"/>
                <w:highlight w:val="none"/>
              </w:rPr>
            </w:pPr>
            <w:r>
              <w:rPr>
                <w:rFonts w:hint="eastAsia" w:ascii="宋体" w:hAnsi="宋体" w:eastAsia="宋体" w:cs="宋体"/>
                <w:spacing w:val="7"/>
                <w:sz w:val="24"/>
                <w:szCs w:val="24"/>
                <w:highlight w:val="none"/>
              </w:rPr>
              <w:t>2.省、地市、县级计划生育药具管理机构负责免费</w:t>
            </w:r>
            <w:r>
              <w:rPr>
                <w:rFonts w:hint="eastAsia" w:ascii="宋体" w:hAnsi="宋体" w:eastAsia="宋体" w:cs="宋体"/>
                <w:spacing w:val="6"/>
                <w:sz w:val="24"/>
                <w:szCs w:val="24"/>
                <w:highlight w:val="none"/>
              </w:rPr>
              <w:t>避孕药具存储、调拨等工</w:t>
            </w:r>
            <w:r>
              <w:rPr>
                <w:rFonts w:hint="eastAsia" w:ascii="宋体" w:hAnsi="宋体" w:eastAsia="宋体" w:cs="宋体"/>
                <w:spacing w:val="-8"/>
                <w:sz w:val="24"/>
                <w:szCs w:val="24"/>
                <w:highlight w:val="none"/>
              </w:rPr>
              <w:t>作。</w:t>
            </w:r>
          </w:p>
        </w:tc>
      </w:tr>
      <w:tr w14:paraId="2346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27" w:type="dxa"/>
            <w:shd w:val="clear" w:color="auto" w:fill="auto"/>
            <w:vAlign w:val="top"/>
          </w:tcPr>
          <w:p w14:paraId="42626714">
            <w:pPr>
              <w:pStyle w:val="53"/>
              <w:spacing w:before="226" w:line="231" w:lineRule="auto"/>
              <w:ind w:left="179"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1"/>
                <w:sz w:val="24"/>
                <w:szCs w:val="24"/>
                <w:highlight w:val="none"/>
              </w:rPr>
              <w:t>十四</w:t>
            </w:r>
          </w:p>
        </w:tc>
        <w:tc>
          <w:tcPr>
            <w:tcW w:w="1301" w:type="dxa"/>
            <w:shd w:val="clear" w:color="auto" w:fill="auto"/>
            <w:vAlign w:val="top"/>
          </w:tcPr>
          <w:p w14:paraId="1658D98D">
            <w:pPr>
              <w:pStyle w:val="53"/>
              <w:spacing w:before="162" w:line="251" w:lineRule="auto"/>
              <w:ind w:left="14" w:leftChars="0" w:right="4" w:rightChars="0" w:hanging="2"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23"/>
                <w:sz w:val="24"/>
                <w:szCs w:val="24"/>
                <w:highlight w:val="none"/>
              </w:rPr>
              <w:t>健康素养促进</w:t>
            </w:r>
            <w:r>
              <w:rPr>
                <w:rFonts w:hint="eastAsia" w:ascii="宋体" w:hAnsi="宋体" w:eastAsia="宋体" w:cs="宋体"/>
                <w:spacing w:val="1"/>
                <w:sz w:val="24"/>
                <w:szCs w:val="24"/>
                <w:highlight w:val="none"/>
              </w:rPr>
              <w:t>行动</w:t>
            </w:r>
          </w:p>
        </w:tc>
        <w:tc>
          <w:tcPr>
            <w:tcW w:w="7169" w:type="dxa"/>
            <w:gridSpan w:val="2"/>
            <w:shd w:val="clear" w:color="auto" w:fill="auto"/>
            <w:vAlign w:val="top"/>
          </w:tcPr>
          <w:p w14:paraId="5C813B12">
            <w:pPr>
              <w:pStyle w:val="53"/>
              <w:spacing w:before="31" w:line="231" w:lineRule="auto"/>
              <w:jc w:val="right"/>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1.健康促进县（区）建设。2.健康科普。3.健康促进医院和戒烟门诊</w:t>
            </w:r>
            <w:r>
              <w:rPr>
                <w:rFonts w:hint="eastAsia" w:ascii="宋体" w:hAnsi="宋体" w:eastAsia="宋体" w:cs="宋体"/>
                <w:spacing w:val="3"/>
                <w:sz w:val="24"/>
                <w:szCs w:val="24"/>
                <w:highlight w:val="none"/>
              </w:rPr>
              <w:t>建设。</w:t>
            </w:r>
          </w:p>
          <w:p w14:paraId="6D0B2EA7">
            <w:pPr>
              <w:pStyle w:val="53"/>
              <w:spacing w:before="35"/>
              <w:ind w:left="16" w:leftChars="0" w:right="5" w:rightChars="0" w:firstLine="406" w:firstLineChars="0"/>
              <w:jc w:val="both"/>
              <w:rPr>
                <w:rFonts w:hint="eastAsia" w:ascii="宋体" w:hAnsi="宋体" w:eastAsia="宋体" w:cs="宋体"/>
                <w:spacing w:val="8"/>
                <w:sz w:val="24"/>
                <w:szCs w:val="24"/>
                <w:highlight w:val="none"/>
              </w:rPr>
            </w:pPr>
            <w:r>
              <w:rPr>
                <w:rFonts w:hint="eastAsia" w:ascii="宋体" w:hAnsi="宋体" w:eastAsia="宋体" w:cs="宋体"/>
                <w:spacing w:val="7"/>
                <w:sz w:val="24"/>
                <w:szCs w:val="24"/>
                <w:highlight w:val="none"/>
              </w:rPr>
              <w:t>4.健康素养和烟草流行监测。5.12320热线咨询服务。6.重点疾病</w:t>
            </w:r>
            <w:r>
              <w:rPr>
                <w:rFonts w:hint="eastAsia" w:ascii="宋体" w:hAnsi="宋体" w:eastAsia="宋体" w:cs="宋体"/>
                <w:spacing w:val="6"/>
                <w:sz w:val="24"/>
                <w:szCs w:val="24"/>
                <w:highlight w:val="none"/>
              </w:rPr>
              <w:t>、重点领</w:t>
            </w:r>
            <w:r>
              <w:rPr>
                <w:rFonts w:hint="eastAsia" w:ascii="宋体" w:hAnsi="宋体" w:eastAsia="宋体" w:cs="宋体"/>
                <w:spacing w:val="7"/>
                <w:sz w:val="24"/>
                <w:szCs w:val="24"/>
                <w:highlight w:val="none"/>
              </w:rPr>
              <w:t>域和重点人群的健康教育。</w:t>
            </w:r>
          </w:p>
        </w:tc>
      </w:tr>
    </w:tbl>
    <w:p w14:paraId="6EE8F4D6">
      <w:pPr>
        <w:rPr>
          <w:rFonts w:hint="eastAsia" w:ascii="宋体" w:hAnsi="宋体" w:eastAsia="宋体" w:cs="宋体"/>
          <w:sz w:val="24"/>
          <w:szCs w:val="24"/>
          <w:highlight w:val="none"/>
          <w:lang w:val="en-US" w:eastAsia="zh-CN"/>
        </w:rPr>
      </w:pPr>
    </w:p>
    <w:p w14:paraId="50A768BC">
      <w:pPr>
        <w:spacing w:before="74" w:line="366" w:lineRule="auto"/>
        <w:ind w:left="107" w:right="254" w:firstLine="471"/>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8.3基本医疗服务：运用适宜的中西医药及技术，开展常见病、多发病、慢性病的</w:t>
      </w:r>
      <w:r>
        <w:rPr>
          <w:rFonts w:hint="eastAsia" w:ascii="宋体" w:hAnsi="宋体" w:eastAsia="宋体" w:cs="宋体"/>
          <w:spacing w:val="7"/>
          <w:sz w:val="24"/>
          <w:szCs w:val="24"/>
          <w:highlight w:val="none"/>
        </w:rPr>
        <w:t>诊疗，</w:t>
      </w:r>
      <w:r>
        <w:rPr>
          <w:rFonts w:hint="eastAsia" w:ascii="宋体" w:hAnsi="宋体" w:eastAsia="宋体" w:cs="宋体"/>
          <w:spacing w:val="6"/>
          <w:sz w:val="24"/>
          <w:szCs w:val="24"/>
          <w:highlight w:val="none"/>
        </w:rPr>
        <w:t>提供8小时服务。与区域内综合医院建立定</w:t>
      </w:r>
      <w:r>
        <w:rPr>
          <w:rFonts w:hint="eastAsia" w:ascii="宋体" w:hAnsi="宋体" w:eastAsia="宋体" w:cs="宋体"/>
          <w:spacing w:val="8"/>
          <w:sz w:val="24"/>
          <w:szCs w:val="24"/>
          <w:highlight w:val="none"/>
        </w:rPr>
        <w:t>点协作关系，提供会诊和双向转诊服务，开展康复期医疗服务。</w:t>
      </w:r>
    </w:p>
    <w:tbl>
      <w:tblPr>
        <w:tblStyle w:val="4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2"/>
        <w:gridCol w:w="884"/>
        <w:gridCol w:w="1950"/>
        <w:gridCol w:w="6414"/>
      </w:tblGrid>
      <w:tr w14:paraId="4D38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17" w:type="pct"/>
            <w:vAlign w:val="top"/>
          </w:tcPr>
          <w:p w14:paraId="540088BF">
            <w:pPr>
              <w:pStyle w:val="53"/>
              <w:spacing w:before="36" w:line="234" w:lineRule="auto"/>
              <w:ind w:left="99" w:right="154" w:hanging="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服务分</w:t>
            </w:r>
            <w:r>
              <w:rPr>
                <w:rFonts w:hint="eastAsia" w:ascii="宋体" w:hAnsi="宋体" w:eastAsia="宋体" w:cs="宋体"/>
                <w:sz w:val="24"/>
                <w:szCs w:val="24"/>
                <w:highlight w:val="none"/>
              </w:rPr>
              <w:t>类</w:t>
            </w:r>
          </w:p>
        </w:tc>
        <w:tc>
          <w:tcPr>
            <w:tcW w:w="438" w:type="pct"/>
            <w:vAlign w:val="top"/>
          </w:tcPr>
          <w:p w14:paraId="6DABB092">
            <w:pPr>
              <w:pStyle w:val="53"/>
              <w:spacing w:before="36" w:line="234" w:lineRule="auto"/>
              <w:ind w:left="354" w:right="143" w:hanging="20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适用对</w:t>
            </w:r>
            <w:r>
              <w:rPr>
                <w:rFonts w:hint="eastAsia" w:ascii="宋体" w:hAnsi="宋体" w:eastAsia="宋体" w:cs="宋体"/>
                <w:sz w:val="24"/>
                <w:szCs w:val="24"/>
                <w:highlight w:val="none"/>
              </w:rPr>
              <w:t>象</w:t>
            </w:r>
          </w:p>
        </w:tc>
        <w:tc>
          <w:tcPr>
            <w:tcW w:w="966" w:type="pct"/>
            <w:vAlign w:val="top"/>
          </w:tcPr>
          <w:p w14:paraId="5A97BA29">
            <w:pPr>
              <w:pStyle w:val="53"/>
              <w:spacing w:before="163" w:line="231" w:lineRule="auto"/>
              <w:ind w:left="94"/>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服务包内容</w:t>
            </w:r>
          </w:p>
        </w:tc>
        <w:tc>
          <w:tcPr>
            <w:tcW w:w="3177" w:type="pct"/>
            <w:vAlign w:val="top"/>
          </w:tcPr>
          <w:p w14:paraId="43BBC61B">
            <w:pPr>
              <w:pStyle w:val="53"/>
              <w:spacing w:before="98" w:line="231" w:lineRule="auto"/>
              <w:ind w:left="280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服务说明</w:t>
            </w:r>
          </w:p>
        </w:tc>
      </w:tr>
      <w:tr w14:paraId="63C1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restart"/>
            <w:tcBorders>
              <w:bottom w:val="nil"/>
            </w:tcBorders>
            <w:vAlign w:val="top"/>
          </w:tcPr>
          <w:p w14:paraId="5363145B">
            <w:pPr>
              <w:spacing w:line="465" w:lineRule="auto"/>
              <w:rPr>
                <w:rFonts w:hint="eastAsia" w:ascii="宋体" w:hAnsi="宋体" w:eastAsia="宋体" w:cs="宋体"/>
                <w:sz w:val="24"/>
                <w:szCs w:val="24"/>
                <w:highlight w:val="none"/>
              </w:rPr>
            </w:pPr>
          </w:p>
          <w:p w14:paraId="09CED578">
            <w:pPr>
              <w:pStyle w:val="53"/>
              <w:spacing w:before="62" w:line="378" w:lineRule="auto"/>
              <w:ind w:left="338" w:right="120" w:hanging="207"/>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基本服</w:t>
            </w:r>
            <w:r>
              <w:rPr>
                <w:rFonts w:hint="eastAsia" w:ascii="宋体" w:hAnsi="宋体" w:eastAsia="宋体" w:cs="宋体"/>
                <w:sz w:val="24"/>
                <w:szCs w:val="24"/>
                <w:highlight w:val="none"/>
              </w:rPr>
              <w:t>务</w:t>
            </w:r>
          </w:p>
        </w:tc>
        <w:tc>
          <w:tcPr>
            <w:tcW w:w="438" w:type="pct"/>
            <w:vMerge w:val="restart"/>
            <w:tcBorders>
              <w:bottom w:val="nil"/>
            </w:tcBorders>
            <w:vAlign w:val="top"/>
          </w:tcPr>
          <w:p w14:paraId="3AE80BF3">
            <w:pPr>
              <w:spacing w:line="286" w:lineRule="auto"/>
              <w:rPr>
                <w:rFonts w:hint="eastAsia" w:ascii="宋体" w:hAnsi="宋体" w:eastAsia="宋体" w:cs="宋体"/>
                <w:sz w:val="24"/>
                <w:szCs w:val="24"/>
                <w:highlight w:val="none"/>
              </w:rPr>
            </w:pPr>
          </w:p>
          <w:p w14:paraId="28ADBF63">
            <w:pPr>
              <w:spacing w:line="286" w:lineRule="auto"/>
              <w:rPr>
                <w:rFonts w:hint="eastAsia" w:ascii="宋体" w:hAnsi="宋体" w:eastAsia="宋体" w:cs="宋体"/>
                <w:sz w:val="24"/>
                <w:szCs w:val="24"/>
                <w:highlight w:val="none"/>
              </w:rPr>
            </w:pPr>
          </w:p>
          <w:p w14:paraId="428D960B">
            <w:pPr>
              <w:spacing w:line="286" w:lineRule="auto"/>
              <w:rPr>
                <w:rFonts w:hint="eastAsia" w:ascii="宋体" w:hAnsi="宋体" w:eastAsia="宋体" w:cs="宋体"/>
                <w:sz w:val="24"/>
                <w:szCs w:val="24"/>
                <w:highlight w:val="none"/>
              </w:rPr>
            </w:pPr>
          </w:p>
          <w:p w14:paraId="06530C54">
            <w:pPr>
              <w:spacing w:line="286" w:lineRule="auto"/>
              <w:rPr>
                <w:rFonts w:hint="eastAsia" w:ascii="宋体" w:hAnsi="宋体" w:eastAsia="宋体" w:cs="宋体"/>
                <w:sz w:val="24"/>
                <w:szCs w:val="24"/>
                <w:highlight w:val="none"/>
              </w:rPr>
            </w:pPr>
          </w:p>
          <w:p w14:paraId="57E2A1C8">
            <w:pPr>
              <w:spacing w:line="287" w:lineRule="auto"/>
              <w:rPr>
                <w:rFonts w:hint="eastAsia" w:ascii="宋体" w:hAnsi="宋体" w:eastAsia="宋体" w:cs="宋体"/>
                <w:sz w:val="24"/>
                <w:szCs w:val="24"/>
                <w:highlight w:val="none"/>
              </w:rPr>
            </w:pPr>
          </w:p>
          <w:p w14:paraId="688F25A3">
            <w:pPr>
              <w:pStyle w:val="53"/>
              <w:spacing w:before="62" w:line="378" w:lineRule="auto"/>
              <w:ind w:left="152" w:right="14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所有签约人群</w:t>
            </w:r>
          </w:p>
        </w:tc>
        <w:tc>
          <w:tcPr>
            <w:tcW w:w="966" w:type="pct"/>
            <w:vAlign w:val="top"/>
          </w:tcPr>
          <w:p w14:paraId="76D89BF2">
            <w:pPr>
              <w:pStyle w:val="53"/>
              <w:spacing w:before="30" w:line="235" w:lineRule="auto"/>
              <w:ind w:left="96" w:right="83" w:firstLine="7"/>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1.建立电子健康档</w:t>
            </w:r>
            <w:r>
              <w:rPr>
                <w:rFonts w:hint="eastAsia" w:ascii="宋体" w:hAnsi="宋体" w:eastAsia="宋体" w:cs="宋体"/>
                <w:sz w:val="24"/>
                <w:szCs w:val="24"/>
                <w:highlight w:val="none"/>
              </w:rPr>
              <w:t>案</w:t>
            </w:r>
          </w:p>
        </w:tc>
        <w:tc>
          <w:tcPr>
            <w:tcW w:w="3177" w:type="pct"/>
            <w:vAlign w:val="top"/>
          </w:tcPr>
          <w:p w14:paraId="2F6C5F19">
            <w:pPr>
              <w:pStyle w:val="53"/>
              <w:spacing w:before="157" w:line="229" w:lineRule="auto"/>
              <w:ind w:left="49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建立完善电子健康档案，并及时更新服务内容</w:t>
            </w:r>
          </w:p>
        </w:tc>
      </w:tr>
      <w:tr w14:paraId="4879C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17" w:type="pct"/>
            <w:vMerge w:val="continue"/>
            <w:tcBorders>
              <w:top w:val="nil"/>
              <w:bottom w:val="nil"/>
            </w:tcBorders>
            <w:vAlign w:val="top"/>
          </w:tcPr>
          <w:p w14:paraId="769C501A">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74839FCC">
            <w:pPr>
              <w:rPr>
                <w:rFonts w:hint="eastAsia" w:ascii="宋体" w:hAnsi="宋体" w:eastAsia="宋体" w:cs="宋体"/>
                <w:sz w:val="24"/>
                <w:szCs w:val="24"/>
                <w:highlight w:val="none"/>
              </w:rPr>
            </w:pPr>
          </w:p>
        </w:tc>
        <w:tc>
          <w:tcPr>
            <w:tcW w:w="966" w:type="pct"/>
            <w:vAlign w:val="top"/>
          </w:tcPr>
          <w:p w14:paraId="43847AC6">
            <w:pPr>
              <w:pStyle w:val="53"/>
              <w:spacing w:before="40"/>
              <w:ind w:left="105" w:right="83" w:hanging="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2.个体化健康指导</w:t>
            </w:r>
            <w:r>
              <w:rPr>
                <w:rFonts w:hint="eastAsia" w:ascii="宋体" w:hAnsi="宋体" w:eastAsia="宋体" w:cs="宋体"/>
                <w:spacing w:val="-2"/>
                <w:sz w:val="24"/>
                <w:szCs w:val="24"/>
                <w:highlight w:val="none"/>
              </w:rPr>
              <w:t>咨询</w:t>
            </w:r>
          </w:p>
        </w:tc>
        <w:tc>
          <w:tcPr>
            <w:tcW w:w="3177" w:type="pct"/>
            <w:vAlign w:val="top"/>
          </w:tcPr>
          <w:p w14:paraId="5F2D043B">
            <w:pPr>
              <w:pStyle w:val="53"/>
              <w:spacing w:before="168" w:line="229"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通过门诊、电话、微信、</w:t>
            </w:r>
            <w:r>
              <w:rPr>
                <w:rFonts w:hint="eastAsia" w:ascii="宋体" w:hAnsi="宋体" w:eastAsia="宋体" w:cs="宋体"/>
                <w:sz w:val="24"/>
                <w:szCs w:val="24"/>
                <w:highlight w:val="none"/>
              </w:rPr>
              <w:t>APP</w:t>
            </w:r>
            <w:r>
              <w:rPr>
                <w:rFonts w:hint="eastAsia" w:ascii="宋体" w:hAnsi="宋体" w:eastAsia="宋体" w:cs="宋体"/>
                <w:spacing w:val="4"/>
                <w:sz w:val="24"/>
                <w:szCs w:val="24"/>
                <w:highlight w:val="none"/>
              </w:rPr>
              <w:t>等接受健康咨询服务并提供健康</w:t>
            </w:r>
            <w:r>
              <w:rPr>
                <w:rFonts w:hint="eastAsia" w:ascii="宋体" w:hAnsi="宋体" w:eastAsia="宋体" w:cs="宋体"/>
                <w:spacing w:val="3"/>
                <w:sz w:val="24"/>
                <w:szCs w:val="24"/>
                <w:highlight w:val="none"/>
              </w:rPr>
              <w:t>指导</w:t>
            </w:r>
          </w:p>
        </w:tc>
      </w:tr>
      <w:tr w14:paraId="25AE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17" w:type="pct"/>
            <w:vMerge w:val="continue"/>
            <w:tcBorders>
              <w:top w:val="nil"/>
              <w:bottom w:val="nil"/>
            </w:tcBorders>
            <w:vAlign w:val="top"/>
          </w:tcPr>
          <w:p w14:paraId="38DA383F">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384ED257">
            <w:pPr>
              <w:rPr>
                <w:rFonts w:hint="eastAsia" w:ascii="宋体" w:hAnsi="宋体" w:eastAsia="宋体" w:cs="宋体"/>
                <w:sz w:val="24"/>
                <w:szCs w:val="24"/>
                <w:highlight w:val="none"/>
              </w:rPr>
            </w:pPr>
          </w:p>
        </w:tc>
        <w:tc>
          <w:tcPr>
            <w:tcW w:w="966" w:type="pct"/>
            <w:vAlign w:val="top"/>
          </w:tcPr>
          <w:p w14:paraId="4D663B9D">
            <w:pPr>
              <w:pStyle w:val="53"/>
              <w:spacing w:before="160" w:line="231" w:lineRule="auto"/>
              <w:ind w:left="9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3.健康教育服务</w:t>
            </w:r>
          </w:p>
        </w:tc>
        <w:tc>
          <w:tcPr>
            <w:tcW w:w="3177" w:type="pct"/>
            <w:vAlign w:val="top"/>
          </w:tcPr>
          <w:p w14:paraId="1B9E3C2B">
            <w:pPr>
              <w:pStyle w:val="53"/>
              <w:spacing w:before="29" w:line="235" w:lineRule="auto"/>
              <w:ind w:left="97" w:right="83" w:firstLine="40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通过公众健康咨询活动及健康知识讲座等方式主动开展健康教育活</w:t>
            </w:r>
            <w:r>
              <w:rPr>
                <w:rFonts w:hint="eastAsia" w:ascii="宋体" w:hAnsi="宋体" w:eastAsia="宋体" w:cs="宋体"/>
                <w:spacing w:val="8"/>
                <w:sz w:val="24"/>
                <w:szCs w:val="24"/>
                <w:highlight w:val="none"/>
              </w:rPr>
              <w:t>动，提供健康教育折页、处方、手册等</w:t>
            </w:r>
          </w:p>
        </w:tc>
      </w:tr>
      <w:tr w14:paraId="40170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tcBorders>
              <w:top w:val="nil"/>
              <w:bottom w:val="nil"/>
            </w:tcBorders>
            <w:vAlign w:val="top"/>
          </w:tcPr>
          <w:p w14:paraId="46FCA904">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47D97B34">
            <w:pPr>
              <w:rPr>
                <w:rFonts w:hint="eastAsia" w:ascii="宋体" w:hAnsi="宋体" w:eastAsia="宋体" w:cs="宋体"/>
                <w:sz w:val="24"/>
                <w:szCs w:val="24"/>
                <w:highlight w:val="none"/>
              </w:rPr>
            </w:pPr>
          </w:p>
        </w:tc>
        <w:tc>
          <w:tcPr>
            <w:tcW w:w="966" w:type="pct"/>
            <w:vAlign w:val="top"/>
          </w:tcPr>
          <w:p w14:paraId="558739B1">
            <w:pPr>
              <w:pStyle w:val="53"/>
              <w:spacing w:before="32" w:line="234" w:lineRule="auto"/>
              <w:ind w:left="100" w:right="83" w:hanging="1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4.健康知识推送服</w:t>
            </w:r>
            <w:r>
              <w:rPr>
                <w:rFonts w:hint="eastAsia" w:ascii="宋体" w:hAnsi="宋体" w:eastAsia="宋体" w:cs="宋体"/>
                <w:sz w:val="24"/>
                <w:szCs w:val="24"/>
                <w:highlight w:val="none"/>
              </w:rPr>
              <w:t>务</w:t>
            </w:r>
          </w:p>
        </w:tc>
        <w:tc>
          <w:tcPr>
            <w:tcW w:w="3177" w:type="pct"/>
            <w:vAlign w:val="top"/>
          </w:tcPr>
          <w:p w14:paraId="10116075">
            <w:pPr>
              <w:pStyle w:val="53"/>
              <w:spacing w:before="32" w:line="234" w:lineRule="auto"/>
              <w:ind w:left="95" w:right="120" w:firstLine="40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采用微信或短信等推送方式，推送日常健康知识、疾病预防知识、</w:t>
            </w:r>
            <w:r>
              <w:rPr>
                <w:rFonts w:hint="eastAsia" w:ascii="宋体" w:hAnsi="宋体" w:eastAsia="宋体" w:cs="宋体"/>
                <w:spacing w:val="8"/>
                <w:sz w:val="24"/>
                <w:szCs w:val="24"/>
                <w:highlight w:val="none"/>
              </w:rPr>
              <w:t>养生保健知识等健康信息</w:t>
            </w:r>
          </w:p>
        </w:tc>
      </w:tr>
      <w:tr w14:paraId="1881D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tcBorders>
              <w:top w:val="nil"/>
              <w:bottom w:val="nil"/>
            </w:tcBorders>
            <w:vAlign w:val="top"/>
          </w:tcPr>
          <w:p w14:paraId="170758E1">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02AE1A37">
            <w:pPr>
              <w:rPr>
                <w:rFonts w:hint="eastAsia" w:ascii="宋体" w:hAnsi="宋体" w:eastAsia="宋体" w:cs="宋体"/>
                <w:sz w:val="24"/>
                <w:szCs w:val="24"/>
                <w:highlight w:val="none"/>
              </w:rPr>
            </w:pPr>
          </w:p>
        </w:tc>
        <w:tc>
          <w:tcPr>
            <w:tcW w:w="966" w:type="pct"/>
            <w:vAlign w:val="top"/>
          </w:tcPr>
          <w:p w14:paraId="62D143C1">
            <w:pPr>
              <w:pStyle w:val="53"/>
              <w:spacing w:before="32" w:line="234" w:lineRule="auto"/>
              <w:ind w:left="100" w:right="83" w:hanging="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5.签约门诊预约服</w:t>
            </w:r>
            <w:r>
              <w:rPr>
                <w:rFonts w:hint="eastAsia" w:ascii="宋体" w:hAnsi="宋体" w:eastAsia="宋体" w:cs="宋体"/>
                <w:sz w:val="24"/>
                <w:szCs w:val="24"/>
                <w:highlight w:val="none"/>
              </w:rPr>
              <w:t>务</w:t>
            </w:r>
          </w:p>
        </w:tc>
        <w:tc>
          <w:tcPr>
            <w:tcW w:w="3177" w:type="pct"/>
            <w:vAlign w:val="top"/>
          </w:tcPr>
          <w:p w14:paraId="27013BCD">
            <w:pPr>
              <w:pStyle w:val="53"/>
              <w:spacing w:before="160" w:line="231" w:lineRule="auto"/>
              <w:ind w:left="50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为签约居民提供家庭医生预约门诊服务</w:t>
            </w:r>
          </w:p>
        </w:tc>
      </w:tr>
      <w:tr w14:paraId="5201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tcBorders>
              <w:top w:val="nil"/>
              <w:bottom w:val="nil"/>
            </w:tcBorders>
            <w:vAlign w:val="top"/>
          </w:tcPr>
          <w:p w14:paraId="17CEB1F3">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7C53A129">
            <w:pPr>
              <w:rPr>
                <w:rFonts w:hint="eastAsia" w:ascii="宋体" w:hAnsi="宋体" w:eastAsia="宋体" w:cs="宋体"/>
                <w:sz w:val="24"/>
                <w:szCs w:val="24"/>
                <w:highlight w:val="none"/>
              </w:rPr>
            </w:pPr>
          </w:p>
        </w:tc>
        <w:tc>
          <w:tcPr>
            <w:tcW w:w="966" w:type="pct"/>
            <w:vAlign w:val="top"/>
          </w:tcPr>
          <w:p w14:paraId="07BD60DF">
            <w:pPr>
              <w:pStyle w:val="53"/>
              <w:spacing w:before="160" w:line="231" w:lineRule="auto"/>
              <w:ind w:left="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6.分级诊疗服务</w:t>
            </w:r>
          </w:p>
        </w:tc>
        <w:tc>
          <w:tcPr>
            <w:tcW w:w="3177" w:type="pct"/>
            <w:vAlign w:val="top"/>
          </w:tcPr>
          <w:p w14:paraId="43F5753E">
            <w:pPr>
              <w:pStyle w:val="53"/>
              <w:spacing w:before="30" w:line="235" w:lineRule="auto"/>
              <w:ind w:left="92" w:right="83" w:firstLine="40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根据签约居民的病情需要提供或者协调医疗资源，包括为签约居民</w:t>
            </w:r>
            <w:r>
              <w:rPr>
                <w:rFonts w:hint="eastAsia" w:ascii="宋体" w:hAnsi="宋体" w:eastAsia="宋体" w:cs="宋体"/>
                <w:spacing w:val="9"/>
                <w:sz w:val="24"/>
                <w:szCs w:val="24"/>
                <w:highlight w:val="none"/>
              </w:rPr>
              <w:t>联系专家门诊、会诊、大型医疗设备检查、住院服务等</w:t>
            </w:r>
          </w:p>
        </w:tc>
      </w:tr>
      <w:tr w14:paraId="535E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17" w:type="pct"/>
            <w:vMerge w:val="continue"/>
            <w:tcBorders>
              <w:top w:val="nil"/>
            </w:tcBorders>
            <w:vAlign w:val="top"/>
          </w:tcPr>
          <w:p w14:paraId="4C6E38DD">
            <w:pPr>
              <w:rPr>
                <w:rFonts w:hint="eastAsia" w:ascii="宋体" w:hAnsi="宋体" w:eastAsia="宋体" w:cs="宋体"/>
                <w:sz w:val="24"/>
                <w:szCs w:val="24"/>
                <w:highlight w:val="none"/>
              </w:rPr>
            </w:pPr>
          </w:p>
        </w:tc>
        <w:tc>
          <w:tcPr>
            <w:tcW w:w="438" w:type="pct"/>
            <w:vMerge w:val="continue"/>
            <w:tcBorders>
              <w:top w:val="nil"/>
            </w:tcBorders>
            <w:vAlign w:val="top"/>
          </w:tcPr>
          <w:p w14:paraId="734F44A2">
            <w:pPr>
              <w:rPr>
                <w:rFonts w:hint="eastAsia" w:ascii="宋体" w:hAnsi="宋体" w:eastAsia="宋体" w:cs="宋体"/>
                <w:sz w:val="24"/>
                <w:szCs w:val="24"/>
                <w:highlight w:val="none"/>
              </w:rPr>
            </w:pPr>
          </w:p>
        </w:tc>
        <w:tc>
          <w:tcPr>
            <w:tcW w:w="966" w:type="pct"/>
            <w:vAlign w:val="top"/>
          </w:tcPr>
          <w:p w14:paraId="44B0E811">
            <w:pPr>
              <w:pStyle w:val="53"/>
              <w:spacing w:before="42" w:line="233" w:lineRule="auto"/>
              <w:ind w:left="93" w:right="8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7.慢性病连续处方</w:t>
            </w:r>
            <w:r>
              <w:rPr>
                <w:rFonts w:hint="eastAsia" w:ascii="宋体" w:hAnsi="宋体" w:eastAsia="宋体" w:cs="宋体"/>
                <w:spacing w:val="2"/>
                <w:sz w:val="24"/>
                <w:szCs w:val="24"/>
                <w:highlight w:val="none"/>
              </w:rPr>
              <w:t>服务</w:t>
            </w:r>
          </w:p>
        </w:tc>
        <w:tc>
          <w:tcPr>
            <w:tcW w:w="3177" w:type="pct"/>
            <w:vAlign w:val="top"/>
          </w:tcPr>
          <w:p w14:paraId="4D3E612F">
            <w:pPr>
              <w:pStyle w:val="53"/>
              <w:spacing w:before="42" w:line="233" w:lineRule="auto"/>
              <w:ind w:left="96" w:right="85" w:firstLine="40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为符合条件的签约患者提供最长8周的慢性病连续处方服务，并跟</w:t>
            </w:r>
            <w:r>
              <w:rPr>
                <w:rFonts w:hint="eastAsia" w:ascii="宋体" w:hAnsi="宋体" w:eastAsia="宋体" w:cs="宋体"/>
                <w:spacing w:val="6"/>
                <w:sz w:val="24"/>
                <w:szCs w:val="24"/>
                <w:highlight w:val="none"/>
              </w:rPr>
              <w:t>踪随访管理</w:t>
            </w:r>
          </w:p>
        </w:tc>
      </w:tr>
      <w:tr w14:paraId="4516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restart"/>
            <w:tcBorders>
              <w:bottom w:val="nil"/>
            </w:tcBorders>
            <w:vAlign w:val="top"/>
          </w:tcPr>
          <w:p w14:paraId="777765D5">
            <w:pPr>
              <w:spacing w:line="257" w:lineRule="auto"/>
              <w:rPr>
                <w:rFonts w:hint="eastAsia" w:ascii="宋体" w:hAnsi="宋体" w:eastAsia="宋体" w:cs="宋体"/>
                <w:sz w:val="24"/>
                <w:szCs w:val="24"/>
                <w:highlight w:val="none"/>
              </w:rPr>
            </w:pPr>
          </w:p>
          <w:p w14:paraId="464698DD">
            <w:pPr>
              <w:spacing w:line="257" w:lineRule="auto"/>
              <w:rPr>
                <w:rFonts w:hint="eastAsia" w:ascii="宋体" w:hAnsi="宋体" w:eastAsia="宋体" w:cs="宋体"/>
                <w:sz w:val="24"/>
                <w:szCs w:val="24"/>
                <w:highlight w:val="none"/>
              </w:rPr>
            </w:pPr>
          </w:p>
          <w:p w14:paraId="7E9C31F4">
            <w:pPr>
              <w:spacing w:line="257" w:lineRule="auto"/>
              <w:rPr>
                <w:rFonts w:hint="eastAsia" w:ascii="宋体" w:hAnsi="宋体" w:eastAsia="宋体" w:cs="宋体"/>
                <w:sz w:val="24"/>
                <w:szCs w:val="24"/>
                <w:highlight w:val="none"/>
              </w:rPr>
            </w:pPr>
          </w:p>
          <w:p w14:paraId="5C65838A">
            <w:pPr>
              <w:spacing w:line="257" w:lineRule="auto"/>
              <w:rPr>
                <w:rFonts w:hint="eastAsia" w:ascii="宋体" w:hAnsi="宋体" w:eastAsia="宋体" w:cs="宋体"/>
                <w:sz w:val="24"/>
                <w:szCs w:val="24"/>
                <w:highlight w:val="none"/>
              </w:rPr>
            </w:pPr>
          </w:p>
          <w:p w14:paraId="52748261">
            <w:pPr>
              <w:spacing w:line="257" w:lineRule="auto"/>
              <w:rPr>
                <w:rFonts w:hint="eastAsia" w:ascii="宋体" w:hAnsi="宋体" w:eastAsia="宋体" w:cs="宋体"/>
                <w:sz w:val="24"/>
                <w:szCs w:val="24"/>
                <w:highlight w:val="none"/>
              </w:rPr>
            </w:pPr>
          </w:p>
          <w:p w14:paraId="4858640B">
            <w:pPr>
              <w:spacing w:line="257" w:lineRule="auto"/>
              <w:rPr>
                <w:rFonts w:hint="eastAsia" w:ascii="宋体" w:hAnsi="宋体" w:eastAsia="宋体" w:cs="宋体"/>
                <w:sz w:val="24"/>
                <w:szCs w:val="24"/>
                <w:highlight w:val="none"/>
              </w:rPr>
            </w:pPr>
          </w:p>
          <w:p w14:paraId="102438E2">
            <w:pPr>
              <w:pStyle w:val="53"/>
              <w:spacing w:before="62" w:line="378" w:lineRule="auto"/>
              <w:ind w:left="232" w:right="221" w:firstLine="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儿童</w:t>
            </w:r>
            <w:r>
              <w:rPr>
                <w:rFonts w:hint="eastAsia" w:ascii="宋体" w:hAnsi="宋体" w:eastAsia="宋体" w:cs="宋体"/>
                <w:spacing w:val="2"/>
                <w:sz w:val="24"/>
                <w:szCs w:val="24"/>
                <w:highlight w:val="none"/>
              </w:rPr>
              <w:t>服务</w:t>
            </w:r>
          </w:p>
        </w:tc>
        <w:tc>
          <w:tcPr>
            <w:tcW w:w="438" w:type="pct"/>
            <w:vMerge w:val="restart"/>
            <w:tcBorders>
              <w:bottom w:val="nil"/>
            </w:tcBorders>
            <w:vAlign w:val="top"/>
          </w:tcPr>
          <w:p w14:paraId="67EE8725">
            <w:pPr>
              <w:spacing w:line="289" w:lineRule="auto"/>
              <w:rPr>
                <w:rFonts w:hint="eastAsia" w:ascii="宋体" w:hAnsi="宋体" w:eastAsia="宋体" w:cs="宋体"/>
                <w:sz w:val="24"/>
                <w:szCs w:val="24"/>
                <w:highlight w:val="none"/>
              </w:rPr>
            </w:pPr>
          </w:p>
          <w:p w14:paraId="40530D28">
            <w:pPr>
              <w:spacing w:line="289" w:lineRule="auto"/>
              <w:rPr>
                <w:rFonts w:hint="eastAsia" w:ascii="宋体" w:hAnsi="宋体" w:eastAsia="宋体" w:cs="宋体"/>
                <w:sz w:val="24"/>
                <w:szCs w:val="24"/>
                <w:highlight w:val="none"/>
              </w:rPr>
            </w:pPr>
          </w:p>
          <w:p w14:paraId="6090FEA3">
            <w:pPr>
              <w:spacing w:line="289" w:lineRule="auto"/>
              <w:rPr>
                <w:rFonts w:hint="eastAsia" w:ascii="宋体" w:hAnsi="宋体" w:eastAsia="宋体" w:cs="宋体"/>
                <w:sz w:val="24"/>
                <w:szCs w:val="24"/>
                <w:highlight w:val="none"/>
              </w:rPr>
            </w:pPr>
          </w:p>
          <w:p w14:paraId="312E2499">
            <w:pPr>
              <w:spacing w:line="289" w:lineRule="auto"/>
              <w:rPr>
                <w:rFonts w:hint="eastAsia" w:ascii="宋体" w:hAnsi="宋体" w:eastAsia="宋体" w:cs="宋体"/>
                <w:sz w:val="24"/>
                <w:szCs w:val="24"/>
                <w:highlight w:val="none"/>
              </w:rPr>
            </w:pPr>
          </w:p>
          <w:p w14:paraId="26CDA67D">
            <w:pPr>
              <w:pStyle w:val="53"/>
              <w:spacing w:before="62" w:line="379" w:lineRule="auto"/>
              <w:ind w:left="171" w:right="169" w:firstLine="86"/>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签约</w:t>
            </w:r>
            <w:r>
              <w:rPr>
                <w:rFonts w:hint="eastAsia" w:ascii="宋体" w:hAnsi="宋体" w:eastAsia="宋体" w:cs="宋体"/>
                <w:spacing w:val="-1"/>
                <w:sz w:val="24"/>
                <w:szCs w:val="24"/>
                <w:highlight w:val="none"/>
              </w:rPr>
              <w:t>0-6岁</w:t>
            </w:r>
            <w:r>
              <w:rPr>
                <w:rFonts w:hint="eastAsia" w:ascii="宋体" w:hAnsi="宋体" w:eastAsia="宋体" w:cs="宋体"/>
                <w:spacing w:val="43"/>
                <w:sz w:val="24"/>
                <w:szCs w:val="24"/>
                <w:highlight w:val="none"/>
              </w:rPr>
              <w:t>儿童</w:t>
            </w:r>
          </w:p>
        </w:tc>
        <w:tc>
          <w:tcPr>
            <w:tcW w:w="966" w:type="pct"/>
            <w:vAlign w:val="top"/>
          </w:tcPr>
          <w:p w14:paraId="2050CC6E">
            <w:pPr>
              <w:pStyle w:val="53"/>
              <w:spacing w:before="162" w:line="231" w:lineRule="auto"/>
              <w:ind w:left="10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1．建卡发证</w:t>
            </w:r>
          </w:p>
        </w:tc>
        <w:tc>
          <w:tcPr>
            <w:tcW w:w="3177" w:type="pct"/>
            <w:vAlign w:val="top"/>
          </w:tcPr>
          <w:p w14:paraId="3D3BE454">
            <w:pPr>
              <w:pStyle w:val="53"/>
              <w:spacing w:before="32" w:line="234" w:lineRule="auto"/>
              <w:ind w:left="105" w:right="83" w:firstLine="39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建立健全专项（电子）健康档案，建立《母子健康手册》，发放儿</w:t>
            </w:r>
            <w:r>
              <w:rPr>
                <w:rFonts w:hint="eastAsia" w:ascii="宋体" w:hAnsi="宋体" w:eastAsia="宋体" w:cs="宋体"/>
                <w:spacing w:val="7"/>
                <w:sz w:val="24"/>
                <w:szCs w:val="24"/>
                <w:highlight w:val="none"/>
              </w:rPr>
              <w:t>童保健册、预防接种证等</w:t>
            </w:r>
          </w:p>
        </w:tc>
      </w:tr>
      <w:tr w14:paraId="04F4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417" w:type="pct"/>
            <w:vMerge w:val="continue"/>
            <w:tcBorders>
              <w:top w:val="nil"/>
              <w:bottom w:val="nil"/>
            </w:tcBorders>
            <w:vAlign w:val="top"/>
          </w:tcPr>
          <w:p w14:paraId="41B8DBB5">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1A314EE5">
            <w:pPr>
              <w:rPr>
                <w:rFonts w:hint="eastAsia" w:ascii="宋体" w:hAnsi="宋体" w:eastAsia="宋体" w:cs="宋体"/>
                <w:sz w:val="24"/>
                <w:szCs w:val="24"/>
                <w:highlight w:val="none"/>
              </w:rPr>
            </w:pPr>
          </w:p>
        </w:tc>
        <w:tc>
          <w:tcPr>
            <w:tcW w:w="966" w:type="pct"/>
            <w:vAlign w:val="top"/>
          </w:tcPr>
          <w:p w14:paraId="6AD0B078">
            <w:pPr>
              <w:spacing w:line="242" w:lineRule="auto"/>
              <w:rPr>
                <w:rFonts w:hint="eastAsia" w:ascii="宋体" w:hAnsi="宋体" w:eastAsia="宋体" w:cs="宋体"/>
                <w:sz w:val="24"/>
                <w:szCs w:val="24"/>
                <w:highlight w:val="none"/>
              </w:rPr>
            </w:pPr>
          </w:p>
          <w:p w14:paraId="2633D72C">
            <w:pPr>
              <w:spacing w:line="243" w:lineRule="auto"/>
              <w:rPr>
                <w:rFonts w:hint="eastAsia" w:ascii="宋体" w:hAnsi="宋体" w:eastAsia="宋体" w:cs="宋体"/>
                <w:sz w:val="24"/>
                <w:szCs w:val="24"/>
                <w:highlight w:val="none"/>
              </w:rPr>
            </w:pPr>
          </w:p>
          <w:p w14:paraId="22C1B9C3">
            <w:pPr>
              <w:pStyle w:val="53"/>
              <w:spacing w:before="62" w:line="231"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2．婴幼儿健康管理</w:t>
            </w:r>
          </w:p>
        </w:tc>
        <w:tc>
          <w:tcPr>
            <w:tcW w:w="3177" w:type="pct"/>
            <w:vAlign w:val="top"/>
          </w:tcPr>
          <w:p w14:paraId="04F6D305">
            <w:pPr>
              <w:pStyle w:val="53"/>
              <w:spacing w:before="35" w:line="244" w:lineRule="auto"/>
              <w:ind w:left="92" w:right="19" w:firstLine="40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在1、3、6、8、12、18、24、30、36月龄时，对婴幼儿进行体格检</w:t>
            </w:r>
            <w:r>
              <w:rPr>
                <w:rFonts w:hint="eastAsia" w:ascii="宋体" w:hAnsi="宋体" w:eastAsia="宋体" w:cs="宋体"/>
                <w:spacing w:val="10"/>
                <w:sz w:val="24"/>
                <w:szCs w:val="24"/>
                <w:highlight w:val="none"/>
              </w:rPr>
              <w:t>查、生长发育和心理行为发育评估，进行科学喂养（合理膳食）、生长</w:t>
            </w:r>
            <w:r>
              <w:rPr>
                <w:rFonts w:hint="eastAsia" w:ascii="宋体" w:hAnsi="宋体" w:eastAsia="宋体" w:cs="宋体"/>
                <w:spacing w:val="4"/>
                <w:sz w:val="24"/>
                <w:szCs w:val="24"/>
                <w:highlight w:val="none"/>
              </w:rPr>
              <w:t>发育、疾病预防、预防伤害、口腔保健等健康指导。在婴幼儿6～8、18、</w:t>
            </w:r>
            <w:r>
              <w:rPr>
                <w:rFonts w:hint="eastAsia" w:ascii="宋体" w:hAnsi="宋体" w:eastAsia="宋体" w:cs="宋体"/>
                <w:spacing w:val="5"/>
                <w:sz w:val="24"/>
                <w:szCs w:val="24"/>
                <w:highlight w:val="none"/>
              </w:rPr>
              <w:t>30月龄时分别进行1次血常规（或血红蛋白）检测；在6、12</w:t>
            </w:r>
            <w:r>
              <w:rPr>
                <w:rFonts w:hint="eastAsia" w:ascii="宋体" w:hAnsi="宋体" w:eastAsia="宋体" w:cs="宋体"/>
                <w:spacing w:val="4"/>
                <w:sz w:val="24"/>
                <w:szCs w:val="24"/>
                <w:highlight w:val="none"/>
              </w:rPr>
              <w:t>、24、36</w:t>
            </w:r>
            <w:r>
              <w:rPr>
                <w:rFonts w:hint="eastAsia" w:ascii="宋体" w:hAnsi="宋体" w:eastAsia="宋体" w:cs="宋体"/>
                <w:spacing w:val="7"/>
                <w:sz w:val="24"/>
                <w:szCs w:val="24"/>
                <w:highlight w:val="none"/>
              </w:rPr>
              <w:t>月龄时使用行为测听法分别进行1次听力筛查</w:t>
            </w:r>
          </w:p>
        </w:tc>
      </w:tr>
      <w:tr w14:paraId="147F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17" w:type="pct"/>
            <w:vMerge w:val="continue"/>
            <w:tcBorders>
              <w:top w:val="nil"/>
              <w:bottom w:val="nil"/>
            </w:tcBorders>
            <w:vAlign w:val="top"/>
          </w:tcPr>
          <w:p w14:paraId="7DAB8A00">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687B9B2A">
            <w:pPr>
              <w:rPr>
                <w:rFonts w:hint="eastAsia" w:ascii="宋体" w:hAnsi="宋体" w:eastAsia="宋体" w:cs="宋体"/>
                <w:sz w:val="24"/>
                <w:szCs w:val="24"/>
                <w:highlight w:val="none"/>
              </w:rPr>
            </w:pPr>
          </w:p>
        </w:tc>
        <w:tc>
          <w:tcPr>
            <w:tcW w:w="966" w:type="pct"/>
            <w:vAlign w:val="top"/>
          </w:tcPr>
          <w:p w14:paraId="60ECFE58">
            <w:pPr>
              <w:pStyle w:val="53"/>
              <w:spacing w:before="162" w:line="253" w:lineRule="auto"/>
              <w:ind w:left="106" w:right="83" w:hanging="1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3.学龄前儿童健康</w:t>
            </w:r>
            <w:r>
              <w:rPr>
                <w:rFonts w:hint="eastAsia" w:ascii="宋体" w:hAnsi="宋体" w:eastAsia="宋体" w:cs="宋体"/>
                <w:spacing w:val="-2"/>
                <w:sz w:val="24"/>
                <w:szCs w:val="24"/>
                <w:highlight w:val="none"/>
              </w:rPr>
              <w:t>管理</w:t>
            </w:r>
          </w:p>
        </w:tc>
        <w:tc>
          <w:tcPr>
            <w:tcW w:w="3177" w:type="pct"/>
            <w:vAlign w:val="top"/>
          </w:tcPr>
          <w:p w14:paraId="012D242F">
            <w:pPr>
              <w:pStyle w:val="53"/>
              <w:spacing w:before="34" w:line="239" w:lineRule="auto"/>
              <w:ind w:left="96" w:right="21" w:firstLine="406"/>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为4-6岁儿童每年提供一次体格检查和心理行为发</w:t>
            </w:r>
            <w:r>
              <w:rPr>
                <w:rFonts w:hint="eastAsia" w:ascii="宋体" w:hAnsi="宋体" w:eastAsia="宋体" w:cs="宋体"/>
                <w:spacing w:val="8"/>
                <w:sz w:val="24"/>
                <w:szCs w:val="24"/>
                <w:highlight w:val="none"/>
              </w:rPr>
              <w:t>育评估，血常规</w:t>
            </w:r>
            <w:r>
              <w:rPr>
                <w:rFonts w:hint="eastAsia" w:ascii="宋体" w:hAnsi="宋体" w:eastAsia="宋体" w:cs="宋体"/>
                <w:spacing w:val="6"/>
                <w:sz w:val="24"/>
                <w:szCs w:val="24"/>
                <w:highlight w:val="none"/>
              </w:rPr>
              <w:t>（或血红蛋白）检查和视力筛查，进行合理膳食、生长发育、疾病预防、</w:t>
            </w:r>
            <w:r>
              <w:rPr>
                <w:rFonts w:hint="eastAsia" w:ascii="宋体" w:hAnsi="宋体" w:eastAsia="宋体" w:cs="宋体"/>
                <w:spacing w:val="8"/>
                <w:sz w:val="24"/>
                <w:szCs w:val="24"/>
                <w:highlight w:val="none"/>
              </w:rPr>
              <w:t>预防伤害、口腔保健等健康指导</w:t>
            </w:r>
          </w:p>
        </w:tc>
      </w:tr>
      <w:tr w14:paraId="1FC82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tcBorders>
              <w:top w:val="nil"/>
              <w:bottom w:val="nil"/>
            </w:tcBorders>
            <w:vAlign w:val="top"/>
          </w:tcPr>
          <w:p w14:paraId="02249B13">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564FD613">
            <w:pPr>
              <w:rPr>
                <w:rFonts w:hint="eastAsia" w:ascii="宋体" w:hAnsi="宋体" w:eastAsia="宋体" w:cs="宋体"/>
                <w:sz w:val="24"/>
                <w:szCs w:val="24"/>
                <w:highlight w:val="none"/>
              </w:rPr>
            </w:pPr>
          </w:p>
        </w:tc>
        <w:tc>
          <w:tcPr>
            <w:tcW w:w="966" w:type="pct"/>
            <w:vAlign w:val="top"/>
          </w:tcPr>
          <w:p w14:paraId="0E22BDD4">
            <w:pPr>
              <w:pStyle w:val="53"/>
              <w:spacing w:before="163" w:line="231" w:lineRule="auto"/>
              <w:ind w:left="88"/>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4.健康问题处理</w:t>
            </w:r>
          </w:p>
        </w:tc>
        <w:tc>
          <w:tcPr>
            <w:tcW w:w="3177" w:type="pct"/>
            <w:vAlign w:val="top"/>
          </w:tcPr>
          <w:p w14:paraId="100F770A">
            <w:pPr>
              <w:pStyle w:val="53"/>
              <w:spacing w:before="34" w:line="233" w:lineRule="auto"/>
              <w:ind w:left="94" w:right="83" w:firstLine="40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对健康管理中发现的营养不良、贫血、单纯性肥胖等儿童建立专项</w:t>
            </w:r>
            <w:r>
              <w:rPr>
                <w:rFonts w:hint="eastAsia" w:ascii="宋体" w:hAnsi="宋体" w:eastAsia="宋体" w:cs="宋体"/>
                <w:spacing w:val="8"/>
                <w:sz w:val="24"/>
                <w:szCs w:val="24"/>
                <w:highlight w:val="none"/>
              </w:rPr>
              <w:t>档案，给出指导或转诊的建议；签约高危儿童免费门</w:t>
            </w:r>
            <w:r>
              <w:rPr>
                <w:rFonts w:hint="eastAsia" w:ascii="宋体" w:hAnsi="宋体" w:eastAsia="宋体" w:cs="宋体"/>
                <w:spacing w:val="7"/>
                <w:sz w:val="24"/>
                <w:szCs w:val="24"/>
                <w:highlight w:val="none"/>
              </w:rPr>
              <w:t>诊随访直至正常</w:t>
            </w:r>
          </w:p>
        </w:tc>
      </w:tr>
      <w:tr w14:paraId="7B24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17" w:type="pct"/>
            <w:vMerge w:val="continue"/>
            <w:tcBorders>
              <w:top w:val="nil"/>
              <w:bottom w:val="nil"/>
            </w:tcBorders>
            <w:vAlign w:val="top"/>
          </w:tcPr>
          <w:p w14:paraId="726F54D6">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52879F6A">
            <w:pPr>
              <w:rPr>
                <w:rFonts w:hint="eastAsia" w:ascii="宋体" w:hAnsi="宋体" w:eastAsia="宋体" w:cs="宋体"/>
                <w:sz w:val="24"/>
                <w:szCs w:val="24"/>
                <w:highlight w:val="none"/>
              </w:rPr>
            </w:pPr>
          </w:p>
        </w:tc>
        <w:tc>
          <w:tcPr>
            <w:tcW w:w="966" w:type="pct"/>
            <w:vAlign w:val="top"/>
          </w:tcPr>
          <w:p w14:paraId="53619E6C">
            <w:pPr>
              <w:pStyle w:val="53"/>
              <w:spacing w:before="157" w:line="230" w:lineRule="auto"/>
              <w:ind w:left="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5.预防接种</w:t>
            </w:r>
          </w:p>
        </w:tc>
        <w:tc>
          <w:tcPr>
            <w:tcW w:w="3177" w:type="pct"/>
            <w:vAlign w:val="top"/>
          </w:tcPr>
          <w:p w14:paraId="032E85C8">
            <w:pPr>
              <w:pStyle w:val="53"/>
              <w:spacing w:before="160" w:line="229" w:lineRule="auto"/>
              <w:ind w:left="49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根据国家预防接种工作规范，对符合条件的适龄儿童进行规范接种</w:t>
            </w:r>
          </w:p>
        </w:tc>
      </w:tr>
      <w:tr w14:paraId="6957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tcBorders>
              <w:top w:val="nil"/>
              <w:bottom w:val="nil"/>
            </w:tcBorders>
            <w:vAlign w:val="top"/>
          </w:tcPr>
          <w:p w14:paraId="3B8199D6">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6D8B1FF5">
            <w:pPr>
              <w:rPr>
                <w:rFonts w:hint="eastAsia" w:ascii="宋体" w:hAnsi="宋体" w:eastAsia="宋体" w:cs="宋体"/>
                <w:sz w:val="24"/>
                <w:szCs w:val="24"/>
                <w:highlight w:val="none"/>
              </w:rPr>
            </w:pPr>
          </w:p>
        </w:tc>
        <w:tc>
          <w:tcPr>
            <w:tcW w:w="966" w:type="pct"/>
            <w:vAlign w:val="top"/>
          </w:tcPr>
          <w:p w14:paraId="6446F8E4">
            <w:pPr>
              <w:pStyle w:val="53"/>
              <w:spacing w:before="34" w:line="233" w:lineRule="auto"/>
              <w:ind w:left="93" w:right="83" w:hanging="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6.中医药健康管理</w:t>
            </w:r>
            <w:r>
              <w:rPr>
                <w:rFonts w:hint="eastAsia" w:ascii="宋体" w:hAnsi="宋体" w:eastAsia="宋体" w:cs="宋体"/>
                <w:spacing w:val="2"/>
                <w:sz w:val="24"/>
                <w:szCs w:val="24"/>
                <w:highlight w:val="none"/>
              </w:rPr>
              <w:t>服务</w:t>
            </w:r>
          </w:p>
        </w:tc>
        <w:tc>
          <w:tcPr>
            <w:tcW w:w="3177" w:type="pct"/>
            <w:vAlign w:val="top"/>
          </w:tcPr>
          <w:p w14:paraId="6358E717">
            <w:pPr>
              <w:pStyle w:val="53"/>
              <w:spacing w:before="34" w:line="233" w:lineRule="auto"/>
              <w:ind w:left="96" w:right="87" w:firstLine="40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在儿童6、12、18、24、30、36月龄</w:t>
            </w:r>
            <w:r>
              <w:rPr>
                <w:rFonts w:hint="eastAsia" w:ascii="宋体" w:hAnsi="宋体" w:eastAsia="宋体" w:cs="宋体"/>
                <w:spacing w:val="7"/>
                <w:sz w:val="24"/>
                <w:szCs w:val="24"/>
                <w:highlight w:val="none"/>
              </w:rPr>
              <w:t>时，对家长提供中医药健康指</w:t>
            </w:r>
            <w:r>
              <w:rPr>
                <w:rFonts w:hint="eastAsia" w:ascii="宋体" w:hAnsi="宋体" w:eastAsia="宋体" w:cs="宋体"/>
                <w:sz w:val="24"/>
                <w:szCs w:val="24"/>
                <w:highlight w:val="none"/>
              </w:rPr>
              <w:t>导</w:t>
            </w:r>
          </w:p>
        </w:tc>
      </w:tr>
      <w:tr w14:paraId="1B91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17" w:type="pct"/>
            <w:vMerge w:val="continue"/>
            <w:tcBorders>
              <w:top w:val="nil"/>
            </w:tcBorders>
            <w:vAlign w:val="top"/>
          </w:tcPr>
          <w:p w14:paraId="57A698B1">
            <w:pPr>
              <w:rPr>
                <w:rFonts w:hint="eastAsia" w:ascii="宋体" w:hAnsi="宋体" w:eastAsia="宋体" w:cs="宋体"/>
                <w:sz w:val="24"/>
                <w:szCs w:val="24"/>
                <w:highlight w:val="none"/>
              </w:rPr>
            </w:pPr>
          </w:p>
        </w:tc>
        <w:tc>
          <w:tcPr>
            <w:tcW w:w="438" w:type="pct"/>
            <w:vMerge w:val="continue"/>
            <w:tcBorders>
              <w:top w:val="nil"/>
            </w:tcBorders>
            <w:vAlign w:val="top"/>
          </w:tcPr>
          <w:p w14:paraId="0F29DCE9">
            <w:pPr>
              <w:rPr>
                <w:rFonts w:hint="eastAsia" w:ascii="宋体" w:hAnsi="宋体" w:eastAsia="宋体" w:cs="宋体"/>
                <w:sz w:val="24"/>
                <w:szCs w:val="24"/>
                <w:highlight w:val="none"/>
              </w:rPr>
            </w:pPr>
          </w:p>
        </w:tc>
        <w:tc>
          <w:tcPr>
            <w:tcW w:w="966" w:type="pct"/>
            <w:vAlign w:val="top"/>
          </w:tcPr>
          <w:p w14:paraId="040A4098">
            <w:pPr>
              <w:pStyle w:val="53"/>
              <w:spacing w:before="35" w:line="232" w:lineRule="auto"/>
              <w:ind w:left="118" w:right="83" w:hanging="2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7.基本服务包所有</w:t>
            </w:r>
            <w:r>
              <w:rPr>
                <w:rFonts w:hint="eastAsia" w:ascii="宋体" w:hAnsi="宋体" w:eastAsia="宋体" w:cs="宋体"/>
                <w:spacing w:val="-5"/>
                <w:sz w:val="24"/>
                <w:szCs w:val="24"/>
                <w:highlight w:val="none"/>
              </w:rPr>
              <w:t>内容</w:t>
            </w:r>
          </w:p>
        </w:tc>
        <w:tc>
          <w:tcPr>
            <w:tcW w:w="3177" w:type="pct"/>
            <w:vAlign w:val="top"/>
          </w:tcPr>
          <w:p w14:paraId="1D46C334">
            <w:pPr>
              <w:pStyle w:val="53"/>
              <w:spacing w:before="161"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60AD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restart"/>
            <w:vAlign w:val="center"/>
          </w:tcPr>
          <w:p w14:paraId="68C7EADF">
            <w:pPr>
              <w:pStyle w:val="53"/>
              <w:spacing w:before="169" w:line="378" w:lineRule="auto"/>
              <w:ind w:right="12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孕产妇</w:t>
            </w:r>
            <w:r>
              <w:rPr>
                <w:rFonts w:hint="eastAsia" w:ascii="宋体" w:hAnsi="宋体" w:eastAsia="宋体" w:cs="宋体"/>
                <w:spacing w:val="2"/>
                <w:sz w:val="24"/>
                <w:szCs w:val="24"/>
                <w:highlight w:val="none"/>
              </w:rPr>
              <w:t>服务</w:t>
            </w:r>
          </w:p>
        </w:tc>
        <w:tc>
          <w:tcPr>
            <w:tcW w:w="438" w:type="pct"/>
            <w:vMerge w:val="restart"/>
            <w:vAlign w:val="center"/>
          </w:tcPr>
          <w:p w14:paraId="71CDCF15">
            <w:pPr>
              <w:pStyle w:val="53"/>
              <w:spacing w:before="168" w:line="379" w:lineRule="auto"/>
              <w:ind w:right="143"/>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签约孕</w:t>
            </w:r>
            <w:r>
              <w:rPr>
                <w:rFonts w:hint="eastAsia" w:ascii="宋体" w:hAnsi="宋体" w:eastAsia="宋体" w:cs="宋体"/>
                <w:spacing w:val="1"/>
                <w:sz w:val="24"/>
                <w:szCs w:val="24"/>
                <w:highlight w:val="none"/>
              </w:rPr>
              <w:t>产妇</w:t>
            </w:r>
          </w:p>
        </w:tc>
        <w:tc>
          <w:tcPr>
            <w:tcW w:w="966" w:type="pct"/>
            <w:vAlign w:val="top"/>
          </w:tcPr>
          <w:p w14:paraId="4A1A0B47">
            <w:pPr>
              <w:pStyle w:val="53"/>
              <w:spacing w:before="164" w:line="231" w:lineRule="auto"/>
              <w:ind w:left="10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1.早孕建卡管理</w:t>
            </w:r>
          </w:p>
        </w:tc>
        <w:tc>
          <w:tcPr>
            <w:tcW w:w="3177" w:type="pct"/>
            <w:vAlign w:val="top"/>
          </w:tcPr>
          <w:p w14:paraId="7A8ACFBF">
            <w:pPr>
              <w:pStyle w:val="53"/>
              <w:spacing w:before="34" w:line="233" w:lineRule="auto"/>
              <w:ind w:left="97" w:right="86" w:firstLine="39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建立健全专项（电子）健康档案，孕13周前为孕妇建立《母子健康</w:t>
            </w:r>
            <w:r>
              <w:rPr>
                <w:rFonts w:hint="eastAsia" w:ascii="宋体" w:hAnsi="宋体" w:eastAsia="宋体" w:cs="宋体"/>
                <w:sz w:val="24"/>
                <w:szCs w:val="24"/>
                <w:highlight w:val="none"/>
              </w:rPr>
              <w:t>手册》</w:t>
            </w:r>
          </w:p>
        </w:tc>
      </w:tr>
      <w:tr w14:paraId="33F3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vAlign w:val="top"/>
          </w:tcPr>
          <w:p w14:paraId="3862C7C2">
            <w:pPr>
              <w:pStyle w:val="53"/>
              <w:spacing w:before="169" w:line="378" w:lineRule="auto"/>
              <w:ind w:left="232" w:right="120" w:hanging="93"/>
              <w:rPr>
                <w:rFonts w:hint="eastAsia" w:ascii="宋体" w:hAnsi="宋体" w:eastAsia="宋体" w:cs="宋体"/>
                <w:spacing w:val="3"/>
                <w:sz w:val="24"/>
                <w:szCs w:val="24"/>
                <w:highlight w:val="none"/>
              </w:rPr>
            </w:pPr>
          </w:p>
        </w:tc>
        <w:tc>
          <w:tcPr>
            <w:tcW w:w="438" w:type="pct"/>
            <w:vMerge w:val="continue"/>
            <w:vAlign w:val="top"/>
          </w:tcPr>
          <w:p w14:paraId="4ABE8BFD">
            <w:pPr>
              <w:pStyle w:val="53"/>
              <w:spacing w:before="168" w:line="379" w:lineRule="auto"/>
              <w:ind w:left="253" w:right="143" w:hanging="97"/>
              <w:rPr>
                <w:rFonts w:hint="eastAsia" w:ascii="宋体" w:hAnsi="宋体" w:eastAsia="宋体" w:cs="宋体"/>
                <w:spacing w:val="3"/>
                <w:sz w:val="24"/>
                <w:szCs w:val="24"/>
                <w:highlight w:val="none"/>
              </w:rPr>
            </w:pPr>
          </w:p>
        </w:tc>
        <w:tc>
          <w:tcPr>
            <w:tcW w:w="966" w:type="pct"/>
            <w:vAlign w:val="top"/>
          </w:tcPr>
          <w:p w14:paraId="6CCBA0BE">
            <w:pPr>
              <w:pStyle w:val="53"/>
              <w:spacing w:before="164" w:line="231" w:lineRule="auto"/>
              <w:ind w:left="103"/>
              <w:rPr>
                <w:rFonts w:hint="eastAsia" w:ascii="宋体" w:hAnsi="宋体" w:eastAsia="宋体" w:cs="宋体"/>
                <w:spacing w:val="5"/>
                <w:sz w:val="24"/>
                <w:szCs w:val="24"/>
                <w:highlight w:val="none"/>
              </w:rPr>
            </w:pPr>
            <w:r>
              <w:rPr>
                <w:rFonts w:hint="eastAsia" w:ascii="宋体" w:hAnsi="宋体" w:eastAsia="宋体" w:cs="宋体"/>
                <w:spacing w:val="7"/>
                <w:sz w:val="24"/>
                <w:szCs w:val="24"/>
                <w:highlight w:val="none"/>
              </w:rPr>
              <w:t>2.产前健康管理</w:t>
            </w:r>
          </w:p>
        </w:tc>
        <w:tc>
          <w:tcPr>
            <w:tcW w:w="3177" w:type="pct"/>
            <w:vAlign w:val="top"/>
          </w:tcPr>
          <w:p w14:paraId="6EBC8AC2">
            <w:pPr>
              <w:pStyle w:val="53"/>
              <w:spacing w:before="34" w:line="233" w:lineRule="auto"/>
              <w:ind w:left="97" w:right="86" w:firstLine="398"/>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分别在孕早期1次、孕中期2次、孕晚期2次（有助产</w:t>
            </w:r>
            <w:r>
              <w:rPr>
                <w:rFonts w:hint="eastAsia" w:ascii="宋体" w:hAnsi="宋体" w:eastAsia="宋体" w:cs="宋体"/>
                <w:spacing w:val="6"/>
                <w:sz w:val="24"/>
                <w:szCs w:val="24"/>
                <w:highlight w:val="none"/>
              </w:rPr>
              <w:t>技术服务资</w:t>
            </w:r>
            <w:r>
              <w:rPr>
                <w:rFonts w:hint="eastAsia" w:ascii="宋体" w:hAnsi="宋体" w:eastAsia="宋体" w:cs="宋体"/>
                <w:spacing w:val="9"/>
                <w:sz w:val="24"/>
                <w:szCs w:val="24"/>
                <w:highlight w:val="none"/>
              </w:rPr>
              <w:t>质的机构提供）提供健康管理服务，包括测体重、测</w:t>
            </w:r>
            <w:r>
              <w:rPr>
                <w:rFonts w:hint="eastAsia" w:ascii="宋体" w:hAnsi="宋体" w:eastAsia="宋体" w:cs="宋体"/>
                <w:spacing w:val="8"/>
                <w:sz w:val="24"/>
                <w:szCs w:val="24"/>
                <w:highlight w:val="none"/>
              </w:rPr>
              <w:t>血压、四步触诊、</w:t>
            </w:r>
            <w:r>
              <w:rPr>
                <w:rFonts w:hint="eastAsia" w:ascii="宋体" w:hAnsi="宋体" w:eastAsia="宋体" w:cs="宋体"/>
                <w:spacing w:val="10"/>
                <w:sz w:val="24"/>
                <w:szCs w:val="24"/>
                <w:highlight w:val="none"/>
              </w:rPr>
              <w:t>测宫高、腹围、多普勒胎心监测，健康状况评估；孕中期产前筛查。高</w:t>
            </w:r>
            <w:r>
              <w:rPr>
                <w:rFonts w:hint="eastAsia" w:ascii="宋体" w:hAnsi="宋体" w:eastAsia="宋体" w:cs="宋体"/>
                <w:spacing w:val="9"/>
                <w:sz w:val="24"/>
                <w:szCs w:val="24"/>
                <w:highlight w:val="none"/>
              </w:rPr>
              <w:t>危孕妇应根据就诊医疗卫生机构的建议督促其酌情增加随访次数</w:t>
            </w:r>
          </w:p>
        </w:tc>
      </w:tr>
      <w:tr w14:paraId="4F44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17" w:type="pct"/>
            <w:vMerge w:val="continue"/>
            <w:vAlign w:val="top"/>
          </w:tcPr>
          <w:p w14:paraId="4B796D00">
            <w:pPr>
              <w:rPr>
                <w:rFonts w:hint="eastAsia" w:ascii="宋体" w:hAnsi="宋体" w:eastAsia="宋体" w:cs="宋体"/>
                <w:sz w:val="24"/>
                <w:szCs w:val="24"/>
                <w:highlight w:val="none"/>
              </w:rPr>
            </w:pPr>
          </w:p>
        </w:tc>
        <w:tc>
          <w:tcPr>
            <w:tcW w:w="438" w:type="pct"/>
            <w:vMerge w:val="continue"/>
            <w:vAlign w:val="top"/>
          </w:tcPr>
          <w:p w14:paraId="3DE1F23F">
            <w:pPr>
              <w:rPr>
                <w:rFonts w:hint="eastAsia" w:ascii="宋体" w:hAnsi="宋体" w:eastAsia="宋体" w:cs="宋体"/>
                <w:sz w:val="24"/>
                <w:szCs w:val="24"/>
                <w:highlight w:val="none"/>
              </w:rPr>
            </w:pPr>
          </w:p>
        </w:tc>
        <w:tc>
          <w:tcPr>
            <w:tcW w:w="966" w:type="pct"/>
            <w:vAlign w:val="top"/>
          </w:tcPr>
          <w:p w14:paraId="73195879">
            <w:pPr>
              <w:spacing w:line="332" w:lineRule="auto"/>
              <w:rPr>
                <w:rFonts w:hint="eastAsia" w:ascii="宋体" w:hAnsi="宋体" w:eastAsia="宋体" w:cs="宋体"/>
                <w:sz w:val="24"/>
                <w:szCs w:val="24"/>
                <w:highlight w:val="none"/>
              </w:rPr>
            </w:pPr>
          </w:p>
          <w:p w14:paraId="570DF5C0">
            <w:pPr>
              <w:pStyle w:val="53"/>
              <w:spacing w:before="62" w:line="231" w:lineRule="auto"/>
              <w:ind w:left="9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3.产后健康管理</w:t>
            </w:r>
          </w:p>
        </w:tc>
        <w:tc>
          <w:tcPr>
            <w:tcW w:w="3177" w:type="pct"/>
            <w:vAlign w:val="top"/>
          </w:tcPr>
          <w:p w14:paraId="5B6CE54F">
            <w:pPr>
              <w:pStyle w:val="53"/>
              <w:spacing w:before="135" w:line="252" w:lineRule="auto"/>
              <w:ind w:left="93" w:right="85" w:firstLine="40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产妇出院后1周内到产妇家中进行产后访视、新生儿访视；产后42</w:t>
            </w:r>
            <w:r>
              <w:rPr>
                <w:rFonts w:hint="eastAsia" w:ascii="宋体" w:hAnsi="宋体" w:eastAsia="宋体" w:cs="宋体"/>
                <w:spacing w:val="9"/>
                <w:sz w:val="24"/>
                <w:szCs w:val="24"/>
                <w:highlight w:val="none"/>
              </w:rPr>
              <w:t>天产妇到医疗机构进行检查，高危孕产妇根据高危因素再增</w:t>
            </w:r>
            <w:r>
              <w:rPr>
                <w:rFonts w:hint="eastAsia" w:ascii="宋体" w:hAnsi="宋体" w:eastAsia="宋体" w:cs="宋体"/>
                <w:spacing w:val="8"/>
                <w:sz w:val="24"/>
                <w:szCs w:val="24"/>
                <w:highlight w:val="none"/>
              </w:rPr>
              <w:t>加1-2次访</w:t>
            </w:r>
            <w:r>
              <w:rPr>
                <w:rFonts w:hint="eastAsia" w:ascii="宋体" w:hAnsi="宋体" w:eastAsia="宋体" w:cs="宋体"/>
                <w:sz w:val="24"/>
                <w:szCs w:val="24"/>
                <w:highlight w:val="none"/>
              </w:rPr>
              <w:t>视</w:t>
            </w:r>
          </w:p>
        </w:tc>
      </w:tr>
      <w:tr w14:paraId="7FB0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17" w:type="pct"/>
            <w:vMerge w:val="continue"/>
            <w:vAlign w:val="top"/>
          </w:tcPr>
          <w:p w14:paraId="207819C4">
            <w:pPr>
              <w:rPr>
                <w:rFonts w:hint="eastAsia" w:ascii="宋体" w:hAnsi="宋体" w:eastAsia="宋体" w:cs="宋体"/>
                <w:sz w:val="24"/>
                <w:szCs w:val="24"/>
                <w:highlight w:val="none"/>
              </w:rPr>
            </w:pPr>
          </w:p>
        </w:tc>
        <w:tc>
          <w:tcPr>
            <w:tcW w:w="438" w:type="pct"/>
            <w:vMerge w:val="continue"/>
            <w:vAlign w:val="top"/>
          </w:tcPr>
          <w:p w14:paraId="385D910D">
            <w:pPr>
              <w:rPr>
                <w:rFonts w:hint="eastAsia" w:ascii="宋体" w:hAnsi="宋体" w:eastAsia="宋体" w:cs="宋体"/>
                <w:sz w:val="24"/>
                <w:szCs w:val="24"/>
                <w:highlight w:val="none"/>
              </w:rPr>
            </w:pPr>
          </w:p>
        </w:tc>
        <w:tc>
          <w:tcPr>
            <w:tcW w:w="966" w:type="pct"/>
            <w:vAlign w:val="top"/>
          </w:tcPr>
          <w:p w14:paraId="3C71C5ED">
            <w:pPr>
              <w:pStyle w:val="53"/>
              <w:spacing w:before="160" w:line="229" w:lineRule="auto"/>
              <w:ind w:left="88"/>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4.孕早期健康体检</w:t>
            </w:r>
          </w:p>
        </w:tc>
        <w:tc>
          <w:tcPr>
            <w:tcW w:w="3177" w:type="pct"/>
            <w:vAlign w:val="top"/>
          </w:tcPr>
          <w:p w14:paraId="7EA5B628">
            <w:pPr>
              <w:pStyle w:val="53"/>
              <w:spacing w:before="30" w:line="235" w:lineRule="auto"/>
              <w:ind w:left="99" w:right="98" w:firstLine="40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孕早期开展1次一般体检、妇科检查和血常规、尿常规、血型、肝</w:t>
            </w:r>
            <w:r>
              <w:rPr>
                <w:rFonts w:hint="eastAsia" w:ascii="宋体" w:hAnsi="宋体" w:eastAsia="宋体" w:cs="宋体"/>
                <w:spacing w:val="5"/>
                <w:sz w:val="24"/>
                <w:szCs w:val="24"/>
                <w:highlight w:val="none"/>
              </w:rPr>
              <w:t>功能、肾功能、乙型肝炎（表面抗原）检查</w:t>
            </w:r>
          </w:p>
        </w:tc>
      </w:tr>
      <w:tr w14:paraId="5E2B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17" w:type="pct"/>
            <w:vMerge w:val="continue"/>
            <w:vAlign w:val="top"/>
          </w:tcPr>
          <w:p w14:paraId="02E0A96C">
            <w:pPr>
              <w:rPr>
                <w:rFonts w:hint="eastAsia" w:ascii="宋体" w:hAnsi="宋体" w:eastAsia="宋体" w:cs="宋体"/>
                <w:sz w:val="24"/>
                <w:szCs w:val="24"/>
                <w:highlight w:val="none"/>
              </w:rPr>
            </w:pPr>
          </w:p>
        </w:tc>
        <w:tc>
          <w:tcPr>
            <w:tcW w:w="438" w:type="pct"/>
            <w:vMerge w:val="continue"/>
            <w:vAlign w:val="top"/>
          </w:tcPr>
          <w:p w14:paraId="5374998A">
            <w:pPr>
              <w:rPr>
                <w:rFonts w:hint="eastAsia" w:ascii="宋体" w:hAnsi="宋体" w:eastAsia="宋体" w:cs="宋体"/>
                <w:sz w:val="24"/>
                <w:szCs w:val="24"/>
                <w:highlight w:val="none"/>
              </w:rPr>
            </w:pPr>
          </w:p>
        </w:tc>
        <w:tc>
          <w:tcPr>
            <w:tcW w:w="966" w:type="pct"/>
            <w:vAlign w:val="top"/>
          </w:tcPr>
          <w:p w14:paraId="41610B8E">
            <w:pPr>
              <w:pStyle w:val="53"/>
              <w:spacing w:before="31" w:line="234" w:lineRule="auto"/>
              <w:ind w:left="119" w:right="83" w:hanging="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3177" w:type="pct"/>
            <w:vAlign w:val="top"/>
          </w:tcPr>
          <w:p w14:paraId="6A2E65BE">
            <w:pPr>
              <w:pStyle w:val="53"/>
              <w:spacing w:before="159"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12D3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17" w:type="pct"/>
            <w:vMerge w:val="restart"/>
            <w:tcBorders>
              <w:bottom w:val="nil"/>
            </w:tcBorders>
            <w:vAlign w:val="top"/>
          </w:tcPr>
          <w:p w14:paraId="3C889DE6">
            <w:pPr>
              <w:spacing w:line="266" w:lineRule="auto"/>
              <w:rPr>
                <w:rFonts w:hint="eastAsia" w:ascii="宋体" w:hAnsi="宋体" w:eastAsia="宋体" w:cs="宋体"/>
                <w:sz w:val="24"/>
                <w:szCs w:val="24"/>
                <w:highlight w:val="none"/>
              </w:rPr>
            </w:pPr>
          </w:p>
          <w:p w14:paraId="6BFD892C">
            <w:pPr>
              <w:spacing w:line="266" w:lineRule="auto"/>
              <w:rPr>
                <w:rFonts w:hint="eastAsia" w:ascii="宋体" w:hAnsi="宋体" w:eastAsia="宋体" w:cs="宋体"/>
                <w:sz w:val="24"/>
                <w:szCs w:val="24"/>
                <w:highlight w:val="none"/>
              </w:rPr>
            </w:pPr>
          </w:p>
          <w:p w14:paraId="43D70FCB">
            <w:pPr>
              <w:spacing w:line="266" w:lineRule="auto"/>
              <w:rPr>
                <w:rFonts w:hint="eastAsia" w:ascii="宋体" w:hAnsi="宋体" w:eastAsia="宋体" w:cs="宋体"/>
                <w:sz w:val="24"/>
                <w:szCs w:val="24"/>
                <w:highlight w:val="none"/>
              </w:rPr>
            </w:pPr>
          </w:p>
          <w:p w14:paraId="5B1E8AD4">
            <w:pPr>
              <w:spacing w:line="266" w:lineRule="auto"/>
              <w:rPr>
                <w:rFonts w:hint="eastAsia" w:ascii="宋体" w:hAnsi="宋体" w:eastAsia="宋体" w:cs="宋体"/>
                <w:sz w:val="24"/>
                <w:szCs w:val="24"/>
                <w:highlight w:val="none"/>
              </w:rPr>
            </w:pPr>
          </w:p>
          <w:p w14:paraId="61C7BCE1">
            <w:pPr>
              <w:spacing w:line="266" w:lineRule="auto"/>
              <w:rPr>
                <w:rFonts w:hint="eastAsia" w:ascii="宋体" w:hAnsi="宋体" w:eastAsia="宋体" w:cs="宋体"/>
                <w:sz w:val="24"/>
                <w:szCs w:val="24"/>
                <w:highlight w:val="none"/>
              </w:rPr>
            </w:pPr>
          </w:p>
          <w:p w14:paraId="2B688509">
            <w:pPr>
              <w:spacing w:line="266" w:lineRule="auto"/>
              <w:rPr>
                <w:rFonts w:hint="eastAsia" w:ascii="宋体" w:hAnsi="宋体" w:eastAsia="宋体" w:cs="宋体"/>
                <w:sz w:val="24"/>
                <w:szCs w:val="24"/>
                <w:highlight w:val="none"/>
              </w:rPr>
            </w:pPr>
          </w:p>
          <w:p w14:paraId="207169C9">
            <w:pPr>
              <w:spacing w:line="266" w:lineRule="auto"/>
              <w:rPr>
                <w:rFonts w:hint="eastAsia" w:ascii="宋体" w:hAnsi="宋体" w:eastAsia="宋体" w:cs="宋体"/>
                <w:sz w:val="24"/>
                <w:szCs w:val="24"/>
                <w:highlight w:val="none"/>
              </w:rPr>
            </w:pPr>
          </w:p>
          <w:p w14:paraId="62C777D2">
            <w:pPr>
              <w:spacing w:line="267" w:lineRule="auto"/>
              <w:rPr>
                <w:rFonts w:hint="eastAsia" w:ascii="宋体" w:hAnsi="宋体" w:eastAsia="宋体" w:cs="宋体"/>
                <w:sz w:val="24"/>
                <w:szCs w:val="24"/>
                <w:highlight w:val="none"/>
              </w:rPr>
            </w:pPr>
          </w:p>
          <w:p w14:paraId="5471994C">
            <w:pPr>
              <w:spacing w:line="267" w:lineRule="auto"/>
              <w:rPr>
                <w:rFonts w:hint="eastAsia" w:ascii="宋体" w:hAnsi="宋体" w:eastAsia="宋体" w:cs="宋体"/>
                <w:sz w:val="24"/>
                <w:szCs w:val="24"/>
                <w:highlight w:val="none"/>
              </w:rPr>
            </w:pPr>
          </w:p>
          <w:p w14:paraId="580F03FE">
            <w:pPr>
              <w:pStyle w:val="53"/>
              <w:spacing w:before="62" w:line="380" w:lineRule="auto"/>
              <w:ind w:left="97" w:right="154" w:firstLine="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老年人</w:t>
            </w:r>
            <w:r>
              <w:rPr>
                <w:rFonts w:hint="eastAsia" w:ascii="宋体" w:hAnsi="宋体" w:eastAsia="宋体" w:cs="宋体"/>
                <w:spacing w:val="2"/>
                <w:sz w:val="24"/>
                <w:szCs w:val="24"/>
                <w:highlight w:val="none"/>
              </w:rPr>
              <w:t>服务</w:t>
            </w:r>
          </w:p>
        </w:tc>
        <w:tc>
          <w:tcPr>
            <w:tcW w:w="438" w:type="pct"/>
            <w:vMerge w:val="restart"/>
            <w:tcBorders>
              <w:bottom w:val="nil"/>
            </w:tcBorders>
            <w:vAlign w:val="top"/>
          </w:tcPr>
          <w:p w14:paraId="36368DDE">
            <w:pPr>
              <w:spacing w:line="244" w:lineRule="auto"/>
              <w:rPr>
                <w:rFonts w:hint="eastAsia" w:ascii="宋体" w:hAnsi="宋体" w:eastAsia="宋体" w:cs="宋体"/>
                <w:sz w:val="24"/>
                <w:szCs w:val="24"/>
                <w:highlight w:val="none"/>
              </w:rPr>
            </w:pPr>
          </w:p>
          <w:p w14:paraId="24FCA0E0">
            <w:pPr>
              <w:spacing w:line="245" w:lineRule="auto"/>
              <w:rPr>
                <w:rFonts w:hint="eastAsia" w:ascii="宋体" w:hAnsi="宋体" w:eastAsia="宋体" w:cs="宋体"/>
                <w:sz w:val="24"/>
                <w:szCs w:val="24"/>
                <w:highlight w:val="none"/>
              </w:rPr>
            </w:pPr>
          </w:p>
          <w:p w14:paraId="75109A2A">
            <w:pPr>
              <w:spacing w:line="245" w:lineRule="auto"/>
              <w:rPr>
                <w:rFonts w:hint="eastAsia" w:ascii="宋体" w:hAnsi="宋体" w:eastAsia="宋体" w:cs="宋体"/>
                <w:sz w:val="24"/>
                <w:szCs w:val="24"/>
                <w:highlight w:val="none"/>
              </w:rPr>
            </w:pPr>
          </w:p>
          <w:p w14:paraId="09FB092B">
            <w:pPr>
              <w:spacing w:line="245" w:lineRule="auto"/>
              <w:rPr>
                <w:rFonts w:hint="eastAsia" w:ascii="宋体" w:hAnsi="宋体" w:eastAsia="宋体" w:cs="宋体"/>
                <w:sz w:val="24"/>
                <w:szCs w:val="24"/>
                <w:highlight w:val="none"/>
              </w:rPr>
            </w:pPr>
          </w:p>
          <w:p w14:paraId="708693A1">
            <w:pPr>
              <w:spacing w:line="245" w:lineRule="auto"/>
              <w:rPr>
                <w:rFonts w:hint="eastAsia" w:ascii="宋体" w:hAnsi="宋体" w:eastAsia="宋体" w:cs="宋体"/>
                <w:sz w:val="24"/>
                <w:szCs w:val="24"/>
                <w:highlight w:val="none"/>
              </w:rPr>
            </w:pPr>
          </w:p>
          <w:p w14:paraId="52463E6D">
            <w:pPr>
              <w:spacing w:line="245" w:lineRule="auto"/>
              <w:rPr>
                <w:rFonts w:hint="eastAsia" w:ascii="宋体" w:hAnsi="宋体" w:eastAsia="宋体" w:cs="宋体"/>
                <w:sz w:val="24"/>
                <w:szCs w:val="24"/>
                <w:highlight w:val="none"/>
              </w:rPr>
            </w:pPr>
          </w:p>
          <w:p w14:paraId="4BCBF1E7">
            <w:pPr>
              <w:spacing w:line="245" w:lineRule="auto"/>
              <w:rPr>
                <w:rFonts w:hint="eastAsia" w:ascii="宋体" w:hAnsi="宋体" w:eastAsia="宋体" w:cs="宋体"/>
                <w:sz w:val="24"/>
                <w:szCs w:val="24"/>
                <w:highlight w:val="none"/>
              </w:rPr>
            </w:pPr>
          </w:p>
          <w:p w14:paraId="6715FD7C">
            <w:pPr>
              <w:spacing w:line="245" w:lineRule="auto"/>
              <w:rPr>
                <w:rFonts w:hint="eastAsia" w:ascii="宋体" w:hAnsi="宋体" w:eastAsia="宋体" w:cs="宋体"/>
                <w:sz w:val="24"/>
                <w:szCs w:val="24"/>
                <w:highlight w:val="none"/>
              </w:rPr>
            </w:pPr>
          </w:p>
          <w:p w14:paraId="1B9A240D">
            <w:pPr>
              <w:spacing w:line="245" w:lineRule="auto"/>
              <w:rPr>
                <w:rFonts w:hint="eastAsia" w:ascii="宋体" w:hAnsi="宋体" w:eastAsia="宋体" w:cs="宋体"/>
                <w:sz w:val="24"/>
                <w:szCs w:val="24"/>
                <w:highlight w:val="none"/>
              </w:rPr>
            </w:pPr>
          </w:p>
          <w:p w14:paraId="63E7F790">
            <w:pPr>
              <w:pStyle w:val="53"/>
              <w:spacing w:before="61" w:line="379" w:lineRule="auto"/>
              <w:ind w:left="95" w:right="85" w:firstLine="3"/>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签约65</w:t>
            </w:r>
            <w:r>
              <w:rPr>
                <w:rFonts w:hint="eastAsia" w:ascii="宋体" w:hAnsi="宋体" w:eastAsia="宋体" w:cs="宋体"/>
                <w:spacing w:val="-10"/>
                <w:sz w:val="24"/>
                <w:szCs w:val="24"/>
                <w:highlight w:val="none"/>
              </w:rPr>
              <w:t>岁及以</w:t>
            </w:r>
            <w:r>
              <w:rPr>
                <w:rFonts w:hint="eastAsia" w:ascii="宋体" w:hAnsi="宋体" w:eastAsia="宋体" w:cs="宋体"/>
                <w:spacing w:val="5"/>
                <w:sz w:val="24"/>
                <w:szCs w:val="24"/>
                <w:highlight w:val="none"/>
              </w:rPr>
              <w:t>上老人</w:t>
            </w:r>
          </w:p>
        </w:tc>
        <w:tc>
          <w:tcPr>
            <w:tcW w:w="966" w:type="pct"/>
            <w:vAlign w:val="top"/>
          </w:tcPr>
          <w:p w14:paraId="70968BF0">
            <w:pPr>
              <w:pStyle w:val="53"/>
              <w:spacing w:before="32" w:line="229" w:lineRule="auto"/>
              <w:ind w:left="10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1.健康评估</w:t>
            </w:r>
          </w:p>
        </w:tc>
        <w:tc>
          <w:tcPr>
            <w:tcW w:w="3177" w:type="pct"/>
            <w:vAlign w:val="top"/>
          </w:tcPr>
          <w:p w14:paraId="2BE4437C">
            <w:pPr>
              <w:pStyle w:val="53"/>
              <w:spacing w:before="32" w:line="229" w:lineRule="auto"/>
              <w:ind w:left="50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生活方式和健康状况评估</w:t>
            </w:r>
          </w:p>
        </w:tc>
      </w:tr>
      <w:tr w14:paraId="08C2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bottom w:val="nil"/>
            </w:tcBorders>
            <w:vAlign w:val="top"/>
          </w:tcPr>
          <w:p w14:paraId="0C931653">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39835B32">
            <w:pPr>
              <w:rPr>
                <w:rFonts w:hint="eastAsia" w:ascii="宋体" w:hAnsi="宋体" w:eastAsia="宋体" w:cs="宋体"/>
                <w:sz w:val="24"/>
                <w:szCs w:val="24"/>
                <w:highlight w:val="none"/>
              </w:rPr>
            </w:pPr>
          </w:p>
        </w:tc>
        <w:tc>
          <w:tcPr>
            <w:tcW w:w="966" w:type="pct"/>
            <w:vAlign w:val="top"/>
          </w:tcPr>
          <w:p w14:paraId="3A80DF9E">
            <w:pPr>
              <w:pStyle w:val="53"/>
              <w:spacing w:before="32" w:line="360" w:lineRule="auto"/>
              <w:ind w:left="97" w:right="83" w:hanging="6"/>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2.生活自理能力评</w:t>
            </w:r>
            <w:r>
              <w:rPr>
                <w:rFonts w:hint="eastAsia" w:ascii="宋体" w:hAnsi="宋体" w:eastAsia="宋体" w:cs="宋体"/>
                <w:sz w:val="24"/>
                <w:szCs w:val="24"/>
                <w:highlight w:val="none"/>
              </w:rPr>
              <w:t>估</w:t>
            </w:r>
          </w:p>
        </w:tc>
        <w:tc>
          <w:tcPr>
            <w:tcW w:w="3177" w:type="pct"/>
            <w:vAlign w:val="top"/>
          </w:tcPr>
          <w:p w14:paraId="481FA64B">
            <w:pPr>
              <w:pStyle w:val="53"/>
              <w:spacing w:before="225" w:line="229"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按《老年人生活自理能力评估》标准进行评估</w:t>
            </w:r>
          </w:p>
        </w:tc>
      </w:tr>
      <w:tr w14:paraId="35003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17" w:type="pct"/>
            <w:vMerge w:val="continue"/>
            <w:tcBorders>
              <w:top w:val="nil"/>
              <w:bottom w:val="nil"/>
            </w:tcBorders>
            <w:vAlign w:val="top"/>
          </w:tcPr>
          <w:p w14:paraId="33BFE8DD">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58E77169">
            <w:pPr>
              <w:rPr>
                <w:rFonts w:hint="eastAsia" w:ascii="宋体" w:hAnsi="宋体" w:eastAsia="宋体" w:cs="宋体"/>
                <w:sz w:val="24"/>
                <w:szCs w:val="24"/>
                <w:highlight w:val="none"/>
              </w:rPr>
            </w:pPr>
          </w:p>
        </w:tc>
        <w:tc>
          <w:tcPr>
            <w:tcW w:w="966" w:type="pct"/>
            <w:vAlign w:val="top"/>
          </w:tcPr>
          <w:p w14:paraId="2BAABE2D">
            <w:pPr>
              <w:spacing w:line="355" w:lineRule="auto"/>
              <w:rPr>
                <w:rFonts w:hint="eastAsia" w:ascii="宋体" w:hAnsi="宋体" w:eastAsia="宋体" w:cs="宋体"/>
                <w:sz w:val="24"/>
                <w:szCs w:val="24"/>
                <w:highlight w:val="none"/>
              </w:rPr>
            </w:pPr>
          </w:p>
          <w:p w14:paraId="682DCF38">
            <w:pPr>
              <w:pStyle w:val="53"/>
              <w:spacing w:before="62" w:line="229" w:lineRule="auto"/>
              <w:ind w:left="9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3.体格检查</w:t>
            </w:r>
          </w:p>
        </w:tc>
        <w:tc>
          <w:tcPr>
            <w:tcW w:w="3177" w:type="pct"/>
            <w:vAlign w:val="top"/>
          </w:tcPr>
          <w:p w14:paraId="5FDA88F1">
            <w:pPr>
              <w:pStyle w:val="53"/>
              <w:spacing w:before="31" w:line="366" w:lineRule="auto"/>
              <w:ind w:left="97" w:right="83" w:firstLine="406"/>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包括体温、脉搏、呼吸、血压、身高、体重、腰围、皮肤、浅表淋巴结、肺部、心脏、腹部等常规体格检查，并对口腔、视力、听力和运</w:t>
            </w:r>
            <w:r>
              <w:rPr>
                <w:rFonts w:hint="eastAsia" w:ascii="宋体" w:hAnsi="宋体" w:eastAsia="宋体" w:cs="宋体"/>
                <w:spacing w:val="8"/>
                <w:sz w:val="24"/>
                <w:szCs w:val="24"/>
                <w:highlight w:val="none"/>
              </w:rPr>
              <w:t>动功能等进行粗测判断</w:t>
            </w:r>
          </w:p>
        </w:tc>
      </w:tr>
      <w:tr w14:paraId="720E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417" w:type="pct"/>
            <w:vMerge w:val="continue"/>
            <w:tcBorders>
              <w:top w:val="nil"/>
              <w:bottom w:val="nil"/>
            </w:tcBorders>
            <w:vAlign w:val="top"/>
          </w:tcPr>
          <w:p w14:paraId="358B6DF7">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4958A762">
            <w:pPr>
              <w:rPr>
                <w:rFonts w:hint="eastAsia" w:ascii="宋体" w:hAnsi="宋体" w:eastAsia="宋体" w:cs="宋体"/>
                <w:sz w:val="24"/>
                <w:szCs w:val="24"/>
                <w:highlight w:val="none"/>
              </w:rPr>
            </w:pPr>
          </w:p>
        </w:tc>
        <w:tc>
          <w:tcPr>
            <w:tcW w:w="966" w:type="pct"/>
            <w:vAlign w:val="top"/>
          </w:tcPr>
          <w:p w14:paraId="3B43A110">
            <w:pPr>
              <w:spacing w:line="274" w:lineRule="auto"/>
              <w:rPr>
                <w:rFonts w:hint="eastAsia" w:ascii="宋体" w:hAnsi="宋体" w:eastAsia="宋体" w:cs="宋体"/>
                <w:sz w:val="24"/>
                <w:szCs w:val="24"/>
                <w:highlight w:val="none"/>
              </w:rPr>
            </w:pPr>
          </w:p>
          <w:p w14:paraId="08A5E170">
            <w:pPr>
              <w:spacing w:line="274" w:lineRule="auto"/>
              <w:rPr>
                <w:rFonts w:hint="eastAsia" w:ascii="宋体" w:hAnsi="宋体" w:eastAsia="宋体" w:cs="宋体"/>
                <w:sz w:val="24"/>
                <w:szCs w:val="24"/>
                <w:highlight w:val="none"/>
              </w:rPr>
            </w:pPr>
          </w:p>
          <w:p w14:paraId="05311270">
            <w:pPr>
              <w:spacing w:line="274" w:lineRule="auto"/>
              <w:rPr>
                <w:rFonts w:hint="eastAsia" w:ascii="宋体" w:hAnsi="宋体" w:eastAsia="宋体" w:cs="宋体"/>
                <w:sz w:val="24"/>
                <w:szCs w:val="24"/>
                <w:highlight w:val="none"/>
              </w:rPr>
            </w:pPr>
          </w:p>
          <w:p w14:paraId="51A6B40E">
            <w:pPr>
              <w:pStyle w:val="53"/>
              <w:spacing w:before="61"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4.辅助检查</w:t>
            </w:r>
          </w:p>
        </w:tc>
        <w:tc>
          <w:tcPr>
            <w:tcW w:w="3177" w:type="pct"/>
            <w:vAlign w:val="top"/>
          </w:tcPr>
          <w:p w14:paraId="5E896FFE">
            <w:pPr>
              <w:rPr>
                <w:rFonts w:hint="eastAsia" w:ascii="宋体" w:hAnsi="宋体" w:eastAsia="宋体" w:cs="宋体"/>
                <w:sz w:val="24"/>
                <w:szCs w:val="24"/>
                <w:highlight w:val="none"/>
              </w:rPr>
            </w:pPr>
          </w:p>
          <w:p w14:paraId="0D0B7729">
            <w:pPr>
              <w:pStyle w:val="53"/>
              <w:spacing w:before="62" w:line="378" w:lineRule="auto"/>
              <w:ind w:left="95" w:right="83" w:firstLine="408"/>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包括血常规、尿常规、肝功能（血清谷草转氨酶、血清谷丙转氨酶和总胆红素）、肾功能（血清肌酐和血尿素）、空腹血糖、血脂（总胆固醇、甘油三酯、低密度脂蛋白胆固醇、高密度脂蛋白胆固醇）、心电</w:t>
            </w:r>
            <w:r>
              <w:rPr>
                <w:rFonts w:hint="eastAsia" w:ascii="宋体" w:hAnsi="宋体" w:eastAsia="宋体" w:cs="宋体"/>
                <w:spacing w:val="7"/>
                <w:sz w:val="24"/>
                <w:szCs w:val="24"/>
                <w:highlight w:val="none"/>
              </w:rPr>
              <w:t>图和腹部B超（肝胆胰脾）检查</w:t>
            </w:r>
          </w:p>
        </w:tc>
      </w:tr>
      <w:tr w14:paraId="0D71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417" w:type="pct"/>
            <w:vMerge w:val="continue"/>
            <w:tcBorders>
              <w:top w:val="nil"/>
              <w:bottom w:val="nil"/>
            </w:tcBorders>
            <w:vAlign w:val="top"/>
          </w:tcPr>
          <w:p w14:paraId="55458C3B">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3C2D0C75">
            <w:pPr>
              <w:rPr>
                <w:rFonts w:hint="eastAsia" w:ascii="宋体" w:hAnsi="宋体" w:eastAsia="宋体" w:cs="宋体"/>
                <w:sz w:val="24"/>
                <w:szCs w:val="24"/>
                <w:highlight w:val="none"/>
              </w:rPr>
            </w:pPr>
          </w:p>
        </w:tc>
        <w:tc>
          <w:tcPr>
            <w:tcW w:w="966" w:type="pct"/>
            <w:vAlign w:val="top"/>
          </w:tcPr>
          <w:p w14:paraId="686A171F">
            <w:pPr>
              <w:pStyle w:val="53"/>
              <w:spacing w:before="41" w:line="360" w:lineRule="auto"/>
              <w:ind w:left="94" w:right="83" w:hanging="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5.中医药健康管理</w:t>
            </w:r>
            <w:r>
              <w:rPr>
                <w:rFonts w:hint="eastAsia" w:ascii="宋体" w:hAnsi="宋体" w:eastAsia="宋体" w:cs="宋体"/>
                <w:spacing w:val="6"/>
                <w:sz w:val="24"/>
                <w:szCs w:val="24"/>
                <w:highlight w:val="none"/>
              </w:rPr>
              <w:t>服务</w:t>
            </w:r>
          </w:p>
        </w:tc>
        <w:tc>
          <w:tcPr>
            <w:tcW w:w="3177" w:type="pct"/>
            <w:vAlign w:val="top"/>
          </w:tcPr>
          <w:p w14:paraId="31E1FE18">
            <w:pPr>
              <w:pStyle w:val="53"/>
              <w:spacing w:before="236" w:line="230" w:lineRule="auto"/>
              <w:ind w:left="52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中医体质辨识和中医药保健指导</w:t>
            </w:r>
          </w:p>
        </w:tc>
      </w:tr>
      <w:tr w14:paraId="610B0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tcBorders>
            <w:vAlign w:val="top"/>
          </w:tcPr>
          <w:p w14:paraId="218C1C1B">
            <w:pPr>
              <w:rPr>
                <w:rFonts w:hint="eastAsia" w:ascii="宋体" w:hAnsi="宋体" w:eastAsia="宋体" w:cs="宋体"/>
                <w:sz w:val="24"/>
                <w:szCs w:val="24"/>
                <w:highlight w:val="none"/>
              </w:rPr>
            </w:pPr>
          </w:p>
        </w:tc>
        <w:tc>
          <w:tcPr>
            <w:tcW w:w="438" w:type="pct"/>
            <w:vMerge w:val="continue"/>
            <w:tcBorders>
              <w:top w:val="nil"/>
            </w:tcBorders>
            <w:vAlign w:val="top"/>
          </w:tcPr>
          <w:p w14:paraId="59E248D0">
            <w:pPr>
              <w:rPr>
                <w:rFonts w:hint="eastAsia" w:ascii="宋体" w:hAnsi="宋体" w:eastAsia="宋体" w:cs="宋体"/>
                <w:sz w:val="24"/>
                <w:szCs w:val="24"/>
                <w:highlight w:val="none"/>
              </w:rPr>
            </w:pPr>
          </w:p>
        </w:tc>
        <w:tc>
          <w:tcPr>
            <w:tcW w:w="966" w:type="pct"/>
            <w:vAlign w:val="top"/>
          </w:tcPr>
          <w:p w14:paraId="6719B110">
            <w:pPr>
              <w:pStyle w:val="53"/>
              <w:spacing w:before="31" w:line="360" w:lineRule="auto"/>
              <w:ind w:left="118" w:right="83" w:hanging="2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6.基本服务包所有</w:t>
            </w:r>
            <w:r>
              <w:rPr>
                <w:rFonts w:hint="eastAsia" w:ascii="宋体" w:hAnsi="宋体" w:eastAsia="宋体" w:cs="宋体"/>
                <w:spacing w:val="-5"/>
                <w:sz w:val="24"/>
                <w:szCs w:val="24"/>
                <w:highlight w:val="none"/>
              </w:rPr>
              <w:t>内容</w:t>
            </w:r>
          </w:p>
        </w:tc>
        <w:tc>
          <w:tcPr>
            <w:tcW w:w="3177" w:type="pct"/>
            <w:vAlign w:val="top"/>
          </w:tcPr>
          <w:p w14:paraId="2B4DF456">
            <w:pPr>
              <w:pStyle w:val="53"/>
              <w:spacing w:before="225"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0E194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restart"/>
            <w:tcBorders>
              <w:bottom w:val="nil"/>
            </w:tcBorders>
            <w:vAlign w:val="top"/>
          </w:tcPr>
          <w:p w14:paraId="259B66F8">
            <w:pPr>
              <w:spacing w:line="256" w:lineRule="auto"/>
              <w:rPr>
                <w:rFonts w:hint="eastAsia" w:ascii="宋体" w:hAnsi="宋体" w:eastAsia="宋体" w:cs="宋体"/>
                <w:sz w:val="24"/>
                <w:szCs w:val="24"/>
                <w:highlight w:val="none"/>
              </w:rPr>
            </w:pPr>
          </w:p>
          <w:p w14:paraId="06DD541B">
            <w:pPr>
              <w:spacing w:line="256" w:lineRule="auto"/>
              <w:rPr>
                <w:rFonts w:hint="eastAsia" w:ascii="宋体" w:hAnsi="宋体" w:eastAsia="宋体" w:cs="宋体"/>
                <w:sz w:val="24"/>
                <w:szCs w:val="24"/>
                <w:highlight w:val="none"/>
              </w:rPr>
            </w:pPr>
          </w:p>
          <w:p w14:paraId="112D7273">
            <w:pPr>
              <w:spacing w:line="256" w:lineRule="auto"/>
              <w:rPr>
                <w:rFonts w:hint="eastAsia" w:ascii="宋体" w:hAnsi="宋体" w:eastAsia="宋体" w:cs="宋体"/>
                <w:sz w:val="24"/>
                <w:szCs w:val="24"/>
                <w:highlight w:val="none"/>
              </w:rPr>
            </w:pPr>
          </w:p>
          <w:p w14:paraId="382F04CF">
            <w:pPr>
              <w:spacing w:line="256" w:lineRule="auto"/>
              <w:rPr>
                <w:rFonts w:hint="eastAsia" w:ascii="宋体" w:hAnsi="宋体" w:eastAsia="宋体" w:cs="宋体"/>
                <w:sz w:val="24"/>
                <w:szCs w:val="24"/>
                <w:highlight w:val="none"/>
              </w:rPr>
            </w:pPr>
          </w:p>
          <w:p w14:paraId="7A596E15">
            <w:pPr>
              <w:spacing w:line="256" w:lineRule="auto"/>
              <w:rPr>
                <w:rFonts w:hint="eastAsia" w:ascii="宋体" w:hAnsi="宋体" w:eastAsia="宋体" w:cs="宋体"/>
                <w:sz w:val="24"/>
                <w:szCs w:val="24"/>
                <w:highlight w:val="none"/>
              </w:rPr>
            </w:pPr>
          </w:p>
          <w:p w14:paraId="79378B46">
            <w:pPr>
              <w:spacing w:line="257" w:lineRule="auto"/>
              <w:rPr>
                <w:rFonts w:hint="eastAsia" w:ascii="宋体" w:hAnsi="宋体" w:eastAsia="宋体" w:cs="宋体"/>
                <w:sz w:val="24"/>
                <w:szCs w:val="24"/>
                <w:highlight w:val="none"/>
              </w:rPr>
            </w:pPr>
          </w:p>
          <w:p w14:paraId="0E269B69">
            <w:pPr>
              <w:pStyle w:val="53"/>
              <w:spacing w:before="61" w:line="378" w:lineRule="auto"/>
              <w:ind w:left="103" w:right="86"/>
              <w:jc w:val="both"/>
              <w:rPr>
                <w:rFonts w:hint="eastAsia" w:ascii="宋体" w:hAnsi="宋体" w:eastAsia="宋体" w:cs="宋体"/>
                <w:sz w:val="24"/>
                <w:szCs w:val="24"/>
                <w:highlight w:val="none"/>
              </w:rPr>
            </w:pPr>
            <w:r>
              <w:rPr>
                <w:rFonts w:hint="eastAsia" w:ascii="宋体" w:hAnsi="宋体" w:eastAsia="宋体" w:cs="宋体"/>
                <w:spacing w:val="25"/>
                <w:sz w:val="24"/>
                <w:szCs w:val="24"/>
                <w:highlight w:val="none"/>
              </w:rPr>
              <w:t>高血压</w:t>
            </w:r>
            <w:r>
              <w:rPr>
                <w:rFonts w:hint="eastAsia" w:ascii="宋体" w:hAnsi="宋体" w:eastAsia="宋体" w:cs="宋体"/>
                <w:spacing w:val="26"/>
                <w:sz w:val="24"/>
                <w:szCs w:val="24"/>
                <w:highlight w:val="none"/>
              </w:rPr>
              <w:t>患者服</w:t>
            </w:r>
            <w:r>
              <w:rPr>
                <w:rFonts w:hint="eastAsia" w:ascii="宋体" w:hAnsi="宋体" w:eastAsia="宋体" w:cs="宋体"/>
                <w:sz w:val="24"/>
                <w:szCs w:val="24"/>
                <w:highlight w:val="none"/>
              </w:rPr>
              <w:t>务</w:t>
            </w:r>
          </w:p>
        </w:tc>
        <w:tc>
          <w:tcPr>
            <w:tcW w:w="438" w:type="pct"/>
            <w:vMerge w:val="restart"/>
            <w:tcBorders>
              <w:bottom w:val="nil"/>
            </w:tcBorders>
            <w:vAlign w:val="top"/>
          </w:tcPr>
          <w:p w14:paraId="3E7D9CAE">
            <w:pPr>
              <w:spacing w:line="256" w:lineRule="auto"/>
              <w:rPr>
                <w:rFonts w:hint="eastAsia" w:ascii="宋体" w:hAnsi="宋体" w:eastAsia="宋体" w:cs="宋体"/>
                <w:sz w:val="24"/>
                <w:szCs w:val="24"/>
                <w:highlight w:val="none"/>
              </w:rPr>
            </w:pPr>
          </w:p>
          <w:p w14:paraId="064611B0">
            <w:pPr>
              <w:spacing w:line="256" w:lineRule="auto"/>
              <w:rPr>
                <w:rFonts w:hint="eastAsia" w:ascii="宋体" w:hAnsi="宋体" w:eastAsia="宋体" w:cs="宋体"/>
                <w:sz w:val="24"/>
                <w:szCs w:val="24"/>
                <w:highlight w:val="none"/>
              </w:rPr>
            </w:pPr>
          </w:p>
          <w:p w14:paraId="4E245DB4">
            <w:pPr>
              <w:spacing w:line="256" w:lineRule="auto"/>
              <w:rPr>
                <w:rFonts w:hint="eastAsia" w:ascii="宋体" w:hAnsi="宋体" w:eastAsia="宋体" w:cs="宋体"/>
                <w:sz w:val="24"/>
                <w:szCs w:val="24"/>
                <w:highlight w:val="none"/>
              </w:rPr>
            </w:pPr>
          </w:p>
          <w:p w14:paraId="20F0818E">
            <w:pPr>
              <w:spacing w:line="256" w:lineRule="auto"/>
              <w:rPr>
                <w:rFonts w:hint="eastAsia" w:ascii="宋体" w:hAnsi="宋体" w:eastAsia="宋体" w:cs="宋体"/>
                <w:sz w:val="24"/>
                <w:szCs w:val="24"/>
                <w:highlight w:val="none"/>
              </w:rPr>
            </w:pPr>
          </w:p>
          <w:p w14:paraId="5B21534D">
            <w:pPr>
              <w:spacing w:line="256" w:lineRule="auto"/>
              <w:rPr>
                <w:rFonts w:hint="eastAsia" w:ascii="宋体" w:hAnsi="宋体" w:eastAsia="宋体" w:cs="宋体"/>
                <w:sz w:val="24"/>
                <w:szCs w:val="24"/>
                <w:highlight w:val="none"/>
              </w:rPr>
            </w:pPr>
          </w:p>
          <w:p w14:paraId="0B6BFA14">
            <w:pPr>
              <w:spacing w:line="257" w:lineRule="auto"/>
              <w:rPr>
                <w:rFonts w:hint="eastAsia" w:ascii="宋体" w:hAnsi="宋体" w:eastAsia="宋体" w:cs="宋体"/>
                <w:sz w:val="24"/>
                <w:szCs w:val="24"/>
                <w:highlight w:val="none"/>
              </w:rPr>
            </w:pPr>
          </w:p>
          <w:p w14:paraId="4C5C7564">
            <w:pPr>
              <w:pStyle w:val="53"/>
              <w:spacing w:before="61" w:line="378" w:lineRule="auto"/>
              <w:ind w:left="97" w:right="85" w:firstLine="1"/>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签约高</w:t>
            </w:r>
            <w:r>
              <w:rPr>
                <w:rFonts w:hint="eastAsia" w:ascii="宋体" w:hAnsi="宋体" w:eastAsia="宋体" w:cs="宋体"/>
                <w:spacing w:val="-10"/>
                <w:sz w:val="24"/>
                <w:szCs w:val="24"/>
                <w:highlight w:val="none"/>
              </w:rPr>
              <w:t>血压患</w:t>
            </w:r>
            <w:r>
              <w:rPr>
                <w:rFonts w:hint="eastAsia" w:ascii="宋体" w:hAnsi="宋体" w:eastAsia="宋体" w:cs="宋体"/>
                <w:sz w:val="24"/>
                <w:szCs w:val="24"/>
                <w:highlight w:val="none"/>
              </w:rPr>
              <w:t>者</w:t>
            </w:r>
          </w:p>
        </w:tc>
        <w:tc>
          <w:tcPr>
            <w:tcW w:w="966" w:type="pct"/>
            <w:vAlign w:val="top"/>
          </w:tcPr>
          <w:p w14:paraId="0C66B0F5">
            <w:pPr>
              <w:pStyle w:val="53"/>
              <w:spacing w:before="34" w:line="359"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3177" w:type="pct"/>
            <w:vAlign w:val="top"/>
          </w:tcPr>
          <w:p w14:paraId="78108F35">
            <w:pPr>
              <w:pStyle w:val="53"/>
              <w:spacing w:before="227"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建立高血压患者专项（电子）健康档案</w:t>
            </w:r>
          </w:p>
        </w:tc>
      </w:tr>
      <w:tr w14:paraId="53D2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bottom w:val="nil"/>
            </w:tcBorders>
            <w:vAlign w:val="top"/>
          </w:tcPr>
          <w:p w14:paraId="67A052F3">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574EBB47">
            <w:pPr>
              <w:rPr>
                <w:rFonts w:hint="eastAsia" w:ascii="宋体" w:hAnsi="宋体" w:eastAsia="宋体" w:cs="宋体"/>
                <w:sz w:val="24"/>
                <w:szCs w:val="24"/>
                <w:highlight w:val="none"/>
              </w:rPr>
            </w:pPr>
          </w:p>
        </w:tc>
        <w:tc>
          <w:tcPr>
            <w:tcW w:w="966" w:type="pct"/>
            <w:vAlign w:val="top"/>
          </w:tcPr>
          <w:p w14:paraId="29B03A90">
            <w:pPr>
              <w:pStyle w:val="53"/>
              <w:spacing w:before="226" w:line="233"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2.分级随访管理</w:t>
            </w:r>
          </w:p>
        </w:tc>
        <w:tc>
          <w:tcPr>
            <w:tcW w:w="3177" w:type="pct"/>
            <w:vAlign w:val="top"/>
          </w:tcPr>
          <w:p w14:paraId="3CCF3A2F">
            <w:pPr>
              <w:pStyle w:val="53"/>
              <w:spacing w:before="34" w:line="230" w:lineRule="auto"/>
              <w:ind w:left="49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根据血压分级管理要求，每年提供不少于4次</w:t>
            </w:r>
            <w:r>
              <w:rPr>
                <w:rFonts w:hint="eastAsia" w:ascii="宋体" w:hAnsi="宋体" w:eastAsia="宋体" w:cs="宋体"/>
                <w:spacing w:val="6"/>
                <w:sz w:val="24"/>
                <w:szCs w:val="24"/>
                <w:highlight w:val="none"/>
              </w:rPr>
              <w:t>面对面随访，不少于</w:t>
            </w:r>
          </w:p>
          <w:p w14:paraId="0B1E4DC5">
            <w:pPr>
              <w:pStyle w:val="53"/>
              <w:spacing w:before="152" w:line="232"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4次免费血压测量</w:t>
            </w:r>
          </w:p>
        </w:tc>
      </w:tr>
      <w:tr w14:paraId="5F42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bottom w:val="nil"/>
            </w:tcBorders>
            <w:vAlign w:val="top"/>
          </w:tcPr>
          <w:p w14:paraId="7D5AE95E">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058ED50A">
            <w:pPr>
              <w:rPr>
                <w:rFonts w:hint="eastAsia" w:ascii="宋体" w:hAnsi="宋体" w:eastAsia="宋体" w:cs="宋体"/>
                <w:sz w:val="24"/>
                <w:szCs w:val="24"/>
                <w:highlight w:val="none"/>
              </w:rPr>
            </w:pPr>
          </w:p>
        </w:tc>
        <w:tc>
          <w:tcPr>
            <w:tcW w:w="966" w:type="pct"/>
            <w:vAlign w:val="top"/>
          </w:tcPr>
          <w:p w14:paraId="6B8F4496">
            <w:pPr>
              <w:pStyle w:val="53"/>
              <w:spacing w:before="34" w:line="359" w:lineRule="auto"/>
              <w:ind w:left="101" w:right="83" w:hanging="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3.随访评估和分类</w:t>
            </w:r>
            <w:r>
              <w:rPr>
                <w:rFonts w:hint="eastAsia" w:ascii="宋体" w:hAnsi="宋体" w:eastAsia="宋体" w:cs="宋体"/>
                <w:spacing w:val="-1"/>
                <w:sz w:val="24"/>
                <w:szCs w:val="24"/>
                <w:highlight w:val="none"/>
              </w:rPr>
              <w:t>干预</w:t>
            </w:r>
          </w:p>
        </w:tc>
        <w:tc>
          <w:tcPr>
            <w:tcW w:w="3177" w:type="pct"/>
            <w:vAlign w:val="top"/>
          </w:tcPr>
          <w:p w14:paraId="1F3E8BE0">
            <w:pPr>
              <w:pStyle w:val="53"/>
              <w:spacing w:before="34" w:line="359" w:lineRule="auto"/>
              <w:ind w:left="95" w:right="83" w:firstLine="408"/>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与患者一起制定生活方式改进目标，进行有针对性的健康教育，调</w:t>
            </w:r>
            <w:r>
              <w:rPr>
                <w:rFonts w:hint="eastAsia" w:ascii="宋体" w:hAnsi="宋体" w:eastAsia="宋体" w:cs="宋体"/>
                <w:spacing w:val="8"/>
                <w:sz w:val="24"/>
                <w:szCs w:val="24"/>
                <w:highlight w:val="none"/>
              </w:rPr>
              <w:t>整药物，按需转诊</w:t>
            </w:r>
          </w:p>
        </w:tc>
      </w:tr>
      <w:tr w14:paraId="4568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17" w:type="pct"/>
            <w:vMerge w:val="continue"/>
            <w:tcBorders>
              <w:top w:val="nil"/>
              <w:bottom w:val="nil"/>
            </w:tcBorders>
            <w:vAlign w:val="top"/>
          </w:tcPr>
          <w:p w14:paraId="6E286C60">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1081D386">
            <w:pPr>
              <w:rPr>
                <w:rFonts w:hint="eastAsia" w:ascii="宋体" w:hAnsi="宋体" w:eastAsia="宋体" w:cs="宋体"/>
                <w:sz w:val="24"/>
                <w:szCs w:val="24"/>
                <w:highlight w:val="none"/>
              </w:rPr>
            </w:pPr>
          </w:p>
        </w:tc>
        <w:tc>
          <w:tcPr>
            <w:tcW w:w="966" w:type="pct"/>
            <w:vAlign w:val="top"/>
          </w:tcPr>
          <w:p w14:paraId="5436234D">
            <w:pPr>
              <w:spacing w:line="358" w:lineRule="auto"/>
              <w:rPr>
                <w:rFonts w:hint="eastAsia" w:ascii="宋体" w:hAnsi="宋体" w:eastAsia="宋体" w:cs="宋体"/>
                <w:sz w:val="24"/>
                <w:szCs w:val="24"/>
                <w:highlight w:val="none"/>
              </w:rPr>
            </w:pPr>
          </w:p>
          <w:p w14:paraId="01EC9A89">
            <w:pPr>
              <w:pStyle w:val="53"/>
              <w:spacing w:before="61"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4.体格检查</w:t>
            </w:r>
          </w:p>
        </w:tc>
        <w:tc>
          <w:tcPr>
            <w:tcW w:w="3177" w:type="pct"/>
            <w:vAlign w:val="top"/>
          </w:tcPr>
          <w:p w14:paraId="0F5C1D2B">
            <w:pPr>
              <w:pStyle w:val="53"/>
              <w:spacing w:before="34" w:line="365" w:lineRule="auto"/>
              <w:ind w:left="97" w:right="83" w:firstLine="406"/>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包括体温、脉搏、呼吸、血压、身高、体重、腰围、皮肤、浅表淋巴结、肺部、心脏、腹部等常规体格检查，并对口腔、视力、听力和运</w:t>
            </w:r>
            <w:r>
              <w:rPr>
                <w:rFonts w:hint="eastAsia" w:ascii="宋体" w:hAnsi="宋体" w:eastAsia="宋体" w:cs="宋体"/>
                <w:spacing w:val="8"/>
                <w:sz w:val="24"/>
                <w:szCs w:val="24"/>
                <w:highlight w:val="none"/>
              </w:rPr>
              <w:t>动功能等进行粗测判断</w:t>
            </w:r>
          </w:p>
        </w:tc>
      </w:tr>
      <w:tr w14:paraId="149E3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17" w:type="pct"/>
            <w:vMerge w:val="continue"/>
            <w:tcBorders>
              <w:top w:val="nil"/>
            </w:tcBorders>
            <w:vAlign w:val="top"/>
          </w:tcPr>
          <w:p w14:paraId="0F19BB6D">
            <w:pPr>
              <w:rPr>
                <w:rFonts w:hint="eastAsia" w:ascii="宋体" w:hAnsi="宋体" w:eastAsia="宋体" w:cs="宋体"/>
                <w:sz w:val="24"/>
                <w:szCs w:val="24"/>
                <w:highlight w:val="none"/>
              </w:rPr>
            </w:pPr>
          </w:p>
        </w:tc>
        <w:tc>
          <w:tcPr>
            <w:tcW w:w="438" w:type="pct"/>
            <w:vMerge w:val="continue"/>
            <w:tcBorders>
              <w:top w:val="nil"/>
            </w:tcBorders>
            <w:vAlign w:val="top"/>
          </w:tcPr>
          <w:p w14:paraId="14A255F7">
            <w:pPr>
              <w:rPr>
                <w:rFonts w:hint="eastAsia" w:ascii="宋体" w:hAnsi="宋体" w:eastAsia="宋体" w:cs="宋体"/>
                <w:sz w:val="24"/>
                <w:szCs w:val="24"/>
                <w:highlight w:val="none"/>
              </w:rPr>
            </w:pPr>
          </w:p>
        </w:tc>
        <w:tc>
          <w:tcPr>
            <w:tcW w:w="966" w:type="pct"/>
            <w:vAlign w:val="top"/>
          </w:tcPr>
          <w:p w14:paraId="10C4DCD8">
            <w:pPr>
              <w:pStyle w:val="53"/>
              <w:spacing w:before="35" w:line="359" w:lineRule="auto"/>
              <w:ind w:left="119" w:right="83" w:hanging="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3177" w:type="pct"/>
            <w:vAlign w:val="top"/>
          </w:tcPr>
          <w:p w14:paraId="417FDF81">
            <w:pPr>
              <w:pStyle w:val="53"/>
              <w:spacing w:before="227"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5428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417" w:type="pct"/>
            <w:vMerge w:val="restart"/>
            <w:vAlign w:val="top"/>
          </w:tcPr>
          <w:p w14:paraId="15FF1373">
            <w:pPr>
              <w:pStyle w:val="53"/>
              <w:spacing w:before="34" w:line="231" w:lineRule="auto"/>
              <w:ind w:left="99"/>
              <w:rPr>
                <w:rFonts w:hint="eastAsia" w:ascii="宋体" w:hAnsi="宋体" w:eastAsia="宋体" w:cs="宋体"/>
                <w:sz w:val="24"/>
                <w:szCs w:val="24"/>
                <w:highlight w:val="none"/>
              </w:rPr>
            </w:pPr>
            <w:r>
              <w:rPr>
                <w:rFonts w:hint="eastAsia" w:ascii="宋体" w:hAnsi="宋体" w:eastAsia="宋体" w:cs="宋体"/>
                <w:spacing w:val="29"/>
                <w:sz w:val="24"/>
                <w:szCs w:val="24"/>
                <w:highlight w:val="none"/>
              </w:rPr>
              <w:t>糖尿病</w:t>
            </w:r>
          </w:p>
          <w:p w14:paraId="38904BC2">
            <w:pPr>
              <w:pStyle w:val="53"/>
              <w:spacing w:before="151" w:line="231" w:lineRule="auto"/>
              <w:ind w:left="110"/>
              <w:rPr>
                <w:rFonts w:hint="eastAsia" w:ascii="宋体" w:hAnsi="宋体" w:eastAsia="宋体" w:cs="宋体"/>
                <w:spacing w:val="25"/>
                <w:sz w:val="24"/>
                <w:szCs w:val="24"/>
                <w:highlight w:val="none"/>
              </w:rPr>
            </w:pPr>
            <w:r>
              <w:rPr>
                <w:rFonts w:hint="eastAsia" w:ascii="宋体" w:hAnsi="宋体" w:eastAsia="宋体" w:cs="宋体"/>
                <w:spacing w:val="25"/>
                <w:sz w:val="24"/>
                <w:szCs w:val="24"/>
                <w:highlight w:val="none"/>
              </w:rPr>
              <w:t>患者服</w:t>
            </w:r>
          </w:p>
          <w:p w14:paraId="6A189FFA">
            <w:pPr>
              <w:pStyle w:val="53"/>
              <w:spacing w:before="28" w:line="232" w:lineRule="auto"/>
              <w:ind w:left="103"/>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tc>
        <w:tc>
          <w:tcPr>
            <w:tcW w:w="438" w:type="pct"/>
            <w:vMerge w:val="restart"/>
            <w:vAlign w:val="top"/>
          </w:tcPr>
          <w:p w14:paraId="4037F5A2">
            <w:pPr>
              <w:pStyle w:val="53"/>
              <w:spacing w:before="33" w:line="233" w:lineRule="auto"/>
              <w:ind w:left="9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签约2</w:t>
            </w:r>
          </w:p>
          <w:p w14:paraId="0A55A0B3">
            <w:pPr>
              <w:pStyle w:val="53"/>
              <w:spacing w:before="149" w:line="231" w:lineRule="auto"/>
              <w:ind w:left="103"/>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型糖尿</w:t>
            </w:r>
          </w:p>
          <w:p w14:paraId="3B2F038E">
            <w:pPr>
              <w:pStyle w:val="53"/>
              <w:spacing w:before="28" w:line="232" w:lineRule="auto"/>
              <w:ind w:left="9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病患者</w:t>
            </w:r>
          </w:p>
        </w:tc>
        <w:tc>
          <w:tcPr>
            <w:tcW w:w="966" w:type="pct"/>
            <w:vAlign w:val="top"/>
          </w:tcPr>
          <w:p w14:paraId="14F7BE9F">
            <w:pPr>
              <w:pStyle w:val="53"/>
              <w:spacing w:before="33" w:line="365"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3177" w:type="pct"/>
            <w:vAlign w:val="top"/>
          </w:tcPr>
          <w:p w14:paraId="7F853FEC">
            <w:pPr>
              <w:pStyle w:val="53"/>
              <w:spacing w:before="228"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建立糖尿病患者专项（电子）健康档案</w:t>
            </w:r>
          </w:p>
        </w:tc>
      </w:tr>
      <w:tr w14:paraId="43D7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17" w:type="pct"/>
            <w:vMerge w:val="continue"/>
            <w:vAlign w:val="top"/>
          </w:tcPr>
          <w:p w14:paraId="5EC0B1A1">
            <w:pPr>
              <w:pStyle w:val="53"/>
              <w:spacing w:before="28" w:line="232" w:lineRule="auto"/>
              <w:ind w:left="103"/>
              <w:rPr>
                <w:rFonts w:hint="eastAsia" w:ascii="宋体" w:hAnsi="宋体" w:eastAsia="宋体" w:cs="宋体"/>
                <w:sz w:val="24"/>
                <w:szCs w:val="24"/>
                <w:highlight w:val="none"/>
              </w:rPr>
            </w:pPr>
          </w:p>
        </w:tc>
        <w:tc>
          <w:tcPr>
            <w:tcW w:w="438" w:type="pct"/>
            <w:vMerge w:val="continue"/>
            <w:vAlign w:val="top"/>
          </w:tcPr>
          <w:p w14:paraId="4BB5BD14">
            <w:pPr>
              <w:pStyle w:val="53"/>
              <w:spacing w:before="28" w:line="232" w:lineRule="auto"/>
              <w:ind w:left="95"/>
              <w:rPr>
                <w:rFonts w:hint="eastAsia" w:ascii="宋体" w:hAnsi="宋体" w:eastAsia="宋体" w:cs="宋体"/>
                <w:sz w:val="24"/>
                <w:szCs w:val="24"/>
                <w:highlight w:val="none"/>
              </w:rPr>
            </w:pPr>
          </w:p>
        </w:tc>
        <w:tc>
          <w:tcPr>
            <w:tcW w:w="966" w:type="pct"/>
            <w:tcBorders>
              <w:top w:val="nil"/>
            </w:tcBorders>
            <w:vAlign w:val="top"/>
          </w:tcPr>
          <w:p w14:paraId="7C860172">
            <w:pPr>
              <w:pStyle w:val="53"/>
              <w:spacing w:before="222" w:line="233"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2.分级随访管理</w:t>
            </w:r>
          </w:p>
        </w:tc>
        <w:tc>
          <w:tcPr>
            <w:tcW w:w="3177" w:type="pct"/>
            <w:tcBorders>
              <w:top w:val="nil"/>
            </w:tcBorders>
            <w:vAlign w:val="top"/>
          </w:tcPr>
          <w:p w14:paraId="5B375638">
            <w:pPr>
              <w:pStyle w:val="53"/>
              <w:spacing w:before="28" w:line="230" w:lineRule="auto"/>
              <w:ind w:left="49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根据血糖分级管理要求，每年提供不少于4次</w:t>
            </w:r>
            <w:r>
              <w:rPr>
                <w:rFonts w:hint="eastAsia" w:ascii="宋体" w:hAnsi="宋体" w:eastAsia="宋体" w:cs="宋体"/>
                <w:spacing w:val="6"/>
                <w:sz w:val="24"/>
                <w:szCs w:val="24"/>
                <w:highlight w:val="none"/>
              </w:rPr>
              <w:t>面对面随访，不少于</w:t>
            </w:r>
          </w:p>
          <w:p w14:paraId="1F42A396">
            <w:pPr>
              <w:pStyle w:val="53"/>
              <w:spacing w:before="154"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4次免费血糖检测</w:t>
            </w:r>
          </w:p>
        </w:tc>
      </w:tr>
      <w:tr w14:paraId="1064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vAlign w:val="top"/>
          </w:tcPr>
          <w:p w14:paraId="040CB3C2">
            <w:pPr>
              <w:rPr>
                <w:rFonts w:hint="eastAsia" w:ascii="宋体" w:hAnsi="宋体" w:eastAsia="宋体" w:cs="宋体"/>
                <w:sz w:val="24"/>
                <w:szCs w:val="24"/>
                <w:highlight w:val="none"/>
              </w:rPr>
            </w:pPr>
          </w:p>
        </w:tc>
        <w:tc>
          <w:tcPr>
            <w:tcW w:w="438" w:type="pct"/>
            <w:vMerge w:val="continue"/>
            <w:vAlign w:val="top"/>
          </w:tcPr>
          <w:p w14:paraId="648EA4F8">
            <w:pPr>
              <w:rPr>
                <w:rFonts w:hint="eastAsia" w:ascii="宋体" w:hAnsi="宋体" w:eastAsia="宋体" w:cs="宋体"/>
                <w:sz w:val="24"/>
                <w:szCs w:val="24"/>
                <w:highlight w:val="none"/>
              </w:rPr>
            </w:pPr>
          </w:p>
        </w:tc>
        <w:tc>
          <w:tcPr>
            <w:tcW w:w="966" w:type="pct"/>
            <w:vAlign w:val="top"/>
          </w:tcPr>
          <w:p w14:paraId="5196C320">
            <w:pPr>
              <w:pStyle w:val="53"/>
              <w:spacing w:before="32" w:line="360" w:lineRule="auto"/>
              <w:ind w:left="101" w:right="83" w:hanging="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3.随访评估和分类</w:t>
            </w:r>
            <w:r>
              <w:rPr>
                <w:rFonts w:hint="eastAsia" w:ascii="宋体" w:hAnsi="宋体" w:eastAsia="宋体" w:cs="宋体"/>
                <w:spacing w:val="-1"/>
                <w:sz w:val="24"/>
                <w:szCs w:val="24"/>
                <w:highlight w:val="none"/>
              </w:rPr>
              <w:t>干预</w:t>
            </w:r>
          </w:p>
        </w:tc>
        <w:tc>
          <w:tcPr>
            <w:tcW w:w="3177" w:type="pct"/>
            <w:vAlign w:val="top"/>
          </w:tcPr>
          <w:p w14:paraId="4BE8CBCF">
            <w:pPr>
              <w:pStyle w:val="53"/>
              <w:spacing w:before="32" w:line="360" w:lineRule="auto"/>
              <w:ind w:left="95" w:right="83" w:firstLine="408"/>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与患者一起制定生活方式改进目标，进行有针对性的健康教育，调</w:t>
            </w:r>
            <w:r>
              <w:rPr>
                <w:rFonts w:hint="eastAsia" w:ascii="宋体" w:hAnsi="宋体" w:eastAsia="宋体" w:cs="宋体"/>
                <w:spacing w:val="8"/>
                <w:sz w:val="24"/>
                <w:szCs w:val="24"/>
                <w:highlight w:val="none"/>
              </w:rPr>
              <w:t>整药物，按需转诊</w:t>
            </w:r>
          </w:p>
        </w:tc>
      </w:tr>
      <w:tr w14:paraId="2EC4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17" w:type="pct"/>
            <w:vMerge w:val="continue"/>
            <w:vAlign w:val="top"/>
          </w:tcPr>
          <w:p w14:paraId="4CA21C11">
            <w:pPr>
              <w:rPr>
                <w:rFonts w:hint="eastAsia" w:ascii="宋体" w:hAnsi="宋体" w:eastAsia="宋体" w:cs="宋体"/>
                <w:sz w:val="24"/>
                <w:szCs w:val="24"/>
                <w:highlight w:val="none"/>
              </w:rPr>
            </w:pPr>
          </w:p>
        </w:tc>
        <w:tc>
          <w:tcPr>
            <w:tcW w:w="438" w:type="pct"/>
            <w:vMerge w:val="continue"/>
            <w:vAlign w:val="top"/>
          </w:tcPr>
          <w:p w14:paraId="61B3E5D1">
            <w:pPr>
              <w:rPr>
                <w:rFonts w:hint="eastAsia" w:ascii="宋体" w:hAnsi="宋体" w:eastAsia="宋体" w:cs="宋体"/>
                <w:sz w:val="24"/>
                <w:szCs w:val="24"/>
                <w:highlight w:val="none"/>
              </w:rPr>
            </w:pPr>
          </w:p>
        </w:tc>
        <w:tc>
          <w:tcPr>
            <w:tcW w:w="966" w:type="pct"/>
            <w:vAlign w:val="top"/>
          </w:tcPr>
          <w:p w14:paraId="524AB9C4">
            <w:pPr>
              <w:spacing w:line="379" w:lineRule="auto"/>
              <w:rPr>
                <w:rFonts w:hint="eastAsia" w:ascii="宋体" w:hAnsi="宋体" w:eastAsia="宋体" w:cs="宋体"/>
                <w:sz w:val="24"/>
                <w:szCs w:val="24"/>
                <w:highlight w:val="none"/>
              </w:rPr>
            </w:pPr>
          </w:p>
          <w:p w14:paraId="46576D4A">
            <w:pPr>
              <w:pStyle w:val="53"/>
              <w:spacing w:before="62"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4.体格检查</w:t>
            </w:r>
          </w:p>
        </w:tc>
        <w:tc>
          <w:tcPr>
            <w:tcW w:w="3177" w:type="pct"/>
            <w:vAlign w:val="top"/>
          </w:tcPr>
          <w:p w14:paraId="0182FA6F">
            <w:pPr>
              <w:pStyle w:val="53"/>
              <w:spacing w:before="54" w:line="374" w:lineRule="auto"/>
              <w:ind w:left="97" w:right="83" w:firstLine="406"/>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包括体温、脉搏、呼吸、血压、身高、体重、腰围、皮肤、浅表淋巴结、肺部、心脏、腹部等常规体格检查，并对口腔、视力、听力、运</w:t>
            </w:r>
            <w:r>
              <w:rPr>
                <w:rFonts w:hint="eastAsia" w:ascii="宋体" w:hAnsi="宋体" w:eastAsia="宋体" w:cs="宋体"/>
                <w:spacing w:val="8"/>
                <w:sz w:val="24"/>
                <w:szCs w:val="24"/>
                <w:highlight w:val="none"/>
              </w:rPr>
              <w:t>动功能粗测判断和足背动脉搏动检查</w:t>
            </w:r>
          </w:p>
        </w:tc>
      </w:tr>
      <w:tr w14:paraId="04DE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continue"/>
            <w:vAlign w:val="top"/>
          </w:tcPr>
          <w:p w14:paraId="4F709CD3">
            <w:pPr>
              <w:rPr>
                <w:rFonts w:hint="eastAsia" w:ascii="宋体" w:hAnsi="宋体" w:eastAsia="宋体" w:cs="宋体"/>
                <w:sz w:val="24"/>
                <w:szCs w:val="24"/>
                <w:highlight w:val="none"/>
              </w:rPr>
            </w:pPr>
          </w:p>
        </w:tc>
        <w:tc>
          <w:tcPr>
            <w:tcW w:w="438" w:type="pct"/>
            <w:vMerge w:val="continue"/>
            <w:vAlign w:val="top"/>
          </w:tcPr>
          <w:p w14:paraId="78C7D746">
            <w:pPr>
              <w:rPr>
                <w:rFonts w:hint="eastAsia" w:ascii="宋体" w:hAnsi="宋体" w:eastAsia="宋体" w:cs="宋体"/>
                <w:sz w:val="24"/>
                <w:szCs w:val="24"/>
                <w:highlight w:val="none"/>
              </w:rPr>
            </w:pPr>
          </w:p>
        </w:tc>
        <w:tc>
          <w:tcPr>
            <w:tcW w:w="966" w:type="pct"/>
            <w:vAlign w:val="top"/>
          </w:tcPr>
          <w:p w14:paraId="02CADA4F">
            <w:pPr>
              <w:pStyle w:val="53"/>
              <w:spacing w:before="256" w:line="378" w:lineRule="auto"/>
              <w:ind w:left="119" w:right="83" w:hanging="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3177" w:type="pct"/>
            <w:vAlign w:val="top"/>
          </w:tcPr>
          <w:p w14:paraId="467CF680">
            <w:pPr>
              <w:spacing w:line="386" w:lineRule="auto"/>
              <w:rPr>
                <w:rFonts w:hint="eastAsia" w:ascii="宋体" w:hAnsi="宋体" w:eastAsia="宋体" w:cs="宋体"/>
                <w:sz w:val="24"/>
                <w:szCs w:val="24"/>
                <w:highlight w:val="none"/>
              </w:rPr>
            </w:pPr>
          </w:p>
          <w:p w14:paraId="4D58A2A9">
            <w:pPr>
              <w:pStyle w:val="53"/>
              <w:spacing w:before="62"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23A9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restart"/>
            <w:vAlign w:val="top"/>
          </w:tcPr>
          <w:p w14:paraId="6EACB8B3">
            <w:pPr>
              <w:ind w:left="0" w:leftChars="0" w:firstLine="0" w:firstLineChars="0"/>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慢阻肺患者服务</w:t>
            </w:r>
          </w:p>
        </w:tc>
        <w:tc>
          <w:tcPr>
            <w:tcW w:w="438" w:type="pct"/>
            <w:vMerge w:val="restart"/>
            <w:vAlign w:val="top"/>
          </w:tcPr>
          <w:p w14:paraId="617FCC20">
            <w:pPr>
              <w:ind w:left="0" w:leftChars="0" w:firstLine="0" w:firstLineChars="0"/>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签约慢阻肺患者</w:t>
            </w:r>
          </w:p>
        </w:tc>
        <w:tc>
          <w:tcPr>
            <w:tcW w:w="966" w:type="pct"/>
            <w:shd w:val="clear" w:color="auto" w:fill="auto"/>
            <w:vAlign w:val="top"/>
          </w:tcPr>
          <w:p w14:paraId="3A3F2A2C">
            <w:pPr>
              <w:pStyle w:val="53"/>
              <w:spacing w:before="33" w:line="365" w:lineRule="auto"/>
              <w:ind w:left="94" w:leftChars="0" w:right="86" w:rightChars="0" w:firstLine="9"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4"/>
                <w:sz w:val="24"/>
                <w:szCs w:val="24"/>
                <w:highlight w:val="none"/>
                <w:woUserID w:val="1"/>
              </w:rPr>
              <w:t>1.建立（电子）健康</w:t>
            </w:r>
            <w:r>
              <w:rPr>
                <w:rFonts w:hint="eastAsia" w:ascii="宋体" w:hAnsi="宋体" w:eastAsia="宋体" w:cs="宋体"/>
                <w:spacing w:val="2"/>
                <w:sz w:val="24"/>
                <w:szCs w:val="24"/>
                <w:highlight w:val="none"/>
                <w:woUserID w:val="1"/>
              </w:rPr>
              <w:t>档案</w:t>
            </w:r>
          </w:p>
        </w:tc>
        <w:tc>
          <w:tcPr>
            <w:tcW w:w="3177" w:type="pct"/>
            <w:shd w:val="clear" w:color="auto" w:fill="auto"/>
            <w:vAlign w:val="top"/>
          </w:tcPr>
          <w:p w14:paraId="217EC6CF">
            <w:pPr>
              <w:pStyle w:val="53"/>
              <w:spacing w:before="228" w:line="231" w:lineRule="auto"/>
              <w:ind w:left="495"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9"/>
                <w:sz w:val="24"/>
                <w:szCs w:val="24"/>
                <w:highlight w:val="none"/>
              </w:rPr>
              <w:t>建立</w:t>
            </w:r>
            <w:r>
              <w:rPr>
                <w:rFonts w:hint="eastAsia" w:ascii="宋体" w:hAnsi="宋体" w:eastAsia="宋体" w:cs="宋体"/>
                <w:spacing w:val="9"/>
                <w:sz w:val="24"/>
                <w:szCs w:val="24"/>
                <w:highlight w:val="none"/>
                <w:woUserID w:val="1"/>
              </w:rPr>
              <w:t>慢阻肺</w:t>
            </w:r>
            <w:r>
              <w:rPr>
                <w:rFonts w:hint="eastAsia" w:ascii="宋体" w:hAnsi="宋体" w:eastAsia="宋体" w:cs="宋体"/>
                <w:spacing w:val="9"/>
                <w:sz w:val="24"/>
                <w:szCs w:val="24"/>
                <w:highlight w:val="none"/>
              </w:rPr>
              <w:t>患者专项（电子）健康档案</w:t>
            </w:r>
          </w:p>
        </w:tc>
      </w:tr>
      <w:tr w14:paraId="45698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continue"/>
            <w:vAlign w:val="top"/>
          </w:tcPr>
          <w:p w14:paraId="2BBE1A8F">
            <w:pPr>
              <w:ind w:left="0" w:leftChars="0" w:firstLine="0" w:firstLineChars="0"/>
              <w:rPr>
                <w:rFonts w:hint="eastAsia" w:ascii="宋体" w:hAnsi="宋体" w:eastAsia="宋体" w:cs="宋体"/>
                <w:sz w:val="24"/>
                <w:szCs w:val="24"/>
                <w:highlight w:val="none"/>
              </w:rPr>
            </w:pPr>
          </w:p>
        </w:tc>
        <w:tc>
          <w:tcPr>
            <w:tcW w:w="438" w:type="pct"/>
            <w:vMerge w:val="continue"/>
            <w:vAlign w:val="top"/>
          </w:tcPr>
          <w:p w14:paraId="76FA405D">
            <w:pPr>
              <w:ind w:left="0" w:leftChars="0" w:firstLine="0" w:firstLineChars="0"/>
              <w:rPr>
                <w:rFonts w:hint="eastAsia" w:ascii="宋体" w:hAnsi="宋体" w:eastAsia="宋体" w:cs="宋体"/>
                <w:sz w:val="24"/>
                <w:szCs w:val="24"/>
                <w:highlight w:val="none"/>
              </w:rPr>
            </w:pPr>
          </w:p>
        </w:tc>
        <w:tc>
          <w:tcPr>
            <w:tcW w:w="966" w:type="pct"/>
            <w:shd w:val="clear" w:color="auto" w:fill="auto"/>
            <w:vAlign w:val="top"/>
          </w:tcPr>
          <w:p w14:paraId="72ADE66A">
            <w:pPr>
              <w:pStyle w:val="53"/>
              <w:spacing w:before="222" w:line="233" w:lineRule="auto"/>
              <w:ind w:left="9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7"/>
                <w:sz w:val="24"/>
                <w:szCs w:val="24"/>
                <w:highlight w:val="none"/>
              </w:rPr>
              <w:t>2.分级随访管理</w:t>
            </w:r>
          </w:p>
        </w:tc>
        <w:tc>
          <w:tcPr>
            <w:tcW w:w="3177" w:type="pct"/>
            <w:shd w:val="clear" w:color="auto" w:fill="auto"/>
            <w:vAlign w:val="top"/>
          </w:tcPr>
          <w:p w14:paraId="31AE9512">
            <w:pPr>
              <w:pStyle w:val="53"/>
              <w:spacing w:before="154" w:line="229" w:lineRule="auto"/>
              <w:ind w:left="88"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7"/>
                <w:sz w:val="24"/>
                <w:szCs w:val="24"/>
                <w:highlight w:val="none"/>
              </w:rPr>
              <w:t>根据</w:t>
            </w:r>
            <w:r>
              <w:rPr>
                <w:rFonts w:hint="eastAsia" w:ascii="宋体" w:hAnsi="宋体" w:eastAsia="宋体" w:cs="宋体"/>
                <w:spacing w:val="7"/>
                <w:sz w:val="24"/>
                <w:szCs w:val="24"/>
                <w:highlight w:val="none"/>
                <w:woUserID w:val="1"/>
              </w:rPr>
              <w:t>慢阻肺患者管理要求，每年至少提供 4次随访（其中不少于2次面对面随访）</w:t>
            </w:r>
          </w:p>
        </w:tc>
      </w:tr>
      <w:tr w14:paraId="5962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continue"/>
            <w:vAlign w:val="top"/>
          </w:tcPr>
          <w:p w14:paraId="09639412">
            <w:pPr>
              <w:ind w:left="0" w:leftChars="0" w:firstLine="0" w:firstLineChars="0"/>
              <w:rPr>
                <w:rFonts w:hint="eastAsia" w:ascii="宋体" w:hAnsi="宋体" w:eastAsia="宋体" w:cs="宋体"/>
                <w:sz w:val="24"/>
                <w:szCs w:val="24"/>
                <w:highlight w:val="none"/>
              </w:rPr>
            </w:pPr>
          </w:p>
        </w:tc>
        <w:tc>
          <w:tcPr>
            <w:tcW w:w="438" w:type="pct"/>
            <w:vMerge w:val="continue"/>
            <w:vAlign w:val="top"/>
          </w:tcPr>
          <w:p w14:paraId="1E04BFA0">
            <w:pPr>
              <w:ind w:left="0" w:leftChars="0" w:firstLine="0" w:firstLineChars="0"/>
              <w:rPr>
                <w:rFonts w:hint="eastAsia" w:ascii="宋体" w:hAnsi="宋体" w:eastAsia="宋体" w:cs="宋体"/>
                <w:sz w:val="24"/>
                <w:szCs w:val="24"/>
                <w:highlight w:val="none"/>
              </w:rPr>
            </w:pPr>
          </w:p>
        </w:tc>
        <w:tc>
          <w:tcPr>
            <w:tcW w:w="966" w:type="pct"/>
            <w:shd w:val="clear" w:color="auto" w:fill="auto"/>
            <w:vAlign w:val="top"/>
          </w:tcPr>
          <w:p w14:paraId="14EB5506">
            <w:pPr>
              <w:pStyle w:val="53"/>
              <w:spacing w:before="32" w:line="360" w:lineRule="auto"/>
              <w:ind w:left="101" w:leftChars="0" w:right="83" w:rightChars="0" w:hanging="8"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6"/>
                <w:sz w:val="24"/>
                <w:szCs w:val="24"/>
                <w:highlight w:val="none"/>
              </w:rPr>
              <w:t>3.随访评估和分类</w:t>
            </w:r>
            <w:r>
              <w:rPr>
                <w:rFonts w:hint="eastAsia" w:ascii="宋体" w:hAnsi="宋体" w:eastAsia="宋体" w:cs="宋体"/>
                <w:spacing w:val="-1"/>
                <w:sz w:val="24"/>
                <w:szCs w:val="24"/>
                <w:highlight w:val="none"/>
              </w:rPr>
              <w:t>干预</w:t>
            </w:r>
          </w:p>
        </w:tc>
        <w:tc>
          <w:tcPr>
            <w:tcW w:w="3177" w:type="pct"/>
            <w:shd w:val="clear" w:color="auto" w:fill="auto"/>
            <w:vAlign w:val="top"/>
          </w:tcPr>
          <w:p w14:paraId="0C3649CF">
            <w:pPr>
              <w:pStyle w:val="53"/>
              <w:spacing w:before="32" w:line="360" w:lineRule="auto"/>
              <w:ind w:left="95" w:leftChars="0" w:right="83" w:rightChars="0" w:firstLine="408" w:firstLineChars="0"/>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rPr>
              <w:t>与患者一起制定生活方式改进目标，进行有针对性的健康教育，调整药物，按需转诊</w:t>
            </w:r>
          </w:p>
        </w:tc>
      </w:tr>
      <w:tr w14:paraId="28AE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continue"/>
            <w:vAlign w:val="top"/>
          </w:tcPr>
          <w:p w14:paraId="46359F3E">
            <w:pPr>
              <w:ind w:left="0" w:leftChars="0" w:firstLine="0" w:firstLineChars="0"/>
              <w:rPr>
                <w:rFonts w:hint="eastAsia" w:ascii="宋体" w:hAnsi="宋体" w:eastAsia="宋体" w:cs="宋体"/>
                <w:sz w:val="24"/>
                <w:szCs w:val="24"/>
                <w:highlight w:val="none"/>
              </w:rPr>
            </w:pPr>
          </w:p>
        </w:tc>
        <w:tc>
          <w:tcPr>
            <w:tcW w:w="438" w:type="pct"/>
            <w:vMerge w:val="continue"/>
            <w:vAlign w:val="top"/>
          </w:tcPr>
          <w:p w14:paraId="1151AF75">
            <w:pPr>
              <w:ind w:left="0" w:leftChars="0" w:firstLine="0" w:firstLineChars="0"/>
              <w:rPr>
                <w:rFonts w:hint="eastAsia" w:ascii="宋体" w:hAnsi="宋体" w:eastAsia="宋体" w:cs="宋体"/>
                <w:sz w:val="24"/>
                <w:szCs w:val="24"/>
                <w:highlight w:val="none"/>
              </w:rPr>
            </w:pPr>
          </w:p>
        </w:tc>
        <w:tc>
          <w:tcPr>
            <w:tcW w:w="966" w:type="pct"/>
            <w:shd w:val="clear" w:color="auto" w:fill="auto"/>
            <w:vAlign w:val="top"/>
          </w:tcPr>
          <w:p w14:paraId="137FE703">
            <w:pPr>
              <w:spacing w:line="379" w:lineRule="auto"/>
              <w:rPr>
                <w:rFonts w:hint="eastAsia" w:ascii="宋体" w:hAnsi="宋体" w:eastAsia="宋体" w:cs="宋体"/>
                <w:sz w:val="24"/>
                <w:szCs w:val="24"/>
                <w:highlight w:val="none"/>
              </w:rPr>
            </w:pPr>
          </w:p>
          <w:p w14:paraId="3BEFF8A2">
            <w:pPr>
              <w:pStyle w:val="53"/>
              <w:spacing w:before="62" w:line="229" w:lineRule="auto"/>
              <w:ind w:left="88"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6"/>
                <w:sz w:val="24"/>
                <w:szCs w:val="24"/>
                <w:highlight w:val="none"/>
              </w:rPr>
              <w:t>4.体格检查</w:t>
            </w:r>
          </w:p>
        </w:tc>
        <w:tc>
          <w:tcPr>
            <w:tcW w:w="3177" w:type="pct"/>
            <w:shd w:val="clear" w:color="auto" w:fill="auto"/>
            <w:vAlign w:val="top"/>
          </w:tcPr>
          <w:p w14:paraId="1BE257CF">
            <w:pPr>
              <w:pStyle w:val="53"/>
              <w:spacing w:before="32" w:line="360" w:lineRule="auto"/>
              <w:ind w:left="95" w:leftChars="0" w:right="83" w:rightChars="0" w:firstLine="408" w:firstLineChars="0"/>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每年为慢阻肺病患者提供1次健康检查，可与随访结合。具体内容 参照《居民健康档案服务规范》健康体检表。</w:t>
            </w:r>
          </w:p>
          <w:p w14:paraId="26FC4176">
            <w:pPr>
              <w:pStyle w:val="53"/>
              <w:spacing w:before="32" w:line="360" w:lineRule="auto"/>
              <w:ind w:left="95" w:leftChars="0" w:right="83" w:rightChars="0" w:firstLine="408" w:firstLineChars="0"/>
              <w:rPr>
                <w:rFonts w:hint="eastAsia" w:ascii="宋体" w:hAnsi="宋体" w:eastAsia="宋体" w:cs="宋体"/>
                <w:spacing w:val="8"/>
                <w:sz w:val="24"/>
                <w:szCs w:val="24"/>
                <w:highlight w:val="none"/>
                <w:lang w:val="en-US" w:eastAsia="en-US"/>
              </w:rPr>
            </w:pPr>
          </w:p>
        </w:tc>
      </w:tr>
      <w:tr w14:paraId="2712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17" w:type="pct"/>
            <w:vMerge w:val="continue"/>
            <w:vAlign w:val="top"/>
          </w:tcPr>
          <w:p w14:paraId="3B1C0609">
            <w:pPr>
              <w:ind w:left="0" w:leftChars="0" w:firstLine="0" w:firstLineChars="0"/>
              <w:rPr>
                <w:rFonts w:hint="eastAsia" w:ascii="宋体" w:hAnsi="宋体" w:eastAsia="宋体" w:cs="宋体"/>
                <w:sz w:val="24"/>
                <w:szCs w:val="24"/>
                <w:highlight w:val="none"/>
              </w:rPr>
            </w:pPr>
          </w:p>
        </w:tc>
        <w:tc>
          <w:tcPr>
            <w:tcW w:w="438" w:type="pct"/>
            <w:vMerge w:val="continue"/>
            <w:vAlign w:val="top"/>
          </w:tcPr>
          <w:p w14:paraId="277444E4">
            <w:pPr>
              <w:ind w:left="0" w:leftChars="0" w:firstLine="0" w:firstLineChars="0"/>
              <w:rPr>
                <w:rFonts w:hint="eastAsia" w:ascii="宋体" w:hAnsi="宋体" w:eastAsia="宋体" w:cs="宋体"/>
                <w:sz w:val="24"/>
                <w:szCs w:val="24"/>
                <w:highlight w:val="none"/>
              </w:rPr>
            </w:pPr>
          </w:p>
        </w:tc>
        <w:tc>
          <w:tcPr>
            <w:tcW w:w="966" w:type="pct"/>
            <w:shd w:val="clear" w:color="auto" w:fill="auto"/>
            <w:vAlign w:val="top"/>
          </w:tcPr>
          <w:p w14:paraId="4F8D3A1D">
            <w:pPr>
              <w:pStyle w:val="53"/>
              <w:spacing w:before="256" w:line="378" w:lineRule="auto"/>
              <w:ind w:left="119" w:leftChars="0" w:right="83" w:rightChars="0" w:hanging="26" w:firstLine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3177" w:type="pct"/>
            <w:shd w:val="clear" w:color="auto" w:fill="auto"/>
            <w:vAlign w:val="top"/>
          </w:tcPr>
          <w:p w14:paraId="4B6CB182">
            <w:pPr>
              <w:spacing w:line="386" w:lineRule="auto"/>
              <w:rPr>
                <w:rFonts w:hint="eastAsia" w:ascii="宋体" w:hAnsi="宋体" w:eastAsia="宋体" w:cs="宋体"/>
                <w:sz w:val="24"/>
                <w:szCs w:val="24"/>
                <w:highlight w:val="none"/>
              </w:rPr>
            </w:pPr>
          </w:p>
          <w:p w14:paraId="702FB349">
            <w:pPr>
              <w:pStyle w:val="53"/>
              <w:spacing w:before="62" w:line="230" w:lineRule="auto"/>
              <w:ind w:left="496"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8"/>
                <w:sz w:val="24"/>
                <w:szCs w:val="24"/>
                <w:highlight w:val="none"/>
              </w:rPr>
              <w:t>详见基本服务包内容</w:t>
            </w:r>
          </w:p>
        </w:tc>
      </w:tr>
      <w:tr w14:paraId="493A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417" w:type="pct"/>
            <w:vMerge w:val="restart"/>
            <w:tcBorders>
              <w:bottom w:val="nil"/>
            </w:tcBorders>
            <w:vAlign w:val="top"/>
          </w:tcPr>
          <w:p w14:paraId="57C577C9">
            <w:pPr>
              <w:spacing w:line="266" w:lineRule="auto"/>
              <w:rPr>
                <w:rFonts w:hint="eastAsia" w:ascii="宋体" w:hAnsi="宋体" w:eastAsia="宋体" w:cs="宋体"/>
                <w:sz w:val="24"/>
                <w:szCs w:val="24"/>
                <w:highlight w:val="none"/>
              </w:rPr>
            </w:pPr>
          </w:p>
          <w:p w14:paraId="748F4358">
            <w:pPr>
              <w:spacing w:line="266" w:lineRule="auto"/>
              <w:rPr>
                <w:rFonts w:hint="eastAsia" w:ascii="宋体" w:hAnsi="宋体" w:eastAsia="宋体" w:cs="宋体"/>
                <w:sz w:val="24"/>
                <w:szCs w:val="24"/>
                <w:highlight w:val="none"/>
              </w:rPr>
            </w:pPr>
          </w:p>
          <w:p w14:paraId="50741F4C">
            <w:pPr>
              <w:spacing w:line="266" w:lineRule="auto"/>
              <w:rPr>
                <w:rFonts w:hint="eastAsia" w:ascii="宋体" w:hAnsi="宋体" w:eastAsia="宋体" w:cs="宋体"/>
                <w:sz w:val="24"/>
                <w:szCs w:val="24"/>
                <w:highlight w:val="none"/>
              </w:rPr>
            </w:pPr>
          </w:p>
          <w:p w14:paraId="0463D15C">
            <w:pPr>
              <w:spacing w:line="267" w:lineRule="auto"/>
              <w:rPr>
                <w:rFonts w:hint="eastAsia" w:ascii="宋体" w:hAnsi="宋体" w:eastAsia="宋体" w:cs="宋体"/>
                <w:sz w:val="24"/>
                <w:szCs w:val="24"/>
                <w:highlight w:val="none"/>
              </w:rPr>
            </w:pPr>
          </w:p>
          <w:p w14:paraId="260CD34C">
            <w:pPr>
              <w:spacing w:line="267" w:lineRule="auto"/>
              <w:rPr>
                <w:rFonts w:hint="eastAsia" w:ascii="宋体" w:hAnsi="宋体" w:eastAsia="宋体" w:cs="宋体"/>
                <w:sz w:val="24"/>
                <w:szCs w:val="24"/>
                <w:highlight w:val="none"/>
              </w:rPr>
            </w:pPr>
          </w:p>
          <w:p w14:paraId="5CB9A2DC">
            <w:pPr>
              <w:spacing w:line="267" w:lineRule="auto"/>
              <w:rPr>
                <w:rFonts w:hint="eastAsia" w:ascii="宋体" w:hAnsi="宋体" w:eastAsia="宋体" w:cs="宋体"/>
                <w:sz w:val="24"/>
                <w:szCs w:val="24"/>
                <w:highlight w:val="none"/>
              </w:rPr>
            </w:pPr>
          </w:p>
          <w:p w14:paraId="3EF3517D">
            <w:pPr>
              <w:pStyle w:val="53"/>
              <w:spacing w:before="62" w:line="378" w:lineRule="auto"/>
              <w:ind w:left="98" w:right="86" w:firstLine="1"/>
              <w:jc w:val="both"/>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严重精神障碍患者服</w:t>
            </w:r>
            <w:r>
              <w:rPr>
                <w:rFonts w:hint="eastAsia" w:ascii="宋体" w:hAnsi="宋体" w:eastAsia="宋体" w:cs="宋体"/>
                <w:sz w:val="24"/>
                <w:szCs w:val="24"/>
                <w:highlight w:val="none"/>
              </w:rPr>
              <w:t>务</w:t>
            </w:r>
          </w:p>
        </w:tc>
        <w:tc>
          <w:tcPr>
            <w:tcW w:w="438" w:type="pct"/>
            <w:vMerge w:val="restart"/>
            <w:tcBorders>
              <w:bottom w:val="nil"/>
            </w:tcBorders>
            <w:vAlign w:val="top"/>
          </w:tcPr>
          <w:p w14:paraId="0DDE9A61">
            <w:pPr>
              <w:spacing w:line="440" w:lineRule="auto"/>
              <w:rPr>
                <w:rFonts w:hint="eastAsia" w:ascii="宋体" w:hAnsi="宋体" w:eastAsia="宋体" w:cs="宋体"/>
                <w:sz w:val="24"/>
                <w:szCs w:val="24"/>
                <w:highlight w:val="none"/>
              </w:rPr>
            </w:pPr>
          </w:p>
          <w:p w14:paraId="635ABF9C">
            <w:pPr>
              <w:pStyle w:val="53"/>
              <w:spacing w:before="61" w:line="230" w:lineRule="auto"/>
              <w:ind w:left="15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诊断明</w:t>
            </w:r>
          </w:p>
          <w:p w14:paraId="5038D336">
            <w:pPr>
              <w:pStyle w:val="53"/>
              <w:spacing w:before="152" w:line="228" w:lineRule="auto"/>
              <w:ind w:left="95"/>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确，在家</w:t>
            </w:r>
          </w:p>
          <w:p w14:paraId="5F1CF962">
            <w:pPr>
              <w:pStyle w:val="53"/>
              <w:spacing w:before="153" w:line="231" w:lineRule="auto"/>
              <w:ind w:left="15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居住的</w:t>
            </w:r>
          </w:p>
          <w:p w14:paraId="7D90C31C">
            <w:pPr>
              <w:pStyle w:val="53"/>
              <w:spacing w:before="151" w:line="233" w:lineRule="auto"/>
              <w:ind w:left="15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签约严</w:t>
            </w:r>
          </w:p>
          <w:p w14:paraId="5DE57026">
            <w:pPr>
              <w:pStyle w:val="53"/>
              <w:spacing w:before="149" w:line="231" w:lineRule="auto"/>
              <w:ind w:left="1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重精神</w:t>
            </w:r>
          </w:p>
          <w:p w14:paraId="4993BF25">
            <w:pPr>
              <w:pStyle w:val="53"/>
              <w:spacing w:before="150" w:line="231" w:lineRule="auto"/>
              <w:ind w:left="16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障碍患</w:t>
            </w:r>
          </w:p>
          <w:p w14:paraId="34D4772E">
            <w:pPr>
              <w:pStyle w:val="53"/>
              <w:spacing w:before="152" w:line="232" w:lineRule="auto"/>
              <w:ind w:left="354"/>
              <w:rPr>
                <w:rFonts w:hint="eastAsia" w:ascii="宋体" w:hAnsi="宋体" w:eastAsia="宋体" w:cs="宋体"/>
                <w:sz w:val="24"/>
                <w:szCs w:val="24"/>
                <w:highlight w:val="none"/>
              </w:rPr>
            </w:pPr>
            <w:r>
              <w:rPr>
                <w:rFonts w:hint="eastAsia" w:ascii="宋体" w:hAnsi="宋体" w:eastAsia="宋体" w:cs="宋体"/>
                <w:sz w:val="24"/>
                <w:szCs w:val="24"/>
                <w:highlight w:val="none"/>
              </w:rPr>
              <w:t>者</w:t>
            </w:r>
          </w:p>
        </w:tc>
        <w:tc>
          <w:tcPr>
            <w:tcW w:w="966" w:type="pct"/>
            <w:vAlign w:val="top"/>
          </w:tcPr>
          <w:p w14:paraId="4ED4373D">
            <w:pPr>
              <w:pStyle w:val="53"/>
              <w:spacing w:before="147" w:line="378"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3177" w:type="pct"/>
            <w:vAlign w:val="top"/>
          </w:tcPr>
          <w:p w14:paraId="2E827F21">
            <w:pPr>
              <w:spacing w:line="280" w:lineRule="auto"/>
              <w:rPr>
                <w:rFonts w:hint="eastAsia" w:ascii="宋体" w:hAnsi="宋体" w:eastAsia="宋体" w:cs="宋体"/>
                <w:sz w:val="24"/>
                <w:szCs w:val="24"/>
                <w:highlight w:val="none"/>
              </w:rPr>
            </w:pPr>
          </w:p>
          <w:p w14:paraId="24A5C6C0">
            <w:pPr>
              <w:pStyle w:val="53"/>
              <w:spacing w:before="61"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建立严重精神障碍患者专项（电子）健康档案</w:t>
            </w:r>
          </w:p>
        </w:tc>
      </w:tr>
      <w:tr w14:paraId="447F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417" w:type="pct"/>
            <w:vMerge w:val="continue"/>
            <w:tcBorders>
              <w:top w:val="nil"/>
              <w:bottom w:val="nil"/>
            </w:tcBorders>
            <w:vAlign w:val="top"/>
          </w:tcPr>
          <w:p w14:paraId="0190B6DB">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61875EFA">
            <w:pPr>
              <w:rPr>
                <w:rFonts w:hint="eastAsia" w:ascii="宋体" w:hAnsi="宋体" w:eastAsia="宋体" w:cs="宋体"/>
                <w:sz w:val="24"/>
                <w:szCs w:val="24"/>
                <w:highlight w:val="none"/>
              </w:rPr>
            </w:pPr>
          </w:p>
        </w:tc>
        <w:tc>
          <w:tcPr>
            <w:tcW w:w="966" w:type="pct"/>
            <w:vAlign w:val="top"/>
          </w:tcPr>
          <w:p w14:paraId="10B4314C">
            <w:pPr>
              <w:spacing w:line="259" w:lineRule="auto"/>
              <w:rPr>
                <w:rFonts w:hint="eastAsia" w:ascii="宋体" w:hAnsi="宋体" w:eastAsia="宋体" w:cs="宋体"/>
                <w:sz w:val="24"/>
                <w:szCs w:val="24"/>
                <w:highlight w:val="none"/>
              </w:rPr>
            </w:pPr>
          </w:p>
          <w:p w14:paraId="4ED1E939">
            <w:pPr>
              <w:pStyle w:val="53"/>
              <w:spacing w:before="61" w:line="229" w:lineRule="auto"/>
              <w:ind w:left="9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2.随访评估</w:t>
            </w:r>
          </w:p>
        </w:tc>
        <w:tc>
          <w:tcPr>
            <w:tcW w:w="3177" w:type="pct"/>
            <w:vAlign w:val="top"/>
          </w:tcPr>
          <w:p w14:paraId="5D1BBFBA">
            <w:pPr>
              <w:pStyle w:val="53"/>
              <w:spacing w:before="127" w:line="377" w:lineRule="auto"/>
              <w:ind w:left="96" w:right="87" w:firstLine="40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每年不少于4次随访，不少于1次面对面随访，每次随访对患者进</w:t>
            </w:r>
            <w:r>
              <w:rPr>
                <w:rFonts w:hint="eastAsia" w:ascii="宋体" w:hAnsi="宋体" w:eastAsia="宋体" w:cs="宋体"/>
                <w:spacing w:val="7"/>
                <w:sz w:val="24"/>
                <w:szCs w:val="24"/>
                <w:highlight w:val="none"/>
              </w:rPr>
              <w:t>行危险性评估</w:t>
            </w:r>
          </w:p>
        </w:tc>
      </w:tr>
      <w:tr w14:paraId="209E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417" w:type="pct"/>
            <w:vMerge w:val="continue"/>
            <w:tcBorders>
              <w:top w:val="nil"/>
              <w:bottom w:val="nil"/>
            </w:tcBorders>
            <w:vAlign w:val="top"/>
          </w:tcPr>
          <w:p w14:paraId="3F51F3A0">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4E42CB8F">
            <w:pPr>
              <w:rPr>
                <w:rFonts w:hint="eastAsia" w:ascii="宋体" w:hAnsi="宋体" w:eastAsia="宋体" w:cs="宋体"/>
                <w:sz w:val="24"/>
                <w:szCs w:val="24"/>
                <w:highlight w:val="none"/>
              </w:rPr>
            </w:pPr>
          </w:p>
        </w:tc>
        <w:tc>
          <w:tcPr>
            <w:tcW w:w="966" w:type="pct"/>
            <w:vAlign w:val="top"/>
          </w:tcPr>
          <w:p w14:paraId="55AE6727">
            <w:pPr>
              <w:pStyle w:val="53"/>
              <w:spacing w:before="276" w:line="232" w:lineRule="auto"/>
              <w:ind w:left="9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3.分类干预</w:t>
            </w:r>
          </w:p>
        </w:tc>
        <w:tc>
          <w:tcPr>
            <w:tcW w:w="3177" w:type="pct"/>
            <w:vAlign w:val="top"/>
          </w:tcPr>
          <w:p w14:paraId="22429AFE">
            <w:pPr>
              <w:pStyle w:val="53"/>
              <w:spacing w:before="81" w:line="378" w:lineRule="auto"/>
              <w:ind w:left="94" w:right="83" w:firstLine="40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按病情需求进行分类干预服务，对患者及家属进行有针对性的健康</w:t>
            </w:r>
            <w:r>
              <w:rPr>
                <w:rFonts w:hint="eastAsia" w:ascii="宋体" w:hAnsi="宋体" w:eastAsia="宋体" w:cs="宋体"/>
                <w:spacing w:val="9"/>
                <w:sz w:val="24"/>
                <w:szCs w:val="24"/>
                <w:highlight w:val="none"/>
              </w:rPr>
              <w:t>教育和生活技能方面的康复指导，对家属提供心理支持和帮助</w:t>
            </w:r>
          </w:p>
        </w:tc>
      </w:tr>
      <w:tr w14:paraId="1929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17" w:type="pct"/>
            <w:vMerge w:val="continue"/>
            <w:tcBorders>
              <w:top w:val="nil"/>
              <w:bottom w:val="nil"/>
            </w:tcBorders>
            <w:vAlign w:val="top"/>
          </w:tcPr>
          <w:p w14:paraId="582FB36C">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42205EDC">
            <w:pPr>
              <w:rPr>
                <w:rFonts w:hint="eastAsia" w:ascii="宋体" w:hAnsi="宋体" w:eastAsia="宋体" w:cs="宋体"/>
                <w:sz w:val="24"/>
                <w:szCs w:val="24"/>
                <w:highlight w:val="none"/>
              </w:rPr>
            </w:pPr>
          </w:p>
        </w:tc>
        <w:tc>
          <w:tcPr>
            <w:tcW w:w="966" w:type="pct"/>
            <w:vAlign w:val="top"/>
          </w:tcPr>
          <w:p w14:paraId="416F77BD">
            <w:pPr>
              <w:spacing w:line="357" w:lineRule="auto"/>
              <w:rPr>
                <w:rFonts w:hint="eastAsia" w:ascii="宋体" w:hAnsi="宋体" w:eastAsia="宋体" w:cs="宋体"/>
                <w:sz w:val="24"/>
                <w:szCs w:val="24"/>
                <w:highlight w:val="none"/>
              </w:rPr>
            </w:pPr>
          </w:p>
          <w:p w14:paraId="69179638">
            <w:pPr>
              <w:pStyle w:val="53"/>
              <w:spacing w:before="62"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4.健康体检</w:t>
            </w:r>
          </w:p>
        </w:tc>
        <w:tc>
          <w:tcPr>
            <w:tcW w:w="3177" w:type="pct"/>
            <w:vAlign w:val="top"/>
          </w:tcPr>
          <w:p w14:paraId="1E28AB5E">
            <w:pPr>
              <w:pStyle w:val="53"/>
              <w:spacing w:before="34" w:line="365" w:lineRule="auto"/>
              <w:ind w:left="94" w:right="84" w:firstLine="402"/>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在患者病情许可的情况下，征得监护人与(或)</w:t>
            </w:r>
            <w:r>
              <w:rPr>
                <w:rFonts w:hint="eastAsia" w:ascii="宋体" w:hAnsi="宋体" w:eastAsia="宋体" w:cs="宋体"/>
                <w:spacing w:val="8"/>
                <w:sz w:val="24"/>
                <w:szCs w:val="24"/>
                <w:highlight w:val="none"/>
              </w:rPr>
              <w:t>患者本人同意后，每</w:t>
            </w:r>
            <w:r>
              <w:rPr>
                <w:rFonts w:hint="eastAsia" w:ascii="宋体" w:hAnsi="宋体" w:eastAsia="宋体" w:cs="宋体"/>
                <w:spacing w:val="9"/>
                <w:sz w:val="24"/>
                <w:szCs w:val="24"/>
                <w:highlight w:val="none"/>
              </w:rPr>
              <w:t>年进行1次健康检查（包括一般体格检查、血压、体重、血常规、转氨酶、血糖和心电图），可与随访相结合</w:t>
            </w:r>
          </w:p>
        </w:tc>
      </w:tr>
      <w:tr w14:paraId="3162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17" w:type="pct"/>
            <w:vMerge w:val="continue"/>
            <w:tcBorders>
              <w:top w:val="nil"/>
            </w:tcBorders>
            <w:vAlign w:val="top"/>
          </w:tcPr>
          <w:p w14:paraId="7419AD8B">
            <w:pPr>
              <w:rPr>
                <w:rFonts w:hint="eastAsia" w:ascii="宋体" w:hAnsi="宋体" w:eastAsia="宋体" w:cs="宋体"/>
                <w:sz w:val="24"/>
                <w:szCs w:val="24"/>
                <w:highlight w:val="none"/>
              </w:rPr>
            </w:pPr>
          </w:p>
        </w:tc>
        <w:tc>
          <w:tcPr>
            <w:tcW w:w="438" w:type="pct"/>
            <w:vMerge w:val="continue"/>
            <w:tcBorders>
              <w:top w:val="nil"/>
            </w:tcBorders>
            <w:vAlign w:val="top"/>
          </w:tcPr>
          <w:p w14:paraId="6B197BE3">
            <w:pPr>
              <w:rPr>
                <w:rFonts w:hint="eastAsia" w:ascii="宋体" w:hAnsi="宋体" w:eastAsia="宋体" w:cs="宋体"/>
                <w:sz w:val="24"/>
                <w:szCs w:val="24"/>
                <w:highlight w:val="none"/>
              </w:rPr>
            </w:pPr>
          </w:p>
        </w:tc>
        <w:tc>
          <w:tcPr>
            <w:tcW w:w="966" w:type="pct"/>
            <w:vAlign w:val="top"/>
          </w:tcPr>
          <w:p w14:paraId="0D1CF611">
            <w:pPr>
              <w:pStyle w:val="53"/>
              <w:spacing w:before="33" w:line="360" w:lineRule="auto"/>
              <w:ind w:left="119" w:right="83" w:hanging="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3177" w:type="pct"/>
            <w:vAlign w:val="top"/>
          </w:tcPr>
          <w:p w14:paraId="72523C0D">
            <w:pPr>
              <w:pStyle w:val="53"/>
              <w:spacing w:before="227"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31AD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restart"/>
            <w:tcBorders>
              <w:bottom w:val="nil"/>
            </w:tcBorders>
            <w:vAlign w:val="top"/>
          </w:tcPr>
          <w:p w14:paraId="3BF16047">
            <w:pPr>
              <w:spacing w:line="276" w:lineRule="auto"/>
              <w:rPr>
                <w:rFonts w:hint="eastAsia" w:ascii="宋体" w:hAnsi="宋体" w:eastAsia="宋体" w:cs="宋体"/>
                <w:sz w:val="24"/>
                <w:szCs w:val="24"/>
                <w:highlight w:val="none"/>
              </w:rPr>
            </w:pPr>
          </w:p>
          <w:p w14:paraId="4E84446F">
            <w:pPr>
              <w:spacing w:line="276" w:lineRule="auto"/>
              <w:rPr>
                <w:rFonts w:hint="eastAsia" w:ascii="宋体" w:hAnsi="宋体" w:eastAsia="宋体" w:cs="宋体"/>
                <w:sz w:val="24"/>
                <w:szCs w:val="24"/>
                <w:highlight w:val="none"/>
              </w:rPr>
            </w:pPr>
          </w:p>
          <w:p w14:paraId="00EF3925">
            <w:pPr>
              <w:spacing w:line="277" w:lineRule="auto"/>
              <w:rPr>
                <w:rFonts w:hint="eastAsia" w:ascii="宋体" w:hAnsi="宋体" w:eastAsia="宋体" w:cs="宋体"/>
                <w:sz w:val="24"/>
                <w:szCs w:val="24"/>
                <w:highlight w:val="none"/>
              </w:rPr>
            </w:pPr>
          </w:p>
          <w:p w14:paraId="33980B18">
            <w:pPr>
              <w:spacing w:line="277" w:lineRule="auto"/>
              <w:rPr>
                <w:rFonts w:hint="eastAsia" w:ascii="宋体" w:hAnsi="宋体" w:eastAsia="宋体" w:cs="宋体"/>
                <w:sz w:val="24"/>
                <w:szCs w:val="24"/>
                <w:highlight w:val="none"/>
              </w:rPr>
            </w:pPr>
          </w:p>
          <w:p w14:paraId="0B980A8C">
            <w:pPr>
              <w:spacing w:line="277" w:lineRule="auto"/>
              <w:rPr>
                <w:rFonts w:hint="eastAsia" w:ascii="宋体" w:hAnsi="宋体" w:eastAsia="宋体" w:cs="宋体"/>
                <w:sz w:val="24"/>
                <w:szCs w:val="24"/>
                <w:highlight w:val="none"/>
              </w:rPr>
            </w:pPr>
          </w:p>
          <w:p w14:paraId="32875533">
            <w:pPr>
              <w:spacing w:line="277" w:lineRule="auto"/>
              <w:rPr>
                <w:rFonts w:hint="eastAsia" w:ascii="宋体" w:hAnsi="宋体" w:eastAsia="宋体" w:cs="宋体"/>
                <w:sz w:val="24"/>
                <w:szCs w:val="24"/>
                <w:highlight w:val="none"/>
              </w:rPr>
            </w:pPr>
          </w:p>
          <w:p w14:paraId="18927855">
            <w:pPr>
              <w:pStyle w:val="53"/>
              <w:spacing w:before="62" w:line="231" w:lineRule="auto"/>
              <w:ind w:left="13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肺结核</w:t>
            </w:r>
          </w:p>
          <w:p w14:paraId="14963E20">
            <w:pPr>
              <w:pStyle w:val="53"/>
              <w:spacing w:before="153" w:line="231" w:lineRule="auto"/>
              <w:ind w:left="14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患者服</w:t>
            </w:r>
          </w:p>
          <w:p w14:paraId="6340FDEA">
            <w:pPr>
              <w:pStyle w:val="53"/>
              <w:spacing w:before="150" w:line="232" w:lineRule="auto"/>
              <w:ind w:left="339"/>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tc>
        <w:tc>
          <w:tcPr>
            <w:tcW w:w="438" w:type="pct"/>
            <w:vMerge w:val="restart"/>
            <w:tcBorders>
              <w:bottom w:val="nil"/>
            </w:tcBorders>
            <w:vAlign w:val="top"/>
          </w:tcPr>
          <w:p w14:paraId="5DB9A234">
            <w:pPr>
              <w:spacing w:line="276" w:lineRule="auto"/>
              <w:rPr>
                <w:rFonts w:hint="eastAsia" w:ascii="宋体" w:hAnsi="宋体" w:eastAsia="宋体" w:cs="宋体"/>
                <w:sz w:val="24"/>
                <w:szCs w:val="24"/>
                <w:highlight w:val="none"/>
              </w:rPr>
            </w:pPr>
          </w:p>
          <w:p w14:paraId="47B02D3A">
            <w:pPr>
              <w:spacing w:line="276" w:lineRule="auto"/>
              <w:rPr>
                <w:rFonts w:hint="eastAsia" w:ascii="宋体" w:hAnsi="宋体" w:eastAsia="宋体" w:cs="宋体"/>
                <w:sz w:val="24"/>
                <w:szCs w:val="24"/>
                <w:highlight w:val="none"/>
              </w:rPr>
            </w:pPr>
          </w:p>
          <w:p w14:paraId="44940395">
            <w:pPr>
              <w:spacing w:line="277" w:lineRule="auto"/>
              <w:rPr>
                <w:rFonts w:hint="eastAsia" w:ascii="宋体" w:hAnsi="宋体" w:eastAsia="宋体" w:cs="宋体"/>
                <w:sz w:val="24"/>
                <w:szCs w:val="24"/>
                <w:highlight w:val="none"/>
              </w:rPr>
            </w:pPr>
          </w:p>
          <w:p w14:paraId="28CFE3B4">
            <w:pPr>
              <w:spacing w:line="277" w:lineRule="auto"/>
              <w:rPr>
                <w:rFonts w:hint="eastAsia" w:ascii="宋体" w:hAnsi="宋体" w:eastAsia="宋体" w:cs="宋体"/>
                <w:sz w:val="24"/>
                <w:szCs w:val="24"/>
                <w:highlight w:val="none"/>
              </w:rPr>
            </w:pPr>
          </w:p>
          <w:p w14:paraId="27EADB9F">
            <w:pPr>
              <w:spacing w:line="277" w:lineRule="auto"/>
              <w:rPr>
                <w:rFonts w:hint="eastAsia" w:ascii="宋体" w:hAnsi="宋体" w:eastAsia="宋体" w:cs="宋体"/>
                <w:sz w:val="24"/>
                <w:szCs w:val="24"/>
                <w:highlight w:val="none"/>
              </w:rPr>
            </w:pPr>
          </w:p>
          <w:p w14:paraId="7A2BAADE">
            <w:pPr>
              <w:spacing w:line="277" w:lineRule="auto"/>
              <w:rPr>
                <w:rFonts w:hint="eastAsia" w:ascii="宋体" w:hAnsi="宋体" w:eastAsia="宋体" w:cs="宋体"/>
                <w:sz w:val="24"/>
                <w:szCs w:val="24"/>
                <w:highlight w:val="none"/>
              </w:rPr>
            </w:pPr>
          </w:p>
          <w:p w14:paraId="71DFEF09">
            <w:pPr>
              <w:pStyle w:val="53"/>
              <w:spacing w:before="62" w:line="233" w:lineRule="auto"/>
              <w:ind w:left="15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签约结</w:t>
            </w:r>
          </w:p>
          <w:p w14:paraId="244548C7">
            <w:pPr>
              <w:pStyle w:val="53"/>
              <w:spacing w:before="151" w:line="231" w:lineRule="auto"/>
              <w:ind w:left="15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核病患</w:t>
            </w:r>
          </w:p>
          <w:p w14:paraId="0F694D03">
            <w:pPr>
              <w:pStyle w:val="53"/>
              <w:spacing w:before="150" w:line="232" w:lineRule="auto"/>
              <w:ind w:left="354"/>
              <w:rPr>
                <w:rFonts w:hint="eastAsia" w:ascii="宋体" w:hAnsi="宋体" w:eastAsia="宋体" w:cs="宋体"/>
                <w:sz w:val="24"/>
                <w:szCs w:val="24"/>
                <w:highlight w:val="none"/>
              </w:rPr>
            </w:pPr>
            <w:r>
              <w:rPr>
                <w:rFonts w:hint="eastAsia" w:ascii="宋体" w:hAnsi="宋体" w:eastAsia="宋体" w:cs="宋体"/>
                <w:sz w:val="24"/>
                <w:szCs w:val="24"/>
                <w:highlight w:val="none"/>
              </w:rPr>
              <w:t>者</w:t>
            </w:r>
          </w:p>
        </w:tc>
        <w:tc>
          <w:tcPr>
            <w:tcW w:w="966" w:type="pct"/>
            <w:vAlign w:val="top"/>
          </w:tcPr>
          <w:p w14:paraId="6FC3D953">
            <w:pPr>
              <w:pStyle w:val="53"/>
              <w:spacing w:before="34" w:line="359"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3177" w:type="pct"/>
            <w:vAlign w:val="top"/>
          </w:tcPr>
          <w:p w14:paraId="3A551D2F">
            <w:pPr>
              <w:pStyle w:val="53"/>
              <w:spacing w:before="228"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建立肺结核患者管理专项（电子）健康档案</w:t>
            </w:r>
          </w:p>
        </w:tc>
      </w:tr>
      <w:tr w14:paraId="7510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17" w:type="pct"/>
            <w:vMerge w:val="continue"/>
            <w:tcBorders>
              <w:top w:val="nil"/>
              <w:bottom w:val="nil"/>
            </w:tcBorders>
            <w:vAlign w:val="top"/>
          </w:tcPr>
          <w:p w14:paraId="7192E51B">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577916D9">
            <w:pPr>
              <w:rPr>
                <w:rFonts w:hint="eastAsia" w:ascii="宋体" w:hAnsi="宋体" w:eastAsia="宋体" w:cs="宋体"/>
                <w:sz w:val="24"/>
                <w:szCs w:val="24"/>
                <w:highlight w:val="none"/>
              </w:rPr>
            </w:pPr>
          </w:p>
        </w:tc>
        <w:tc>
          <w:tcPr>
            <w:tcW w:w="966" w:type="pct"/>
            <w:vAlign w:val="top"/>
          </w:tcPr>
          <w:p w14:paraId="326A958A">
            <w:pPr>
              <w:spacing w:line="357" w:lineRule="auto"/>
              <w:rPr>
                <w:rFonts w:hint="eastAsia" w:ascii="宋体" w:hAnsi="宋体" w:eastAsia="宋体" w:cs="宋体"/>
                <w:sz w:val="24"/>
                <w:szCs w:val="24"/>
                <w:highlight w:val="none"/>
              </w:rPr>
            </w:pPr>
          </w:p>
          <w:p w14:paraId="4F485A63">
            <w:pPr>
              <w:pStyle w:val="53"/>
              <w:spacing w:before="62" w:line="231"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2.第一次入户随访</w:t>
            </w:r>
          </w:p>
        </w:tc>
        <w:tc>
          <w:tcPr>
            <w:tcW w:w="3177" w:type="pct"/>
            <w:vAlign w:val="top"/>
          </w:tcPr>
          <w:p w14:paraId="182C62A6">
            <w:pPr>
              <w:pStyle w:val="53"/>
              <w:spacing w:before="34" w:line="365" w:lineRule="auto"/>
              <w:ind w:left="94" w:right="31" w:firstLine="40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接到上级肺结核患者管理通知单后，72小时内访视，确定督导人员，</w:t>
            </w:r>
            <w:r>
              <w:rPr>
                <w:rFonts w:hint="eastAsia" w:ascii="宋体" w:hAnsi="宋体" w:eastAsia="宋体" w:cs="宋体"/>
                <w:spacing w:val="9"/>
                <w:sz w:val="24"/>
                <w:szCs w:val="24"/>
                <w:highlight w:val="none"/>
              </w:rPr>
              <w:t>对居住环境进行评估，对患者及家属进行结核病防治知识宣传教育和防</w:t>
            </w:r>
            <w:r>
              <w:rPr>
                <w:rFonts w:hint="eastAsia" w:ascii="宋体" w:hAnsi="宋体" w:eastAsia="宋体" w:cs="宋体"/>
                <w:spacing w:val="5"/>
                <w:sz w:val="24"/>
                <w:szCs w:val="24"/>
                <w:highlight w:val="none"/>
              </w:rPr>
              <w:t>护指导</w:t>
            </w:r>
          </w:p>
        </w:tc>
      </w:tr>
      <w:tr w14:paraId="3C5C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bottom w:val="nil"/>
            </w:tcBorders>
            <w:vAlign w:val="top"/>
          </w:tcPr>
          <w:p w14:paraId="43EFF4AE">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0D620FF9">
            <w:pPr>
              <w:rPr>
                <w:rFonts w:hint="eastAsia" w:ascii="宋体" w:hAnsi="宋体" w:eastAsia="宋体" w:cs="宋体"/>
                <w:sz w:val="24"/>
                <w:szCs w:val="24"/>
                <w:highlight w:val="none"/>
              </w:rPr>
            </w:pPr>
          </w:p>
        </w:tc>
        <w:tc>
          <w:tcPr>
            <w:tcW w:w="966" w:type="pct"/>
            <w:vAlign w:val="top"/>
          </w:tcPr>
          <w:p w14:paraId="48268E4D">
            <w:pPr>
              <w:pStyle w:val="53"/>
              <w:spacing w:before="31" w:line="360" w:lineRule="auto"/>
              <w:ind w:left="106" w:right="83" w:hanging="1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3.督导服药和随访</w:t>
            </w:r>
            <w:r>
              <w:rPr>
                <w:rFonts w:hint="eastAsia" w:ascii="宋体" w:hAnsi="宋体" w:eastAsia="宋体" w:cs="宋体"/>
                <w:spacing w:val="-2"/>
                <w:sz w:val="24"/>
                <w:szCs w:val="24"/>
                <w:highlight w:val="none"/>
              </w:rPr>
              <w:t>管理</w:t>
            </w:r>
          </w:p>
        </w:tc>
        <w:tc>
          <w:tcPr>
            <w:tcW w:w="3177" w:type="pct"/>
            <w:vAlign w:val="top"/>
          </w:tcPr>
          <w:p w14:paraId="003BFFE3">
            <w:pPr>
              <w:pStyle w:val="53"/>
              <w:spacing w:before="226" w:line="230" w:lineRule="auto"/>
              <w:ind w:left="49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按规范要求提供督导服药和随访服务，进行分类干预</w:t>
            </w:r>
          </w:p>
        </w:tc>
      </w:tr>
      <w:tr w14:paraId="4E56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17" w:type="pct"/>
            <w:vMerge w:val="continue"/>
            <w:tcBorders>
              <w:top w:val="nil"/>
              <w:bottom w:val="nil"/>
            </w:tcBorders>
            <w:vAlign w:val="top"/>
          </w:tcPr>
          <w:p w14:paraId="7B8A6830">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05562D0B">
            <w:pPr>
              <w:rPr>
                <w:rFonts w:hint="eastAsia" w:ascii="宋体" w:hAnsi="宋体" w:eastAsia="宋体" w:cs="宋体"/>
                <w:sz w:val="24"/>
                <w:szCs w:val="24"/>
                <w:highlight w:val="none"/>
              </w:rPr>
            </w:pPr>
          </w:p>
        </w:tc>
        <w:tc>
          <w:tcPr>
            <w:tcW w:w="966" w:type="pct"/>
            <w:vAlign w:val="top"/>
          </w:tcPr>
          <w:p w14:paraId="34AAB8B1">
            <w:pPr>
              <w:pStyle w:val="53"/>
              <w:spacing w:before="94" w:line="229" w:lineRule="auto"/>
              <w:ind w:left="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4.结案评估</w:t>
            </w:r>
          </w:p>
        </w:tc>
        <w:tc>
          <w:tcPr>
            <w:tcW w:w="3177" w:type="pct"/>
            <w:vAlign w:val="top"/>
          </w:tcPr>
          <w:p w14:paraId="03675F5F">
            <w:pPr>
              <w:pStyle w:val="53"/>
              <w:spacing w:before="94" w:line="229" w:lineRule="auto"/>
              <w:ind w:left="51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当患者停止抗结核治疗后，要对其进行结案评估</w:t>
            </w:r>
          </w:p>
        </w:tc>
      </w:tr>
      <w:tr w14:paraId="33DC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17" w:type="pct"/>
            <w:vMerge w:val="continue"/>
            <w:tcBorders>
              <w:top w:val="nil"/>
              <w:bottom w:val="nil"/>
            </w:tcBorders>
            <w:vAlign w:val="top"/>
          </w:tcPr>
          <w:p w14:paraId="02706DBE">
            <w:pPr>
              <w:rPr>
                <w:rFonts w:hint="eastAsia" w:ascii="宋体" w:hAnsi="宋体" w:eastAsia="宋体" w:cs="宋体"/>
                <w:sz w:val="24"/>
                <w:szCs w:val="24"/>
                <w:highlight w:val="none"/>
              </w:rPr>
            </w:pPr>
          </w:p>
        </w:tc>
        <w:tc>
          <w:tcPr>
            <w:tcW w:w="438" w:type="pct"/>
            <w:vMerge w:val="continue"/>
            <w:tcBorders>
              <w:top w:val="nil"/>
              <w:bottom w:val="nil"/>
            </w:tcBorders>
            <w:vAlign w:val="top"/>
          </w:tcPr>
          <w:p w14:paraId="7193D243">
            <w:pPr>
              <w:rPr>
                <w:rFonts w:hint="eastAsia" w:ascii="宋体" w:hAnsi="宋体" w:eastAsia="宋体" w:cs="宋体"/>
                <w:sz w:val="24"/>
                <w:szCs w:val="24"/>
                <w:highlight w:val="none"/>
              </w:rPr>
            </w:pPr>
          </w:p>
        </w:tc>
        <w:tc>
          <w:tcPr>
            <w:tcW w:w="966" w:type="pct"/>
            <w:vAlign w:val="top"/>
          </w:tcPr>
          <w:p w14:paraId="10CE80E6">
            <w:pPr>
              <w:pStyle w:val="53"/>
              <w:spacing w:before="229" w:line="233" w:lineRule="auto"/>
              <w:ind w:left="9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5.免费药品</w:t>
            </w:r>
          </w:p>
        </w:tc>
        <w:tc>
          <w:tcPr>
            <w:tcW w:w="3177" w:type="pct"/>
            <w:vAlign w:val="top"/>
          </w:tcPr>
          <w:p w14:paraId="1BE19435">
            <w:pPr>
              <w:pStyle w:val="53"/>
              <w:spacing w:before="34" w:line="359" w:lineRule="auto"/>
              <w:ind w:left="98" w:right="83" w:firstLine="397"/>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肺结核患者免费治疗期间的常规一线抗结核药物（由结核病定点医</w:t>
            </w:r>
            <w:r>
              <w:rPr>
                <w:rFonts w:hint="eastAsia" w:ascii="宋体" w:hAnsi="宋体" w:eastAsia="宋体" w:cs="宋体"/>
                <w:spacing w:val="5"/>
                <w:sz w:val="24"/>
                <w:szCs w:val="24"/>
                <w:highlight w:val="none"/>
              </w:rPr>
              <w:t>疗机构提供）</w:t>
            </w:r>
          </w:p>
        </w:tc>
      </w:tr>
      <w:tr w14:paraId="58AA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17" w:type="pct"/>
            <w:vMerge w:val="continue"/>
            <w:tcBorders>
              <w:top w:val="nil"/>
            </w:tcBorders>
            <w:vAlign w:val="top"/>
          </w:tcPr>
          <w:p w14:paraId="5C99817E">
            <w:pPr>
              <w:rPr>
                <w:rFonts w:hint="eastAsia" w:ascii="宋体" w:hAnsi="宋体" w:eastAsia="宋体" w:cs="宋体"/>
                <w:sz w:val="24"/>
                <w:szCs w:val="24"/>
                <w:highlight w:val="none"/>
              </w:rPr>
            </w:pPr>
          </w:p>
        </w:tc>
        <w:tc>
          <w:tcPr>
            <w:tcW w:w="438" w:type="pct"/>
            <w:vMerge w:val="continue"/>
            <w:tcBorders>
              <w:top w:val="nil"/>
            </w:tcBorders>
            <w:vAlign w:val="top"/>
          </w:tcPr>
          <w:p w14:paraId="2173E35D">
            <w:pPr>
              <w:rPr>
                <w:rFonts w:hint="eastAsia" w:ascii="宋体" w:hAnsi="宋体" w:eastAsia="宋体" w:cs="宋体"/>
                <w:sz w:val="24"/>
                <w:szCs w:val="24"/>
                <w:highlight w:val="none"/>
              </w:rPr>
            </w:pPr>
          </w:p>
        </w:tc>
        <w:tc>
          <w:tcPr>
            <w:tcW w:w="966" w:type="pct"/>
            <w:vAlign w:val="top"/>
          </w:tcPr>
          <w:p w14:paraId="261CECF8">
            <w:pPr>
              <w:pStyle w:val="53"/>
              <w:spacing w:before="94" w:line="231" w:lineRule="auto"/>
              <w:ind w:left="9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6.密切接触者筛查</w:t>
            </w:r>
          </w:p>
        </w:tc>
        <w:tc>
          <w:tcPr>
            <w:tcW w:w="3177" w:type="pct"/>
            <w:vAlign w:val="top"/>
          </w:tcPr>
          <w:p w14:paraId="7FE84877">
            <w:pPr>
              <w:pStyle w:val="53"/>
              <w:spacing w:before="94" w:line="231" w:lineRule="auto"/>
              <w:ind w:left="49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访视时向结核病患者密切接触者提供筛查服务</w:t>
            </w:r>
          </w:p>
        </w:tc>
      </w:tr>
    </w:tbl>
    <w:p w14:paraId="3462F281">
      <w:pPr>
        <w:pStyle w:val="9"/>
        <w:rPr>
          <w:rFonts w:hint="eastAsia" w:ascii="宋体" w:hAnsi="宋体" w:eastAsia="宋体" w:cs="宋体"/>
          <w:sz w:val="24"/>
          <w:szCs w:val="24"/>
          <w:highlight w:val="none"/>
        </w:rPr>
      </w:pPr>
    </w:p>
    <w:tbl>
      <w:tblPr>
        <w:tblStyle w:val="41"/>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887"/>
        <w:gridCol w:w="1949"/>
        <w:gridCol w:w="6401"/>
      </w:tblGrid>
      <w:tr w14:paraId="7CF9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44" w:type="dxa"/>
            <w:tcBorders>
              <w:top w:val="nil"/>
            </w:tcBorders>
            <w:vAlign w:val="top"/>
          </w:tcPr>
          <w:p w14:paraId="6AB6019B">
            <w:pPr>
              <w:rPr>
                <w:rFonts w:hint="eastAsia" w:ascii="宋体" w:hAnsi="宋体" w:eastAsia="宋体" w:cs="宋体"/>
                <w:sz w:val="24"/>
                <w:szCs w:val="24"/>
                <w:highlight w:val="none"/>
              </w:rPr>
            </w:pPr>
          </w:p>
        </w:tc>
        <w:tc>
          <w:tcPr>
            <w:tcW w:w="887" w:type="dxa"/>
            <w:tcBorders>
              <w:top w:val="nil"/>
            </w:tcBorders>
            <w:vAlign w:val="top"/>
          </w:tcPr>
          <w:p w14:paraId="5CFE5434">
            <w:pPr>
              <w:rPr>
                <w:rFonts w:hint="eastAsia" w:ascii="宋体" w:hAnsi="宋体" w:eastAsia="宋体" w:cs="宋体"/>
                <w:sz w:val="24"/>
                <w:szCs w:val="24"/>
                <w:highlight w:val="none"/>
              </w:rPr>
            </w:pPr>
          </w:p>
        </w:tc>
        <w:tc>
          <w:tcPr>
            <w:tcW w:w="1949" w:type="dxa"/>
            <w:tcBorders>
              <w:top w:val="nil"/>
            </w:tcBorders>
            <w:vAlign w:val="top"/>
          </w:tcPr>
          <w:p w14:paraId="7753E5DB">
            <w:pPr>
              <w:pStyle w:val="53"/>
              <w:spacing w:before="28" w:line="361" w:lineRule="auto"/>
              <w:ind w:left="118" w:right="83" w:hanging="2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7.基本服务包所有</w:t>
            </w:r>
            <w:r>
              <w:rPr>
                <w:rFonts w:hint="eastAsia" w:ascii="宋体" w:hAnsi="宋体" w:eastAsia="宋体" w:cs="宋体"/>
                <w:spacing w:val="-5"/>
                <w:sz w:val="24"/>
                <w:szCs w:val="24"/>
                <w:highlight w:val="none"/>
              </w:rPr>
              <w:t>内容</w:t>
            </w:r>
          </w:p>
        </w:tc>
        <w:tc>
          <w:tcPr>
            <w:tcW w:w="6401" w:type="dxa"/>
            <w:tcBorders>
              <w:top w:val="nil"/>
            </w:tcBorders>
            <w:vAlign w:val="top"/>
          </w:tcPr>
          <w:p w14:paraId="0AB685ED">
            <w:pPr>
              <w:pStyle w:val="53"/>
              <w:spacing w:before="28" w:line="361" w:lineRule="auto"/>
              <w:ind w:left="97" w:right="83" w:firstLine="39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详见基本服务包内容，根据签约对象情况与定点医疗机构进行双向</w:t>
            </w:r>
            <w:r>
              <w:rPr>
                <w:rFonts w:hint="eastAsia" w:ascii="宋体" w:hAnsi="宋体" w:eastAsia="宋体" w:cs="宋体"/>
                <w:spacing w:val="1"/>
                <w:sz w:val="24"/>
                <w:szCs w:val="24"/>
                <w:highlight w:val="none"/>
              </w:rPr>
              <w:t>转诊</w:t>
            </w:r>
          </w:p>
        </w:tc>
      </w:tr>
      <w:tr w14:paraId="2F89C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restart"/>
            <w:tcBorders>
              <w:bottom w:val="nil"/>
            </w:tcBorders>
            <w:vAlign w:val="top"/>
          </w:tcPr>
          <w:p w14:paraId="46D52D8B">
            <w:pPr>
              <w:spacing w:line="286" w:lineRule="auto"/>
              <w:rPr>
                <w:rFonts w:hint="eastAsia" w:ascii="宋体" w:hAnsi="宋体" w:eastAsia="宋体" w:cs="宋体"/>
                <w:sz w:val="24"/>
                <w:szCs w:val="24"/>
                <w:highlight w:val="none"/>
              </w:rPr>
            </w:pPr>
          </w:p>
          <w:p w14:paraId="2702F14B">
            <w:pPr>
              <w:spacing w:line="287" w:lineRule="auto"/>
              <w:rPr>
                <w:rFonts w:hint="eastAsia" w:ascii="宋体" w:hAnsi="宋体" w:eastAsia="宋体" w:cs="宋体"/>
                <w:sz w:val="24"/>
                <w:szCs w:val="24"/>
                <w:highlight w:val="none"/>
              </w:rPr>
            </w:pPr>
          </w:p>
          <w:p w14:paraId="21948E13">
            <w:pPr>
              <w:spacing w:line="287" w:lineRule="auto"/>
              <w:rPr>
                <w:rFonts w:hint="eastAsia" w:ascii="宋体" w:hAnsi="宋体" w:eastAsia="宋体" w:cs="宋体"/>
                <w:sz w:val="24"/>
                <w:szCs w:val="24"/>
                <w:highlight w:val="none"/>
              </w:rPr>
            </w:pPr>
          </w:p>
          <w:p w14:paraId="16CEF0FF">
            <w:pPr>
              <w:spacing w:line="287" w:lineRule="auto"/>
              <w:rPr>
                <w:rFonts w:hint="eastAsia" w:ascii="宋体" w:hAnsi="宋体" w:eastAsia="宋体" w:cs="宋体"/>
                <w:sz w:val="24"/>
                <w:szCs w:val="24"/>
                <w:highlight w:val="none"/>
              </w:rPr>
            </w:pPr>
          </w:p>
          <w:p w14:paraId="6590C549">
            <w:pPr>
              <w:pStyle w:val="53"/>
              <w:spacing w:before="62" w:line="378" w:lineRule="auto"/>
              <w:ind w:left="131" w:right="120"/>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计划生育特殊</w:t>
            </w:r>
            <w:r>
              <w:rPr>
                <w:rFonts w:hint="eastAsia" w:ascii="宋体" w:hAnsi="宋体" w:eastAsia="宋体" w:cs="宋体"/>
                <w:spacing w:val="26"/>
                <w:w w:val="114"/>
                <w:sz w:val="24"/>
                <w:szCs w:val="24"/>
                <w:highlight w:val="none"/>
              </w:rPr>
              <w:t>家庭</w:t>
            </w:r>
            <w:r>
              <w:rPr>
                <w:rFonts w:hint="eastAsia" w:ascii="宋体" w:hAnsi="宋体" w:eastAsia="宋体" w:cs="宋体"/>
                <w:spacing w:val="5"/>
                <w:sz w:val="24"/>
                <w:szCs w:val="24"/>
                <w:highlight w:val="none"/>
              </w:rPr>
              <w:t>服务包</w:t>
            </w:r>
          </w:p>
        </w:tc>
        <w:tc>
          <w:tcPr>
            <w:tcW w:w="887" w:type="dxa"/>
            <w:vMerge w:val="restart"/>
            <w:tcBorders>
              <w:bottom w:val="nil"/>
            </w:tcBorders>
            <w:vAlign w:val="top"/>
          </w:tcPr>
          <w:p w14:paraId="70280413">
            <w:pPr>
              <w:spacing w:line="268" w:lineRule="auto"/>
              <w:rPr>
                <w:rFonts w:hint="eastAsia" w:ascii="宋体" w:hAnsi="宋体" w:eastAsia="宋体" w:cs="宋体"/>
                <w:sz w:val="24"/>
                <w:szCs w:val="24"/>
                <w:highlight w:val="none"/>
              </w:rPr>
            </w:pPr>
          </w:p>
          <w:p w14:paraId="56276EFE">
            <w:pPr>
              <w:spacing w:line="268" w:lineRule="auto"/>
              <w:rPr>
                <w:rFonts w:hint="eastAsia" w:ascii="宋体" w:hAnsi="宋体" w:eastAsia="宋体" w:cs="宋体"/>
                <w:sz w:val="24"/>
                <w:szCs w:val="24"/>
                <w:highlight w:val="none"/>
              </w:rPr>
            </w:pPr>
          </w:p>
          <w:p w14:paraId="1E7B2664">
            <w:pPr>
              <w:spacing w:line="268" w:lineRule="auto"/>
              <w:rPr>
                <w:rFonts w:hint="eastAsia" w:ascii="宋体" w:hAnsi="宋体" w:eastAsia="宋体" w:cs="宋体"/>
                <w:sz w:val="24"/>
                <w:szCs w:val="24"/>
                <w:highlight w:val="none"/>
              </w:rPr>
            </w:pPr>
          </w:p>
          <w:p w14:paraId="1221E084">
            <w:pPr>
              <w:spacing w:line="268" w:lineRule="auto"/>
              <w:rPr>
                <w:rFonts w:hint="eastAsia" w:ascii="宋体" w:hAnsi="宋体" w:eastAsia="宋体" w:cs="宋体"/>
                <w:sz w:val="24"/>
                <w:szCs w:val="24"/>
                <w:highlight w:val="none"/>
              </w:rPr>
            </w:pPr>
          </w:p>
          <w:p w14:paraId="6CF1BA4B">
            <w:pPr>
              <w:spacing w:line="269" w:lineRule="auto"/>
              <w:rPr>
                <w:rFonts w:hint="eastAsia" w:ascii="宋体" w:hAnsi="宋体" w:eastAsia="宋体" w:cs="宋体"/>
                <w:sz w:val="24"/>
                <w:szCs w:val="24"/>
                <w:highlight w:val="none"/>
              </w:rPr>
            </w:pPr>
          </w:p>
          <w:p w14:paraId="5DD28815">
            <w:pPr>
              <w:pStyle w:val="53"/>
              <w:spacing w:before="62" w:line="378" w:lineRule="auto"/>
              <w:ind w:left="151" w:right="143" w:firstLine="5"/>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签约计</w:t>
            </w:r>
            <w:r>
              <w:rPr>
                <w:rFonts w:hint="eastAsia" w:ascii="宋体" w:hAnsi="宋体" w:eastAsia="宋体" w:cs="宋体"/>
                <w:spacing w:val="5"/>
                <w:sz w:val="24"/>
                <w:szCs w:val="24"/>
                <w:highlight w:val="none"/>
              </w:rPr>
              <w:t>划生育特殊家庭对象</w:t>
            </w:r>
          </w:p>
        </w:tc>
        <w:tc>
          <w:tcPr>
            <w:tcW w:w="1949" w:type="dxa"/>
            <w:vAlign w:val="top"/>
          </w:tcPr>
          <w:p w14:paraId="347D92F4">
            <w:pPr>
              <w:pStyle w:val="53"/>
              <w:spacing w:before="32" w:line="360"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6401" w:type="dxa"/>
            <w:vAlign w:val="top"/>
          </w:tcPr>
          <w:p w14:paraId="049603C5">
            <w:pPr>
              <w:pStyle w:val="53"/>
              <w:spacing w:before="225"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建立计划生育特殊家庭专项（电子）健康档案</w:t>
            </w:r>
          </w:p>
        </w:tc>
      </w:tr>
      <w:tr w14:paraId="1AEB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continue"/>
            <w:tcBorders>
              <w:top w:val="nil"/>
              <w:bottom w:val="nil"/>
            </w:tcBorders>
            <w:vAlign w:val="top"/>
          </w:tcPr>
          <w:p w14:paraId="55DCFAEB">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216C689A">
            <w:pPr>
              <w:rPr>
                <w:rFonts w:hint="eastAsia" w:ascii="宋体" w:hAnsi="宋体" w:eastAsia="宋体" w:cs="宋体"/>
                <w:sz w:val="24"/>
                <w:szCs w:val="24"/>
                <w:highlight w:val="none"/>
              </w:rPr>
            </w:pPr>
          </w:p>
        </w:tc>
        <w:tc>
          <w:tcPr>
            <w:tcW w:w="1949" w:type="dxa"/>
            <w:vAlign w:val="top"/>
          </w:tcPr>
          <w:p w14:paraId="4542D420">
            <w:pPr>
              <w:pStyle w:val="53"/>
              <w:spacing w:before="225" w:line="231"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2.健康管理服务</w:t>
            </w:r>
          </w:p>
        </w:tc>
        <w:tc>
          <w:tcPr>
            <w:tcW w:w="6401" w:type="dxa"/>
            <w:vAlign w:val="top"/>
          </w:tcPr>
          <w:p w14:paraId="2F632CC9">
            <w:pPr>
              <w:pStyle w:val="53"/>
              <w:spacing w:before="29" w:line="361" w:lineRule="auto"/>
              <w:ind w:left="102" w:right="86" w:firstLine="39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计划生育特殊家庭对象按情况对65岁以上老年人</w:t>
            </w:r>
            <w:r>
              <w:rPr>
                <w:rFonts w:hint="eastAsia" w:ascii="宋体" w:hAnsi="宋体" w:eastAsia="宋体" w:cs="宋体"/>
                <w:spacing w:val="5"/>
                <w:sz w:val="24"/>
                <w:szCs w:val="24"/>
                <w:highlight w:val="none"/>
              </w:rPr>
              <w:t>、高血压、糖尿病</w:t>
            </w:r>
            <w:r>
              <w:rPr>
                <w:rFonts w:hint="eastAsia" w:ascii="宋体" w:hAnsi="宋体" w:eastAsia="宋体" w:cs="宋体"/>
                <w:spacing w:val="8"/>
                <w:sz w:val="24"/>
                <w:szCs w:val="24"/>
                <w:highlight w:val="none"/>
              </w:rPr>
              <w:t>等慢性病人分别进行健康管理</w:t>
            </w:r>
          </w:p>
        </w:tc>
      </w:tr>
      <w:tr w14:paraId="0AC0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4" w:type="dxa"/>
            <w:vMerge w:val="continue"/>
            <w:tcBorders>
              <w:top w:val="nil"/>
              <w:bottom w:val="nil"/>
            </w:tcBorders>
            <w:vAlign w:val="top"/>
          </w:tcPr>
          <w:p w14:paraId="3FDC09D0">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19FB9C6A">
            <w:pPr>
              <w:rPr>
                <w:rFonts w:hint="eastAsia" w:ascii="宋体" w:hAnsi="宋体" w:eastAsia="宋体" w:cs="宋体"/>
                <w:sz w:val="24"/>
                <w:szCs w:val="24"/>
                <w:highlight w:val="none"/>
              </w:rPr>
            </w:pPr>
          </w:p>
        </w:tc>
        <w:tc>
          <w:tcPr>
            <w:tcW w:w="1949" w:type="dxa"/>
            <w:vAlign w:val="top"/>
          </w:tcPr>
          <w:p w14:paraId="675D66C6">
            <w:pPr>
              <w:pStyle w:val="53"/>
              <w:spacing w:before="224" w:line="232" w:lineRule="auto"/>
              <w:ind w:left="9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3.心理援助</w:t>
            </w:r>
          </w:p>
        </w:tc>
        <w:tc>
          <w:tcPr>
            <w:tcW w:w="6401" w:type="dxa"/>
            <w:vAlign w:val="top"/>
          </w:tcPr>
          <w:p w14:paraId="0E6AA4A2">
            <w:pPr>
              <w:pStyle w:val="53"/>
              <w:spacing w:before="28" w:line="362" w:lineRule="auto"/>
              <w:ind w:left="100" w:right="83" w:firstLine="394"/>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特殊家庭心理援助成员联合街道、社区两级计生协会人员对计划生</w:t>
            </w:r>
            <w:r>
              <w:rPr>
                <w:rFonts w:hint="eastAsia" w:ascii="宋体" w:hAnsi="宋体" w:eastAsia="宋体" w:cs="宋体"/>
                <w:spacing w:val="8"/>
                <w:sz w:val="24"/>
                <w:szCs w:val="24"/>
                <w:highlight w:val="none"/>
              </w:rPr>
              <w:t>育特殊家庭成员实施分类援助</w:t>
            </w:r>
          </w:p>
        </w:tc>
      </w:tr>
      <w:tr w14:paraId="53B4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44" w:type="dxa"/>
            <w:vMerge w:val="continue"/>
            <w:tcBorders>
              <w:top w:val="nil"/>
              <w:bottom w:val="nil"/>
            </w:tcBorders>
            <w:vAlign w:val="top"/>
          </w:tcPr>
          <w:p w14:paraId="1F00CA60">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59CAC8D7">
            <w:pPr>
              <w:rPr>
                <w:rFonts w:hint="eastAsia" w:ascii="宋体" w:hAnsi="宋体" w:eastAsia="宋体" w:cs="宋体"/>
                <w:sz w:val="24"/>
                <w:szCs w:val="24"/>
                <w:highlight w:val="none"/>
              </w:rPr>
            </w:pPr>
          </w:p>
        </w:tc>
        <w:tc>
          <w:tcPr>
            <w:tcW w:w="1949" w:type="dxa"/>
            <w:vAlign w:val="top"/>
          </w:tcPr>
          <w:p w14:paraId="2C4768D2">
            <w:pPr>
              <w:pStyle w:val="53"/>
              <w:spacing w:before="224" w:line="378" w:lineRule="auto"/>
              <w:ind w:left="94" w:right="83" w:hanging="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4.相关事务信息咨</w:t>
            </w:r>
            <w:r>
              <w:rPr>
                <w:rFonts w:hint="eastAsia" w:ascii="宋体" w:hAnsi="宋体" w:eastAsia="宋体" w:cs="宋体"/>
                <w:spacing w:val="5"/>
                <w:sz w:val="24"/>
                <w:szCs w:val="24"/>
                <w:highlight w:val="none"/>
              </w:rPr>
              <w:t>询服务</w:t>
            </w:r>
          </w:p>
        </w:tc>
        <w:tc>
          <w:tcPr>
            <w:tcW w:w="6401" w:type="dxa"/>
            <w:vAlign w:val="top"/>
          </w:tcPr>
          <w:p w14:paraId="75955159">
            <w:pPr>
              <w:pStyle w:val="53"/>
              <w:spacing w:before="30" w:line="366" w:lineRule="auto"/>
              <w:ind w:left="100" w:right="83" w:firstLine="402"/>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为符合生育条件的育龄妇女提供免费婚检、免费孕前优生检查、免</w:t>
            </w:r>
            <w:r>
              <w:rPr>
                <w:rFonts w:hint="eastAsia" w:ascii="宋体" w:hAnsi="宋体" w:eastAsia="宋体" w:cs="宋体"/>
                <w:spacing w:val="9"/>
                <w:sz w:val="24"/>
                <w:szCs w:val="24"/>
                <w:highlight w:val="none"/>
              </w:rPr>
              <w:t>费孕检、一对一专家优生咨询等咨询服务，以及其他的</w:t>
            </w:r>
            <w:r>
              <w:rPr>
                <w:rFonts w:hint="eastAsia" w:ascii="宋体" w:hAnsi="宋体" w:eastAsia="宋体" w:cs="宋体"/>
                <w:spacing w:val="8"/>
                <w:sz w:val="24"/>
                <w:szCs w:val="24"/>
                <w:highlight w:val="none"/>
              </w:rPr>
              <w:t>相关政策咨询服</w:t>
            </w:r>
            <w:r>
              <w:rPr>
                <w:rFonts w:hint="eastAsia" w:ascii="宋体" w:hAnsi="宋体" w:eastAsia="宋体" w:cs="宋体"/>
                <w:sz w:val="24"/>
                <w:szCs w:val="24"/>
                <w:highlight w:val="none"/>
              </w:rPr>
              <w:t>务</w:t>
            </w:r>
          </w:p>
        </w:tc>
      </w:tr>
      <w:tr w14:paraId="0A5B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continue"/>
            <w:tcBorders>
              <w:top w:val="nil"/>
            </w:tcBorders>
            <w:vAlign w:val="top"/>
          </w:tcPr>
          <w:p w14:paraId="03CA8577">
            <w:pPr>
              <w:rPr>
                <w:rFonts w:hint="eastAsia" w:ascii="宋体" w:hAnsi="宋体" w:eastAsia="宋体" w:cs="宋体"/>
                <w:sz w:val="24"/>
                <w:szCs w:val="24"/>
                <w:highlight w:val="none"/>
              </w:rPr>
            </w:pPr>
          </w:p>
        </w:tc>
        <w:tc>
          <w:tcPr>
            <w:tcW w:w="887" w:type="dxa"/>
            <w:vMerge w:val="continue"/>
            <w:tcBorders>
              <w:top w:val="nil"/>
            </w:tcBorders>
            <w:vAlign w:val="top"/>
          </w:tcPr>
          <w:p w14:paraId="4FC67C2F">
            <w:pPr>
              <w:rPr>
                <w:rFonts w:hint="eastAsia" w:ascii="宋体" w:hAnsi="宋体" w:eastAsia="宋体" w:cs="宋体"/>
                <w:sz w:val="24"/>
                <w:szCs w:val="24"/>
                <w:highlight w:val="none"/>
              </w:rPr>
            </w:pPr>
          </w:p>
        </w:tc>
        <w:tc>
          <w:tcPr>
            <w:tcW w:w="1949" w:type="dxa"/>
            <w:vAlign w:val="top"/>
          </w:tcPr>
          <w:p w14:paraId="141A7372">
            <w:pPr>
              <w:pStyle w:val="53"/>
              <w:spacing w:before="29" w:line="361" w:lineRule="auto"/>
              <w:ind w:left="119" w:right="83" w:hanging="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5.基本服务包所有</w:t>
            </w:r>
            <w:r>
              <w:rPr>
                <w:rFonts w:hint="eastAsia" w:ascii="宋体" w:hAnsi="宋体" w:eastAsia="宋体" w:cs="宋体"/>
                <w:spacing w:val="-5"/>
                <w:sz w:val="24"/>
                <w:szCs w:val="24"/>
                <w:highlight w:val="none"/>
              </w:rPr>
              <w:t>内容</w:t>
            </w:r>
          </w:p>
        </w:tc>
        <w:tc>
          <w:tcPr>
            <w:tcW w:w="6401" w:type="dxa"/>
            <w:vAlign w:val="top"/>
          </w:tcPr>
          <w:p w14:paraId="16CDA750">
            <w:pPr>
              <w:pStyle w:val="53"/>
              <w:spacing w:before="224"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65C52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restart"/>
            <w:tcBorders>
              <w:bottom w:val="nil"/>
            </w:tcBorders>
            <w:vAlign w:val="top"/>
          </w:tcPr>
          <w:p w14:paraId="3AAE67FB">
            <w:pPr>
              <w:spacing w:line="278" w:lineRule="auto"/>
              <w:rPr>
                <w:rFonts w:hint="eastAsia" w:ascii="宋体" w:hAnsi="宋体" w:eastAsia="宋体" w:cs="宋体"/>
                <w:sz w:val="24"/>
                <w:szCs w:val="24"/>
                <w:highlight w:val="none"/>
              </w:rPr>
            </w:pPr>
          </w:p>
          <w:p w14:paraId="35D19118">
            <w:pPr>
              <w:spacing w:line="278" w:lineRule="auto"/>
              <w:rPr>
                <w:rFonts w:hint="eastAsia" w:ascii="宋体" w:hAnsi="宋体" w:eastAsia="宋体" w:cs="宋体"/>
                <w:sz w:val="24"/>
                <w:szCs w:val="24"/>
                <w:highlight w:val="none"/>
              </w:rPr>
            </w:pPr>
          </w:p>
          <w:p w14:paraId="3982F1AD">
            <w:pPr>
              <w:spacing w:line="278" w:lineRule="auto"/>
              <w:rPr>
                <w:rFonts w:hint="eastAsia" w:ascii="宋体" w:hAnsi="宋体" w:eastAsia="宋体" w:cs="宋体"/>
                <w:sz w:val="24"/>
                <w:szCs w:val="24"/>
                <w:highlight w:val="none"/>
              </w:rPr>
            </w:pPr>
          </w:p>
          <w:p w14:paraId="4E062EA8">
            <w:pPr>
              <w:spacing w:line="278" w:lineRule="auto"/>
              <w:rPr>
                <w:rFonts w:hint="eastAsia" w:ascii="宋体" w:hAnsi="宋体" w:eastAsia="宋体" w:cs="宋体"/>
                <w:sz w:val="24"/>
                <w:szCs w:val="24"/>
                <w:highlight w:val="none"/>
              </w:rPr>
            </w:pPr>
          </w:p>
          <w:p w14:paraId="7D080DB8">
            <w:pPr>
              <w:pStyle w:val="53"/>
              <w:spacing w:before="62" w:line="378" w:lineRule="auto"/>
              <w:ind w:left="131" w:right="120" w:firstLine="2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困难人</w:t>
            </w:r>
            <w:r>
              <w:rPr>
                <w:rFonts w:hint="eastAsia" w:ascii="宋体" w:hAnsi="宋体" w:eastAsia="宋体" w:cs="宋体"/>
                <w:spacing w:val="5"/>
                <w:sz w:val="24"/>
                <w:szCs w:val="24"/>
                <w:highlight w:val="none"/>
              </w:rPr>
              <w:t>群服务</w:t>
            </w:r>
          </w:p>
        </w:tc>
        <w:tc>
          <w:tcPr>
            <w:tcW w:w="887" w:type="dxa"/>
            <w:vMerge w:val="restart"/>
            <w:tcBorders>
              <w:bottom w:val="nil"/>
            </w:tcBorders>
            <w:vAlign w:val="top"/>
          </w:tcPr>
          <w:p w14:paraId="40CA4173">
            <w:pPr>
              <w:spacing w:line="306" w:lineRule="auto"/>
              <w:rPr>
                <w:rFonts w:hint="eastAsia" w:ascii="宋体" w:hAnsi="宋体" w:eastAsia="宋体" w:cs="宋体"/>
                <w:sz w:val="24"/>
                <w:szCs w:val="24"/>
                <w:highlight w:val="none"/>
              </w:rPr>
            </w:pPr>
          </w:p>
          <w:p w14:paraId="7A126B86">
            <w:pPr>
              <w:spacing w:line="306" w:lineRule="auto"/>
              <w:rPr>
                <w:rFonts w:hint="eastAsia" w:ascii="宋体" w:hAnsi="宋体" w:eastAsia="宋体" w:cs="宋体"/>
                <w:sz w:val="24"/>
                <w:szCs w:val="24"/>
                <w:highlight w:val="none"/>
              </w:rPr>
            </w:pPr>
          </w:p>
          <w:p w14:paraId="3E8606F7">
            <w:pPr>
              <w:spacing w:line="306" w:lineRule="auto"/>
              <w:rPr>
                <w:rFonts w:hint="eastAsia" w:ascii="宋体" w:hAnsi="宋体" w:eastAsia="宋体" w:cs="宋体"/>
                <w:sz w:val="24"/>
                <w:szCs w:val="24"/>
                <w:highlight w:val="none"/>
              </w:rPr>
            </w:pPr>
          </w:p>
          <w:p w14:paraId="1C85A767">
            <w:pPr>
              <w:pStyle w:val="53"/>
              <w:spacing w:before="62" w:line="379" w:lineRule="auto"/>
              <w:ind w:left="152" w:right="143" w:firstLine="3"/>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签约困</w:t>
            </w:r>
            <w:r>
              <w:rPr>
                <w:rFonts w:hint="eastAsia" w:ascii="宋体" w:hAnsi="宋体" w:eastAsia="宋体" w:cs="宋体"/>
                <w:spacing w:val="5"/>
                <w:sz w:val="24"/>
                <w:szCs w:val="24"/>
                <w:highlight w:val="none"/>
              </w:rPr>
              <w:t>难人群</w:t>
            </w:r>
            <w:r>
              <w:rPr>
                <w:rFonts w:hint="eastAsia" w:ascii="宋体" w:hAnsi="宋体" w:eastAsia="宋体" w:cs="宋体"/>
                <w:spacing w:val="29"/>
                <w:w w:val="112"/>
                <w:sz w:val="24"/>
                <w:szCs w:val="24"/>
                <w:highlight w:val="none"/>
              </w:rPr>
              <w:t>对象</w:t>
            </w:r>
          </w:p>
        </w:tc>
        <w:tc>
          <w:tcPr>
            <w:tcW w:w="1949" w:type="dxa"/>
            <w:vAlign w:val="top"/>
          </w:tcPr>
          <w:p w14:paraId="2FD71479">
            <w:pPr>
              <w:pStyle w:val="53"/>
              <w:spacing w:before="31" w:line="360" w:lineRule="auto"/>
              <w:ind w:left="94" w:right="86"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1.建立（电子）健康</w:t>
            </w:r>
            <w:r>
              <w:rPr>
                <w:rFonts w:hint="eastAsia" w:ascii="宋体" w:hAnsi="宋体" w:eastAsia="宋体" w:cs="宋体"/>
                <w:spacing w:val="2"/>
                <w:sz w:val="24"/>
                <w:szCs w:val="24"/>
                <w:highlight w:val="none"/>
              </w:rPr>
              <w:t>档案</w:t>
            </w:r>
          </w:p>
        </w:tc>
        <w:tc>
          <w:tcPr>
            <w:tcW w:w="6401" w:type="dxa"/>
            <w:vAlign w:val="top"/>
          </w:tcPr>
          <w:p w14:paraId="0AF52679">
            <w:pPr>
              <w:pStyle w:val="53"/>
              <w:spacing w:before="224" w:line="231"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建立困难人群专项（电子）健康档案</w:t>
            </w:r>
          </w:p>
        </w:tc>
      </w:tr>
      <w:tr w14:paraId="34E4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44" w:type="dxa"/>
            <w:vMerge w:val="continue"/>
            <w:tcBorders>
              <w:top w:val="nil"/>
              <w:bottom w:val="nil"/>
            </w:tcBorders>
            <w:vAlign w:val="top"/>
          </w:tcPr>
          <w:p w14:paraId="01432BD4">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5AD963D1">
            <w:pPr>
              <w:rPr>
                <w:rFonts w:hint="eastAsia" w:ascii="宋体" w:hAnsi="宋体" w:eastAsia="宋体" w:cs="宋体"/>
                <w:sz w:val="24"/>
                <w:szCs w:val="24"/>
                <w:highlight w:val="none"/>
              </w:rPr>
            </w:pPr>
          </w:p>
        </w:tc>
        <w:tc>
          <w:tcPr>
            <w:tcW w:w="1949" w:type="dxa"/>
            <w:vAlign w:val="top"/>
          </w:tcPr>
          <w:p w14:paraId="67A17EB0">
            <w:pPr>
              <w:pStyle w:val="53"/>
              <w:spacing w:before="235" w:line="231"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2.健康管理服务</w:t>
            </w:r>
          </w:p>
        </w:tc>
        <w:tc>
          <w:tcPr>
            <w:tcW w:w="6401" w:type="dxa"/>
            <w:vAlign w:val="top"/>
          </w:tcPr>
          <w:p w14:paraId="3DA3C00E">
            <w:pPr>
              <w:pStyle w:val="53"/>
              <w:spacing w:before="41" w:line="360" w:lineRule="auto"/>
              <w:ind w:left="97" w:right="86" w:firstLine="41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困难人群按情况对65岁以上老年人、高血压、糖尿病等慢性病人分</w:t>
            </w:r>
            <w:r>
              <w:rPr>
                <w:rFonts w:hint="eastAsia" w:ascii="宋体" w:hAnsi="宋体" w:eastAsia="宋体" w:cs="宋体"/>
                <w:spacing w:val="7"/>
                <w:sz w:val="24"/>
                <w:szCs w:val="24"/>
                <w:highlight w:val="none"/>
              </w:rPr>
              <w:t>别进行健康管理</w:t>
            </w:r>
          </w:p>
        </w:tc>
      </w:tr>
      <w:tr w14:paraId="32B0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44" w:type="dxa"/>
            <w:vMerge w:val="continue"/>
            <w:tcBorders>
              <w:top w:val="nil"/>
              <w:bottom w:val="nil"/>
            </w:tcBorders>
            <w:vAlign w:val="top"/>
          </w:tcPr>
          <w:p w14:paraId="32CE01DF">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780F7BC4">
            <w:pPr>
              <w:rPr>
                <w:rFonts w:hint="eastAsia" w:ascii="宋体" w:hAnsi="宋体" w:eastAsia="宋体" w:cs="宋体"/>
                <w:sz w:val="24"/>
                <w:szCs w:val="24"/>
                <w:highlight w:val="none"/>
              </w:rPr>
            </w:pPr>
          </w:p>
        </w:tc>
        <w:tc>
          <w:tcPr>
            <w:tcW w:w="1949" w:type="dxa"/>
            <w:vAlign w:val="top"/>
          </w:tcPr>
          <w:p w14:paraId="546B042E">
            <w:pPr>
              <w:pStyle w:val="53"/>
              <w:spacing w:before="189" w:line="231" w:lineRule="auto"/>
              <w:ind w:left="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3医疗救助服务</w:t>
            </w:r>
          </w:p>
        </w:tc>
        <w:tc>
          <w:tcPr>
            <w:tcW w:w="6401" w:type="dxa"/>
            <w:vAlign w:val="top"/>
          </w:tcPr>
          <w:p w14:paraId="04D0A561">
            <w:pPr>
              <w:pStyle w:val="53"/>
              <w:spacing w:before="189" w:line="230" w:lineRule="auto"/>
              <w:ind w:left="49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按当地医疗救助政策为符合条件的签约对象减免相关费用</w:t>
            </w:r>
          </w:p>
        </w:tc>
      </w:tr>
      <w:tr w14:paraId="23FF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continue"/>
            <w:tcBorders>
              <w:top w:val="nil"/>
            </w:tcBorders>
            <w:vAlign w:val="top"/>
          </w:tcPr>
          <w:p w14:paraId="49B4B4DC">
            <w:pPr>
              <w:rPr>
                <w:rFonts w:hint="eastAsia" w:ascii="宋体" w:hAnsi="宋体" w:eastAsia="宋体" w:cs="宋体"/>
                <w:sz w:val="24"/>
                <w:szCs w:val="24"/>
                <w:highlight w:val="none"/>
              </w:rPr>
            </w:pPr>
          </w:p>
        </w:tc>
        <w:tc>
          <w:tcPr>
            <w:tcW w:w="887" w:type="dxa"/>
            <w:vMerge w:val="continue"/>
            <w:tcBorders>
              <w:top w:val="nil"/>
            </w:tcBorders>
            <w:vAlign w:val="top"/>
          </w:tcPr>
          <w:p w14:paraId="3C9E8021">
            <w:pPr>
              <w:rPr>
                <w:rFonts w:hint="eastAsia" w:ascii="宋体" w:hAnsi="宋体" w:eastAsia="宋体" w:cs="宋体"/>
                <w:sz w:val="24"/>
                <w:szCs w:val="24"/>
                <w:highlight w:val="none"/>
              </w:rPr>
            </w:pPr>
          </w:p>
        </w:tc>
        <w:tc>
          <w:tcPr>
            <w:tcW w:w="1949" w:type="dxa"/>
            <w:vAlign w:val="top"/>
          </w:tcPr>
          <w:p w14:paraId="56DBCD9E">
            <w:pPr>
              <w:pStyle w:val="53"/>
              <w:spacing w:before="34" w:line="359" w:lineRule="auto"/>
              <w:ind w:left="119" w:right="83" w:hanging="3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4.基本服务包所有</w:t>
            </w:r>
            <w:r>
              <w:rPr>
                <w:rFonts w:hint="eastAsia" w:ascii="宋体" w:hAnsi="宋体" w:eastAsia="宋体" w:cs="宋体"/>
                <w:spacing w:val="-5"/>
                <w:sz w:val="24"/>
                <w:szCs w:val="24"/>
                <w:highlight w:val="none"/>
              </w:rPr>
              <w:t>内容</w:t>
            </w:r>
          </w:p>
        </w:tc>
        <w:tc>
          <w:tcPr>
            <w:tcW w:w="6401" w:type="dxa"/>
            <w:vAlign w:val="top"/>
          </w:tcPr>
          <w:p w14:paraId="0B226482">
            <w:pPr>
              <w:pStyle w:val="53"/>
              <w:spacing w:before="227"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r w14:paraId="0A76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44" w:type="dxa"/>
            <w:vMerge w:val="restart"/>
            <w:tcBorders>
              <w:bottom w:val="nil"/>
            </w:tcBorders>
            <w:vAlign w:val="top"/>
          </w:tcPr>
          <w:p w14:paraId="56F8DF17">
            <w:pPr>
              <w:spacing w:line="296" w:lineRule="auto"/>
              <w:rPr>
                <w:rFonts w:hint="eastAsia" w:ascii="宋体" w:hAnsi="宋体" w:eastAsia="宋体" w:cs="宋体"/>
                <w:sz w:val="24"/>
                <w:szCs w:val="24"/>
                <w:highlight w:val="none"/>
              </w:rPr>
            </w:pPr>
          </w:p>
          <w:p w14:paraId="2FB2E491">
            <w:pPr>
              <w:spacing w:line="296" w:lineRule="auto"/>
              <w:rPr>
                <w:rFonts w:hint="eastAsia" w:ascii="宋体" w:hAnsi="宋体" w:eastAsia="宋体" w:cs="宋体"/>
                <w:sz w:val="24"/>
                <w:szCs w:val="24"/>
                <w:highlight w:val="none"/>
              </w:rPr>
            </w:pPr>
          </w:p>
          <w:p w14:paraId="2A047FBB">
            <w:pPr>
              <w:spacing w:line="296" w:lineRule="auto"/>
              <w:rPr>
                <w:rFonts w:hint="eastAsia" w:ascii="宋体" w:hAnsi="宋体" w:eastAsia="宋体" w:cs="宋体"/>
                <w:sz w:val="24"/>
                <w:szCs w:val="24"/>
                <w:highlight w:val="none"/>
              </w:rPr>
            </w:pPr>
          </w:p>
          <w:p w14:paraId="2913E546">
            <w:pPr>
              <w:spacing w:line="297" w:lineRule="auto"/>
              <w:rPr>
                <w:rFonts w:hint="eastAsia" w:ascii="宋体" w:hAnsi="宋体" w:eastAsia="宋体" w:cs="宋体"/>
                <w:sz w:val="24"/>
                <w:szCs w:val="24"/>
                <w:highlight w:val="none"/>
              </w:rPr>
            </w:pPr>
          </w:p>
          <w:p w14:paraId="021BBF7E">
            <w:pPr>
              <w:pStyle w:val="53"/>
              <w:spacing w:before="62" w:line="378" w:lineRule="auto"/>
              <w:ind w:left="231" w:right="120" w:hanging="9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残疾人</w:t>
            </w:r>
            <w:r>
              <w:rPr>
                <w:rFonts w:hint="eastAsia" w:ascii="宋体" w:hAnsi="宋体" w:eastAsia="宋体" w:cs="宋体"/>
                <w:spacing w:val="2"/>
                <w:sz w:val="24"/>
                <w:szCs w:val="24"/>
                <w:highlight w:val="none"/>
              </w:rPr>
              <w:t>服务</w:t>
            </w:r>
          </w:p>
        </w:tc>
        <w:tc>
          <w:tcPr>
            <w:tcW w:w="887" w:type="dxa"/>
            <w:vMerge w:val="restart"/>
            <w:tcBorders>
              <w:bottom w:val="nil"/>
            </w:tcBorders>
            <w:vAlign w:val="top"/>
          </w:tcPr>
          <w:p w14:paraId="0939CD91">
            <w:pPr>
              <w:spacing w:line="296" w:lineRule="auto"/>
              <w:rPr>
                <w:rFonts w:hint="eastAsia" w:ascii="宋体" w:hAnsi="宋体" w:eastAsia="宋体" w:cs="宋体"/>
                <w:sz w:val="24"/>
                <w:szCs w:val="24"/>
                <w:highlight w:val="none"/>
              </w:rPr>
            </w:pPr>
          </w:p>
          <w:p w14:paraId="26EFAA5E">
            <w:pPr>
              <w:spacing w:line="296" w:lineRule="auto"/>
              <w:rPr>
                <w:rFonts w:hint="eastAsia" w:ascii="宋体" w:hAnsi="宋体" w:eastAsia="宋体" w:cs="宋体"/>
                <w:sz w:val="24"/>
                <w:szCs w:val="24"/>
                <w:highlight w:val="none"/>
              </w:rPr>
            </w:pPr>
          </w:p>
          <w:p w14:paraId="5F964F13">
            <w:pPr>
              <w:spacing w:line="296" w:lineRule="auto"/>
              <w:rPr>
                <w:rFonts w:hint="eastAsia" w:ascii="宋体" w:hAnsi="宋体" w:eastAsia="宋体" w:cs="宋体"/>
                <w:sz w:val="24"/>
                <w:szCs w:val="24"/>
                <w:highlight w:val="none"/>
              </w:rPr>
            </w:pPr>
          </w:p>
          <w:p w14:paraId="4F75025B">
            <w:pPr>
              <w:spacing w:line="297" w:lineRule="auto"/>
              <w:rPr>
                <w:rFonts w:hint="eastAsia" w:ascii="宋体" w:hAnsi="宋体" w:eastAsia="宋体" w:cs="宋体"/>
                <w:sz w:val="24"/>
                <w:szCs w:val="24"/>
                <w:highlight w:val="none"/>
              </w:rPr>
            </w:pPr>
          </w:p>
          <w:p w14:paraId="1C717583">
            <w:pPr>
              <w:pStyle w:val="53"/>
              <w:spacing w:before="62" w:line="379" w:lineRule="auto"/>
              <w:ind w:left="254" w:right="143" w:hanging="9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签约残</w:t>
            </w:r>
            <w:r>
              <w:rPr>
                <w:rFonts w:hint="eastAsia" w:ascii="宋体" w:hAnsi="宋体" w:eastAsia="宋体" w:cs="宋体"/>
                <w:spacing w:val="1"/>
                <w:sz w:val="24"/>
                <w:szCs w:val="24"/>
                <w:highlight w:val="none"/>
              </w:rPr>
              <w:t>疾人</w:t>
            </w:r>
          </w:p>
        </w:tc>
        <w:tc>
          <w:tcPr>
            <w:tcW w:w="1949" w:type="dxa"/>
            <w:vAlign w:val="top"/>
          </w:tcPr>
          <w:p w14:paraId="672C6DAA">
            <w:pPr>
              <w:pStyle w:val="53"/>
              <w:spacing w:before="31" w:line="360" w:lineRule="auto"/>
              <w:ind w:left="94" w:right="82" w:firstLine="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1.建立健全（电子）</w:t>
            </w:r>
            <w:r>
              <w:rPr>
                <w:rFonts w:hint="eastAsia" w:ascii="宋体" w:hAnsi="宋体" w:eastAsia="宋体" w:cs="宋体"/>
                <w:spacing w:val="6"/>
                <w:sz w:val="24"/>
                <w:szCs w:val="24"/>
                <w:highlight w:val="none"/>
              </w:rPr>
              <w:t>健康档案</w:t>
            </w:r>
          </w:p>
        </w:tc>
        <w:tc>
          <w:tcPr>
            <w:tcW w:w="6401" w:type="dxa"/>
            <w:vAlign w:val="top"/>
          </w:tcPr>
          <w:p w14:paraId="630CB16B">
            <w:pPr>
              <w:pStyle w:val="53"/>
              <w:spacing w:before="227" w:line="231" w:lineRule="auto"/>
              <w:ind w:left="49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建立残疾人专项（电子）健康档案</w:t>
            </w:r>
          </w:p>
        </w:tc>
      </w:tr>
      <w:tr w14:paraId="4762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44" w:type="dxa"/>
            <w:vMerge w:val="continue"/>
            <w:tcBorders>
              <w:top w:val="nil"/>
              <w:bottom w:val="nil"/>
            </w:tcBorders>
            <w:vAlign w:val="top"/>
          </w:tcPr>
          <w:p w14:paraId="130D1672">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1E8CDC77">
            <w:pPr>
              <w:rPr>
                <w:rFonts w:hint="eastAsia" w:ascii="宋体" w:hAnsi="宋体" w:eastAsia="宋体" w:cs="宋体"/>
                <w:sz w:val="24"/>
                <w:szCs w:val="24"/>
                <w:highlight w:val="none"/>
              </w:rPr>
            </w:pPr>
          </w:p>
        </w:tc>
        <w:tc>
          <w:tcPr>
            <w:tcW w:w="1949" w:type="dxa"/>
            <w:vAlign w:val="top"/>
          </w:tcPr>
          <w:p w14:paraId="64A67820">
            <w:pPr>
              <w:pStyle w:val="53"/>
              <w:spacing w:before="250" w:line="231" w:lineRule="auto"/>
              <w:ind w:left="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2.健康管理服务</w:t>
            </w:r>
          </w:p>
        </w:tc>
        <w:tc>
          <w:tcPr>
            <w:tcW w:w="6401" w:type="dxa"/>
            <w:vAlign w:val="top"/>
          </w:tcPr>
          <w:p w14:paraId="40421FF3">
            <w:pPr>
              <w:pStyle w:val="53"/>
              <w:spacing w:before="55" w:line="371" w:lineRule="auto"/>
              <w:ind w:left="96" w:right="87" w:firstLine="40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残疾人按情况对65岁以上老年人、高血压、糖尿病</w:t>
            </w:r>
            <w:r>
              <w:rPr>
                <w:rFonts w:hint="eastAsia" w:ascii="宋体" w:hAnsi="宋体" w:eastAsia="宋体" w:cs="宋体"/>
                <w:spacing w:val="5"/>
                <w:sz w:val="24"/>
                <w:szCs w:val="24"/>
                <w:highlight w:val="none"/>
              </w:rPr>
              <w:t>等慢性病人分别</w:t>
            </w:r>
            <w:r>
              <w:rPr>
                <w:rFonts w:hint="eastAsia" w:ascii="宋体" w:hAnsi="宋体" w:eastAsia="宋体" w:cs="宋体"/>
                <w:spacing w:val="7"/>
                <w:sz w:val="24"/>
                <w:szCs w:val="24"/>
                <w:highlight w:val="none"/>
              </w:rPr>
              <w:t>进行健康管理</w:t>
            </w:r>
          </w:p>
        </w:tc>
      </w:tr>
      <w:tr w14:paraId="5B06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844" w:type="dxa"/>
            <w:vMerge w:val="continue"/>
            <w:tcBorders>
              <w:top w:val="nil"/>
              <w:bottom w:val="nil"/>
            </w:tcBorders>
            <w:vAlign w:val="top"/>
          </w:tcPr>
          <w:p w14:paraId="17AE6115">
            <w:pPr>
              <w:rPr>
                <w:rFonts w:hint="eastAsia" w:ascii="宋体" w:hAnsi="宋体" w:eastAsia="宋体" w:cs="宋体"/>
                <w:sz w:val="24"/>
                <w:szCs w:val="24"/>
                <w:highlight w:val="none"/>
              </w:rPr>
            </w:pPr>
          </w:p>
        </w:tc>
        <w:tc>
          <w:tcPr>
            <w:tcW w:w="887" w:type="dxa"/>
            <w:vMerge w:val="continue"/>
            <w:tcBorders>
              <w:top w:val="nil"/>
              <w:bottom w:val="nil"/>
            </w:tcBorders>
            <w:vAlign w:val="top"/>
          </w:tcPr>
          <w:p w14:paraId="7ED55104">
            <w:pPr>
              <w:rPr>
                <w:rFonts w:hint="eastAsia" w:ascii="宋体" w:hAnsi="宋体" w:eastAsia="宋体" w:cs="宋体"/>
                <w:sz w:val="24"/>
                <w:szCs w:val="24"/>
                <w:highlight w:val="none"/>
              </w:rPr>
            </w:pPr>
          </w:p>
        </w:tc>
        <w:tc>
          <w:tcPr>
            <w:tcW w:w="1949" w:type="dxa"/>
            <w:vAlign w:val="top"/>
          </w:tcPr>
          <w:p w14:paraId="3E8A61E4">
            <w:pPr>
              <w:spacing w:line="346" w:lineRule="auto"/>
              <w:rPr>
                <w:rFonts w:hint="eastAsia" w:ascii="宋体" w:hAnsi="宋体" w:eastAsia="宋体" w:cs="宋体"/>
                <w:sz w:val="24"/>
                <w:szCs w:val="24"/>
                <w:highlight w:val="none"/>
              </w:rPr>
            </w:pPr>
          </w:p>
          <w:p w14:paraId="119ADC8D">
            <w:pPr>
              <w:pStyle w:val="53"/>
              <w:spacing w:before="62" w:line="231" w:lineRule="auto"/>
              <w:ind w:left="9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3.基本康复服务</w:t>
            </w:r>
          </w:p>
        </w:tc>
        <w:tc>
          <w:tcPr>
            <w:tcW w:w="6401" w:type="dxa"/>
            <w:vAlign w:val="top"/>
          </w:tcPr>
          <w:p w14:paraId="36B7B106">
            <w:pPr>
              <w:pStyle w:val="53"/>
              <w:spacing w:before="212" w:line="378" w:lineRule="auto"/>
              <w:ind w:left="95" w:right="83" w:firstLine="407"/>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为符合条件的不同类型残疾人签约对象开展基本康复服务，包括提</w:t>
            </w:r>
            <w:r>
              <w:rPr>
                <w:rFonts w:hint="eastAsia" w:ascii="宋体" w:hAnsi="宋体" w:eastAsia="宋体" w:cs="宋体"/>
                <w:spacing w:val="9"/>
                <w:sz w:val="24"/>
                <w:szCs w:val="24"/>
                <w:highlight w:val="none"/>
              </w:rPr>
              <w:t>供康复指导、心理疏导、无障碍环境适应、健康教育和咨询服务等</w:t>
            </w:r>
          </w:p>
        </w:tc>
      </w:tr>
      <w:tr w14:paraId="057B1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844" w:type="dxa"/>
            <w:vMerge w:val="continue"/>
            <w:tcBorders>
              <w:top w:val="nil"/>
            </w:tcBorders>
            <w:vAlign w:val="top"/>
          </w:tcPr>
          <w:p w14:paraId="2A447522">
            <w:pPr>
              <w:rPr>
                <w:rFonts w:hint="eastAsia" w:ascii="宋体" w:hAnsi="宋体" w:eastAsia="宋体" w:cs="宋体"/>
                <w:sz w:val="24"/>
                <w:szCs w:val="24"/>
                <w:highlight w:val="none"/>
              </w:rPr>
            </w:pPr>
          </w:p>
        </w:tc>
        <w:tc>
          <w:tcPr>
            <w:tcW w:w="887" w:type="dxa"/>
            <w:vMerge w:val="continue"/>
            <w:tcBorders>
              <w:top w:val="nil"/>
            </w:tcBorders>
            <w:vAlign w:val="top"/>
          </w:tcPr>
          <w:p w14:paraId="3A9954F7">
            <w:pPr>
              <w:rPr>
                <w:rFonts w:hint="eastAsia" w:ascii="宋体" w:hAnsi="宋体" w:eastAsia="宋体" w:cs="宋体"/>
                <w:sz w:val="24"/>
                <w:szCs w:val="24"/>
                <w:highlight w:val="none"/>
              </w:rPr>
            </w:pPr>
          </w:p>
        </w:tc>
        <w:tc>
          <w:tcPr>
            <w:tcW w:w="1949" w:type="dxa"/>
            <w:vAlign w:val="top"/>
          </w:tcPr>
          <w:p w14:paraId="565D8176">
            <w:pPr>
              <w:pStyle w:val="53"/>
              <w:spacing w:before="65" w:line="376" w:lineRule="auto"/>
              <w:ind w:left="119" w:right="83" w:hanging="3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4.基本服务包所有</w:t>
            </w:r>
            <w:r>
              <w:rPr>
                <w:rFonts w:hint="eastAsia" w:ascii="宋体" w:hAnsi="宋体" w:eastAsia="宋体" w:cs="宋体"/>
                <w:spacing w:val="-5"/>
                <w:sz w:val="24"/>
                <w:szCs w:val="24"/>
                <w:highlight w:val="none"/>
              </w:rPr>
              <w:t>内容</w:t>
            </w:r>
          </w:p>
        </w:tc>
        <w:tc>
          <w:tcPr>
            <w:tcW w:w="6401" w:type="dxa"/>
            <w:vAlign w:val="top"/>
          </w:tcPr>
          <w:p w14:paraId="068F9831">
            <w:pPr>
              <w:pStyle w:val="53"/>
              <w:spacing w:before="259" w:line="230" w:lineRule="auto"/>
              <w:ind w:left="49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详见基本服务包内容</w:t>
            </w:r>
          </w:p>
        </w:tc>
      </w:tr>
    </w:tbl>
    <w:p w14:paraId="7AF36090">
      <w:pPr>
        <w:spacing w:before="34" w:line="228" w:lineRule="auto"/>
        <w:ind w:left="57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8.3.1、一般常见病、多发病治疗、护理和诊断明确的慢性病治疗、</w:t>
      </w:r>
      <w:r>
        <w:rPr>
          <w:rFonts w:hint="eastAsia" w:ascii="宋体" w:hAnsi="宋体" w:eastAsia="宋体" w:cs="宋体"/>
          <w:spacing w:val="7"/>
          <w:sz w:val="24"/>
          <w:szCs w:val="24"/>
          <w:highlight w:val="none"/>
        </w:rPr>
        <w:t>管理。</w:t>
      </w:r>
    </w:p>
    <w:p w14:paraId="4E89306D">
      <w:pPr>
        <w:spacing w:before="151" w:line="231" w:lineRule="auto"/>
        <w:ind w:left="57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8.3.2、社区现场应急救护。</w:t>
      </w:r>
    </w:p>
    <w:p w14:paraId="44BDD1A1">
      <w:pPr>
        <w:spacing w:before="150" w:line="227" w:lineRule="auto"/>
        <w:ind w:left="5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8.3.</w:t>
      </w:r>
      <w:r>
        <w:rPr>
          <w:rFonts w:hint="eastAsia" w:ascii="宋体" w:hAnsi="宋体" w:cs="宋体"/>
          <w:spacing w:val="3"/>
          <w:sz w:val="24"/>
          <w:szCs w:val="24"/>
          <w:highlight w:val="none"/>
          <w:lang w:val="en-US" w:eastAsia="zh-CN"/>
        </w:rPr>
        <w:t>3</w:t>
      </w:r>
      <w:r>
        <w:rPr>
          <w:rFonts w:hint="eastAsia" w:ascii="宋体" w:hAnsi="宋体" w:eastAsia="宋体" w:cs="宋体"/>
          <w:spacing w:val="3"/>
          <w:sz w:val="24"/>
          <w:szCs w:val="24"/>
          <w:highlight w:val="none"/>
        </w:rPr>
        <w:t>、转诊服务。</w:t>
      </w:r>
    </w:p>
    <w:p w14:paraId="3E2D7ABD">
      <w:pPr>
        <w:spacing w:before="153" w:line="231" w:lineRule="auto"/>
        <w:ind w:left="57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8.3.</w:t>
      </w:r>
      <w:r>
        <w:rPr>
          <w:rFonts w:hint="eastAsia" w:ascii="宋体" w:hAnsi="宋体" w:cs="宋体"/>
          <w:spacing w:val="4"/>
          <w:sz w:val="24"/>
          <w:szCs w:val="24"/>
          <w:highlight w:val="none"/>
          <w:lang w:val="en-US" w:eastAsia="zh-CN"/>
        </w:rPr>
        <w:t>4</w:t>
      </w:r>
      <w:r>
        <w:rPr>
          <w:rFonts w:hint="eastAsia" w:ascii="宋体" w:hAnsi="宋体" w:eastAsia="宋体" w:cs="宋体"/>
          <w:spacing w:val="4"/>
          <w:sz w:val="24"/>
          <w:szCs w:val="24"/>
          <w:highlight w:val="none"/>
        </w:rPr>
        <w:t>、康复医疗服务。</w:t>
      </w:r>
    </w:p>
    <w:p w14:paraId="5C9B35B0">
      <w:pPr>
        <w:spacing w:before="34" w:line="229" w:lineRule="auto"/>
        <w:ind w:firstLine="508" w:firstLineChars="2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8.3.</w:t>
      </w:r>
      <w:r>
        <w:rPr>
          <w:rFonts w:hint="eastAsia" w:ascii="宋体" w:hAnsi="宋体" w:cs="宋体"/>
          <w:spacing w:val="7"/>
          <w:sz w:val="24"/>
          <w:szCs w:val="24"/>
          <w:highlight w:val="none"/>
          <w:lang w:val="en-US" w:eastAsia="zh-CN"/>
        </w:rPr>
        <w:t>5</w:t>
      </w:r>
      <w:r>
        <w:rPr>
          <w:rFonts w:hint="eastAsia" w:ascii="宋体" w:hAnsi="宋体" w:eastAsia="宋体" w:cs="宋体"/>
          <w:spacing w:val="7"/>
          <w:sz w:val="24"/>
          <w:szCs w:val="24"/>
          <w:highlight w:val="none"/>
        </w:rPr>
        <w:t>、卫生行政部门批准的其他适宜社区医疗的服务。</w:t>
      </w:r>
    </w:p>
    <w:p w14:paraId="05F264A9">
      <w:pPr>
        <w:spacing w:before="75" w:line="228" w:lineRule="auto"/>
        <w:ind w:left="611"/>
        <w:outlineLvl w:val="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8.</w:t>
      </w:r>
      <w:r>
        <w:rPr>
          <w:rFonts w:hint="eastAsia" w:ascii="宋体" w:hAnsi="宋体" w:cs="宋体"/>
          <w:spacing w:val="6"/>
          <w:sz w:val="24"/>
          <w:szCs w:val="24"/>
          <w:highlight w:val="none"/>
          <w:lang w:val="en-US" w:eastAsia="zh-CN"/>
        </w:rPr>
        <w:t>6</w:t>
      </w:r>
      <w:r>
        <w:rPr>
          <w:rFonts w:hint="eastAsia" w:ascii="宋体" w:hAnsi="宋体" w:eastAsia="宋体" w:cs="宋体"/>
          <w:spacing w:val="6"/>
          <w:sz w:val="24"/>
          <w:szCs w:val="24"/>
          <w:highlight w:val="none"/>
        </w:rPr>
        <w:t>全民体检免费健康体检工作</w:t>
      </w:r>
    </w:p>
    <w:p w14:paraId="571A5BA0">
      <w:pPr>
        <w:spacing w:before="75" w:line="233" w:lineRule="auto"/>
        <w:ind w:left="489"/>
        <w:rPr>
          <w:rFonts w:hint="eastAsia" w:ascii="宋体" w:hAnsi="宋体" w:eastAsia="宋体" w:cs="宋体"/>
          <w:sz w:val="24"/>
          <w:szCs w:val="24"/>
          <w:highlight w:val="none"/>
        </w:rPr>
      </w:pPr>
      <w:r>
        <w:rPr>
          <w:rFonts w:hint="eastAsia" w:ascii="宋体" w:hAnsi="宋体" w:eastAsia="宋体" w:cs="宋体"/>
          <w:sz w:val="24"/>
          <w:szCs w:val="24"/>
          <w:highlight w:val="none"/>
        </w:rPr>
        <w:t>9、其它</w:t>
      </w:r>
    </w:p>
    <w:p w14:paraId="2884F7D6">
      <w:pPr>
        <w:spacing w:before="146" w:line="348" w:lineRule="auto"/>
        <w:ind w:left="18" w:firstLine="47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9.1.接受区卫健委行政管理及辖区社区卫生服务中心统一管理和业务指导，</w:t>
      </w:r>
      <w:r>
        <w:rPr>
          <w:rFonts w:hint="eastAsia" w:ascii="宋体" w:hAnsi="宋体" w:eastAsia="宋体" w:cs="宋体"/>
          <w:spacing w:val="6"/>
          <w:sz w:val="24"/>
          <w:szCs w:val="24"/>
          <w:highlight w:val="none"/>
        </w:rPr>
        <w:t>负责辖区内各</w:t>
      </w:r>
      <w:r>
        <w:rPr>
          <w:rFonts w:hint="eastAsia" w:ascii="宋体" w:hAnsi="宋体" w:eastAsia="宋体" w:cs="宋体"/>
          <w:spacing w:val="8"/>
          <w:sz w:val="24"/>
          <w:szCs w:val="24"/>
          <w:highlight w:val="none"/>
        </w:rPr>
        <w:t>类社区卫生服务信息资料的收集、整理、统计、分析与上报工作。</w:t>
      </w:r>
    </w:p>
    <w:p w14:paraId="04C81C7C">
      <w:pPr>
        <w:spacing w:before="5" w:line="228" w:lineRule="auto"/>
        <w:ind w:left="48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9.2.根据社区卫生服务功能和社区居民需求，提供其它适宜的延伸性基层卫生服务。</w:t>
      </w:r>
    </w:p>
    <w:p w14:paraId="4C219483">
      <w:pPr>
        <w:spacing w:before="149" w:line="350" w:lineRule="auto"/>
        <w:ind w:left="15" w:firstLine="474"/>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9.3.在社区建设中，协助社区管理部门不断拓展社区卫生服务，共同营造健</w:t>
      </w:r>
      <w:r>
        <w:rPr>
          <w:rFonts w:hint="eastAsia" w:ascii="宋体" w:hAnsi="宋体" w:eastAsia="宋体" w:cs="宋体"/>
          <w:spacing w:val="6"/>
          <w:sz w:val="24"/>
          <w:szCs w:val="24"/>
          <w:highlight w:val="none"/>
        </w:rPr>
        <w:t>康、文明、和</w:t>
      </w:r>
      <w:r>
        <w:rPr>
          <w:rFonts w:hint="eastAsia" w:ascii="宋体" w:hAnsi="宋体" w:eastAsia="宋体" w:cs="宋体"/>
          <w:spacing w:val="2"/>
          <w:sz w:val="24"/>
          <w:szCs w:val="24"/>
          <w:highlight w:val="none"/>
        </w:rPr>
        <w:t>谐的社区氛围。</w:t>
      </w:r>
    </w:p>
    <w:p w14:paraId="25018A17">
      <w:pPr>
        <w:spacing w:line="231" w:lineRule="auto"/>
        <w:ind w:left="5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10、人员配备原则</w:t>
      </w:r>
    </w:p>
    <w:p w14:paraId="1B6F7F97">
      <w:pPr>
        <w:spacing w:before="148" w:line="350" w:lineRule="auto"/>
        <w:ind w:left="19" w:firstLine="47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社区卫生服务站工作人员需按照《城市社区卫生服务机构设置和编制标准指导意见》要求</w:t>
      </w:r>
      <w:r>
        <w:rPr>
          <w:rFonts w:hint="eastAsia" w:ascii="宋体" w:hAnsi="宋体" w:eastAsia="宋体" w:cs="宋体"/>
          <w:spacing w:val="-6"/>
          <w:sz w:val="24"/>
          <w:szCs w:val="24"/>
          <w:highlight w:val="none"/>
        </w:rPr>
        <w:t>配置。</w:t>
      </w:r>
    </w:p>
    <w:p w14:paraId="76220357">
      <w:pPr>
        <w:spacing w:line="229" w:lineRule="auto"/>
        <w:ind w:left="49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社区站主要管理人员应具备大专以上学历或副高以上</w:t>
      </w:r>
      <w:r>
        <w:rPr>
          <w:rFonts w:hint="eastAsia" w:ascii="宋体" w:hAnsi="宋体" w:eastAsia="宋体" w:cs="宋体"/>
          <w:spacing w:val="7"/>
          <w:sz w:val="24"/>
          <w:szCs w:val="24"/>
          <w:highlight w:val="none"/>
        </w:rPr>
        <w:t>职称。</w:t>
      </w:r>
    </w:p>
    <w:p w14:paraId="524903EE">
      <w:pPr>
        <w:spacing w:before="149" w:line="229" w:lineRule="auto"/>
        <w:ind w:left="50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全科医生、社区护士、防保人员必须具备相应资格资质。</w:t>
      </w:r>
    </w:p>
    <w:p w14:paraId="41814C35">
      <w:pPr>
        <w:spacing w:before="151" w:line="350" w:lineRule="auto"/>
        <w:ind w:left="22" w:firstLine="47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承担预防保健功能的社区站计划免疫人员配置执行国家、自治区、克拉玛依市、区相关要</w:t>
      </w:r>
      <w:r>
        <w:rPr>
          <w:rFonts w:hint="eastAsia" w:ascii="宋体" w:hAnsi="宋体" w:eastAsia="宋体" w:cs="宋体"/>
          <w:spacing w:val="-10"/>
          <w:sz w:val="24"/>
          <w:szCs w:val="24"/>
          <w:highlight w:val="none"/>
        </w:rPr>
        <w:t>求。</w:t>
      </w:r>
    </w:p>
    <w:p w14:paraId="4029DCE7">
      <w:pPr>
        <w:spacing w:before="1" w:line="349" w:lineRule="auto"/>
        <w:ind w:left="18" w:firstLine="48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全科医师、社区护士和预防保健等工作人员应相互协调和沟通，建立以全科医</w:t>
      </w:r>
      <w:r>
        <w:rPr>
          <w:rFonts w:hint="eastAsia" w:ascii="宋体" w:hAnsi="宋体" w:eastAsia="宋体" w:cs="宋体"/>
          <w:spacing w:val="6"/>
          <w:sz w:val="24"/>
          <w:szCs w:val="24"/>
          <w:highlight w:val="none"/>
        </w:rPr>
        <w:t>师为核心的</w:t>
      </w:r>
      <w:r>
        <w:rPr>
          <w:rFonts w:hint="eastAsia" w:ascii="宋体" w:hAnsi="宋体" w:eastAsia="宋体" w:cs="宋体"/>
          <w:spacing w:val="8"/>
          <w:sz w:val="24"/>
          <w:szCs w:val="24"/>
          <w:highlight w:val="none"/>
        </w:rPr>
        <w:t>家庭医生团队，在全科医师的协调和指导下，对辖区内的居民实行全程健康管理。</w:t>
      </w:r>
    </w:p>
    <w:p w14:paraId="54B97B3A">
      <w:pPr>
        <w:spacing w:before="1" w:line="230"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11、药品与诊疗项目</w:t>
      </w:r>
    </w:p>
    <w:p w14:paraId="0ADD5420">
      <w:pPr>
        <w:spacing w:before="149" w:line="350" w:lineRule="auto"/>
        <w:ind w:left="25" w:firstLine="46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执行《2018年自治区公立医院药品集中</w:t>
      </w:r>
      <w:r>
        <w:rPr>
          <w:rFonts w:hint="eastAsia" w:ascii="宋体" w:hAnsi="宋体" w:eastAsia="宋体" w:cs="宋体"/>
          <w:spacing w:val="10"/>
          <w:sz w:val="24"/>
          <w:szCs w:val="24"/>
          <w:highlight w:val="none"/>
        </w:rPr>
        <w:t>采购目录》中规定的基本药物品种和《</w:t>
      </w:r>
      <w:r>
        <w:rPr>
          <w:rFonts w:hint="eastAsia" w:ascii="宋体" w:hAnsi="宋体" w:eastAsia="宋体" w:cs="宋体"/>
          <w:spacing w:val="10"/>
          <w:sz w:val="24"/>
          <w:szCs w:val="24"/>
          <w:highlight w:val="none"/>
          <w:woUserID w:val="1"/>
        </w:rPr>
        <w:t>新疆维吾尔自治区  新疆生产建设兵团医疗服务价格项目目录（2024版）</w:t>
      </w:r>
      <w:r>
        <w:rPr>
          <w:rFonts w:hint="eastAsia" w:ascii="宋体" w:hAnsi="宋体" w:eastAsia="宋体" w:cs="宋体"/>
          <w:spacing w:val="6"/>
          <w:sz w:val="24"/>
          <w:szCs w:val="24"/>
          <w:highlight w:val="none"/>
        </w:rPr>
        <w:t>》中限定的服务项目。</w:t>
      </w:r>
    </w:p>
    <w:p w14:paraId="481474F6">
      <w:pPr>
        <w:spacing w:line="230" w:lineRule="auto"/>
        <w:ind w:left="5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12、年度绩效考核</w:t>
      </w:r>
    </w:p>
    <w:p w14:paraId="0C8E3812">
      <w:pPr>
        <w:spacing w:before="151" w:line="349" w:lineRule="auto"/>
        <w:ind w:left="11" w:right="2" w:firstLine="49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12.1、自我评价。社区卫生服务站（村卫生室）结合年度工作任务和职责，于每年12月</w:t>
      </w:r>
      <w:r>
        <w:rPr>
          <w:rFonts w:hint="eastAsia" w:ascii="宋体" w:hAnsi="宋体" w:eastAsia="宋体" w:cs="宋体"/>
          <w:spacing w:val="10"/>
          <w:sz w:val="24"/>
          <w:szCs w:val="24"/>
          <w:highlight w:val="none"/>
        </w:rPr>
        <w:t>20日前将本年度工作开展情况、存在的问题以书面形</w:t>
      </w:r>
      <w:r>
        <w:rPr>
          <w:rFonts w:hint="eastAsia" w:ascii="宋体" w:hAnsi="宋体" w:eastAsia="宋体" w:cs="宋体"/>
          <w:spacing w:val="9"/>
          <w:sz w:val="24"/>
          <w:szCs w:val="24"/>
          <w:highlight w:val="none"/>
        </w:rPr>
        <w:t>式报所属社区卫生服</w:t>
      </w:r>
      <w:r>
        <w:rPr>
          <w:rFonts w:hint="eastAsia" w:ascii="宋体" w:hAnsi="宋体" w:eastAsia="宋体" w:cs="宋体"/>
          <w:spacing w:val="-2"/>
          <w:sz w:val="24"/>
          <w:szCs w:val="24"/>
          <w:highlight w:val="none"/>
        </w:rPr>
        <w:t>务中心。</w:t>
      </w:r>
    </w:p>
    <w:p w14:paraId="6F16F0CE">
      <w:pPr>
        <w:spacing w:before="1" w:line="349" w:lineRule="auto"/>
        <w:ind w:left="15" w:firstLine="49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12.2、现场考核。社区卫生服务中心（乡镇卫生院）组织考核小组，对照日常督查和工作</w:t>
      </w:r>
      <w:r>
        <w:rPr>
          <w:rFonts w:hint="eastAsia" w:ascii="宋体" w:hAnsi="宋体" w:eastAsia="宋体" w:cs="宋体"/>
          <w:spacing w:val="2"/>
          <w:sz w:val="24"/>
          <w:szCs w:val="24"/>
          <w:highlight w:val="none"/>
        </w:rPr>
        <w:t>落实情况，运用信息技术采集客观数据，结合现场核</w:t>
      </w:r>
      <w:r>
        <w:rPr>
          <w:rFonts w:hint="eastAsia" w:ascii="宋体" w:hAnsi="宋体" w:eastAsia="宋体" w:cs="宋体"/>
          <w:spacing w:val="1"/>
          <w:sz w:val="24"/>
          <w:szCs w:val="24"/>
          <w:highlight w:val="none"/>
        </w:rPr>
        <w:t>查、专题访谈及问卷调查等方式，依据《克</w:t>
      </w:r>
      <w:r>
        <w:rPr>
          <w:rFonts w:hint="eastAsia" w:ascii="宋体" w:hAnsi="宋体" w:eastAsia="宋体" w:cs="宋体"/>
          <w:spacing w:val="8"/>
          <w:sz w:val="24"/>
          <w:szCs w:val="24"/>
          <w:highlight w:val="none"/>
        </w:rPr>
        <w:t>拉玛依区社区卫生服务机构绩效考核标准》进行百分制评分。</w:t>
      </w:r>
    </w:p>
    <w:p w14:paraId="5DBAE7F5">
      <w:pPr>
        <w:spacing w:before="34" w:line="350" w:lineRule="auto"/>
        <w:ind w:left="19" w:right="62" w:hanging="4"/>
        <w:jc w:val="both"/>
        <w:rPr>
          <w:rFonts w:hint="eastAsia" w:ascii="宋体" w:hAnsi="宋体" w:eastAsia="宋体" w:cs="宋体"/>
          <w:sz w:val="24"/>
          <w:szCs w:val="24"/>
          <w:highlight w:val="none"/>
        </w:rPr>
      </w:pPr>
      <w:r>
        <w:rPr>
          <w:rFonts w:hint="eastAsia" w:ascii="宋体" w:hAnsi="宋体" w:eastAsia="宋体" w:cs="宋体"/>
          <w:spacing w:val="9"/>
          <w:sz w:val="24"/>
          <w:szCs w:val="24"/>
          <w:highlight w:val="none"/>
          <w:woUserID w:val="1"/>
        </w:rPr>
        <w:t xml:space="preserve">    </w:t>
      </w:r>
      <w:r>
        <w:rPr>
          <w:rFonts w:hint="eastAsia" w:ascii="宋体" w:hAnsi="宋体" w:eastAsia="宋体" w:cs="宋体"/>
          <w:spacing w:val="9"/>
          <w:sz w:val="24"/>
          <w:szCs w:val="24"/>
          <w:highlight w:val="none"/>
        </w:rPr>
        <w:t>12.3、考核等级。考核结果分4个等级，考核成绩在90分及以上为优秀、75-89分为合</w:t>
      </w:r>
      <w:r>
        <w:rPr>
          <w:rFonts w:hint="eastAsia" w:ascii="宋体" w:hAnsi="宋体" w:eastAsia="宋体" w:cs="宋体"/>
          <w:spacing w:val="6"/>
          <w:sz w:val="24"/>
          <w:szCs w:val="24"/>
          <w:highlight w:val="none"/>
        </w:rPr>
        <w:t>格、60-74分为基本合格、60分以下为不合格。发生重大</w:t>
      </w:r>
      <w:r>
        <w:rPr>
          <w:rFonts w:hint="eastAsia" w:ascii="宋体" w:hAnsi="宋体" w:eastAsia="宋体" w:cs="宋体"/>
          <w:spacing w:val="5"/>
          <w:sz w:val="24"/>
          <w:szCs w:val="24"/>
          <w:highlight w:val="none"/>
        </w:rPr>
        <w:t>安全生产事故、医疗事故并造成重大</w:t>
      </w:r>
      <w:r>
        <w:rPr>
          <w:rFonts w:hint="eastAsia" w:ascii="宋体" w:hAnsi="宋体" w:eastAsia="宋体" w:cs="宋体"/>
          <w:spacing w:val="7"/>
          <w:sz w:val="24"/>
          <w:szCs w:val="24"/>
          <w:highlight w:val="none"/>
        </w:rPr>
        <w:t>社会不良影响、未落实常态化疫情防控各项要求导致严重后果、发生损害社区卫生服务机构形象事件被新闻媒体曝光造成不良影响以及使用假冒伪劣药品等实行一票否决，当年度考核为不</w:t>
      </w:r>
      <w:r>
        <w:rPr>
          <w:rFonts w:hint="eastAsia" w:ascii="宋体" w:hAnsi="宋体" w:eastAsia="宋体" w:cs="宋体"/>
          <w:spacing w:val="-7"/>
          <w:sz w:val="24"/>
          <w:szCs w:val="24"/>
          <w:highlight w:val="none"/>
        </w:rPr>
        <w:t>合格。</w:t>
      </w:r>
    </w:p>
    <w:p w14:paraId="5FF8982C">
      <w:pPr>
        <w:spacing w:before="1" w:line="349" w:lineRule="auto"/>
        <w:ind w:left="15" w:right="62" w:firstLine="49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12.4、结果通报。考核结果由考核小组汇总后上报社区卫生服务中心审定并通报，报区卫</w:t>
      </w:r>
      <w:r>
        <w:rPr>
          <w:rFonts w:hint="eastAsia" w:ascii="宋体" w:hAnsi="宋体" w:eastAsia="宋体" w:cs="宋体"/>
          <w:spacing w:val="-1"/>
          <w:sz w:val="24"/>
          <w:szCs w:val="24"/>
          <w:highlight w:val="none"/>
        </w:rPr>
        <w:t>健委备案。</w:t>
      </w:r>
    </w:p>
    <w:p w14:paraId="4BB2C18B">
      <w:pPr>
        <w:spacing w:line="230" w:lineRule="auto"/>
        <w:ind w:left="50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13、规章制度管理</w:t>
      </w:r>
    </w:p>
    <w:p w14:paraId="0DC5717A">
      <w:pPr>
        <w:spacing w:before="148" w:line="228" w:lineRule="auto"/>
        <w:ind w:left="49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建立健全各项管理规章制度并装订成册，其中包括：</w:t>
      </w:r>
    </w:p>
    <w:p w14:paraId="0A871039">
      <w:pPr>
        <w:spacing w:before="152" w:line="229" w:lineRule="auto"/>
        <w:ind w:left="50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13.1各类人员职业道德规范和行为准则；</w:t>
      </w:r>
    </w:p>
    <w:p w14:paraId="5D806AA4">
      <w:pPr>
        <w:spacing w:before="151" w:line="230"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13.2各级各类人员岗位职责；</w:t>
      </w:r>
    </w:p>
    <w:p w14:paraId="4E4B7B6E">
      <w:pPr>
        <w:spacing w:before="147" w:line="228" w:lineRule="auto"/>
        <w:ind w:left="50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13.3各类人员任职资格管理制度、在职培训制度，考核与奖惩制度；</w:t>
      </w:r>
    </w:p>
    <w:p w14:paraId="3A091B3A">
      <w:pPr>
        <w:spacing w:before="154" w:line="228" w:lineRule="auto"/>
        <w:jc w:val="righ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13.4社区预防、保健、健康教育、医疗、康复及计划生育指导等各项技术服务工作规范；</w:t>
      </w:r>
    </w:p>
    <w:p w14:paraId="34EE174D">
      <w:pPr>
        <w:spacing w:before="149" w:line="231"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13.5社区慢病管理技术规范；</w:t>
      </w:r>
    </w:p>
    <w:p w14:paraId="70E74981">
      <w:pPr>
        <w:spacing w:before="150" w:line="228"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13.6各科室工作制度；</w:t>
      </w:r>
    </w:p>
    <w:p w14:paraId="1A475583">
      <w:pPr>
        <w:spacing w:before="150" w:line="230" w:lineRule="auto"/>
        <w:ind w:left="5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13.7服务差错、事故防范预案与投诉调查处理制度；</w:t>
      </w:r>
    </w:p>
    <w:p w14:paraId="12910D32">
      <w:pPr>
        <w:spacing w:before="150" w:line="231" w:lineRule="auto"/>
        <w:ind w:left="5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13.8突发公共卫生事件应急预案；</w:t>
      </w:r>
    </w:p>
    <w:p w14:paraId="18A033C6">
      <w:pPr>
        <w:spacing w:before="147" w:line="230"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13.9法定传染病登记报告制度；</w:t>
      </w:r>
    </w:p>
    <w:p w14:paraId="4FD049B6">
      <w:pPr>
        <w:spacing w:before="150" w:line="230"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13.10中心（站）内感染控制管理制度；</w:t>
      </w:r>
    </w:p>
    <w:p w14:paraId="14A16784">
      <w:pPr>
        <w:spacing w:before="148" w:line="230"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13.11消毒隔离制度；</w:t>
      </w:r>
    </w:p>
    <w:p w14:paraId="5AA17F1E">
      <w:pPr>
        <w:spacing w:before="150" w:line="230" w:lineRule="auto"/>
        <w:ind w:left="50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13.12处方、病案和健康档案等各类技术文书收发室</w:t>
      </w:r>
      <w:r>
        <w:rPr>
          <w:rFonts w:hint="eastAsia" w:ascii="宋体" w:hAnsi="宋体" w:eastAsia="宋体" w:cs="宋体"/>
          <w:spacing w:val="5"/>
          <w:sz w:val="24"/>
          <w:szCs w:val="24"/>
          <w:highlight w:val="none"/>
        </w:rPr>
        <w:t>及管理制度；</w:t>
      </w:r>
    </w:p>
    <w:p w14:paraId="28C26169">
      <w:pPr>
        <w:spacing w:before="151" w:line="227" w:lineRule="auto"/>
        <w:ind w:left="50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13.13会诊及双向转诊制度；</w:t>
      </w:r>
    </w:p>
    <w:p w14:paraId="01DDC5F2">
      <w:pPr>
        <w:spacing w:before="151" w:line="229" w:lineRule="auto"/>
        <w:ind w:left="506"/>
        <w:rPr>
          <w:rFonts w:hint="eastAsia" w:ascii="宋体" w:hAnsi="宋体" w:eastAsia="宋体" w:cs="宋体"/>
          <w:sz w:val="24"/>
          <w:szCs w:val="24"/>
          <w:highlight w:val="none"/>
        </w:rPr>
      </w:pPr>
      <w:r>
        <w:rPr>
          <w:rFonts w:hint="eastAsia" w:ascii="宋体" w:hAnsi="宋体" w:eastAsia="宋体" w:cs="宋体"/>
          <w:sz w:val="24"/>
          <w:szCs w:val="24"/>
          <w:highlight w:val="none"/>
        </w:rPr>
        <w:t>13.14医疗废弃物无害化处理制度；</w:t>
      </w:r>
    </w:p>
    <w:p w14:paraId="70A3BBC2">
      <w:pPr>
        <w:spacing w:before="151" w:line="230" w:lineRule="auto"/>
        <w:ind w:left="5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13.15财务、药品、设备管理制度；</w:t>
      </w:r>
    </w:p>
    <w:p w14:paraId="1BCE8F35">
      <w:pPr>
        <w:spacing w:before="149" w:line="228" w:lineRule="auto"/>
        <w:ind w:left="5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13.16档案信息资料管理制度；</w:t>
      </w:r>
    </w:p>
    <w:p w14:paraId="7C2DDAA2">
      <w:pPr>
        <w:spacing w:before="152" w:line="230" w:lineRule="auto"/>
        <w:ind w:left="5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13.17社区卫生全面质量管理、监督、考核与评价制度；</w:t>
      </w:r>
    </w:p>
    <w:p w14:paraId="3A3BF8BC">
      <w:pPr>
        <w:spacing w:before="150" w:line="230" w:lineRule="auto"/>
        <w:ind w:left="5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13.18社会民主监督与评价制度；</w:t>
      </w:r>
    </w:p>
    <w:p w14:paraId="1A6FB5D7">
      <w:pPr>
        <w:spacing w:before="2" w:line="348" w:lineRule="auto"/>
        <w:ind w:left="15" w:firstLine="491"/>
        <w:rPr>
          <w:rFonts w:hint="eastAsia" w:ascii="宋体" w:hAnsi="宋体" w:eastAsia="宋体" w:cs="宋体"/>
          <w:sz w:val="24"/>
          <w:szCs w:val="24"/>
          <w:highlight w:val="none"/>
        </w:rPr>
        <w:sectPr>
          <w:headerReference r:id="rId10" w:type="default"/>
          <w:footerReference r:id="rId11" w:type="default"/>
          <w:pgSz w:w="11906" w:h="16838"/>
          <w:pgMar w:top="1508" w:right="826" w:bottom="1157" w:left="992" w:header="852" w:footer="997" w:gutter="0"/>
          <w:pgNumType w:fmt="decimal" w:start="1"/>
          <w:cols w:space="720" w:num="1"/>
        </w:sectPr>
      </w:pPr>
      <w:r>
        <w:rPr>
          <w:rFonts w:hint="eastAsia" w:ascii="宋体" w:hAnsi="宋体" w:eastAsia="宋体" w:cs="宋体"/>
          <w:spacing w:val="3"/>
          <w:sz w:val="24"/>
          <w:szCs w:val="24"/>
          <w:highlight w:val="none"/>
        </w:rPr>
        <w:t>13.19其他有关制度</w:t>
      </w:r>
    </w:p>
    <w:p w14:paraId="3DE261F5">
      <w:pPr>
        <w:pStyle w:val="23"/>
        <w:ind w:left="0" w:leftChars="0" w:firstLine="0" w:firstLineChars="0"/>
        <w:rPr>
          <w:rFonts w:hint="eastAsia" w:ascii="Times New Roman" w:hAnsi="Times New Roman" w:eastAsia="宋体" w:cs="Times New Roman"/>
          <w:highlight w:val="none"/>
          <w:lang w:val="en-US" w:eastAsia="zh-CN"/>
        </w:rPr>
      </w:pPr>
    </w:p>
    <w:p w14:paraId="79D3B572">
      <w:pPr>
        <w:rPr>
          <w:rFonts w:hint="eastAsia"/>
          <w:highlight w:val="none"/>
          <w:lang w:val="en-US" w:eastAsia="zh-CN"/>
        </w:rPr>
      </w:pPr>
    </w:p>
    <w:p w14:paraId="37916682">
      <w:pPr>
        <w:pStyle w:val="2"/>
        <w:bidi w:val="0"/>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第四章、合同条款</w:t>
      </w:r>
      <w:bookmarkEnd w:id="250"/>
    </w:p>
    <w:p w14:paraId="6A814FE7">
      <w:pPr>
        <w:jc w:val="center"/>
        <w:rPr>
          <w:rFonts w:hint="eastAsia" w:ascii="宋体" w:hAnsi="宋体" w:cs="宋体"/>
          <w:sz w:val="24"/>
          <w:szCs w:val="24"/>
          <w:highlight w:val="none"/>
          <w:lang w:val="en-US" w:eastAsia="zh-CN"/>
        </w:rPr>
      </w:pPr>
    </w:p>
    <w:p w14:paraId="7F8EBDB8">
      <w:pPr>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（具体合同条款由中标供应商与采购人协商签订）</w:t>
      </w:r>
    </w:p>
    <w:p w14:paraId="4BDB4EAC">
      <w:pPr>
        <w:jc w:val="center"/>
        <w:rPr>
          <w:rFonts w:hint="default" w:ascii="宋体" w:hAnsi="宋体" w:cs="宋体"/>
          <w:sz w:val="24"/>
          <w:szCs w:val="24"/>
          <w:highlight w:val="none"/>
          <w:lang w:val="en-US" w:eastAsia="zh-CN"/>
        </w:rPr>
      </w:pPr>
    </w:p>
    <w:p w14:paraId="3BCA26E3">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定义</w:t>
      </w:r>
    </w:p>
    <w:p w14:paraId="3040DFAD">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系指甲乙双方共同签署的、合同中载明的甲乙双方所达成的协议，包括：中标/成交通知书；合同条款；投标文件及承诺；项目采购需求；磋商文件（含补充文件、修改文件）及答疑纪要；双方约定的其他所有文件等构成合同的所有文件的总称。</w:t>
      </w:r>
    </w:p>
    <w:p w14:paraId="1F1B2BD8">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“甲方”系指</w:t>
      </w:r>
      <w:r>
        <w:rPr>
          <w:rFonts w:hint="eastAsia" w:ascii="宋体" w:hAnsi="宋体" w:cs="宋体"/>
          <w:snapToGrid w:val="0"/>
          <w:color w:val="000000"/>
          <w:kern w:val="0"/>
          <w:sz w:val="24"/>
          <w:szCs w:val="24"/>
          <w:highlight w:val="none"/>
          <w:lang w:val="en-US" w:eastAsia="zh-CN"/>
        </w:rPr>
        <w:t>克拉玛依市克拉玛依区迎宾街道社区卫生服务中心</w:t>
      </w:r>
      <w:r>
        <w:rPr>
          <w:rFonts w:hint="eastAsia" w:ascii="宋体" w:hAnsi="宋体" w:eastAsia="宋体" w:cs="宋体"/>
          <w:snapToGrid w:val="0"/>
          <w:color w:val="000000"/>
          <w:kern w:val="0"/>
          <w:sz w:val="24"/>
          <w:szCs w:val="24"/>
          <w:highlight w:val="none"/>
          <w:lang w:val="en-US" w:eastAsia="zh-CN"/>
        </w:rPr>
        <w:t>。</w:t>
      </w:r>
    </w:p>
    <w:p w14:paraId="19543671">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“乙方”系指取得成交资格，提供合同服务的中标单位。</w:t>
      </w:r>
    </w:p>
    <w:p w14:paraId="74C7C6E4">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“合同价款”系指根据合同条款、技术规范及标准、项目采购需求、本磋商文件的规定，乙方在正确、完整地履行合同义务后，甲方应支付给乙方实际所供合同货物的金额。</w:t>
      </w:r>
    </w:p>
    <w:p w14:paraId="70CB5AC8">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“合同货物”</w:t>
      </w:r>
      <w:r>
        <w:rPr>
          <w:rFonts w:hint="eastAsia" w:ascii="宋体" w:hAnsi="宋体" w:cs="宋体"/>
          <w:snapToGrid w:val="0"/>
          <w:color w:val="000000"/>
          <w:kern w:val="0"/>
          <w:sz w:val="24"/>
          <w:szCs w:val="24"/>
          <w:highlight w:val="none"/>
          <w:lang w:val="en-US" w:eastAsia="zh-CN"/>
        </w:rPr>
        <w:t>/</w:t>
      </w:r>
    </w:p>
    <w:p w14:paraId="0F2BD5A6">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“服务”系指合同条款、技术规范及标准、项目采购需求、本磋商文件规定，中标单位为保证完成</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应承担的所有工作，配合招标人完成与此服务相关的合同条款、技术规范及标准、项目采购需求、磋商文件约定的全部内容及责任和义务。</w:t>
      </w:r>
    </w:p>
    <w:p w14:paraId="3EE6C2D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凡提及的“天、日期、星期、月份和年份”系指公历日历的日历天、日期、星期、月份和年份。</w:t>
      </w:r>
    </w:p>
    <w:p w14:paraId="77B880B3">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52" w:name="_Toc246216233"/>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适用范围</w:t>
      </w:r>
      <w:bookmarkEnd w:id="252"/>
    </w:p>
    <w:p w14:paraId="53DDDEA1">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本合同条款适用于本次</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w:t>
      </w:r>
    </w:p>
    <w:p w14:paraId="7BE47A22">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53" w:name="_Toc246216234"/>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合同价格</w:t>
      </w:r>
      <w:bookmarkEnd w:id="253"/>
    </w:p>
    <w:p w14:paraId="4CE519AB">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合同价款为：人民币元(大写：人民币    )。</w:t>
      </w:r>
    </w:p>
    <w:p w14:paraId="3FFD239A">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合同价款：</w:t>
      </w:r>
    </w:p>
    <w:p w14:paraId="2EC35167">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54" w:name="_Toc260246971"/>
      <w:bookmarkStart w:id="255" w:name="_Toc260247209"/>
      <w:bookmarkStart w:id="256" w:name="_Toc260246972"/>
      <w:bookmarkStart w:id="257" w:name="_Toc231451677"/>
      <w:bookmarkStart w:id="258" w:name="_Toc246216237"/>
      <w:bookmarkStart w:id="259" w:name="_Toc260247210"/>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支付条款</w:t>
      </w:r>
      <w:bookmarkEnd w:id="254"/>
      <w:bookmarkEnd w:id="255"/>
    </w:p>
    <w:bookmarkEnd w:id="256"/>
    <w:bookmarkEnd w:id="257"/>
    <w:bookmarkEnd w:id="258"/>
    <w:bookmarkEnd w:id="259"/>
    <w:p w14:paraId="7C3C25A0">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60" w:name="_Toc258681731"/>
      <w:r>
        <w:rPr>
          <w:rFonts w:hint="eastAsia" w:ascii="宋体" w:hAnsi="宋体" w:eastAsia="宋体" w:cs="宋体"/>
          <w:snapToGrid w:val="0"/>
          <w:color w:val="000000"/>
          <w:kern w:val="0"/>
          <w:sz w:val="24"/>
          <w:szCs w:val="24"/>
          <w:highlight w:val="none"/>
          <w:lang w:val="en-US" w:eastAsia="zh-CN"/>
        </w:rPr>
        <w:t>本合同的支付币种为人民币。由甲乙双方签订合同时自行约定。</w:t>
      </w:r>
    </w:p>
    <w:p w14:paraId="0F63D02E">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t>服务期</w:t>
      </w:r>
    </w:p>
    <w:p w14:paraId="3A68B43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2" w:line="360" w:lineRule="auto"/>
        <w:ind w:leftChars="0"/>
        <w:jc w:val="left"/>
        <w:textAlignment w:val="baseline"/>
        <w:rPr>
          <w:rFonts w:hint="eastAsia" w:ascii="宋体" w:hAnsi="宋体" w:eastAsia="宋体" w:cs="宋体"/>
          <w:snapToGrid w:val="0"/>
          <w:color w:val="000000"/>
          <w:spacing w:val="-4"/>
          <w:kern w:val="0"/>
          <w:sz w:val="24"/>
          <w:szCs w:val="24"/>
          <w:highlight w:val="none"/>
          <w:lang w:val="en-US" w:eastAsia="zh-CN"/>
          <w14:textOutline w14:w="4358" w14:cap="sq" w14:cmpd="sng">
            <w14:solidFill>
              <w14:srgbClr w14:val="000000"/>
            </w14:solidFill>
            <w14:prstDash w14:val="solid"/>
            <w14:bevel/>
          </w14:textOutline>
        </w:rPr>
      </w:pPr>
    </w:p>
    <w:bookmarkEnd w:id="260"/>
    <w:p w14:paraId="50D81978">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61" w:name="_Toc260247219"/>
      <w:bookmarkStart w:id="262" w:name="_Toc26024698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技术资料</w:t>
      </w:r>
    </w:p>
    <w:p w14:paraId="0C38E97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63" w:name="_Toc258681733"/>
      <w:r>
        <w:rPr>
          <w:rFonts w:hint="eastAsia" w:ascii="宋体" w:hAnsi="宋体" w:eastAsia="宋体" w:cs="宋体"/>
          <w:snapToGrid w:val="0"/>
          <w:color w:val="000000"/>
          <w:kern w:val="0"/>
          <w:sz w:val="24"/>
          <w:szCs w:val="24"/>
          <w:highlight w:val="none"/>
          <w:lang w:val="en-US" w:eastAsia="zh-CN"/>
        </w:rPr>
        <w:t>乙方应准备与服务相符的技术资料，并于合同生效后七日内送（或寄）至甲方，例如：手册、标准和服务手册等。如本条款所述资料有不完整或丢失，乙方应在收到甲方通知后3日内免费另寄（送）。</w:t>
      </w:r>
    </w:p>
    <w:bookmarkEnd w:id="263"/>
    <w:p w14:paraId="3406B6F7">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乙方人员</w:t>
      </w:r>
      <w:bookmarkEnd w:id="261"/>
      <w:bookmarkEnd w:id="262"/>
    </w:p>
    <w:p w14:paraId="04F2E62A">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乙方应委派有经验的技术人员进行</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相关等服务。乙方应对</w:t>
      </w:r>
      <w:r>
        <w:rPr>
          <w:rFonts w:hint="eastAsia" w:ascii="宋体" w:hAnsi="宋体" w:cs="宋体"/>
          <w:snapToGrid w:val="0"/>
          <w:color w:val="000000"/>
          <w:kern w:val="0"/>
          <w:sz w:val="24"/>
          <w:szCs w:val="24"/>
          <w:highlight w:val="none"/>
          <w:lang w:val="en-US" w:eastAsia="zh-CN"/>
        </w:rPr>
        <w:t>绿雅社区卫生服务站公共卫生服务采购项目</w:t>
      </w:r>
      <w:r>
        <w:rPr>
          <w:rFonts w:hint="eastAsia" w:ascii="宋体" w:hAnsi="宋体" w:eastAsia="宋体" w:cs="宋体"/>
          <w:snapToGrid w:val="0"/>
          <w:color w:val="000000"/>
          <w:kern w:val="0"/>
          <w:sz w:val="24"/>
          <w:szCs w:val="24"/>
          <w:highlight w:val="none"/>
          <w:lang w:val="en-US" w:eastAsia="zh-CN"/>
        </w:rPr>
        <w:t>相关的质量负责，使其符合技术规范和有关标准的要求。</w:t>
      </w:r>
    </w:p>
    <w:p w14:paraId="53517319">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如果甲方认为乙方派遣的执行本项目的有关人员不称职，将有权要求乙方更换，乙方对于甲方的此类要求应予以满足。</w:t>
      </w:r>
    </w:p>
    <w:p w14:paraId="27C4AC28">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64" w:name="_Toc258681749"/>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乙方履约延误和延期赔偿</w:t>
      </w:r>
      <w:bookmarkEnd w:id="264"/>
    </w:p>
    <w:p w14:paraId="5DF5EB58">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 如果乙方未能按合同规定的时间按期提供服务，将加收延期赔偿或终止合同。</w:t>
      </w:r>
    </w:p>
    <w:p w14:paraId="4A236CC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履约过程中，如果乙方可能遇到妨碍按时提供服务的情况时，应及时以书面形式将迟延的事实、可能迟延的期限和原因通知甲方。甲方在收到乙方通知后，应尽快对情况进行分析，并确定是否同意延长交货时间以及是否收取误期赔偿费。延期应通过修改合同的方式由乙方认可。如乙方在原定提供服务期限后7天未提供服务，则甲方有权终止合同。</w:t>
      </w:r>
    </w:p>
    <w:p w14:paraId="30BBD730">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如乙方未能就合理提供服务日期达成一致意见，甲方有权将服务价降低到双方同意的水平，并由乙方赔偿由此造成的所有损失。</w:t>
      </w:r>
    </w:p>
    <w:p w14:paraId="1A822ADD">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65" w:name="_Toc258681751"/>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违约责任</w:t>
      </w:r>
      <w:bookmarkEnd w:id="265"/>
      <w:bookmarkStart w:id="266" w:name="_Toc258681752"/>
    </w:p>
    <w:p w14:paraId="2B7E3D52">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若乙方未按本项目采购需求承担相关工作，由此造成的责任和损失由乙方自行承担。</w:t>
      </w:r>
    </w:p>
    <w:p w14:paraId="2BCCA49D">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不可抗力</w:t>
      </w:r>
      <w:bookmarkEnd w:id="266"/>
    </w:p>
    <w:p w14:paraId="409E6940">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67" w:name="_Toc258681753"/>
      <w:r>
        <w:rPr>
          <w:rFonts w:hint="eastAsia" w:ascii="宋体" w:hAnsi="宋体" w:eastAsia="宋体" w:cs="宋体"/>
          <w:snapToGrid w:val="0"/>
          <w:color w:val="000000"/>
          <w:kern w:val="0"/>
          <w:sz w:val="24"/>
          <w:szCs w:val="24"/>
          <w:highlight w:val="none"/>
          <w:lang w:val="en-US" w:eastAsia="zh-CN"/>
        </w:rPr>
        <w:t>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14:paraId="73DFB04A">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14:paraId="764C890E">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如果不可抗力事件的影响持续45天以上，双方应通过友好协商在合理的时间内达成进一步履行合同的协议。</w:t>
      </w:r>
    </w:p>
    <w:p w14:paraId="3A8DF9FC">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如果因不可抗力而导致合同实施延误或不能履行合同义务的，受不可抗力影响的一方不应承担违约责任。</w:t>
      </w:r>
    </w:p>
    <w:p w14:paraId="0721F025">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税费</w:t>
      </w:r>
      <w:bookmarkEnd w:id="267"/>
    </w:p>
    <w:p w14:paraId="234D16AD">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根据国家现行税法规定对与本合同有关的一切税费，包括按税法规定应由甲方承担的税费，均已包括在合同总价款之中，甲方不再与乙方另行结算税费。</w:t>
      </w:r>
    </w:p>
    <w:p w14:paraId="65430640">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68" w:name="_Toc243904847"/>
      <w:bookmarkStart w:id="269" w:name="_Toc258681754"/>
      <w:bookmarkStart w:id="270" w:name="_Toc243905150"/>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争端的解决</w:t>
      </w:r>
      <w:bookmarkEnd w:id="268"/>
      <w:bookmarkEnd w:id="269"/>
      <w:bookmarkEnd w:id="270"/>
    </w:p>
    <w:p w14:paraId="419243B2">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甲乙双方应通过友好协商，解决在执行本合同过程中所发生的或与本合同有关的一切争端。当事人不愿和解、调解或者和解、调解不成，向项目所在地人民法院提出诉讼。</w:t>
      </w:r>
    </w:p>
    <w:p w14:paraId="14CF318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双方之间的争议尚未解决之前，如甲方以书面形式坚持要求乙方按其意见行事，则乙方应按甲方的意见执行，但由此产生的一切不良后果和责任均应有乙方承担。但乙方不能因此而故意采取可能导致不良后果的行为。</w:t>
      </w:r>
    </w:p>
    <w:p w14:paraId="76A821EE">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71" w:name="_Toc258681755"/>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违约终止合同</w:t>
      </w:r>
      <w:bookmarkEnd w:id="271"/>
    </w:p>
    <w:p w14:paraId="7DF444C2">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在甲方对乙方违约而采取的任何补救措施不受影响的情况下，甲方可在下列情况下向乙方发出书面通知书，提出终止部分或全部合同：</w:t>
      </w:r>
    </w:p>
    <w:p w14:paraId="3775F2F2">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乙方未能在合同规定的限期或甲方同意延长的限期内提供服务。</w:t>
      </w:r>
    </w:p>
    <w:p w14:paraId="1CEBDDBF">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乙方未能履行合同规定的其他任何义务。</w:t>
      </w:r>
    </w:p>
    <w:p w14:paraId="3869F5A2">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如果甲方根据上述第13.1条的规定，终止了部分或全部合同，乙方除应退还终止的部分或全部合同价款外，还应按本合同第9.1条的规定承担的违约责任。同时，乙方仍应继续执行合同中未终止的部分。</w:t>
      </w:r>
    </w:p>
    <w:p w14:paraId="38225A5B">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在终止合同后，甲方有权按下面方式对乙方进行处置；</w:t>
      </w:r>
    </w:p>
    <w:p w14:paraId="5C6C1D01">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赔偿设备、材料损失和因乙方违约而造成的维护管理期延期的损失；</w:t>
      </w:r>
    </w:p>
    <w:p w14:paraId="55160941">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360" w:lineRule="auto"/>
        <w:ind w:left="0" w:leftChars="0" w:firstLine="400" w:firstLine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乙方退场，并向甲方赔偿因乙方违约而造成的维护管理期延期的损失，以及甲方更换新单位所发生的一切费用。</w:t>
      </w:r>
    </w:p>
    <w:p w14:paraId="6D33FB7D">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72" w:name="_Toc258681756"/>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破产终止合同</w:t>
      </w:r>
      <w:bookmarkEnd w:id="272"/>
    </w:p>
    <w:p w14:paraId="24CB47E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当乙方破产或丧失清偿能力，甲方可在任何时候以书面形式通知乙方终止合同而不给乙方补偿。该终止合同的行为将不损害或影响甲方在本合同项下已经或将要采取的任何其他行动或补救措施的权力。</w:t>
      </w:r>
    </w:p>
    <w:p w14:paraId="30778008">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73" w:name="_Toc258681758"/>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合同修改</w:t>
      </w:r>
      <w:bookmarkEnd w:id="273"/>
    </w:p>
    <w:p w14:paraId="4C654CCD">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欲对合同条款作出任何改动，均须由甲乙双方签署书面的合同修改书。</w:t>
      </w:r>
    </w:p>
    <w:p w14:paraId="0AB3B0C8">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乙方的书面承诺被甲方接受后视作合同附件，与合同具有同等法律效力</w:t>
      </w:r>
      <w:bookmarkStart w:id="274" w:name="_Toc258681759"/>
      <w:r>
        <w:rPr>
          <w:rFonts w:hint="eastAsia" w:ascii="宋体" w:hAnsi="宋体" w:eastAsia="宋体" w:cs="宋体"/>
          <w:snapToGrid w:val="0"/>
          <w:color w:val="000000"/>
          <w:kern w:val="0"/>
          <w:sz w:val="24"/>
          <w:szCs w:val="24"/>
          <w:highlight w:val="none"/>
          <w:lang w:val="en-US" w:eastAsia="zh-CN"/>
        </w:rPr>
        <w:t>。</w:t>
      </w:r>
    </w:p>
    <w:p w14:paraId="0C6C5B81">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转让和分包</w:t>
      </w:r>
      <w:bookmarkEnd w:id="274"/>
    </w:p>
    <w:p w14:paraId="102C9573">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bookmarkStart w:id="275" w:name="_Toc258681760"/>
      <w:r>
        <w:rPr>
          <w:rFonts w:hint="eastAsia" w:ascii="宋体" w:hAnsi="宋体" w:eastAsia="宋体" w:cs="宋体"/>
          <w:snapToGrid w:val="0"/>
          <w:color w:val="000000"/>
          <w:kern w:val="0"/>
          <w:sz w:val="24"/>
          <w:szCs w:val="24"/>
          <w:highlight w:val="none"/>
          <w:lang w:val="en-US" w:eastAsia="zh-CN"/>
        </w:rPr>
        <w:t>本项目不允许以任何形式的转让和分包。</w:t>
      </w:r>
    </w:p>
    <w:bookmarkEnd w:id="275"/>
    <w:p w14:paraId="6F1EA7EC">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适用法律</w:t>
      </w:r>
    </w:p>
    <w:p w14:paraId="78B3205B">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本合同的适用法律为中华人民共和国的现行法律和地方法规。</w:t>
      </w:r>
    </w:p>
    <w:p w14:paraId="2E811FA3">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76" w:name="_Toc258681761"/>
      <w:bookmarkStart w:id="277" w:name="_Toc243905151"/>
      <w:bookmarkStart w:id="278" w:name="_Toc243904848"/>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适用语言和计量单位</w:t>
      </w:r>
      <w:bookmarkEnd w:id="276"/>
      <w:bookmarkEnd w:id="277"/>
      <w:bookmarkEnd w:id="278"/>
    </w:p>
    <w:p w14:paraId="43F2BF57">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本合同的适用语言为中文，所有与本合同有关的来往函件、通知及其他文件均应使用中文。</w:t>
      </w:r>
    </w:p>
    <w:p w14:paraId="73B3EA36">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乙方可以提交用其他语言(原文)打印的资料，但必须翻译成中文，当原文和译文(中文)之间存有差异和/或矛盾时，以中文为准。</w:t>
      </w:r>
    </w:p>
    <w:p w14:paraId="1D9D9456">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除“项目采购需求”另有规定外，计量单位应使用国家标准规定的法定计量单位。</w:t>
      </w:r>
    </w:p>
    <w:p w14:paraId="4E92ABE4">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79" w:name="_Toc258681763"/>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通知</w:t>
      </w:r>
      <w:bookmarkEnd w:id="279"/>
    </w:p>
    <w:p w14:paraId="7EA26895">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本合同一方给另一方的通知均应以书面或电报、电传或传真的形式发送，而另一方应以书面形式确认并送到对方明确的地址。</w:t>
      </w:r>
    </w:p>
    <w:p w14:paraId="71386C32">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通知以送到日期或通知书的生效日期为生效日期，两者中以晚的一个日期为准。</w:t>
      </w:r>
    </w:p>
    <w:p w14:paraId="3CB62BD0">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80" w:name="_Toc258681764"/>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合同文件及资料的使用</w:t>
      </w:r>
      <w:bookmarkEnd w:id="280"/>
    </w:p>
    <w:p w14:paraId="7DDC3D2B">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了乙方执行合同人员外，在未经甲方同意的情况下，乙方不得将合同、合同中规定、规格、计划、或乙方为上述内容向甲方提供的资料透露给任何人。乙方须在对外保密的前提下，对其工作人员提供有关情况，所提供情况仅限于执行合同必不可少的范围内。</w:t>
      </w:r>
    </w:p>
    <w:p w14:paraId="4B49E056">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除非执行合同需要，在事先未得到甲方书面同意的情况下，乙方不得使用第21.1款所列的任何文件和资料。</w:t>
      </w:r>
    </w:p>
    <w:p w14:paraId="29CAAE9E">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除合同本身以外列明的所有资料始终为甲方财产，若甲方要求，乙方应于其合同义务履行完毕后将这些资料（包括所有副本）退还甲方。</w:t>
      </w:r>
    </w:p>
    <w:p w14:paraId="7D76A6D8">
      <w:pPr>
        <w:keepNext w:val="0"/>
        <w:keepLines w:val="0"/>
        <w:pageBreakBefore w:val="0"/>
        <w:widowControl/>
        <w:numPr>
          <w:ilvl w:val="0"/>
          <w:numId w:val="18"/>
        </w:numPr>
        <w:kinsoku w:val="0"/>
        <w:wordWrap/>
        <w:overflowPunct/>
        <w:topLinePunct w:val="0"/>
        <w:autoSpaceDE w:val="0"/>
        <w:autoSpaceDN w:val="0"/>
        <w:bidi w:val="0"/>
        <w:adjustRightInd w:val="0"/>
        <w:snapToGrid w:val="0"/>
        <w:spacing w:before="132" w:line="360" w:lineRule="auto"/>
        <w:ind w:left="425" w:leftChars="0" w:hanging="425" w:firstLineChars="0"/>
        <w:jc w:val="left"/>
        <w:textAlignment w:val="baseline"/>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pPr>
      <w:bookmarkStart w:id="281" w:name="_Toc258681765"/>
      <w:r>
        <w:rPr>
          <w:rFonts w:hint="eastAsia" w:ascii="宋体" w:hAnsi="宋体" w:eastAsia="宋体" w:cs="宋体"/>
          <w:snapToGrid w:val="0"/>
          <w:color w:val="000000"/>
          <w:spacing w:val="-4"/>
          <w:kern w:val="0"/>
          <w:sz w:val="24"/>
          <w:szCs w:val="24"/>
          <w:highlight w:val="none"/>
          <w:lang w:val="en-US" w:eastAsia="en-US"/>
          <w14:textOutline w14:w="4358" w14:cap="sq" w14:cmpd="sng">
            <w14:solidFill>
              <w14:srgbClr w14:val="000000"/>
            </w14:solidFill>
            <w14:prstDash w14:val="solid"/>
            <w14:bevel/>
          </w14:textOutline>
        </w:rPr>
        <w:t>合同生效及其它</w:t>
      </w:r>
      <w:bookmarkEnd w:id="281"/>
    </w:p>
    <w:p w14:paraId="00002011">
      <w:pPr>
        <w:keepNext w:val="0"/>
        <w:keepLines w:val="0"/>
        <w:pageBreakBefore w:val="0"/>
        <w:widowControl/>
        <w:numPr>
          <w:ilvl w:val="1"/>
          <w:numId w:val="18"/>
        </w:numPr>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合同正本一式贰份，甲乙双方各执壹份；副本一式陆份，以满足甲乙双方及相关备案部门的需求。本合同经双方法定代表人或其授权的委托代理人签署并加盖法人公章后生效。</w:t>
      </w:r>
    </w:p>
    <w:p w14:paraId="387AF23C">
      <w:pPr>
        <w:rPr>
          <w:highlight w:val="none"/>
        </w:rPr>
      </w:pPr>
    </w:p>
    <w:p w14:paraId="040418BD">
      <w:pPr>
        <w:pStyle w:val="4"/>
        <w:rPr>
          <w:rFonts w:hint="eastAsia" w:ascii="宋体" w:hAnsi="宋体" w:cs="宋体"/>
          <w:highlight w:val="none"/>
        </w:rPr>
      </w:pPr>
    </w:p>
    <w:p w14:paraId="75391D6C">
      <w:pPr>
        <w:rPr>
          <w:rFonts w:hint="eastAsia" w:ascii="宋体" w:hAnsi="宋体" w:cs="宋体"/>
          <w:highlight w:val="none"/>
        </w:rPr>
      </w:pPr>
    </w:p>
    <w:p w14:paraId="50C23C23">
      <w:pPr>
        <w:rPr>
          <w:rFonts w:hint="eastAsia" w:ascii="宋体" w:hAnsi="宋体" w:eastAsia="宋体" w:cs="宋体"/>
          <w:b/>
          <w:bCs/>
          <w:kern w:val="0"/>
          <w:sz w:val="36"/>
          <w:szCs w:val="36"/>
          <w:highlight w:val="none"/>
          <w:lang w:val="en-US" w:eastAsia="zh-CN" w:bidi="ar-SA"/>
        </w:rPr>
      </w:pPr>
      <w:bookmarkStart w:id="282" w:name="_Toc16260"/>
      <w:bookmarkStart w:id="283" w:name="_Toc6340"/>
      <w:bookmarkStart w:id="284" w:name="_Toc27037"/>
      <w:r>
        <w:rPr>
          <w:rFonts w:hint="eastAsia" w:ascii="宋体" w:hAnsi="宋体" w:eastAsia="宋体" w:cs="宋体"/>
          <w:b/>
          <w:bCs/>
          <w:kern w:val="0"/>
          <w:sz w:val="36"/>
          <w:szCs w:val="36"/>
          <w:highlight w:val="none"/>
          <w:lang w:val="en-US" w:eastAsia="zh-CN" w:bidi="ar-SA"/>
        </w:rPr>
        <w:br w:type="page"/>
      </w:r>
    </w:p>
    <w:p w14:paraId="21BE4DE2">
      <w:pPr>
        <w:jc w:val="center"/>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第五章、响应文件格式</w:t>
      </w:r>
      <w:bookmarkEnd w:id="251"/>
      <w:bookmarkEnd w:id="282"/>
      <w:bookmarkEnd w:id="283"/>
      <w:bookmarkEnd w:id="284"/>
    </w:p>
    <w:p w14:paraId="6EE68BC7">
      <w:pPr>
        <w:spacing w:line="360" w:lineRule="auto"/>
        <w:ind w:firstLine="480" w:firstLineChars="200"/>
        <w:rPr>
          <w:rFonts w:hint="eastAsia" w:ascii="宋体" w:hAnsi="宋体" w:cs="宋体"/>
          <w:sz w:val="24"/>
          <w:szCs w:val="24"/>
          <w:highlight w:val="none"/>
        </w:rPr>
      </w:pPr>
    </w:p>
    <w:p w14:paraId="473F9A4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格式1   </w:t>
      </w:r>
      <w:r>
        <w:rPr>
          <w:rFonts w:hint="eastAsia" w:ascii="宋体" w:hAnsi="宋体" w:cs="宋体"/>
          <w:bCs/>
          <w:sz w:val="24"/>
          <w:szCs w:val="24"/>
          <w:highlight w:val="none"/>
        </w:rPr>
        <w:t>资格性/符合性自查表</w:t>
      </w:r>
    </w:p>
    <w:p w14:paraId="7E9AAF4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格式2   法定代表人资格证明书</w:t>
      </w:r>
    </w:p>
    <w:p w14:paraId="1A1C082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格式3   法定代表人授权委托书</w:t>
      </w:r>
    </w:p>
    <w:p w14:paraId="2A58A31E">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格式4   </w:t>
      </w:r>
      <w:r>
        <w:rPr>
          <w:rFonts w:hint="eastAsia" w:ascii="宋体" w:hAnsi="宋体" w:cs="宋体"/>
          <w:bCs/>
          <w:sz w:val="24"/>
          <w:szCs w:val="24"/>
          <w:highlight w:val="none"/>
          <w:lang w:eastAsia="zh-CN"/>
        </w:rPr>
        <w:t>供应商</w:t>
      </w:r>
      <w:r>
        <w:rPr>
          <w:rFonts w:hint="eastAsia" w:ascii="宋体" w:hAnsi="宋体" w:cs="宋体"/>
          <w:bCs/>
          <w:sz w:val="24"/>
          <w:szCs w:val="24"/>
          <w:highlight w:val="none"/>
        </w:rPr>
        <w:t>基本情况表</w:t>
      </w:r>
    </w:p>
    <w:p w14:paraId="3849E0ED">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格式5   诚信声明</w:t>
      </w:r>
    </w:p>
    <w:p w14:paraId="67F0A5EC">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 xml:space="preserve">格式6   </w:t>
      </w:r>
      <w:r>
        <w:rPr>
          <w:rFonts w:hint="eastAsia" w:ascii="宋体" w:hAnsi="宋体" w:cs="宋体"/>
          <w:bCs/>
          <w:sz w:val="24"/>
          <w:szCs w:val="24"/>
          <w:highlight w:val="none"/>
          <w:lang w:eastAsia="zh-CN"/>
        </w:rPr>
        <w:t>无重大违法记录承诺书</w:t>
      </w:r>
    </w:p>
    <w:p w14:paraId="310DD4D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格式7   具有履行合同所必需的设备和专业技术能力的承诺书</w:t>
      </w:r>
    </w:p>
    <w:p w14:paraId="056C2F4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格式8   </w:t>
      </w:r>
      <w:r>
        <w:rPr>
          <w:rFonts w:hint="eastAsia" w:ascii="宋体" w:hAnsi="宋体" w:cs="宋体"/>
          <w:sz w:val="24"/>
          <w:szCs w:val="24"/>
          <w:highlight w:val="none"/>
        </w:rPr>
        <w:t>响应函</w:t>
      </w:r>
    </w:p>
    <w:p w14:paraId="2FA833C6">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格式</w:t>
      </w:r>
      <w:r>
        <w:rPr>
          <w:rFonts w:hint="eastAsia" w:ascii="宋体" w:hAnsi="宋体" w:cs="宋体"/>
          <w:bCs/>
          <w:sz w:val="24"/>
          <w:szCs w:val="24"/>
          <w:highlight w:val="none"/>
          <w:lang w:val="en-US" w:eastAsia="zh-CN"/>
        </w:rPr>
        <w:t>9</w:t>
      </w:r>
      <w:r>
        <w:rPr>
          <w:rFonts w:hint="eastAsia" w:ascii="宋体" w:hAnsi="宋体" w:cs="宋体"/>
          <w:bCs/>
          <w:sz w:val="24"/>
          <w:szCs w:val="24"/>
          <w:highlight w:val="none"/>
        </w:rPr>
        <w:t xml:space="preserve">   商务报价一览表</w:t>
      </w:r>
      <w:r>
        <w:rPr>
          <w:rFonts w:hint="eastAsia" w:ascii="宋体" w:hAnsi="宋体" w:cs="宋体"/>
          <w:bCs/>
          <w:sz w:val="24"/>
          <w:szCs w:val="24"/>
          <w:highlight w:val="none"/>
          <w:lang w:eastAsia="zh-CN"/>
        </w:rPr>
        <w:t>（首次）</w:t>
      </w:r>
    </w:p>
    <w:p w14:paraId="3972527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格式</w:t>
      </w:r>
      <w:r>
        <w:rPr>
          <w:rFonts w:hint="eastAsia" w:ascii="宋体" w:hAnsi="宋体" w:cs="宋体"/>
          <w:sz w:val="24"/>
          <w:szCs w:val="24"/>
          <w:highlight w:val="none"/>
          <w:lang w:val="en-US" w:eastAsia="zh-CN"/>
        </w:rPr>
        <w:t>10</w:t>
      </w:r>
      <w:r>
        <w:rPr>
          <w:rFonts w:hint="eastAsia" w:ascii="宋体" w:hAnsi="宋体" w:cs="宋体"/>
          <w:sz w:val="24"/>
          <w:szCs w:val="24"/>
          <w:highlight w:val="none"/>
        </w:rPr>
        <w:t xml:space="preserve">  商务条款偏离表</w:t>
      </w:r>
    </w:p>
    <w:p w14:paraId="161A6684">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格式</w:t>
      </w:r>
      <w:r>
        <w:rPr>
          <w:rFonts w:hint="eastAsia" w:ascii="宋体" w:hAnsi="宋体" w:cs="宋体"/>
          <w:bCs/>
          <w:sz w:val="24"/>
          <w:szCs w:val="24"/>
          <w:highlight w:val="none"/>
          <w:lang w:val="en-US" w:eastAsia="zh-CN"/>
        </w:rPr>
        <w:t>11</w:t>
      </w:r>
      <w:r>
        <w:rPr>
          <w:rFonts w:hint="eastAsia" w:ascii="宋体" w:hAnsi="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2023</w:t>
      </w:r>
      <w:r>
        <w:rPr>
          <w:rFonts w:hint="eastAsia" w:ascii="宋体" w:hAnsi="宋体" w:cs="宋体"/>
          <w:bCs/>
          <w:sz w:val="24"/>
          <w:szCs w:val="24"/>
          <w:highlight w:val="none"/>
          <w:lang w:val="zh-CN"/>
        </w:rPr>
        <w:t>年1月1日至今</w:t>
      </w:r>
      <w:r>
        <w:rPr>
          <w:rFonts w:hint="eastAsia" w:ascii="宋体" w:hAnsi="宋体" w:cs="宋体"/>
          <w:bCs/>
          <w:sz w:val="24"/>
          <w:szCs w:val="24"/>
          <w:highlight w:val="none"/>
        </w:rPr>
        <w:t>）同类项目业绩表</w:t>
      </w:r>
    </w:p>
    <w:p w14:paraId="5EEC8E09">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格式</w:t>
      </w:r>
      <w:r>
        <w:rPr>
          <w:rFonts w:hint="eastAsia" w:ascii="宋体" w:hAnsi="宋体" w:cs="宋体"/>
          <w:bCs/>
          <w:sz w:val="24"/>
          <w:szCs w:val="24"/>
          <w:highlight w:val="none"/>
          <w:lang w:val="en-US" w:eastAsia="zh-CN"/>
        </w:rPr>
        <w:t>12</w:t>
      </w:r>
      <w:r>
        <w:rPr>
          <w:rFonts w:hint="eastAsia" w:ascii="宋体" w:hAnsi="宋体" w:cs="宋体"/>
          <w:bCs/>
          <w:sz w:val="24"/>
          <w:szCs w:val="24"/>
          <w:highlight w:val="none"/>
        </w:rPr>
        <w:t xml:space="preserve">  </w:t>
      </w:r>
      <w:r>
        <w:rPr>
          <w:rFonts w:hint="eastAsia" w:ascii="宋体" w:hAnsi="宋体" w:cs="宋体"/>
          <w:bCs/>
          <w:sz w:val="24"/>
          <w:szCs w:val="24"/>
          <w:highlight w:val="none"/>
          <w:lang w:val="en-US" w:eastAsia="zh-CN"/>
        </w:rPr>
        <w:t>服务人员明细</w:t>
      </w:r>
      <w:r>
        <w:rPr>
          <w:rFonts w:hint="eastAsia" w:ascii="宋体" w:hAnsi="宋体" w:cs="宋体"/>
          <w:bCs/>
          <w:sz w:val="24"/>
          <w:szCs w:val="24"/>
          <w:highlight w:val="none"/>
        </w:rPr>
        <w:t>表</w:t>
      </w:r>
    </w:p>
    <w:p w14:paraId="20DF0142">
      <w:pPr>
        <w:spacing w:line="360" w:lineRule="auto"/>
        <w:ind w:firstLine="480" w:firstLineChars="200"/>
        <w:jc w:val="left"/>
        <w:rPr>
          <w:rFonts w:hint="eastAsia"/>
          <w:highlight w:val="none"/>
        </w:rPr>
      </w:pPr>
      <w:r>
        <w:rPr>
          <w:rFonts w:hint="eastAsia" w:ascii="宋体" w:hAnsi="宋体" w:eastAsia="宋体" w:cs="宋体"/>
          <w:b w:val="0"/>
          <w:bCs/>
          <w:kern w:val="2"/>
          <w:sz w:val="24"/>
          <w:szCs w:val="24"/>
          <w:highlight w:val="none"/>
          <w:lang w:val="en-US" w:eastAsia="zh-CN" w:bidi="ar-SA"/>
        </w:rPr>
        <w:t>格式13  医用耗材、器械、医用设备、仪器一览表</w:t>
      </w:r>
    </w:p>
    <w:p w14:paraId="07B56CEB">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格式</w:t>
      </w:r>
      <w:r>
        <w:rPr>
          <w:rFonts w:hint="eastAsia" w:ascii="宋体" w:hAnsi="宋体" w:cs="宋体"/>
          <w:bCs/>
          <w:sz w:val="24"/>
          <w:szCs w:val="24"/>
          <w:highlight w:val="none"/>
          <w:lang w:val="en-US" w:eastAsia="zh-CN"/>
        </w:rPr>
        <w:t>14</w:t>
      </w:r>
      <w:r>
        <w:rPr>
          <w:rFonts w:hint="eastAsia" w:ascii="宋体" w:hAnsi="宋体" w:cs="宋体"/>
          <w:bCs/>
          <w:sz w:val="24"/>
          <w:szCs w:val="24"/>
          <w:highlight w:val="none"/>
        </w:rPr>
        <w:t xml:space="preserve">  中小企业声明函</w:t>
      </w:r>
    </w:p>
    <w:p w14:paraId="374FC264">
      <w:pPr>
        <w:pStyle w:val="9"/>
        <w:rPr>
          <w:rFonts w:hint="eastAsia"/>
          <w:highlight w:val="none"/>
        </w:rPr>
      </w:pPr>
    </w:p>
    <w:p w14:paraId="68B029B6">
      <w:pPr>
        <w:rPr>
          <w:rFonts w:hint="eastAsia" w:ascii="宋体" w:hAnsi="宋体" w:cs="宋体"/>
          <w:highlight w:val="none"/>
        </w:rPr>
      </w:pPr>
    </w:p>
    <w:p w14:paraId="4770C6BA">
      <w:pPr>
        <w:rPr>
          <w:rFonts w:hint="eastAsia" w:ascii="宋体" w:hAnsi="宋体" w:cs="宋体"/>
          <w:highlight w:val="none"/>
        </w:rPr>
      </w:pPr>
    </w:p>
    <w:p w14:paraId="49A1A440">
      <w:pPr>
        <w:rPr>
          <w:rFonts w:hint="eastAsia" w:ascii="宋体" w:hAnsi="宋体" w:cs="宋体"/>
          <w:highlight w:val="none"/>
        </w:rPr>
      </w:pPr>
    </w:p>
    <w:p w14:paraId="5702583D">
      <w:pPr>
        <w:rPr>
          <w:rFonts w:hint="eastAsia" w:ascii="宋体" w:hAnsi="宋体" w:cs="宋体"/>
          <w:highlight w:val="none"/>
        </w:rPr>
      </w:pPr>
    </w:p>
    <w:p w14:paraId="2C759FE4">
      <w:pPr>
        <w:rPr>
          <w:rFonts w:hint="eastAsia" w:ascii="宋体" w:hAnsi="宋体" w:cs="宋体"/>
          <w:highlight w:val="none"/>
        </w:rPr>
      </w:pPr>
    </w:p>
    <w:p w14:paraId="2E0A0F96">
      <w:pPr>
        <w:rPr>
          <w:rFonts w:hint="eastAsia" w:ascii="宋体" w:hAnsi="宋体" w:cs="宋体"/>
          <w:highlight w:val="none"/>
        </w:rPr>
      </w:pPr>
    </w:p>
    <w:p w14:paraId="4D887BCF">
      <w:pPr>
        <w:rPr>
          <w:rFonts w:hint="eastAsia" w:ascii="宋体" w:hAnsi="宋体" w:cs="宋体"/>
          <w:highlight w:val="none"/>
        </w:rPr>
      </w:pPr>
    </w:p>
    <w:p w14:paraId="01A29A31">
      <w:pPr>
        <w:rPr>
          <w:rFonts w:hint="eastAsia" w:ascii="宋体" w:hAnsi="宋体" w:cs="宋体"/>
          <w:highlight w:val="none"/>
        </w:rPr>
      </w:pPr>
    </w:p>
    <w:p w14:paraId="6B606D45">
      <w:pPr>
        <w:rPr>
          <w:rFonts w:hint="eastAsia" w:ascii="宋体" w:hAnsi="宋体" w:cs="宋体"/>
          <w:highlight w:val="none"/>
        </w:rPr>
      </w:pPr>
    </w:p>
    <w:p w14:paraId="389F2FAA">
      <w:pPr>
        <w:rPr>
          <w:rFonts w:hint="eastAsia" w:ascii="宋体" w:hAnsi="宋体" w:cs="宋体"/>
          <w:highlight w:val="none"/>
        </w:rPr>
      </w:pPr>
    </w:p>
    <w:p w14:paraId="23EB556E">
      <w:pPr>
        <w:pStyle w:val="12"/>
        <w:spacing w:line="360" w:lineRule="auto"/>
        <w:jc w:val="both"/>
        <w:outlineLvl w:val="9"/>
        <w:rPr>
          <w:rFonts w:hint="eastAsia" w:hAnsi="宋体" w:cs="宋体"/>
          <w:b/>
          <w:bCs/>
          <w:sz w:val="52"/>
          <w:szCs w:val="52"/>
          <w:highlight w:val="none"/>
        </w:rPr>
      </w:pPr>
      <w:r>
        <w:rPr>
          <w:rFonts w:hint="eastAsia" w:hAnsi="宋体" w:cs="宋体"/>
          <w:b/>
          <w:bCs/>
          <w:sz w:val="52"/>
          <w:szCs w:val="52"/>
          <w:highlight w:val="none"/>
        </w:rPr>
        <w:br w:type="page"/>
      </w:r>
    </w:p>
    <w:p w14:paraId="3F320A46">
      <w:pPr>
        <w:pStyle w:val="12"/>
        <w:spacing w:line="360" w:lineRule="auto"/>
        <w:jc w:val="both"/>
        <w:outlineLvl w:val="9"/>
        <w:rPr>
          <w:rFonts w:hint="eastAsia" w:hAnsi="宋体" w:cs="宋体"/>
          <w:b/>
          <w:kern w:val="2"/>
          <w:sz w:val="56"/>
          <w:szCs w:val="56"/>
          <w:highlight w:val="none"/>
          <w:lang w:val="en-US" w:eastAsia="zh-CN" w:bidi="ar-SA"/>
        </w:rPr>
      </w:pPr>
    </w:p>
    <w:p w14:paraId="3332B3A6">
      <w:pPr>
        <w:pStyle w:val="12"/>
        <w:spacing w:line="360" w:lineRule="auto"/>
        <w:jc w:val="center"/>
        <w:outlineLvl w:val="9"/>
        <w:rPr>
          <w:rFonts w:hint="eastAsia" w:ascii="宋体" w:hAnsi="宋体" w:eastAsia="宋体" w:cs="宋体"/>
          <w:b/>
          <w:kern w:val="2"/>
          <w:sz w:val="56"/>
          <w:szCs w:val="56"/>
          <w:highlight w:val="none"/>
          <w:lang w:val="en-US" w:eastAsia="zh-CN" w:bidi="ar-SA"/>
        </w:rPr>
      </w:pPr>
      <w:r>
        <w:rPr>
          <w:rFonts w:hint="eastAsia" w:hAnsi="宋体" w:cs="宋体"/>
          <w:b/>
          <w:kern w:val="2"/>
          <w:sz w:val="56"/>
          <w:szCs w:val="56"/>
          <w:highlight w:val="none"/>
          <w:lang w:val="en-US" w:eastAsia="zh-CN" w:bidi="ar-SA"/>
        </w:rPr>
        <w:t>绿雅社区卫生服务站公共卫生服务采购项目</w:t>
      </w:r>
    </w:p>
    <w:p w14:paraId="299ADD97">
      <w:pPr>
        <w:pStyle w:val="20"/>
        <w:rPr>
          <w:rFonts w:hint="eastAsia"/>
          <w:highlight w:val="none"/>
        </w:rPr>
      </w:pPr>
    </w:p>
    <w:p w14:paraId="601C22AD">
      <w:pPr>
        <w:jc w:val="both"/>
        <w:rPr>
          <w:rFonts w:hint="eastAsia" w:ascii="宋体" w:hAnsi="宋体" w:cs="宋体"/>
          <w:b/>
          <w:sz w:val="72"/>
          <w:szCs w:val="72"/>
          <w:highlight w:val="none"/>
        </w:rPr>
      </w:pPr>
    </w:p>
    <w:p w14:paraId="3EBD8D39">
      <w:pPr>
        <w:jc w:val="center"/>
        <w:rPr>
          <w:rFonts w:hint="eastAsia" w:ascii="宋体" w:hAnsi="宋体" w:cs="宋体"/>
          <w:b/>
          <w:sz w:val="72"/>
          <w:szCs w:val="72"/>
          <w:highlight w:val="none"/>
        </w:rPr>
      </w:pPr>
      <w:r>
        <w:rPr>
          <w:rFonts w:hint="eastAsia" w:ascii="宋体" w:hAnsi="宋体" w:cs="宋体"/>
          <w:b/>
          <w:sz w:val="72"/>
          <w:szCs w:val="72"/>
          <w:highlight w:val="none"/>
        </w:rPr>
        <w:t>响  应  文  件</w:t>
      </w:r>
    </w:p>
    <w:p w14:paraId="24F90982">
      <w:pPr>
        <w:snapToGrid w:val="0"/>
        <w:spacing w:line="374" w:lineRule="atLeast"/>
        <w:jc w:val="center"/>
        <w:rPr>
          <w:rFonts w:hint="eastAsia" w:ascii="宋体" w:hAnsi="宋体" w:cs="宋体"/>
          <w:b/>
          <w:sz w:val="32"/>
          <w:szCs w:val="21"/>
          <w:highlight w:val="none"/>
        </w:rPr>
      </w:pPr>
    </w:p>
    <w:p w14:paraId="6ABB9FF8">
      <w:pPr>
        <w:snapToGrid w:val="0"/>
        <w:spacing w:line="374" w:lineRule="atLeast"/>
        <w:jc w:val="center"/>
        <w:rPr>
          <w:rFonts w:hint="eastAsia" w:ascii="宋体" w:hAnsi="宋体" w:cs="宋体"/>
          <w:b/>
          <w:sz w:val="32"/>
          <w:szCs w:val="21"/>
          <w:highlight w:val="none"/>
        </w:rPr>
      </w:pPr>
    </w:p>
    <w:p w14:paraId="54E83969">
      <w:pPr>
        <w:jc w:val="center"/>
        <w:rPr>
          <w:rFonts w:hint="eastAsia" w:ascii="宋体" w:hAnsi="宋体" w:cs="宋体"/>
          <w:b/>
          <w:sz w:val="32"/>
          <w:szCs w:val="21"/>
          <w:highlight w:val="none"/>
        </w:rPr>
      </w:pPr>
    </w:p>
    <w:p w14:paraId="6EE81560">
      <w:pPr>
        <w:jc w:val="center"/>
        <w:rPr>
          <w:rFonts w:hint="default" w:ascii="宋体" w:hAnsi="宋体" w:eastAsia="宋体" w:cs="宋体"/>
          <w:highlight w:val="none"/>
          <w:lang w:val="en-US" w:eastAsia="zh-CN"/>
        </w:rPr>
      </w:pPr>
      <w:r>
        <w:rPr>
          <w:rFonts w:hint="eastAsia" w:ascii="宋体" w:hAnsi="宋体" w:cs="宋体"/>
          <w:b/>
          <w:sz w:val="32"/>
          <w:szCs w:val="21"/>
          <w:highlight w:val="none"/>
        </w:rPr>
        <w:t>竞争性磋商文件编号：</w:t>
      </w:r>
      <w:r>
        <w:rPr>
          <w:rFonts w:hint="eastAsia" w:ascii="宋体" w:hAnsi="宋体" w:cs="宋体"/>
          <w:b/>
          <w:sz w:val="32"/>
          <w:szCs w:val="21"/>
          <w:highlight w:val="none"/>
          <w:lang w:val="en-US" w:eastAsia="zh-CN"/>
        </w:rPr>
        <w:t>XZZB-FW-2026007</w:t>
      </w:r>
    </w:p>
    <w:p w14:paraId="21D2CF6D">
      <w:pPr>
        <w:rPr>
          <w:rFonts w:hint="eastAsia" w:ascii="宋体" w:hAnsi="宋体" w:cs="宋体"/>
          <w:highlight w:val="none"/>
        </w:rPr>
      </w:pPr>
    </w:p>
    <w:p w14:paraId="3B9144A0">
      <w:pPr>
        <w:rPr>
          <w:rFonts w:hint="eastAsia" w:ascii="宋体" w:hAnsi="宋体" w:cs="宋体"/>
          <w:highlight w:val="none"/>
        </w:rPr>
      </w:pPr>
    </w:p>
    <w:p w14:paraId="7AC76A82">
      <w:pPr>
        <w:rPr>
          <w:rFonts w:hint="eastAsia" w:ascii="宋体" w:hAnsi="宋体" w:cs="宋体"/>
          <w:highlight w:val="none"/>
        </w:rPr>
      </w:pPr>
    </w:p>
    <w:p w14:paraId="5ED68457">
      <w:pPr>
        <w:spacing w:line="360" w:lineRule="auto"/>
        <w:ind w:firstLine="602"/>
        <w:rPr>
          <w:rFonts w:hint="eastAsia" w:ascii="宋体" w:hAnsi="宋体" w:cs="宋体"/>
          <w:b/>
          <w:sz w:val="32"/>
          <w:szCs w:val="32"/>
          <w:highlight w:val="none"/>
        </w:rPr>
      </w:pPr>
    </w:p>
    <w:p w14:paraId="35A97B04">
      <w:pPr>
        <w:spacing w:line="360" w:lineRule="auto"/>
        <w:ind w:firstLine="602"/>
        <w:rPr>
          <w:rFonts w:hint="eastAsia" w:ascii="宋体" w:hAnsi="宋体" w:cs="宋体"/>
          <w:b/>
          <w:sz w:val="32"/>
          <w:szCs w:val="32"/>
          <w:highlight w:val="none"/>
        </w:rPr>
      </w:pPr>
      <w:r>
        <w:rPr>
          <w:rFonts w:hint="eastAsia" w:ascii="宋体" w:hAnsi="宋体" w:cs="宋体"/>
          <w:b/>
          <w:sz w:val="32"/>
          <w:szCs w:val="32"/>
          <w:highlight w:val="none"/>
        </w:rPr>
        <w:t>供应商： （单位名称）盖章</w:t>
      </w:r>
    </w:p>
    <w:p w14:paraId="6433B198">
      <w:pPr>
        <w:spacing w:line="360" w:lineRule="auto"/>
        <w:rPr>
          <w:rFonts w:hint="eastAsia" w:ascii="宋体" w:hAnsi="宋体" w:cs="宋体"/>
          <w:b/>
          <w:sz w:val="32"/>
          <w:szCs w:val="32"/>
          <w:highlight w:val="none"/>
        </w:rPr>
      </w:pPr>
    </w:p>
    <w:p w14:paraId="74D22EB2">
      <w:pPr>
        <w:spacing w:line="360" w:lineRule="auto"/>
        <w:ind w:firstLine="602"/>
        <w:rPr>
          <w:rFonts w:hint="eastAsia" w:ascii="宋体" w:hAnsi="宋体" w:cs="宋体"/>
          <w:b/>
          <w:sz w:val="32"/>
          <w:szCs w:val="32"/>
          <w:highlight w:val="none"/>
        </w:rPr>
      </w:pPr>
      <w:r>
        <w:rPr>
          <w:rFonts w:hint="eastAsia" w:ascii="宋体" w:hAnsi="宋体" w:cs="宋体"/>
          <w:b/>
          <w:sz w:val="32"/>
          <w:szCs w:val="32"/>
          <w:highlight w:val="none"/>
        </w:rPr>
        <w:t>单位地址：</w:t>
      </w:r>
    </w:p>
    <w:p w14:paraId="1E02370E">
      <w:pPr>
        <w:spacing w:line="360" w:lineRule="auto"/>
        <w:ind w:firstLine="602"/>
        <w:rPr>
          <w:rFonts w:hint="eastAsia" w:ascii="宋体" w:hAnsi="宋体" w:cs="宋体"/>
          <w:b/>
          <w:sz w:val="32"/>
          <w:szCs w:val="32"/>
          <w:highlight w:val="none"/>
        </w:rPr>
      </w:pPr>
    </w:p>
    <w:p w14:paraId="5E81D9E4">
      <w:pPr>
        <w:pStyle w:val="12"/>
        <w:ind w:firstLine="643" w:firstLineChars="200"/>
        <w:rPr>
          <w:rFonts w:hint="eastAsia" w:hAnsi="宋体" w:cs="宋体"/>
          <w:b/>
          <w:sz w:val="32"/>
          <w:szCs w:val="32"/>
          <w:highlight w:val="none"/>
        </w:rPr>
      </w:pPr>
      <w:bookmarkStart w:id="285" w:name="_Toc28816"/>
      <w:r>
        <w:rPr>
          <w:rFonts w:hint="eastAsia" w:hAnsi="宋体" w:cs="宋体"/>
          <w:b/>
          <w:sz w:val="32"/>
          <w:szCs w:val="32"/>
          <w:highlight w:val="none"/>
        </w:rPr>
        <w:t xml:space="preserve">联系人：                   </w:t>
      </w:r>
    </w:p>
    <w:p w14:paraId="603CDAB9">
      <w:pPr>
        <w:pStyle w:val="12"/>
        <w:ind w:firstLine="643" w:firstLineChars="200"/>
        <w:rPr>
          <w:rFonts w:hint="eastAsia" w:hAnsi="宋体" w:cs="宋体"/>
          <w:b/>
          <w:sz w:val="32"/>
          <w:szCs w:val="32"/>
          <w:highlight w:val="none"/>
        </w:rPr>
      </w:pPr>
    </w:p>
    <w:p w14:paraId="4A2FF723">
      <w:pPr>
        <w:pStyle w:val="12"/>
        <w:ind w:firstLine="643" w:firstLineChars="200"/>
        <w:rPr>
          <w:rFonts w:hint="eastAsia" w:hAnsi="宋体" w:cs="宋体"/>
          <w:b/>
          <w:sz w:val="32"/>
          <w:szCs w:val="32"/>
          <w:highlight w:val="none"/>
        </w:rPr>
      </w:pPr>
    </w:p>
    <w:p w14:paraId="1268BBE0">
      <w:pPr>
        <w:pStyle w:val="12"/>
        <w:ind w:firstLine="643" w:firstLineChars="200"/>
        <w:rPr>
          <w:rFonts w:hint="eastAsia" w:hAnsi="宋体" w:cs="宋体"/>
          <w:b/>
          <w:sz w:val="32"/>
          <w:szCs w:val="32"/>
          <w:highlight w:val="none"/>
        </w:rPr>
      </w:pPr>
      <w:r>
        <w:rPr>
          <w:rFonts w:hint="eastAsia" w:hAnsi="宋体" w:cs="宋体"/>
          <w:b/>
          <w:sz w:val="32"/>
          <w:szCs w:val="32"/>
          <w:highlight w:val="none"/>
        </w:rPr>
        <w:t>联系电话：</w:t>
      </w:r>
      <w:bookmarkEnd w:id="285"/>
    </w:p>
    <w:p w14:paraId="17E694FA">
      <w:pPr>
        <w:pStyle w:val="12"/>
        <w:ind w:firstLine="643" w:firstLineChars="200"/>
        <w:rPr>
          <w:rFonts w:hint="eastAsia" w:hAnsi="宋体" w:cs="宋体"/>
          <w:b/>
          <w:sz w:val="32"/>
          <w:szCs w:val="32"/>
          <w:highlight w:val="none"/>
        </w:rPr>
      </w:pPr>
    </w:p>
    <w:p w14:paraId="0FDF238B">
      <w:pPr>
        <w:pStyle w:val="12"/>
        <w:rPr>
          <w:rFonts w:hint="eastAsia" w:hAnsi="宋体" w:cs="宋体"/>
          <w:sz w:val="28"/>
          <w:szCs w:val="21"/>
          <w:highlight w:val="none"/>
        </w:rPr>
      </w:pPr>
    </w:p>
    <w:p w14:paraId="7FBA136B">
      <w:pPr>
        <w:pStyle w:val="33"/>
        <w:rPr>
          <w:rFonts w:hint="eastAsia" w:ascii="宋体" w:hAnsi="宋体" w:cs="宋体"/>
          <w:b/>
          <w:sz w:val="28"/>
          <w:szCs w:val="21"/>
          <w:highlight w:val="none"/>
        </w:rPr>
      </w:pPr>
    </w:p>
    <w:p w14:paraId="3F1F2D4B">
      <w:pPr>
        <w:spacing w:line="360" w:lineRule="auto"/>
        <w:jc w:val="center"/>
        <w:rPr>
          <w:rFonts w:hint="eastAsia" w:ascii="宋体" w:hAnsi="宋体" w:eastAsia="宋体" w:cs="宋体"/>
          <w:bCs/>
          <w:sz w:val="24"/>
          <w:szCs w:val="24"/>
          <w:highlight w:val="none"/>
        </w:rPr>
      </w:pPr>
      <w:r>
        <w:rPr>
          <w:rFonts w:hint="eastAsia" w:ascii="宋体" w:hAnsi="宋体" w:eastAsia="宋体" w:cs="宋体"/>
          <w:b/>
          <w:sz w:val="24"/>
          <w:szCs w:val="24"/>
          <w:highlight w:val="none"/>
        </w:rPr>
        <w:t xml:space="preserve">格式1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资格性/符合性自查表</w:t>
      </w:r>
    </w:p>
    <w:tbl>
      <w:tblPr>
        <w:tblStyle w:val="24"/>
        <w:tblW w:w="981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4"/>
        <w:gridCol w:w="3334"/>
        <w:gridCol w:w="2425"/>
        <w:gridCol w:w="2775"/>
      </w:tblGrid>
      <w:tr w14:paraId="34481D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29" w:hRule="atLeast"/>
          <w:jc w:val="center"/>
        </w:trPr>
        <w:tc>
          <w:tcPr>
            <w:tcW w:w="1284" w:type="dxa"/>
            <w:tcBorders>
              <w:top w:val="outset" w:color="111111" w:sz="6" w:space="0"/>
              <w:left w:val="outset" w:color="111111" w:sz="6" w:space="0"/>
              <w:bottom w:val="outset" w:color="111111" w:sz="6" w:space="0"/>
              <w:right w:val="outset" w:color="111111" w:sz="6" w:space="0"/>
            </w:tcBorders>
            <w:vAlign w:val="center"/>
          </w:tcPr>
          <w:p w14:paraId="0F078BFF">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评审内容</w:t>
            </w:r>
          </w:p>
        </w:tc>
        <w:tc>
          <w:tcPr>
            <w:tcW w:w="3334" w:type="dxa"/>
            <w:tcBorders>
              <w:top w:val="outset" w:color="111111" w:sz="6" w:space="0"/>
              <w:left w:val="outset" w:color="111111" w:sz="6" w:space="0"/>
              <w:bottom w:val="outset" w:color="111111" w:sz="6" w:space="0"/>
              <w:right w:val="outset" w:color="111111" w:sz="6" w:space="0"/>
            </w:tcBorders>
            <w:vAlign w:val="center"/>
          </w:tcPr>
          <w:p w14:paraId="2A001D85">
            <w:pPr>
              <w:jc w:val="center"/>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竞争性磋商文件要求</w:t>
            </w:r>
          </w:p>
          <w:p w14:paraId="117F910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（详见《资格性和符合性审查表》各项）</w:t>
            </w:r>
          </w:p>
        </w:tc>
        <w:tc>
          <w:tcPr>
            <w:tcW w:w="2425" w:type="dxa"/>
            <w:tcBorders>
              <w:top w:val="outset" w:color="111111" w:sz="6" w:space="0"/>
              <w:left w:val="outset" w:color="111111" w:sz="6" w:space="0"/>
              <w:bottom w:val="outset" w:color="111111" w:sz="6" w:space="0"/>
              <w:right w:val="outset" w:color="111111" w:sz="6" w:space="0"/>
            </w:tcBorders>
            <w:vAlign w:val="center"/>
          </w:tcPr>
          <w:p w14:paraId="1B292CCD">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自查结论</w:t>
            </w:r>
          </w:p>
        </w:tc>
        <w:tc>
          <w:tcPr>
            <w:tcW w:w="2775" w:type="dxa"/>
            <w:tcBorders>
              <w:top w:val="outset" w:color="111111" w:sz="6" w:space="0"/>
              <w:left w:val="outset" w:color="111111" w:sz="6" w:space="0"/>
              <w:bottom w:val="outset" w:color="111111" w:sz="6" w:space="0"/>
              <w:right w:val="outset" w:color="111111" w:sz="6" w:space="0"/>
            </w:tcBorders>
            <w:vAlign w:val="center"/>
          </w:tcPr>
          <w:p w14:paraId="45912011">
            <w:pPr>
              <w:jc w:val="center"/>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证明资料</w:t>
            </w:r>
          </w:p>
        </w:tc>
      </w:tr>
      <w:tr w14:paraId="10745B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restart"/>
            <w:tcBorders>
              <w:top w:val="outset" w:color="111111" w:sz="6" w:space="0"/>
              <w:left w:val="outset" w:color="111111" w:sz="6" w:space="0"/>
              <w:right w:val="outset" w:color="111111" w:sz="6" w:space="0"/>
            </w:tcBorders>
            <w:vAlign w:val="center"/>
          </w:tcPr>
          <w:p w14:paraId="56D41296">
            <w:pPr>
              <w:widowControl/>
              <w:spacing w:before="100" w:beforeAutospacing="1" w:after="100" w:afterAutospacing="1"/>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资格性审查</w:t>
            </w:r>
          </w:p>
        </w:tc>
        <w:tc>
          <w:tcPr>
            <w:tcW w:w="3334" w:type="dxa"/>
            <w:tcBorders>
              <w:top w:val="outset" w:color="111111" w:sz="6" w:space="0"/>
              <w:left w:val="outset" w:color="111111" w:sz="6" w:space="0"/>
              <w:bottom w:val="outset" w:color="111111" w:sz="6" w:space="0"/>
              <w:right w:val="outset" w:color="111111" w:sz="6" w:space="0"/>
            </w:tcBorders>
            <w:vAlign w:val="center"/>
          </w:tcPr>
          <w:p w14:paraId="55731391">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070CF2BE">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vAlign w:val="center"/>
          </w:tcPr>
          <w:p w14:paraId="04D9A101">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418E1B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0CAD4149">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08A52FD1">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1E7E75F3">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vAlign w:val="center"/>
          </w:tcPr>
          <w:p w14:paraId="0A278533">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1395572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11DA5F7E">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63328718">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1534656F">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vAlign w:val="center"/>
          </w:tcPr>
          <w:p w14:paraId="223BF219">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23C257C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147A95FE">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55BDD69A">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50943967">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vAlign w:val="center"/>
          </w:tcPr>
          <w:p w14:paraId="26117F89">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2BEEB3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674F54C4">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404982E0">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699DF53D">
            <w:pPr>
              <w:rPr>
                <w:rFonts w:hint="eastAsia" w:ascii="宋体" w:hAnsi="宋体" w:eastAsia="宋体" w:cs="宋体"/>
                <w:sz w:val="24"/>
                <w:szCs w:val="24"/>
                <w:highlight w:val="none"/>
              </w:rPr>
            </w:pPr>
            <w:r>
              <w:rPr>
                <w:rFonts w:hint="eastAsia" w:ascii="宋体" w:hAnsi="宋体" w:eastAsia="宋体" w:cs="宋体"/>
                <w:sz w:val="24"/>
                <w:szCs w:val="24"/>
                <w:highlight w:val="none"/>
              </w:rPr>
              <w:t>□通过 □不通过</w:t>
            </w:r>
          </w:p>
        </w:tc>
        <w:tc>
          <w:tcPr>
            <w:tcW w:w="2775" w:type="dxa"/>
            <w:tcBorders>
              <w:top w:val="outset" w:color="111111" w:sz="6" w:space="0"/>
              <w:left w:val="outset" w:color="111111" w:sz="6" w:space="0"/>
              <w:bottom w:val="outset" w:color="111111" w:sz="6" w:space="0"/>
              <w:right w:val="outset" w:color="111111" w:sz="6" w:space="0"/>
            </w:tcBorders>
            <w:vAlign w:val="center"/>
          </w:tcPr>
          <w:p w14:paraId="65692A76">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5C99C81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restart"/>
            <w:tcBorders>
              <w:top w:val="outset" w:color="111111" w:sz="6" w:space="0"/>
              <w:left w:val="outset" w:color="111111" w:sz="6" w:space="0"/>
              <w:right w:val="outset" w:color="111111" w:sz="6" w:space="0"/>
            </w:tcBorders>
            <w:vAlign w:val="center"/>
          </w:tcPr>
          <w:p w14:paraId="3ED104C3">
            <w:pPr>
              <w:widowControl/>
              <w:spacing w:before="100" w:beforeAutospacing="1" w:after="100" w:afterAutospacing="1"/>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符合性审查</w:t>
            </w:r>
          </w:p>
        </w:tc>
        <w:tc>
          <w:tcPr>
            <w:tcW w:w="3334" w:type="dxa"/>
            <w:tcBorders>
              <w:top w:val="outset" w:color="111111" w:sz="6" w:space="0"/>
              <w:left w:val="outset" w:color="111111" w:sz="6" w:space="0"/>
              <w:bottom w:val="outset" w:color="111111" w:sz="6" w:space="0"/>
              <w:right w:val="outset" w:color="111111" w:sz="6" w:space="0"/>
            </w:tcBorders>
            <w:vAlign w:val="center"/>
          </w:tcPr>
          <w:p w14:paraId="2EF42042">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4D4B0743">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2FD60633">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7278E2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1E3160B5">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55F6D248">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14D66134">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30CCE2BD">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5594432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6C485F81">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77D12C38">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476424D4">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0ADCA485">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248162E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2EB0C176">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21AA3415">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34CC8F7D">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7553C6CC">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27DBD2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98" w:hRule="atLeast"/>
          <w:jc w:val="center"/>
        </w:trPr>
        <w:tc>
          <w:tcPr>
            <w:tcW w:w="1284" w:type="dxa"/>
            <w:vMerge w:val="continue"/>
            <w:tcBorders>
              <w:left w:val="outset" w:color="111111" w:sz="6" w:space="0"/>
              <w:right w:val="outset" w:color="111111" w:sz="6" w:space="0"/>
            </w:tcBorders>
            <w:vAlign w:val="center"/>
          </w:tcPr>
          <w:p w14:paraId="1406DB02">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4961484D">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4C9BB242">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718297D6">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r w14:paraId="7719F05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15" w:hRule="atLeast"/>
          <w:jc w:val="center"/>
        </w:trPr>
        <w:tc>
          <w:tcPr>
            <w:tcW w:w="1284" w:type="dxa"/>
            <w:vMerge w:val="continue"/>
            <w:tcBorders>
              <w:left w:val="outset" w:color="111111" w:sz="6" w:space="0"/>
              <w:right w:val="outset" w:color="111111" w:sz="6" w:space="0"/>
            </w:tcBorders>
            <w:vAlign w:val="center"/>
          </w:tcPr>
          <w:p w14:paraId="792CE4B1">
            <w:pPr>
              <w:rPr>
                <w:rFonts w:hint="eastAsia" w:ascii="宋体" w:hAnsi="宋体" w:eastAsia="宋体" w:cs="宋体"/>
                <w:sz w:val="24"/>
                <w:szCs w:val="24"/>
                <w:highlight w:val="none"/>
              </w:rPr>
            </w:pPr>
          </w:p>
        </w:tc>
        <w:tc>
          <w:tcPr>
            <w:tcW w:w="3334" w:type="dxa"/>
            <w:tcBorders>
              <w:top w:val="outset" w:color="111111" w:sz="6" w:space="0"/>
              <w:left w:val="outset" w:color="111111" w:sz="6" w:space="0"/>
              <w:bottom w:val="outset" w:color="111111" w:sz="6" w:space="0"/>
              <w:right w:val="outset" w:color="111111" w:sz="6" w:space="0"/>
            </w:tcBorders>
            <w:vAlign w:val="center"/>
          </w:tcPr>
          <w:p w14:paraId="657B9FE7">
            <w:pPr>
              <w:rPr>
                <w:rFonts w:hint="eastAsia" w:ascii="宋体" w:hAnsi="宋体" w:eastAsia="宋体" w:cs="宋体"/>
                <w:sz w:val="24"/>
                <w:szCs w:val="24"/>
                <w:highlight w:val="none"/>
              </w:rPr>
            </w:pPr>
          </w:p>
        </w:tc>
        <w:tc>
          <w:tcPr>
            <w:tcW w:w="2425" w:type="dxa"/>
            <w:tcBorders>
              <w:top w:val="outset" w:color="111111" w:sz="6" w:space="0"/>
              <w:left w:val="outset" w:color="111111" w:sz="6" w:space="0"/>
              <w:bottom w:val="outset" w:color="111111" w:sz="6" w:space="0"/>
              <w:right w:val="outset" w:color="111111" w:sz="6" w:space="0"/>
            </w:tcBorders>
            <w:vAlign w:val="center"/>
          </w:tcPr>
          <w:p w14:paraId="63454AEA">
            <w:pPr>
              <w:rPr>
                <w:rFonts w:hint="eastAsia" w:ascii="宋体" w:hAnsi="宋体" w:eastAsia="宋体" w:cs="宋体"/>
                <w:sz w:val="24"/>
                <w:szCs w:val="24"/>
                <w:highlight w:val="none"/>
              </w:rPr>
            </w:pPr>
            <w:r>
              <w:rPr>
                <w:rFonts w:hint="eastAsia" w:ascii="宋体" w:hAnsi="宋体" w:eastAsia="宋体" w:cs="宋体"/>
                <w:sz w:val="24"/>
                <w:szCs w:val="24"/>
                <w:highlight w:val="none"/>
              </w:rPr>
              <w:t>□符合 □不符合</w:t>
            </w:r>
          </w:p>
        </w:tc>
        <w:tc>
          <w:tcPr>
            <w:tcW w:w="2775" w:type="dxa"/>
            <w:tcBorders>
              <w:top w:val="outset" w:color="111111" w:sz="6" w:space="0"/>
              <w:left w:val="outset" w:color="111111" w:sz="6" w:space="0"/>
              <w:bottom w:val="outset" w:color="111111" w:sz="6" w:space="0"/>
              <w:right w:val="outset" w:color="111111" w:sz="6" w:space="0"/>
            </w:tcBorders>
            <w:vAlign w:val="center"/>
          </w:tcPr>
          <w:p w14:paraId="23C3299D">
            <w:pPr>
              <w:rPr>
                <w:rFonts w:hint="eastAsia" w:ascii="宋体" w:hAnsi="宋体" w:eastAsia="宋体" w:cs="宋体"/>
                <w:sz w:val="24"/>
                <w:szCs w:val="24"/>
                <w:highlight w:val="none"/>
              </w:rPr>
            </w:pPr>
            <w:r>
              <w:rPr>
                <w:rFonts w:hint="eastAsia" w:ascii="宋体" w:hAnsi="宋体" w:eastAsia="宋体" w:cs="宋体"/>
                <w:sz w:val="24"/>
                <w:szCs w:val="24"/>
                <w:highlight w:val="none"/>
              </w:rPr>
              <w:t>见响应文件第（）页</w:t>
            </w:r>
          </w:p>
        </w:tc>
      </w:tr>
    </w:tbl>
    <w:p w14:paraId="0999F4A1">
      <w:pPr>
        <w:tabs>
          <w:tab w:val="left" w:pos="360"/>
          <w:tab w:val="left" w:pos="1800"/>
        </w:tabs>
        <w:ind w:firstLine="361" w:firstLineChars="1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注：以上材料将作为供应商有效性审核的重要内容之一，供应商必须严格按照其内容及序列要求在响应文件中对应如</w:t>
      </w:r>
      <w:r>
        <w:rPr>
          <w:rFonts w:hint="eastAsia" w:ascii="宋体" w:hAnsi="宋体" w:eastAsia="宋体" w:cs="宋体"/>
          <w:b/>
          <w:w w:val="90"/>
          <w:sz w:val="24"/>
          <w:szCs w:val="24"/>
          <w:highlight w:val="none"/>
        </w:rPr>
        <w:t>实提供，对资格性和符合性证明文件的任何缺漏和不符合项将会直接导致无效投标！供应商根据自查结论在对应的□打“√”。</w:t>
      </w:r>
    </w:p>
    <w:p w14:paraId="64A47047">
      <w:pPr>
        <w:spacing w:line="440" w:lineRule="exact"/>
        <w:jc w:val="center"/>
        <w:rPr>
          <w:rFonts w:hint="eastAsia" w:ascii="宋体" w:hAnsi="宋体" w:eastAsia="宋体" w:cs="宋体"/>
          <w:b/>
          <w:sz w:val="24"/>
          <w:szCs w:val="24"/>
          <w:highlight w:val="none"/>
        </w:rPr>
      </w:pPr>
    </w:p>
    <w:p w14:paraId="22A06F36">
      <w:pPr>
        <w:spacing w:line="360" w:lineRule="auto"/>
        <w:jc w:val="center"/>
        <w:rPr>
          <w:rFonts w:hint="eastAsia" w:ascii="宋体" w:hAnsi="宋体" w:eastAsia="宋体" w:cs="宋体"/>
          <w:b/>
          <w:bCs/>
          <w:sz w:val="24"/>
          <w:szCs w:val="24"/>
          <w:highlight w:val="none"/>
        </w:rPr>
      </w:pPr>
    </w:p>
    <w:p w14:paraId="17B16A21">
      <w:pPr>
        <w:spacing w:line="360" w:lineRule="auto"/>
        <w:jc w:val="center"/>
        <w:rPr>
          <w:rFonts w:hint="eastAsia" w:ascii="宋体" w:hAnsi="宋体" w:eastAsia="宋体" w:cs="宋体"/>
          <w:b/>
          <w:bCs/>
          <w:sz w:val="24"/>
          <w:szCs w:val="24"/>
          <w:highlight w:val="none"/>
        </w:rPr>
      </w:pPr>
    </w:p>
    <w:p w14:paraId="757D7F20">
      <w:pPr>
        <w:spacing w:line="360" w:lineRule="auto"/>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格式2</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法定代表人资格证明书</w:t>
      </w:r>
    </w:p>
    <w:p w14:paraId="60BD4466">
      <w:pPr>
        <w:tabs>
          <w:tab w:val="left" w:pos="360"/>
          <w:tab w:val="left" w:pos="1800"/>
        </w:tabs>
        <w:spacing w:line="480" w:lineRule="exact"/>
        <w:ind w:left="540"/>
        <w:rPr>
          <w:rFonts w:hint="eastAsia" w:ascii="宋体" w:hAnsi="宋体" w:eastAsia="宋体" w:cs="宋体"/>
          <w:bCs/>
          <w:sz w:val="24"/>
          <w:szCs w:val="24"/>
          <w:highlight w:val="none"/>
        </w:rPr>
      </w:pPr>
    </w:p>
    <w:p w14:paraId="20A95605">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6A1E6439">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39CBCC">
      <w:pPr>
        <w:tabs>
          <w:tab w:val="left" w:pos="360"/>
          <w:tab w:val="left" w:pos="720"/>
          <w:tab w:val="left" w:pos="90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4F5862CE">
      <w:pPr>
        <w:tabs>
          <w:tab w:val="left" w:pos="360"/>
          <w:tab w:val="left" w:pos="18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单位）的法定代表人。为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的项目，签署上述项目的响应文件、进行合同谈判、签署合同和处理与之有关的一切事务。</w:t>
      </w:r>
    </w:p>
    <w:p w14:paraId="15213F62">
      <w:pPr>
        <w:tabs>
          <w:tab w:val="left" w:pos="360"/>
          <w:tab w:val="left" w:pos="1800"/>
        </w:tabs>
        <w:spacing w:line="360" w:lineRule="auto"/>
        <w:rPr>
          <w:rFonts w:hint="eastAsia" w:ascii="宋体" w:hAnsi="宋体" w:eastAsia="宋体" w:cs="宋体"/>
          <w:sz w:val="24"/>
          <w:szCs w:val="24"/>
          <w:highlight w:val="none"/>
        </w:rPr>
      </w:pPr>
    </w:p>
    <w:p w14:paraId="3C84A09B">
      <w:pPr>
        <w:tabs>
          <w:tab w:val="left" w:pos="360"/>
          <w:tab w:val="left" w:pos="180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F430C11">
      <w:pPr>
        <w:tabs>
          <w:tab w:val="left" w:pos="360"/>
          <w:tab w:val="left" w:pos="1800"/>
        </w:tabs>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56B2BF19">
      <w:pPr>
        <w:tabs>
          <w:tab w:val="left" w:pos="360"/>
          <w:tab w:val="left" w:pos="1800"/>
        </w:tabs>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CB8D574">
      <w:pPr>
        <w:tabs>
          <w:tab w:val="left" w:pos="360"/>
          <w:tab w:val="left" w:pos="1800"/>
        </w:tabs>
        <w:spacing w:line="360" w:lineRule="auto"/>
        <w:ind w:firstLine="6000" w:firstLineChars="2500"/>
        <w:rPr>
          <w:rFonts w:hint="eastAsia" w:ascii="宋体" w:hAnsi="宋体" w:eastAsia="宋体" w:cs="宋体"/>
          <w:bCs/>
          <w:sz w:val="24"/>
          <w:szCs w:val="24"/>
          <w:highlight w:val="none"/>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52714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263C4833">
            <w:pPr>
              <w:tabs>
                <w:tab w:val="left" w:pos="360"/>
                <w:tab w:val="left" w:pos="1800"/>
              </w:tabs>
              <w:spacing w:line="480" w:lineRule="auto"/>
              <w:jc w:val="center"/>
              <w:rPr>
                <w:rFonts w:hint="eastAsia" w:ascii="宋体" w:hAnsi="宋体" w:eastAsia="宋体" w:cs="宋体"/>
                <w:sz w:val="24"/>
                <w:szCs w:val="24"/>
                <w:highlight w:val="none"/>
              </w:rPr>
            </w:pPr>
          </w:p>
          <w:p w14:paraId="68EBE658">
            <w:pPr>
              <w:tabs>
                <w:tab w:val="left" w:pos="360"/>
                <w:tab w:val="left" w:pos="1800"/>
              </w:tabs>
              <w:spacing w:line="480" w:lineRule="auto"/>
              <w:jc w:val="center"/>
              <w:rPr>
                <w:rFonts w:hint="eastAsia" w:ascii="宋体" w:hAnsi="宋体" w:eastAsia="宋体" w:cs="宋体"/>
                <w:sz w:val="24"/>
                <w:szCs w:val="24"/>
                <w:highlight w:val="none"/>
              </w:rPr>
            </w:pPr>
          </w:p>
          <w:p w14:paraId="0DA754E0">
            <w:pPr>
              <w:tabs>
                <w:tab w:val="left" w:pos="360"/>
                <w:tab w:val="left" w:pos="1800"/>
              </w:tabs>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法定代表人身份证复印件或扫描件（正、反两面）</w:t>
            </w:r>
          </w:p>
        </w:tc>
      </w:tr>
    </w:tbl>
    <w:p w14:paraId="1BD55154">
      <w:pPr>
        <w:tabs>
          <w:tab w:val="left" w:pos="360"/>
          <w:tab w:val="left" w:pos="1800"/>
        </w:tabs>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注：法定代表人身份证复印件或扫描件应反映出证件有效期等所载内容。</w:t>
      </w:r>
    </w:p>
    <w:p w14:paraId="11AFEE01">
      <w:pPr>
        <w:tabs>
          <w:tab w:val="left" w:pos="360"/>
          <w:tab w:val="left" w:pos="1800"/>
        </w:tabs>
        <w:spacing w:line="480" w:lineRule="exact"/>
        <w:ind w:left="1980" w:firstLine="1080"/>
        <w:rPr>
          <w:rFonts w:hint="eastAsia" w:ascii="宋体" w:hAnsi="宋体" w:eastAsia="宋体" w:cs="宋体"/>
          <w:bCs/>
          <w:sz w:val="24"/>
          <w:szCs w:val="24"/>
          <w:highlight w:val="none"/>
        </w:rPr>
      </w:pPr>
    </w:p>
    <w:p w14:paraId="1CFA5D37">
      <w:pPr>
        <w:tabs>
          <w:tab w:val="left" w:pos="360"/>
          <w:tab w:val="left" w:pos="1800"/>
        </w:tabs>
        <w:spacing w:line="480" w:lineRule="exact"/>
        <w:rPr>
          <w:rFonts w:hint="eastAsia" w:ascii="宋体" w:hAnsi="宋体" w:eastAsia="宋体" w:cs="宋体"/>
          <w:bCs/>
          <w:sz w:val="24"/>
          <w:szCs w:val="24"/>
          <w:highlight w:val="none"/>
        </w:rPr>
      </w:pPr>
    </w:p>
    <w:p w14:paraId="6A53E56C">
      <w:pPr>
        <w:tabs>
          <w:tab w:val="left" w:pos="360"/>
          <w:tab w:val="left" w:pos="1800"/>
        </w:tabs>
        <w:spacing w:line="480" w:lineRule="exact"/>
        <w:jc w:val="center"/>
        <w:rPr>
          <w:rFonts w:hint="eastAsia" w:ascii="宋体" w:hAnsi="宋体" w:eastAsia="宋体" w:cs="宋体"/>
          <w:b/>
          <w:bCs/>
          <w:sz w:val="24"/>
          <w:szCs w:val="24"/>
          <w:highlight w:val="none"/>
        </w:rPr>
      </w:pPr>
    </w:p>
    <w:p w14:paraId="4FC048AA">
      <w:pPr>
        <w:pStyle w:val="9"/>
        <w:rPr>
          <w:rFonts w:hint="eastAsia" w:ascii="宋体" w:hAnsi="宋体" w:eastAsia="宋体" w:cs="宋体"/>
          <w:b/>
          <w:bCs/>
          <w:sz w:val="24"/>
          <w:szCs w:val="24"/>
          <w:highlight w:val="none"/>
        </w:rPr>
      </w:pPr>
    </w:p>
    <w:p w14:paraId="0C384ED2">
      <w:pPr>
        <w:pStyle w:val="10"/>
        <w:rPr>
          <w:rFonts w:hint="eastAsia" w:ascii="宋体" w:hAnsi="宋体" w:eastAsia="宋体" w:cs="宋体"/>
          <w:b/>
          <w:bCs/>
          <w:sz w:val="24"/>
          <w:szCs w:val="24"/>
          <w:highlight w:val="none"/>
        </w:rPr>
      </w:pPr>
    </w:p>
    <w:p w14:paraId="4525BAFF">
      <w:pPr>
        <w:rPr>
          <w:rFonts w:hint="eastAsia" w:ascii="宋体" w:hAnsi="宋体" w:eastAsia="宋体" w:cs="宋体"/>
          <w:b/>
          <w:bCs/>
          <w:sz w:val="24"/>
          <w:szCs w:val="24"/>
          <w:highlight w:val="none"/>
        </w:rPr>
      </w:pPr>
    </w:p>
    <w:p w14:paraId="398A0A1D">
      <w:pPr>
        <w:pStyle w:val="9"/>
        <w:rPr>
          <w:rFonts w:hint="eastAsia"/>
          <w:highlight w:val="none"/>
        </w:rPr>
      </w:pPr>
    </w:p>
    <w:p w14:paraId="4FACE24A">
      <w:pPr>
        <w:tabs>
          <w:tab w:val="left" w:pos="360"/>
          <w:tab w:val="left" w:pos="1800"/>
        </w:tabs>
        <w:spacing w:line="480" w:lineRule="exact"/>
        <w:ind w:left="239" w:leftChars="114"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格式3</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法定代表人授权委托书</w:t>
      </w:r>
    </w:p>
    <w:p w14:paraId="7715B139">
      <w:pPr>
        <w:tabs>
          <w:tab w:val="left" w:pos="360"/>
          <w:tab w:val="left" w:pos="1800"/>
        </w:tabs>
        <w:spacing w:line="480" w:lineRule="exact"/>
        <w:ind w:left="239" w:leftChars="114" w:firstLine="241" w:firstLineChars="100"/>
        <w:jc w:val="center"/>
        <w:rPr>
          <w:rFonts w:hint="eastAsia" w:ascii="宋体" w:hAnsi="宋体" w:eastAsia="宋体" w:cs="宋体"/>
          <w:b/>
          <w:bCs/>
          <w:sz w:val="24"/>
          <w:szCs w:val="24"/>
          <w:highlight w:val="none"/>
        </w:rPr>
      </w:pPr>
    </w:p>
    <w:p w14:paraId="741D8561">
      <w:pPr>
        <w:tabs>
          <w:tab w:val="left" w:pos="360"/>
          <w:tab w:val="left" w:pos="1800"/>
        </w:tabs>
        <w:spacing w:line="480" w:lineRule="exact"/>
        <w:ind w:firstLine="420" w:firstLineChars="1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供应商名称）的法定代表人，现授权委托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（姓名），其身份证号为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为我供应商代理人，以本供应商的名义参加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磋商项目名称）的磋商活动。</w:t>
      </w:r>
    </w:p>
    <w:p w14:paraId="60E9EB65">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代理人在递交响应文件、磋商、合同谈判过程中所签署的一切文件和处理与之有关的一切事务，我均予以承认。</w:t>
      </w:r>
    </w:p>
    <w:p w14:paraId="496BE23A">
      <w:pPr>
        <w:tabs>
          <w:tab w:val="left" w:pos="360"/>
          <w:tab w:val="left" w:pos="1800"/>
        </w:tabs>
        <w:spacing w:line="4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本授权委托书期限自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日止。</w:t>
      </w:r>
    </w:p>
    <w:p w14:paraId="63740DDB">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委托代理人无转委权。特此委托。</w:t>
      </w:r>
    </w:p>
    <w:p w14:paraId="657EE145">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p>
    <w:p w14:paraId="572E7048">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30DED187">
      <w:pPr>
        <w:tabs>
          <w:tab w:val="left" w:pos="360"/>
          <w:tab w:val="left" w:pos="180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DA04431">
      <w:pPr>
        <w:tabs>
          <w:tab w:val="left" w:pos="360"/>
          <w:tab w:val="left" w:pos="1800"/>
        </w:tabs>
        <w:spacing w:line="4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C3732CF">
      <w:pPr>
        <w:tabs>
          <w:tab w:val="left" w:pos="360"/>
          <w:tab w:val="left" w:pos="1800"/>
        </w:tabs>
        <w:spacing w:line="4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9FAAE5F">
      <w:pPr>
        <w:tabs>
          <w:tab w:val="left" w:pos="360"/>
          <w:tab w:val="left" w:pos="1800"/>
        </w:tabs>
        <w:spacing w:line="480" w:lineRule="exact"/>
        <w:ind w:firstLine="36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6877F1F">
      <w:pPr>
        <w:tabs>
          <w:tab w:val="left" w:pos="360"/>
          <w:tab w:val="left" w:pos="1800"/>
        </w:tabs>
        <w:spacing w:line="480" w:lineRule="exact"/>
        <w:ind w:firstLine="3600"/>
        <w:rPr>
          <w:rFonts w:hint="eastAsia" w:ascii="宋体" w:hAnsi="宋体" w:eastAsia="宋体" w:cs="宋体"/>
          <w:sz w:val="24"/>
          <w:szCs w:val="24"/>
          <w:highlight w:val="none"/>
        </w:rPr>
      </w:pPr>
    </w:p>
    <w:tbl>
      <w:tblPr>
        <w:tblStyle w:val="24"/>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11502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14:paraId="5C44C15E">
            <w:pPr>
              <w:tabs>
                <w:tab w:val="left" w:pos="360"/>
                <w:tab w:val="left" w:pos="1800"/>
              </w:tabs>
              <w:spacing w:line="480" w:lineRule="auto"/>
              <w:jc w:val="center"/>
              <w:rPr>
                <w:rFonts w:hint="eastAsia" w:ascii="宋体" w:hAnsi="宋体" w:eastAsia="宋体" w:cs="宋体"/>
                <w:sz w:val="24"/>
                <w:szCs w:val="24"/>
                <w:highlight w:val="none"/>
              </w:rPr>
            </w:pPr>
          </w:p>
          <w:p w14:paraId="299D0AE6">
            <w:pPr>
              <w:tabs>
                <w:tab w:val="left" w:pos="360"/>
                <w:tab w:val="left" w:pos="1800"/>
              </w:tabs>
              <w:spacing w:line="480" w:lineRule="auto"/>
              <w:jc w:val="center"/>
              <w:rPr>
                <w:rFonts w:hint="eastAsia" w:ascii="宋体" w:hAnsi="宋体" w:eastAsia="宋体" w:cs="宋体"/>
                <w:sz w:val="24"/>
                <w:szCs w:val="24"/>
                <w:highlight w:val="none"/>
              </w:rPr>
            </w:pPr>
          </w:p>
          <w:p w14:paraId="335EA964">
            <w:pPr>
              <w:tabs>
                <w:tab w:val="left" w:pos="360"/>
                <w:tab w:val="left" w:pos="1800"/>
              </w:tabs>
              <w:spacing w:line="48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委托代理人身份证复印件或扫描件（正、反两面）</w:t>
            </w:r>
          </w:p>
        </w:tc>
      </w:tr>
    </w:tbl>
    <w:p w14:paraId="10E5AB7F">
      <w:pPr>
        <w:tabs>
          <w:tab w:val="left" w:pos="360"/>
          <w:tab w:val="left" w:pos="1800"/>
        </w:tabs>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注：委托代理人身份证复印件或扫描件应反映出证件有效期等所载内容。</w:t>
      </w:r>
    </w:p>
    <w:p w14:paraId="17AC7001">
      <w:pPr>
        <w:spacing w:line="460" w:lineRule="exact"/>
        <w:rPr>
          <w:rFonts w:hint="eastAsia" w:ascii="宋体" w:hAnsi="宋体" w:eastAsia="宋体" w:cs="宋体"/>
          <w:bCs/>
          <w:sz w:val="24"/>
          <w:szCs w:val="24"/>
          <w:highlight w:val="none"/>
        </w:rPr>
      </w:pPr>
    </w:p>
    <w:p w14:paraId="468592C0">
      <w:pPr>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格式4</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基本情况表</w:t>
      </w:r>
    </w:p>
    <w:tbl>
      <w:tblPr>
        <w:tblStyle w:val="24"/>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439"/>
        <w:gridCol w:w="1681"/>
        <w:gridCol w:w="1658"/>
        <w:gridCol w:w="1342"/>
        <w:gridCol w:w="1954"/>
      </w:tblGrid>
      <w:tr w14:paraId="048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669" w:type="dxa"/>
            <w:vAlign w:val="center"/>
          </w:tcPr>
          <w:p w14:paraId="15F9396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tc>
        <w:tc>
          <w:tcPr>
            <w:tcW w:w="8074" w:type="dxa"/>
            <w:gridSpan w:val="5"/>
            <w:vAlign w:val="center"/>
          </w:tcPr>
          <w:p w14:paraId="5D828755">
            <w:pPr>
              <w:spacing w:line="460" w:lineRule="exact"/>
              <w:rPr>
                <w:rFonts w:hint="eastAsia" w:ascii="宋体" w:hAnsi="宋体" w:eastAsia="宋体" w:cs="宋体"/>
                <w:bCs/>
                <w:sz w:val="24"/>
                <w:szCs w:val="24"/>
                <w:highlight w:val="none"/>
              </w:rPr>
            </w:pPr>
          </w:p>
        </w:tc>
      </w:tr>
      <w:tr w14:paraId="35F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69" w:type="dxa"/>
            <w:vAlign w:val="center"/>
          </w:tcPr>
          <w:p w14:paraId="0BA857FA">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 址</w:t>
            </w:r>
          </w:p>
        </w:tc>
        <w:tc>
          <w:tcPr>
            <w:tcW w:w="8074" w:type="dxa"/>
            <w:gridSpan w:val="5"/>
            <w:vAlign w:val="center"/>
          </w:tcPr>
          <w:p w14:paraId="587B44DE">
            <w:pPr>
              <w:spacing w:line="460" w:lineRule="exact"/>
              <w:rPr>
                <w:rFonts w:hint="eastAsia" w:ascii="宋体" w:hAnsi="宋体" w:eastAsia="宋体" w:cs="宋体"/>
                <w:bCs/>
                <w:sz w:val="24"/>
                <w:szCs w:val="24"/>
                <w:highlight w:val="none"/>
              </w:rPr>
            </w:pPr>
          </w:p>
        </w:tc>
      </w:tr>
      <w:tr w14:paraId="2362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69" w:type="dxa"/>
            <w:vAlign w:val="center"/>
          </w:tcPr>
          <w:p w14:paraId="771668A9">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主管部门</w:t>
            </w:r>
          </w:p>
        </w:tc>
        <w:tc>
          <w:tcPr>
            <w:tcW w:w="1439" w:type="dxa"/>
            <w:vAlign w:val="center"/>
          </w:tcPr>
          <w:p w14:paraId="4FCC36E1">
            <w:pPr>
              <w:spacing w:line="460" w:lineRule="exact"/>
              <w:rPr>
                <w:rFonts w:hint="eastAsia" w:ascii="宋体" w:hAnsi="宋体" w:eastAsia="宋体" w:cs="宋体"/>
                <w:bCs/>
                <w:sz w:val="24"/>
                <w:szCs w:val="24"/>
                <w:highlight w:val="none"/>
              </w:rPr>
            </w:pPr>
          </w:p>
        </w:tc>
        <w:tc>
          <w:tcPr>
            <w:tcW w:w="1681" w:type="dxa"/>
            <w:vAlign w:val="center"/>
          </w:tcPr>
          <w:p w14:paraId="7556F51A">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p>
        </w:tc>
        <w:tc>
          <w:tcPr>
            <w:tcW w:w="1658" w:type="dxa"/>
            <w:vAlign w:val="center"/>
          </w:tcPr>
          <w:p w14:paraId="0A4D0AB8">
            <w:pPr>
              <w:spacing w:line="460" w:lineRule="exact"/>
              <w:rPr>
                <w:rFonts w:hint="eastAsia" w:ascii="宋体" w:hAnsi="宋体" w:eastAsia="宋体" w:cs="宋体"/>
                <w:bCs/>
                <w:sz w:val="24"/>
                <w:szCs w:val="24"/>
                <w:highlight w:val="none"/>
              </w:rPr>
            </w:pPr>
          </w:p>
        </w:tc>
        <w:tc>
          <w:tcPr>
            <w:tcW w:w="1342" w:type="dxa"/>
            <w:vAlign w:val="center"/>
          </w:tcPr>
          <w:p w14:paraId="1F392DB0">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职 务</w:t>
            </w:r>
          </w:p>
        </w:tc>
        <w:tc>
          <w:tcPr>
            <w:tcW w:w="1954" w:type="dxa"/>
            <w:vAlign w:val="top"/>
          </w:tcPr>
          <w:p w14:paraId="11FF2875">
            <w:pPr>
              <w:spacing w:line="460" w:lineRule="exact"/>
              <w:rPr>
                <w:rFonts w:hint="eastAsia" w:ascii="宋体" w:hAnsi="宋体" w:eastAsia="宋体" w:cs="宋体"/>
                <w:bCs/>
                <w:sz w:val="24"/>
                <w:szCs w:val="24"/>
                <w:highlight w:val="none"/>
              </w:rPr>
            </w:pPr>
          </w:p>
        </w:tc>
      </w:tr>
      <w:tr w14:paraId="06F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669" w:type="dxa"/>
            <w:vAlign w:val="center"/>
          </w:tcPr>
          <w:p w14:paraId="25CFEE52">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注册时间</w:t>
            </w:r>
          </w:p>
        </w:tc>
        <w:tc>
          <w:tcPr>
            <w:tcW w:w="3120" w:type="dxa"/>
            <w:gridSpan w:val="2"/>
            <w:vAlign w:val="top"/>
          </w:tcPr>
          <w:p w14:paraId="02F56C19">
            <w:pPr>
              <w:spacing w:line="460" w:lineRule="exact"/>
              <w:rPr>
                <w:rFonts w:hint="eastAsia" w:ascii="宋体" w:hAnsi="宋体" w:eastAsia="宋体" w:cs="宋体"/>
                <w:bCs/>
                <w:sz w:val="24"/>
                <w:szCs w:val="24"/>
                <w:highlight w:val="none"/>
              </w:rPr>
            </w:pPr>
          </w:p>
        </w:tc>
        <w:tc>
          <w:tcPr>
            <w:tcW w:w="1658" w:type="dxa"/>
            <w:vAlign w:val="top"/>
          </w:tcPr>
          <w:p w14:paraId="36B5B580">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经济类型</w:t>
            </w:r>
          </w:p>
        </w:tc>
        <w:tc>
          <w:tcPr>
            <w:tcW w:w="3296" w:type="dxa"/>
            <w:gridSpan w:val="2"/>
            <w:vAlign w:val="top"/>
          </w:tcPr>
          <w:p w14:paraId="5958C568">
            <w:pPr>
              <w:spacing w:line="460" w:lineRule="exact"/>
              <w:rPr>
                <w:rFonts w:hint="eastAsia" w:ascii="宋体" w:hAnsi="宋体" w:eastAsia="宋体" w:cs="宋体"/>
                <w:bCs/>
                <w:sz w:val="24"/>
                <w:szCs w:val="24"/>
                <w:highlight w:val="none"/>
              </w:rPr>
            </w:pPr>
          </w:p>
        </w:tc>
      </w:tr>
      <w:tr w14:paraId="5E73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789" w:type="dxa"/>
            <w:gridSpan w:val="3"/>
            <w:vAlign w:val="center"/>
          </w:tcPr>
          <w:p w14:paraId="28E7305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营业执照号</w:t>
            </w:r>
          </w:p>
        </w:tc>
        <w:tc>
          <w:tcPr>
            <w:tcW w:w="4954" w:type="dxa"/>
            <w:gridSpan w:val="3"/>
            <w:vAlign w:val="center"/>
          </w:tcPr>
          <w:p w14:paraId="2EFD7692">
            <w:pPr>
              <w:spacing w:line="460" w:lineRule="exact"/>
              <w:rPr>
                <w:rFonts w:hint="eastAsia" w:ascii="宋体" w:hAnsi="宋体" w:eastAsia="宋体" w:cs="宋体"/>
                <w:bCs/>
                <w:sz w:val="24"/>
                <w:szCs w:val="24"/>
                <w:highlight w:val="none"/>
              </w:rPr>
            </w:pPr>
          </w:p>
        </w:tc>
      </w:tr>
      <w:tr w14:paraId="3C5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789" w:type="dxa"/>
            <w:gridSpan w:val="3"/>
            <w:vAlign w:val="center"/>
          </w:tcPr>
          <w:p w14:paraId="5AD25622">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近三年内（</w:t>
            </w:r>
            <w:r>
              <w:rPr>
                <w:rFonts w:hint="eastAsia" w:ascii="宋体" w:hAnsi="宋体" w:cs="宋体"/>
                <w:bCs/>
                <w:sz w:val="24"/>
                <w:szCs w:val="24"/>
                <w:highlight w:val="none"/>
                <w:lang w:val="en-US" w:eastAsia="zh-CN"/>
              </w:rPr>
              <w:t>2023</w:t>
            </w:r>
            <w:r>
              <w:rPr>
                <w:rFonts w:hint="eastAsia" w:ascii="宋体" w:hAnsi="宋体" w:eastAsia="宋体" w:cs="宋体"/>
                <w:bCs/>
                <w:sz w:val="24"/>
                <w:szCs w:val="24"/>
                <w:highlight w:val="none"/>
              </w:rPr>
              <w:t>年至202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年）在经营活动中有无重大违法纪录</w:t>
            </w:r>
          </w:p>
        </w:tc>
        <w:tc>
          <w:tcPr>
            <w:tcW w:w="4954" w:type="dxa"/>
            <w:gridSpan w:val="3"/>
            <w:vAlign w:val="center"/>
          </w:tcPr>
          <w:p w14:paraId="159CBD81">
            <w:pPr>
              <w:spacing w:line="460" w:lineRule="exact"/>
              <w:rPr>
                <w:rFonts w:hint="eastAsia" w:ascii="宋体" w:hAnsi="宋体" w:eastAsia="宋体" w:cs="宋体"/>
                <w:bCs/>
                <w:sz w:val="24"/>
                <w:szCs w:val="24"/>
                <w:highlight w:val="none"/>
              </w:rPr>
            </w:pPr>
          </w:p>
        </w:tc>
      </w:tr>
      <w:tr w14:paraId="0154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669" w:type="dxa"/>
            <w:vAlign w:val="center"/>
          </w:tcPr>
          <w:p w14:paraId="5AAA7C8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是否依法缴纳税收</w:t>
            </w:r>
          </w:p>
        </w:tc>
        <w:tc>
          <w:tcPr>
            <w:tcW w:w="3120" w:type="dxa"/>
            <w:gridSpan w:val="2"/>
            <w:vAlign w:val="top"/>
          </w:tcPr>
          <w:p w14:paraId="497F9C0B">
            <w:pPr>
              <w:spacing w:line="460" w:lineRule="exact"/>
              <w:rPr>
                <w:rFonts w:hint="eastAsia" w:ascii="宋体" w:hAnsi="宋体" w:eastAsia="宋体" w:cs="宋体"/>
                <w:bCs/>
                <w:sz w:val="24"/>
                <w:szCs w:val="24"/>
                <w:highlight w:val="none"/>
              </w:rPr>
            </w:pPr>
          </w:p>
        </w:tc>
        <w:tc>
          <w:tcPr>
            <w:tcW w:w="1658" w:type="dxa"/>
            <w:vAlign w:val="top"/>
          </w:tcPr>
          <w:p w14:paraId="09D7162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是否依法缴纳社会保障资金</w:t>
            </w:r>
          </w:p>
        </w:tc>
        <w:tc>
          <w:tcPr>
            <w:tcW w:w="3296" w:type="dxa"/>
            <w:gridSpan w:val="2"/>
            <w:vAlign w:val="top"/>
          </w:tcPr>
          <w:p w14:paraId="4C3BDCBC">
            <w:pPr>
              <w:spacing w:line="460" w:lineRule="exact"/>
              <w:rPr>
                <w:rFonts w:hint="eastAsia" w:ascii="宋体" w:hAnsi="宋体" w:eastAsia="宋体" w:cs="宋体"/>
                <w:bCs/>
                <w:sz w:val="24"/>
                <w:szCs w:val="24"/>
                <w:highlight w:val="none"/>
              </w:rPr>
            </w:pPr>
          </w:p>
        </w:tc>
      </w:tr>
      <w:tr w14:paraId="281C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669" w:type="dxa"/>
            <w:vMerge w:val="restart"/>
            <w:vAlign w:val="top"/>
          </w:tcPr>
          <w:p w14:paraId="76F90EFC">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w:t>
            </w:r>
          </w:p>
          <w:p w14:paraId="0262CB3A">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位</w:t>
            </w:r>
          </w:p>
          <w:p w14:paraId="03FA9E4C">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概</w:t>
            </w:r>
          </w:p>
          <w:p w14:paraId="59AF40F6">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况</w:t>
            </w:r>
          </w:p>
        </w:tc>
        <w:tc>
          <w:tcPr>
            <w:tcW w:w="1439" w:type="dxa"/>
            <w:vAlign w:val="center"/>
          </w:tcPr>
          <w:p w14:paraId="63C0D8A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注册资本</w:t>
            </w:r>
          </w:p>
        </w:tc>
        <w:tc>
          <w:tcPr>
            <w:tcW w:w="1681" w:type="dxa"/>
            <w:vAlign w:val="top"/>
          </w:tcPr>
          <w:p w14:paraId="33BA5F1F">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万元</w:t>
            </w:r>
          </w:p>
        </w:tc>
        <w:tc>
          <w:tcPr>
            <w:tcW w:w="1658" w:type="dxa"/>
            <w:vAlign w:val="top"/>
          </w:tcPr>
          <w:p w14:paraId="57577A20">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占地面积</w:t>
            </w:r>
          </w:p>
        </w:tc>
        <w:tc>
          <w:tcPr>
            <w:tcW w:w="3296" w:type="dxa"/>
            <w:gridSpan w:val="2"/>
            <w:vAlign w:val="top"/>
          </w:tcPr>
          <w:p w14:paraId="2D88699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平方米</w:t>
            </w:r>
          </w:p>
        </w:tc>
      </w:tr>
      <w:tr w14:paraId="156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669" w:type="dxa"/>
            <w:vMerge w:val="continue"/>
            <w:vAlign w:val="top"/>
          </w:tcPr>
          <w:p w14:paraId="575118B8">
            <w:pPr>
              <w:spacing w:line="460" w:lineRule="exact"/>
              <w:rPr>
                <w:rFonts w:hint="eastAsia" w:ascii="宋体" w:hAnsi="宋体" w:eastAsia="宋体" w:cs="宋体"/>
                <w:bCs/>
                <w:sz w:val="24"/>
                <w:szCs w:val="24"/>
                <w:highlight w:val="none"/>
              </w:rPr>
            </w:pPr>
          </w:p>
        </w:tc>
        <w:tc>
          <w:tcPr>
            <w:tcW w:w="1439" w:type="dxa"/>
            <w:vAlign w:val="center"/>
          </w:tcPr>
          <w:p w14:paraId="3515157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职工总数</w:t>
            </w:r>
          </w:p>
        </w:tc>
        <w:tc>
          <w:tcPr>
            <w:tcW w:w="1681" w:type="dxa"/>
            <w:vAlign w:val="top"/>
          </w:tcPr>
          <w:p w14:paraId="02E464D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人</w:t>
            </w:r>
          </w:p>
        </w:tc>
        <w:tc>
          <w:tcPr>
            <w:tcW w:w="1658" w:type="dxa"/>
            <w:vAlign w:val="top"/>
          </w:tcPr>
          <w:p w14:paraId="3F29EFB0">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建筑面积</w:t>
            </w:r>
          </w:p>
        </w:tc>
        <w:tc>
          <w:tcPr>
            <w:tcW w:w="3296" w:type="dxa"/>
            <w:gridSpan w:val="2"/>
            <w:vAlign w:val="top"/>
          </w:tcPr>
          <w:p w14:paraId="2DF2F96F">
            <w:pPr>
              <w:spacing w:line="460" w:lineRule="exact"/>
              <w:ind w:firstLine="1800" w:firstLineChars="7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平方米</w:t>
            </w:r>
          </w:p>
        </w:tc>
      </w:tr>
      <w:tr w14:paraId="19A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69" w:type="dxa"/>
            <w:vMerge w:val="continue"/>
            <w:vAlign w:val="top"/>
          </w:tcPr>
          <w:p w14:paraId="19737ECE">
            <w:pPr>
              <w:spacing w:line="460" w:lineRule="exact"/>
              <w:rPr>
                <w:rFonts w:hint="eastAsia" w:ascii="宋体" w:hAnsi="宋体" w:eastAsia="宋体" w:cs="宋体"/>
                <w:bCs/>
                <w:sz w:val="24"/>
                <w:szCs w:val="24"/>
                <w:highlight w:val="none"/>
              </w:rPr>
            </w:pPr>
          </w:p>
        </w:tc>
        <w:tc>
          <w:tcPr>
            <w:tcW w:w="1439" w:type="dxa"/>
            <w:vMerge w:val="restart"/>
            <w:vAlign w:val="center"/>
          </w:tcPr>
          <w:p w14:paraId="72D5111C">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资产</w:t>
            </w:r>
          </w:p>
          <w:p w14:paraId="340AD208">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情况</w:t>
            </w:r>
          </w:p>
        </w:tc>
        <w:tc>
          <w:tcPr>
            <w:tcW w:w="3339" w:type="dxa"/>
            <w:gridSpan w:val="2"/>
            <w:vAlign w:val="center"/>
          </w:tcPr>
          <w:p w14:paraId="30387867">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净资产：        万元</w:t>
            </w:r>
          </w:p>
        </w:tc>
        <w:tc>
          <w:tcPr>
            <w:tcW w:w="3296" w:type="dxa"/>
            <w:gridSpan w:val="2"/>
            <w:vMerge w:val="restart"/>
            <w:vAlign w:val="top"/>
          </w:tcPr>
          <w:p w14:paraId="04BADC8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固定资产原值 ：     万元</w:t>
            </w:r>
          </w:p>
          <w:p w14:paraId="7B0DABDA">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固定资产净值：      万元</w:t>
            </w:r>
          </w:p>
        </w:tc>
      </w:tr>
      <w:tr w14:paraId="6109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9" w:type="dxa"/>
            <w:vMerge w:val="continue"/>
            <w:vAlign w:val="top"/>
          </w:tcPr>
          <w:p w14:paraId="01BC2C7B">
            <w:pPr>
              <w:spacing w:line="460" w:lineRule="exact"/>
              <w:rPr>
                <w:rFonts w:hint="eastAsia" w:ascii="宋体" w:hAnsi="宋体" w:eastAsia="宋体" w:cs="宋体"/>
                <w:bCs/>
                <w:sz w:val="24"/>
                <w:szCs w:val="24"/>
                <w:highlight w:val="none"/>
              </w:rPr>
            </w:pPr>
          </w:p>
        </w:tc>
        <w:tc>
          <w:tcPr>
            <w:tcW w:w="1439" w:type="dxa"/>
            <w:vMerge w:val="continue"/>
            <w:vAlign w:val="top"/>
          </w:tcPr>
          <w:p w14:paraId="79E0AAD2">
            <w:pPr>
              <w:spacing w:line="460" w:lineRule="exact"/>
              <w:rPr>
                <w:rFonts w:hint="eastAsia" w:ascii="宋体" w:hAnsi="宋体" w:eastAsia="宋体" w:cs="宋体"/>
                <w:bCs/>
                <w:sz w:val="24"/>
                <w:szCs w:val="24"/>
                <w:highlight w:val="none"/>
              </w:rPr>
            </w:pPr>
          </w:p>
        </w:tc>
        <w:tc>
          <w:tcPr>
            <w:tcW w:w="3339" w:type="dxa"/>
            <w:gridSpan w:val="2"/>
            <w:vAlign w:val="center"/>
          </w:tcPr>
          <w:p w14:paraId="69FB6B6C">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负 债：         万元</w:t>
            </w:r>
          </w:p>
        </w:tc>
        <w:tc>
          <w:tcPr>
            <w:tcW w:w="3296" w:type="dxa"/>
            <w:gridSpan w:val="2"/>
            <w:vMerge w:val="continue"/>
            <w:vAlign w:val="top"/>
          </w:tcPr>
          <w:p w14:paraId="63FF0794">
            <w:pPr>
              <w:spacing w:line="460" w:lineRule="exact"/>
              <w:rPr>
                <w:rFonts w:hint="eastAsia" w:ascii="宋体" w:hAnsi="宋体" w:eastAsia="宋体" w:cs="宋体"/>
                <w:bCs/>
                <w:sz w:val="24"/>
                <w:szCs w:val="24"/>
                <w:highlight w:val="none"/>
              </w:rPr>
            </w:pPr>
          </w:p>
        </w:tc>
      </w:tr>
      <w:tr w14:paraId="2B7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669" w:type="dxa"/>
            <w:vMerge w:val="restart"/>
            <w:vAlign w:val="center"/>
          </w:tcPr>
          <w:p w14:paraId="3239036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财务状况</w:t>
            </w:r>
          </w:p>
          <w:p w14:paraId="0E227CF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（最近三年</w:t>
            </w:r>
            <w:r>
              <w:rPr>
                <w:rFonts w:hint="eastAsia" w:ascii="宋体" w:hAnsi="宋体" w:cs="宋体"/>
                <w:bCs/>
                <w:sz w:val="24"/>
                <w:szCs w:val="24"/>
                <w:highlight w:val="none"/>
                <w:lang w:val="en-US" w:eastAsia="zh-CN"/>
              </w:rPr>
              <w:t>2023</w:t>
            </w:r>
            <w:r>
              <w:rPr>
                <w:rFonts w:hint="eastAsia" w:ascii="宋体" w:hAnsi="宋体" w:eastAsia="宋体" w:cs="宋体"/>
                <w:bCs/>
                <w:sz w:val="24"/>
                <w:szCs w:val="24"/>
                <w:highlight w:val="none"/>
              </w:rPr>
              <w:t>年至</w:t>
            </w:r>
            <w:r>
              <w:rPr>
                <w:rFonts w:hint="eastAsia" w:ascii="宋体" w:hAnsi="宋体" w:cs="宋体"/>
                <w:bCs/>
                <w:sz w:val="24"/>
                <w:szCs w:val="24"/>
                <w:highlight w:val="none"/>
                <w:lang w:val="en-US" w:eastAsia="zh-CN"/>
              </w:rPr>
              <w:t>2025</w:t>
            </w:r>
            <w:r>
              <w:rPr>
                <w:rFonts w:hint="eastAsia" w:ascii="宋体" w:hAnsi="宋体" w:eastAsia="宋体" w:cs="宋体"/>
                <w:bCs/>
                <w:sz w:val="24"/>
                <w:szCs w:val="24"/>
                <w:highlight w:val="none"/>
              </w:rPr>
              <w:t>）</w:t>
            </w:r>
          </w:p>
        </w:tc>
        <w:tc>
          <w:tcPr>
            <w:tcW w:w="1439" w:type="dxa"/>
            <w:vAlign w:val="top"/>
          </w:tcPr>
          <w:p w14:paraId="315A2E8E">
            <w:pPr>
              <w:spacing w:line="4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年份</w:t>
            </w:r>
          </w:p>
        </w:tc>
        <w:tc>
          <w:tcPr>
            <w:tcW w:w="1681" w:type="dxa"/>
            <w:vAlign w:val="center"/>
          </w:tcPr>
          <w:p w14:paraId="36252FFE">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主营收入</w:t>
            </w:r>
          </w:p>
          <w:p w14:paraId="005E9789">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658" w:type="dxa"/>
            <w:vAlign w:val="center"/>
          </w:tcPr>
          <w:p w14:paraId="0F96ADBD">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收入总额</w:t>
            </w:r>
          </w:p>
          <w:p w14:paraId="24F53B8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342" w:type="dxa"/>
            <w:vAlign w:val="center"/>
          </w:tcPr>
          <w:p w14:paraId="5F07174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利润总额</w:t>
            </w:r>
          </w:p>
          <w:p w14:paraId="307911B3">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c>
          <w:tcPr>
            <w:tcW w:w="1954" w:type="dxa"/>
            <w:vAlign w:val="center"/>
          </w:tcPr>
          <w:p w14:paraId="46BF0683">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净利润</w:t>
            </w:r>
          </w:p>
          <w:p w14:paraId="72DAB876">
            <w:pPr>
              <w:spacing w:line="460" w:lineRule="exact"/>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（万元）</w:t>
            </w:r>
          </w:p>
        </w:tc>
      </w:tr>
      <w:tr w14:paraId="634D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669" w:type="dxa"/>
            <w:vMerge w:val="continue"/>
            <w:vAlign w:val="center"/>
          </w:tcPr>
          <w:p w14:paraId="749E3D1B">
            <w:pPr>
              <w:spacing w:line="460" w:lineRule="exact"/>
              <w:rPr>
                <w:rFonts w:hint="eastAsia" w:ascii="宋体" w:hAnsi="宋体" w:eastAsia="宋体" w:cs="宋体"/>
                <w:bCs/>
                <w:sz w:val="24"/>
                <w:szCs w:val="24"/>
                <w:highlight w:val="none"/>
              </w:rPr>
            </w:pPr>
          </w:p>
        </w:tc>
        <w:tc>
          <w:tcPr>
            <w:tcW w:w="1439" w:type="dxa"/>
            <w:vAlign w:val="center"/>
          </w:tcPr>
          <w:p w14:paraId="5AE398AB">
            <w:pPr>
              <w:spacing w:line="460" w:lineRule="exact"/>
              <w:rPr>
                <w:rFonts w:hint="eastAsia" w:ascii="宋体" w:hAnsi="宋体" w:eastAsia="宋体" w:cs="宋体"/>
                <w:bCs/>
                <w:sz w:val="24"/>
                <w:szCs w:val="24"/>
                <w:highlight w:val="none"/>
              </w:rPr>
            </w:pPr>
          </w:p>
        </w:tc>
        <w:tc>
          <w:tcPr>
            <w:tcW w:w="1681" w:type="dxa"/>
            <w:vAlign w:val="center"/>
          </w:tcPr>
          <w:p w14:paraId="64406C38">
            <w:pPr>
              <w:spacing w:line="460" w:lineRule="exact"/>
              <w:rPr>
                <w:rFonts w:hint="eastAsia" w:ascii="宋体" w:hAnsi="宋体" w:eastAsia="宋体" w:cs="宋体"/>
                <w:bCs/>
                <w:sz w:val="24"/>
                <w:szCs w:val="24"/>
                <w:highlight w:val="none"/>
              </w:rPr>
            </w:pPr>
          </w:p>
        </w:tc>
        <w:tc>
          <w:tcPr>
            <w:tcW w:w="1658" w:type="dxa"/>
            <w:vAlign w:val="center"/>
          </w:tcPr>
          <w:p w14:paraId="2D0516EA">
            <w:pPr>
              <w:spacing w:line="460" w:lineRule="exact"/>
              <w:rPr>
                <w:rFonts w:hint="eastAsia" w:ascii="宋体" w:hAnsi="宋体" w:eastAsia="宋体" w:cs="宋体"/>
                <w:bCs/>
                <w:sz w:val="24"/>
                <w:szCs w:val="24"/>
                <w:highlight w:val="none"/>
              </w:rPr>
            </w:pPr>
          </w:p>
        </w:tc>
        <w:tc>
          <w:tcPr>
            <w:tcW w:w="1342" w:type="dxa"/>
            <w:vAlign w:val="center"/>
          </w:tcPr>
          <w:p w14:paraId="7D52CD4F">
            <w:pPr>
              <w:spacing w:line="460" w:lineRule="exact"/>
              <w:rPr>
                <w:rFonts w:hint="eastAsia" w:ascii="宋体" w:hAnsi="宋体" w:eastAsia="宋体" w:cs="宋体"/>
                <w:bCs/>
                <w:sz w:val="24"/>
                <w:szCs w:val="24"/>
                <w:highlight w:val="none"/>
              </w:rPr>
            </w:pPr>
          </w:p>
        </w:tc>
        <w:tc>
          <w:tcPr>
            <w:tcW w:w="1954" w:type="dxa"/>
            <w:vAlign w:val="center"/>
          </w:tcPr>
          <w:p w14:paraId="72F1792C">
            <w:pPr>
              <w:spacing w:line="460" w:lineRule="exact"/>
              <w:rPr>
                <w:rFonts w:hint="eastAsia" w:ascii="宋体" w:hAnsi="宋体" w:eastAsia="宋体" w:cs="宋体"/>
                <w:bCs/>
                <w:sz w:val="24"/>
                <w:szCs w:val="24"/>
                <w:highlight w:val="none"/>
              </w:rPr>
            </w:pPr>
          </w:p>
        </w:tc>
      </w:tr>
      <w:tr w14:paraId="179F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vMerge w:val="continue"/>
            <w:vAlign w:val="top"/>
          </w:tcPr>
          <w:p w14:paraId="7A8A259B">
            <w:pPr>
              <w:spacing w:line="460" w:lineRule="exact"/>
              <w:rPr>
                <w:rFonts w:hint="eastAsia" w:ascii="宋体" w:hAnsi="宋体" w:eastAsia="宋体" w:cs="宋体"/>
                <w:bCs/>
                <w:sz w:val="24"/>
                <w:szCs w:val="24"/>
                <w:highlight w:val="none"/>
              </w:rPr>
            </w:pPr>
          </w:p>
        </w:tc>
        <w:tc>
          <w:tcPr>
            <w:tcW w:w="1439" w:type="dxa"/>
            <w:vAlign w:val="center"/>
          </w:tcPr>
          <w:p w14:paraId="3DDC04E7">
            <w:pPr>
              <w:spacing w:line="460" w:lineRule="exact"/>
              <w:rPr>
                <w:rFonts w:hint="eastAsia" w:ascii="宋体" w:hAnsi="宋体" w:eastAsia="宋体" w:cs="宋体"/>
                <w:bCs/>
                <w:sz w:val="24"/>
                <w:szCs w:val="24"/>
                <w:highlight w:val="none"/>
              </w:rPr>
            </w:pPr>
          </w:p>
        </w:tc>
        <w:tc>
          <w:tcPr>
            <w:tcW w:w="1681" w:type="dxa"/>
            <w:vAlign w:val="top"/>
          </w:tcPr>
          <w:p w14:paraId="11E2BD0F">
            <w:pPr>
              <w:spacing w:line="460" w:lineRule="exact"/>
              <w:rPr>
                <w:rFonts w:hint="eastAsia" w:ascii="宋体" w:hAnsi="宋体" w:eastAsia="宋体" w:cs="宋体"/>
                <w:bCs/>
                <w:sz w:val="24"/>
                <w:szCs w:val="24"/>
                <w:highlight w:val="none"/>
              </w:rPr>
            </w:pPr>
          </w:p>
        </w:tc>
        <w:tc>
          <w:tcPr>
            <w:tcW w:w="1658" w:type="dxa"/>
            <w:vAlign w:val="top"/>
          </w:tcPr>
          <w:p w14:paraId="04D278FB">
            <w:pPr>
              <w:spacing w:line="460" w:lineRule="exact"/>
              <w:rPr>
                <w:rFonts w:hint="eastAsia" w:ascii="宋体" w:hAnsi="宋体" w:eastAsia="宋体" w:cs="宋体"/>
                <w:bCs/>
                <w:sz w:val="24"/>
                <w:szCs w:val="24"/>
                <w:highlight w:val="none"/>
              </w:rPr>
            </w:pPr>
          </w:p>
        </w:tc>
        <w:tc>
          <w:tcPr>
            <w:tcW w:w="1342" w:type="dxa"/>
            <w:vAlign w:val="top"/>
          </w:tcPr>
          <w:p w14:paraId="044A94A7">
            <w:pPr>
              <w:spacing w:line="460" w:lineRule="exact"/>
              <w:rPr>
                <w:rFonts w:hint="eastAsia" w:ascii="宋体" w:hAnsi="宋体" w:eastAsia="宋体" w:cs="宋体"/>
                <w:bCs/>
                <w:sz w:val="24"/>
                <w:szCs w:val="24"/>
                <w:highlight w:val="none"/>
              </w:rPr>
            </w:pPr>
          </w:p>
        </w:tc>
        <w:tc>
          <w:tcPr>
            <w:tcW w:w="1954" w:type="dxa"/>
            <w:vAlign w:val="top"/>
          </w:tcPr>
          <w:p w14:paraId="48DC20E4">
            <w:pPr>
              <w:spacing w:line="460" w:lineRule="exact"/>
              <w:rPr>
                <w:rFonts w:hint="eastAsia" w:ascii="宋体" w:hAnsi="宋体" w:eastAsia="宋体" w:cs="宋体"/>
                <w:bCs/>
                <w:sz w:val="24"/>
                <w:szCs w:val="24"/>
                <w:highlight w:val="none"/>
              </w:rPr>
            </w:pPr>
          </w:p>
        </w:tc>
      </w:tr>
      <w:tr w14:paraId="070B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vMerge w:val="continue"/>
            <w:vAlign w:val="top"/>
          </w:tcPr>
          <w:p w14:paraId="7AD5C7E2">
            <w:pPr>
              <w:spacing w:line="460" w:lineRule="exact"/>
              <w:rPr>
                <w:rFonts w:hint="eastAsia" w:ascii="宋体" w:hAnsi="宋体" w:eastAsia="宋体" w:cs="宋体"/>
                <w:bCs/>
                <w:sz w:val="24"/>
                <w:szCs w:val="24"/>
                <w:highlight w:val="none"/>
              </w:rPr>
            </w:pPr>
          </w:p>
        </w:tc>
        <w:tc>
          <w:tcPr>
            <w:tcW w:w="1439" w:type="dxa"/>
            <w:vAlign w:val="center"/>
          </w:tcPr>
          <w:p w14:paraId="53F1244A">
            <w:pPr>
              <w:spacing w:line="460" w:lineRule="exact"/>
              <w:rPr>
                <w:rFonts w:hint="eastAsia" w:ascii="宋体" w:hAnsi="宋体" w:eastAsia="宋体" w:cs="宋体"/>
                <w:bCs/>
                <w:sz w:val="24"/>
                <w:szCs w:val="24"/>
                <w:highlight w:val="none"/>
              </w:rPr>
            </w:pPr>
          </w:p>
        </w:tc>
        <w:tc>
          <w:tcPr>
            <w:tcW w:w="1681" w:type="dxa"/>
            <w:vAlign w:val="top"/>
          </w:tcPr>
          <w:p w14:paraId="2A53C07A">
            <w:pPr>
              <w:spacing w:line="460" w:lineRule="exact"/>
              <w:rPr>
                <w:rFonts w:hint="eastAsia" w:ascii="宋体" w:hAnsi="宋体" w:eastAsia="宋体" w:cs="宋体"/>
                <w:bCs/>
                <w:sz w:val="24"/>
                <w:szCs w:val="24"/>
                <w:highlight w:val="none"/>
              </w:rPr>
            </w:pPr>
          </w:p>
        </w:tc>
        <w:tc>
          <w:tcPr>
            <w:tcW w:w="1658" w:type="dxa"/>
            <w:vAlign w:val="top"/>
          </w:tcPr>
          <w:p w14:paraId="2F24F7F4">
            <w:pPr>
              <w:spacing w:line="460" w:lineRule="exact"/>
              <w:rPr>
                <w:rFonts w:hint="eastAsia" w:ascii="宋体" w:hAnsi="宋体" w:eastAsia="宋体" w:cs="宋体"/>
                <w:bCs/>
                <w:sz w:val="24"/>
                <w:szCs w:val="24"/>
                <w:highlight w:val="none"/>
              </w:rPr>
            </w:pPr>
          </w:p>
        </w:tc>
        <w:tc>
          <w:tcPr>
            <w:tcW w:w="1342" w:type="dxa"/>
            <w:vAlign w:val="top"/>
          </w:tcPr>
          <w:p w14:paraId="16D00D61">
            <w:pPr>
              <w:spacing w:line="460" w:lineRule="exact"/>
              <w:rPr>
                <w:rFonts w:hint="eastAsia" w:ascii="宋体" w:hAnsi="宋体" w:eastAsia="宋体" w:cs="宋体"/>
                <w:bCs/>
                <w:sz w:val="24"/>
                <w:szCs w:val="24"/>
                <w:highlight w:val="none"/>
              </w:rPr>
            </w:pPr>
          </w:p>
        </w:tc>
        <w:tc>
          <w:tcPr>
            <w:tcW w:w="1954" w:type="dxa"/>
            <w:vAlign w:val="top"/>
          </w:tcPr>
          <w:p w14:paraId="33C680D1">
            <w:pPr>
              <w:spacing w:line="460" w:lineRule="exact"/>
              <w:rPr>
                <w:rFonts w:hint="eastAsia" w:ascii="宋体" w:hAnsi="宋体" w:eastAsia="宋体" w:cs="宋体"/>
                <w:bCs/>
                <w:sz w:val="24"/>
                <w:szCs w:val="24"/>
                <w:highlight w:val="none"/>
              </w:rPr>
            </w:pPr>
          </w:p>
        </w:tc>
      </w:tr>
      <w:tr w14:paraId="17AC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vAlign w:val="top"/>
          </w:tcPr>
          <w:p w14:paraId="1FFC8AAB">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经营范围</w:t>
            </w:r>
          </w:p>
        </w:tc>
        <w:tc>
          <w:tcPr>
            <w:tcW w:w="8074" w:type="dxa"/>
            <w:gridSpan w:val="5"/>
            <w:vAlign w:val="center"/>
          </w:tcPr>
          <w:p w14:paraId="1A1B5F4F">
            <w:pPr>
              <w:spacing w:line="460" w:lineRule="exact"/>
              <w:rPr>
                <w:rFonts w:hint="eastAsia" w:ascii="宋体" w:hAnsi="宋体" w:eastAsia="宋体" w:cs="宋体"/>
                <w:bCs/>
                <w:sz w:val="24"/>
                <w:szCs w:val="24"/>
                <w:highlight w:val="none"/>
              </w:rPr>
            </w:pPr>
          </w:p>
        </w:tc>
      </w:tr>
      <w:tr w14:paraId="5B0C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669" w:type="dxa"/>
            <w:vAlign w:val="top"/>
          </w:tcPr>
          <w:p w14:paraId="632945F6">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备注 </w:t>
            </w:r>
          </w:p>
        </w:tc>
        <w:tc>
          <w:tcPr>
            <w:tcW w:w="8074" w:type="dxa"/>
            <w:gridSpan w:val="5"/>
            <w:vAlign w:val="center"/>
          </w:tcPr>
          <w:p w14:paraId="6AF2CF20">
            <w:pPr>
              <w:spacing w:line="460" w:lineRule="exact"/>
              <w:rPr>
                <w:rFonts w:hint="eastAsia" w:ascii="宋体" w:hAnsi="宋体" w:eastAsia="宋体" w:cs="宋体"/>
                <w:bCs/>
                <w:sz w:val="24"/>
                <w:szCs w:val="24"/>
                <w:highlight w:val="none"/>
              </w:rPr>
            </w:pPr>
          </w:p>
        </w:tc>
      </w:tr>
    </w:tbl>
    <w:p w14:paraId="53189335">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我们保证上述声明中的资料和数据是真实的、正确的，我们同意如贵方要求，可以出示相关证明文件。</w:t>
      </w:r>
    </w:p>
    <w:p w14:paraId="04BCE084">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供应商（单位公章）：</w:t>
      </w:r>
      <w:r>
        <w:rPr>
          <w:rFonts w:hint="eastAsia" w:ascii="宋体" w:hAnsi="宋体" w:eastAsia="宋体" w:cs="宋体"/>
          <w:sz w:val="24"/>
          <w:szCs w:val="24"/>
          <w:highlight w:val="none"/>
          <w:u w:val="single"/>
        </w:rPr>
        <w:t xml:space="preserve">               </w:t>
      </w:r>
    </w:p>
    <w:p w14:paraId="7810D1A6">
      <w:pPr>
        <w:spacing w:line="46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授权代表签字或盖章：</w:t>
      </w:r>
      <w:r>
        <w:rPr>
          <w:rFonts w:hint="eastAsia" w:ascii="宋体" w:hAnsi="宋体" w:eastAsia="宋体" w:cs="宋体"/>
          <w:sz w:val="24"/>
          <w:szCs w:val="24"/>
          <w:highlight w:val="none"/>
          <w:u w:val="single"/>
        </w:rPr>
        <w:t xml:space="preserve">               </w:t>
      </w:r>
    </w:p>
    <w:p w14:paraId="18559207">
      <w:pPr>
        <w:spacing w:line="4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电话号和传真号：</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 xml:space="preserve">                  </w:t>
      </w:r>
    </w:p>
    <w:p w14:paraId="11046FAA">
      <w:pPr>
        <w:spacing w:line="460" w:lineRule="exac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7A1827AD">
      <w:pPr>
        <w:tabs>
          <w:tab w:val="left" w:pos="6300"/>
        </w:tabs>
        <w:snapToGrid w:val="0"/>
        <w:spacing w:line="500" w:lineRule="exact"/>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 xml:space="preserve">格式5  </w:t>
      </w:r>
      <w:r>
        <w:rPr>
          <w:rFonts w:hint="eastAsia" w:ascii="宋体" w:hAnsi="宋体" w:eastAsia="宋体" w:cs="宋体"/>
          <w:b/>
          <w:bCs/>
          <w:sz w:val="24"/>
          <w:szCs w:val="24"/>
          <w:highlight w:val="none"/>
        </w:rPr>
        <w:t xml:space="preserve"> 诚信声明</w:t>
      </w:r>
    </w:p>
    <w:p w14:paraId="12943936">
      <w:pPr>
        <w:tabs>
          <w:tab w:val="left" w:pos="6300"/>
        </w:tabs>
        <w:snapToGrid w:val="0"/>
        <w:spacing w:line="500" w:lineRule="exact"/>
        <w:ind w:firstLine="570"/>
        <w:rPr>
          <w:rFonts w:hint="eastAsia" w:ascii="宋体" w:hAnsi="宋体" w:eastAsia="宋体" w:cs="宋体"/>
          <w:sz w:val="24"/>
          <w:szCs w:val="24"/>
          <w:highlight w:val="none"/>
        </w:rPr>
      </w:pPr>
    </w:p>
    <w:p w14:paraId="69207BF4">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sz w:val="24"/>
          <w:szCs w:val="24"/>
          <w:highlight w:val="none"/>
          <w:u w:val="single"/>
        </w:rPr>
        <w:t xml:space="preserve">               </w:t>
      </w:r>
    </w:p>
    <w:p w14:paraId="69B8ADD4">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bCs/>
          <w:sz w:val="24"/>
          <w:szCs w:val="24"/>
          <w:highlight w:val="none"/>
        </w:rPr>
        <w:t>）</w:t>
      </w:r>
    </w:p>
    <w:p w14:paraId="0E683E51">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资格条件。我方对以上声明负全部法律责任。</w:t>
      </w:r>
    </w:p>
    <w:p w14:paraId="6D89A064">
      <w:pPr>
        <w:spacing w:line="48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特此声明。</w:t>
      </w:r>
    </w:p>
    <w:p w14:paraId="6756C242">
      <w:pPr>
        <w:spacing w:line="480" w:lineRule="auto"/>
        <w:ind w:firstLine="480" w:firstLineChars="200"/>
        <w:rPr>
          <w:rFonts w:hint="eastAsia" w:ascii="宋体" w:hAnsi="宋体" w:eastAsia="宋体" w:cs="宋体"/>
          <w:bCs/>
          <w:sz w:val="24"/>
          <w:szCs w:val="24"/>
          <w:highlight w:val="none"/>
        </w:rPr>
      </w:pPr>
    </w:p>
    <w:p w14:paraId="3A14E396">
      <w:pPr>
        <w:spacing w:line="480" w:lineRule="auto"/>
        <w:ind w:firstLine="480" w:firstLineChars="200"/>
        <w:rPr>
          <w:rFonts w:hint="eastAsia" w:ascii="宋体" w:hAnsi="宋体" w:eastAsia="宋体" w:cs="宋体"/>
          <w:bCs/>
          <w:sz w:val="24"/>
          <w:szCs w:val="24"/>
          <w:highlight w:val="none"/>
        </w:rPr>
      </w:pPr>
    </w:p>
    <w:p w14:paraId="7701C017">
      <w:pPr>
        <w:pStyle w:val="14"/>
        <w:ind w:left="1117" w:leftChars="532" w:firstLine="240" w:firstLineChars="10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lang w:eastAsia="zh-CN"/>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（盖章）</w:t>
      </w:r>
    </w:p>
    <w:p w14:paraId="518DA05B">
      <w:pPr>
        <w:spacing w:line="480" w:lineRule="auto"/>
        <w:ind w:firstLine="480" w:firstLineChars="20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月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88B2B6B">
      <w:pPr>
        <w:tabs>
          <w:tab w:val="left" w:pos="6300"/>
        </w:tabs>
        <w:snapToGrid w:val="0"/>
        <w:spacing w:line="360" w:lineRule="auto"/>
        <w:rPr>
          <w:rFonts w:hint="eastAsia" w:ascii="宋体" w:hAnsi="宋体" w:eastAsia="宋体" w:cs="宋体"/>
          <w:b/>
          <w:sz w:val="24"/>
          <w:szCs w:val="24"/>
          <w:highlight w:val="none"/>
        </w:rPr>
      </w:pPr>
    </w:p>
    <w:p w14:paraId="288A040D">
      <w:pPr>
        <w:rPr>
          <w:rFonts w:hint="eastAsia" w:ascii="宋体" w:hAnsi="宋体" w:eastAsia="宋体" w:cs="宋体"/>
          <w:sz w:val="24"/>
          <w:szCs w:val="24"/>
          <w:highlight w:val="none"/>
        </w:rPr>
      </w:pPr>
    </w:p>
    <w:p w14:paraId="0E9F9843">
      <w:pPr>
        <w:rPr>
          <w:rFonts w:hint="eastAsia" w:ascii="宋体" w:hAnsi="宋体" w:eastAsia="宋体" w:cs="宋体"/>
          <w:b/>
          <w:sz w:val="24"/>
          <w:szCs w:val="24"/>
          <w:highlight w:val="none"/>
        </w:rPr>
      </w:pPr>
    </w:p>
    <w:p w14:paraId="27D7E9DC">
      <w:pPr>
        <w:rPr>
          <w:rFonts w:hint="eastAsia" w:ascii="宋体" w:hAnsi="宋体" w:eastAsia="宋体" w:cs="宋体"/>
          <w:sz w:val="24"/>
          <w:szCs w:val="24"/>
          <w:highlight w:val="none"/>
        </w:rPr>
      </w:pPr>
    </w:p>
    <w:p w14:paraId="7D475FA9">
      <w:pPr>
        <w:rPr>
          <w:rFonts w:hint="eastAsia" w:ascii="宋体" w:hAnsi="宋体" w:eastAsia="宋体" w:cs="宋体"/>
          <w:b/>
          <w:sz w:val="24"/>
          <w:szCs w:val="24"/>
          <w:highlight w:val="none"/>
        </w:rPr>
      </w:pPr>
    </w:p>
    <w:p w14:paraId="7CC15463">
      <w:pPr>
        <w:rPr>
          <w:rFonts w:hint="eastAsia" w:ascii="宋体" w:hAnsi="宋体" w:eastAsia="宋体" w:cs="宋体"/>
          <w:sz w:val="24"/>
          <w:szCs w:val="24"/>
          <w:highlight w:val="none"/>
        </w:rPr>
      </w:pPr>
    </w:p>
    <w:p w14:paraId="5543380B">
      <w:pPr>
        <w:rPr>
          <w:rFonts w:hint="eastAsia" w:ascii="宋体" w:hAnsi="宋体" w:eastAsia="宋体" w:cs="宋体"/>
          <w:sz w:val="24"/>
          <w:szCs w:val="24"/>
          <w:highlight w:val="none"/>
        </w:rPr>
      </w:pPr>
    </w:p>
    <w:p w14:paraId="61FE35D3">
      <w:pPr>
        <w:pStyle w:val="40"/>
        <w:widowControl/>
        <w:spacing w:line="360" w:lineRule="auto"/>
        <w:ind w:left="0" w:firstLine="0" w:firstLineChars="0"/>
        <w:jc w:val="center"/>
        <w:rPr>
          <w:rFonts w:hint="eastAsia" w:ascii="宋体" w:hAnsi="宋体" w:eastAsia="宋体" w:cs="宋体"/>
          <w:b/>
          <w:bCs/>
          <w:color w:val="auto"/>
          <w:sz w:val="28"/>
          <w:szCs w:val="28"/>
          <w:highlight w:val="none"/>
          <w:lang w:val="en-US"/>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 xml:space="preserve">格式6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lang w:eastAsia="zh-CN"/>
        </w:rPr>
        <w:t>无重大违法记录承诺书</w:t>
      </w:r>
    </w:p>
    <w:p w14:paraId="70F1DACF">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5D0079AD">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致</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color w:val="auto"/>
          <w:kern w:val="2"/>
          <w:sz w:val="24"/>
          <w:szCs w:val="24"/>
          <w:highlight w:val="none"/>
          <w:u w:val="single"/>
          <w:lang w:val="en-US" w:eastAsia="zh-CN" w:bidi="ar"/>
        </w:rPr>
        <w:t>）：</w:t>
      </w:r>
    </w:p>
    <w:p w14:paraId="6300840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p>
    <w:p w14:paraId="2A87E25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名称）</w:t>
      </w:r>
      <w:r>
        <w:rPr>
          <w:rFonts w:hint="eastAsia" w:ascii="宋体" w:hAnsi="宋体" w:eastAsia="宋体" w:cs="宋体"/>
          <w:color w:val="auto"/>
          <w:kern w:val="2"/>
          <w:sz w:val="24"/>
          <w:szCs w:val="24"/>
          <w:highlight w:val="none"/>
          <w:lang w:val="en-US" w:eastAsia="zh-CN" w:bidi="ar"/>
        </w:rPr>
        <w:t>在参加本次投标截止之日起前三年内，我公司未因违法经营受到刑事处罚或者责令停产停业、吊销许可证或者执照、较大数额罚款等行政处罚。</w:t>
      </w:r>
    </w:p>
    <w:p w14:paraId="4EE0441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特此声明。</w:t>
      </w:r>
    </w:p>
    <w:p w14:paraId="6724A6D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p w14:paraId="5EAB2ED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供应商全称（加盖公章）：</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p>
    <w:p w14:paraId="7214CAF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供应商地址：</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p>
    <w:p w14:paraId="3431A7E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法定代表人（签字或盖章）：</w:t>
      </w:r>
      <w:r>
        <w:rPr>
          <w:rFonts w:hint="eastAsia" w:ascii="宋体" w:hAnsi="宋体" w:eastAsia="宋体" w:cs="宋体"/>
          <w:color w:val="auto"/>
          <w:kern w:val="2"/>
          <w:sz w:val="24"/>
          <w:szCs w:val="24"/>
          <w:highlight w:val="none"/>
          <w:u w:val="single"/>
          <w:lang w:val="en-US" w:eastAsia="zh-CN" w:bidi="ar"/>
        </w:rPr>
        <w:t>           </w:t>
      </w:r>
    </w:p>
    <w:p w14:paraId="6025FC5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被授权人（签字或盖章）：</w:t>
      </w:r>
      <w:r>
        <w:rPr>
          <w:rFonts w:hint="eastAsia" w:ascii="宋体" w:hAnsi="宋体" w:eastAsia="宋体" w:cs="宋体"/>
          <w:color w:val="auto"/>
          <w:kern w:val="2"/>
          <w:sz w:val="24"/>
          <w:szCs w:val="24"/>
          <w:highlight w:val="none"/>
          <w:u w:val="single"/>
          <w:lang w:val="en-US" w:eastAsia="zh-CN" w:bidi="ar"/>
        </w:rPr>
        <w:t>            </w:t>
      </w:r>
    </w:p>
    <w:p w14:paraId="4219B983">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手机：</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spacing w:val="4"/>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w:t>
      </w:r>
      <w:r>
        <w:rPr>
          <w:rFonts w:hint="eastAsia" w:ascii="宋体" w:hAnsi="宋体" w:eastAsia="宋体" w:cs="宋体"/>
          <w:color w:val="auto"/>
          <w:kern w:val="2"/>
          <w:sz w:val="24"/>
          <w:szCs w:val="24"/>
          <w:highlight w:val="none"/>
          <w:lang w:val="en-US" w:eastAsia="zh-CN" w:bidi="ar"/>
        </w:rPr>
        <w:t> </w:t>
      </w:r>
    </w:p>
    <w:p w14:paraId="70BFCAB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年  月   日</w:t>
      </w:r>
    </w:p>
    <w:p w14:paraId="0A35D6AF">
      <w:pPr>
        <w:pStyle w:val="21"/>
        <w:widowControl/>
        <w:spacing w:before="75" w:beforeAutospacing="0" w:after="75" w:afterAutospacing="0" w:line="360" w:lineRule="auto"/>
        <w:ind w:left="0" w:right="0"/>
        <w:rPr>
          <w:rFonts w:hint="eastAsia" w:ascii="宋体" w:hAnsi="宋体" w:eastAsia="宋体" w:cs="宋体"/>
          <w:bCs w:val="0"/>
          <w:color w:val="auto"/>
          <w:sz w:val="28"/>
          <w:szCs w:val="28"/>
          <w:highlight w:val="none"/>
          <w:lang w:val="en-US"/>
        </w:rPr>
      </w:pPr>
      <w:r>
        <w:rPr>
          <w:rFonts w:hint="eastAsia" w:ascii="宋体" w:hAnsi="宋体" w:eastAsia="宋体" w:cs="宋体"/>
          <w:b/>
          <w:bCs w:val="0"/>
          <w:color w:val="auto"/>
          <w:sz w:val="24"/>
          <w:szCs w:val="24"/>
          <w:highlight w:val="none"/>
          <w:lang w:eastAsia="zh-CN"/>
        </w:rPr>
        <w:t>说明：投标截止前</w:t>
      </w:r>
      <w:r>
        <w:rPr>
          <w:rFonts w:hint="eastAsia" w:ascii="宋体" w:hAnsi="宋体" w:eastAsia="宋体" w:cs="宋体"/>
          <w:b/>
          <w:bCs w:val="0"/>
          <w:color w:val="auto"/>
          <w:sz w:val="24"/>
          <w:szCs w:val="24"/>
          <w:highlight w:val="none"/>
          <w:lang w:val="en-US"/>
        </w:rPr>
        <w:t>3</w:t>
      </w:r>
      <w:r>
        <w:rPr>
          <w:rFonts w:hint="eastAsia" w:ascii="宋体" w:hAnsi="宋体" w:eastAsia="宋体" w:cs="宋体"/>
          <w:b/>
          <w:bCs w:val="0"/>
          <w:color w:val="auto"/>
          <w:sz w:val="24"/>
          <w:szCs w:val="24"/>
          <w:highlight w:val="none"/>
          <w:lang w:eastAsia="zh-CN"/>
        </w:rPr>
        <w:t>年内供应商的信用记录若存在受到罚款的行政处罚且未显示具体数额时，应提供行政处罚决定书或书面说明其罚款数额。</w:t>
      </w:r>
    </w:p>
    <w:p w14:paraId="493C23AE">
      <w:pPr>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br w:type="page"/>
      </w:r>
    </w:p>
    <w:p w14:paraId="6BD675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格式7</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lang w:val="en-US" w:eastAsia="zh-CN"/>
        </w:rPr>
        <w:t>具有履行合同所必需的设备和专业技术能力的承诺书</w:t>
      </w:r>
    </w:p>
    <w:p w14:paraId="6CAF098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5C52DC1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采购人、采购代理机构</w:t>
      </w:r>
      <w:r>
        <w:rPr>
          <w:rFonts w:hint="eastAsia" w:ascii="宋体" w:hAnsi="宋体" w:eastAsia="宋体" w:cs="宋体"/>
          <w:color w:val="auto"/>
          <w:kern w:val="0"/>
          <w:sz w:val="24"/>
          <w:szCs w:val="24"/>
          <w:highlight w:val="none"/>
          <w:lang w:val="en-US" w:eastAsia="zh-CN" w:bidi="ar"/>
        </w:rPr>
        <w:t xml:space="preserve">)： </w:t>
      </w:r>
    </w:p>
    <w:p w14:paraId="427C8CB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我公司自愿参加由贵公司组织的</w:t>
      </w:r>
      <w:r>
        <w:rPr>
          <w:rFonts w:hint="eastAsia" w:ascii="宋体" w:hAnsi="宋体" w:eastAsia="宋体" w:cs="宋体"/>
          <w:color w:val="auto"/>
          <w:kern w:val="0"/>
          <w:sz w:val="24"/>
          <w:szCs w:val="24"/>
          <w:highlight w:val="none"/>
          <w:u w:val="single"/>
          <w:lang w:val="en-US" w:eastAsia="zh-CN" w:bidi="ar"/>
        </w:rPr>
        <w:t xml:space="preserve"> 采购文件编号      采购项目名称</w:t>
      </w:r>
      <w:r>
        <w:rPr>
          <w:rFonts w:hint="eastAsia" w:ascii="宋体" w:hAnsi="宋体" w:eastAsia="宋体" w:cs="宋体"/>
          <w:color w:val="auto"/>
          <w:kern w:val="0"/>
          <w:sz w:val="24"/>
          <w:szCs w:val="24"/>
          <w:highlight w:val="none"/>
          <w:lang w:val="en-US" w:eastAsia="zh-CN" w:bidi="ar"/>
        </w:rPr>
        <w:t xml:space="preserve">采购活动，在此郑重承诺： </w:t>
      </w:r>
    </w:p>
    <w:p w14:paraId="3FA704B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bidi="ar"/>
        </w:rPr>
      </w:pPr>
      <w:r>
        <w:rPr>
          <w:rFonts w:hint="eastAsia" w:ascii="宋体" w:hAnsi="宋体" w:eastAsia="宋体" w:cs="宋体"/>
          <w:color w:val="auto"/>
          <w:kern w:val="0"/>
          <w:sz w:val="24"/>
          <w:szCs w:val="24"/>
          <w:highlight w:val="none"/>
          <w:lang w:val="en-US" w:eastAsia="zh-CN" w:bidi="ar"/>
        </w:rPr>
        <w:t xml:space="preserve">我公司完全理解本项目采购的技术要求、商务条款及其他内容，决定参与该项目的投标活动。并承诺，如成交我公司将提供足够的产品和专业技术能力保证本合同履行。 </w:t>
      </w:r>
    </w:p>
    <w:p w14:paraId="08EFDA7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 xml:space="preserve">本公司对以上承诺的真实性负责。如有虚假，我公司同意按我方合同违约处理，并依法承担相应的法律责任。 </w:t>
      </w:r>
    </w:p>
    <w:p w14:paraId="3F3E972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bidi="ar"/>
        </w:rPr>
      </w:pPr>
    </w:p>
    <w:p w14:paraId="7C0620B0">
      <w:pPr>
        <w:pStyle w:val="14"/>
        <w:ind w:left="1117" w:leftChars="532" w:firstLine="240" w:firstLineChars="10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lang w:eastAsia="zh-CN"/>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（盖章）</w:t>
      </w:r>
    </w:p>
    <w:p w14:paraId="568B56D3">
      <w:pPr>
        <w:spacing w:line="480" w:lineRule="auto"/>
        <w:ind w:firstLine="480" w:firstLineChars="20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月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671255A">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332D54B">
      <w:pPr>
        <w:spacing w:line="440" w:lineRule="exact"/>
        <w:jc w:val="center"/>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格式8</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响  应  函</w:t>
      </w:r>
    </w:p>
    <w:p w14:paraId="26D39EA8">
      <w:pPr>
        <w:spacing w:line="360" w:lineRule="auto"/>
        <w:ind w:firstLine="480" w:firstLineChars="200"/>
        <w:rPr>
          <w:rFonts w:hint="eastAsia" w:ascii="宋体" w:hAnsi="宋体" w:eastAsia="宋体" w:cs="宋体"/>
          <w:kern w:val="0"/>
          <w:sz w:val="24"/>
          <w:szCs w:val="24"/>
          <w:highlight w:val="none"/>
        </w:rPr>
      </w:pPr>
    </w:p>
    <w:p w14:paraId="2180CAAF">
      <w:pPr>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克拉玛依市克拉玛依区迎宾街道社区卫生服务中心</w:t>
      </w:r>
      <w:r>
        <w:rPr>
          <w:rFonts w:hint="eastAsia" w:ascii="宋体" w:hAnsi="宋体" w:eastAsia="宋体" w:cs="宋体"/>
          <w:sz w:val="24"/>
          <w:szCs w:val="24"/>
          <w:highlight w:val="none"/>
        </w:rPr>
        <w:t>：</w:t>
      </w:r>
    </w:p>
    <w:p w14:paraId="477A8C95">
      <w:pPr>
        <w:pStyle w:val="14"/>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我方全面研究了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”项目磋商文件（文件编号：</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），决定参加本项目竞争性磋商。我方授权</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（姓名、职务）代表我方</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（供应商的名称）全权处理本项目磋商的有关事宜。</w:t>
      </w:r>
    </w:p>
    <w:p w14:paraId="262EEA35">
      <w:pPr>
        <w:pStyle w:val="14"/>
        <w:ind w:left="0" w:firstLine="420" w:firstLineChars="175"/>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1、我方自愿按照竞争性磋商文件规定的各项要求向采购人提供所需服务，商务</w:t>
      </w:r>
      <w:r>
        <w:rPr>
          <w:rFonts w:hint="eastAsia" w:ascii="宋体" w:hAnsi="宋体" w:cs="宋体"/>
          <w:b w:val="0"/>
          <w:bCs/>
          <w:sz w:val="24"/>
          <w:szCs w:val="24"/>
          <w:highlight w:val="none"/>
          <w:lang w:val="en-US" w:eastAsia="zh-CN"/>
        </w:rPr>
        <w:t>总</w:t>
      </w:r>
      <w:r>
        <w:rPr>
          <w:rFonts w:hint="eastAsia" w:ascii="宋体" w:hAnsi="宋体" w:eastAsia="宋体" w:cs="宋体"/>
          <w:b w:val="0"/>
          <w:bCs/>
          <w:sz w:val="24"/>
          <w:szCs w:val="24"/>
          <w:highlight w:val="none"/>
        </w:rPr>
        <w:t>报价为</w:t>
      </w:r>
      <w:r>
        <w:rPr>
          <w:rFonts w:hint="eastAsia" w:ascii="宋体" w:hAnsi="宋体" w:eastAsia="宋体" w:cs="宋体"/>
          <w:b w:val="0"/>
          <w:bCs/>
          <w:sz w:val="24"/>
          <w:szCs w:val="24"/>
          <w:highlight w:val="none"/>
          <w:u w:val="single"/>
        </w:rPr>
        <w:t>￥</w:t>
      </w:r>
      <w:r>
        <w:rPr>
          <w:rFonts w:hint="eastAsia" w:ascii="宋体" w:hAnsi="宋体" w:cs="宋体"/>
          <w:b w:val="0"/>
          <w:bCs/>
          <w:sz w:val="24"/>
          <w:szCs w:val="24"/>
          <w:highlight w:val="none"/>
          <w:u w:val="single"/>
          <w:lang w:val="en-US" w:eastAsia="zh-CN"/>
        </w:rPr>
        <w:t>90</w:t>
      </w:r>
      <w:r>
        <w:rPr>
          <w:rFonts w:hint="eastAsia" w:ascii="宋体" w:hAnsi="宋体" w:eastAsia="宋体" w:cs="宋体"/>
          <w:b w:val="0"/>
          <w:bCs/>
          <w:sz w:val="24"/>
          <w:szCs w:val="24"/>
          <w:highlight w:val="none"/>
          <w:u w:val="single"/>
        </w:rPr>
        <w:t>元</w:t>
      </w:r>
      <w:r>
        <w:rPr>
          <w:rFonts w:hint="eastAsia" w:ascii="宋体" w:hAnsi="宋体" w:cs="宋体"/>
          <w:b w:val="0"/>
          <w:bCs/>
          <w:sz w:val="24"/>
          <w:szCs w:val="24"/>
          <w:highlight w:val="none"/>
          <w:u w:val="single"/>
          <w:lang w:val="en-US" w:eastAsia="zh-CN"/>
        </w:rPr>
        <w:t>/人/年</w:t>
      </w:r>
      <w:r>
        <w:rPr>
          <w:rFonts w:hint="eastAsia" w:ascii="宋体" w:hAnsi="宋体" w:eastAsia="宋体" w:cs="宋体"/>
          <w:b w:val="0"/>
          <w:bCs/>
          <w:sz w:val="24"/>
          <w:szCs w:val="24"/>
          <w:highlight w:val="none"/>
        </w:rPr>
        <w:t>（大写：</w:t>
      </w:r>
      <w:r>
        <w:rPr>
          <w:rFonts w:hint="eastAsia" w:ascii="宋体" w:hAnsi="宋体" w:eastAsia="宋体" w:cs="宋体"/>
          <w:b w:val="0"/>
          <w:bCs/>
          <w:sz w:val="24"/>
          <w:szCs w:val="24"/>
          <w:highlight w:val="none"/>
          <w:u w:val="single"/>
        </w:rPr>
        <w:t>人民币</w:t>
      </w:r>
      <w:r>
        <w:rPr>
          <w:rFonts w:hint="eastAsia" w:ascii="宋体" w:hAnsi="宋体" w:cs="宋体"/>
          <w:b w:val="0"/>
          <w:bCs/>
          <w:sz w:val="24"/>
          <w:szCs w:val="24"/>
          <w:highlight w:val="none"/>
          <w:u w:val="single"/>
          <w:lang w:val="en-US" w:eastAsia="zh-CN"/>
        </w:rPr>
        <w:t>玖拾元</w:t>
      </w:r>
      <w:r>
        <w:rPr>
          <w:rFonts w:hint="eastAsia" w:ascii="宋体" w:hAnsi="宋体" w:eastAsia="宋体" w:cs="宋体"/>
          <w:b w:val="0"/>
          <w:bCs/>
          <w:sz w:val="24"/>
          <w:szCs w:val="24"/>
          <w:highlight w:val="none"/>
        </w:rPr>
        <w:t>）。</w:t>
      </w:r>
    </w:p>
    <w:p w14:paraId="66F89BF2">
      <w:pPr>
        <w:pStyle w:val="14"/>
        <w:ind w:left="0" w:firstLine="420" w:firstLineChars="175"/>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2、若我方中标，我方将严格履行合同规定的责任和义务，保证按采购人要求及我方承诺完成应尽义务，并交付采购人验收、使用。</w:t>
      </w:r>
    </w:p>
    <w:p w14:paraId="4E03ECF7">
      <w:pPr>
        <w:pStyle w:val="14"/>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3、我方同意本次采购关于响应有效期的相关要求，且承诺响应有效期为响应截止时间届满后</w:t>
      </w:r>
      <w:r>
        <w:rPr>
          <w:rFonts w:hint="eastAsia" w:ascii="宋体" w:hAnsi="宋体" w:eastAsia="宋体" w:cs="宋体"/>
          <w:b w:val="0"/>
          <w:bCs/>
          <w:sz w:val="24"/>
          <w:szCs w:val="24"/>
          <w:highlight w:val="none"/>
          <w:u w:val="single"/>
        </w:rPr>
        <w:t xml:space="preserve"> </w:t>
      </w:r>
      <w:r>
        <w:rPr>
          <w:rFonts w:hint="eastAsia" w:ascii="宋体" w:hAnsi="宋体" w:cs="宋体"/>
          <w:b w:val="0"/>
          <w:bCs/>
          <w:sz w:val="24"/>
          <w:szCs w:val="24"/>
          <w:highlight w:val="none"/>
          <w:u w:val="single"/>
          <w:lang w:val="en-US" w:eastAsia="zh-CN"/>
        </w:rPr>
        <w:t>90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天（日历日）。</w:t>
      </w:r>
    </w:p>
    <w:p w14:paraId="6B117363">
      <w:pPr>
        <w:pStyle w:val="14"/>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、我方愿意提供采购人可能另外要求的，与采购有关的文件资料，并保证我方已提供和将要提供的文件资料是真实、准确的。</w:t>
      </w:r>
    </w:p>
    <w:p w14:paraId="00074784">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供应商名称：</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（盖章）</w:t>
      </w:r>
    </w:p>
    <w:p w14:paraId="7DE8923C">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法定代表人或授权代表（签字）或盖章：</w:t>
      </w:r>
      <w:r>
        <w:rPr>
          <w:rFonts w:hint="eastAsia" w:ascii="宋体" w:hAnsi="宋体" w:eastAsia="宋体" w:cs="宋体"/>
          <w:b w:val="0"/>
          <w:bCs/>
          <w:sz w:val="24"/>
          <w:szCs w:val="24"/>
          <w:highlight w:val="none"/>
          <w:u w:val="single"/>
          <w:lang w:val="en-US" w:eastAsia="zh-CN"/>
        </w:rPr>
        <w:t xml:space="preserve">          </w:t>
      </w:r>
    </w:p>
    <w:p w14:paraId="578F7E87">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通讯地址：</w:t>
      </w:r>
      <w:r>
        <w:rPr>
          <w:rFonts w:hint="eastAsia" w:ascii="宋体" w:hAnsi="宋体" w:eastAsia="宋体" w:cs="宋体"/>
          <w:b w:val="0"/>
          <w:bCs/>
          <w:sz w:val="24"/>
          <w:szCs w:val="24"/>
          <w:highlight w:val="none"/>
          <w:u w:val="single"/>
          <w:lang w:val="en-US" w:eastAsia="zh-CN"/>
        </w:rPr>
        <w:t xml:space="preserve">          </w:t>
      </w:r>
    </w:p>
    <w:p w14:paraId="6AEB3054">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邮政编码：</w:t>
      </w:r>
      <w:r>
        <w:rPr>
          <w:rFonts w:hint="eastAsia" w:ascii="宋体" w:hAnsi="宋体" w:eastAsia="宋体" w:cs="宋体"/>
          <w:b w:val="0"/>
          <w:bCs/>
          <w:sz w:val="24"/>
          <w:szCs w:val="24"/>
          <w:highlight w:val="none"/>
          <w:u w:val="single"/>
          <w:lang w:val="en-US" w:eastAsia="zh-CN"/>
        </w:rPr>
        <w:t xml:space="preserve">          </w:t>
      </w:r>
    </w:p>
    <w:p w14:paraId="430302D1">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联系电话：</w:t>
      </w:r>
      <w:r>
        <w:rPr>
          <w:rFonts w:hint="eastAsia" w:ascii="宋体" w:hAnsi="宋体" w:eastAsia="宋体" w:cs="宋体"/>
          <w:b w:val="0"/>
          <w:bCs/>
          <w:sz w:val="24"/>
          <w:szCs w:val="24"/>
          <w:highlight w:val="none"/>
          <w:u w:val="single"/>
          <w:lang w:val="en-US" w:eastAsia="zh-CN"/>
        </w:rPr>
        <w:t xml:space="preserve">          </w:t>
      </w:r>
    </w:p>
    <w:p w14:paraId="25B1D8BC">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传    真：</w:t>
      </w:r>
      <w:r>
        <w:rPr>
          <w:rFonts w:hint="eastAsia" w:ascii="宋体" w:hAnsi="宋体" w:eastAsia="宋体" w:cs="宋体"/>
          <w:b w:val="0"/>
          <w:bCs/>
          <w:sz w:val="24"/>
          <w:szCs w:val="24"/>
          <w:highlight w:val="none"/>
          <w:u w:val="single"/>
          <w:lang w:val="en-US" w:eastAsia="zh-CN"/>
        </w:rPr>
        <w:t xml:space="preserve">          </w:t>
      </w:r>
    </w:p>
    <w:p w14:paraId="1F0BC8BE">
      <w:pPr>
        <w:pStyle w:val="14"/>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日</w:t>
      </w:r>
    </w:p>
    <w:p w14:paraId="1E93253B">
      <w:pPr>
        <w:pStyle w:val="33"/>
        <w:rPr>
          <w:rFonts w:hint="eastAsia" w:ascii="宋体" w:hAnsi="宋体" w:eastAsia="宋体" w:cs="宋体"/>
          <w:sz w:val="24"/>
          <w:szCs w:val="24"/>
          <w:highlight w:val="none"/>
        </w:rPr>
      </w:pPr>
    </w:p>
    <w:p w14:paraId="58F6890A">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格式</w:t>
      </w:r>
      <w:r>
        <w:rPr>
          <w:rFonts w:hint="eastAsia" w:ascii="宋体" w:hAnsi="宋体" w:cs="宋体"/>
          <w:b/>
          <w:bCs/>
          <w:sz w:val="24"/>
          <w:szCs w:val="24"/>
          <w:highlight w:val="none"/>
          <w:lang w:val="en-US" w:eastAsia="zh-CN"/>
        </w:rPr>
        <w:t>9</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商务报价一览表（首次）</w:t>
      </w:r>
    </w:p>
    <w:p w14:paraId="1DA6DE79">
      <w:pPr>
        <w:spacing w:line="44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2A59127B">
      <w:pPr>
        <w:spacing w:line="440" w:lineRule="exact"/>
        <w:jc w:val="both"/>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币</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种：人民币</w:t>
      </w:r>
    </w:p>
    <w:tbl>
      <w:tblPr>
        <w:tblStyle w:val="24"/>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3120"/>
        <w:gridCol w:w="5848"/>
      </w:tblGrid>
      <w:tr w14:paraId="4B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5" w:hRule="atLeast"/>
          <w:jc w:val="center"/>
        </w:trPr>
        <w:tc>
          <w:tcPr>
            <w:tcW w:w="830" w:type="dxa"/>
            <w:tcBorders>
              <w:top w:val="single" w:color="000000" w:sz="2" w:space="0"/>
              <w:left w:val="single" w:color="000000" w:sz="2" w:space="0"/>
              <w:right w:val="single" w:color="000000" w:sz="2" w:space="0"/>
            </w:tcBorders>
            <w:vAlign w:val="center"/>
          </w:tcPr>
          <w:p w14:paraId="76F09334">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序号</w:t>
            </w:r>
          </w:p>
        </w:tc>
        <w:tc>
          <w:tcPr>
            <w:tcW w:w="3120" w:type="dxa"/>
            <w:tcBorders>
              <w:top w:val="single" w:color="000000" w:sz="2" w:space="0"/>
              <w:left w:val="single" w:color="auto" w:sz="4" w:space="0"/>
            </w:tcBorders>
            <w:vAlign w:val="center"/>
          </w:tcPr>
          <w:p w14:paraId="0AE545FA">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名 称</w:t>
            </w:r>
          </w:p>
        </w:tc>
        <w:tc>
          <w:tcPr>
            <w:tcW w:w="5848" w:type="dxa"/>
            <w:tcBorders>
              <w:top w:val="single" w:color="000000" w:sz="2" w:space="0"/>
              <w:left w:val="single" w:color="auto" w:sz="4" w:space="0"/>
            </w:tcBorders>
            <w:vAlign w:val="center"/>
          </w:tcPr>
          <w:p w14:paraId="718123EB">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内容</w:t>
            </w:r>
          </w:p>
        </w:tc>
      </w:tr>
      <w:tr w14:paraId="232F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5" w:hRule="atLeast"/>
          <w:jc w:val="center"/>
        </w:trPr>
        <w:tc>
          <w:tcPr>
            <w:tcW w:w="830" w:type="dxa"/>
            <w:tcBorders>
              <w:left w:val="single" w:color="000000" w:sz="2" w:space="0"/>
              <w:right w:val="single" w:color="000000" w:sz="2" w:space="0"/>
            </w:tcBorders>
            <w:vAlign w:val="center"/>
          </w:tcPr>
          <w:p w14:paraId="40D237D6">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p>
        </w:tc>
        <w:tc>
          <w:tcPr>
            <w:tcW w:w="3120" w:type="dxa"/>
            <w:tcBorders>
              <w:top w:val="single" w:color="auto" w:sz="4" w:space="0"/>
              <w:left w:val="single" w:color="auto" w:sz="4" w:space="0"/>
              <w:right w:val="single" w:color="auto" w:sz="4" w:space="0"/>
            </w:tcBorders>
            <w:vAlign w:val="center"/>
          </w:tcPr>
          <w:p w14:paraId="6557D892">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lang w:val="en-US" w:eastAsia="zh-CN"/>
              </w:rPr>
              <w:t>报</w:t>
            </w:r>
            <w:r>
              <w:rPr>
                <w:rFonts w:hint="eastAsia" w:ascii="宋体" w:hAnsi="宋体" w:eastAsia="宋体" w:cs="宋体"/>
                <w:b w:val="0"/>
                <w:bCs w:val="0"/>
                <w:color w:val="auto"/>
                <w:sz w:val="24"/>
                <w:szCs w:val="24"/>
                <w:highlight w:val="none"/>
                <w:lang w:eastAsia="zh-CN"/>
              </w:rPr>
              <w:t>价</w:t>
            </w:r>
          </w:p>
        </w:tc>
        <w:tc>
          <w:tcPr>
            <w:tcW w:w="5848" w:type="dxa"/>
            <w:tcBorders>
              <w:top w:val="single" w:color="auto" w:sz="4" w:space="0"/>
              <w:left w:val="single" w:color="auto" w:sz="4" w:space="0"/>
              <w:right w:val="single" w:color="000000" w:sz="2" w:space="0"/>
            </w:tcBorders>
            <w:vAlign w:val="center"/>
          </w:tcPr>
          <w:p w14:paraId="7ED4B120">
            <w:pPr>
              <w:wordWrap w:val="0"/>
              <w:adjustRightInd w:val="0"/>
              <w:snapToGrid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 xml:space="preserve">/人/年   </w:t>
            </w:r>
          </w:p>
        </w:tc>
      </w:tr>
      <w:tr w14:paraId="4FD5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3" w:hRule="atLeast"/>
          <w:jc w:val="center"/>
        </w:trPr>
        <w:tc>
          <w:tcPr>
            <w:tcW w:w="830" w:type="dxa"/>
            <w:tcBorders>
              <w:left w:val="single" w:color="000000" w:sz="2" w:space="0"/>
              <w:bottom w:val="single" w:color="000000" w:sz="2" w:space="0"/>
              <w:right w:val="single" w:color="000000" w:sz="2" w:space="0"/>
            </w:tcBorders>
            <w:vAlign w:val="center"/>
          </w:tcPr>
          <w:p w14:paraId="5E7A0478">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p>
        </w:tc>
        <w:tc>
          <w:tcPr>
            <w:tcW w:w="3120" w:type="dxa"/>
            <w:tcBorders>
              <w:top w:val="single" w:color="auto" w:sz="4" w:space="0"/>
              <w:left w:val="single" w:color="auto" w:sz="4" w:space="0"/>
              <w:bottom w:val="single" w:color="000000" w:sz="2" w:space="0"/>
              <w:right w:val="single" w:color="auto" w:sz="4" w:space="0"/>
            </w:tcBorders>
            <w:vAlign w:val="center"/>
          </w:tcPr>
          <w:p w14:paraId="572A847B">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5848" w:type="dxa"/>
            <w:tcBorders>
              <w:top w:val="single" w:color="auto" w:sz="4" w:space="0"/>
              <w:left w:val="single" w:color="auto" w:sz="4" w:space="0"/>
              <w:bottom w:val="single" w:color="000000" w:sz="2" w:space="0"/>
              <w:right w:val="single" w:color="000000" w:sz="2" w:space="0"/>
            </w:tcBorders>
            <w:vAlign w:val="center"/>
          </w:tcPr>
          <w:p w14:paraId="73B76AB0">
            <w:pPr>
              <w:spacing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自合同签订之日起至2026年12月31日</w:t>
            </w:r>
          </w:p>
        </w:tc>
      </w:tr>
      <w:tr w14:paraId="5AC9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1" w:hRule="atLeast"/>
          <w:jc w:val="center"/>
        </w:trPr>
        <w:tc>
          <w:tcPr>
            <w:tcW w:w="830" w:type="dxa"/>
            <w:tcBorders>
              <w:left w:val="single" w:color="000000" w:sz="2" w:space="0"/>
              <w:bottom w:val="single" w:color="000000" w:sz="2" w:space="0"/>
              <w:right w:val="single" w:color="000000" w:sz="2" w:space="0"/>
            </w:tcBorders>
            <w:vAlign w:val="center"/>
          </w:tcPr>
          <w:p w14:paraId="2F4589E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w:t>
            </w:r>
          </w:p>
        </w:tc>
        <w:tc>
          <w:tcPr>
            <w:tcW w:w="3120" w:type="dxa"/>
            <w:tcBorders>
              <w:top w:val="single" w:color="auto" w:sz="4" w:space="0"/>
              <w:left w:val="single" w:color="auto" w:sz="4" w:space="0"/>
              <w:bottom w:val="single" w:color="000000" w:sz="2" w:space="0"/>
              <w:right w:val="single" w:color="auto" w:sz="4" w:space="0"/>
            </w:tcBorders>
            <w:vAlign w:val="center"/>
          </w:tcPr>
          <w:p w14:paraId="01F04919">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项目负责人</w:t>
            </w:r>
          </w:p>
        </w:tc>
        <w:tc>
          <w:tcPr>
            <w:tcW w:w="5848" w:type="dxa"/>
            <w:tcBorders>
              <w:top w:val="single" w:color="auto" w:sz="4" w:space="0"/>
              <w:left w:val="single" w:color="auto" w:sz="4" w:space="0"/>
              <w:bottom w:val="single" w:color="000000" w:sz="2" w:space="0"/>
              <w:right w:val="single" w:color="000000" w:sz="2" w:space="0"/>
            </w:tcBorders>
            <w:vAlign w:val="center"/>
          </w:tcPr>
          <w:p w14:paraId="0942FB56">
            <w:pPr>
              <w:spacing w:line="360" w:lineRule="auto"/>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3257D241">
            <w:pPr>
              <w:spacing w:line="360" w:lineRule="auto"/>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0CCE0F2F">
            <w:pPr>
              <w:spacing w:line="360" w:lineRule="auto"/>
              <w:jc w:val="both"/>
              <w:rPr>
                <w:rFonts w:hint="default" w:ascii="宋体" w:hAnsi="宋体" w:eastAsia="宋体" w:cs="宋体"/>
                <w:b w:val="0"/>
                <w:bCs w:val="0"/>
                <w:color w:val="auto"/>
                <w:sz w:val="24"/>
                <w:szCs w:val="24"/>
                <w:highlight w:val="none"/>
                <w:lang w:val="en-US" w:eastAsia="zh-CN"/>
              </w:rPr>
            </w:pPr>
          </w:p>
        </w:tc>
      </w:tr>
      <w:tr w14:paraId="7B93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7" w:hRule="atLeast"/>
          <w:jc w:val="center"/>
        </w:trPr>
        <w:tc>
          <w:tcPr>
            <w:tcW w:w="830" w:type="dxa"/>
            <w:tcBorders>
              <w:top w:val="single" w:color="auto" w:sz="4" w:space="0"/>
              <w:left w:val="single" w:color="000000" w:sz="2" w:space="0"/>
              <w:bottom w:val="single" w:color="000000" w:sz="2" w:space="0"/>
              <w:right w:val="single" w:color="000000" w:sz="2" w:space="0"/>
            </w:tcBorders>
            <w:vAlign w:val="center"/>
          </w:tcPr>
          <w:p w14:paraId="035C9B67">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四</w:t>
            </w:r>
          </w:p>
        </w:tc>
        <w:tc>
          <w:tcPr>
            <w:tcW w:w="3120" w:type="dxa"/>
            <w:tcBorders>
              <w:top w:val="single" w:color="auto" w:sz="4" w:space="0"/>
              <w:left w:val="single" w:color="auto" w:sz="4" w:space="0"/>
              <w:bottom w:val="single" w:color="000000" w:sz="2" w:space="0"/>
              <w:right w:val="single" w:color="000000" w:sz="2" w:space="0"/>
            </w:tcBorders>
            <w:vAlign w:val="center"/>
          </w:tcPr>
          <w:p w14:paraId="4C7E28D8">
            <w:pPr>
              <w:spacing w:line="360" w:lineRule="auto"/>
              <w:ind w:firstLine="9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其它说明（由各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根据本采购项目要求自行列出需说明及承诺内容）</w:t>
            </w:r>
          </w:p>
        </w:tc>
        <w:tc>
          <w:tcPr>
            <w:tcW w:w="5848" w:type="dxa"/>
            <w:tcBorders>
              <w:top w:val="single" w:color="auto" w:sz="4" w:space="0"/>
              <w:left w:val="single" w:color="auto" w:sz="4" w:space="0"/>
              <w:bottom w:val="single" w:color="000000" w:sz="2" w:space="0"/>
              <w:right w:val="single" w:color="000000" w:sz="2" w:space="0"/>
            </w:tcBorders>
            <w:vAlign w:val="center"/>
          </w:tcPr>
          <w:p w14:paraId="41E4980F">
            <w:pPr>
              <w:spacing w:line="360" w:lineRule="auto"/>
              <w:rPr>
                <w:rFonts w:hint="eastAsia" w:ascii="宋体" w:hAnsi="宋体" w:eastAsia="宋体" w:cs="宋体"/>
                <w:b w:val="0"/>
                <w:bCs w:val="0"/>
                <w:color w:val="auto"/>
                <w:sz w:val="24"/>
                <w:szCs w:val="24"/>
                <w:highlight w:val="none"/>
              </w:rPr>
            </w:pPr>
          </w:p>
        </w:tc>
      </w:tr>
      <w:tr w14:paraId="3BB0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5" w:hRule="exact"/>
          <w:jc w:val="center"/>
        </w:trPr>
        <w:tc>
          <w:tcPr>
            <w:tcW w:w="9798" w:type="dxa"/>
            <w:gridSpan w:val="3"/>
            <w:tcBorders>
              <w:top w:val="single" w:color="auto" w:sz="4" w:space="0"/>
              <w:left w:val="single" w:color="000000" w:sz="2" w:space="0"/>
              <w:bottom w:val="single" w:color="000000" w:sz="2" w:space="0"/>
              <w:right w:val="single" w:color="000000" w:sz="2" w:space="0"/>
            </w:tcBorders>
            <w:vAlign w:val="center"/>
          </w:tcPr>
          <w:p w14:paraId="74AFC661">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注：报价包含的内容：</w:t>
            </w:r>
            <w:r>
              <w:rPr>
                <w:rFonts w:hint="eastAsia" w:ascii="宋体" w:hAnsi="宋体" w:eastAsia="宋体" w:cs="宋体"/>
                <w:color w:val="auto"/>
                <w:sz w:val="24"/>
                <w:szCs w:val="24"/>
                <w:highlight w:val="none"/>
                <w:lang w:val="en-US" w:eastAsia="zh-CN"/>
              </w:rPr>
              <w:t>完成</w:t>
            </w:r>
            <w:r>
              <w:rPr>
                <w:rFonts w:hint="eastAsia" w:ascii="宋体" w:hAnsi="宋体" w:cs="宋体"/>
                <w:color w:val="auto"/>
                <w:sz w:val="24"/>
                <w:szCs w:val="24"/>
                <w:highlight w:val="none"/>
                <w:lang w:val="en-US" w:eastAsia="zh-CN"/>
              </w:rPr>
              <w:t>绿雅社区卫生服务站公共卫生服务采购项目</w:t>
            </w:r>
            <w:r>
              <w:rPr>
                <w:rFonts w:hint="eastAsia" w:ascii="宋体" w:hAnsi="宋体" w:eastAsia="宋体" w:cs="宋体"/>
                <w:color w:val="auto"/>
                <w:sz w:val="24"/>
                <w:szCs w:val="24"/>
                <w:highlight w:val="none"/>
                <w:lang w:val="en-US" w:eastAsia="zh-CN"/>
              </w:rPr>
              <w:t>的采购应承担的所有工作，合同条款、技术规范及标准、项目采购需求、税金、采购文件约定的全部内容及责任和义务</w:t>
            </w:r>
          </w:p>
          <w:p w14:paraId="6D08ED00">
            <w:pPr>
              <w:spacing w:line="360" w:lineRule="auto"/>
              <w:ind w:firstLine="482"/>
              <w:jc w:val="left"/>
              <w:rPr>
                <w:rFonts w:hint="eastAsia" w:ascii="宋体" w:hAnsi="宋体" w:eastAsia="宋体" w:cs="宋体"/>
                <w:color w:val="auto"/>
                <w:sz w:val="24"/>
                <w:szCs w:val="24"/>
                <w:highlight w:val="none"/>
                <w:lang w:val="en-US" w:eastAsia="zh-CN"/>
              </w:rPr>
            </w:pPr>
          </w:p>
        </w:tc>
      </w:tr>
    </w:tbl>
    <w:p w14:paraId="1AE00E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1094B4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3A2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7780C0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b w:val="0"/>
          <w:bCs/>
          <w:sz w:val="24"/>
          <w:szCs w:val="24"/>
          <w:highlight w:val="none"/>
          <w:u w:val="single"/>
          <w:lang w:val="en-US" w:eastAsia="zh-CN"/>
        </w:rPr>
        <w:t xml:space="preserve">          </w:t>
      </w:r>
    </w:p>
    <w:p w14:paraId="3B74FA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1D19E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5315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注：1、供应商须按本商务报价一览表格式制作“最后报价表”，并加盖单位公章后自行带至磋商现场（线上提供），经磋商后由各供应商填写最后报价；</w:t>
      </w:r>
    </w:p>
    <w:p w14:paraId="28084FB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格式</w:t>
      </w:r>
      <w:r>
        <w:rPr>
          <w:rFonts w:hint="eastAsia" w:ascii="宋体" w:hAnsi="宋体" w:cs="宋体"/>
          <w:b/>
          <w:sz w:val="24"/>
          <w:szCs w:val="24"/>
          <w:highlight w:val="none"/>
          <w:lang w:val="en-US" w:eastAsia="zh-CN"/>
        </w:rPr>
        <w:t>10</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商务条款偏离表</w:t>
      </w:r>
    </w:p>
    <w:p w14:paraId="5B65358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00"/>
        <w:gridCol w:w="1900"/>
        <w:gridCol w:w="1900"/>
        <w:gridCol w:w="1901"/>
      </w:tblGrid>
      <w:tr w14:paraId="5847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01EC05B6">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900" w:type="dxa"/>
            <w:vAlign w:val="center"/>
          </w:tcPr>
          <w:p w14:paraId="699647FA">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条款序号</w:t>
            </w:r>
          </w:p>
        </w:tc>
        <w:tc>
          <w:tcPr>
            <w:tcW w:w="1900" w:type="dxa"/>
            <w:vAlign w:val="center"/>
          </w:tcPr>
          <w:p w14:paraId="03673FFF">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招标商务条款</w:t>
            </w:r>
          </w:p>
        </w:tc>
        <w:tc>
          <w:tcPr>
            <w:tcW w:w="1900" w:type="dxa"/>
            <w:vAlign w:val="center"/>
          </w:tcPr>
          <w:p w14:paraId="45B2A2F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投标商务条款</w:t>
            </w:r>
          </w:p>
        </w:tc>
        <w:tc>
          <w:tcPr>
            <w:tcW w:w="1901" w:type="dxa"/>
            <w:vAlign w:val="center"/>
          </w:tcPr>
          <w:p w14:paraId="0FF3FC5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偏离说明</w:t>
            </w:r>
          </w:p>
        </w:tc>
      </w:tr>
      <w:tr w14:paraId="02A9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64CF7695">
            <w:pPr>
              <w:rPr>
                <w:rFonts w:hint="eastAsia" w:ascii="宋体" w:hAnsi="宋体" w:eastAsia="宋体" w:cs="宋体"/>
                <w:b/>
                <w:bCs/>
                <w:sz w:val="24"/>
                <w:szCs w:val="24"/>
                <w:highlight w:val="none"/>
              </w:rPr>
            </w:pPr>
          </w:p>
        </w:tc>
        <w:tc>
          <w:tcPr>
            <w:tcW w:w="1900" w:type="dxa"/>
            <w:vAlign w:val="center"/>
          </w:tcPr>
          <w:p w14:paraId="30C9D810">
            <w:pPr>
              <w:rPr>
                <w:rFonts w:hint="eastAsia" w:ascii="宋体" w:hAnsi="宋体" w:eastAsia="宋体" w:cs="宋体"/>
                <w:b/>
                <w:bCs/>
                <w:sz w:val="24"/>
                <w:szCs w:val="24"/>
                <w:highlight w:val="none"/>
              </w:rPr>
            </w:pPr>
          </w:p>
        </w:tc>
        <w:tc>
          <w:tcPr>
            <w:tcW w:w="1900" w:type="dxa"/>
            <w:vAlign w:val="center"/>
          </w:tcPr>
          <w:p w14:paraId="60F78BBD">
            <w:pPr>
              <w:rPr>
                <w:rFonts w:hint="eastAsia" w:ascii="宋体" w:hAnsi="宋体" w:eastAsia="宋体" w:cs="宋体"/>
                <w:b/>
                <w:bCs/>
                <w:sz w:val="24"/>
                <w:szCs w:val="24"/>
                <w:highlight w:val="none"/>
              </w:rPr>
            </w:pPr>
          </w:p>
        </w:tc>
        <w:tc>
          <w:tcPr>
            <w:tcW w:w="1900" w:type="dxa"/>
            <w:vAlign w:val="center"/>
          </w:tcPr>
          <w:p w14:paraId="21DD7D18">
            <w:pPr>
              <w:rPr>
                <w:rFonts w:hint="eastAsia" w:ascii="宋体" w:hAnsi="宋体" w:eastAsia="宋体" w:cs="宋体"/>
                <w:b/>
                <w:bCs/>
                <w:sz w:val="24"/>
                <w:szCs w:val="24"/>
                <w:highlight w:val="none"/>
              </w:rPr>
            </w:pPr>
          </w:p>
        </w:tc>
        <w:tc>
          <w:tcPr>
            <w:tcW w:w="1901" w:type="dxa"/>
            <w:vAlign w:val="center"/>
          </w:tcPr>
          <w:p w14:paraId="41F1B1ED">
            <w:pPr>
              <w:rPr>
                <w:rFonts w:hint="eastAsia" w:ascii="宋体" w:hAnsi="宋体" w:eastAsia="宋体" w:cs="宋体"/>
                <w:b/>
                <w:bCs/>
                <w:sz w:val="24"/>
                <w:szCs w:val="24"/>
                <w:highlight w:val="none"/>
              </w:rPr>
            </w:pPr>
          </w:p>
        </w:tc>
      </w:tr>
      <w:tr w14:paraId="088D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23D1D187">
            <w:pPr>
              <w:spacing w:line="360" w:lineRule="auto"/>
              <w:jc w:val="center"/>
              <w:rPr>
                <w:rFonts w:hint="eastAsia" w:ascii="宋体" w:hAnsi="宋体" w:eastAsia="宋体" w:cs="宋体"/>
                <w:sz w:val="24"/>
                <w:szCs w:val="24"/>
                <w:highlight w:val="none"/>
              </w:rPr>
            </w:pPr>
          </w:p>
        </w:tc>
        <w:tc>
          <w:tcPr>
            <w:tcW w:w="1900" w:type="dxa"/>
            <w:vAlign w:val="center"/>
          </w:tcPr>
          <w:p w14:paraId="1B02D655">
            <w:pPr>
              <w:spacing w:line="360" w:lineRule="auto"/>
              <w:jc w:val="center"/>
              <w:rPr>
                <w:rFonts w:hint="eastAsia" w:ascii="宋体" w:hAnsi="宋体" w:eastAsia="宋体" w:cs="宋体"/>
                <w:sz w:val="24"/>
                <w:szCs w:val="24"/>
                <w:highlight w:val="none"/>
              </w:rPr>
            </w:pPr>
          </w:p>
        </w:tc>
        <w:tc>
          <w:tcPr>
            <w:tcW w:w="1900" w:type="dxa"/>
            <w:vAlign w:val="center"/>
          </w:tcPr>
          <w:p w14:paraId="3283CAAB">
            <w:pPr>
              <w:spacing w:line="360" w:lineRule="auto"/>
              <w:jc w:val="center"/>
              <w:rPr>
                <w:rFonts w:hint="eastAsia" w:ascii="宋体" w:hAnsi="宋体" w:eastAsia="宋体" w:cs="宋体"/>
                <w:sz w:val="24"/>
                <w:szCs w:val="24"/>
                <w:highlight w:val="none"/>
              </w:rPr>
            </w:pPr>
          </w:p>
        </w:tc>
        <w:tc>
          <w:tcPr>
            <w:tcW w:w="1900" w:type="dxa"/>
            <w:vAlign w:val="center"/>
          </w:tcPr>
          <w:p w14:paraId="4244ED7D">
            <w:pPr>
              <w:spacing w:line="360" w:lineRule="auto"/>
              <w:jc w:val="center"/>
              <w:rPr>
                <w:rFonts w:hint="eastAsia" w:ascii="宋体" w:hAnsi="宋体" w:eastAsia="宋体" w:cs="宋体"/>
                <w:sz w:val="24"/>
                <w:szCs w:val="24"/>
                <w:highlight w:val="none"/>
              </w:rPr>
            </w:pPr>
          </w:p>
        </w:tc>
        <w:tc>
          <w:tcPr>
            <w:tcW w:w="1901" w:type="dxa"/>
            <w:vAlign w:val="center"/>
          </w:tcPr>
          <w:p w14:paraId="2302DD90">
            <w:pPr>
              <w:spacing w:line="360" w:lineRule="auto"/>
              <w:jc w:val="center"/>
              <w:rPr>
                <w:rFonts w:hint="eastAsia" w:ascii="宋体" w:hAnsi="宋体" w:eastAsia="宋体" w:cs="宋体"/>
                <w:sz w:val="24"/>
                <w:szCs w:val="24"/>
                <w:highlight w:val="none"/>
              </w:rPr>
            </w:pPr>
          </w:p>
        </w:tc>
      </w:tr>
      <w:tr w14:paraId="591D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646642E9">
            <w:pPr>
              <w:spacing w:line="360" w:lineRule="auto"/>
              <w:jc w:val="center"/>
              <w:rPr>
                <w:rFonts w:hint="eastAsia" w:ascii="宋体" w:hAnsi="宋体" w:eastAsia="宋体" w:cs="宋体"/>
                <w:sz w:val="24"/>
                <w:szCs w:val="24"/>
                <w:highlight w:val="none"/>
              </w:rPr>
            </w:pPr>
          </w:p>
        </w:tc>
        <w:tc>
          <w:tcPr>
            <w:tcW w:w="1900" w:type="dxa"/>
            <w:vAlign w:val="center"/>
          </w:tcPr>
          <w:p w14:paraId="1C640F4B">
            <w:pPr>
              <w:spacing w:line="360" w:lineRule="auto"/>
              <w:jc w:val="center"/>
              <w:rPr>
                <w:rFonts w:hint="eastAsia" w:ascii="宋体" w:hAnsi="宋体" w:eastAsia="宋体" w:cs="宋体"/>
                <w:sz w:val="24"/>
                <w:szCs w:val="24"/>
                <w:highlight w:val="none"/>
              </w:rPr>
            </w:pPr>
          </w:p>
        </w:tc>
        <w:tc>
          <w:tcPr>
            <w:tcW w:w="1900" w:type="dxa"/>
            <w:vAlign w:val="center"/>
          </w:tcPr>
          <w:p w14:paraId="7E45653A">
            <w:pPr>
              <w:spacing w:line="360" w:lineRule="auto"/>
              <w:jc w:val="center"/>
              <w:rPr>
                <w:rFonts w:hint="eastAsia" w:ascii="宋体" w:hAnsi="宋体" w:eastAsia="宋体" w:cs="宋体"/>
                <w:sz w:val="24"/>
                <w:szCs w:val="24"/>
                <w:highlight w:val="none"/>
              </w:rPr>
            </w:pPr>
          </w:p>
        </w:tc>
        <w:tc>
          <w:tcPr>
            <w:tcW w:w="1900" w:type="dxa"/>
            <w:vAlign w:val="center"/>
          </w:tcPr>
          <w:p w14:paraId="408D0C24">
            <w:pPr>
              <w:spacing w:line="360" w:lineRule="auto"/>
              <w:jc w:val="center"/>
              <w:rPr>
                <w:rFonts w:hint="eastAsia" w:ascii="宋体" w:hAnsi="宋体" w:eastAsia="宋体" w:cs="宋体"/>
                <w:sz w:val="24"/>
                <w:szCs w:val="24"/>
                <w:highlight w:val="none"/>
              </w:rPr>
            </w:pPr>
          </w:p>
        </w:tc>
        <w:tc>
          <w:tcPr>
            <w:tcW w:w="1901" w:type="dxa"/>
            <w:vAlign w:val="center"/>
          </w:tcPr>
          <w:p w14:paraId="22B8E7E4">
            <w:pPr>
              <w:spacing w:line="360" w:lineRule="auto"/>
              <w:jc w:val="center"/>
              <w:rPr>
                <w:rFonts w:hint="eastAsia" w:ascii="宋体" w:hAnsi="宋体" w:eastAsia="宋体" w:cs="宋体"/>
                <w:sz w:val="24"/>
                <w:szCs w:val="24"/>
                <w:highlight w:val="none"/>
              </w:rPr>
            </w:pPr>
          </w:p>
        </w:tc>
      </w:tr>
      <w:tr w14:paraId="4BFA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5D425C76">
            <w:pPr>
              <w:spacing w:line="360" w:lineRule="auto"/>
              <w:jc w:val="center"/>
              <w:rPr>
                <w:rFonts w:hint="eastAsia" w:ascii="宋体" w:hAnsi="宋体" w:eastAsia="宋体" w:cs="宋体"/>
                <w:sz w:val="24"/>
                <w:szCs w:val="24"/>
                <w:highlight w:val="none"/>
              </w:rPr>
            </w:pPr>
          </w:p>
        </w:tc>
        <w:tc>
          <w:tcPr>
            <w:tcW w:w="1900" w:type="dxa"/>
            <w:vAlign w:val="center"/>
          </w:tcPr>
          <w:p w14:paraId="421A5833">
            <w:pPr>
              <w:spacing w:line="360" w:lineRule="auto"/>
              <w:jc w:val="center"/>
              <w:rPr>
                <w:rFonts w:hint="eastAsia" w:ascii="宋体" w:hAnsi="宋体" w:eastAsia="宋体" w:cs="宋体"/>
                <w:sz w:val="24"/>
                <w:szCs w:val="24"/>
                <w:highlight w:val="none"/>
              </w:rPr>
            </w:pPr>
          </w:p>
        </w:tc>
        <w:tc>
          <w:tcPr>
            <w:tcW w:w="1900" w:type="dxa"/>
            <w:vAlign w:val="center"/>
          </w:tcPr>
          <w:p w14:paraId="1F3377D5">
            <w:pPr>
              <w:spacing w:line="360" w:lineRule="auto"/>
              <w:jc w:val="center"/>
              <w:rPr>
                <w:rFonts w:hint="eastAsia" w:ascii="宋体" w:hAnsi="宋体" w:eastAsia="宋体" w:cs="宋体"/>
                <w:sz w:val="24"/>
                <w:szCs w:val="24"/>
                <w:highlight w:val="none"/>
              </w:rPr>
            </w:pPr>
          </w:p>
        </w:tc>
        <w:tc>
          <w:tcPr>
            <w:tcW w:w="1900" w:type="dxa"/>
            <w:vAlign w:val="center"/>
          </w:tcPr>
          <w:p w14:paraId="73175A15">
            <w:pPr>
              <w:spacing w:line="360" w:lineRule="auto"/>
              <w:jc w:val="center"/>
              <w:rPr>
                <w:rFonts w:hint="eastAsia" w:ascii="宋体" w:hAnsi="宋体" w:eastAsia="宋体" w:cs="宋体"/>
                <w:sz w:val="24"/>
                <w:szCs w:val="24"/>
                <w:highlight w:val="none"/>
              </w:rPr>
            </w:pPr>
          </w:p>
        </w:tc>
        <w:tc>
          <w:tcPr>
            <w:tcW w:w="1901" w:type="dxa"/>
            <w:vAlign w:val="center"/>
          </w:tcPr>
          <w:p w14:paraId="666D9522">
            <w:pPr>
              <w:spacing w:line="360" w:lineRule="auto"/>
              <w:jc w:val="center"/>
              <w:rPr>
                <w:rFonts w:hint="eastAsia" w:ascii="宋体" w:hAnsi="宋体" w:eastAsia="宋体" w:cs="宋体"/>
                <w:sz w:val="24"/>
                <w:szCs w:val="24"/>
                <w:highlight w:val="none"/>
              </w:rPr>
            </w:pPr>
          </w:p>
        </w:tc>
      </w:tr>
      <w:tr w14:paraId="189E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2B75A1A1">
            <w:pPr>
              <w:spacing w:line="360" w:lineRule="auto"/>
              <w:jc w:val="center"/>
              <w:rPr>
                <w:rFonts w:hint="eastAsia" w:ascii="宋体" w:hAnsi="宋体" w:eastAsia="宋体" w:cs="宋体"/>
                <w:sz w:val="24"/>
                <w:szCs w:val="24"/>
                <w:highlight w:val="none"/>
              </w:rPr>
            </w:pPr>
          </w:p>
        </w:tc>
        <w:tc>
          <w:tcPr>
            <w:tcW w:w="1900" w:type="dxa"/>
            <w:vAlign w:val="center"/>
          </w:tcPr>
          <w:p w14:paraId="2E401C20">
            <w:pPr>
              <w:spacing w:line="360" w:lineRule="auto"/>
              <w:jc w:val="center"/>
              <w:rPr>
                <w:rFonts w:hint="eastAsia" w:ascii="宋体" w:hAnsi="宋体" w:eastAsia="宋体" w:cs="宋体"/>
                <w:sz w:val="24"/>
                <w:szCs w:val="24"/>
                <w:highlight w:val="none"/>
              </w:rPr>
            </w:pPr>
          </w:p>
        </w:tc>
        <w:tc>
          <w:tcPr>
            <w:tcW w:w="1900" w:type="dxa"/>
            <w:vAlign w:val="center"/>
          </w:tcPr>
          <w:p w14:paraId="393678C5">
            <w:pPr>
              <w:spacing w:line="360" w:lineRule="auto"/>
              <w:jc w:val="center"/>
              <w:rPr>
                <w:rFonts w:hint="eastAsia" w:ascii="宋体" w:hAnsi="宋体" w:eastAsia="宋体" w:cs="宋体"/>
                <w:sz w:val="24"/>
                <w:szCs w:val="24"/>
                <w:highlight w:val="none"/>
              </w:rPr>
            </w:pPr>
          </w:p>
        </w:tc>
        <w:tc>
          <w:tcPr>
            <w:tcW w:w="1900" w:type="dxa"/>
            <w:vAlign w:val="center"/>
          </w:tcPr>
          <w:p w14:paraId="4471274E">
            <w:pPr>
              <w:spacing w:line="360" w:lineRule="auto"/>
              <w:jc w:val="center"/>
              <w:rPr>
                <w:rFonts w:hint="eastAsia" w:ascii="宋体" w:hAnsi="宋体" w:eastAsia="宋体" w:cs="宋体"/>
                <w:sz w:val="24"/>
                <w:szCs w:val="24"/>
                <w:highlight w:val="none"/>
              </w:rPr>
            </w:pPr>
          </w:p>
        </w:tc>
        <w:tc>
          <w:tcPr>
            <w:tcW w:w="1901" w:type="dxa"/>
            <w:vAlign w:val="center"/>
          </w:tcPr>
          <w:p w14:paraId="2193E280">
            <w:pPr>
              <w:spacing w:line="360" w:lineRule="auto"/>
              <w:jc w:val="center"/>
              <w:rPr>
                <w:rFonts w:hint="eastAsia" w:ascii="宋体" w:hAnsi="宋体" w:eastAsia="宋体" w:cs="宋体"/>
                <w:sz w:val="24"/>
                <w:szCs w:val="24"/>
                <w:highlight w:val="none"/>
              </w:rPr>
            </w:pPr>
          </w:p>
        </w:tc>
      </w:tr>
      <w:tr w14:paraId="20CD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41951305">
            <w:pPr>
              <w:spacing w:line="360" w:lineRule="auto"/>
              <w:jc w:val="center"/>
              <w:rPr>
                <w:rFonts w:hint="eastAsia" w:ascii="宋体" w:hAnsi="宋体" w:eastAsia="宋体" w:cs="宋体"/>
                <w:sz w:val="24"/>
                <w:szCs w:val="24"/>
                <w:highlight w:val="none"/>
              </w:rPr>
            </w:pPr>
          </w:p>
        </w:tc>
        <w:tc>
          <w:tcPr>
            <w:tcW w:w="1900" w:type="dxa"/>
            <w:vAlign w:val="center"/>
          </w:tcPr>
          <w:p w14:paraId="767486C0">
            <w:pPr>
              <w:spacing w:line="360" w:lineRule="auto"/>
              <w:jc w:val="center"/>
              <w:rPr>
                <w:rFonts w:hint="eastAsia" w:ascii="宋体" w:hAnsi="宋体" w:eastAsia="宋体" w:cs="宋体"/>
                <w:sz w:val="24"/>
                <w:szCs w:val="24"/>
                <w:highlight w:val="none"/>
              </w:rPr>
            </w:pPr>
          </w:p>
        </w:tc>
        <w:tc>
          <w:tcPr>
            <w:tcW w:w="1900" w:type="dxa"/>
            <w:vAlign w:val="center"/>
          </w:tcPr>
          <w:p w14:paraId="75198C51">
            <w:pPr>
              <w:spacing w:line="360" w:lineRule="auto"/>
              <w:jc w:val="center"/>
              <w:rPr>
                <w:rFonts w:hint="eastAsia" w:ascii="宋体" w:hAnsi="宋体" w:eastAsia="宋体" w:cs="宋体"/>
                <w:sz w:val="24"/>
                <w:szCs w:val="24"/>
                <w:highlight w:val="none"/>
              </w:rPr>
            </w:pPr>
          </w:p>
        </w:tc>
        <w:tc>
          <w:tcPr>
            <w:tcW w:w="1900" w:type="dxa"/>
            <w:vAlign w:val="center"/>
          </w:tcPr>
          <w:p w14:paraId="33DC1F16">
            <w:pPr>
              <w:spacing w:line="360" w:lineRule="auto"/>
              <w:jc w:val="center"/>
              <w:rPr>
                <w:rFonts w:hint="eastAsia" w:ascii="宋体" w:hAnsi="宋体" w:eastAsia="宋体" w:cs="宋体"/>
                <w:sz w:val="24"/>
                <w:szCs w:val="24"/>
                <w:highlight w:val="none"/>
              </w:rPr>
            </w:pPr>
          </w:p>
        </w:tc>
        <w:tc>
          <w:tcPr>
            <w:tcW w:w="1901" w:type="dxa"/>
            <w:vAlign w:val="center"/>
          </w:tcPr>
          <w:p w14:paraId="0905709E">
            <w:pPr>
              <w:spacing w:line="360" w:lineRule="auto"/>
              <w:jc w:val="center"/>
              <w:rPr>
                <w:rFonts w:hint="eastAsia" w:ascii="宋体" w:hAnsi="宋体" w:eastAsia="宋体" w:cs="宋体"/>
                <w:sz w:val="24"/>
                <w:szCs w:val="24"/>
                <w:highlight w:val="none"/>
              </w:rPr>
            </w:pPr>
          </w:p>
        </w:tc>
      </w:tr>
      <w:tr w14:paraId="39C0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4A0D62C9">
            <w:pPr>
              <w:spacing w:line="360" w:lineRule="auto"/>
              <w:jc w:val="center"/>
              <w:rPr>
                <w:rFonts w:hint="eastAsia" w:ascii="宋体" w:hAnsi="宋体" w:eastAsia="宋体" w:cs="宋体"/>
                <w:sz w:val="24"/>
                <w:szCs w:val="24"/>
                <w:highlight w:val="none"/>
              </w:rPr>
            </w:pPr>
          </w:p>
        </w:tc>
        <w:tc>
          <w:tcPr>
            <w:tcW w:w="1900" w:type="dxa"/>
            <w:vAlign w:val="center"/>
          </w:tcPr>
          <w:p w14:paraId="620C0D73">
            <w:pPr>
              <w:spacing w:line="360" w:lineRule="auto"/>
              <w:jc w:val="center"/>
              <w:rPr>
                <w:rFonts w:hint="eastAsia" w:ascii="宋体" w:hAnsi="宋体" w:eastAsia="宋体" w:cs="宋体"/>
                <w:sz w:val="24"/>
                <w:szCs w:val="24"/>
                <w:highlight w:val="none"/>
              </w:rPr>
            </w:pPr>
          </w:p>
        </w:tc>
        <w:tc>
          <w:tcPr>
            <w:tcW w:w="1900" w:type="dxa"/>
            <w:vAlign w:val="center"/>
          </w:tcPr>
          <w:p w14:paraId="173C5DD0">
            <w:pPr>
              <w:spacing w:line="360" w:lineRule="auto"/>
              <w:jc w:val="center"/>
              <w:rPr>
                <w:rFonts w:hint="eastAsia" w:ascii="宋体" w:hAnsi="宋体" w:eastAsia="宋体" w:cs="宋体"/>
                <w:sz w:val="24"/>
                <w:szCs w:val="24"/>
                <w:highlight w:val="none"/>
              </w:rPr>
            </w:pPr>
          </w:p>
        </w:tc>
        <w:tc>
          <w:tcPr>
            <w:tcW w:w="1900" w:type="dxa"/>
            <w:vAlign w:val="center"/>
          </w:tcPr>
          <w:p w14:paraId="321B7A0E">
            <w:pPr>
              <w:spacing w:line="360" w:lineRule="auto"/>
              <w:jc w:val="center"/>
              <w:rPr>
                <w:rFonts w:hint="eastAsia" w:ascii="宋体" w:hAnsi="宋体" w:eastAsia="宋体" w:cs="宋体"/>
                <w:sz w:val="24"/>
                <w:szCs w:val="24"/>
                <w:highlight w:val="none"/>
              </w:rPr>
            </w:pPr>
          </w:p>
        </w:tc>
        <w:tc>
          <w:tcPr>
            <w:tcW w:w="1901" w:type="dxa"/>
            <w:vAlign w:val="center"/>
          </w:tcPr>
          <w:p w14:paraId="51CB14E3">
            <w:pPr>
              <w:spacing w:line="360" w:lineRule="auto"/>
              <w:jc w:val="center"/>
              <w:rPr>
                <w:rFonts w:hint="eastAsia" w:ascii="宋体" w:hAnsi="宋体" w:eastAsia="宋体" w:cs="宋体"/>
                <w:sz w:val="24"/>
                <w:szCs w:val="24"/>
                <w:highlight w:val="none"/>
              </w:rPr>
            </w:pPr>
          </w:p>
        </w:tc>
      </w:tr>
      <w:tr w14:paraId="225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01F7A5E2">
            <w:pPr>
              <w:spacing w:line="360" w:lineRule="auto"/>
              <w:jc w:val="center"/>
              <w:rPr>
                <w:rFonts w:hint="eastAsia" w:ascii="宋体" w:hAnsi="宋体" w:eastAsia="宋体" w:cs="宋体"/>
                <w:sz w:val="24"/>
                <w:szCs w:val="24"/>
                <w:highlight w:val="none"/>
              </w:rPr>
            </w:pPr>
          </w:p>
        </w:tc>
        <w:tc>
          <w:tcPr>
            <w:tcW w:w="1900" w:type="dxa"/>
            <w:vAlign w:val="center"/>
          </w:tcPr>
          <w:p w14:paraId="22DCA4CF">
            <w:pPr>
              <w:spacing w:line="360" w:lineRule="auto"/>
              <w:jc w:val="center"/>
              <w:rPr>
                <w:rFonts w:hint="eastAsia" w:ascii="宋体" w:hAnsi="宋体" w:eastAsia="宋体" w:cs="宋体"/>
                <w:sz w:val="24"/>
                <w:szCs w:val="24"/>
                <w:highlight w:val="none"/>
              </w:rPr>
            </w:pPr>
          </w:p>
        </w:tc>
        <w:tc>
          <w:tcPr>
            <w:tcW w:w="1900" w:type="dxa"/>
            <w:vAlign w:val="center"/>
          </w:tcPr>
          <w:p w14:paraId="6A0C5630">
            <w:pPr>
              <w:spacing w:line="360" w:lineRule="auto"/>
              <w:jc w:val="center"/>
              <w:rPr>
                <w:rFonts w:hint="eastAsia" w:ascii="宋体" w:hAnsi="宋体" w:eastAsia="宋体" w:cs="宋体"/>
                <w:sz w:val="24"/>
                <w:szCs w:val="24"/>
                <w:highlight w:val="none"/>
              </w:rPr>
            </w:pPr>
          </w:p>
        </w:tc>
        <w:tc>
          <w:tcPr>
            <w:tcW w:w="1900" w:type="dxa"/>
            <w:vAlign w:val="center"/>
          </w:tcPr>
          <w:p w14:paraId="389B84D6">
            <w:pPr>
              <w:spacing w:line="360" w:lineRule="auto"/>
              <w:jc w:val="center"/>
              <w:rPr>
                <w:rFonts w:hint="eastAsia" w:ascii="宋体" w:hAnsi="宋体" w:eastAsia="宋体" w:cs="宋体"/>
                <w:sz w:val="24"/>
                <w:szCs w:val="24"/>
                <w:highlight w:val="none"/>
              </w:rPr>
            </w:pPr>
          </w:p>
        </w:tc>
        <w:tc>
          <w:tcPr>
            <w:tcW w:w="1901" w:type="dxa"/>
            <w:vAlign w:val="center"/>
          </w:tcPr>
          <w:p w14:paraId="6EFAD2A8">
            <w:pPr>
              <w:spacing w:line="360" w:lineRule="auto"/>
              <w:jc w:val="center"/>
              <w:rPr>
                <w:rFonts w:hint="eastAsia" w:ascii="宋体" w:hAnsi="宋体" w:eastAsia="宋体" w:cs="宋体"/>
                <w:sz w:val="24"/>
                <w:szCs w:val="24"/>
                <w:highlight w:val="none"/>
              </w:rPr>
            </w:pPr>
          </w:p>
        </w:tc>
      </w:tr>
      <w:tr w14:paraId="59B0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1" w:type="dxa"/>
            <w:vAlign w:val="center"/>
          </w:tcPr>
          <w:p w14:paraId="117BE1A2">
            <w:pPr>
              <w:spacing w:line="360" w:lineRule="auto"/>
              <w:jc w:val="center"/>
              <w:rPr>
                <w:rFonts w:hint="eastAsia" w:ascii="宋体" w:hAnsi="宋体" w:eastAsia="宋体" w:cs="宋体"/>
                <w:sz w:val="24"/>
                <w:szCs w:val="24"/>
                <w:highlight w:val="none"/>
              </w:rPr>
            </w:pPr>
          </w:p>
        </w:tc>
        <w:tc>
          <w:tcPr>
            <w:tcW w:w="1900" w:type="dxa"/>
            <w:vAlign w:val="center"/>
          </w:tcPr>
          <w:p w14:paraId="750ACDF7">
            <w:pPr>
              <w:spacing w:line="360" w:lineRule="auto"/>
              <w:jc w:val="center"/>
              <w:rPr>
                <w:rFonts w:hint="eastAsia" w:ascii="宋体" w:hAnsi="宋体" w:eastAsia="宋体" w:cs="宋体"/>
                <w:sz w:val="24"/>
                <w:szCs w:val="24"/>
                <w:highlight w:val="none"/>
              </w:rPr>
            </w:pPr>
          </w:p>
        </w:tc>
        <w:tc>
          <w:tcPr>
            <w:tcW w:w="1900" w:type="dxa"/>
            <w:vAlign w:val="center"/>
          </w:tcPr>
          <w:p w14:paraId="178AB4EC">
            <w:pPr>
              <w:spacing w:line="360" w:lineRule="auto"/>
              <w:jc w:val="center"/>
              <w:rPr>
                <w:rFonts w:hint="eastAsia" w:ascii="宋体" w:hAnsi="宋体" w:eastAsia="宋体" w:cs="宋体"/>
                <w:sz w:val="24"/>
                <w:szCs w:val="24"/>
                <w:highlight w:val="none"/>
              </w:rPr>
            </w:pPr>
          </w:p>
        </w:tc>
        <w:tc>
          <w:tcPr>
            <w:tcW w:w="1900" w:type="dxa"/>
            <w:vAlign w:val="center"/>
          </w:tcPr>
          <w:p w14:paraId="44001B83">
            <w:pPr>
              <w:spacing w:line="360" w:lineRule="auto"/>
              <w:jc w:val="center"/>
              <w:rPr>
                <w:rFonts w:hint="eastAsia" w:ascii="宋体" w:hAnsi="宋体" w:eastAsia="宋体" w:cs="宋体"/>
                <w:sz w:val="24"/>
                <w:szCs w:val="24"/>
                <w:highlight w:val="none"/>
              </w:rPr>
            </w:pPr>
          </w:p>
        </w:tc>
        <w:tc>
          <w:tcPr>
            <w:tcW w:w="1901" w:type="dxa"/>
            <w:vAlign w:val="center"/>
          </w:tcPr>
          <w:p w14:paraId="1AD07EB8">
            <w:pPr>
              <w:spacing w:line="360" w:lineRule="auto"/>
              <w:jc w:val="center"/>
              <w:rPr>
                <w:rFonts w:hint="eastAsia" w:ascii="宋体" w:hAnsi="宋体" w:eastAsia="宋体" w:cs="宋体"/>
                <w:sz w:val="24"/>
                <w:szCs w:val="24"/>
                <w:highlight w:val="none"/>
              </w:rPr>
            </w:pPr>
          </w:p>
        </w:tc>
      </w:tr>
    </w:tbl>
    <w:p w14:paraId="7A733832">
      <w:pPr>
        <w:rPr>
          <w:rFonts w:hint="eastAsia" w:ascii="宋体" w:hAnsi="宋体" w:eastAsia="宋体" w:cs="宋体"/>
          <w:sz w:val="24"/>
          <w:szCs w:val="24"/>
          <w:highlight w:val="none"/>
        </w:rPr>
      </w:pPr>
    </w:p>
    <w:p w14:paraId="5912E606">
      <w:pPr>
        <w:ind w:firstLine="482" w:firstLineChars="20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按此表格式列出不影响投标实质性响应的商务偏差，没有说明的其他条款将被认为完全满足磋商文件的规定。</w:t>
      </w:r>
    </w:p>
    <w:p w14:paraId="0D6B9245">
      <w:pPr>
        <w:pStyle w:val="12"/>
        <w:spacing w:line="360" w:lineRule="auto"/>
        <w:ind w:firstLine="480" w:firstLineChars="200"/>
        <w:rPr>
          <w:rFonts w:hint="eastAsia" w:ascii="宋体" w:hAnsi="宋体" w:eastAsia="宋体" w:cs="宋体"/>
          <w:bCs/>
          <w:sz w:val="24"/>
          <w:szCs w:val="24"/>
          <w:highlight w:val="none"/>
        </w:rPr>
      </w:pPr>
    </w:p>
    <w:p w14:paraId="42E0FC8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 xml:space="preserve"> </w:t>
      </w:r>
    </w:p>
    <w:p w14:paraId="7B6AED32">
      <w:pPr>
        <w:ind w:firstLine="480" w:firstLineChars="200"/>
        <w:rPr>
          <w:rFonts w:hint="eastAsia" w:ascii="宋体" w:hAnsi="宋体" w:eastAsia="宋体" w:cs="宋体"/>
          <w:sz w:val="24"/>
          <w:szCs w:val="24"/>
          <w:highlight w:val="none"/>
        </w:rPr>
      </w:pPr>
    </w:p>
    <w:p w14:paraId="055C8DBC">
      <w:pPr>
        <w:ind w:firstLine="480" w:firstLineChars="200"/>
        <w:rPr>
          <w:rFonts w:hint="eastAsia" w:ascii="宋体" w:hAnsi="宋体" w:eastAsia="宋体" w:cs="宋体"/>
          <w:sz w:val="24"/>
          <w:szCs w:val="24"/>
          <w:highlight w:val="none"/>
        </w:rPr>
      </w:pPr>
    </w:p>
    <w:p w14:paraId="522AAB0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法定代表人或委托代理人（签字或盖章）：</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027E74F">
      <w:pPr>
        <w:ind w:firstLine="480" w:firstLineChars="200"/>
        <w:rPr>
          <w:rFonts w:hint="eastAsia" w:ascii="宋体" w:hAnsi="宋体" w:eastAsia="宋体" w:cs="宋体"/>
          <w:sz w:val="24"/>
          <w:szCs w:val="24"/>
          <w:highlight w:val="none"/>
        </w:rPr>
      </w:pPr>
    </w:p>
    <w:p w14:paraId="2D39BCC2">
      <w:pPr>
        <w:ind w:firstLine="480" w:firstLineChars="200"/>
        <w:rPr>
          <w:rFonts w:hint="eastAsia" w:ascii="宋体" w:hAnsi="宋体" w:eastAsia="宋体" w:cs="宋体"/>
          <w:sz w:val="24"/>
          <w:szCs w:val="24"/>
          <w:highlight w:val="none"/>
        </w:rPr>
      </w:pPr>
    </w:p>
    <w:p w14:paraId="304D7D0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DA11F8A">
      <w:pPr>
        <w:rPr>
          <w:rFonts w:hint="eastAsia" w:ascii="宋体" w:hAnsi="宋体" w:eastAsia="宋体" w:cs="宋体"/>
          <w:b/>
          <w:bCs/>
          <w:sz w:val="24"/>
          <w:szCs w:val="24"/>
          <w:highlight w:val="none"/>
        </w:rPr>
      </w:pPr>
    </w:p>
    <w:p w14:paraId="22591483">
      <w:pPr>
        <w:pStyle w:val="12"/>
        <w:spacing w:line="360" w:lineRule="auto"/>
        <w:jc w:val="center"/>
        <w:rPr>
          <w:rFonts w:hint="eastAsia" w:ascii="宋体" w:hAnsi="宋体" w:eastAsia="宋体" w:cs="宋体"/>
          <w:b/>
          <w:sz w:val="24"/>
          <w:szCs w:val="24"/>
          <w:highlight w:val="none"/>
        </w:rPr>
      </w:pPr>
    </w:p>
    <w:p w14:paraId="2B84E4B6">
      <w:pPr>
        <w:pStyle w:val="12"/>
        <w:spacing w:line="360" w:lineRule="auto"/>
        <w:jc w:val="center"/>
        <w:rPr>
          <w:rFonts w:hint="eastAsia" w:ascii="宋体" w:hAnsi="宋体" w:eastAsia="宋体" w:cs="宋体"/>
          <w:b/>
          <w:sz w:val="24"/>
          <w:szCs w:val="24"/>
          <w:highlight w:val="none"/>
        </w:rPr>
      </w:pPr>
    </w:p>
    <w:p w14:paraId="6A53CB25">
      <w:pPr>
        <w:pStyle w:val="12"/>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格式</w:t>
      </w:r>
      <w:r>
        <w:rPr>
          <w:rFonts w:hint="eastAsia" w:hAnsi="宋体" w:cs="宋体"/>
          <w:b/>
          <w:sz w:val="24"/>
          <w:szCs w:val="24"/>
          <w:highlight w:val="none"/>
          <w:lang w:val="en-US" w:eastAsia="zh-CN"/>
        </w:rPr>
        <w:t>11</w:t>
      </w:r>
      <w:r>
        <w:rPr>
          <w:rFonts w:hint="eastAsia" w:ascii="宋体" w:hAnsi="宋体" w:eastAsia="宋体" w:cs="宋体"/>
          <w:b/>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zh-CN"/>
        </w:rPr>
        <w:t>20</w:t>
      </w:r>
      <w:r>
        <w:rPr>
          <w:rFonts w:hint="eastAsia" w:hAnsi="宋体" w:cs="宋体"/>
          <w:b/>
          <w:sz w:val="24"/>
          <w:szCs w:val="24"/>
          <w:highlight w:val="none"/>
          <w:lang w:val="en-US" w:eastAsia="zh-CN"/>
        </w:rPr>
        <w:t>23</w:t>
      </w:r>
      <w:r>
        <w:rPr>
          <w:rFonts w:hint="eastAsia" w:ascii="宋体" w:hAnsi="宋体" w:eastAsia="宋体" w:cs="宋体"/>
          <w:b/>
          <w:sz w:val="24"/>
          <w:szCs w:val="24"/>
          <w:highlight w:val="none"/>
          <w:lang w:val="zh-CN"/>
        </w:rPr>
        <w:t>年1月1日至今</w:t>
      </w:r>
      <w:r>
        <w:rPr>
          <w:rFonts w:hint="eastAsia" w:ascii="宋体" w:hAnsi="宋体" w:eastAsia="宋体" w:cs="宋体"/>
          <w:b/>
          <w:sz w:val="24"/>
          <w:szCs w:val="24"/>
          <w:highlight w:val="none"/>
        </w:rPr>
        <w:t>）同类项目业绩表</w:t>
      </w:r>
    </w:p>
    <w:tbl>
      <w:tblPr>
        <w:tblStyle w:val="24"/>
        <w:tblW w:w="9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356"/>
        <w:gridCol w:w="1320"/>
        <w:gridCol w:w="1267"/>
        <w:gridCol w:w="1154"/>
        <w:gridCol w:w="9"/>
        <w:gridCol w:w="1356"/>
        <w:gridCol w:w="9"/>
        <w:gridCol w:w="1442"/>
        <w:gridCol w:w="1168"/>
      </w:tblGrid>
      <w:tr w14:paraId="71271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tcBorders>
            <w:vAlign w:val="center"/>
          </w:tcPr>
          <w:p w14:paraId="2DBFA747">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356" w:type="dxa"/>
            <w:vAlign w:val="center"/>
          </w:tcPr>
          <w:p w14:paraId="11FEEB30">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320" w:type="dxa"/>
            <w:vAlign w:val="center"/>
          </w:tcPr>
          <w:p w14:paraId="5C5421A0">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267" w:type="dxa"/>
            <w:vAlign w:val="center"/>
          </w:tcPr>
          <w:p w14:paraId="7F6C6C9A">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1154" w:type="dxa"/>
            <w:vAlign w:val="center"/>
          </w:tcPr>
          <w:p w14:paraId="1F6D90AB">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tc>
        <w:tc>
          <w:tcPr>
            <w:tcW w:w="1374" w:type="dxa"/>
            <w:gridSpan w:val="3"/>
            <w:tcBorders>
              <w:right w:val="single" w:color="auto" w:sz="4" w:space="0"/>
            </w:tcBorders>
            <w:vAlign w:val="center"/>
          </w:tcPr>
          <w:p w14:paraId="5542DEEB">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完成项目质量</w:t>
            </w:r>
          </w:p>
        </w:tc>
        <w:tc>
          <w:tcPr>
            <w:tcW w:w="1442" w:type="dxa"/>
            <w:tcBorders>
              <w:left w:val="single" w:color="auto" w:sz="4" w:space="0"/>
            </w:tcBorders>
            <w:vAlign w:val="center"/>
          </w:tcPr>
          <w:p w14:paraId="192158F7">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用户联系电话</w:t>
            </w:r>
          </w:p>
        </w:tc>
        <w:tc>
          <w:tcPr>
            <w:tcW w:w="1168" w:type="dxa"/>
            <w:tcBorders>
              <w:left w:val="single" w:color="auto" w:sz="4" w:space="0"/>
            </w:tcBorders>
            <w:vAlign w:val="center"/>
          </w:tcPr>
          <w:p w14:paraId="139651AF">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0A03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21418C2D">
            <w:pPr>
              <w:spacing w:line="400" w:lineRule="exact"/>
              <w:jc w:val="center"/>
              <w:rPr>
                <w:rFonts w:hint="eastAsia" w:ascii="宋体" w:hAnsi="宋体" w:eastAsia="宋体" w:cs="宋体"/>
                <w:sz w:val="24"/>
                <w:szCs w:val="24"/>
                <w:highlight w:val="none"/>
              </w:rPr>
            </w:pPr>
          </w:p>
        </w:tc>
        <w:tc>
          <w:tcPr>
            <w:tcW w:w="1356" w:type="dxa"/>
            <w:vAlign w:val="center"/>
          </w:tcPr>
          <w:p w14:paraId="358223E2">
            <w:pPr>
              <w:spacing w:line="400" w:lineRule="exact"/>
              <w:jc w:val="center"/>
              <w:rPr>
                <w:rFonts w:hint="eastAsia" w:ascii="宋体" w:hAnsi="宋体" w:eastAsia="宋体" w:cs="宋体"/>
                <w:sz w:val="24"/>
                <w:szCs w:val="24"/>
                <w:highlight w:val="none"/>
              </w:rPr>
            </w:pPr>
          </w:p>
        </w:tc>
        <w:tc>
          <w:tcPr>
            <w:tcW w:w="1320" w:type="dxa"/>
            <w:vAlign w:val="center"/>
          </w:tcPr>
          <w:p w14:paraId="1CF05317">
            <w:pPr>
              <w:spacing w:line="400" w:lineRule="exact"/>
              <w:jc w:val="center"/>
              <w:rPr>
                <w:rFonts w:hint="eastAsia" w:ascii="宋体" w:hAnsi="宋体" w:eastAsia="宋体" w:cs="宋体"/>
                <w:sz w:val="24"/>
                <w:szCs w:val="24"/>
                <w:highlight w:val="none"/>
              </w:rPr>
            </w:pPr>
          </w:p>
        </w:tc>
        <w:tc>
          <w:tcPr>
            <w:tcW w:w="1267" w:type="dxa"/>
            <w:vAlign w:val="center"/>
          </w:tcPr>
          <w:p w14:paraId="5D561BF1">
            <w:pPr>
              <w:spacing w:line="400" w:lineRule="exact"/>
              <w:jc w:val="center"/>
              <w:rPr>
                <w:rFonts w:hint="eastAsia" w:ascii="宋体" w:hAnsi="宋体" w:eastAsia="宋体" w:cs="宋体"/>
                <w:sz w:val="24"/>
                <w:szCs w:val="24"/>
                <w:highlight w:val="none"/>
              </w:rPr>
            </w:pPr>
          </w:p>
        </w:tc>
        <w:tc>
          <w:tcPr>
            <w:tcW w:w="1154" w:type="dxa"/>
            <w:vAlign w:val="center"/>
          </w:tcPr>
          <w:p w14:paraId="72F65914">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vAlign w:val="center"/>
          </w:tcPr>
          <w:p w14:paraId="77314519">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vAlign w:val="center"/>
          </w:tcPr>
          <w:p w14:paraId="7D3B78FC">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vAlign w:val="top"/>
          </w:tcPr>
          <w:p w14:paraId="52F68E56">
            <w:pPr>
              <w:spacing w:line="400" w:lineRule="exact"/>
              <w:jc w:val="center"/>
              <w:rPr>
                <w:rFonts w:hint="eastAsia" w:ascii="宋体" w:hAnsi="宋体" w:eastAsia="宋体" w:cs="宋体"/>
                <w:sz w:val="24"/>
                <w:szCs w:val="24"/>
                <w:highlight w:val="none"/>
              </w:rPr>
            </w:pPr>
          </w:p>
        </w:tc>
      </w:tr>
      <w:tr w14:paraId="53979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10669ABF">
            <w:pPr>
              <w:spacing w:line="400" w:lineRule="exact"/>
              <w:jc w:val="center"/>
              <w:rPr>
                <w:rFonts w:hint="eastAsia" w:ascii="宋体" w:hAnsi="宋体" w:eastAsia="宋体" w:cs="宋体"/>
                <w:sz w:val="24"/>
                <w:szCs w:val="24"/>
                <w:highlight w:val="none"/>
              </w:rPr>
            </w:pPr>
          </w:p>
        </w:tc>
        <w:tc>
          <w:tcPr>
            <w:tcW w:w="1356" w:type="dxa"/>
            <w:vAlign w:val="center"/>
          </w:tcPr>
          <w:p w14:paraId="36EDEA76">
            <w:pPr>
              <w:spacing w:line="400" w:lineRule="exact"/>
              <w:jc w:val="center"/>
              <w:rPr>
                <w:rFonts w:hint="eastAsia" w:ascii="宋体" w:hAnsi="宋体" w:eastAsia="宋体" w:cs="宋体"/>
                <w:sz w:val="24"/>
                <w:szCs w:val="24"/>
                <w:highlight w:val="none"/>
              </w:rPr>
            </w:pPr>
          </w:p>
        </w:tc>
        <w:tc>
          <w:tcPr>
            <w:tcW w:w="1320" w:type="dxa"/>
            <w:vAlign w:val="center"/>
          </w:tcPr>
          <w:p w14:paraId="5FC6774B">
            <w:pPr>
              <w:spacing w:line="400" w:lineRule="exact"/>
              <w:jc w:val="center"/>
              <w:rPr>
                <w:rFonts w:hint="eastAsia" w:ascii="宋体" w:hAnsi="宋体" w:eastAsia="宋体" w:cs="宋体"/>
                <w:sz w:val="24"/>
                <w:szCs w:val="24"/>
                <w:highlight w:val="none"/>
              </w:rPr>
            </w:pPr>
          </w:p>
        </w:tc>
        <w:tc>
          <w:tcPr>
            <w:tcW w:w="1267" w:type="dxa"/>
            <w:vAlign w:val="center"/>
          </w:tcPr>
          <w:p w14:paraId="1BE5E0A8">
            <w:pPr>
              <w:spacing w:line="400" w:lineRule="exact"/>
              <w:jc w:val="center"/>
              <w:rPr>
                <w:rFonts w:hint="eastAsia" w:ascii="宋体" w:hAnsi="宋体" w:eastAsia="宋体" w:cs="宋体"/>
                <w:sz w:val="24"/>
                <w:szCs w:val="24"/>
                <w:highlight w:val="none"/>
              </w:rPr>
            </w:pPr>
          </w:p>
        </w:tc>
        <w:tc>
          <w:tcPr>
            <w:tcW w:w="1154" w:type="dxa"/>
            <w:vAlign w:val="center"/>
          </w:tcPr>
          <w:p w14:paraId="26F94FC7">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vAlign w:val="center"/>
          </w:tcPr>
          <w:p w14:paraId="1C5F6996">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vAlign w:val="center"/>
          </w:tcPr>
          <w:p w14:paraId="6DA1510A">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vAlign w:val="top"/>
          </w:tcPr>
          <w:p w14:paraId="0F201F8C">
            <w:pPr>
              <w:spacing w:line="400" w:lineRule="exact"/>
              <w:jc w:val="center"/>
              <w:rPr>
                <w:rFonts w:hint="eastAsia" w:ascii="宋体" w:hAnsi="宋体" w:eastAsia="宋体" w:cs="宋体"/>
                <w:sz w:val="24"/>
                <w:szCs w:val="24"/>
                <w:highlight w:val="none"/>
              </w:rPr>
            </w:pPr>
          </w:p>
        </w:tc>
      </w:tr>
      <w:tr w14:paraId="59D4C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7F4DDC71">
            <w:pPr>
              <w:spacing w:line="400" w:lineRule="exact"/>
              <w:jc w:val="center"/>
              <w:rPr>
                <w:rFonts w:hint="eastAsia" w:ascii="宋体" w:hAnsi="宋体" w:eastAsia="宋体" w:cs="宋体"/>
                <w:sz w:val="24"/>
                <w:szCs w:val="24"/>
                <w:highlight w:val="none"/>
              </w:rPr>
            </w:pPr>
          </w:p>
        </w:tc>
        <w:tc>
          <w:tcPr>
            <w:tcW w:w="1356" w:type="dxa"/>
            <w:vAlign w:val="center"/>
          </w:tcPr>
          <w:p w14:paraId="622F6A7E">
            <w:pPr>
              <w:spacing w:line="400" w:lineRule="exact"/>
              <w:jc w:val="center"/>
              <w:rPr>
                <w:rFonts w:hint="eastAsia" w:ascii="宋体" w:hAnsi="宋体" w:eastAsia="宋体" w:cs="宋体"/>
                <w:sz w:val="24"/>
                <w:szCs w:val="24"/>
                <w:highlight w:val="none"/>
              </w:rPr>
            </w:pPr>
          </w:p>
        </w:tc>
        <w:tc>
          <w:tcPr>
            <w:tcW w:w="1320" w:type="dxa"/>
            <w:vAlign w:val="center"/>
          </w:tcPr>
          <w:p w14:paraId="4D995886">
            <w:pPr>
              <w:spacing w:line="400" w:lineRule="exact"/>
              <w:jc w:val="center"/>
              <w:rPr>
                <w:rFonts w:hint="eastAsia" w:ascii="宋体" w:hAnsi="宋体" w:eastAsia="宋体" w:cs="宋体"/>
                <w:sz w:val="24"/>
                <w:szCs w:val="24"/>
                <w:highlight w:val="none"/>
              </w:rPr>
            </w:pPr>
          </w:p>
        </w:tc>
        <w:tc>
          <w:tcPr>
            <w:tcW w:w="1267" w:type="dxa"/>
            <w:vAlign w:val="center"/>
          </w:tcPr>
          <w:p w14:paraId="51399238">
            <w:pPr>
              <w:spacing w:line="400" w:lineRule="exact"/>
              <w:jc w:val="center"/>
              <w:rPr>
                <w:rFonts w:hint="eastAsia" w:ascii="宋体" w:hAnsi="宋体" w:eastAsia="宋体" w:cs="宋体"/>
                <w:sz w:val="24"/>
                <w:szCs w:val="24"/>
                <w:highlight w:val="none"/>
              </w:rPr>
            </w:pPr>
          </w:p>
        </w:tc>
        <w:tc>
          <w:tcPr>
            <w:tcW w:w="1154" w:type="dxa"/>
            <w:vAlign w:val="center"/>
          </w:tcPr>
          <w:p w14:paraId="2F82C64B">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vAlign w:val="center"/>
          </w:tcPr>
          <w:p w14:paraId="6E8E0A56">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vAlign w:val="center"/>
          </w:tcPr>
          <w:p w14:paraId="71CDF2C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168" w:type="dxa"/>
            <w:tcBorders>
              <w:left w:val="single" w:color="auto" w:sz="4" w:space="0"/>
            </w:tcBorders>
            <w:vAlign w:val="top"/>
          </w:tcPr>
          <w:p w14:paraId="47F12979">
            <w:pPr>
              <w:spacing w:line="400" w:lineRule="exact"/>
              <w:jc w:val="center"/>
              <w:rPr>
                <w:rFonts w:hint="eastAsia" w:ascii="宋体" w:hAnsi="宋体" w:eastAsia="宋体" w:cs="宋体"/>
                <w:sz w:val="24"/>
                <w:szCs w:val="24"/>
                <w:highlight w:val="none"/>
              </w:rPr>
            </w:pPr>
          </w:p>
        </w:tc>
      </w:tr>
      <w:tr w14:paraId="266F3D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54F74D6B">
            <w:pPr>
              <w:spacing w:line="400" w:lineRule="exact"/>
              <w:jc w:val="center"/>
              <w:rPr>
                <w:rFonts w:hint="eastAsia" w:ascii="宋体" w:hAnsi="宋体" w:eastAsia="宋体" w:cs="宋体"/>
                <w:sz w:val="24"/>
                <w:szCs w:val="24"/>
                <w:highlight w:val="none"/>
              </w:rPr>
            </w:pPr>
          </w:p>
        </w:tc>
        <w:tc>
          <w:tcPr>
            <w:tcW w:w="1356" w:type="dxa"/>
            <w:tcBorders>
              <w:right w:val="single" w:color="auto" w:sz="4" w:space="0"/>
            </w:tcBorders>
            <w:vAlign w:val="center"/>
          </w:tcPr>
          <w:p w14:paraId="082E8A78">
            <w:pPr>
              <w:spacing w:line="400" w:lineRule="exact"/>
              <w:jc w:val="center"/>
              <w:rPr>
                <w:rFonts w:hint="eastAsia" w:ascii="宋体" w:hAnsi="宋体" w:eastAsia="宋体" w:cs="宋体"/>
                <w:sz w:val="24"/>
                <w:szCs w:val="24"/>
                <w:highlight w:val="none"/>
              </w:rPr>
            </w:pPr>
          </w:p>
        </w:tc>
        <w:tc>
          <w:tcPr>
            <w:tcW w:w="1320" w:type="dxa"/>
            <w:tcBorders>
              <w:left w:val="single" w:color="auto" w:sz="4" w:space="0"/>
            </w:tcBorders>
            <w:vAlign w:val="center"/>
          </w:tcPr>
          <w:p w14:paraId="24A9B2BF">
            <w:pPr>
              <w:spacing w:line="400" w:lineRule="exact"/>
              <w:jc w:val="center"/>
              <w:rPr>
                <w:rFonts w:hint="eastAsia" w:ascii="宋体" w:hAnsi="宋体" w:eastAsia="宋体" w:cs="宋体"/>
                <w:sz w:val="24"/>
                <w:szCs w:val="24"/>
                <w:highlight w:val="none"/>
              </w:rPr>
            </w:pPr>
          </w:p>
        </w:tc>
        <w:tc>
          <w:tcPr>
            <w:tcW w:w="1267" w:type="dxa"/>
            <w:vAlign w:val="center"/>
          </w:tcPr>
          <w:p w14:paraId="581D027C">
            <w:pPr>
              <w:spacing w:line="400" w:lineRule="exact"/>
              <w:jc w:val="center"/>
              <w:rPr>
                <w:rFonts w:hint="eastAsia" w:ascii="宋体" w:hAnsi="宋体" w:eastAsia="宋体" w:cs="宋体"/>
                <w:sz w:val="24"/>
                <w:szCs w:val="24"/>
                <w:highlight w:val="none"/>
              </w:rPr>
            </w:pPr>
          </w:p>
        </w:tc>
        <w:tc>
          <w:tcPr>
            <w:tcW w:w="1154" w:type="dxa"/>
            <w:vAlign w:val="center"/>
          </w:tcPr>
          <w:p w14:paraId="3614B0FA">
            <w:pPr>
              <w:spacing w:line="400" w:lineRule="exact"/>
              <w:jc w:val="center"/>
              <w:rPr>
                <w:rFonts w:hint="eastAsia" w:ascii="宋体" w:hAnsi="宋体" w:eastAsia="宋体" w:cs="宋体"/>
                <w:sz w:val="24"/>
                <w:szCs w:val="24"/>
                <w:highlight w:val="none"/>
              </w:rPr>
            </w:pPr>
          </w:p>
        </w:tc>
        <w:tc>
          <w:tcPr>
            <w:tcW w:w="1374" w:type="dxa"/>
            <w:gridSpan w:val="3"/>
            <w:tcBorders>
              <w:right w:val="single" w:color="auto" w:sz="4" w:space="0"/>
            </w:tcBorders>
            <w:vAlign w:val="center"/>
          </w:tcPr>
          <w:p w14:paraId="050A4435">
            <w:pPr>
              <w:spacing w:line="400" w:lineRule="exact"/>
              <w:jc w:val="center"/>
              <w:rPr>
                <w:rFonts w:hint="eastAsia" w:ascii="宋体" w:hAnsi="宋体" w:eastAsia="宋体" w:cs="宋体"/>
                <w:sz w:val="24"/>
                <w:szCs w:val="24"/>
                <w:highlight w:val="none"/>
              </w:rPr>
            </w:pPr>
          </w:p>
        </w:tc>
        <w:tc>
          <w:tcPr>
            <w:tcW w:w="1442" w:type="dxa"/>
            <w:tcBorders>
              <w:left w:val="single" w:color="auto" w:sz="4" w:space="0"/>
            </w:tcBorders>
            <w:vAlign w:val="center"/>
          </w:tcPr>
          <w:p w14:paraId="5BEDD131">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vAlign w:val="top"/>
          </w:tcPr>
          <w:p w14:paraId="3E1CC9FB">
            <w:pPr>
              <w:spacing w:line="400" w:lineRule="exact"/>
              <w:jc w:val="center"/>
              <w:rPr>
                <w:rFonts w:hint="eastAsia" w:ascii="宋体" w:hAnsi="宋体" w:eastAsia="宋体" w:cs="宋体"/>
                <w:sz w:val="24"/>
                <w:szCs w:val="24"/>
                <w:highlight w:val="none"/>
              </w:rPr>
            </w:pPr>
          </w:p>
        </w:tc>
      </w:tr>
      <w:tr w14:paraId="69036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right w:val="single" w:color="auto" w:sz="4" w:space="0"/>
            </w:tcBorders>
            <w:vAlign w:val="center"/>
          </w:tcPr>
          <w:p w14:paraId="433DD356">
            <w:pPr>
              <w:spacing w:line="400" w:lineRule="exact"/>
              <w:rPr>
                <w:rFonts w:hint="eastAsia" w:ascii="宋体" w:hAnsi="宋体" w:eastAsia="宋体" w:cs="宋体"/>
                <w:sz w:val="24"/>
                <w:szCs w:val="24"/>
                <w:highlight w:val="none"/>
              </w:rPr>
            </w:pPr>
          </w:p>
        </w:tc>
        <w:tc>
          <w:tcPr>
            <w:tcW w:w="1356" w:type="dxa"/>
            <w:tcBorders>
              <w:left w:val="single" w:color="auto" w:sz="4" w:space="0"/>
              <w:right w:val="single" w:color="auto" w:sz="4" w:space="0"/>
            </w:tcBorders>
            <w:vAlign w:val="center"/>
          </w:tcPr>
          <w:p w14:paraId="21086FFB">
            <w:pPr>
              <w:spacing w:line="400" w:lineRule="exact"/>
              <w:rPr>
                <w:rFonts w:hint="eastAsia" w:ascii="宋体" w:hAnsi="宋体" w:eastAsia="宋体" w:cs="宋体"/>
                <w:sz w:val="24"/>
                <w:szCs w:val="24"/>
                <w:highlight w:val="none"/>
              </w:rPr>
            </w:pPr>
          </w:p>
        </w:tc>
        <w:tc>
          <w:tcPr>
            <w:tcW w:w="1320" w:type="dxa"/>
            <w:tcBorders>
              <w:left w:val="single" w:color="auto" w:sz="4" w:space="0"/>
              <w:right w:val="single" w:color="auto" w:sz="4" w:space="0"/>
            </w:tcBorders>
            <w:vAlign w:val="center"/>
          </w:tcPr>
          <w:p w14:paraId="2F60F36F">
            <w:pPr>
              <w:spacing w:line="400" w:lineRule="exact"/>
              <w:rPr>
                <w:rFonts w:hint="eastAsia" w:ascii="宋体" w:hAnsi="宋体" w:eastAsia="宋体" w:cs="宋体"/>
                <w:sz w:val="24"/>
                <w:szCs w:val="24"/>
                <w:highlight w:val="none"/>
              </w:rPr>
            </w:pPr>
          </w:p>
        </w:tc>
        <w:tc>
          <w:tcPr>
            <w:tcW w:w="1267" w:type="dxa"/>
            <w:tcBorders>
              <w:left w:val="single" w:color="auto" w:sz="4" w:space="0"/>
              <w:right w:val="single" w:color="auto" w:sz="4" w:space="0"/>
            </w:tcBorders>
            <w:vAlign w:val="center"/>
          </w:tcPr>
          <w:p w14:paraId="473DE370">
            <w:pPr>
              <w:spacing w:line="400" w:lineRule="exact"/>
              <w:rPr>
                <w:rFonts w:hint="eastAsia" w:ascii="宋体" w:hAnsi="宋体" w:eastAsia="宋体" w:cs="宋体"/>
                <w:sz w:val="24"/>
                <w:szCs w:val="24"/>
                <w:highlight w:val="none"/>
              </w:rPr>
            </w:pPr>
          </w:p>
        </w:tc>
        <w:tc>
          <w:tcPr>
            <w:tcW w:w="1163" w:type="dxa"/>
            <w:gridSpan w:val="2"/>
            <w:tcBorders>
              <w:left w:val="single" w:color="auto" w:sz="4" w:space="0"/>
              <w:right w:val="single" w:color="auto" w:sz="4" w:space="0"/>
            </w:tcBorders>
            <w:vAlign w:val="center"/>
          </w:tcPr>
          <w:p w14:paraId="59EF0B9D">
            <w:pPr>
              <w:spacing w:line="400" w:lineRule="exact"/>
              <w:rPr>
                <w:rFonts w:hint="eastAsia" w:ascii="宋体" w:hAnsi="宋体" w:eastAsia="宋体" w:cs="宋体"/>
                <w:sz w:val="24"/>
                <w:szCs w:val="24"/>
                <w:highlight w:val="none"/>
              </w:rPr>
            </w:pPr>
          </w:p>
        </w:tc>
        <w:tc>
          <w:tcPr>
            <w:tcW w:w="1365" w:type="dxa"/>
            <w:gridSpan w:val="2"/>
            <w:tcBorders>
              <w:left w:val="single" w:color="auto" w:sz="4" w:space="0"/>
              <w:right w:val="single" w:color="auto" w:sz="4" w:space="0"/>
            </w:tcBorders>
            <w:vAlign w:val="center"/>
          </w:tcPr>
          <w:p w14:paraId="78E64F5E">
            <w:pPr>
              <w:spacing w:line="400" w:lineRule="exact"/>
              <w:rPr>
                <w:rFonts w:hint="eastAsia" w:ascii="宋体" w:hAnsi="宋体" w:eastAsia="宋体" w:cs="宋体"/>
                <w:sz w:val="24"/>
                <w:szCs w:val="24"/>
                <w:highlight w:val="none"/>
              </w:rPr>
            </w:pPr>
          </w:p>
        </w:tc>
        <w:tc>
          <w:tcPr>
            <w:tcW w:w="1442" w:type="dxa"/>
            <w:tcBorders>
              <w:left w:val="single" w:color="auto" w:sz="4" w:space="0"/>
            </w:tcBorders>
            <w:vAlign w:val="center"/>
          </w:tcPr>
          <w:p w14:paraId="73453737">
            <w:pPr>
              <w:spacing w:line="400" w:lineRule="exact"/>
              <w:rPr>
                <w:rFonts w:hint="eastAsia" w:ascii="宋体" w:hAnsi="宋体" w:eastAsia="宋体" w:cs="宋体"/>
                <w:sz w:val="24"/>
                <w:szCs w:val="24"/>
                <w:highlight w:val="none"/>
              </w:rPr>
            </w:pPr>
          </w:p>
        </w:tc>
        <w:tc>
          <w:tcPr>
            <w:tcW w:w="1168" w:type="dxa"/>
            <w:tcBorders>
              <w:left w:val="single" w:color="auto" w:sz="4" w:space="0"/>
            </w:tcBorders>
            <w:vAlign w:val="top"/>
          </w:tcPr>
          <w:p w14:paraId="7311BBA0">
            <w:pPr>
              <w:spacing w:line="400" w:lineRule="exact"/>
              <w:rPr>
                <w:rFonts w:hint="eastAsia" w:ascii="宋体" w:hAnsi="宋体" w:eastAsia="宋体" w:cs="宋体"/>
                <w:sz w:val="24"/>
                <w:szCs w:val="24"/>
                <w:highlight w:val="none"/>
              </w:rPr>
            </w:pPr>
          </w:p>
        </w:tc>
      </w:tr>
      <w:tr w14:paraId="37D805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4E243E40">
            <w:pPr>
              <w:spacing w:line="400" w:lineRule="exact"/>
              <w:rPr>
                <w:rFonts w:hint="eastAsia" w:ascii="宋体" w:hAnsi="宋体" w:eastAsia="宋体" w:cs="宋体"/>
                <w:sz w:val="24"/>
                <w:szCs w:val="24"/>
                <w:highlight w:val="none"/>
              </w:rPr>
            </w:pPr>
          </w:p>
        </w:tc>
        <w:tc>
          <w:tcPr>
            <w:tcW w:w="1356" w:type="dxa"/>
            <w:vAlign w:val="center"/>
          </w:tcPr>
          <w:p w14:paraId="3A8FCE62">
            <w:pPr>
              <w:spacing w:line="400" w:lineRule="exact"/>
              <w:rPr>
                <w:rFonts w:hint="eastAsia" w:ascii="宋体" w:hAnsi="宋体" w:eastAsia="宋体" w:cs="宋体"/>
                <w:sz w:val="24"/>
                <w:szCs w:val="24"/>
                <w:highlight w:val="none"/>
              </w:rPr>
            </w:pPr>
          </w:p>
        </w:tc>
        <w:tc>
          <w:tcPr>
            <w:tcW w:w="1320" w:type="dxa"/>
            <w:vAlign w:val="center"/>
          </w:tcPr>
          <w:p w14:paraId="330B7D6A">
            <w:pPr>
              <w:spacing w:line="400" w:lineRule="exact"/>
              <w:rPr>
                <w:rFonts w:hint="eastAsia" w:ascii="宋体" w:hAnsi="宋体" w:eastAsia="宋体" w:cs="宋体"/>
                <w:sz w:val="24"/>
                <w:szCs w:val="24"/>
                <w:highlight w:val="none"/>
              </w:rPr>
            </w:pPr>
          </w:p>
        </w:tc>
        <w:tc>
          <w:tcPr>
            <w:tcW w:w="1267" w:type="dxa"/>
            <w:vAlign w:val="center"/>
          </w:tcPr>
          <w:p w14:paraId="2ABB01F9">
            <w:pPr>
              <w:spacing w:line="400" w:lineRule="exact"/>
              <w:rPr>
                <w:rFonts w:hint="eastAsia" w:ascii="宋体" w:hAnsi="宋体" w:eastAsia="宋体" w:cs="宋体"/>
                <w:sz w:val="24"/>
                <w:szCs w:val="24"/>
                <w:highlight w:val="none"/>
              </w:rPr>
            </w:pPr>
          </w:p>
        </w:tc>
        <w:tc>
          <w:tcPr>
            <w:tcW w:w="1163" w:type="dxa"/>
            <w:gridSpan w:val="2"/>
            <w:tcBorders>
              <w:right w:val="single" w:color="auto" w:sz="4" w:space="0"/>
            </w:tcBorders>
            <w:vAlign w:val="center"/>
          </w:tcPr>
          <w:p w14:paraId="76C2BA5D">
            <w:pPr>
              <w:spacing w:line="400" w:lineRule="exact"/>
              <w:rPr>
                <w:rFonts w:hint="eastAsia" w:ascii="宋体" w:hAnsi="宋体" w:eastAsia="宋体" w:cs="宋体"/>
                <w:sz w:val="24"/>
                <w:szCs w:val="24"/>
                <w:highlight w:val="none"/>
              </w:rPr>
            </w:pPr>
          </w:p>
        </w:tc>
        <w:tc>
          <w:tcPr>
            <w:tcW w:w="1356" w:type="dxa"/>
            <w:tcBorders>
              <w:left w:val="single" w:color="auto" w:sz="4" w:space="0"/>
              <w:right w:val="single" w:color="auto" w:sz="4" w:space="0"/>
            </w:tcBorders>
            <w:vAlign w:val="center"/>
          </w:tcPr>
          <w:p w14:paraId="1F4F1D71">
            <w:pPr>
              <w:spacing w:line="400" w:lineRule="exact"/>
              <w:rPr>
                <w:rFonts w:hint="eastAsia" w:ascii="宋体" w:hAnsi="宋体" w:eastAsia="宋体" w:cs="宋体"/>
                <w:sz w:val="24"/>
                <w:szCs w:val="24"/>
                <w:highlight w:val="none"/>
              </w:rPr>
            </w:pPr>
          </w:p>
        </w:tc>
        <w:tc>
          <w:tcPr>
            <w:tcW w:w="1451" w:type="dxa"/>
            <w:gridSpan w:val="2"/>
            <w:tcBorders>
              <w:left w:val="single" w:color="auto" w:sz="4" w:space="0"/>
            </w:tcBorders>
            <w:vAlign w:val="center"/>
          </w:tcPr>
          <w:p w14:paraId="3C730E33">
            <w:pPr>
              <w:spacing w:line="400" w:lineRule="exact"/>
              <w:rPr>
                <w:rFonts w:hint="eastAsia" w:ascii="宋体" w:hAnsi="宋体" w:eastAsia="宋体" w:cs="宋体"/>
                <w:sz w:val="24"/>
                <w:szCs w:val="24"/>
                <w:highlight w:val="none"/>
              </w:rPr>
            </w:pPr>
          </w:p>
        </w:tc>
        <w:tc>
          <w:tcPr>
            <w:tcW w:w="1168" w:type="dxa"/>
            <w:tcBorders>
              <w:left w:val="single" w:color="auto" w:sz="4" w:space="0"/>
            </w:tcBorders>
            <w:vAlign w:val="top"/>
          </w:tcPr>
          <w:p w14:paraId="687885A6">
            <w:pPr>
              <w:spacing w:line="400" w:lineRule="exact"/>
              <w:rPr>
                <w:rFonts w:hint="eastAsia" w:ascii="宋体" w:hAnsi="宋体" w:eastAsia="宋体" w:cs="宋体"/>
                <w:sz w:val="24"/>
                <w:szCs w:val="24"/>
                <w:highlight w:val="none"/>
              </w:rPr>
            </w:pPr>
          </w:p>
        </w:tc>
      </w:tr>
      <w:tr w14:paraId="1C2EC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1A260830">
            <w:pPr>
              <w:spacing w:line="400" w:lineRule="exact"/>
              <w:jc w:val="center"/>
              <w:rPr>
                <w:rFonts w:hint="eastAsia" w:ascii="宋体" w:hAnsi="宋体" w:eastAsia="宋体" w:cs="宋体"/>
                <w:sz w:val="24"/>
                <w:szCs w:val="24"/>
                <w:highlight w:val="none"/>
              </w:rPr>
            </w:pPr>
          </w:p>
        </w:tc>
        <w:tc>
          <w:tcPr>
            <w:tcW w:w="1356" w:type="dxa"/>
            <w:vAlign w:val="center"/>
          </w:tcPr>
          <w:p w14:paraId="49A518A7">
            <w:pPr>
              <w:spacing w:line="400" w:lineRule="exact"/>
              <w:jc w:val="center"/>
              <w:rPr>
                <w:rFonts w:hint="eastAsia" w:ascii="宋体" w:hAnsi="宋体" w:eastAsia="宋体" w:cs="宋体"/>
                <w:sz w:val="24"/>
                <w:szCs w:val="24"/>
                <w:highlight w:val="none"/>
              </w:rPr>
            </w:pPr>
          </w:p>
        </w:tc>
        <w:tc>
          <w:tcPr>
            <w:tcW w:w="1320" w:type="dxa"/>
            <w:vAlign w:val="center"/>
          </w:tcPr>
          <w:p w14:paraId="223B35D2">
            <w:pPr>
              <w:spacing w:line="400" w:lineRule="exact"/>
              <w:jc w:val="center"/>
              <w:rPr>
                <w:rFonts w:hint="eastAsia" w:ascii="宋体" w:hAnsi="宋体" w:eastAsia="宋体" w:cs="宋体"/>
                <w:sz w:val="24"/>
                <w:szCs w:val="24"/>
                <w:highlight w:val="none"/>
              </w:rPr>
            </w:pPr>
          </w:p>
        </w:tc>
        <w:tc>
          <w:tcPr>
            <w:tcW w:w="1267" w:type="dxa"/>
            <w:vAlign w:val="center"/>
          </w:tcPr>
          <w:p w14:paraId="7D0C35DF">
            <w:pPr>
              <w:spacing w:line="400" w:lineRule="exact"/>
              <w:jc w:val="center"/>
              <w:rPr>
                <w:rFonts w:hint="eastAsia" w:ascii="宋体" w:hAnsi="宋体" w:eastAsia="宋体" w:cs="宋体"/>
                <w:sz w:val="24"/>
                <w:szCs w:val="24"/>
                <w:highlight w:val="none"/>
              </w:rPr>
            </w:pPr>
          </w:p>
        </w:tc>
        <w:tc>
          <w:tcPr>
            <w:tcW w:w="1163" w:type="dxa"/>
            <w:gridSpan w:val="2"/>
            <w:tcBorders>
              <w:right w:val="single" w:color="auto" w:sz="4" w:space="0"/>
            </w:tcBorders>
            <w:vAlign w:val="center"/>
          </w:tcPr>
          <w:p w14:paraId="099D04F9">
            <w:pPr>
              <w:spacing w:line="400" w:lineRule="exact"/>
              <w:jc w:val="center"/>
              <w:rPr>
                <w:rFonts w:hint="eastAsia" w:ascii="宋体" w:hAnsi="宋体" w:eastAsia="宋体" w:cs="宋体"/>
                <w:sz w:val="24"/>
                <w:szCs w:val="24"/>
                <w:highlight w:val="none"/>
              </w:rPr>
            </w:pPr>
          </w:p>
        </w:tc>
        <w:tc>
          <w:tcPr>
            <w:tcW w:w="1356" w:type="dxa"/>
            <w:tcBorders>
              <w:left w:val="single" w:color="auto" w:sz="4" w:space="0"/>
              <w:right w:val="single" w:color="auto" w:sz="4" w:space="0"/>
            </w:tcBorders>
            <w:vAlign w:val="center"/>
          </w:tcPr>
          <w:p w14:paraId="6FA34C60">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tcBorders>
            <w:vAlign w:val="center"/>
          </w:tcPr>
          <w:p w14:paraId="3F4962C5">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vAlign w:val="top"/>
          </w:tcPr>
          <w:p w14:paraId="03B9FA73">
            <w:pPr>
              <w:spacing w:line="400" w:lineRule="exact"/>
              <w:jc w:val="center"/>
              <w:rPr>
                <w:rFonts w:hint="eastAsia" w:ascii="宋体" w:hAnsi="宋体" w:eastAsia="宋体" w:cs="宋体"/>
                <w:sz w:val="24"/>
                <w:szCs w:val="24"/>
                <w:highlight w:val="none"/>
              </w:rPr>
            </w:pPr>
          </w:p>
        </w:tc>
      </w:tr>
      <w:tr w14:paraId="079E9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vAlign w:val="center"/>
          </w:tcPr>
          <w:p w14:paraId="46DE6497">
            <w:pPr>
              <w:spacing w:line="400" w:lineRule="exact"/>
              <w:jc w:val="center"/>
              <w:rPr>
                <w:rFonts w:hint="eastAsia" w:ascii="宋体" w:hAnsi="宋体" w:eastAsia="宋体" w:cs="宋体"/>
                <w:sz w:val="24"/>
                <w:szCs w:val="24"/>
                <w:highlight w:val="none"/>
              </w:rPr>
            </w:pPr>
          </w:p>
        </w:tc>
        <w:tc>
          <w:tcPr>
            <w:tcW w:w="1356" w:type="dxa"/>
            <w:vAlign w:val="center"/>
          </w:tcPr>
          <w:p w14:paraId="4E03116B">
            <w:pPr>
              <w:spacing w:line="400" w:lineRule="exact"/>
              <w:jc w:val="center"/>
              <w:rPr>
                <w:rFonts w:hint="eastAsia" w:ascii="宋体" w:hAnsi="宋体" w:eastAsia="宋体" w:cs="宋体"/>
                <w:sz w:val="24"/>
                <w:szCs w:val="24"/>
                <w:highlight w:val="none"/>
              </w:rPr>
            </w:pPr>
          </w:p>
        </w:tc>
        <w:tc>
          <w:tcPr>
            <w:tcW w:w="1320" w:type="dxa"/>
            <w:vAlign w:val="center"/>
          </w:tcPr>
          <w:p w14:paraId="19E27ABD">
            <w:pPr>
              <w:spacing w:line="400" w:lineRule="exact"/>
              <w:jc w:val="center"/>
              <w:rPr>
                <w:rFonts w:hint="eastAsia" w:ascii="宋体" w:hAnsi="宋体" w:eastAsia="宋体" w:cs="宋体"/>
                <w:sz w:val="24"/>
                <w:szCs w:val="24"/>
                <w:highlight w:val="none"/>
              </w:rPr>
            </w:pPr>
          </w:p>
        </w:tc>
        <w:tc>
          <w:tcPr>
            <w:tcW w:w="1267" w:type="dxa"/>
            <w:vAlign w:val="center"/>
          </w:tcPr>
          <w:p w14:paraId="1F065082">
            <w:pPr>
              <w:spacing w:line="400" w:lineRule="exact"/>
              <w:jc w:val="center"/>
              <w:rPr>
                <w:rFonts w:hint="eastAsia" w:ascii="宋体" w:hAnsi="宋体" w:eastAsia="宋体" w:cs="宋体"/>
                <w:sz w:val="24"/>
                <w:szCs w:val="24"/>
                <w:highlight w:val="none"/>
              </w:rPr>
            </w:pPr>
          </w:p>
        </w:tc>
        <w:tc>
          <w:tcPr>
            <w:tcW w:w="1163" w:type="dxa"/>
            <w:gridSpan w:val="2"/>
            <w:tcBorders>
              <w:right w:val="single" w:color="auto" w:sz="4" w:space="0"/>
            </w:tcBorders>
            <w:vAlign w:val="center"/>
          </w:tcPr>
          <w:p w14:paraId="4A7F972F">
            <w:pPr>
              <w:spacing w:line="400" w:lineRule="exact"/>
              <w:jc w:val="center"/>
              <w:rPr>
                <w:rFonts w:hint="eastAsia" w:ascii="宋体" w:hAnsi="宋体" w:eastAsia="宋体" w:cs="宋体"/>
                <w:sz w:val="24"/>
                <w:szCs w:val="24"/>
                <w:highlight w:val="none"/>
              </w:rPr>
            </w:pPr>
          </w:p>
        </w:tc>
        <w:tc>
          <w:tcPr>
            <w:tcW w:w="1356" w:type="dxa"/>
            <w:tcBorders>
              <w:left w:val="single" w:color="auto" w:sz="4" w:space="0"/>
              <w:right w:val="single" w:color="auto" w:sz="4" w:space="0"/>
            </w:tcBorders>
            <w:vAlign w:val="center"/>
          </w:tcPr>
          <w:p w14:paraId="4585795E">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tcBorders>
            <w:vAlign w:val="center"/>
          </w:tcPr>
          <w:p w14:paraId="0A2D9A6C">
            <w:pPr>
              <w:spacing w:line="400" w:lineRule="exact"/>
              <w:jc w:val="center"/>
              <w:rPr>
                <w:rFonts w:hint="eastAsia" w:ascii="宋体" w:hAnsi="宋体" w:eastAsia="宋体" w:cs="宋体"/>
                <w:sz w:val="24"/>
                <w:szCs w:val="24"/>
                <w:highlight w:val="none"/>
              </w:rPr>
            </w:pPr>
          </w:p>
        </w:tc>
        <w:tc>
          <w:tcPr>
            <w:tcW w:w="1168" w:type="dxa"/>
            <w:tcBorders>
              <w:left w:val="single" w:color="auto" w:sz="4" w:space="0"/>
            </w:tcBorders>
            <w:vAlign w:val="top"/>
          </w:tcPr>
          <w:p w14:paraId="53670C7F">
            <w:pPr>
              <w:spacing w:line="400" w:lineRule="exact"/>
              <w:jc w:val="center"/>
              <w:rPr>
                <w:rFonts w:hint="eastAsia" w:ascii="宋体" w:hAnsi="宋体" w:eastAsia="宋体" w:cs="宋体"/>
                <w:sz w:val="24"/>
                <w:szCs w:val="24"/>
                <w:highlight w:val="none"/>
              </w:rPr>
            </w:pPr>
          </w:p>
        </w:tc>
      </w:tr>
      <w:tr w14:paraId="00DA21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bottom w:val="single" w:color="auto" w:sz="4" w:space="0"/>
            </w:tcBorders>
            <w:vAlign w:val="center"/>
          </w:tcPr>
          <w:p w14:paraId="129940FE">
            <w:pPr>
              <w:spacing w:line="400" w:lineRule="exact"/>
              <w:jc w:val="center"/>
              <w:rPr>
                <w:rFonts w:hint="eastAsia" w:ascii="宋体" w:hAnsi="宋体" w:eastAsia="宋体" w:cs="宋体"/>
                <w:sz w:val="24"/>
                <w:szCs w:val="24"/>
                <w:highlight w:val="none"/>
              </w:rPr>
            </w:pPr>
          </w:p>
        </w:tc>
        <w:tc>
          <w:tcPr>
            <w:tcW w:w="1356" w:type="dxa"/>
            <w:tcBorders>
              <w:bottom w:val="single" w:color="auto" w:sz="4" w:space="0"/>
            </w:tcBorders>
            <w:vAlign w:val="center"/>
          </w:tcPr>
          <w:p w14:paraId="5849C555">
            <w:pPr>
              <w:spacing w:line="400" w:lineRule="exact"/>
              <w:jc w:val="center"/>
              <w:rPr>
                <w:rFonts w:hint="eastAsia" w:ascii="宋体" w:hAnsi="宋体" w:eastAsia="宋体" w:cs="宋体"/>
                <w:sz w:val="24"/>
                <w:szCs w:val="24"/>
                <w:highlight w:val="none"/>
              </w:rPr>
            </w:pPr>
          </w:p>
        </w:tc>
        <w:tc>
          <w:tcPr>
            <w:tcW w:w="1320" w:type="dxa"/>
            <w:tcBorders>
              <w:bottom w:val="single" w:color="auto" w:sz="4" w:space="0"/>
            </w:tcBorders>
            <w:vAlign w:val="center"/>
          </w:tcPr>
          <w:p w14:paraId="0EC1C10E">
            <w:pPr>
              <w:spacing w:line="400" w:lineRule="exact"/>
              <w:jc w:val="center"/>
              <w:rPr>
                <w:rFonts w:hint="eastAsia" w:ascii="宋体" w:hAnsi="宋体" w:eastAsia="宋体" w:cs="宋体"/>
                <w:sz w:val="24"/>
                <w:szCs w:val="24"/>
                <w:highlight w:val="none"/>
              </w:rPr>
            </w:pPr>
          </w:p>
        </w:tc>
        <w:tc>
          <w:tcPr>
            <w:tcW w:w="1267" w:type="dxa"/>
            <w:tcBorders>
              <w:bottom w:val="single" w:color="auto" w:sz="4" w:space="0"/>
            </w:tcBorders>
            <w:vAlign w:val="center"/>
          </w:tcPr>
          <w:p w14:paraId="7C0CFAD5">
            <w:pPr>
              <w:spacing w:line="400" w:lineRule="exact"/>
              <w:jc w:val="center"/>
              <w:rPr>
                <w:rFonts w:hint="eastAsia" w:ascii="宋体" w:hAnsi="宋体" w:eastAsia="宋体" w:cs="宋体"/>
                <w:sz w:val="24"/>
                <w:szCs w:val="24"/>
                <w:highlight w:val="none"/>
              </w:rPr>
            </w:pPr>
          </w:p>
        </w:tc>
        <w:tc>
          <w:tcPr>
            <w:tcW w:w="1163" w:type="dxa"/>
            <w:gridSpan w:val="2"/>
            <w:tcBorders>
              <w:bottom w:val="single" w:color="auto" w:sz="4" w:space="0"/>
              <w:right w:val="single" w:color="auto" w:sz="4" w:space="0"/>
            </w:tcBorders>
            <w:vAlign w:val="center"/>
          </w:tcPr>
          <w:p w14:paraId="1357F8F6">
            <w:pPr>
              <w:spacing w:line="400" w:lineRule="exact"/>
              <w:jc w:val="center"/>
              <w:rPr>
                <w:rFonts w:hint="eastAsia" w:ascii="宋体" w:hAnsi="宋体" w:eastAsia="宋体" w:cs="宋体"/>
                <w:sz w:val="24"/>
                <w:szCs w:val="24"/>
                <w:highlight w:val="none"/>
              </w:rPr>
            </w:pPr>
          </w:p>
        </w:tc>
        <w:tc>
          <w:tcPr>
            <w:tcW w:w="1356" w:type="dxa"/>
            <w:tcBorders>
              <w:left w:val="single" w:color="auto" w:sz="4" w:space="0"/>
              <w:bottom w:val="single" w:color="auto" w:sz="4" w:space="0"/>
              <w:right w:val="single" w:color="auto" w:sz="4" w:space="0"/>
            </w:tcBorders>
            <w:vAlign w:val="center"/>
          </w:tcPr>
          <w:p w14:paraId="5A8AA73F">
            <w:pPr>
              <w:spacing w:line="400" w:lineRule="exact"/>
              <w:jc w:val="center"/>
              <w:rPr>
                <w:rFonts w:hint="eastAsia" w:ascii="宋体" w:hAnsi="宋体" w:eastAsia="宋体" w:cs="宋体"/>
                <w:sz w:val="24"/>
                <w:szCs w:val="24"/>
                <w:highlight w:val="none"/>
              </w:rPr>
            </w:pPr>
          </w:p>
        </w:tc>
        <w:tc>
          <w:tcPr>
            <w:tcW w:w="1451" w:type="dxa"/>
            <w:gridSpan w:val="2"/>
            <w:tcBorders>
              <w:left w:val="single" w:color="auto" w:sz="4" w:space="0"/>
              <w:bottom w:val="single" w:color="auto" w:sz="4" w:space="0"/>
            </w:tcBorders>
            <w:vAlign w:val="center"/>
          </w:tcPr>
          <w:p w14:paraId="5836F5AA">
            <w:pPr>
              <w:spacing w:line="400" w:lineRule="exact"/>
              <w:jc w:val="center"/>
              <w:rPr>
                <w:rFonts w:hint="eastAsia" w:ascii="宋体" w:hAnsi="宋体" w:eastAsia="宋体" w:cs="宋体"/>
                <w:sz w:val="24"/>
                <w:szCs w:val="24"/>
                <w:highlight w:val="none"/>
              </w:rPr>
            </w:pPr>
          </w:p>
        </w:tc>
        <w:tc>
          <w:tcPr>
            <w:tcW w:w="1168" w:type="dxa"/>
            <w:tcBorders>
              <w:left w:val="single" w:color="auto" w:sz="4" w:space="0"/>
              <w:bottom w:val="single" w:color="auto" w:sz="4" w:space="0"/>
            </w:tcBorders>
            <w:vAlign w:val="top"/>
          </w:tcPr>
          <w:p w14:paraId="103C4687">
            <w:pPr>
              <w:spacing w:line="400" w:lineRule="exact"/>
              <w:jc w:val="center"/>
              <w:rPr>
                <w:rFonts w:hint="eastAsia" w:ascii="宋体" w:hAnsi="宋体" w:eastAsia="宋体" w:cs="宋体"/>
                <w:sz w:val="24"/>
                <w:szCs w:val="24"/>
                <w:highlight w:val="none"/>
              </w:rPr>
            </w:pPr>
          </w:p>
        </w:tc>
      </w:tr>
      <w:tr w14:paraId="5937B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vAlign w:val="center"/>
          </w:tcPr>
          <w:p w14:paraId="641120D3">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vAlign w:val="center"/>
          </w:tcPr>
          <w:p w14:paraId="50C625CE">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vAlign w:val="center"/>
          </w:tcPr>
          <w:p w14:paraId="3EFD6F9C">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vAlign w:val="center"/>
          </w:tcPr>
          <w:p w14:paraId="106523B8">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vAlign w:val="center"/>
          </w:tcPr>
          <w:p w14:paraId="12956A1E">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6648EDAC">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vAlign w:val="center"/>
          </w:tcPr>
          <w:p w14:paraId="2DC6D294">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vAlign w:val="top"/>
          </w:tcPr>
          <w:p w14:paraId="17C311DE">
            <w:pPr>
              <w:spacing w:line="400" w:lineRule="exact"/>
              <w:jc w:val="center"/>
              <w:rPr>
                <w:rFonts w:hint="eastAsia" w:ascii="宋体" w:hAnsi="宋体" w:eastAsia="宋体" w:cs="宋体"/>
                <w:sz w:val="24"/>
                <w:szCs w:val="24"/>
                <w:highlight w:val="none"/>
              </w:rPr>
            </w:pPr>
          </w:p>
        </w:tc>
      </w:tr>
      <w:tr w14:paraId="765C83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vAlign w:val="center"/>
          </w:tcPr>
          <w:p w14:paraId="167F244A">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vAlign w:val="center"/>
          </w:tcPr>
          <w:p w14:paraId="48E76221">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vAlign w:val="center"/>
          </w:tcPr>
          <w:p w14:paraId="3C4401F1">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vAlign w:val="center"/>
          </w:tcPr>
          <w:p w14:paraId="1EA9407E">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vAlign w:val="center"/>
          </w:tcPr>
          <w:p w14:paraId="5975C43F">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0612ED03">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vAlign w:val="center"/>
          </w:tcPr>
          <w:p w14:paraId="170FEBC0">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vAlign w:val="top"/>
          </w:tcPr>
          <w:p w14:paraId="53BDAD42">
            <w:pPr>
              <w:spacing w:line="400" w:lineRule="exact"/>
              <w:jc w:val="center"/>
              <w:rPr>
                <w:rFonts w:hint="eastAsia" w:ascii="宋体" w:hAnsi="宋体" w:eastAsia="宋体" w:cs="宋体"/>
                <w:sz w:val="24"/>
                <w:szCs w:val="24"/>
                <w:highlight w:val="none"/>
              </w:rPr>
            </w:pPr>
          </w:p>
        </w:tc>
      </w:tr>
      <w:tr w14:paraId="33DC3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bottom w:val="single" w:color="auto" w:sz="4" w:space="0"/>
            </w:tcBorders>
            <w:vAlign w:val="center"/>
          </w:tcPr>
          <w:p w14:paraId="78BE8D04">
            <w:pPr>
              <w:spacing w:line="400" w:lineRule="exact"/>
              <w:jc w:val="center"/>
              <w:rPr>
                <w:rFonts w:hint="eastAsia" w:ascii="宋体" w:hAnsi="宋体" w:eastAsia="宋体" w:cs="宋体"/>
                <w:sz w:val="24"/>
                <w:szCs w:val="24"/>
                <w:highlight w:val="none"/>
              </w:rPr>
            </w:pPr>
          </w:p>
        </w:tc>
        <w:tc>
          <w:tcPr>
            <w:tcW w:w="1356" w:type="dxa"/>
            <w:tcBorders>
              <w:top w:val="single" w:color="auto" w:sz="4" w:space="0"/>
              <w:bottom w:val="single" w:color="auto" w:sz="4" w:space="0"/>
            </w:tcBorders>
            <w:vAlign w:val="center"/>
          </w:tcPr>
          <w:p w14:paraId="5AC1284F">
            <w:pPr>
              <w:spacing w:line="400" w:lineRule="exact"/>
              <w:jc w:val="center"/>
              <w:rPr>
                <w:rFonts w:hint="eastAsia" w:ascii="宋体" w:hAnsi="宋体" w:eastAsia="宋体" w:cs="宋体"/>
                <w:sz w:val="24"/>
                <w:szCs w:val="24"/>
                <w:highlight w:val="none"/>
              </w:rPr>
            </w:pPr>
          </w:p>
        </w:tc>
        <w:tc>
          <w:tcPr>
            <w:tcW w:w="1320" w:type="dxa"/>
            <w:tcBorders>
              <w:top w:val="single" w:color="auto" w:sz="4" w:space="0"/>
              <w:bottom w:val="single" w:color="auto" w:sz="4" w:space="0"/>
            </w:tcBorders>
            <w:vAlign w:val="center"/>
          </w:tcPr>
          <w:p w14:paraId="78852343">
            <w:pPr>
              <w:spacing w:line="400" w:lineRule="exact"/>
              <w:jc w:val="center"/>
              <w:rPr>
                <w:rFonts w:hint="eastAsia" w:ascii="宋体" w:hAnsi="宋体" w:eastAsia="宋体" w:cs="宋体"/>
                <w:sz w:val="24"/>
                <w:szCs w:val="24"/>
                <w:highlight w:val="none"/>
              </w:rPr>
            </w:pPr>
          </w:p>
        </w:tc>
        <w:tc>
          <w:tcPr>
            <w:tcW w:w="1267" w:type="dxa"/>
            <w:tcBorders>
              <w:top w:val="single" w:color="auto" w:sz="4" w:space="0"/>
              <w:bottom w:val="single" w:color="auto" w:sz="4" w:space="0"/>
            </w:tcBorders>
            <w:vAlign w:val="center"/>
          </w:tcPr>
          <w:p w14:paraId="1DED382A">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bottom w:val="single" w:color="auto" w:sz="4" w:space="0"/>
              <w:right w:val="single" w:color="auto" w:sz="4" w:space="0"/>
            </w:tcBorders>
            <w:vAlign w:val="center"/>
          </w:tcPr>
          <w:p w14:paraId="20BFE6B9">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14:paraId="2675B1F2">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bottom w:val="single" w:color="auto" w:sz="4" w:space="0"/>
            </w:tcBorders>
            <w:vAlign w:val="center"/>
          </w:tcPr>
          <w:p w14:paraId="0C2479EB">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bottom w:val="single" w:color="auto" w:sz="4" w:space="0"/>
            </w:tcBorders>
            <w:vAlign w:val="top"/>
          </w:tcPr>
          <w:p w14:paraId="1C0AE5CE">
            <w:pPr>
              <w:spacing w:line="400" w:lineRule="exact"/>
              <w:jc w:val="center"/>
              <w:rPr>
                <w:rFonts w:hint="eastAsia" w:ascii="宋体" w:hAnsi="宋体" w:eastAsia="宋体" w:cs="宋体"/>
                <w:sz w:val="24"/>
                <w:szCs w:val="24"/>
                <w:highlight w:val="none"/>
              </w:rPr>
            </w:pPr>
          </w:p>
        </w:tc>
      </w:tr>
      <w:tr w14:paraId="4CD323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04" w:type="dxa"/>
            <w:tcBorders>
              <w:top w:val="single" w:color="auto" w:sz="4" w:space="0"/>
            </w:tcBorders>
            <w:vAlign w:val="center"/>
          </w:tcPr>
          <w:p w14:paraId="52F9D292">
            <w:pPr>
              <w:spacing w:line="400" w:lineRule="exact"/>
              <w:jc w:val="center"/>
              <w:rPr>
                <w:rFonts w:hint="eastAsia" w:ascii="宋体" w:hAnsi="宋体" w:eastAsia="宋体" w:cs="宋体"/>
                <w:sz w:val="24"/>
                <w:szCs w:val="24"/>
                <w:highlight w:val="none"/>
              </w:rPr>
            </w:pPr>
          </w:p>
        </w:tc>
        <w:tc>
          <w:tcPr>
            <w:tcW w:w="1356" w:type="dxa"/>
            <w:tcBorders>
              <w:top w:val="single" w:color="auto" w:sz="4" w:space="0"/>
            </w:tcBorders>
            <w:vAlign w:val="center"/>
          </w:tcPr>
          <w:p w14:paraId="169659EE">
            <w:pPr>
              <w:spacing w:line="400" w:lineRule="exact"/>
              <w:jc w:val="center"/>
              <w:rPr>
                <w:rFonts w:hint="eastAsia" w:ascii="宋体" w:hAnsi="宋体" w:eastAsia="宋体" w:cs="宋体"/>
                <w:sz w:val="24"/>
                <w:szCs w:val="24"/>
                <w:highlight w:val="none"/>
              </w:rPr>
            </w:pPr>
          </w:p>
        </w:tc>
        <w:tc>
          <w:tcPr>
            <w:tcW w:w="1320" w:type="dxa"/>
            <w:tcBorders>
              <w:top w:val="single" w:color="auto" w:sz="4" w:space="0"/>
            </w:tcBorders>
            <w:vAlign w:val="center"/>
          </w:tcPr>
          <w:p w14:paraId="546CFE9E">
            <w:pPr>
              <w:spacing w:line="400" w:lineRule="exact"/>
              <w:jc w:val="center"/>
              <w:rPr>
                <w:rFonts w:hint="eastAsia" w:ascii="宋体" w:hAnsi="宋体" w:eastAsia="宋体" w:cs="宋体"/>
                <w:sz w:val="24"/>
                <w:szCs w:val="24"/>
                <w:highlight w:val="none"/>
              </w:rPr>
            </w:pPr>
          </w:p>
        </w:tc>
        <w:tc>
          <w:tcPr>
            <w:tcW w:w="1267" w:type="dxa"/>
            <w:tcBorders>
              <w:top w:val="single" w:color="auto" w:sz="4" w:space="0"/>
            </w:tcBorders>
            <w:vAlign w:val="center"/>
          </w:tcPr>
          <w:p w14:paraId="0C6C2A48">
            <w:pPr>
              <w:spacing w:line="400" w:lineRule="exact"/>
              <w:jc w:val="center"/>
              <w:rPr>
                <w:rFonts w:hint="eastAsia" w:ascii="宋体" w:hAnsi="宋体" w:eastAsia="宋体" w:cs="宋体"/>
                <w:sz w:val="24"/>
                <w:szCs w:val="24"/>
                <w:highlight w:val="none"/>
              </w:rPr>
            </w:pPr>
          </w:p>
        </w:tc>
        <w:tc>
          <w:tcPr>
            <w:tcW w:w="1163" w:type="dxa"/>
            <w:gridSpan w:val="2"/>
            <w:tcBorders>
              <w:top w:val="single" w:color="auto" w:sz="4" w:space="0"/>
              <w:right w:val="single" w:color="auto" w:sz="4" w:space="0"/>
            </w:tcBorders>
            <w:vAlign w:val="center"/>
          </w:tcPr>
          <w:p w14:paraId="773CABC2">
            <w:pPr>
              <w:spacing w:line="400" w:lineRule="exact"/>
              <w:jc w:val="center"/>
              <w:rPr>
                <w:rFonts w:hint="eastAsia" w:ascii="宋体" w:hAnsi="宋体" w:eastAsia="宋体" w:cs="宋体"/>
                <w:sz w:val="24"/>
                <w:szCs w:val="24"/>
                <w:highlight w:val="none"/>
              </w:rPr>
            </w:pPr>
          </w:p>
        </w:tc>
        <w:tc>
          <w:tcPr>
            <w:tcW w:w="1356" w:type="dxa"/>
            <w:tcBorders>
              <w:top w:val="single" w:color="auto" w:sz="4" w:space="0"/>
              <w:left w:val="single" w:color="auto" w:sz="4" w:space="0"/>
              <w:right w:val="single" w:color="auto" w:sz="4" w:space="0"/>
            </w:tcBorders>
            <w:vAlign w:val="center"/>
          </w:tcPr>
          <w:p w14:paraId="4DC9C124">
            <w:pPr>
              <w:spacing w:line="400" w:lineRule="exact"/>
              <w:jc w:val="center"/>
              <w:rPr>
                <w:rFonts w:hint="eastAsia" w:ascii="宋体" w:hAnsi="宋体" w:eastAsia="宋体" w:cs="宋体"/>
                <w:sz w:val="24"/>
                <w:szCs w:val="24"/>
                <w:highlight w:val="none"/>
              </w:rPr>
            </w:pPr>
          </w:p>
        </w:tc>
        <w:tc>
          <w:tcPr>
            <w:tcW w:w="1451" w:type="dxa"/>
            <w:gridSpan w:val="2"/>
            <w:tcBorders>
              <w:top w:val="single" w:color="auto" w:sz="4" w:space="0"/>
              <w:left w:val="single" w:color="auto" w:sz="4" w:space="0"/>
            </w:tcBorders>
            <w:vAlign w:val="center"/>
          </w:tcPr>
          <w:p w14:paraId="3CAEBCF1">
            <w:pPr>
              <w:spacing w:line="400" w:lineRule="exact"/>
              <w:jc w:val="center"/>
              <w:rPr>
                <w:rFonts w:hint="eastAsia" w:ascii="宋体" w:hAnsi="宋体" w:eastAsia="宋体" w:cs="宋体"/>
                <w:sz w:val="24"/>
                <w:szCs w:val="24"/>
                <w:highlight w:val="none"/>
              </w:rPr>
            </w:pPr>
          </w:p>
        </w:tc>
        <w:tc>
          <w:tcPr>
            <w:tcW w:w="1168" w:type="dxa"/>
            <w:tcBorders>
              <w:top w:val="single" w:color="auto" w:sz="4" w:space="0"/>
              <w:left w:val="single" w:color="auto" w:sz="4" w:space="0"/>
            </w:tcBorders>
            <w:vAlign w:val="top"/>
          </w:tcPr>
          <w:p w14:paraId="3FF7A430">
            <w:pPr>
              <w:spacing w:line="400" w:lineRule="exact"/>
              <w:jc w:val="center"/>
              <w:rPr>
                <w:rFonts w:hint="eastAsia" w:ascii="宋体" w:hAnsi="宋体" w:eastAsia="宋体" w:cs="宋体"/>
                <w:sz w:val="24"/>
                <w:szCs w:val="24"/>
                <w:highlight w:val="none"/>
              </w:rPr>
            </w:pPr>
          </w:p>
        </w:tc>
      </w:tr>
    </w:tbl>
    <w:p w14:paraId="52EAE8FB">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注：供应商（仅限于供应商自身实施的）以上业绩需提供</w:t>
      </w:r>
      <w:r>
        <w:rPr>
          <w:rFonts w:hint="eastAsia" w:ascii="宋体" w:hAnsi="宋体" w:cs="宋体"/>
          <w:b/>
          <w:bCs/>
          <w:sz w:val="24"/>
          <w:szCs w:val="24"/>
          <w:highlight w:val="none"/>
          <w:lang w:val="en-US" w:eastAsia="zh-CN"/>
        </w:rPr>
        <w:t>中标通知书或合同</w:t>
      </w:r>
      <w:r>
        <w:rPr>
          <w:rFonts w:hint="eastAsia" w:ascii="宋体" w:hAnsi="宋体" w:eastAsia="宋体" w:cs="宋体"/>
          <w:b/>
          <w:bCs/>
          <w:sz w:val="24"/>
          <w:szCs w:val="24"/>
          <w:highlight w:val="none"/>
        </w:rPr>
        <w:t>有关书面证明材料。</w:t>
      </w:r>
    </w:p>
    <w:p w14:paraId="6FE8D416">
      <w:pPr>
        <w:spacing w:line="400" w:lineRule="exact"/>
        <w:ind w:left="360"/>
        <w:jc w:val="center"/>
        <w:rPr>
          <w:rFonts w:hint="eastAsia" w:ascii="宋体" w:hAnsi="宋体" w:eastAsia="宋体" w:cs="宋体"/>
          <w:sz w:val="24"/>
          <w:szCs w:val="24"/>
          <w:highlight w:val="none"/>
        </w:rPr>
      </w:pPr>
    </w:p>
    <w:p w14:paraId="5BA073B8">
      <w:pPr>
        <w:spacing w:line="400" w:lineRule="exact"/>
        <w:ind w:left="360"/>
        <w:jc w:val="center"/>
        <w:rPr>
          <w:rFonts w:hint="eastAsia" w:ascii="宋体" w:hAnsi="宋体" w:eastAsia="宋体" w:cs="宋体"/>
          <w:sz w:val="24"/>
          <w:szCs w:val="24"/>
          <w:highlight w:val="none"/>
        </w:rPr>
      </w:pPr>
    </w:p>
    <w:p w14:paraId="406F168E">
      <w:pPr>
        <w:adjustRightInd w:val="0"/>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128A451">
      <w:pPr>
        <w:adjustRightInd w:val="0"/>
        <w:spacing w:line="400" w:lineRule="exact"/>
        <w:ind w:firstLine="480" w:firstLineChars="200"/>
        <w:jc w:val="left"/>
        <w:rPr>
          <w:rFonts w:hint="eastAsia" w:ascii="宋体" w:hAnsi="宋体" w:eastAsia="宋体" w:cs="宋体"/>
          <w:sz w:val="24"/>
          <w:szCs w:val="24"/>
          <w:highlight w:val="none"/>
        </w:rPr>
      </w:pPr>
    </w:p>
    <w:p w14:paraId="317F3241">
      <w:pPr>
        <w:adjustRightIn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法定代表人或委托代理人（签字或盖章）</w:t>
      </w:r>
      <w:r>
        <w:rPr>
          <w:rFonts w:hint="eastAsia" w:ascii="宋体" w:hAnsi="宋体" w:eastAsia="宋体" w:cs="宋体"/>
          <w:bCs/>
          <w:sz w:val="24"/>
          <w:szCs w:val="24"/>
          <w:highlight w:val="none"/>
        </w:rPr>
        <w:t>：</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AB1788D">
      <w:pPr>
        <w:pStyle w:val="10"/>
        <w:ind w:left="0" w:leftChars="0"/>
        <w:rPr>
          <w:rFonts w:hint="eastAsia" w:ascii="宋体" w:hAnsi="宋体" w:eastAsia="宋体" w:cs="宋体"/>
          <w:sz w:val="24"/>
          <w:szCs w:val="24"/>
          <w:highlight w:val="none"/>
        </w:rPr>
      </w:pPr>
    </w:p>
    <w:p w14:paraId="014F167A">
      <w:pPr>
        <w:spacing w:line="400" w:lineRule="exact"/>
        <w:ind w:right="480"/>
        <w:jc w:val="left"/>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年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月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w:t>
      </w:r>
    </w:p>
    <w:p w14:paraId="16F08E8F">
      <w:pPr>
        <w:widowControl/>
        <w:jc w:val="left"/>
        <w:rPr>
          <w:rFonts w:hint="eastAsia" w:ascii="宋体" w:hAnsi="宋体" w:eastAsia="宋体" w:cs="宋体"/>
          <w:sz w:val="24"/>
          <w:szCs w:val="24"/>
          <w:highlight w:val="none"/>
        </w:rPr>
      </w:pPr>
    </w:p>
    <w:p w14:paraId="507140A5">
      <w:pPr>
        <w:spacing w:line="572" w:lineRule="atLeast"/>
        <w:jc w:val="center"/>
        <w:rPr>
          <w:rFonts w:hint="eastAsia" w:ascii="宋体" w:hAnsi="宋体" w:eastAsia="宋体" w:cs="宋体"/>
          <w:b/>
          <w:sz w:val="24"/>
          <w:szCs w:val="24"/>
          <w:highlight w:val="none"/>
        </w:rPr>
      </w:pPr>
    </w:p>
    <w:p w14:paraId="01170003">
      <w:pPr>
        <w:jc w:val="both"/>
        <w:rPr>
          <w:rFonts w:hint="eastAsia" w:ascii="宋体" w:hAnsi="宋体" w:cs="宋体"/>
          <w:b/>
          <w:bCs/>
          <w:sz w:val="24"/>
          <w:highlight w:val="none"/>
        </w:rPr>
      </w:pPr>
      <w:r>
        <w:rPr>
          <w:rFonts w:hint="eastAsia" w:ascii="宋体" w:hAnsi="宋体" w:eastAsia="宋体" w:cs="宋体"/>
          <w:b/>
          <w:sz w:val="24"/>
          <w:szCs w:val="24"/>
          <w:highlight w:val="none"/>
        </w:rPr>
        <w:br w:type="page"/>
      </w:r>
    </w:p>
    <w:p w14:paraId="5D05EBE0">
      <w:pPr>
        <w:autoSpaceDE w:val="0"/>
        <w:autoSpaceDN w:val="0"/>
        <w:adjustRightInd w:val="0"/>
        <w:jc w:val="center"/>
        <w:rPr>
          <w:rFonts w:hint="eastAsia" w:ascii="宋体" w:hAnsi="宋体" w:eastAsia="宋体" w:cs="宋体"/>
          <w:b/>
          <w:sz w:val="24"/>
          <w:highlight w:val="none"/>
        </w:rPr>
      </w:pPr>
      <w:r>
        <w:rPr>
          <w:rFonts w:hint="eastAsia" w:ascii="宋体" w:hAnsi="宋体" w:eastAsia="宋体" w:cs="宋体"/>
          <w:b/>
          <w:sz w:val="24"/>
          <w:szCs w:val="24"/>
          <w:highlight w:val="none"/>
        </w:rPr>
        <w:t>格式1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服务人员明细</w:t>
      </w:r>
      <w:r>
        <w:rPr>
          <w:rFonts w:hint="eastAsia" w:ascii="宋体" w:hAnsi="宋体" w:eastAsia="宋体" w:cs="宋体"/>
          <w:b/>
          <w:sz w:val="24"/>
          <w:szCs w:val="24"/>
          <w:highlight w:val="none"/>
        </w:rPr>
        <w:t>表</w:t>
      </w:r>
    </w:p>
    <w:tbl>
      <w:tblPr>
        <w:tblStyle w:val="24"/>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14:paraId="434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vAlign w:val="center"/>
          </w:tcPr>
          <w:p w14:paraId="6028F4CB">
            <w:pPr>
              <w:tabs>
                <w:tab w:val="left" w:pos="360"/>
                <w:tab w:val="left" w:pos="1800"/>
              </w:tabs>
              <w:jc w:val="center"/>
              <w:rPr>
                <w:rFonts w:ascii="宋体" w:hAnsi="宋体" w:cs="宋体"/>
                <w:sz w:val="24"/>
                <w:highlight w:val="none"/>
              </w:rPr>
            </w:pPr>
            <w:r>
              <w:rPr>
                <w:rFonts w:hint="eastAsia" w:ascii="宋体" w:hAnsi="宋体" w:cs="宋体"/>
                <w:sz w:val="24"/>
                <w:highlight w:val="none"/>
              </w:rPr>
              <w:t>类别</w:t>
            </w:r>
          </w:p>
        </w:tc>
        <w:tc>
          <w:tcPr>
            <w:tcW w:w="793" w:type="dxa"/>
            <w:tcBorders>
              <w:top w:val="single" w:color="auto" w:sz="4" w:space="0"/>
              <w:left w:val="single" w:color="auto" w:sz="4" w:space="0"/>
              <w:bottom w:val="single" w:color="auto" w:sz="4" w:space="0"/>
              <w:right w:val="single" w:color="auto" w:sz="4" w:space="0"/>
            </w:tcBorders>
            <w:vAlign w:val="center"/>
          </w:tcPr>
          <w:p w14:paraId="1E43F281">
            <w:pPr>
              <w:tabs>
                <w:tab w:val="left" w:pos="360"/>
                <w:tab w:val="left" w:pos="1800"/>
              </w:tabs>
              <w:jc w:val="center"/>
              <w:rPr>
                <w:rFonts w:ascii="宋体" w:hAnsi="宋体" w:cs="宋体"/>
                <w:sz w:val="24"/>
                <w:highlight w:val="none"/>
              </w:rPr>
            </w:pPr>
            <w:r>
              <w:rPr>
                <w:rFonts w:hint="eastAsia" w:ascii="宋体" w:hAnsi="宋体" w:cs="宋体"/>
                <w:sz w:val="24"/>
                <w:highlight w:val="none"/>
              </w:rPr>
              <w:t>姓名</w:t>
            </w:r>
          </w:p>
        </w:tc>
        <w:tc>
          <w:tcPr>
            <w:tcW w:w="795" w:type="dxa"/>
            <w:tcBorders>
              <w:top w:val="single" w:color="auto" w:sz="4" w:space="0"/>
              <w:left w:val="single" w:color="auto" w:sz="4" w:space="0"/>
              <w:bottom w:val="single" w:color="auto" w:sz="4" w:space="0"/>
              <w:right w:val="single" w:color="auto" w:sz="4" w:space="0"/>
            </w:tcBorders>
            <w:vAlign w:val="center"/>
          </w:tcPr>
          <w:p w14:paraId="2FBB01C7">
            <w:pPr>
              <w:tabs>
                <w:tab w:val="left" w:pos="360"/>
                <w:tab w:val="left" w:pos="1800"/>
              </w:tabs>
              <w:jc w:val="center"/>
              <w:rPr>
                <w:rFonts w:ascii="宋体" w:hAnsi="宋体" w:cs="宋体"/>
                <w:sz w:val="24"/>
                <w:highlight w:val="none"/>
              </w:rPr>
            </w:pPr>
            <w:r>
              <w:rPr>
                <w:rFonts w:hint="eastAsia" w:ascii="宋体" w:hAnsi="宋体" w:cs="宋体"/>
                <w:sz w:val="24"/>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343FEAA3">
            <w:pPr>
              <w:tabs>
                <w:tab w:val="left" w:pos="360"/>
                <w:tab w:val="left" w:pos="1800"/>
              </w:tabs>
              <w:rPr>
                <w:rFonts w:ascii="宋体" w:hAnsi="宋体" w:cs="宋体"/>
                <w:sz w:val="24"/>
                <w:highlight w:val="none"/>
              </w:rPr>
            </w:pPr>
            <w:r>
              <w:rPr>
                <w:rFonts w:hint="eastAsia" w:ascii="宋体" w:hAnsi="宋体" w:cs="宋体"/>
                <w:sz w:val="24"/>
                <w:highlight w:val="none"/>
              </w:rPr>
              <w:t>职称</w:t>
            </w:r>
          </w:p>
        </w:tc>
        <w:tc>
          <w:tcPr>
            <w:tcW w:w="795" w:type="dxa"/>
            <w:tcBorders>
              <w:top w:val="single" w:color="auto" w:sz="4" w:space="0"/>
              <w:left w:val="single" w:color="auto" w:sz="4" w:space="0"/>
              <w:bottom w:val="single" w:color="auto" w:sz="4" w:space="0"/>
              <w:right w:val="single" w:color="auto" w:sz="4" w:space="0"/>
            </w:tcBorders>
            <w:vAlign w:val="center"/>
          </w:tcPr>
          <w:p w14:paraId="131943A9">
            <w:pPr>
              <w:tabs>
                <w:tab w:val="left" w:pos="360"/>
                <w:tab w:val="left" w:pos="1800"/>
              </w:tabs>
              <w:jc w:val="center"/>
              <w:rPr>
                <w:rFonts w:ascii="宋体" w:hAnsi="宋体" w:cs="宋体"/>
                <w:sz w:val="24"/>
                <w:highlight w:val="none"/>
              </w:rPr>
            </w:pPr>
            <w:r>
              <w:rPr>
                <w:rFonts w:hint="eastAsia" w:ascii="宋体" w:hAnsi="宋体" w:cs="宋体"/>
                <w:sz w:val="24"/>
                <w:highlight w:val="none"/>
              </w:rPr>
              <w:t>证书</w:t>
            </w:r>
          </w:p>
        </w:tc>
        <w:tc>
          <w:tcPr>
            <w:tcW w:w="4192" w:type="dxa"/>
            <w:tcBorders>
              <w:top w:val="single" w:color="auto" w:sz="4" w:space="0"/>
              <w:left w:val="single" w:color="auto" w:sz="4" w:space="0"/>
              <w:bottom w:val="single" w:color="auto" w:sz="4" w:space="0"/>
              <w:right w:val="single" w:color="auto" w:sz="4" w:space="0"/>
            </w:tcBorders>
            <w:vAlign w:val="center"/>
          </w:tcPr>
          <w:p w14:paraId="4B457912">
            <w:pPr>
              <w:tabs>
                <w:tab w:val="left" w:pos="360"/>
                <w:tab w:val="left" w:pos="1800"/>
              </w:tabs>
              <w:jc w:val="center"/>
              <w:rPr>
                <w:rFonts w:ascii="宋体" w:hAnsi="宋体" w:cs="宋体"/>
                <w:sz w:val="24"/>
                <w:highlight w:val="none"/>
              </w:rPr>
            </w:pPr>
            <w:r>
              <w:rPr>
                <w:rFonts w:hint="eastAsia" w:ascii="宋体" w:hAnsi="宋体" w:cs="宋体"/>
                <w:sz w:val="24"/>
                <w:highlight w:val="none"/>
              </w:rPr>
              <w:t>主要资历、经验及承担过的项目</w:t>
            </w:r>
          </w:p>
        </w:tc>
      </w:tr>
      <w:tr w14:paraId="6FFE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67D20A46">
            <w:pPr>
              <w:tabs>
                <w:tab w:val="left" w:pos="360"/>
                <w:tab w:val="left" w:pos="1800"/>
              </w:tabs>
              <w:rPr>
                <w:rFonts w:ascii="宋体" w:hAnsi="宋体" w:cs="宋体"/>
                <w:sz w:val="24"/>
                <w:highlight w:val="none"/>
              </w:rPr>
            </w:pPr>
            <w:r>
              <w:rPr>
                <w:rFonts w:hint="eastAsia" w:ascii="宋体" w:hAnsi="宋体" w:cs="宋体"/>
                <w:sz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vAlign w:val="center"/>
          </w:tcPr>
          <w:p w14:paraId="7FE1028E">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62C0DB3">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3167FA5">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612B9AE8">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60E29870">
            <w:pPr>
              <w:tabs>
                <w:tab w:val="left" w:pos="360"/>
                <w:tab w:val="left" w:pos="1800"/>
              </w:tabs>
              <w:jc w:val="center"/>
              <w:rPr>
                <w:rFonts w:ascii="宋体" w:hAnsi="宋体" w:cs="宋体"/>
                <w:sz w:val="24"/>
                <w:highlight w:val="none"/>
              </w:rPr>
            </w:pPr>
          </w:p>
        </w:tc>
      </w:tr>
      <w:tr w14:paraId="723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1EC78214">
            <w:pPr>
              <w:tabs>
                <w:tab w:val="left" w:pos="360"/>
                <w:tab w:val="left" w:pos="1800"/>
              </w:tabs>
              <w:rPr>
                <w:rFonts w:ascii="宋体" w:hAnsi="宋体" w:cs="宋体"/>
                <w:sz w:val="24"/>
                <w:highlight w:val="none"/>
              </w:rPr>
            </w:pPr>
            <w:r>
              <w:rPr>
                <w:rFonts w:hint="eastAsia" w:ascii="宋体" w:hAnsi="宋体" w:cs="宋体"/>
                <w:sz w:val="24"/>
                <w:highlight w:val="none"/>
              </w:rPr>
              <w:t>1、项目负责人</w:t>
            </w:r>
          </w:p>
        </w:tc>
        <w:tc>
          <w:tcPr>
            <w:tcW w:w="793" w:type="dxa"/>
            <w:tcBorders>
              <w:top w:val="single" w:color="auto" w:sz="4" w:space="0"/>
              <w:left w:val="single" w:color="auto" w:sz="4" w:space="0"/>
              <w:bottom w:val="single" w:color="auto" w:sz="4" w:space="0"/>
              <w:right w:val="single" w:color="auto" w:sz="4" w:space="0"/>
            </w:tcBorders>
            <w:vAlign w:val="center"/>
          </w:tcPr>
          <w:p w14:paraId="66D60AB6">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3C65D2F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95B2852">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29269C6B">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494B8B6A">
            <w:pPr>
              <w:tabs>
                <w:tab w:val="left" w:pos="360"/>
                <w:tab w:val="left" w:pos="1800"/>
              </w:tabs>
              <w:jc w:val="center"/>
              <w:rPr>
                <w:rFonts w:ascii="宋体" w:hAnsi="宋体" w:cs="宋体"/>
                <w:sz w:val="24"/>
                <w:highlight w:val="none"/>
              </w:rPr>
            </w:pPr>
          </w:p>
        </w:tc>
      </w:tr>
      <w:tr w14:paraId="74F4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3E33C495">
            <w:pPr>
              <w:tabs>
                <w:tab w:val="left" w:pos="360"/>
                <w:tab w:val="left" w:pos="1800"/>
              </w:tabs>
              <w:rPr>
                <w:rFonts w:ascii="宋体" w:hAnsi="宋体" w:cs="宋体"/>
                <w:sz w:val="24"/>
                <w:highlight w:val="none"/>
              </w:rPr>
            </w:pPr>
            <w:r>
              <w:rPr>
                <w:rFonts w:hint="eastAsia" w:ascii="宋体" w:hAnsi="宋体" w:cs="宋体"/>
                <w:sz w:val="24"/>
                <w:highlight w:val="none"/>
              </w:rPr>
              <w:t>2、主任</w:t>
            </w:r>
          </w:p>
        </w:tc>
        <w:tc>
          <w:tcPr>
            <w:tcW w:w="793" w:type="dxa"/>
            <w:tcBorders>
              <w:top w:val="single" w:color="auto" w:sz="4" w:space="0"/>
              <w:left w:val="single" w:color="auto" w:sz="4" w:space="0"/>
              <w:bottom w:val="single" w:color="auto" w:sz="4" w:space="0"/>
              <w:right w:val="single" w:color="auto" w:sz="4" w:space="0"/>
            </w:tcBorders>
            <w:vAlign w:val="center"/>
          </w:tcPr>
          <w:p w14:paraId="63096C4E">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B8CE6EA">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783A581">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0712180">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4F1F0AF5">
            <w:pPr>
              <w:tabs>
                <w:tab w:val="left" w:pos="360"/>
                <w:tab w:val="left" w:pos="1800"/>
              </w:tabs>
              <w:jc w:val="center"/>
              <w:rPr>
                <w:rFonts w:ascii="宋体" w:hAnsi="宋体" w:cs="宋体"/>
                <w:sz w:val="24"/>
                <w:highlight w:val="none"/>
              </w:rPr>
            </w:pPr>
          </w:p>
        </w:tc>
      </w:tr>
      <w:tr w14:paraId="6484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59AAFEFB">
            <w:pPr>
              <w:tabs>
                <w:tab w:val="left" w:pos="360"/>
                <w:tab w:val="left" w:pos="1800"/>
              </w:tabs>
              <w:rPr>
                <w:rFonts w:ascii="宋体" w:hAnsi="宋体" w:cs="宋体"/>
                <w:sz w:val="24"/>
                <w:highlight w:val="none"/>
              </w:rPr>
            </w:pPr>
            <w:r>
              <w:rPr>
                <w:rFonts w:hint="eastAsia" w:ascii="宋体" w:hAnsi="宋体" w:cs="宋体"/>
                <w:sz w:val="24"/>
                <w:highlight w:val="none"/>
              </w:rPr>
              <w:t>3.副主任</w:t>
            </w:r>
          </w:p>
        </w:tc>
        <w:tc>
          <w:tcPr>
            <w:tcW w:w="793" w:type="dxa"/>
            <w:tcBorders>
              <w:top w:val="single" w:color="auto" w:sz="4" w:space="0"/>
              <w:left w:val="single" w:color="auto" w:sz="4" w:space="0"/>
              <w:bottom w:val="single" w:color="auto" w:sz="4" w:space="0"/>
              <w:right w:val="single" w:color="auto" w:sz="4" w:space="0"/>
            </w:tcBorders>
            <w:vAlign w:val="center"/>
          </w:tcPr>
          <w:p w14:paraId="1004CD83">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234CC46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53176488">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3788953">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02391FC8">
            <w:pPr>
              <w:tabs>
                <w:tab w:val="left" w:pos="360"/>
                <w:tab w:val="left" w:pos="1800"/>
              </w:tabs>
              <w:jc w:val="center"/>
              <w:rPr>
                <w:rFonts w:ascii="宋体" w:hAnsi="宋体" w:cs="宋体"/>
                <w:sz w:val="24"/>
                <w:highlight w:val="none"/>
              </w:rPr>
            </w:pPr>
          </w:p>
        </w:tc>
      </w:tr>
      <w:tr w14:paraId="14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57D17FD0">
            <w:pPr>
              <w:tabs>
                <w:tab w:val="left" w:pos="360"/>
                <w:tab w:val="left" w:pos="1800"/>
              </w:tabs>
              <w:rPr>
                <w:rFonts w:ascii="宋体" w:hAnsi="宋体" w:cs="宋体"/>
                <w:sz w:val="24"/>
                <w:highlight w:val="none"/>
              </w:rPr>
            </w:pPr>
            <w:r>
              <w:rPr>
                <w:rFonts w:hint="eastAsia" w:ascii="宋体" w:hAnsi="宋体" w:cs="宋体"/>
                <w:sz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vAlign w:val="center"/>
          </w:tcPr>
          <w:p w14:paraId="1B213AFC">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64E0A904">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9C0E5A2">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18362FE7">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71D85F4C">
            <w:pPr>
              <w:tabs>
                <w:tab w:val="left" w:pos="360"/>
                <w:tab w:val="left" w:pos="1800"/>
              </w:tabs>
              <w:jc w:val="center"/>
              <w:rPr>
                <w:rFonts w:ascii="宋体" w:hAnsi="宋体" w:cs="宋体"/>
                <w:sz w:val="24"/>
                <w:highlight w:val="none"/>
              </w:rPr>
            </w:pPr>
          </w:p>
        </w:tc>
      </w:tr>
      <w:tr w14:paraId="3B70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1080D0C3">
            <w:pPr>
              <w:tabs>
                <w:tab w:val="left" w:pos="360"/>
                <w:tab w:val="left" w:pos="1800"/>
              </w:tabs>
              <w:rPr>
                <w:rFonts w:ascii="宋体" w:hAnsi="宋体" w:cs="宋体"/>
                <w:sz w:val="24"/>
                <w:highlight w:val="none"/>
              </w:rPr>
            </w:pPr>
            <w:r>
              <w:rPr>
                <w:rFonts w:hint="eastAsia" w:ascii="宋体" w:hAnsi="宋体" w:cs="宋体"/>
                <w:sz w:val="24"/>
                <w:highlight w:val="none"/>
              </w:rPr>
              <w:t>1.全科医生</w:t>
            </w:r>
          </w:p>
        </w:tc>
        <w:tc>
          <w:tcPr>
            <w:tcW w:w="793" w:type="dxa"/>
            <w:tcBorders>
              <w:top w:val="single" w:color="auto" w:sz="4" w:space="0"/>
              <w:left w:val="single" w:color="auto" w:sz="4" w:space="0"/>
              <w:bottom w:val="single" w:color="auto" w:sz="4" w:space="0"/>
              <w:right w:val="single" w:color="auto" w:sz="4" w:space="0"/>
            </w:tcBorders>
            <w:vAlign w:val="center"/>
          </w:tcPr>
          <w:p w14:paraId="38D58B8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35686D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597FED46">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1BBE8A59">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77CE2BBB">
            <w:pPr>
              <w:tabs>
                <w:tab w:val="left" w:pos="360"/>
                <w:tab w:val="left" w:pos="1800"/>
              </w:tabs>
              <w:jc w:val="center"/>
              <w:rPr>
                <w:rFonts w:ascii="宋体" w:hAnsi="宋体" w:cs="宋体"/>
                <w:sz w:val="24"/>
                <w:highlight w:val="none"/>
              </w:rPr>
            </w:pPr>
          </w:p>
        </w:tc>
      </w:tr>
      <w:tr w14:paraId="6A59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69375B95">
            <w:pPr>
              <w:tabs>
                <w:tab w:val="left" w:pos="360"/>
                <w:tab w:val="left" w:pos="1800"/>
              </w:tabs>
              <w:rPr>
                <w:rFonts w:ascii="宋体" w:hAnsi="宋体" w:cs="宋体"/>
                <w:sz w:val="24"/>
                <w:highlight w:val="none"/>
              </w:rPr>
            </w:pPr>
            <w:r>
              <w:rPr>
                <w:rFonts w:hint="eastAsia" w:ascii="宋体" w:hAnsi="宋体" w:cs="宋体"/>
                <w:sz w:val="24"/>
                <w:highlight w:val="none"/>
              </w:rPr>
              <w:t>2.社区护士</w:t>
            </w:r>
          </w:p>
        </w:tc>
        <w:tc>
          <w:tcPr>
            <w:tcW w:w="793" w:type="dxa"/>
            <w:tcBorders>
              <w:top w:val="single" w:color="auto" w:sz="4" w:space="0"/>
              <w:left w:val="single" w:color="auto" w:sz="4" w:space="0"/>
              <w:bottom w:val="single" w:color="auto" w:sz="4" w:space="0"/>
              <w:right w:val="single" w:color="auto" w:sz="4" w:space="0"/>
            </w:tcBorders>
            <w:vAlign w:val="center"/>
          </w:tcPr>
          <w:p w14:paraId="0BC15E51">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144BEE38">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FE94F0">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24A496AD">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59353C5E">
            <w:pPr>
              <w:tabs>
                <w:tab w:val="left" w:pos="360"/>
                <w:tab w:val="left" w:pos="1800"/>
              </w:tabs>
              <w:jc w:val="center"/>
              <w:rPr>
                <w:rFonts w:ascii="宋体" w:hAnsi="宋体" w:cs="宋体"/>
                <w:sz w:val="24"/>
                <w:highlight w:val="none"/>
              </w:rPr>
            </w:pPr>
          </w:p>
        </w:tc>
      </w:tr>
      <w:tr w14:paraId="09AE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13258133">
            <w:pPr>
              <w:tabs>
                <w:tab w:val="left" w:pos="360"/>
                <w:tab w:val="left" w:pos="1800"/>
              </w:tabs>
              <w:rPr>
                <w:rFonts w:ascii="宋体" w:hAnsi="宋体" w:cs="宋体"/>
                <w:sz w:val="24"/>
                <w:highlight w:val="none"/>
              </w:rPr>
            </w:pPr>
            <w:r>
              <w:rPr>
                <w:rFonts w:hint="eastAsia" w:ascii="宋体" w:hAnsi="宋体" w:cs="宋体"/>
                <w:sz w:val="24"/>
                <w:highlight w:val="none"/>
              </w:rPr>
              <w:t>3.预防保健工作人员</w:t>
            </w:r>
          </w:p>
        </w:tc>
        <w:tc>
          <w:tcPr>
            <w:tcW w:w="793" w:type="dxa"/>
            <w:tcBorders>
              <w:top w:val="single" w:color="auto" w:sz="4" w:space="0"/>
              <w:left w:val="single" w:color="auto" w:sz="4" w:space="0"/>
              <w:bottom w:val="single" w:color="auto" w:sz="4" w:space="0"/>
              <w:right w:val="single" w:color="auto" w:sz="4" w:space="0"/>
            </w:tcBorders>
            <w:vAlign w:val="center"/>
          </w:tcPr>
          <w:p w14:paraId="20DA4C88">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1B6D06D">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0D66C955">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3B466C5D">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17B80541">
            <w:pPr>
              <w:tabs>
                <w:tab w:val="left" w:pos="360"/>
                <w:tab w:val="left" w:pos="1800"/>
              </w:tabs>
              <w:jc w:val="center"/>
              <w:rPr>
                <w:rFonts w:ascii="宋体" w:hAnsi="宋体" w:cs="宋体"/>
                <w:sz w:val="24"/>
                <w:highlight w:val="none"/>
              </w:rPr>
            </w:pPr>
          </w:p>
        </w:tc>
      </w:tr>
      <w:tr w14:paraId="7EF8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7C78060B">
            <w:pPr>
              <w:tabs>
                <w:tab w:val="left" w:pos="360"/>
                <w:tab w:val="left" w:pos="1800"/>
              </w:tabs>
              <w:rPr>
                <w:rFonts w:ascii="宋体" w:hAnsi="宋体" w:cs="宋体"/>
                <w:sz w:val="24"/>
                <w:highlight w:val="none"/>
              </w:rPr>
            </w:pPr>
            <w:r>
              <w:rPr>
                <w:rFonts w:hint="eastAsia" w:ascii="宋体" w:hAnsi="宋体" w:cs="宋体"/>
                <w:sz w:val="24"/>
                <w:highlight w:val="none"/>
              </w:rPr>
              <w:t>三、其他人员</w:t>
            </w:r>
          </w:p>
        </w:tc>
        <w:tc>
          <w:tcPr>
            <w:tcW w:w="793" w:type="dxa"/>
            <w:tcBorders>
              <w:top w:val="single" w:color="auto" w:sz="4" w:space="0"/>
              <w:left w:val="single" w:color="auto" w:sz="4" w:space="0"/>
              <w:bottom w:val="single" w:color="auto" w:sz="4" w:space="0"/>
              <w:right w:val="single" w:color="auto" w:sz="4" w:space="0"/>
            </w:tcBorders>
            <w:vAlign w:val="center"/>
          </w:tcPr>
          <w:p w14:paraId="238CC6B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6AB0118D">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E3B7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745C3DFC">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11C2F332">
            <w:pPr>
              <w:tabs>
                <w:tab w:val="left" w:pos="360"/>
                <w:tab w:val="left" w:pos="1800"/>
              </w:tabs>
              <w:jc w:val="center"/>
              <w:rPr>
                <w:rFonts w:ascii="宋体" w:hAnsi="宋体" w:cs="宋体"/>
                <w:sz w:val="24"/>
                <w:highlight w:val="none"/>
              </w:rPr>
            </w:pPr>
          </w:p>
        </w:tc>
      </w:tr>
      <w:tr w14:paraId="1A68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vAlign w:val="center"/>
          </w:tcPr>
          <w:p w14:paraId="1F94A218">
            <w:pPr>
              <w:tabs>
                <w:tab w:val="left" w:pos="360"/>
                <w:tab w:val="left" w:pos="1800"/>
              </w:tabs>
              <w:rPr>
                <w:rFonts w:ascii="宋体" w:hAnsi="宋体" w:cs="宋体"/>
                <w:sz w:val="24"/>
                <w:highlight w:val="none"/>
              </w:rPr>
            </w:pPr>
            <w:r>
              <w:rPr>
                <w:rFonts w:hint="eastAsia" w:ascii="宋体" w:hAnsi="宋体" w:cs="宋体"/>
                <w:sz w:val="24"/>
                <w:highlight w:val="none"/>
              </w:rPr>
              <w:t>1.防保人员</w:t>
            </w:r>
          </w:p>
        </w:tc>
        <w:tc>
          <w:tcPr>
            <w:tcW w:w="793" w:type="dxa"/>
            <w:tcBorders>
              <w:top w:val="single" w:color="auto" w:sz="4" w:space="0"/>
              <w:left w:val="single" w:color="auto" w:sz="4" w:space="0"/>
              <w:bottom w:val="single" w:color="auto" w:sz="4" w:space="0"/>
              <w:right w:val="single" w:color="auto" w:sz="4" w:space="0"/>
            </w:tcBorders>
            <w:vAlign w:val="center"/>
          </w:tcPr>
          <w:p w14:paraId="241B36AE">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30D8162">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8297413">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6956F72F">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4855B0B2">
            <w:pPr>
              <w:tabs>
                <w:tab w:val="left" w:pos="360"/>
                <w:tab w:val="left" w:pos="1800"/>
              </w:tabs>
              <w:jc w:val="center"/>
              <w:rPr>
                <w:rFonts w:ascii="宋体" w:hAnsi="宋体" w:cs="宋体"/>
                <w:sz w:val="24"/>
                <w:highlight w:val="none"/>
              </w:rPr>
            </w:pPr>
          </w:p>
        </w:tc>
      </w:tr>
      <w:tr w14:paraId="6A74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90" w:type="dxa"/>
            <w:tcBorders>
              <w:top w:val="single" w:color="auto" w:sz="4" w:space="0"/>
              <w:left w:val="single" w:color="auto" w:sz="4" w:space="0"/>
              <w:bottom w:val="single" w:color="auto" w:sz="4" w:space="0"/>
              <w:right w:val="single" w:color="auto" w:sz="4" w:space="0"/>
            </w:tcBorders>
            <w:vAlign w:val="center"/>
          </w:tcPr>
          <w:p w14:paraId="3751851C">
            <w:pPr>
              <w:tabs>
                <w:tab w:val="left" w:pos="360"/>
                <w:tab w:val="left" w:pos="1800"/>
              </w:tabs>
              <w:rPr>
                <w:rFonts w:ascii="宋体" w:hAnsi="宋体" w:cs="宋体"/>
                <w:sz w:val="24"/>
                <w:highlight w:val="none"/>
              </w:rPr>
            </w:pPr>
            <w:r>
              <w:rPr>
                <w:rFonts w:hint="eastAsia" w:ascii="宋体" w:hAnsi="宋体" w:cs="宋体"/>
                <w:sz w:val="24"/>
                <w:highlight w:val="none"/>
              </w:rPr>
              <w:t>2.</w:t>
            </w:r>
          </w:p>
        </w:tc>
        <w:tc>
          <w:tcPr>
            <w:tcW w:w="793" w:type="dxa"/>
            <w:tcBorders>
              <w:top w:val="single" w:color="auto" w:sz="4" w:space="0"/>
              <w:left w:val="single" w:color="auto" w:sz="4" w:space="0"/>
              <w:bottom w:val="single" w:color="auto" w:sz="4" w:space="0"/>
              <w:right w:val="single" w:color="auto" w:sz="4" w:space="0"/>
            </w:tcBorders>
            <w:vAlign w:val="center"/>
          </w:tcPr>
          <w:p w14:paraId="4D6C5897">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508F7564">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A9763AF">
            <w:pPr>
              <w:tabs>
                <w:tab w:val="left" w:pos="360"/>
                <w:tab w:val="left" w:pos="1800"/>
              </w:tabs>
              <w:jc w:val="center"/>
              <w:rPr>
                <w:rFonts w:ascii="宋体" w:hAnsi="宋体" w:cs="宋体"/>
                <w:sz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0CD7E8B3">
            <w:pPr>
              <w:tabs>
                <w:tab w:val="left" w:pos="360"/>
                <w:tab w:val="left" w:pos="1800"/>
              </w:tabs>
              <w:jc w:val="center"/>
              <w:rPr>
                <w:rFonts w:ascii="宋体" w:hAnsi="宋体" w:cs="宋体"/>
                <w:sz w:val="24"/>
                <w:highlight w:val="none"/>
              </w:rPr>
            </w:pPr>
          </w:p>
        </w:tc>
        <w:tc>
          <w:tcPr>
            <w:tcW w:w="4192" w:type="dxa"/>
            <w:tcBorders>
              <w:top w:val="single" w:color="auto" w:sz="4" w:space="0"/>
              <w:left w:val="single" w:color="auto" w:sz="4" w:space="0"/>
              <w:bottom w:val="single" w:color="auto" w:sz="4" w:space="0"/>
              <w:right w:val="single" w:color="auto" w:sz="4" w:space="0"/>
            </w:tcBorders>
            <w:vAlign w:val="center"/>
          </w:tcPr>
          <w:p w14:paraId="5206D060">
            <w:pPr>
              <w:tabs>
                <w:tab w:val="left" w:pos="360"/>
                <w:tab w:val="left" w:pos="1800"/>
              </w:tabs>
              <w:jc w:val="center"/>
              <w:rPr>
                <w:rFonts w:ascii="宋体" w:hAnsi="宋体" w:cs="宋体"/>
                <w:sz w:val="24"/>
                <w:highlight w:val="none"/>
              </w:rPr>
            </w:pPr>
          </w:p>
        </w:tc>
      </w:tr>
      <w:tr w14:paraId="546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860" w:type="dxa"/>
            <w:gridSpan w:val="6"/>
            <w:tcBorders>
              <w:top w:val="single" w:color="auto" w:sz="4" w:space="0"/>
              <w:left w:val="single" w:color="auto" w:sz="4" w:space="0"/>
              <w:bottom w:val="single" w:color="auto" w:sz="4" w:space="0"/>
              <w:right w:val="single" w:color="auto" w:sz="4" w:space="0"/>
            </w:tcBorders>
            <w:vAlign w:val="center"/>
          </w:tcPr>
          <w:p w14:paraId="1FC1446E">
            <w:pPr>
              <w:tabs>
                <w:tab w:val="left" w:pos="360"/>
                <w:tab w:val="left" w:pos="1800"/>
              </w:tabs>
              <w:spacing w:line="240" w:lineRule="atLeast"/>
              <w:rPr>
                <w:rFonts w:ascii="宋体" w:hAnsi="宋体" w:cs="宋体"/>
                <w:sz w:val="24"/>
                <w:highlight w:val="none"/>
              </w:rPr>
            </w:pPr>
            <w:r>
              <w:rPr>
                <w:rFonts w:hint="eastAsia" w:ascii="宋体" w:hAnsi="宋体" w:cs="宋体"/>
                <w:b/>
                <w:sz w:val="24"/>
                <w:highlight w:val="none"/>
              </w:rPr>
              <w:t>注：按采购需求配备项目任务组，包括但不限于上述人员配置，不足时请自行添加，并提供</w:t>
            </w:r>
            <w:r>
              <w:rPr>
                <w:rFonts w:hint="eastAsia" w:ascii="宋体" w:hAnsi="宋体" w:cs="宋体"/>
                <w:b/>
                <w:bCs/>
                <w:kern w:val="0"/>
                <w:sz w:val="24"/>
                <w:highlight w:val="none"/>
              </w:rPr>
              <w:t>管理、服务人员、工作人员花名册及其简历基本信息、</w:t>
            </w:r>
            <w:r>
              <w:rPr>
                <w:rFonts w:hint="eastAsia" w:ascii="宋体" w:hAnsi="宋体" w:cs="宋体"/>
                <w:b/>
                <w:sz w:val="24"/>
                <w:highlight w:val="none"/>
              </w:rPr>
              <w:t>岗位资格、</w:t>
            </w:r>
            <w:r>
              <w:rPr>
                <w:rFonts w:hint="eastAsia" w:ascii="宋体" w:hAnsi="宋体" w:cs="宋体"/>
                <w:b/>
                <w:bCs/>
                <w:kern w:val="0"/>
                <w:sz w:val="24"/>
                <w:highlight w:val="none"/>
              </w:rPr>
              <w:t>职称证书、证件等证明材料复印件加盖供应商公章</w:t>
            </w:r>
            <w:r>
              <w:rPr>
                <w:rFonts w:hint="eastAsia" w:ascii="宋体" w:hAnsi="宋体" w:cs="宋体"/>
                <w:b/>
                <w:sz w:val="24"/>
                <w:highlight w:val="none"/>
              </w:rPr>
              <w:t>。</w:t>
            </w:r>
          </w:p>
        </w:tc>
      </w:tr>
    </w:tbl>
    <w:p w14:paraId="234DD53E">
      <w:pPr>
        <w:snapToGrid w:val="0"/>
        <w:spacing w:line="453" w:lineRule="atLeast"/>
        <w:rPr>
          <w:rFonts w:ascii="宋体" w:hAnsi="宋体" w:cs="宋体"/>
          <w:bCs/>
          <w:szCs w:val="21"/>
          <w:highlight w:val="none"/>
        </w:rPr>
      </w:pPr>
      <w:r>
        <w:rPr>
          <w:rFonts w:hint="eastAsia" w:ascii="宋体" w:hAnsi="宋体" w:cs="宋体"/>
          <w:bCs/>
          <w:szCs w:val="21"/>
          <w:highlight w:val="none"/>
        </w:rPr>
        <w:t>供应商（盖章）：</w:t>
      </w:r>
    </w:p>
    <w:p w14:paraId="7BFA6717">
      <w:pPr>
        <w:snapToGrid w:val="0"/>
        <w:spacing w:line="453" w:lineRule="atLeast"/>
        <w:rPr>
          <w:rFonts w:ascii="宋体" w:hAnsi="宋体" w:cs="宋体"/>
          <w:bCs/>
          <w:szCs w:val="21"/>
          <w:highlight w:val="none"/>
        </w:rPr>
      </w:pPr>
      <w:r>
        <w:rPr>
          <w:rFonts w:hint="eastAsia" w:ascii="宋体" w:hAnsi="宋体" w:cs="宋体"/>
          <w:bCs/>
          <w:szCs w:val="21"/>
          <w:highlight w:val="none"/>
        </w:rPr>
        <w:t>法人代表人或委托代理人签字或盖章：</w:t>
      </w:r>
    </w:p>
    <w:p w14:paraId="5051C6B4">
      <w:pPr>
        <w:snapToGrid w:val="0"/>
        <w:spacing w:line="453" w:lineRule="atLeast"/>
        <w:jc w:val="center"/>
        <w:rPr>
          <w:rFonts w:ascii="宋体" w:hAnsi="宋体" w:cs="宋体"/>
          <w:bCs/>
          <w:szCs w:val="21"/>
          <w:highlight w:val="none"/>
        </w:rPr>
      </w:pPr>
    </w:p>
    <w:p w14:paraId="738BEC64">
      <w:pPr>
        <w:jc w:val="center"/>
        <w:rPr>
          <w:rFonts w:hint="eastAsia" w:ascii="仿宋_GB2312" w:eastAsia="仿宋_GB2312"/>
          <w:sz w:val="24"/>
          <w:highlight w:val="none"/>
        </w:rPr>
      </w:pPr>
      <w:r>
        <w:rPr>
          <w:rFonts w:hint="eastAsia" w:ascii="宋体" w:hAnsi="宋体" w:cs="宋体"/>
          <w:bCs/>
          <w:szCs w:val="21"/>
          <w:highlight w:val="none"/>
        </w:rPr>
        <w:t xml:space="preserve">                                                               年  月</w:t>
      </w:r>
      <w:r>
        <w:rPr>
          <w:rFonts w:hint="eastAsia" w:ascii="宋体" w:hAnsi="宋体" w:cs="宋体"/>
          <w:sz w:val="24"/>
          <w:highlight w:val="none"/>
        </w:rPr>
        <w:t xml:space="preserve">  日</w:t>
      </w:r>
      <w:r>
        <w:rPr>
          <w:rFonts w:hint="eastAsia" w:ascii="仿宋_GB2312" w:eastAsia="仿宋_GB2312"/>
          <w:sz w:val="24"/>
          <w:highlight w:val="none"/>
        </w:rPr>
        <w:t xml:space="preserve"> </w:t>
      </w:r>
    </w:p>
    <w:p w14:paraId="2B86C132">
      <w:pPr>
        <w:pStyle w:val="4"/>
        <w:rPr>
          <w:rFonts w:hint="eastAsia" w:ascii="仿宋_GB2312" w:eastAsia="仿宋_GB2312"/>
          <w:sz w:val="24"/>
          <w:highlight w:val="none"/>
        </w:rPr>
      </w:pPr>
    </w:p>
    <w:p w14:paraId="1C5C8D7C">
      <w:pPr>
        <w:pStyle w:val="6"/>
        <w:ind w:firstLine="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格式13  医用耗材、器械、医用设备、仪器一览表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19"/>
        <w:gridCol w:w="823"/>
        <w:gridCol w:w="822"/>
        <w:gridCol w:w="822"/>
        <w:gridCol w:w="704"/>
        <w:gridCol w:w="704"/>
        <w:gridCol w:w="704"/>
        <w:gridCol w:w="708"/>
        <w:gridCol w:w="570"/>
        <w:gridCol w:w="1064"/>
        <w:gridCol w:w="898"/>
        <w:gridCol w:w="892"/>
      </w:tblGrid>
      <w:tr w14:paraId="055D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467" w:type="dxa"/>
            <w:vMerge w:val="restart"/>
            <w:vAlign w:val="center"/>
          </w:tcPr>
          <w:p w14:paraId="25AC820D">
            <w:pPr>
              <w:snapToGrid w:val="0"/>
              <w:spacing w:line="320" w:lineRule="exact"/>
              <w:jc w:val="center"/>
              <w:rPr>
                <w:rFonts w:ascii="宋体" w:hAnsi="宋体" w:cs="宋体"/>
                <w:sz w:val="24"/>
                <w:highlight w:val="none"/>
              </w:rPr>
            </w:pPr>
            <w:r>
              <w:rPr>
                <w:rFonts w:hint="eastAsia" w:ascii="宋体" w:hAnsi="宋体" w:cs="宋体"/>
                <w:sz w:val="24"/>
                <w:highlight w:val="none"/>
              </w:rPr>
              <w:t>序号</w:t>
            </w:r>
          </w:p>
        </w:tc>
        <w:tc>
          <w:tcPr>
            <w:tcW w:w="819" w:type="dxa"/>
            <w:vMerge w:val="restart"/>
            <w:vAlign w:val="center"/>
          </w:tcPr>
          <w:p w14:paraId="6605E272">
            <w:pPr>
              <w:snapToGrid w:val="0"/>
              <w:spacing w:line="320" w:lineRule="exact"/>
              <w:jc w:val="center"/>
              <w:rPr>
                <w:rFonts w:ascii="宋体" w:hAnsi="宋体" w:cs="宋体"/>
                <w:sz w:val="24"/>
                <w:highlight w:val="none"/>
              </w:rPr>
            </w:pPr>
            <w:r>
              <w:rPr>
                <w:rFonts w:hint="eastAsia" w:ascii="宋体" w:hAnsi="宋体" w:cs="宋体"/>
                <w:sz w:val="24"/>
                <w:highlight w:val="none"/>
              </w:rPr>
              <w:t>设备名称</w:t>
            </w:r>
          </w:p>
        </w:tc>
        <w:tc>
          <w:tcPr>
            <w:tcW w:w="823" w:type="dxa"/>
            <w:vMerge w:val="restart"/>
            <w:vAlign w:val="center"/>
          </w:tcPr>
          <w:p w14:paraId="0ACD1253">
            <w:pPr>
              <w:snapToGrid w:val="0"/>
              <w:spacing w:line="320" w:lineRule="exact"/>
              <w:jc w:val="center"/>
              <w:rPr>
                <w:rFonts w:ascii="宋体" w:hAnsi="宋体" w:cs="宋体"/>
                <w:sz w:val="24"/>
                <w:highlight w:val="none"/>
              </w:rPr>
            </w:pPr>
            <w:r>
              <w:rPr>
                <w:rFonts w:hint="eastAsia" w:ascii="宋体" w:hAnsi="宋体" w:cs="宋体"/>
                <w:sz w:val="24"/>
                <w:highlight w:val="none"/>
              </w:rPr>
              <w:t>规格型号</w:t>
            </w:r>
          </w:p>
        </w:tc>
        <w:tc>
          <w:tcPr>
            <w:tcW w:w="822" w:type="dxa"/>
            <w:vMerge w:val="restart"/>
            <w:vAlign w:val="center"/>
          </w:tcPr>
          <w:p w14:paraId="7844A4A2">
            <w:pPr>
              <w:snapToGrid w:val="0"/>
              <w:spacing w:line="320" w:lineRule="exact"/>
              <w:jc w:val="center"/>
              <w:rPr>
                <w:rFonts w:ascii="宋体" w:hAnsi="宋体" w:cs="宋体"/>
                <w:sz w:val="24"/>
                <w:highlight w:val="none"/>
              </w:rPr>
            </w:pPr>
            <w:r>
              <w:rPr>
                <w:rFonts w:hint="eastAsia" w:ascii="宋体" w:hAnsi="宋体" w:cs="宋体"/>
                <w:sz w:val="24"/>
                <w:highlight w:val="none"/>
              </w:rPr>
              <w:t>产地</w:t>
            </w:r>
          </w:p>
        </w:tc>
        <w:tc>
          <w:tcPr>
            <w:tcW w:w="822" w:type="dxa"/>
            <w:vMerge w:val="restart"/>
            <w:vAlign w:val="center"/>
          </w:tcPr>
          <w:p w14:paraId="7C6CDAAD">
            <w:pPr>
              <w:snapToGrid w:val="0"/>
              <w:spacing w:line="320" w:lineRule="exact"/>
              <w:jc w:val="center"/>
              <w:rPr>
                <w:rFonts w:ascii="宋体" w:hAnsi="宋体" w:cs="宋体"/>
                <w:sz w:val="24"/>
                <w:highlight w:val="none"/>
              </w:rPr>
            </w:pPr>
            <w:r>
              <w:rPr>
                <w:rFonts w:hint="eastAsia" w:ascii="宋体" w:hAnsi="宋体" w:cs="宋体"/>
                <w:sz w:val="24"/>
                <w:highlight w:val="none"/>
              </w:rPr>
              <w:t>出厂时间</w:t>
            </w:r>
          </w:p>
        </w:tc>
        <w:tc>
          <w:tcPr>
            <w:tcW w:w="3390" w:type="dxa"/>
            <w:gridSpan w:val="5"/>
            <w:vAlign w:val="center"/>
          </w:tcPr>
          <w:p w14:paraId="770E1A8D">
            <w:pPr>
              <w:snapToGrid w:val="0"/>
              <w:spacing w:line="320" w:lineRule="exact"/>
              <w:jc w:val="center"/>
              <w:rPr>
                <w:rFonts w:ascii="宋体" w:hAnsi="宋体" w:cs="宋体"/>
                <w:sz w:val="24"/>
                <w:highlight w:val="none"/>
              </w:rPr>
            </w:pPr>
            <w:r>
              <w:rPr>
                <w:rFonts w:hint="eastAsia" w:ascii="宋体" w:hAnsi="宋体" w:cs="宋体"/>
                <w:sz w:val="24"/>
                <w:highlight w:val="none"/>
              </w:rPr>
              <w:t>数量（台/套）</w:t>
            </w:r>
          </w:p>
        </w:tc>
        <w:tc>
          <w:tcPr>
            <w:tcW w:w="1064" w:type="dxa"/>
            <w:vMerge w:val="restart"/>
            <w:vAlign w:val="center"/>
          </w:tcPr>
          <w:p w14:paraId="731D8F3A">
            <w:pPr>
              <w:snapToGrid w:val="0"/>
              <w:spacing w:line="320" w:lineRule="exact"/>
              <w:jc w:val="center"/>
              <w:rPr>
                <w:rFonts w:ascii="宋体" w:hAnsi="宋体" w:cs="宋体"/>
                <w:sz w:val="24"/>
                <w:highlight w:val="none"/>
              </w:rPr>
            </w:pPr>
            <w:r>
              <w:rPr>
                <w:rFonts w:hint="eastAsia" w:ascii="宋体" w:hAnsi="宋体" w:cs="宋体"/>
                <w:sz w:val="24"/>
                <w:highlight w:val="none"/>
              </w:rPr>
              <w:t>进口/国产</w:t>
            </w:r>
          </w:p>
        </w:tc>
        <w:tc>
          <w:tcPr>
            <w:tcW w:w="898" w:type="dxa"/>
            <w:vMerge w:val="restart"/>
            <w:vAlign w:val="center"/>
          </w:tcPr>
          <w:p w14:paraId="500C9596">
            <w:pPr>
              <w:snapToGrid w:val="0"/>
              <w:spacing w:line="320" w:lineRule="exact"/>
              <w:jc w:val="center"/>
              <w:rPr>
                <w:rFonts w:ascii="宋体" w:hAnsi="宋体" w:cs="宋体"/>
                <w:sz w:val="24"/>
                <w:highlight w:val="none"/>
              </w:rPr>
            </w:pPr>
            <w:r>
              <w:rPr>
                <w:rFonts w:hint="eastAsia" w:ascii="宋体" w:hAnsi="宋体" w:cs="宋体"/>
                <w:sz w:val="24"/>
                <w:highlight w:val="none"/>
              </w:rPr>
              <w:t>现状</w:t>
            </w:r>
          </w:p>
        </w:tc>
        <w:tc>
          <w:tcPr>
            <w:tcW w:w="892" w:type="dxa"/>
            <w:vMerge w:val="restart"/>
            <w:vAlign w:val="center"/>
          </w:tcPr>
          <w:p w14:paraId="0DD37C87">
            <w:pPr>
              <w:snapToGrid w:val="0"/>
              <w:spacing w:line="320" w:lineRule="exact"/>
              <w:jc w:val="center"/>
              <w:rPr>
                <w:rFonts w:ascii="宋体" w:hAnsi="宋体" w:cs="宋体"/>
                <w:sz w:val="24"/>
                <w:highlight w:val="none"/>
              </w:rPr>
            </w:pPr>
            <w:r>
              <w:rPr>
                <w:rFonts w:hint="eastAsia" w:ascii="宋体" w:hAnsi="宋体" w:cs="宋体"/>
                <w:sz w:val="24"/>
                <w:highlight w:val="none"/>
              </w:rPr>
              <w:t>备注</w:t>
            </w:r>
          </w:p>
        </w:tc>
      </w:tr>
      <w:tr w14:paraId="0B43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67" w:type="dxa"/>
            <w:vMerge w:val="continue"/>
            <w:vAlign w:val="center"/>
          </w:tcPr>
          <w:p w14:paraId="5C4E231D">
            <w:pPr>
              <w:snapToGrid w:val="0"/>
              <w:spacing w:line="320" w:lineRule="exact"/>
              <w:jc w:val="center"/>
              <w:rPr>
                <w:rFonts w:ascii="宋体" w:hAnsi="宋体" w:cs="宋体"/>
                <w:sz w:val="24"/>
                <w:highlight w:val="none"/>
              </w:rPr>
            </w:pPr>
          </w:p>
        </w:tc>
        <w:tc>
          <w:tcPr>
            <w:tcW w:w="819" w:type="dxa"/>
            <w:vMerge w:val="continue"/>
            <w:vAlign w:val="center"/>
          </w:tcPr>
          <w:p w14:paraId="3CA601BA">
            <w:pPr>
              <w:snapToGrid w:val="0"/>
              <w:spacing w:line="320" w:lineRule="exact"/>
              <w:jc w:val="center"/>
              <w:rPr>
                <w:rFonts w:ascii="宋体" w:hAnsi="宋体" w:cs="宋体"/>
                <w:sz w:val="24"/>
                <w:highlight w:val="none"/>
              </w:rPr>
            </w:pPr>
          </w:p>
        </w:tc>
        <w:tc>
          <w:tcPr>
            <w:tcW w:w="823" w:type="dxa"/>
            <w:vMerge w:val="continue"/>
            <w:vAlign w:val="center"/>
          </w:tcPr>
          <w:p w14:paraId="479D0F84">
            <w:pPr>
              <w:snapToGrid w:val="0"/>
              <w:spacing w:line="320" w:lineRule="exact"/>
              <w:jc w:val="center"/>
              <w:rPr>
                <w:rFonts w:ascii="宋体" w:hAnsi="宋体" w:cs="宋体"/>
                <w:sz w:val="24"/>
                <w:highlight w:val="none"/>
              </w:rPr>
            </w:pPr>
          </w:p>
        </w:tc>
        <w:tc>
          <w:tcPr>
            <w:tcW w:w="822" w:type="dxa"/>
            <w:vMerge w:val="continue"/>
          </w:tcPr>
          <w:p w14:paraId="6F6917B6">
            <w:pPr>
              <w:snapToGrid w:val="0"/>
              <w:spacing w:line="320" w:lineRule="exact"/>
              <w:jc w:val="center"/>
              <w:rPr>
                <w:rFonts w:ascii="宋体" w:hAnsi="宋体" w:cs="宋体"/>
                <w:sz w:val="24"/>
                <w:highlight w:val="none"/>
              </w:rPr>
            </w:pPr>
          </w:p>
        </w:tc>
        <w:tc>
          <w:tcPr>
            <w:tcW w:w="822" w:type="dxa"/>
            <w:vMerge w:val="continue"/>
          </w:tcPr>
          <w:p w14:paraId="2DBF9C60">
            <w:pPr>
              <w:snapToGrid w:val="0"/>
              <w:spacing w:line="320" w:lineRule="exact"/>
              <w:jc w:val="center"/>
              <w:rPr>
                <w:rFonts w:ascii="宋体" w:hAnsi="宋体" w:cs="宋体"/>
                <w:sz w:val="24"/>
                <w:highlight w:val="none"/>
              </w:rPr>
            </w:pPr>
          </w:p>
        </w:tc>
        <w:tc>
          <w:tcPr>
            <w:tcW w:w="2820" w:type="dxa"/>
            <w:gridSpan w:val="4"/>
            <w:vAlign w:val="center"/>
          </w:tcPr>
          <w:p w14:paraId="2ADEE113">
            <w:pPr>
              <w:snapToGrid w:val="0"/>
              <w:spacing w:line="320" w:lineRule="exact"/>
              <w:jc w:val="center"/>
              <w:rPr>
                <w:rFonts w:ascii="宋体" w:hAnsi="宋体" w:cs="宋体"/>
                <w:sz w:val="24"/>
                <w:highlight w:val="none"/>
              </w:rPr>
            </w:pPr>
            <w:r>
              <w:rPr>
                <w:rFonts w:hint="eastAsia" w:ascii="宋体" w:hAnsi="宋体" w:cs="宋体"/>
                <w:sz w:val="24"/>
                <w:highlight w:val="none"/>
              </w:rPr>
              <w:t>其中</w:t>
            </w:r>
          </w:p>
        </w:tc>
        <w:tc>
          <w:tcPr>
            <w:tcW w:w="570" w:type="dxa"/>
            <w:vMerge w:val="restart"/>
            <w:vAlign w:val="center"/>
          </w:tcPr>
          <w:p w14:paraId="436D5358">
            <w:pPr>
              <w:snapToGrid w:val="0"/>
              <w:spacing w:line="320" w:lineRule="exact"/>
              <w:jc w:val="center"/>
              <w:rPr>
                <w:rFonts w:ascii="宋体" w:hAnsi="宋体" w:cs="宋体"/>
                <w:sz w:val="24"/>
                <w:highlight w:val="none"/>
              </w:rPr>
            </w:pPr>
            <w:r>
              <w:rPr>
                <w:rFonts w:hint="eastAsia" w:ascii="宋体" w:hAnsi="宋体" w:cs="宋体"/>
                <w:sz w:val="24"/>
                <w:highlight w:val="none"/>
              </w:rPr>
              <w:t>小计</w:t>
            </w:r>
          </w:p>
        </w:tc>
        <w:tc>
          <w:tcPr>
            <w:tcW w:w="1064" w:type="dxa"/>
            <w:vMerge w:val="continue"/>
          </w:tcPr>
          <w:p w14:paraId="54232EB5">
            <w:pPr>
              <w:snapToGrid w:val="0"/>
              <w:spacing w:line="320" w:lineRule="exact"/>
              <w:jc w:val="center"/>
              <w:rPr>
                <w:rFonts w:ascii="宋体" w:hAnsi="宋体" w:cs="宋体"/>
                <w:sz w:val="24"/>
                <w:highlight w:val="none"/>
              </w:rPr>
            </w:pPr>
          </w:p>
        </w:tc>
        <w:tc>
          <w:tcPr>
            <w:tcW w:w="898" w:type="dxa"/>
            <w:vMerge w:val="continue"/>
          </w:tcPr>
          <w:p w14:paraId="64C3CA7E">
            <w:pPr>
              <w:snapToGrid w:val="0"/>
              <w:spacing w:line="320" w:lineRule="exact"/>
              <w:jc w:val="center"/>
              <w:rPr>
                <w:rFonts w:ascii="宋体" w:hAnsi="宋体" w:cs="宋体"/>
                <w:sz w:val="24"/>
                <w:highlight w:val="none"/>
              </w:rPr>
            </w:pPr>
          </w:p>
        </w:tc>
        <w:tc>
          <w:tcPr>
            <w:tcW w:w="892" w:type="dxa"/>
            <w:vMerge w:val="continue"/>
            <w:vAlign w:val="center"/>
          </w:tcPr>
          <w:p w14:paraId="463C1D76">
            <w:pPr>
              <w:snapToGrid w:val="0"/>
              <w:spacing w:line="320" w:lineRule="exact"/>
              <w:jc w:val="center"/>
              <w:rPr>
                <w:rFonts w:ascii="宋体" w:hAnsi="宋体" w:cs="宋体"/>
                <w:sz w:val="24"/>
                <w:highlight w:val="none"/>
              </w:rPr>
            </w:pPr>
          </w:p>
        </w:tc>
      </w:tr>
      <w:tr w14:paraId="2861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trPr>
        <w:tc>
          <w:tcPr>
            <w:tcW w:w="467" w:type="dxa"/>
            <w:vMerge w:val="continue"/>
            <w:vAlign w:val="center"/>
          </w:tcPr>
          <w:p w14:paraId="297AE25D">
            <w:pPr>
              <w:snapToGrid w:val="0"/>
              <w:spacing w:line="320" w:lineRule="exact"/>
              <w:jc w:val="center"/>
              <w:rPr>
                <w:rFonts w:ascii="宋体" w:hAnsi="宋体" w:cs="宋体"/>
                <w:sz w:val="24"/>
                <w:highlight w:val="none"/>
              </w:rPr>
            </w:pPr>
          </w:p>
        </w:tc>
        <w:tc>
          <w:tcPr>
            <w:tcW w:w="819" w:type="dxa"/>
            <w:vMerge w:val="continue"/>
            <w:vAlign w:val="center"/>
          </w:tcPr>
          <w:p w14:paraId="6A4AD742">
            <w:pPr>
              <w:snapToGrid w:val="0"/>
              <w:spacing w:line="320" w:lineRule="exact"/>
              <w:jc w:val="center"/>
              <w:rPr>
                <w:rFonts w:ascii="宋体" w:hAnsi="宋体" w:cs="宋体"/>
                <w:sz w:val="24"/>
                <w:highlight w:val="none"/>
              </w:rPr>
            </w:pPr>
          </w:p>
        </w:tc>
        <w:tc>
          <w:tcPr>
            <w:tcW w:w="823" w:type="dxa"/>
            <w:vMerge w:val="continue"/>
            <w:vAlign w:val="center"/>
          </w:tcPr>
          <w:p w14:paraId="5430F822">
            <w:pPr>
              <w:snapToGrid w:val="0"/>
              <w:spacing w:line="320" w:lineRule="exact"/>
              <w:jc w:val="center"/>
              <w:rPr>
                <w:rFonts w:ascii="宋体" w:hAnsi="宋体" w:cs="宋体"/>
                <w:sz w:val="24"/>
                <w:highlight w:val="none"/>
              </w:rPr>
            </w:pPr>
          </w:p>
        </w:tc>
        <w:tc>
          <w:tcPr>
            <w:tcW w:w="822" w:type="dxa"/>
            <w:vMerge w:val="continue"/>
          </w:tcPr>
          <w:p w14:paraId="75AC2589">
            <w:pPr>
              <w:snapToGrid w:val="0"/>
              <w:spacing w:line="320" w:lineRule="exact"/>
              <w:jc w:val="center"/>
              <w:rPr>
                <w:rFonts w:ascii="宋体" w:hAnsi="宋体" w:cs="宋体"/>
                <w:sz w:val="24"/>
                <w:highlight w:val="none"/>
              </w:rPr>
            </w:pPr>
          </w:p>
        </w:tc>
        <w:tc>
          <w:tcPr>
            <w:tcW w:w="822" w:type="dxa"/>
            <w:vMerge w:val="continue"/>
          </w:tcPr>
          <w:p w14:paraId="6828FC44">
            <w:pPr>
              <w:snapToGrid w:val="0"/>
              <w:spacing w:line="320" w:lineRule="exact"/>
              <w:jc w:val="center"/>
              <w:rPr>
                <w:rFonts w:ascii="宋体" w:hAnsi="宋体" w:cs="宋体"/>
                <w:sz w:val="24"/>
                <w:highlight w:val="none"/>
              </w:rPr>
            </w:pPr>
          </w:p>
        </w:tc>
        <w:tc>
          <w:tcPr>
            <w:tcW w:w="704" w:type="dxa"/>
            <w:vAlign w:val="center"/>
          </w:tcPr>
          <w:p w14:paraId="0762B484">
            <w:pPr>
              <w:snapToGrid w:val="0"/>
              <w:spacing w:line="320" w:lineRule="exact"/>
              <w:jc w:val="center"/>
              <w:rPr>
                <w:rFonts w:ascii="宋体" w:hAnsi="宋体" w:cs="宋体"/>
                <w:sz w:val="24"/>
                <w:highlight w:val="none"/>
              </w:rPr>
            </w:pPr>
            <w:r>
              <w:rPr>
                <w:rFonts w:hint="eastAsia" w:ascii="宋体" w:hAnsi="宋体" w:cs="宋体"/>
                <w:sz w:val="24"/>
                <w:highlight w:val="none"/>
              </w:rPr>
              <w:t>自有</w:t>
            </w:r>
          </w:p>
        </w:tc>
        <w:tc>
          <w:tcPr>
            <w:tcW w:w="704" w:type="dxa"/>
            <w:vAlign w:val="center"/>
          </w:tcPr>
          <w:p w14:paraId="70B3F06F">
            <w:pPr>
              <w:snapToGrid w:val="0"/>
              <w:spacing w:line="320" w:lineRule="exact"/>
              <w:jc w:val="center"/>
              <w:rPr>
                <w:rFonts w:ascii="宋体" w:hAnsi="宋体" w:cs="宋体"/>
                <w:sz w:val="24"/>
                <w:highlight w:val="none"/>
              </w:rPr>
            </w:pPr>
            <w:r>
              <w:rPr>
                <w:rFonts w:hint="eastAsia" w:ascii="宋体" w:hAnsi="宋体" w:cs="宋体"/>
                <w:sz w:val="24"/>
                <w:highlight w:val="none"/>
              </w:rPr>
              <w:t>租赁</w:t>
            </w:r>
          </w:p>
        </w:tc>
        <w:tc>
          <w:tcPr>
            <w:tcW w:w="704" w:type="dxa"/>
            <w:vAlign w:val="center"/>
          </w:tcPr>
          <w:p w14:paraId="421BD347">
            <w:pPr>
              <w:snapToGrid w:val="0"/>
              <w:spacing w:line="320" w:lineRule="exact"/>
              <w:jc w:val="center"/>
              <w:rPr>
                <w:rFonts w:ascii="宋体" w:hAnsi="宋体" w:cs="宋体"/>
                <w:sz w:val="24"/>
                <w:highlight w:val="none"/>
              </w:rPr>
            </w:pPr>
            <w:r>
              <w:rPr>
                <w:rFonts w:hint="eastAsia" w:ascii="宋体" w:hAnsi="宋体" w:cs="宋体"/>
                <w:sz w:val="24"/>
                <w:highlight w:val="none"/>
              </w:rPr>
              <w:t>新购</w:t>
            </w:r>
          </w:p>
        </w:tc>
        <w:tc>
          <w:tcPr>
            <w:tcW w:w="708" w:type="dxa"/>
            <w:vAlign w:val="center"/>
          </w:tcPr>
          <w:p w14:paraId="4085157F">
            <w:pPr>
              <w:snapToGrid w:val="0"/>
              <w:spacing w:line="320" w:lineRule="exact"/>
              <w:jc w:val="center"/>
              <w:rPr>
                <w:rFonts w:ascii="宋体" w:hAnsi="宋体" w:cs="宋体"/>
                <w:sz w:val="24"/>
                <w:highlight w:val="none"/>
              </w:rPr>
            </w:pPr>
            <w:r>
              <w:rPr>
                <w:rFonts w:hint="eastAsia" w:ascii="宋体" w:hAnsi="宋体" w:cs="宋体"/>
                <w:sz w:val="24"/>
                <w:highlight w:val="none"/>
              </w:rPr>
              <w:t>特别</w:t>
            </w:r>
          </w:p>
          <w:p w14:paraId="4C9686A6">
            <w:pPr>
              <w:snapToGrid w:val="0"/>
              <w:spacing w:line="320" w:lineRule="exact"/>
              <w:jc w:val="center"/>
              <w:rPr>
                <w:rFonts w:ascii="宋体" w:hAnsi="宋体" w:cs="宋体"/>
                <w:sz w:val="24"/>
                <w:highlight w:val="none"/>
              </w:rPr>
            </w:pPr>
            <w:r>
              <w:rPr>
                <w:rFonts w:hint="eastAsia" w:ascii="宋体" w:hAnsi="宋体" w:cs="宋体"/>
                <w:sz w:val="24"/>
                <w:highlight w:val="none"/>
              </w:rPr>
              <w:t>制造</w:t>
            </w:r>
          </w:p>
        </w:tc>
        <w:tc>
          <w:tcPr>
            <w:tcW w:w="570" w:type="dxa"/>
            <w:vMerge w:val="continue"/>
            <w:vAlign w:val="center"/>
          </w:tcPr>
          <w:p w14:paraId="45B85C28">
            <w:pPr>
              <w:snapToGrid w:val="0"/>
              <w:spacing w:line="320" w:lineRule="exact"/>
              <w:jc w:val="center"/>
              <w:rPr>
                <w:rFonts w:ascii="宋体" w:hAnsi="宋体" w:cs="宋体"/>
                <w:sz w:val="24"/>
                <w:highlight w:val="none"/>
              </w:rPr>
            </w:pPr>
          </w:p>
        </w:tc>
        <w:tc>
          <w:tcPr>
            <w:tcW w:w="1064" w:type="dxa"/>
            <w:vMerge w:val="continue"/>
          </w:tcPr>
          <w:p w14:paraId="4CB439CE">
            <w:pPr>
              <w:snapToGrid w:val="0"/>
              <w:spacing w:line="320" w:lineRule="exact"/>
              <w:jc w:val="center"/>
              <w:rPr>
                <w:rFonts w:ascii="宋体" w:hAnsi="宋体" w:cs="宋体"/>
                <w:sz w:val="24"/>
                <w:highlight w:val="none"/>
              </w:rPr>
            </w:pPr>
          </w:p>
        </w:tc>
        <w:tc>
          <w:tcPr>
            <w:tcW w:w="898" w:type="dxa"/>
            <w:vMerge w:val="continue"/>
            <w:vAlign w:val="center"/>
          </w:tcPr>
          <w:p w14:paraId="391A746B">
            <w:pPr>
              <w:snapToGrid w:val="0"/>
              <w:spacing w:line="320" w:lineRule="exact"/>
              <w:jc w:val="center"/>
              <w:rPr>
                <w:rFonts w:ascii="宋体" w:hAnsi="宋体" w:cs="宋体"/>
                <w:sz w:val="24"/>
                <w:highlight w:val="none"/>
              </w:rPr>
            </w:pPr>
          </w:p>
        </w:tc>
        <w:tc>
          <w:tcPr>
            <w:tcW w:w="892" w:type="dxa"/>
            <w:vMerge w:val="continue"/>
            <w:vAlign w:val="center"/>
          </w:tcPr>
          <w:p w14:paraId="46F10BE1">
            <w:pPr>
              <w:snapToGrid w:val="0"/>
              <w:spacing w:line="320" w:lineRule="exact"/>
              <w:jc w:val="center"/>
              <w:rPr>
                <w:rFonts w:ascii="宋体" w:hAnsi="宋体" w:cs="宋体"/>
                <w:sz w:val="24"/>
                <w:highlight w:val="none"/>
              </w:rPr>
            </w:pPr>
          </w:p>
        </w:tc>
      </w:tr>
      <w:tr w14:paraId="3BD0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7" w:type="dxa"/>
            <w:vAlign w:val="center"/>
          </w:tcPr>
          <w:p w14:paraId="43CBBA3A">
            <w:pPr>
              <w:snapToGrid w:val="0"/>
              <w:spacing w:line="320" w:lineRule="exact"/>
              <w:jc w:val="center"/>
              <w:rPr>
                <w:rFonts w:ascii="宋体" w:hAnsi="宋体" w:cs="宋体"/>
                <w:sz w:val="24"/>
                <w:highlight w:val="none"/>
              </w:rPr>
            </w:pPr>
          </w:p>
        </w:tc>
        <w:tc>
          <w:tcPr>
            <w:tcW w:w="819" w:type="dxa"/>
            <w:vAlign w:val="center"/>
          </w:tcPr>
          <w:p w14:paraId="79B42B24">
            <w:pPr>
              <w:snapToGrid w:val="0"/>
              <w:spacing w:line="320" w:lineRule="exact"/>
              <w:jc w:val="center"/>
              <w:rPr>
                <w:rFonts w:ascii="宋体" w:hAnsi="宋体" w:cs="宋体"/>
                <w:sz w:val="24"/>
                <w:highlight w:val="none"/>
              </w:rPr>
            </w:pPr>
          </w:p>
        </w:tc>
        <w:tc>
          <w:tcPr>
            <w:tcW w:w="823" w:type="dxa"/>
            <w:vAlign w:val="center"/>
          </w:tcPr>
          <w:p w14:paraId="0FE80FBF">
            <w:pPr>
              <w:snapToGrid w:val="0"/>
              <w:spacing w:line="320" w:lineRule="exact"/>
              <w:jc w:val="center"/>
              <w:rPr>
                <w:rFonts w:ascii="宋体" w:hAnsi="宋体" w:cs="宋体"/>
                <w:sz w:val="24"/>
                <w:highlight w:val="none"/>
              </w:rPr>
            </w:pPr>
          </w:p>
        </w:tc>
        <w:tc>
          <w:tcPr>
            <w:tcW w:w="822" w:type="dxa"/>
          </w:tcPr>
          <w:p w14:paraId="54B0DC0A">
            <w:pPr>
              <w:snapToGrid w:val="0"/>
              <w:spacing w:line="320" w:lineRule="exact"/>
              <w:jc w:val="center"/>
              <w:rPr>
                <w:rFonts w:ascii="宋体" w:hAnsi="宋体" w:cs="宋体"/>
                <w:sz w:val="24"/>
                <w:highlight w:val="none"/>
              </w:rPr>
            </w:pPr>
          </w:p>
        </w:tc>
        <w:tc>
          <w:tcPr>
            <w:tcW w:w="822" w:type="dxa"/>
            <w:vAlign w:val="center"/>
          </w:tcPr>
          <w:p w14:paraId="1FF65AAE">
            <w:pPr>
              <w:snapToGrid w:val="0"/>
              <w:spacing w:line="320" w:lineRule="exact"/>
              <w:jc w:val="center"/>
              <w:rPr>
                <w:rFonts w:ascii="宋体" w:hAnsi="宋体" w:cs="宋体"/>
                <w:sz w:val="24"/>
                <w:highlight w:val="none"/>
              </w:rPr>
            </w:pPr>
          </w:p>
        </w:tc>
        <w:tc>
          <w:tcPr>
            <w:tcW w:w="704" w:type="dxa"/>
            <w:vAlign w:val="center"/>
          </w:tcPr>
          <w:p w14:paraId="49018008">
            <w:pPr>
              <w:snapToGrid w:val="0"/>
              <w:spacing w:line="320" w:lineRule="exact"/>
              <w:jc w:val="center"/>
              <w:rPr>
                <w:rFonts w:ascii="宋体" w:hAnsi="宋体" w:cs="宋体"/>
                <w:sz w:val="24"/>
                <w:highlight w:val="none"/>
              </w:rPr>
            </w:pPr>
          </w:p>
        </w:tc>
        <w:tc>
          <w:tcPr>
            <w:tcW w:w="704" w:type="dxa"/>
            <w:vAlign w:val="center"/>
          </w:tcPr>
          <w:p w14:paraId="59997CEF">
            <w:pPr>
              <w:snapToGrid w:val="0"/>
              <w:spacing w:line="320" w:lineRule="exact"/>
              <w:jc w:val="center"/>
              <w:rPr>
                <w:rFonts w:ascii="宋体" w:hAnsi="宋体" w:cs="宋体"/>
                <w:sz w:val="24"/>
                <w:highlight w:val="none"/>
              </w:rPr>
            </w:pPr>
          </w:p>
        </w:tc>
        <w:tc>
          <w:tcPr>
            <w:tcW w:w="704" w:type="dxa"/>
            <w:vAlign w:val="center"/>
          </w:tcPr>
          <w:p w14:paraId="705AC858">
            <w:pPr>
              <w:snapToGrid w:val="0"/>
              <w:spacing w:line="320" w:lineRule="exact"/>
              <w:jc w:val="center"/>
              <w:rPr>
                <w:rFonts w:ascii="宋体" w:hAnsi="宋体" w:cs="宋体"/>
                <w:sz w:val="24"/>
                <w:highlight w:val="none"/>
              </w:rPr>
            </w:pPr>
          </w:p>
        </w:tc>
        <w:tc>
          <w:tcPr>
            <w:tcW w:w="708" w:type="dxa"/>
            <w:vAlign w:val="center"/>
          </w:tcPr>
          <w:p w14:paraId="65C4CAE8">
            <w:pPr>
              <w:snapToGrid w:val="0"/>
              <w:spacing w:line="320" w:lineRule="exact"/>
              <w:jc w:val="center"/>
              <w:rPr>
                <w:rFonts w:ascii="宋体" w:hAnsi="宋体" w:cs="宋体"/>
                <w:sz w:val="24"/>
                <w:highlight w:val="none"/>
              </w:rPr>
            </w:pPr>
          </w:p>
        </w:tc>
        <w:tc>
          <w:tcPr>
            <w:tcW w:w="570" w:type="dxa"/>
            <w:vAlign w:val="center"/>
          </w:tcPr>
          <w:p w14:paraId="49A918B2">
            <w:pPr>
              <w:snapToGrid w:val="0"/>
              <w:spacing w:line="320" w:lineRule="exact"/>
              <w:jc w:val="center"/>
              <w:rPr>
                <w:rFonts w:ascii="宋体" w:hAnsi="宋体" w:cs="宋体"/>
                <w:sz w:val="24"/>
                <w:highlight w:val="none"/>
              </w:rPr>
            </w:pPr>
          </w:p>
        </w:tc>
        <w:tc>
          <w:tcPr>
            <w:tcW w:w="1064" w:type="dxa"/>
          </w:tcPr>
          <w:p w14:paraId="77254C83">
            <w:pPr>
              <w:snapToGrid w:val="0"/>
              <w:spacing w:line="320" w:lineRule="exact"/>
              <w:jc w:val="center"/>
              <w:rPr>
                <w:rFonts w:ascii="宋体" w:hAnsi="宋体" w:cs="宋体"/>
                <w:sz w:val="24"/>
                <w:highlight w:val="none"/>
              </w:rPr>
            </w:pPr>
          </w:p>
        </w:tc>
        <w:tc>
          <w:tcPr>
            <w:tcW w:w="898" w:type="dxa"/>
            <w:vAlign w:val="center"/>
          </w:tcPr>
          <w:p w14:paraId="6CF53459">
            <w:pPr>
              <w:snapToGrid w:val="0"/>
              <w:spacing w:line="320" w:lineRule="exact"/>
              <w:jc w:val="center"/>
              <w:rPr>
                <w:rFonts w:ascii="宋体" w:hAnsi="宋体" w:cs="宋体"/>
                <w:sz w:val="24"/>
                <w:highlight w:val="none"/>
              </w:rPr>
            </w:pPr>
          </w:p>
        </w:tc>
        <w:tc>
          <w:tcPr>
            <w:tcW w:w="892" w:type="dxa"/>
            <w:vAlign w:val="center"/>
          </w:tcPr>
          <w:p w14:paraId="15E636CA">
            <w:pPr>
              <w:snapToGrid w:val="0"/>
              <w:spacing w:line="320" w:lineRule="exact"/>
              <w:jc w:val="center"/>
              <w:rPr>
                <w:rFonts w:ascii="宋体" w:hAnsi="宋体" w:cs="宋体"/>
                <w:sz w:val="24"/>
                <w:highlight w:val="none"/>
              </w:rPr>
            </w:pPr>
          </w:p>
        </w:tc>
      </w:tr>
      <w:tr w14:paraId="403B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7" w:type="dxa"/>
            <w:vAlign w:val="center"/>
          </w:tcPr>
          <w:p w14:paraId="5048D8C7">
            <w:pPr>
              <w:snapToGrid w:val="0"/>
              <w:spacing w:line="320" w:lineRule="exact"/>
              <w:jc w:val="center"/>
              <w:rPr>
                <w:rFonts w:ascii="宋体" w:hAnsi="宋体" w:cs="宋体"/>
                <w:sz w:val="24"/>
                <w:highlight w:val="none"/>
              </w:rPr>
            </w:pPr>
          </w:p>
        </w:tc>
        <w:tc>
          <w:tcPr>
            <w:tcW w:w="819" w:type="dxa"/>
            <w:vAlign w:val="center"/>
          </w:tcPr>
          <w:p w14:paraId="15B12808">
            <w:pPr>
              <w:snapToGrid w:val="0"/>
              <w:spacing w:line="320" w:lineRule="exact"/>
              <w:jc w:val="center"/>
              <w:rPr>
                <w:rFonts w:ascii="宋体" w:hAnsi="宋体" w:cs="宋体"/>
                <w:sz w:val="24"/>
                <w:highlight w:val="none"/>
              </w:rPr>
            </w:pPr>
          </w:p>
        </w:tc>
        <w:tc>
          <w:tcPr>
            <w:tcW w:w="823" w:type="dxa"/>
            <w:vAlign w:val="center"/>
          </w:tcPr>
          <w:p w14:paraId="4859774C">
            <w:pPr>
              <w:snapToGrid w:val="0"/>
              <w:spacing w:line="320" w:lineRule="exact"/>
              <w:jc w:val="center"/>
              <w:rPr>
                <w:rFonts w:ascii="宋体" w:hAnsi="宋体" w:cs="宋体"/>
                <w:sz w:val="24"/>
                <w:highlight w:val="none"/>
              </w:rPr>
            </w:pPr>
          </w:p>
        </w:tc>
        <w:tc>
          <w:tcPr>
            <w:tcW w:w="822" w:type="dxa"/>
          </w:tcPr>
          <w:p w14:paraId="2B4287E3">
            <w:pPr>
              <w:snapToGrid w:val="0"/>
              <w:spacing w:line="320" w:lineRule="exact"/>
              <w:jc w:val="center"/>
              <w:rPr>
                <w:rFonts w:ascii="宋体" w:hAnsi="宋体" w:cs="宋体"/>
                <w:sz w:val="24"/>
                <w:highlight w:val="none"/>
              </w:rPr>
            </w:pPr>
          </w:p>
        </w:tc>
        <w:tc>
          <w:tcPr>
            <w:tcW w:w="822" w:type="dxa"/>
            <w:vAlign w:val="center"/>
          </w:tcPr>
          <w:p w14:paraId="3263CACF">
            <w:pPr>
              <w:snapToGrid w:val="0"/>
              <w:spacing w:line="320" w:lineRule="exact"/>
              <w:jc w:val="center"/>
              <w:rPr>
                <w:rFonts w:ascii="宋体" w:hAnsi="宋体" w:cs="宋体"/>
                <w:sz w:val="24"/>
                <w:highlight w:val="none"/>
              </w:rPr>
            </w:pPr>
          </w:p>
        </w:tc>
        <w:tc>
          <w:tcPr>
            <w:tcW w:w="704" w:type="dxa"/>
            <w:vAlign w:val="center"/>
          </w:tcPr>
          <w:p w14:paraId="39683BA5">
            <w:pPr>
              <w:snapToGrid w:val="0"/>
              <w:spacing w:line="320" w:lineRule="exact"/>
              <w:jc w:val="center"/>
              <w:rPr>
                <w:rFonts w:ascii="宋体" w:hAnsi="宋体" w:cs="宋体"/>
                <w:sz w:val="24"/>
                <w:highlight w:val="none"/>
              </w:rPr>
            </w:pPr>
          </w:p>
        </w:tc>
        <w:tc>
          <w:tcPr>
            <w:tcW w:w="704" w:type="dxa"/>
            <w:vAlign w:val="center"/>
          </w:tcPr>
          <w:p w14:paraId="6EC4F79D">
            <w:pPr>
              <w:snapToGrid w:val="0"/>
              <w:spacing w:line="320" w:lineRule="exact"/>
              <w:jc w:val="center"/>
              <w:rPr>
                <w:rFonts w:ascii="宋体" w:hAnsi="宋体" w:cs="宋体"/>
                <w:sz w:val="24"/>
                <w:highlight w:val="none"/>
              </w:rPr>
            </w:pPr>
          </w:p>
        </w:tc>
        <w:tc>
          <w:tcPr>
            <w:tcW w:w="704" w:type="dxa"/>
            <w:vAlign w:val="center"/>
          </w:tcPr>
          <w:p w14:paraId="155C379A">
            <w:pPr>
              <w:snapToGrid w:val="0"/>
              <w:spacing w:line="320" w:lineRule="exact"/>
              <w:jc w:val="center"/>
              <w:rPr>
                <w:rFonts w:ascii="宋体" w:hAnsi="宋体" w:cs="宋体"/>
                <w:sz w:val="24"/>
                <w:highlight w:val="none"/>
              </w:rPr>
            </w:pPr>
          </w:p>
        </w:tc>
        <w:tc>
          <w:tcPr>
            <w:tcW w:w="708" w:type="dxa"/>
            <w:vAlign w:val="center"/>
          </w:tcPr>
          <w:p w14:paraId="0DCDC246">
            <w:pPr>
              <w:snapToGrid w:val="0"/>
              <w:spacing w:line="320" w:lineRule="exact"/>
              <w:jc w:val="center"/>
              <w:rPr>
                <w:rFonts w:ascii="宋体" w:hAnsi="宋体" w:cs="宋体"/>
                <w:sz w:val="24"/>
                <w:highlight w:val="none"/>
              </w:rPr>
            </w:pPr>
          </w:p>
        </w:tc>
        <w:tc>
          <w:tcPr>
            <w:tcW w:w="570" w:type="dxa"/>
            <w:vAlign w:val="center"/>
          </w:tcPr>
          <w:p w14:paraId="29A2BB2B">
            <w:pPr>
              <w:snapToGrid w:val="0"/>
              <w:spacing w:line="320" w:lineRule="exact"/>
              <w:jc w:val="center"/>
              <w:rPr>
                <w:rFonts w:ascii="宋体" w:hAnsi="宋体" w:cs="宋体"/>
                <w:sz w:val="24"/>
                <w:highlight w:val="none"/>
              </w:rPr>
            </w:pPr>
          </w:p>
        </w:tc>
        <w:tc>
          <w:tcPr>
            <w:tcW w:w="1064" w:type="dxa"/>
          </w:tcPr>
          <w:p w14:paraId="62F31BE3">
            <w:pPr>
              <w:snapToGrid w:val="0"/>
              <w:spacing w:line="320" w:lineRule="exact"/>
              <w:jc w:val="center"/>
              <w:rPr>
                <w:rFonts w:ascii="宋体" w:hAnsi="宋体" w:cs="宋体"/>
                <w:sz w:val="24"/>
                <w:highlight w:val="none"/>
              </w:rPr>
            </w:pPr>
          </w:p>
        </w:tc>
        <w:tc>
          <w:tcPr>
            <w:tcW w:w="898" w:type="dxa"/>
            <w:vAlign w:val="center"/>
          </w:tcPr>
          <w:p w14:paraId="2381C74E">
            <w:pPr>
              <w:snapToGrid w:val="0"/>
              <w:spacing w:line="320" w:lineRule="exact"/>
              <w:jc w:val="center"/>
              <w:rPr>
                <w:rFonts w:ascii="宋体" w:hAnsi="宋体" w:cs="宋体"/>
                <w:sz w:val="24"/>
                <w:highlight w:val="none"/>
              </w:rPr>
            </w:pPr>
          </w:p>
        </w:tc>
        <w:tc>
          <w:tcPr>
            <w:tcW w:w="892" w:type="dxa"/>
            <w:vAlign w:val="center"/>
          </w:tcPr>
          <w:p w14:paraId="44C7CE22">
            <w:pPr>
              <w:snapToGrid w:val="0"/>
              <w:spacing w:line="320" w:lineRule="exact"/>
              <w:jc w:val="center"/>
              <w:rPr>
                <w:rFonts w:ascii="宋体" w:hAnsi="宋体" w:cs="宋体"/>
                <w:sz w:val="24"/>
                <w:highlight w:val="none"/>
              </w:rPr>
            </w:pPr>
          </w:p>
        </w:tc>
      </w:tr>
      <w:tr w14:paraId="5E76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67" w:type="dxa"/>
            <w:vAlign w:val="center"/>
          </w:tcPr>
          <w:p w14:paraId="4ED5447C">
            <w:pPr>
              <w:snapToGrid w:val="0"/>
              <w:spacing w:line="320" w:lineRule="exact"/>
              <w:jc w:val="center"/>
              <w:rPr>
                <w:rFonts w:ascii="宋体" w:hAnsi="宋体" w:cs="宋体"/>
                <w:sz w:val="24"/>
                <w:highlight w:val="none"/>
              </w:rPr>
            </w:pPr>
          </w:p>
        </w:tc>
        <w:tc>
          <w:tcPr>
            <w:tcW w:w="819" w:type="dxa"/>
            <w:vAlign w:val="center"/>
          </w:tcPr>
          <w:p w14:paraId="66B11A6B">
            <w:pPr>
              <w:snapToGrid w:val="0"/>
              <w:spacing w:line="320" w:lineRule="exact"/>
              <w:jc w:val="center"/>
              <w:rPr>
                <w:rFonts w:ascii="宋体" w:hAnsi="宋体" w:cs="宋体"/>
                <w:sz w:val="24"/>
                <w:highlight w:val="none"/>
              </w:rPr>
            </w:pPr>
          </w:p>
        </w:tc>
        <w:tc>
          <w:tcPr>
            <w:tcW w:w="823" w:type="dxa"/>
            <w:vAlign w:val="center"/>
          </w:tcPr>
          <w:p w14:paraId="334F5EC0">
            <w:pPr>
              <w:snapToGrid w:val="0"/>
              <w:spacing w:line="320" w:lineRule="exact"/>
              <w:jc w:val="center"/>
              <w:rPr>
                <w:rFonts w:ascii="宋体" w:hAnsi="宋体" w:cs="宋体"/>
                <w:sz w:val="24"/>
                <w:highlight w:val="none"/>
              </w:rPr>
            </w:pPr>
          </w:p>
        </w:tc>
        <w:tc>
          <w:tcPr>
            <w:tcW w:w="822" w:type="dxa"/>
          </w:tcPr>
          <w:p w14:paraId="06F2CA77">
            <w:pPr>
              <w:snapToGrid w:val="0"/>
              <w:spacing w:line="320" w:lineRule="exact"/>
              <w:jc w:val="center"/>
              <w:rPr>
                <w:rFonts w:ascii="宋体" w:hAnsi="宋体" w:cs="宋体"/>
                <w:sz w:val="24"/>
                <w:highlight w:val="none"/>
              </w:rPr>
            </w:pPr>
          </w:p>
        </w:tc>
        <w:tc>
          <w:tcPr>
            <w:tcW w:w="822" w:type="dxa"/>
            <w:vAlign w:val="center"/>
          </w:tcPr>
          <w:p w14:paraId="2B4DDB1F">
            <w:pPr>
              <w:snapToGrid w:val="0"/>
              <w:spacing w:line="320" w:lineRule="exact"/>
              <w:jc w:val="center"/>
              <w:rPr>
                <w:rFonts w:ascii="宋体" w:hAnsi="宋体" w:cs="宋体"/>
                <w:sz w:val="24"/>
                <w:highlight w:val="none"/>
              </w:rPr>
            </w:pPr>
          </w:p>
        </w:tc>
        <w:tc>
          <w:tcPr>
            <w:tcW w:w="704" w:type="dxa"/>
            <w:vAlign w:val="center"/>
          </w:tcPr>
          <w:p w14:paraId="64DC0E53">
            <w:pPr>
              <w:snapToGrid w:val="0"/>
              <w:spacing w:line="320" w:lineRule="exact"/>
              <w:jc w:val="center"/>
              <w:rPr>
                <w:rFonts w:ascii="宋体" w:hAnsi="宋体" w:cs="宋体"/>
                <w:sz w:val="24"/>
                <w:highlight w:val="none"/>
              </w:rPr>
            </w:pPr>
          </w:p>
        </w:tc>
        <w:tc>
          <w:tcPr>
            <w:tcW w:w="704" w:type="dxa"/>
            <w:vAlign w:val="center"/>
          </w:tcPr>
          <w:p w14:paraId="691E6CBA">
            <w:pPr>
              <w:snapToGrid w:val="0"/>
              <w:spacing w:line="320" w:lineRule="exact"/>
              <w:jc w:val="center"/>
              <w:rPr>
                <w:rFonts w:ascii="宋体" w:hAnsi="宋体" w:cs="宋体"/>
                <w:sz w:val="24"/>
                <w:highlight w:val="none"/>
              </w:rPr>
            </w:pPr>
          </w:p>
        </w:tc>
        <w:tc>
          <w:tcPr>
            <w:tcW w:w="704" w:type="dxa"/>
            <w:vAlign w:val="center"/>
          </w:tcPr>
          <w:p w14:paraId="4F3E0EF6">
            <w:pPr>
              <w:snapToGrid w:val="0"/>
              <w:spacing w:line="320" w:lineRule="exact"/>
              <w:jc w:val="center"/>
              <w:rPr>
                <w:rFonts w:ascii="宋体" w:hAnsi="宋体" w:cs="宋体"/>
                <w:sz w:val="24"/>
                <w:highlight w:val="none"/>
              </w:rPr>
            </w:pPr>
          </w:p>
        </w:tc>
        <w:tc>
          <w:tcPr>
            <w:tcW w:w="708" w:type="dxa"/>
            <w:vAlign w:val="center"/>
          </w:tcPr>
          <w:p w14:paraId="1AD0C2B8">
            <w:pPr>
              <w:snapToGrid w:val="0"/>
              <w:spacing w:line="320" w:lineRule="exact"/>
              <w:jc w:val="center"/>
              <w:rPr>
                <w:rFonts w:ascii="宋体" w:hAnsi="宋体" w:cs="宋体"/>
                <w:sz w:val="24"/>
                <w:highlight w:val="none"/>
              </w:rPr>
            </w:pPr>
          </w:p>
        </w:tc>
        <w:tc>
          <w:tcPr>
            <w:tcW w:w="570" w:type="dxa"/>
            <w:vAlign w:val="center"/>
          </w:tcPr>
          <w:p w14:paraId="55CACE08">
            <w:pPr>
              <w:snapToGrid w:val="0"/>
              <w:spacing w:line="320" w:lineRule="exact"/>
              <w:jc w:val="center"/>
              <w:rPr>
                <w:rFonts w:ascii="宋体" w:hAnsi="宋体" w:cs="宋体"/>
                <w:sz w:val="24"/>
                <w:highlight w:val="none"/>
              </w:rPr>
            </w:pPr>
          </w:p>
        </w:tc>
        <w:tc>
          <w:tcPr>
            <w:tcW w:w="1064" w:type="dxa"/>
          </w:tcPr>
          <w:p w14:paraId="604EE3CB">
            <w:pPr>
              <w:snapToGrid w:val="0"/>
              <w:spacing w:line="320" w:lineRule="exact"/>
              <w:jc w:val="center"/>
              <w:rPr>
                <w:rFonts w:ascii="宋体" w:hAnsi="宋体" w:cs="宋体"/>
                <w:sz w:val="24"/>
                <w:highlight w:val="none"/>
              </w:rPr>
            </w:pPr>
          </w:p>
        </w:tc>
        <w:tc>
          <w:tcPr>
            <w:tcW w:w="898" w:type="dxa"/>
            <w:vAlign w:val="center"/>
          </w:tcPr>
          <w:p w14:paraId="4D85C93F">
            <w:pPr>
              <w:snapToGrid w:val="0"/>
              <w:spacing w:line="320" w:lineRule="exact"/>
              <w:jc w:val="center"/>
              <w:rPr>
                <w:rFonts w:ascii="宋体" w:hAnsi="宋体" w:cs="宋体"/>
                <w:sz w:val="24"/>
                <w:highlight w:val="none"/>
              </w:rPr>
            </w:pPr>
          </w:p>
        </w:tc>
        <w:tc>
          <w:tcPr>
            <w:tcW w:w="892" w:type="dxa"/>
            <w:vAlign w:val="center"/>
          </w:tcPr>
          <w:p w14:paraId="2086624F">
            <w:pPr>
              <w:snapToGrid w:val="0"/>
              <w:spacing w:line="320" w:lineRule="exact"/>
              <w:jc w:val="center"/>
              <w:rPr>
                <w:rFonts w:ascii="宋体" w:hAnsi="宋体" w:cs="宋体"/>
                <w:sz w:val="24"/>
                <w:highlight w:val="none"/>
              </w:rPr>
            </w:pPr>
          </w:p>
        </w:tc>
      </w:tr>
      <w:tr w14:paraId="54B8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467" w:type="dxa"/>
            <w:vAlign w:val="center"/>
          </w:tcPr>
          <w:p w14:paraId="7A220CCB">
            <w:pPr>
              <w:snapToGrid w:val="0"/>
              <w:spacing w:line="320" w:lineRule="exact"/>
              <w:jc w:val="center"/>
              <w:rPr>
                <w:rFonts w:ascii="宋体" w:hAnsi="宋体" w:cs="宋体"/>
                <w:sz w:val="24"/>
                <w:highlight w:val="none"/>
              </w:rPr>
            </w:pPr>
          </w:p>
        </w:tc>
        <w:tc>
          <w:tcPr>
            <w:tcW w:w="819" w:type="dxa"/>
            <w:vAlign w:val="center"/>
          </w:tcPr>
          <w:p w14:paraId="0751CC86">
            <w:pPr>
              <w:snapToGrid w:val="0"/>
              <w:spacing w:line="320" w:lineRule="exact"/>
              <w:jc w:val="center"/>
              <w:rPr>
                <w:rFonts w:ascii="宋体" w:hAnsi="宋体" w:cs="宋体"/>
                <w:sz w:val="24"/>
                <w:highlight w:val="none"/>
              </w:rPr>
            </w:pPr>
          </w:p>
        </w:tc>
        <w:tc>
          <w:tcPr>
            <w:tcW w:w="823" w:type="dxa"/>
            <w:vAlign w:val="center"/>
          </w:tcPr>
          <w:p w14:paraId="681FDF0F">
            <w:pPr>
              <w:snapToGrid w:val="0"/>
              <w:spacing w:line="320" w:lineRule="exact"/>
              <w:jc w:val="center"/>
              <w:rPr>
                <w:rFonts w:ascii="宋体" w:hAnsi="宋体" w:cs="宋体"/>
                <w:sz w:val="24"/>
                <w:highlight w:val="none"/>
              </w:rPr>
            </w:pPr>
          </w:p>
        </w:tc>
        <w:tc>
          <w:tcPr>
            <w:tcW w:w="822" w:type="dxa"/>
          </w:tcPr>
          <w:p w14:paraId="29BD2D00">
            <w:pPr>
              <w:snapToGrid w:val="0"/>
              <w:spacing w:line="320" w:lineRule="exact"/>
              <w:jc w:val="center"/>
              <w:rPr>
                <w:rFonts w:ascii="宋体" w:hAnsi="宋体" w:cs="宋体"/>
                <w:sz w:val="24"/>
                <w:highlight w:val="none"/>
              </w:rPr>
            </w:pPr>
          </w:p>
        </w:tc>
        <w:tc>
          <w:tcPr>
            <w:tcW w:w="822" w:type="dxa"/>
            <w:vAlign w:val="center"/>
          </w:tcPr>
          <w:p w14:paraId="597417B7">
            <w:pPr>
              <w:snapToGrid w:val="0"/>
              <w:spacing w:line="320" w:lineRule="exact"/>
              <w:jc w:val="center"/>
              <w:rPr>
                <w:rFonts w:ascii="宋体" w:hAnsi="宋体" w:cs="宋体"/>
                <w:sz w:val="24"/>
                <w:highlight w:val="none"/>
              </w:rPr>
            </w:pPr>
          </w:p>
        </w:tc>
        <w:tc>
          <w:tcPr>
            <w:tcW w:w="704" w:type="dxa"/>
            <w:vAlign w:val="center"/>
          </w:tcPr>
          <w:p w14:paraId="55BEA298">
            <w:pPr>
              <w:snapToGrid w:val="0"/>
              <w:spacing w:line="320" w:lineRule="exact"/>
              <w:jc w:val="center"/>
              <w:rPr>
                <w:rFonts w:ascii="宋体" w:hAnsi="宋体" w:cs="宋体"/>
                <w:sz w:val="24"/>
                <w:highlight w:val="none"/>
              </w:rPr>
            </w:pPr>
          </w:p>
        </w:tc>
        <w:tc>
          <w:tcPr>
            <w:tcW w:w="704" w:type="dxa"/>
            <w:vAlign w:val="center"/>
          </w:tcPr>
          <w:p w14:paraId="0D707644">
            <w:pPr>
              <w:snapToGrid w:val="0"/>
              <w:spacing w:line="320" w:lineRule="exact"/>
              <w:jc w:val="center"/>
              <w:rPr>
                <w:rFonts w:ascii="宋体" w:hAnsi="宋体" w:cs="宋体"/>
                <w:sz w:val="24"/>
                <w:highlight w:val="none"/>
              </w:rPr>
            </w:pPr>
          </w:p>
        </w:tc>
        <w:tc>
          <w:tcPr>
            <w:tcW w:w="704" w:type="dxa"/>
            <w:vAlign w:val="center"/>
          </w:tcPr>
          <w:p w14:paraId="2E75C866">
            <w:pPr>
              <w:snapToGrid w:val="0"/>
              <w:spacing w:line="320" w:lineRule="exact"/>
              <w:jc w:val="center"/>
              <w:rPr>
                <w:rFonts w:ascii="宋体" w:hAnsi="宋体" w:cs="宋体"/>
                <w:sz w:val="24"/>
                <w:highlight w:val="none"/>
              </w:rPr>
            </w:pPr>
          </w:p>
        </w:tc>
        <w:tc>
          <w:tcPr>
            <w:tcW w:w="708" w:type="dxa"/>
            <w:vAlign w:val="center"/>
          </w:tcPr>
          <w:p w14:paraId="7795C5A5">
            <w:pPr>
              <w:snapToGrid w:val="0"/>
              <w:spacing w:line="320" w:lineRule="exact"/>
              <w:jc w:val="center"/>
              <w:rPr>
                <w:rFonts w:ascii="宋体" w:hAnsi="宋体" w:cs="宋体"/>
                <w:sz w:val="24"/>
                <w:highlight w:val="none"/>
              </w:rPr>
            </w:pPr>
          </w:p>
        </w:tc>
        <w:tc>
          <w:tcPr>
            <w:tcW w:w="570" w:type="dxa"/>
            <w:vAlign w:val="center"/>
          </w:tcPr>
          <w:p w14:paraId="47CC4DEA">
            <w:pPr>
              <w:snapToGrid w:val="0"/>
              <w:spacing w:line="320" w:lineRule="exact"/>
              <w:jc w:val="center"/>
              <w:rPr>
                <w:rFonts w:ascii="宋体" w:hAnsi="宋体" w:cs="宋体"/>
                <w:sz w:val="24"/>
                <w:highlight w:val="none"/>
              </w:rPr>
            </w:pPr>
          </w:p>
        </w:tc>
        <w:tc>
          <w:tcPr>
            <w:tcW w:w="1064" w:type="dxa"/>
          </w:tcPr>
          <w:p w14:paraId="03D5F755">
            <w:pPr>
              <w:snapToGrid w:val="0"/>
              <w:spacing w:line="320" w:lineRule="exact"/>
              <w:jc w:val="center"/>
              <w:rPr>
                <w:rFonts w:ascii="宋体" w:hAnsi="宋体" w:cs="宋体"/>
                <w:sz w:val="24"/>
                <w:highlight w:val="none"/>
              </w:rPr>
            </w:pPr>
          </w:p>
        </w:tc>
        <w:tc>
          <w:tcPr>
            <w:tcW w:w="898" w:type="dxa"/>
            <w:vAlign w:val="center"/>
          </w:tcPr>
          <w:p w14:paraId="427E2BE1">
            <w:pPr>
              <w:snapToGrid w:val="0"/>
              <w:spacing w:line="320" w:lineRule="exact"/>
              <w:jc w:val="center"/>
              <w:rPr>
                <w:rFonts w:ascii="宋体" w:hAnsi="宋体" w:cs="宋体"/>
                <w:sz w:val="24"/>
                <w:highlight w:val="none"/>
              </w:rPr>
            </w:pPr>
          </w:p>
        </w:tc>
        <w:tc>
          <w:tcPr>
            <w:tcW w:w="892" w:type="dxa"/>
            <w:vAlign w:val="center"/>
          </w:tcPr>
          <w:p w14:paraId="7D6632D2">
            <w:pPr>
              <w:snapToGrid w:val="0"/>
              <w:spacing w:line="320" w:lineRule="exact"/>
              <w:jc w:val="center"/>
              <w:rPr>
                <w:rFonts w:ascii="宋体" w:hAnsi="宋体" w:cs="宋体"/>
                <w:sz w:val="24"/>
                <w:highlight w:val="none"/>
              </w:rPr>
            </w:pPr>
          </w:p>
        </w:tc>
      </w:tr>
      <w:tr w14:paraId="3018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467" w:type="dxa"/>
            <w:vAlign w:val="center"/>
          </w:tcPr>
          <w:p w14:paraId="4B9A5DCC">
            <w:pPr>
              <w:snapToGrid w:val="0"/>
              <w:spacing w:line="320" w:lineRule="exact"/>
              <w:jc w:val="center"/>
              <w:rPr>
                <w:rFonts w:ascii="宋体" w:hAnsi="宋体" w:cs="宋体"/>
                <w:sz w:val="24"/>
                <w:highlight w:val="none"/>
              </w:rPr>
            </w:pPr>
          </w:p>
        </w:tc>
        <w:tc>
          <w:tcPr>
            <w:tcW w:w="819" w:type="dxa"/>
            <w:vAlign w:val="center"/>
          </w:tcPr>
          <w:p w14:paraId="7C0D3492">
            <w:pPr>
              <w:snapToGrid w:val="0"/>
              <w:spacing w:line="320" w:lineRule="exact"/>
              <w:jc w:val="center"/>
              <w:rPr>
                <w:rFonts w:ascii="宋体" w:hAnsi="宋体" w:cs="宋体"/>
                <w:sz w:val="24"/>
                <w:highlight w:val="none"/>
              </w:rPr>
            </w:pPr>
          </w:p>
        </w:tc>
        <w:tc>
          <w:tcPr>
            <w:tcW w:w="823" w:type="dxa"/>
            <w:vAlign w:val="center"/>
          </w:tcPr>
          <w:p w14:paraId="21A6C099">
            <w:pPr>
              <w:snapToGrid w:val="0"/>
              <w:spacing w:line="320" w:lineRule="exact"/>
              <w:jc w:val="center"/>
              <w:rPr>
                <w:rFonts w:ascii="宋体" w:hAnsi="宋体" w:cs="宋体"/>
                <w:sz w:val="24"/>
                <w:highlight w:val="none"/>
              </w:rPr>
            </w:pPr>
          </w:p>
        </w:tc>
        <w:tc>
          <w:tcPr>
            <w:tcW w:w="822" w:type="dxa"/>
          </w:tcPr>
          <w:p w14:paraId="1537754B">
            <w:pPr>
              <w:snapToGrid w:val="0"/>
              <w:spacing w:line="320" w:lineRule="exact"/>
              <w:jc w:val="center"/>
              <w:rPr>
                <w:rFonts w:ascii="宋体" w:hAnsi="宋体" w:cs="宋体"/>
                <w:sz w:val="24"/>
                <w:highlight w:val="none"/>
              </w:rPr>
            </w:pPr>
          </w:p>
        </w:tc>
        <w:tc>
          <w:tcPr>
            <w:tcW w:w="822" w:type="dxa"/>
            <w:vAlign w:val="center"/>
          </w:tcPr>
          <w:p w14:paraId="0B9B6B35">
            <w:pPr>
              <w:snapToGrid w:val="0"/>
              <w:spacing w:line="320" w:lineRule="exact"/>
              <w:jc w:val="center"/>
              <w:rPr>
                <w:rFonts w:ascii="宋体" w:hAnsi="宋体" w:cs="宋体"/>
                <w:sz w:val="24"/>
                <w:highlight w:val="none"/>
              </w:rPr>
            </w:pPr>
          </w:p>
        </w:tc>
        <w:tc>
          <w:tcPr>
            <w:tcW w:w="704" w:type="dxa"/>
            <w:vAlign w:val="center"/>
          </w:tcPr>
          <w:p w14:paraId="646C8321">
            <w:pPr>
              <w:snapToGrid w:val="0"/>
              <w:spacing w:line="320" w:lineRule="exact"/>
              <w:jc w:val="center"/>
              <w:rPr>
                <w:rFonts w:ascii="宋体" w:hAnsi="宋体" w:cs="宋体"/>
                <w:sz w:val="24"/>
                <w:highlight w:val="none"/>
              </w:rPr>
            </w:pPr>
          </w:p>
        </w:tc>
        <w:tc>
          <w:tcPr>
            <w:tcW w:w="704" w:type="dxa"/>
            <w:vAlign w:val="center"/>
          </w:tcPr>
          <w:p w14:paraId="31EF6FA4">
            <w:pPr>
              <w:snapToGrid w:val="0"/>
              <w:spacing w:line="320" w:lineRule="exact"/>
              <w:jc w:val="center"/>
              <w:rPr>
                <w:rFonts w:ascii="宋体" w:hAnsi="宋体" w:cs="宋体"/>
                <w:sz w:val="24"/>
                <w:highlight w:val="none"/>
              </w:rPr>
            </w:pPr>
          </w:p>
        </w:tc>
        <w:tc>
          <w:tcPr>
            <w:tcW w:w="704" w:type="dxa"/>
            <w:vAlign w:val="center"/>
          </w:tcPr>
          <w:p w14:paraId="499ABA93">
            <w:pPr>
              <w:snapToGrid w:val="0"/>
              <w:spacing w:line="320" w:lineRule="exact"/>
              <w:jc w:val="center"/>
              <w:rPr>
                <w:rFonts w:ascii="宋体" w:hAnsi="宋体" w:cs="宋体"/>
                <w:sz w:val="24"/>
                <w:highlight w:val="none"/>
              </w:rPr>
            </w:pPr>
          </w:p>
        </w:tc>
        <w:tc>
          <w:tcPr>
            <w:tcW w:w="708" w:type="dxa"/>
            <w:vAlign w:val="center"/>
          </w:tcPr>
          <w:p w14:paraId="4FF464A1">
            <w:pPr>
              <w:snapToGrid w:val="0"/>
              <w:spacing w:line="320" w:lineRule="exact"/>
              <w:jc w:val="center"/>
              <w:rPr>
                <w:rFonts w:ascii="宋体" w:hAnsi="宋体" w:cs="宋体"/>
                <w:sz w:val="24"/>
                <w:highlight w:val="none"/>
              </w:rPr>
            </w:pPr>
          </w:p>
        </w:tc>
        <w:tc>
          <w:tcPr>
            <w:tcW w:w="570" w:type="dxa"/>
            <w:vAlign w:val="center"/>
          </w:tcPr>
          <w:p w14:paraId="6DC55C69">
            <w:pPr>
              <w:snapToGrid w:val="0"/>
              <w:spacing w:line="320" w:lineRule="exact"/>
              <w:jc w:val="center"/>
              <w:rPr>
                <w:rFonts w:ascii="宋体" w:hAnsi="宋体" w:cs="宋体"/>
                <w:sz w:val="24"/>
                <w:highlight w:val="none"/>
              </w:rPr>
            </w:pPr>
          </w:p>
        </w:tc>
        <w:tc>
          <w:tcPr>
            <w:tcW w:w="1064" w:type="dxa"/>
          </w:tcPr>
          <w:p w14:paraId="477725E0">
            <w:pPr>
              <w:snapToGrid w:val="0"/>
              <w:spacing w:line="320" w:lineRule="exact"/>
              <w:jc w:val="center"/>
              <w:rPr>
                <w:rFonts w:ascii="宋体" w:hAnsi="宋体" w:cs="宋体"/>
                <w:sz w:val="24"/>
                <w:highlight w:val="none"/>
              </w:rPr>
            </w:pPr>
          </w:p>
        </w:tc>
        <w:tc>
          <w:tcPr>
            <w:tcW w:w="898" w:type="dxa"/>
            <w:vAlign w:val="center"/>
          </w:tcPr>
          <w:p w14:paraId="40F4D46C">
            <w:pPr>
              <w:snapToGrid w:val="0"/>
              <w:spacing w:line="320" w:lineRule="exact"/>
              <w:jc w:val="center"/>
              <w:rPr>
                <w:rFonts w:ascii="宋体" w:hAnsi="宋体" w:cs="宋体"/>
                <w:sz w:val="24"/>
                <w:highlight w:val="none"/>
              </w:rPr>
            </w:pPr>
          </w:p>
        </w:tc>
        <w:tc>
          <w:tcPr>
            <w:tcW w:w="892" w:type="dxa"/>
            <w:vAlign w:val="center"/>
          </w:tcPr>
          <w:p w14:paraId="0B86091B">
            <w:pPr>
              <w:snapToGrid w:val="0"/>
              <w:spacing w:line="320" w:lineRule="exact"/>
              <w:jc w:val="center"/>
              <w:rPr>
                <w:rFonts w:ascii="宋体" w:hAnsi="宋体" w:cs="宋体"/>
                <w:sz w:val="24"/>
                <w:highlight w:val="none"/>
              </w:rPr>
            </w:pPr>
          </w:p>
        </w:tc>
      </w:tr>
      <w:tr w14:paraId="58CF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vAlign w:val="center"/>
          </w:tcPr>
          <w:p w14:paraId="2554EB97">
            <w:pPr>
              <w:snapToGrid w:val="0"/>
              <w:spacing w:line="320" w:lineRule="exact"/>
              <w:jc w:val="center"/>
              <w:rPr>
                <w:rFonts w:ascii="宋体" w:hAnsi="宋体" w:cs="宋体"/>
                <w:sz w:val="24"/>
                <w:highlight w:val="none"/>
              </w:rPr>
            </w:pPr>
          </w:p>
        </w:tc>
        <w:tc>
          <w:tcPr>
            <w:tcW w:w="819" w:type="dxa"/>
            <w:vAlign w:val="center"/>
          </w:tcPr>
          <w:p w14:paraId="45DEBA39">
            <w:pPr>
              <w:snapToGrid w:val="0"/>
              <w:spacing w:line="320" w:lineRule="exact"/>
              <w:jc w:val="center"/>
              <w:rPr>
                <w:rFonts w:ascii="宋体" w:hAnsi="宋体" w:cs="宋体"/>
                <w:sz w:val="24"/>
                <w:highlight w:val="none"/>
              </w:rPr>
            </w:pPr>
          </w:p>
        </w:tc>
        <w:tc>
          <w:tcPr>
            <w:tcW w:w="823" w:type="dxa"/>
            <w:vAlign w:val="center"/>
          </w:tcPr>
          <w:p w14:paraId="0C9B09A8">
            <w:pPr>
              <w:snapToGrid w:val="0"/>
              <w:spacing w:line="320" w:lineRule="exact"/>
              <w:jc w:val="center"/>
              <w:rPr>
                <w:rFonts w:ascii="宋体" w:hAnsi="宋体" w:cs="宋体"/>
                <w:sz w:val="24"/>
                <w:highlight w:val="none"/>
              </w:rPr>
            </w:pPr>
          </w:p>
        </w:tc>
        <w:tc>
          <w:tcPr>
            <w:tcW w:w="822" w:type="dxa"/>
          </w:tcPr>
          <w:p w14:paraId="32CE298E">
            <w:pPr>
              <w:snapToGrid w:val="0"/>
              <w:spacing w:line="320" w:lineRule="exact"/>
              <w:jc w:val="center"/>
              <w:rPr>
                <w:rFonts w:ascii="宋体" w:hAnsi="宋体" w:cs="宋体"/>
                <w:sz w:val="24"/>
                <w:highlight w:val="none"/>
              </w:rPr>
            </w:pPr>
          </w:p>
        </w:tc>
        <w:tc>
          <w:tcPr>
            <w:tcW w:w="822" w:type="dxa"/>
            <w:vAlign w:val="center"/>
          </w:tcPr>
          <w:p w14:paraId="2A1CF6EB">
            <w:pPr>
              <w:snapToGrid w:val="0"/>
              <w:spacing w:line="320" w:lineRule="exact"/>
              <w:jc w:val="center"/>
              <w:rPr>
                <w:rFonts w:ascii="宋体" w:hAnsi="宋体" w:cs="宋体"/>
                <w:sz w:val="24"/>
                <w:highlight w:val="none"/>
              </w:rPr>
            </w:pPr>
          </w:p>
        </w:tc>
        <w:tc>
          <w:tcPr>
            <w:tcW w:w="704" w:type="dxa"/>
            <w:vAlign w:val="center"/>
          </w:tcPr>
          <w:p w14:paraId="3439500A">
            <w:pPr>
              <w:snapToGrid w:val="0"/>
              <w:spacing w:line="320" w:lineRule="exact"/>
              <w:jc w:val="center"/>
              <w:rPr>
                <w:rFonts w:ascii="宋体" w:hAnsi="宋体" w:cs="宋体"/>
                <w:sz w:val="24"/>
                <w:highlight w:val="none"/>
              </w:rPr>
            </w:pPr>
          </w:p>
        </w:tc>
        <w:tc>
          <w:tcPr>
            <w:tcW w:w="704" w:type="dxa"/>
            <w:vAlign w:val="center"/>
          </w:tcPr>
          <w:p w14:paraId="15C07217">
            <w:pPr>
              <w:snapToGrid w:val="0"/>
              <w:spacing w:line="320" w:lineRule="exact"/>
              <w:jc w:val="center"/>
              <w:rPr>
                <w:rFonts w:ascii="宋体" w:hAnsi="宋体" w:cs="宋体"/>
                <w:sz w:val="24"/>
                <w:highlight w:val="none"/>
              </w:rPr>
            </w:pPr>
          </w:p>
        </w:tc>
        <w:tc>
          <w:tcPr>
            <w:tcW w:w="704" w:type="dxa"/>
            <w:vAlign w:val="center"/>
          </w:tcPr>
          <w:p w14:paraId="12E5A9C2">
            <w:pPr>
              <w:snapToGrid w:val="0"/>
              <w:spacing w:line="320" w:lineRule="exact"/>
              <w:jc w:val="center"/>
              <w:rPr>
                <w:rFonts w:ascii="宋体" w:hAnsi="宋体" w:cs="宋体"/>
                <w:sz w:val="24"/>
                <w:highlight w:val="none"/>
              </w:rPr>
            </w:pPr>
          </w:p>
        </w:tc>
        <w:tc>
          <w:tcPr>
            <w:tcW w:w="708" w:type="dxa"/>
            <w:vAlign w:val="center"/>
          </w:tcPr>
          <w:p w14:paraId="0FAE434F">
            <w:pPr>
              <w:snapToGrid w:val="0"/>
              <w:spacing w:line="320" w:lineRule="exact"/>
              <w:jc w:val="center"/>
              <w:rPr>
                <w:rFonts w:ascii="宋体" w:hAnsi="宋体" w:cs="宋体"/>
                <w:sz w:val="24"/>
                <w:highlight w:val="none"/>
              </w:rPr>
            </w:pPr>
          </w:p>
        </w:tc>
        <w:tc>
          <w:tcPr>
            <w:tcW w:w="570" w:type="dxa"/>
            <w:vAlign w:val="center"/>
          </w:tcPr>
          <w:p w14:paraId="2B58DA48">
            <w:pPr>
              <w:snapToGrid w:val="0"/>
              <w:spacing w:line="320" w:lineRule="exact"/>
              <w:jc w:val="center"/>
              <w:rPr>
                <w:rFonts w:ascii="宋体" w:hAnsi="宋体" w:cs="宋体"/>
                <w:sz w:val="24"/>
                <w:highlight w:val="none"/>
              </w:rPr>
            </w:pPr>
          </w:p>
        </w:tc>
        <w:tc>
          <w:tcPr>
            <w:tcW w:w="1064" w:type="dxa"/>
          </w:tcPr>
          <w:p w14:paraId="0ABAD8EC">
            <w:pPr>
              <w:snapToGrid w:val="0"/>
              <w:spacing w:line="320" w:lineRule="exact"/>
              <w:jc w:val="center"/>
              <w:rPr>
                <w:rFonts w:ascii="宋体" w:hAnsi="宋体" w:cs="宋体"/>
                <w:sz w:val="24"/>
                <w:highlight w:val="none"/>
              </w:rPr>
            </w:pPr>
          </w:p>
        </w:tc>
        <w:tc>
          <w:tcPr>
            <w:tcW w:w="898" w:type="dxa"/>
            <w:vAlign w:val="center"/>
          </w:tcPr>
          <w:p w14:paraId="3D208444">
            <w:pPr>
              <w:snapToGrid w:val="0"/>
              <w:spacing w:line="320" w:lineRule="exact"/>
              <w:jc w:val="center"/>
              <w:rPr>
                <w:rFonts w:ascii="宋体" w:hAnsi="宋体" w:cs="宋体"/>
                <w:sz w:val="24"/>
                <w:highlight w:val="none"/>
              </w:rPr>
            </w:pPr>
          </w:p>
        </w:tc>
        <w:tc>
          <w:tcPr>
            <w:tcW w:w="892" w:type="dxa"/>
            <w:vAlign w:val="center"/>
          </w:tcPr>
          <w:p w14:paraId="237EF6D4">
            <w:pPr>
              <w:snapToGrid w:val="0"/>
              <w:spacing w:line="320" w:lineRule="exact"/>
              <w:jc w:val="center"/>
              <w:rPr>
                <w:rFonts w:ascii="宋体" w:hAnsi="宋体" w:cs="宋体"/>
                <w:sz w:val="24"/>
                <w:highlight w:val="none"/>
              </w:rPr>
            </w:pPr>
          </w:p>
        </w:tc>
      </w:tr>
      <w:tr w14:paraId="1017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vAlign w:val="center"/>
          </w:tcPr>
          <w:p w14:paraId="38D76C46">
            <w:pPr>
              <w:snapToGrid w:val="0"/>
              <w:spacing w:line="320" w:lineRule="exact"/>
              <w:jc w:val="center"/>
              <w:rPr>
                <w:rFonts w:ascii="宋体" w:hAnsi="宋体" w:cs="宋体"/>
                <w:sz w:val="24"/>
                <w:highlight w:val="none"/>
              </w:rPr>
            </w:pPr>
          </w:p>
        </w:tc>
        <w:tc>
          <w:tcPr>
            <w:tcW w:w="819" w:type="dxa"/>
            <w:vAlign w:val="center"/>
          </w:tcPr>
          <w:p w14:paraId="3B61876E">
            <w:pPr>
              <w:snapToGrid w:val="0"/>
              <w:spacing w:line="320" w:lineRule="exact"/>
              <w:jc w:val="center"/>
              <w:rPr>
                <w:rFonts w:ascii="宋体" w:hAnsi="宋体" w:cs="宋体"/>
                <w:sz w:val="24"/>
                <w:highlight w:val="none"/>
              </w:rPr>
            </w:pPr>
          </w:p>
        </w:tc>
        <w:tc>
          <w:tcPr>
            <w:tcW w:w="823" w:type="dxa"/>
            <w:vAlign w:val="center"/>
          </w:tcPr>
          <w:p w14:paraId="2795642C">
            <w:pPr>
              <w:snapToGrid w:val="0"/>
              <w:spacing w:line="320" w:lineRule="exact"/>
              <w:jc w:val="center"/>
              <w:rPr>
                <w:rFonts w:ascii="宋体" w:hAnsi="宋体" w:cs="宋体"/>
                <w:sz w:val="24"/>
                <w:highlight w:val="none"/>
              </w:rPr>
            </w:pPr>
          </w:p>
        </w:tc>
        <w:tc>
          <w:tcPr>
            <w:tcW w:w="822" w:type="dxa"/>
          </w:tcPr>
          <w:p w14:paraId="2930C454">
            <w:pPr>
              <w:snapToGrid w:val="0"/>
              <w:spacing w:line="320" w:lineRule="exact"/>
              <w:jc w:val="center"/>
              <w:rPr>
                <w:rFonts w:ascii="宋体" w:hAnsi="宋体" w:cs="宋体"/>
                <w:sz w:val="24"/>
                <w:highlight w:val="none"/>
              </w:rPr>
            </w:pPr>
          </w:p>
        </w:tc>
        <w:tc>
          <w:tcPr>
            <w:tcW w:w="822" w:type="dxa"/>
            <w:vAlign w:val="center"/>
          </w:tcPr>
          <w:p w14:paraId="4EE883E9">
            <w:pPr>
              <w:snapToGrid w:val="0"/>
              <w:spacing w:line="320" w:lineRule="exact"/>
              <w:jc w:val="center"/>
              <w:rPr>
                <w:rFonts w:ascii="宋体" w:hAnsi="宋体" w:cs="宋体"/>
                <w:sz w:val="24"/>
                <w:highlight w:val="none"/>
              </w:rPr>
            </w:pPr>
          </w:p>
        </w:tc>
        <w:tc>
          <w:tcPr>
            <w:tcW w:w="704" w:type="dxa"/>
            <w:vAlign w:val="center"/>
          </w:tcPr>
          <w:p w14:paraId="491960BA">
            <w:pPr>
              <w:snapToGrid w:val="0"/>
              <w:spacing w:line="320" w:lineRule="exact"/>
              <w:jc w:val="center"/>
              <w:rPr>
                <w:rFonts w:ascii="宋体" w:hAnsi="宋体" w:cs="宋体"/>
                <w:sz w:val="24"/>
                <w:highlight w:val="none"/>
              </w:rPr>
            </w:pPr>
          </w:p>
        </w:tc>
        <w:tc>
          <w:tcPr>
            <w:tcW w:w="704" w:type="dxa"/>
            <w:vAlign w:val="center"/>
          </w:tcPr>
          <w:p w14:paraId="6DA0ACAA">
            <w:pPr>
              <w:snapToGrid w:val="0"/>
              <w:spacing w:line="320" w:lineRule="exact"/>
              <w:jc w:val="center"/>
              <w:rPr>
                <w:rFonts w:ascii="宋体" w:hAnsi="宋体" w:cs="宋体"/>
                <w:sz w:val="24"/>
                <w:highlight w:val="none"/>
              </w:rPr>
            </w:pPr>
          </w:p>
        </w:tc>
        <w:tc>
          <w:tcPr>
            <w:tcW w:w="704" w:type="dxa"/>
            <w:vAlign w:val="center"/>
          </w:tcPr>
          <w:p w14:paraId="480CE194">
            <w:pPr>
              <w:snapToGrid w:val="0"/>
              <w:spacing w:line="320" w:lineRule="exact"/>
              <w:jc w:val="center"/>
              <w:rPr>
                <w:rFonts w:ascii="宋体" w:hAnsi="宋体" w:cs="宋体"/>
                <w:sz w:val="24"/>
                <w:highlight w:val="none"/>
              </w:rPr>
            </w:pPr>
          </w:p>
        </w:tc>
        <w:tc>
          <w:tcPr>
            <w:tcW w:w="708" w:type="dxa"/>
            <w:vAlign w:val="center"/>
          </w:tcPr>
          <w:p w14:paraId="3136D34B">
            <w:pPr>
              <w:snapToGrid w:val="0"/>
              <w:spacing w:line="320" w:lineRule="exact"/>
              <w:jc w:val="center"/>
              <w:rPr>
                <w:rFonts w:ascii="宋体" w:hAnsi="宋体" w:cs="宋体"/>
                <w:sz w:val="24"/>
                <w:highlight w:val="none"/>
              </w:rPr>
            </w:pPr>
          </w:p>
        </w:tc>
        <w:tc>
          <w:tcPr>
            <w:tcW w:w="570" w:type="dxa"/>
            <w:vAlign w:val="center"/>
          </w:tcPr>
          <w:p w14:paraId="1F54A6A3">
            <w:pPr>
              <w:snapToGrid w:val="0"/>
              <w:spacing w:line="320" w:lineRule="exact"/>
              <w:jc w:val="center"/>
              <w:rPr>
                <w:rFonts w:ascii="宋体" w:hAnsi="宋体" w:cs="宋体"/>
                <w:sz w:val="24"/>
                <w:highlight w:val="none"/>
              </w:rPr>
            </w:pPr>
          </w:p>
        </w:tc>
        <w:tc>
          <w:tcPr>
            <w:tcW w:w="1064" w:type="dxa"/>
          </w:tcPr>
          <w:p w14:paraId="0D896C25">
            <w:pPr>
              <w:snapToGrid w:val="0"/>
              <w:spacing w:line="320" w:lineRule="exact"/>
              <w:jc w:val="center"/>
              <w:rPr>
                <w:rFonts w:ascii="宋体" w:hAnsi="宋体" w:cs="宋体"/>
                <w:sz w:val="24"/>
                <w:highlight w:val="none"/>
              </w:rPr>
            </w:pPr>
          </w:p>
        </w:tc>
        <w:tc>
          <w:tcPr>
            <w:tcW w:w="898" w:type="dxa"/>
            <w:vAlign w:val="center"/>
          </w:tcPr>
          <w:p w14:paraId="6C06925E">
            <w:pPr>
              <w:snapToGrid w:val="0"/>
              <w:spacing w:line="320" w:lineRule="exact"/>
              <w:jc w:val="center"/>
              <w:rPr>
                <w:rFonts w:ascii="宋体" w:hAnsi="宋体" w:cs="宋体"/>
                <w:sz w:val="24"/>
                <w:highlight w:val="none"/>
              </w:rPr>
            </w:pPr>
          </w:p>
        </w:tc>
        <w:tc>
          <w:tcPr>
            <w:tcW w:w="892" w:type="dxa"/>
            <w:vAlign w:val="center"/>
          </w:tcPr>
          <w:p w14:paraId="532A1290">
            <w:pPr>
              <w:snapToGrid w:val="0"/>
              <w:spacing w:line="320" w:lineRule="exact"/>
              <w:jc w:val="center"/>
              <w:rPr>
                <w:rFonts w:ascii="宋体" w:hAnsi="宋体" w:cs="宋体"/>
                <w:sz w:val="24"/>
                <w:highlight w:val="none"/>
              </w:rPr>
            </w:pPr>
          </w:p>
        </w:tc>
      </w:tr>
      <w:tr w14:paraId="3A3A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vAlign w:val="center"/>
          </w:tcPr>
          <w:p w14:paraId="5E572986">
            <w:pPr>
              <w:snapToGrid w:val="0"/>
              <w:spacing w:line="320" w:lineRule="exact"/>
              <w:jc w:val="center"/>
              <w:rPr>
                <w:rFonts w:ascii="宋体" w:hAnsi="宋体" w:cs="宋体"/>
                <w:sz w:val="24"/>
                <w:highlight w:val="none"/>
              </w:rPr>
            </w:pPr>
          </w:p>
        </w:tc>
        <w:tc>
          <w:tcPr>
            <w:tcW w:w="819" w:type="dxa"/>
            <w:vAlign w:val="center"/>
          </w:tcPr>
          <w:p w14:paraId="50E0F1F0">
            <w:pPr>
              <w:snapToGrid w:val="0"/>
              <w:spacing w:line="320" w:lineRule="exact"/>
              <w:jc w:val="center"/>
              <w:rPr>
                <w:rFonts w:ascii="宋体" w:hAnsi="宋体" w:cs="宋体"/>
                <w:sz w:val="24"/>
                <w:highlight w:val="none"/>
              </w:rPr>
            </w:pPr>
          </w:p>
        </w:tc>
        <w:tc>
          <w:tcPr>
            <w:tcW w:w="823" w:type="dxa"/>
            <w:vAlign w:val="center"/>
          </w:tcPr>
          <w:p w14:paraId="60AE727B">
            <w:pPr>
              <w:snapToGrid w:val="0"/>
              <w:spacing w:line="320" w:lineRule="exact"/>
              <w:jc w:val="center"/>
              <w:rPr>
                <w:rFonts w:ascii="宋体" w:hAnsi="宋体" w:cs="宋体"/>
                <w:sz w:val="24"/>
                <w:highlight w:val="none"/>
              </w:rPr>
            </w:pPr>
          </w:p>
        </w:tc>
        <w:tc>
          <w:tcPr>
            <w:tcW w:w="822" w:type="dxa"/>
          </w:tcPr>
          <w:p w14:paraId="1F6AC0E9">
            <w:pPr>
              <w:snapToGrid w:val="0"/>
              <w:spacing w:line="320" w:lineRule="exact"/>
              <w:jc w:val="center"/>
              <w:rPr>
                <w:rFonts w:ascii="宋体" w:hAnsi="宋体" w:cs="宋体"/>
                <w:sz w:val="24"/>
                <w:highlight w:val="none"/>
              </w:rPr>
            </w:pPr>
          </w:p>
        </w:tc>
        <w:tc>
          <w:tcPr>
            <w:tcW w:w="822" w:type="dxa"/>
            <w:vAlign w:val="center"/>
          </w:tcPr>
          <w:p w14:paraId="5D777785">
            <w:pPr>
              <w:snapToGrid w:val="0"/>
              <w:spacing w:line="320" w:lineRule="exact"/>
              <w:jc w:val="center"/>
              <w:rPr>
                <w:rFonts w:ascii="宋体" w:hAnsi="宋体" w:cs="宋体"/>
                <w:sz w:val="24"/>
                <w:highlight w:val="none"/>
              </w:rPr>
            </w:pPr>
          </w:p>
        </w:tc>
        <w:tc>
          <w:tcPr>
            <w:tcW w:w="704" w:type="dxa"/>
            <w:vAlign w:val="center"/>
          </w:tcPr>
          <w:p w14:paraId="4B311117">
            <w:pPr>
              <w:snapToGrid w:val="0"/>
              <w:spacing w:line="320" w:lineRule="exact"/>
              <w:jc w:val="center"/>
              <w:rPr>
                <w:rFonts w:ascii="宋体" w:hAnsi="宋体" w:cs="宋体"/>
                <w:sz w:val="24"/>
                <w:highlight w:val="none"/>
              </w:rPr>
            </w:pPr>
          </w:p>
        </w:tc>
        <w:tc>
          <w:tcPr>
            <w:tcW w:w="704" w:type="dxa"/>
            <w:vAlign w:val="center"/>
          </w:tcPr>
          <w:p w14:paraId="34698F26">
            <w:pPr>
              <w:snapToGrid w:val="0"/>
              <w:spacing w:line="320" w:lineRule="exact"/>
              <w:jc w:val="center"/>
              <w:rPr>
                <w:rFonts w:ascii="宋体" w:hAnsi="宋体" w:cs="宋体"/>
                <w:sz w:val="24"/>
                <w:highlight w:val="none"/>
              </w:rPr>
            </w:pPr>
          </w:p>
        </w:tc>
        <w:tc>
          <w:tcPr>
            <w:tcW w:w="704" w:type="dxa"/>
            <w:vAlign w:val="center"/>
          </w:tcPr>
          <w:p w14:paraId="50A57EF1">
            <w:pPr>
              <w:snapToGrid w:val="0"/>
              <w:spacing w:line="320" w:lineRule="exact"/>
              <w:jc w:val="center"/>
              <w:rPr>
                <w:rFonts w:ascii="宋体" w:hAnsi="宋体" w:cs="宋体"/>
                <w:sz w:val="24"/>
                <w:highlight w:val="none"/>
              </w:rPr>
            </w:pPr>
          </w:p>
        </w:tc>
        <w:tc>
          <w:tcPr>
            <w:tcW w:w="708" w:type="dxa"/>
            <w:vAlign w:val="center"/>
          </w:tcPr>
          <w:p w14:paraId="7803D118">
            <w:pPr>
              <w:snapToGrid w:val="0"/>
              <w:spacing w:line="320" w:lineRule="exact"/>
              <w:jc w:val="center"/>
              <w:rPr>
                <w:rFonts w:ascii="宋体" w:hAnsi="宋体" w:cs="宋体"/>
                <w:sz w:val="24"/>
                <w:highlight w:val="none"/>
              </w:rPr>
            </w:pPr>
          </w:p>
        </w:tc>
        <w:tc>
          <w:tcPr>
            <w:tcW w:w="570" w:type="dxa"/>
            <w:vAlign w:val="center"/>
          </w:tcPr>
          <w:p w14:paraId="457974FD">
            <w:pPr>
              <w:snapToGrid w:val="0"/>
              <w:spacing w:line="320" w:lineRule="exact"/>
              <w:jc w:val="center"/>
              <w:rPr>
                <w:rFonts w:ascii="宋体" w:hAnsi="宋体" w:cs="宋体"/>
                <w:sz w:val="24"/>
                <w:highlight w:val="none"/>
              </w:rPr>
            </w:pPr>
          </w:p>
        </w:tc>
        <w:tc>
          <w:tcPr>
            <w:tcW w:w="1064" w:type="dxa"/>
          </w:tcPr>
          <w:p w14:paraId="5F89DDB5">
            <w:pPr>
              <w:snapToGrid w:val="0"/>
              <w:spacing w:line="320" w:lineRule="exact"/>
              <w:jc w:val="center"/>
              <w:rPr>
                <w:rFonts w:ascii="宋体" w:hAnsi="宋体" w:cs="宋体"/>
                <w:sz w:val="24"/>
                <w:highlight w:val="none"/>
              </w:rPr>
            </w:pPr>
          </w:p>
        </w:tc>
        <w:tc>
          <w:tcPr>
            <w:tcW w:w="898" w:type="dxa"/>
            <w:vAlign w:val="center"/>
          </w:tcPr>
          <w:p w14:paraId="470B53C0">
            <w:pPr>
              <w:snapToGrid w:val="0"/>
              <w:spacing w:line="320" w:lineRule="exact"/>
              <w:jc w:val="center"/>
              <w:rPr>
                <w:rFonts w:ascii="宋体" w:hAnsi="宋体" w:cs="宋体"/>
                <w:sz w:val="24"/>
                <w:highlight w:val="none"/>
              </w:rPr>
            </w:pPr>
          </w:p>
        </w:tc>
        <w:tc>
          <w:tcPr>
            <w:tcW w:w="892" w:type="dxa"/>
            <w:vAlign w:val="center"/>
          </w:tcPr>
          <w:p w14:paraId="1898D547">
            <w:pPr>
              <w:snapToGrid w:val="0"/>
              <w:spacing w:line="320" w:lineRule="exact"/>
              <w:jc w:val="center"/>
              <w:rPr>
                <w:rFonts w:ascii="宋体" w:hAnsi="宋体" w:cs="宋体"/>
                <w:sz w:val="24"/>
                <w:highlight w:val="none"/>
              </w:rPr>
            </w:pPr>
          </w:p>
        </w:tc>
      </w:tr>
      <w:tr w14:paraId="407A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7" w:type="dxa"/>
            <w:vAlign w:val="center"/>
          </w:tcPr>
          <w:p w14:paraId="7BF80700">
            <w:pPr>
              <w:snapToGrid w:val="0"/>
              <w:spacing w:line="320" w:lineRule="exact"/>
              <w:jc w:val="center"/>
              <w:rPr>
                <w:rFonts w:ascii="宋体" w:hAnsi="宋体" w:cs="宋体"/>
                <w:sz w:val="24"/>
                <w:highlight w:val="none"/>
              </w:rPr>
            </w:pPr>
          </w:p>
        </w:tc>
        <w:tc>
          <w:tcPr>
            <w:tcW w:w="819" w:type="dxa"/>
            <w:vAlign w:val="center"/>
          </w:tcPr>
          <w:p w14:paraId="75317C4A">
            <w:pPr>
              <w:snapToGrid w:val="0"/>
              <w:spacing w:line="320" w:lineRule="exact"/>
              <w:jc w:val="center"/>
              <w:rPr>
                <w:rFonts w:ascii="宋体" w:hAnsi="宋体" w:cs="宋体"/>
                <w:sz w:val="24"/>
                <w:highlight w:val="none"/>
              </w:rPr>
            </w:pPr>
          </w:p>
        </w:tc>
        <w:tc>
          <w:tcPr>
            <w:tcW w:w="823" w:type="dxa"/>
            <w:vAlign w:val="center"/>
          </w:tcPr>
          <w:p w14:paraId="067A154D">
            <w:pPr>
              <w:snapToGrid w:val="0"/>
              <w:spacing w:line="320" w:lineRule="exact"/>
              <w:jc w:val="center"/>
              <w:rPr>
                <w:rFonts w:ascii="宋体" w:hAnsi="宋体" w:cs="宋体"/>
                <w:sz w:val="24"/>
                <w:highlight w:val="none"/>
              </w:rPr>
            </w:pPr>
          </w:p>
        </w:tc>
        <w:tc>
          <w:tcPr>
            <w:tcW w:w="822" w:type="dxa"/>
          </w:tcPr>
          <w:p w14:paraId="148FEC8A">
            <w:pPr>
              <w:snapToGrid w:val="0"/>
              <w:spacing w:line="320" w:lineRule="exact"/>
              <w:jc w:val="center"/>
              <w:rPr>
                <w:rFonts w:ascii="宋体" w:hAnsi="宋体" w:cs="宋体"/>
                <w:sz w:val="24"/>
                <w:highlight w:val="none"/>
              </w:rPr>
            </w:pPr>
          </w:p>
        </w:tc>
        <w:tc>
          <w:tcPr>
            <w:tcW w:w="822" w:type="dxa"/>
            <w:vAlign w:val="center"/>
          </w:tcPr>
          <w:p w14:paraId="70721B22">
            <w:pPr>
              <w:snapToGrid w:val="0"/>
              <w:spacing w:line="320" w:lineRule="exact"/>
              <w:jc w:val="center"/>
              <w:rPr>
                <w:rFonts w:ascii="宋体" w:hAnsi="宋体" w:cs="宋体"/>
                <w:sz w:val="24"/>
                <w:highlight w:val="none"/>
              </w:rPr>
            </w:pPr>
          </w:p>
        </w:tc>
        <w:tc>
          <w:tcPr>
            <w:tcW w:w="704" w:type="dxa"/>
            <w:vAlign w:val="center"/>
          </w:tcPr>
          <w:p w14:paraId="6487DF9C">
            <w:pPr>
              <w:snapToGrid w:val="0"/>
              <w:spacing w:line="320" w:lineRule="exact"/>
              <w:jc w:val="center"/>
              <w:rPr>
                <w:rFonts w:ascii="宋体" w:hAnsi="宋体" w:cs="宋体"/>
                <w:sz w:val="24"/>
                <w:highlight w:val="none"/>
              </w:rPr>
            </w:pPr>
          </w:p>
        </w:tc>
        <w:tc>
          <w:tcPr>
            <w:tcW w:w="704" w:type="dxa"/>
            <w:vAlign w:val="center"/>
          </w:tcPr>
          <w:p w14:paraId="4B9A520A">
            <w:pPr>
              <w:snapToGrid w:val="0"/>
              <w:spacing w:line="320" w:lineRule="exact"/>
              <w:jc w:val="center"/>
              <w:rPr>
                <w:rFonts w:ascii="宋体" w:hAnsi="宋体" w:cs="宋体"/>
                <w:sz w:val="24"/>
                <w:highlight w:val="none"/>
              </w:rPr>
            </w:pPr>
          </w:p>
        </w:tc>
        <w:tc>
          <w:tcPr>
            <w:tcW w:w="704" w:type="dxa"/>
            <w:vAlign w:val="center"/>
          </w:tcPr>
          <w:p w14:paraId="7A4A38D3">
            <w:pPr>
              <w:snapToGrid w:val="0"/>
              <w:spacing w:line="320" w:lineRule="exact"/>
              <w:jc w:val="center"/>
              <w:rPr>
                <w:rFonts w:ascii="宋体" w:hAnsi="宋体" w:cs="宋体"/>
                <w:sz w:val="24"/>
                <w:highlight w:val="none"/>
              </w:rPr>
            </w:pPr>
          </w:p>
        </w:tc>
        <w:tc>
          <w:tcPr>
            <w:tcW w:w="708" w:type="dxa"/>
            <w:vAlign w:val="center"/>
          </w:tcPr>
          <w:p w14:paraId="0C72E5C6">
            <w:pPr>
              <w:snapToGrid w:val="0"/>
              <w:spacing w:line="320" w:lineRule="exact"/>
              <w:jc w:val="center"/>
              <w:rPr>
                <w:rFonts w:ascii="宋体" w:hAnsi="宋体" w:cs="宋体"/>
                <w:sz w:val="24"/>
                <w:highlight w:val="none"/>
              </w:rPr>
            </w:pPr>
          </w:p>
        </w:tc>
        <w:tc>
          <w:tcPr>
            <w:tcW w:w="570" w:type="dxa"/>
            <w:vAlign w:val="center"/>
          </w:tcPr>
          <w:p w14:paraId="2EE59ECB">
            <w:pPr>
              <w:snapToGrid w:val="0"/>
              <w:spacing w:line="320" w:lineRule="exact"/>
              <w:jc w:val="center"/>
              <w:rPr>
                <w:rFonts w:ascii="宋体" w:hAnsi="宋体" w:cs="宋体"/>
                <w:sz w:val="24"/>
                <w:highlight w:val="none"/>
              </w:rPr>
            </w:pPr>
          </w:p>
        </w:tc>
        <w:tc>
          <w:tcPr>
            <w:tcW w:w="1064" w:type="dxa"/>
          </w:tcPr>
          <w:p w14:paraId="3A099EA0">
            <w:pPr>
              <w:snapToGrid w:val="0"/>
              <w:spacing w:line="320" w:lineRule="exact"/>
              <w:jc w:val="center"/>
              <w:rPr>
                <w:rFonts w:ascii="宋体" w:hAnsi="宋体" w:cs="宋体"/>
                <w:sz w:val="24"/>
                <w:highlight w:val="none"/>
              </w:rPr>
            </w:pPr>
          </w:p>
        </w:tc>
        <w:tc>
          <w:tcPr>
            <w:tcW w:w="898" w:type="dxa"/>
            <w:vAlign w:val="center"/>
          </w:tcPr>
          <w:p w14:paraId="1E17218A">
            <w:pPr>
              <w:snapToGrid w:val="0"/>
              <w:spacing w:line="320" w:lineRule="exact"/>
              <w:jc w:val="center"/>
              <w:rPr>
                <w:rFonts w:ascii="宋体" w:hAnsi="宋体" w:cs="宋体"/>
                <w:sz w:val="24"/>
                <w:highlight w:val="none"/>
              </w:rPr>
            </w:pPr>
          </w:p>
        </w:tc>
        <w:tc>
          <w:tcPr>
            <w:tcW w:w="892" w:type="dxa"/>
            <w:vAlign w:val="center"/>
          </w:tcPr>
          <w:p w14:paraId="786E748F">
            <w:pPr>
              <w:snapToGrid w:val="0"/>
              <w:spacing w:line="320" w:lineRule="exact"/>
              <w:jc w:val="center"/>
              <w:rPr>
                <w:rFonts w:ascii="宋体" w:hAnsi="宋体" w:cs="宋体"/>
                <w:sz w:val="24"/>
                <w:highlight w:val="none"/>
              </w:rPr>
            </w:pPr>
          </w:p>
        </w:tc>
      </w:tr>
    </w:tbl>
    <w:p w14:paraId="39513366">
      <w:pPr>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注：1. 设备、仪器按本项目相关需要的顺序填写；</w:t>
      </w:r>
    </w:p>
    <w:p w14:paraId="7B2D9FED">
      <w:pPr>
        <w:snapToGrid w:val="0"/>
        <w:spacing w:line="360" w:lineRule="exact"/>
        <w:ind w:firstLine="960" w:firstLineChars="400"/>
        <w:rPr>
          <w:rFonts w:ascii="宋体" w:hAnsi="宋体" w:cs="宋体"/>
          <w:sz w:val="24"/>
          <w:highlight w:val="none"/>
        </w:rPr>
      </w:pPr>
      <w:r>
        <w:rPr>
          <w:rFonts w:hint="eastAsia" w:ascii="宋体" w:hAnsi="宋体" w:cs="宋体"/>
          <w:sz w:val="24"/>
          <w:highlight w:val="none"/>
        </w:rPr>
        <w:t>2. 填写拟派于本项目相关的具体设备及仪器；</w:t>
      </w:r>
    </w:p>
    <w:p w14:paraId="205D3911">
      <w:pPr>
        <w:snapToGrid w:val="0"/>
        <w:spacing w:line="360" w:lineRule="exact"/>
        <w:ind w:firstLine="960" w:firstLineChars="400"/>
        <w:rPr>
          <w:rFonts w:ascii="宋体" w:hAnsi="宋体" w:cs="宋体"/>
          <w:sz w:val="24"/>
          <w:highlight w:val="none"/>
        </w:rPr>
      </w:pPr>
      <w:r>
        <w:rPr>
          <w:rFonts w:hint="eastAsia" w:ascii="宋体" w:hAnsi="宋体" w:cs="宋体"/>
          <w:sz w:val="24"/>
          <w:highlight w:val="none"/>
        </w:rPr>
        <w:t>3. 注明相关设备及仪器出厂日期、目前存放地点、承担工作等内容。</w:t>
      </w:r>
    </w:p>
    <w:p w14:paraId="3362FF4B">
      <w:pPr>
        <w:snapToGrid w:val="0"/>
        <w:spacing w:line="360" w:lineRule="exact"/>
        <w:ind w:firstLine="960" w:firstLineChars="400"/>
        <w:rPr>
          <w:rFonts w:ascii="宋体" w:hAnsi="宋体" w:cs="宋体"/>
          <w:sz w:val="24"/>
          <w:highlight w:val="none"/>
        </w:rPr>
      </w:pPr>
    </w:p>
    <w:p w14:paraId="77E8A9F9">
      <w:pPr>
        <w:snapToGrid w:val="0"/>
        <w:spacing w:line="360" w:lineRule="exact"/>
        <w:ind w:firstLine="960" w:firstLineChars="400"/>
        <w:rPr>
          <w:rFonts w:ascii="宋体" w:hAnsi="宋体" w:cs="宋体"/>
          <w:sz w:val="24"/>
          <w:highlight w:val="none"/>
        </w:rPr>
      </w:pPr>
    </w:p>
    <w:p w14:paraId="33CDAB78">
      <w:pPr>
        <w:snapToGrid w:val="0"/>
        <w:spacing w:line="453" w:lineRule="atLeast"/>
        <w:rPr>
          <w:rFonts w:ascii="宋体" w:hAnsi="宋体" w:cs="宋体"/>
          <w:bCs/>
          <w:sz w:val="24"/>
          <w:highlight w:val="none"/>
        </w:rPr>
      </w:pPr>
      <w:r>
        <w:rPr>
          <w:rFonts w:hint="eastAsia" w:ascii="宋体" w:hAnsi="宋体" w:cs="宋体"/>
          <w:bCs/>
          <w:sz w:val="24"/>
          <w:highlight w:val="none"/>
        </w:rPr>
        <w:t>供应商（盖章）：</w:t>
      </w:r>
    </w:p>
    <w:p w14:paraId="7437F7BA">
      <w:pPr>
        <w:snapToGrid w:val="0"/>
        <w:spacing w:line="453" w:lineRule="atLeast"/>
        <w:ind w:firstLine="480" w:firstLineChars="200"/>
        <w:rPr>
          <w:rFonts w:ascii="宋体" w:hAnsi="宋体" w:cs="宋体"/>
          <w:bCs/>
          <w:sz w:val="24"/>
          <w:highlight w:val="none"/>
        </w:rPr>
      </w:pPr>
    </w:p>
    <w:p w14:paraId="2227924F">
      <w:pPr>
        <w:snapToGrid w:val="0"/>
        <w:spacing w:line="453" w:lineRule="atLeast"/>
        <w:rPr>
          <w:rFonts w:ascii="宋体" w:hAnsi="宋体" w:cs="宋体"/>
          <w:bCs/>
          <w:sz w:val="24"/>
          <w:highlight w:val="none"/>
        </w:rPr>
      </w:pPr>
      <w:r>
        <w:rPr>
          <w:rFonts w:hint="eastAsia" w:ascii="宋体" w:hAnsi="宋体" w:cs="宋体"/>
          <w:bCs/>
          <w:sz w:val="24"/>
          <w:highlight w:val="none"/>
        </w:rPr>
        <w:t>法人代表人或委托代理人签字或盖章：</w:t>
      </w:r>
    </w:p>
    <w:p w14:paraId="63249E5D">
      <w:pPr>
        <w:snapToGrid w:val="0"/>
        <w:spacing w:line="453" w:lineRule="atLeast"/>
        <w:jc w:val="center"/>
        <w:rPr>
          <w:rFonts w:ascii="宋体" w:hAnsi="宋体" w:cs="宋体"/>
          <w:bCs/>
          <w:sz w:val="24"/>
          <w:highlight w:val="none"/>
        </w:rPr>
      </w:pPr>
    </w:p>
    <w:p w14:paraId="0EDC426F">
      <w:pPr>
        <w:jc w:val="right"/>
        <w:outlineLvl w:val="0"/>
        <w:rPr>
          <w:rFonts w:ascii="宋体" w:hAnsi="宋体" w:cs="宋体"/>
          <w:sz w:val="24"/>
          <w:highlight w:val="none"/>
        </w:rPr>
      </w:pPr>
      <w:r>
        <w:rPr>
          <w:rFonts w:hint="eastAsia" w:ascii="宋体" w:hAnsi="宋体" w:cs="宋体"/>
          <w:bCs/>
          <w:sz w:val="24"/>
          <w:highlight w:val="none"/>
        </w:rPr>
        <w:t>年  月</w:t>
      </w:r>
      <w:r>
        <w:rPr>
          <w:rFonts w:hint="eastAsia" w:ascii="宋体" w:hAnsi="宋体" w:cs="宋体"/>
          <w:sz w:val="24"/>
          <w:highlight w:val="none"/>
        </w:rPr>
        <w:t xml:space="preserve">  日    </w:t>
      </w:r>
    </w:p>
    <w:p w14:paraId="32ED5E56">
      <w:pPr>
        <w:jc w:val="center"/>
        <w:outlineLvl w:val="0"/>
        <w:rPr>
          <w:rFonts w:ascii="宋体" w:hAnsi="宋体" w:cs="宋体"/>
          <w:sz w:val="24"/>
          <w:highlight w:val="none"/>
        </w:rPr>
      </w:pPr>
    </w:p>
    <w:p w14:paraId="03BEA536">
      <w:pPr>
        <w:pStyle w:val="12"/>
        <w:spacing w:line="360" w:lineRule="auto"/>
        <w:ind w:right="86"/>
        <w:jc w:val="center"/>
        <w:outlineLvl w:val="0"/>
        <w:rPr>
          <w:rFonts w:hint="eastAsia" w:hAnsi="宋体" w:cs="宋体"/>
          <w:b/>
          <w:sz w:val="28"/>
          <w:szCs w:val="28"/>
          <w:highlight w:val="none"/>
          <w:lang w:val="en-US" w:eastAsia="zh-CN"/>
        </w:rPr>
      </w:pPr>
    </w:p>
    <w:p w14:paraId="45F3D0CD">
      <w:pPr>
        <w:rPr>
          <w:rFonts w:hint="eastAsia" w:ascii="宋体" w:hAnsi="宋体" w:cs="宋体"/>
          <w:b/>
          <w:bCs/>
          <w:sz w:val="24"/>
          <w:highlight w:val="none"/>
          <w:lang w:val="en-US" w:eastAsia="zh-CN"/>
        </w:rPr>
      </w:pPr>
    </w:p>
    <w:p w14:paraId="35467ABB">
      <w:pPr>
        <w:jc w:val="both"/>
        <w:rPr>
          <w:rFonts w:hint="eastAsia" w:ascii="宋体" w:hAnsi="宋体" w:cs="宋体"/>
          <w:b/>
          <w:bCs/>
          <w:sz w:val="24"/>
          <w:highlight w:val="none"/>
          <w:lang w:val="en-US" w:eastAsia="zh-CN"/>
        </w:rPr>
      </w:pPr>
    </w:p>
    <w:p w14:paraId="26B80D6F">
      <w:pPr>
        <w:ind w:firstLine="3373" w:firstLineChars="1400"/>
        <w:jc w:val="both"/>
        <w:rPr>
          <w:rFonts w:ascii="宋体" w:hAnsi="宋体" w:cs="宋体"/>
          <w:b/>
          <w:bCs/>
          <w:sz w:val="24"/>
          <w:highlight w:val="none"/>
        </w:rPr>
      </w:pPr>
      <w:r>
        <w:rPr>
          <w:rFonts w:hint="eastAsia" w:ascii="宋体" w:hAnsi="宋体" w:cs="宋体"/>
          <w:b/>
          <w:bCs/>
          <w:sz w:val="24"/>
          <w:highlight w:val="none"/>
          <w:lang w:val="en-US" w:eastAsia="zh-CN"/>
        </w:rPr>
        <w:t xml:space="preserve">  </w:t>
      </w:r>
      <w:r>
        <w:rPr>
          <w:rFonts w:hint="eastAsia" w:ascii="宋体" w:hAnsi="宋体" w:cs="宋体"/>
          <w:b/>
          <w:bCs/>
          <w:sz w:val="24"/>
          <w:highlight w:val="none"/>
        </w:rPr>
        <w:t>格式</w:t>
      </w:r>
      <w:r>
        <w:rPr>
          <w:rFonts w:hint="eastAsia" w:ascii="宋体" w:hAnsi="宋体" w:cs="宋体"/>
          <w:b/>
          <w:bCs/>
          <w:sz w:val="24"/>
          <w:highlight w:val="none"/>
          <w:lang w:val="en-US" w:eastAsia="zh-CN"/>
        </w:rPr>
        <w:t xml:space="preserve">14 </w:t>
      </w:r>
      <w:r>
        <w:rPr>
          <w:rFonts w:hint="eastAsia" w:ascii="宋体" w:hAnsi="宋体" w:cs="宋体"/>
          <w:b/>
          <w:bCs/>
          <w:sz w:val="24"/>
          <w:highlight w:val="none"/>
        </w:rPr>
        <w:t>中小企业声明函(服务)</w:t>
      </w:r>
    </w:p>
    <w:p w14:paraId="77DFDB5A">
      <w:pPr>
        <w:tabs>
          <w:tab w:val="left" w:pos="6300"/>
        </w:tabs>
        <w:snapToGrid w:val="0"/>
        <w:spacing w:line="500" w:lineRule="exact"/>
        <w:ind w:firstLine="720" w:firstLineChars="200"/>
        <w:jc w:val="center"/>
        <w:outlineLvl w:val="0"/>
        <w:rPr>
          <w:rFonts w:ascii="宋体" w:hAnsi="宋体" w:cs="宋体"/>
          <w:sz w:val="36"/>
          <w:szCs w:val="36"/>
          <w:highlight w:val="none"/>
        </w:rPr>
      </w:pPr>
    </w:p>
    <w:p w14:paraId="21D42FAC">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本公司（联合体）郑重声明，根据《政府采购促进中小企业发展管理办法》（财库﹝2020﹞46 号）的规定，本公司（联合体）参加</w:t>
      </w:r>
      <w:r>
        <w:rPr>
          <w:rFonts w:hint="eastAsia" w:ascii="宋体" w:hAnsi="宋体" w:eastAsia="宋体" w:cs="宋体"/>
          <w:color w:val="000000"/>
          <w:sz w:val="24"/>
          <w:highlight w:val="none"/>
          <w:u w:val="single"/>
        </w:rPr>
        <w:t xml:space="preserve"> （单位名称）</w:t>
      </w:r>
      <w:r>
        <w:rPr>
          <w:rFonts w:hint="eastAsia" w:ascii="宋体" w:hAnsi="宋体" w:eastAsia="宋体" w:cs="宋体"/>
          <w:color w:val="000000"/>
          <w:sz w:val="24"/>
          <w:highlight w:val="none"/>
        </w:rPr>
        <w:t xml:space="preserve"> 的</w:t>
      </w:r>
      <w:r>
        <w:rPr>
          <w:rFonts w:hint="eastAsia" w:ascii="宋体" w:hAnsi="宋体" w:eastAsia="宋体" w:cs="宋体"/>
          <w:color w:val="000000"/>
          <w:sz w:val="24"/>
          <w:highlight w:val="none"/>
          <w:u w:val="single"/>
        </w:rPr>
        <w:t xml:space="preserve"> （项目名称） </w:t>
      </w:r>
      <w:r>
        <w:rPr>
          <w:rFonts w:hint="eastAsia" w:ascii="宋体" w:hAnsi="宋体" w:eastAsia="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E410100">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color w:val="000000"/>
          <w:sz w:val="24"/>
          <w:highlight w:val="none"/>
          <w:u w:val="single"/>
        </w:rPr>
        <w:t xml:space="preserve">（标的名称） </w:t>
      </w:r>
      <w:r>
        <w:rPr>
          <w:rFonts w:hint="eastAsia" w:ascii="宋体" w:hAnsi="宋体" w:eastAsia="宋体" w:cs="宋体"/>
          <w:color w:val="000000"/>
          <w:sz w:val="24"/>
          <w:highlight w:val="none"/>
        </w:rPr>
        <w:t xml:space="preserve">，属于 </w:t>
      </w:r>
      <w:r>
        <w:rPr>
          <w:rFonts w:hint="eastAsia" w:ascii="宋体" w:hAnsi="宋体" w:eastAsia="宋体" w:cs="宋体"/>
          <w:color w:val="000000"/>
          <w:sz w:val="24"/>
          <w:highlight w:val="none"/>
          <w:u w:val="single"/>
        </w:rPr>
        <w:t>（</w:t>
      </w:r>
      <w:r>
        <w:rPr>
          <w:rFonts w:hint="eastAsia" w:ascii="宋体" w:hAnsi="宋体" w:cs="宋体"/>
          <w:color w:val="000000"/>
          <w:sz w:val="24"/>
          <w:highlight w:val="none"/>
          <w:u w:val="single"/>
          <w:lang w:val="en-US" w:eastAsia="zh-CN"/>
        </w:rPr>
        <w:t>其他未列明行业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；承建（承接）企业为 </w:t>
      </w:r>
      <w:r>
        <w:rPr>
          <w:rFonts w:hint="eastAsia" w:ascii="宋体" w:hAnsi="宋体" w:eastAsia="宋体" w:cs="宋体"/>
          <w:color w:val="000000"/>
          <w:sz w:val="24"/>
          <w:highlight w:val="none"/>
          <w:u w:val="single"/>
        </w:rPr>
        <w:t xml:space="preserve">（企业名称） </w:t>
      </w:r>
      <w:r>
        <w:rPr>
          <w:rFonts w:hint="eastAsia" w:ascii="宋体" w:hAnsi="宋体" w:eastAsia="宋体" w:cs="宋体"/>
          <w:color w:val="000000"/>
          <w:sz w:val="24"/>
          <w:highlight w:val="none"/>
        </w:rPr>
        <w:t>，从业人员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人，营业收入为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万元，资产总额为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 ，属于</w:t>
      </w:r>
      <w:r>
        <w:rPr>
          <w:rFonts w:hint="eastAsia" w:ascii="宋体" w:hAnsi="宋体" w:eastAsia="宋体" w:cs="宋体"/>
          <w:color w:val="000000"/>
          <w:sz w:val="24"/>
          <w:highlight w:val="none"/>
          <w:u w:val="single"/>
        </w:rPr>
        <w:t xml:space="preserve"> （中型企业、小型企业、微型企业） </w:t>
      </w:r>
      <w:r>
        <w:rPr>
          <w:rFonts w:hint="eastAsia" w:ascii="宋体" w:hAnsi="宋体" w:eastAsia="宋体" w:cs="宋体"/>
          <w:color w:val="000000"/>
          <w:sz w:val="24"/>
          <w:highlight w:val="none"/>
        </w:rPr>
        <w:t>；</w:t>
      </w:r>
    </w:p>
    <w:p w14:paraId="246A410A">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p w14:paraId="43A6FECF">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以上企业，不属于大企业的分支机构，不存在控股股东为大企业的情形，也不存在与大企业的负责人为同一人的情形。</w:t>
      </w:r>
    </w:p>
    <w:p w14:paraId="62DC78A7">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本企业对上述声明内容的真实性负责。如有虚假，将依法承担相应责任。</w:t>
      </w:r>
    </w:p>
    <w:p w14:paraId="771AAB95">
      <w:pPr>
        <w:spacing w:line="360" w:lineRule="auto"/>
        <w:ind w:firstLine="480"/>
        <w:rPr>
          <w:rFonts w:ascii="宋体" w:hAnsi="宋体" w:cs="宋体"/>
          <w:sz w:val="24"/>
          <w:highlight w:val="none"/>
        </w:rPr>
      </w:pPr>
    </w:p>
    <w:p w14:paraId="17AD243F">
      <w:pPr>
        <w:spacing w:line="360" w:lineRule="auto"/>
        <w:ind w:firstLine="5280" w:firstLineChars="2200"/>
        <w:rPr>
          <w:rFonts w:ascii="宋体" w:hAnsi="宋体" w:cs="宋体"/>
          <w:sz w:val="24"/>
          <w:highlight w:val="none"/>
        </w:rPr>
      </w:pPr>
      <w:r>
        <w:rPr>
          <w:rFonts w:hint="eastAsia" w:ascii="宋体" w:hAnsi="宋体" w:cs="宋体"/>
          <w:sz w:val="24"/>
          <w:highlight w:val="none"/>
        </w:rPr>
        <w:t>企业名称（盖章）：</w:t>
      </w:r>
    </w:p>
    <w:p w14:paraId="26AE6F09">
      <w:pPr>
        <w:pStyle w:val="12"/>
        <w:spacing w:line="360" w:lineRule="auto"/>
        <w:ind w:firstLine="480"/>
        <w:rPr>
          <w:rFonts w:hAnsi="宋体" w:cs="宋体"/>
          <w:sz w:val="24"/>
          <w:szCs w:val="24"/>
          <w:highlight w:val="none"/>
        </w:rPr>
      </w:pPr>
      <w:r>
        <w:rPr>
          <w:rFonts w:hint="eastAsia" w:hAnsi="宋体" w:cs="宋体"/>
          <w:sz w:val="24"/>
          <w:szCs w:val="24"/>
          <w:highlight w:val="none"/>
        </w:rPr>
        <w:t xml:space="preserve">                           </w:t>
      </w:r>
    </w:p>
    <w:p w14:paraId="13EAD4D5">
      <w:pPr>
        <w:pStyle w:val="12"/>
        <w:spacing w:line="360" w:lineRule="auto"/>
        <w:ind w:firstLine="5280" w:firstLineChars="2200"/>
        <w:rPr>
          <w:rFonts w:hint="default" w:ascii="宋体" w:hAnsi="宋体" w:eastAsia="宋体" w:cs="宋体"/>
          <w:b/>
          <w:bCs/>
          <w:sz w:val="24"/>
          <w:szCs w:val="24"/>
          <w:highlight w:val="none"/>
          <w:lang w:val="en-US"/>
        </w:rPr>
        <w:sectPr>
          <w:footerReference r:id="rId14" w:type="first"/>
          <w:headerReference r:id="rId12" w:type="default"/>
          <w:footerReference r:id="rId13" w:type="default"/>
          <w:pgSz w:w="11906" w:h="16838"/>
          <w:pgMar w:top="1440" w:right="1083" w:bottom="1440" w:left="1083" w:header="850" w:footer="992" w:gutter="0"/>
          <w:pgNumType w:fmt="decimal"/>
          <w:cols w:space="0" w:num="1"/>
          <w:titlePg/>
          <w:rtlGutter w:val="0"/>
          <w:docGrid w:linePitch="312" w:charSpace="0"/>
        </w:sectPr>
      </w:pPr>
      <w:r>
        <w:rPr>
          <w:rFonts w:hint="eastAsia" w:hAnsi="宋体" w:cs="宋体"/>
          <w:sz w:val="24"/>
          <w:szCs w:val="24"/>
          <w:highlight w:val="none"/>
        </w:rPr>
        <w:t>日期</w:t>
      </w:r>
      <w:r>
        <w:rPr>
          <w:rFonts w:hint="eastAsia" w:hAnsi="宋体" w:cs="宋体"/>
          <w:sz w:val="24"/>
          <w:szCs w:val="24"/>
          <w:highlight w:val="none"/>
          <w:lang w:eastAsia="zh-CN"/>
        </w:rPr>
        <w:t>：</w:t>
      </w:r>
      <w:r>
        <w:rPr>
          <w:rFonts w:hint="eastAsia" w:hAnsi="宋体" w:cs="宋体"/>
          <w:sz w:val="24"/>
          <w:szCs w:val="24"/>
          <w:highlight w:val="none"/>
          <w:lang w:val="en-US" w:eastAsia="zh-CN"/>
        </w:rPr>
        <w:t xml:space="preserve"> </w:t>
      </w:r>
    </w:p>
    <w:p w14:paraId="01FA149D">
      <w:pPr>
        <w:pStyle w:val="2"/>
        <w:spacing w:line="360" w:lineRule="auto"/>
        <w:jc w:val="center"/>
        <w:rPr>
          <w:rFonts w:hint="eastAsia" w:ascii="宋体" w:hAnsi="宋体" w:eastAsia="宋体" w:cs="宋体"/>
          <w:b/>
          <w:bCs/>
          <w:kern w:val="0"/>
          <w:sz w:val="36"/>
          <w:szCs w:val="36"/>
          <w:highlight w:val="none"/>
          <w:lang w:val="en-US" w:eastAsia="zh-CN" w:bidi="ar-SA"/>
        </w:rPr>
      </w:pPr>
      <w:bookmarkStart w:id="286" w:name="_Toc1249"/>
      <w:bookmarkStart w:id="287" w:name="_Toc14366"/>
      <w:bookmarkStart w:id="288" w:name="_Toc9162"/>
      <w:bookmarkStart w:id="289" w:name="_Toc32010"/>
      <w:r>
        <w:rPr>
          <w:rFonts w:hint="eastAsia" w:ascii="宋体" w:hAnsi="宋体" w:eastAsia="宋体" w:cs="宋体"/>
          <w:b/>
          <w:bCs/>
          <w:kern w:val="0"/>
          <w:sz w:val="36"/>
          <w:szCs w:val="36"/>
          <w:highlight w:val="none"/>
          <w:lang w:val="en-US" w:eastAsia="zh-CN" w:bidi="ar-SA"/>
        </w:rPr>
        <w:t>第六章、评审标准（综合评分法）</w:t>
      </w:r>
      <w:bookmarkEnd w:id="286"/>
      <w:bookmarkEnd w:id="287"/>
      <w:bookmarkEnd w:id="288"/>
      <w:bookmarkEnd w:id="289"/>
      <w:bookmarkStart w:id="290" w:name="_Toc246216304"/>
      <w:bookmarkStart w:id="291" w:name="_Toc246216281"/>
      <w:bookmarkStart w:id="292" w:name="_Toc245369914"/>
      <w:bookmarkStart w:id="293" w:name="_Toc243907641"/>
      <w:bookmarkStart w:id="294" w:name="_Toc246216439"/>
      <w:bookmarkStart w:id="295" w:name="_Toc243906411"/>
      <w:bookmarkStart w:id="296" w:name="_Toc243905166"/>
    </w:p>
    <w:bookmarkEnd w:id="290"/>
    <w:bookmarkEnd w:id="291"/>
    <w:bookmarkEnd w:id="292"/>
    <w:bookmarkEnd w:id="293"/>
    <w:bookmarkEnd w:id="294"/>
    <w:bookmarkEnd w:id="295"/>
    <w:bookmarkEnd w:id="296"/>
    <w:p w14:paraId="3EA62E07">
      <w:pPr>
        <w:spacing w:line="360" w:lineRule="auto"/>
        <w:rPr>
          <w:rFonts w:hint="eastAsia" w:ascii="宋体" w:hAnsi="宋体" w:eastAsia="宋体" w:cs="宋体"/>
          <w:b/>
          <w:sz w:val="30"/>
          <w:szCs w:val="30"/>
          <w:highlight w:val="none"/>
          <w:lang w:eastAsia="zh-CN"/>
        </w:rPr>
      </w:pPr>
      <w:r>
        <w:rPr>
          <w:rFonts w:hint="eastAsia" w:ascii="宋体" w:hAnsi="宋体" w:cs="宋体"/>
          <w:b/>
          <w:sz w:val="30"/>
          <w:szCs w:val="30"/>
          <w:highlight w:val="none"/>
        </w:rPr>
        <w:t>一、</w:t>
      </w:r>
      <w:r>
        <w:rPr>
          <w:rFonts w:hint="eastAsia" w:ascii="宋体" w:hAnsi="宋体" w:cs="宋体"/>
          <w:b/>
          <w:sz w:val="30"/>
          <w:szCs w:val="30"/>
          <w:highlight w:val="none"/>
          <w:lang w:eastAsia="zh-CN"/>
        </w:rPr>
        <w:t>初步评审</w:t>
      </w:r>
    </w:p>
    <w:p w14:paraId="7CEF5BF8">
      <w:pPr>
        <w:spacing w:line="360" w:lineRule="auto"/>
        <w:rPr>
          <w:rFonts w:hint="eastAsia" w:ascii="宋体" w:hAnsi="宋体" w:cs="宋体"/>
          <w:b/>
          <w:bCs/>
          <w:sz w:val="28"/>
          <w:szCs w:val="21"/>
          <w:highlight w:val="none"/>
        </w:rPr>
      </w:pPr>
      <w:r>
        <w:rPr>
          <w:rFonts w:hint="eastAsia" w:ascii="宋体" w:hAnsi="宋体" w:cs="宋体"/>
          <w:b/>
          <w:bCs/>
          <w:sz w:val="28"/>
          <w:szCs w:val="21"/>
          <w:highlight w:val="none"/>
        </w:rPr>
        <w:t>1、资格性审查</w:t>
      </w:r>
    </w:p>
    <w:tbl>
      <w:tblPr>
        <w:tblStyle w:val="2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91"/>
        <w:gridCol w:w="2750"/>
        <w:gridCol w:w="4708"/>
      </w:tblGrid>
      <w:tr w14:paraId="7FBC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1" w:type="dxa"/>
            <w:vAlign w:val="center"/>
          </w:tcPr>
          <w:p w14:paraId="3228263B">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4441" w:type="dxa"/>
            <w:gridSpan w:val="2"/>
            <w:vAlign w:val="center"/>
          </w:tcPr>
          <w:p w14:paraId="49AC5814">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检查因素</w:t>
            </w:r>
          </w:p>
        </w:tc>
        <w:tc>
          <w:tcPr>
            <w:tcW w:w="4708" w:type="dxa"/>
            <w:vAlign w:val="center"/>
          </w:tcPr>
          <w:p w14:paraId="533909AA">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检查内容</w:t>
            </w:r>
          </w:p>
        </w:tc>
      </w:tr>
      <w:tr w14:paraId="365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31" w:type="dxa"/>
            <w:vMerge w:val="restart"/>
            <w:vAlign w:val="center"/>
          </w:tcPr>
          <w:p w14:paraId="1A1BA12D">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p>
        </w:tc>
        <w:tc>
          <w:tcPr>
            <w:tcW w:w="1691" w:type="dxa"/>
            <w:vMerge w:val="restart"/>
            <w:vAlign w:val="center"/>
          </w:tcPr>
          <w:p w14:paraId="0A765CA6">
            <w:pPr>
              <w:bidi w:val="0"/>
              <w:jc w:val="center"/>
              <w:rPr>
                <w:highlight w:val="none"/>
                <w:lang w:val="zh-CN" w:eastAsia="zh-CN"/>
              </w:rPr>
            </w:pPr>
            <w:r>
              <w:rPr>
                <w:rFonts w:hint="eastAsia" w:ascii="宋体" w:hAnsi="宋体" w:eastAsia="宋体" w:cs="宋体"/>
                <w:sz w:val="24"/>
                <w:szCs w:val="24"/>
                <w:highlight w:val="none"/>
              </w:rPr>
              <w:t>《中华人民共和国政府采购法》第二十二条规定</w:t>
            </w:r>
          </w:p>
        </w:tc>
        <w:tc>
          <w:tcPr>
            <w:tcW w:w="2750" w:type="dxa"/>
            <w:vAlign w:val="center"/>
          </w:tcPr>
          <w:p w14:paraId="6FCC9168">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具有独立承担民事责任的能力；</w:t>
            </w:r>
          </w:p>
        </w:tc>
        <w:tc>
          <w:tcPr>
            <w:tcW w:w="4708" w:type="dxa"/>
            <w:vAlign w:val="center"/>
          </w:tcPr>
          <w:p w14:paraId="6C5E4EE0">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r>
              <w:rPr>
                <w:rStyle w:val="27"/>
                <w:rFonts w:hint="eastAsia" w:cs="宋体"/>
                <w:b w:val="0"/>
                <w:bCs/>
                <w:color w:val="auto"/>
                <w:sz w:val="24"/>
                <w:highlight w:val="none"/>
              </w:rPr>
              <w:t>三证合一营业执照（副本）或事业单位法人证书（副本）复印件</w:t>
            </w:r>
          </w:p>
        </w:tc>
      </w:tr>
      <w:tr w14:paraId="58B8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vMerge w:val="continue"/>
            <w:vAlign w:val="center"/>
          </w:tcPr>
          <w:p w14:paraId="22FD53E3">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p>
        </w:tc>
        <w:tc>
          <w:tcPr>
            <w:tcW w:w="1691" w:type="dxa"/>
            <w:vMerge w:val="continue"/>
            <w:vAlign w:val="center"/>
          </w:tcPr>
          <w:p w14:paraId="7F30F6F0">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p>
        </w:tc>
        <w:tc>
          <w:tcPr>
            <w:tcW w:w="2750" w:type="dxa"/>
            <w:vAlign w:val="center"/>
          </w:tcPr>
          <w:p w14:paraId="2CFB8AF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tc>
        <w:tc>
          <w:tcPr>
            <w:tcW w:w="4708" w:type="dxa"/>
            <w:vAlign w:val="center"/>
          </w:tcPr>
          <w:p w14:paraId="1045A82E">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提供（202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或202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年度）财务会计报告或企业财务报表（至少包括包资产负债表）或基本开户银行出具的资信证明。供应商注册时间截至响应文件递交截止日不足一年的，也可提供在相关主管部门备案的公司章程复印件</w:t>
            </w:r>
          </w:p>
        </w:tc>
      </w:tr>
      <w:tr w14:paraId="6262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31" w:type="dxa"/>
            <w:vMerge w:val="continue"/>
            <w:vAlign w:val="center"/>
          </w:tcPr>
          <w:p w14:paraId="167B72FA">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p>
        </w:tc>
        <w:tc>
          <w:tcPr>
            <w:tcW w:w="1691" w:type="dxa"/>
            <w:vMerge w:val="continue"/>
            <w:vAlign w:val="center"/>
          </w:tcPr>
          <w:p w14:paraId="6702107A">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p>
        </w:tc>
        <w:tc>
          <w:tcPr>
            <w:tcW w:w="2750" w:type="dxa"/>
            <w:vAlign w:val="center"/>
          </w:tcPr>
          <w:p w14:paraId="55D4AFE0">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4708" w:type="dxa"/>
            <w:vAlign w:val="center"/>
          </w:tcPr>
          <w:p w14:paraId="5E126FC9">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w:t>
            </w:r>
            <w:r>
              <w:rPr>
                <w:rStyle w:val="27"/>
                <w:rFonts w:hint="eastAsia" w:ascii="宋体" w:hAnsi="宋体" w:eastAsia="宋体" w:cs="宋体"/>
                <w:b w:val="0"/>
                <w:bCs/>
                <w:color w:val="auto"/>
                <w:sz w:val="24"/>
                <w:highlight w:val="none"/>
              </w:rPr>
              <w:t>具有履行合同所必需的设备和专业技术能力的承诺书</w:t>
            </w:r>
            <w:r>
              <w:rPr>
                <w:rFonts w:hint="eastAsia" w:ascii="宋体" w:hAnsi="宋体" w:eastAsia="宋体" w:cs="宋体"/>
                <w:color w:val="auto"/>
                <w:kern w:val="0"/>
                <w:sz w:val="24"/>
                <w:highlight w:val="none"/>
              </w:rPr>
              <w:t>”，</w:t>
            </w:r>
            <w:r>
              <w:rPr>
                <w:rStyle w:val="27"/>
                <w:rFonts w:hint="eastAsia" w:ascii="宋体" w:hAnsi="宋体" w:eastAsia="宋体" w:cs="宋体"/>
                <w:b w:val="0"/>
                <w:bCs/>
                <w:color w:val="auto"/>
                <w:sz w:val="24"/>
                <w:highlight w:val="none"/>
              </w:rPr>
              <w:t xml:space="preserve">格式见“第五章  </w:t>
            </w:r>
            <w:r>
              <w:rPr>
                <w:rStyle w:val="27"/>
                <w:rFonts w:hint="eastAsia" w:ascii="宋体" w:hAnsi="宋体" w:eastAsia="宋体" w:cs="宋体"/>
                <w:b w:val="0"/>
                <w:bCs/>
                <w:color w:val="auto"/>
                <w:sz w:val="24"/>
                <w:highlight w:val="none"/>
                <w:lang w:eastAsia="zh-CN"/>
              </w:rPr>
              <w:t>响应</w:t>
            </w:r>
            <w:r>
              <w:rPr>
                <w:rStyle w:val="27"/>
                <w:rFonts w:hint="eastAsia" w:ascii="宋体" w:hAnsi="宋体" w:eastAsia="宋体" w:cs="宋体"/>
                <w:b w:val="0"/>
                <w:bCs/>
                <w:color w:val="auto"/>
                <w:sz w:val="24"/>
                <w:highlight w:val="none"/>
              </w:rPr>
              <w:t>文件格式（</w:t>
            </w:r>
            <w:r>
              <w:rPr>
                <w:rStyle w:val="27"/>
                <w:rFonts w:hint="eastAsia" w:ascii="宋体" w:hAnsi="宋体" w:eastAsia="宋体" w:cs="宋体"/>
                <w:b w:val="0"/>
                <w:bCs/>
                <w:color w:val="auto"/>
                <w:sz w:val="24"/>
                <w:highlight w:val="none"/>
                <w:lang w:val="en-US" w:eastAsia="zh-CN"/>
              </w:rPr>
              <w:t>7</w:t>
            </w:r>
            <w:r>
              <w:rPr>
                <w:rStyle w:val="27"/>
                <w:rFonts w:hint="eastAsia" w:ascii="宋体" w:hAnsi="宋体" w:eastAsia="宋体" w:cs="宋体"/>
                <w:b w:val="0"/>
                <w:bCs/>
                <w:color w:val="auto"/>
                <w:sz w:val="24"/>
                <w:highlight w:val="none"/>
              </w:rPr>
              <w:t>）”</w:t>
            </w:r>
          </w:p>
        </w:tc>
      </w:tr>
      <w:tr w14:paraId="76A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31" w:type="dxa"/>
            <w:vMerge w:val="continue"/>
            <w:vAlign w:val="center"/>
          </w:tcPr>
          <w:p w14:paraId="5716EAA6">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p>
        </w:tc>
        <w:tc>
          <w:tcPr>
            <w:tcW w:w="1691" w:type="dxa"/>
            <w:vMerge w:val="continue"/>
            <w:vAlign w:val="center"/>
          </w:tcPr>
          <w:p w14:paraId="676890EA">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kern w:val="0"/>
                <w:sz w:val="24"/>
                <w:highlight w:val="none"/>
                <w:lang w:val="zh-CN"/>
              </w:rPr>
            </w:pPr>
          </w:p>
        </w:tc>
        <w:tc>
          <w:tcPr>
            <w:tcW w:w="2750" w:type="dxa"/>
            <w:vAlign w:val="center"/>
          </w:tcPr>
          <w:p w14:paraId="30BBA92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tc>
        <w:tc>
          <w:tcPr>
            <w:tcW w:w="4708" w:type="dxa"/>
            <w:vAlign w:val="center"/>
          </w:tcPr>
          <w:p w14:paraId="48154C17">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eastAsia="宋体" w:cs="宋体"/>
                <w:color w:val="auto"/>
                <w:kern w:val="0"/>
                <w:sz w:val="24"/>
                <w:highlight w:val="none"/>
                <w:lang w:val="zh-CN"/>
              </w:rPr>
            </w:pPr>
            <w:r>
              <w:rPr>
                <w:rStyle w:val="27"/>
                <w:rFonts w:hint="eastAsia" w:ascii="宋体" w:hAnsi="宋体" w:cs="宋体"/>
                <w:b w:val="0"/>
                <w:bCs/>
                <w:color w:val="auto"/>
                <w:sz w:val="24"/>
                <w:highlight w:val="none"/>
                <w:lang w:val="en-US" w:eastAsia="zh-CN"/>
              </w:rPr>
              <w:t>投标截止前6个月内任意一个月</w:t>
            </w:r>
            <w:r>
              <w:rPr>
                <w:rStyle w:val="27"/>
                <w:rFonts w:hint="eastAsia" w:ascii="宋体" w:hAnsi="宋体" w:eastAsia="宋体" w:cs="宋体"/>
                <w:b w:val="0"/>
                <w:bCs/>
                <w:color w:val="auto"/>
                <w:sz w:val="24"/>
                <w:highlight w:val="none"/>
                <w:lang w:eastAsia="zh-CN"/>
              </w:rPr>
              <w:t>依法缴纳税收和社会保障资金的良好记录的证明材料（附复印件）</w:t>
            </w:r>
            <w:r>
              <w:rPr>
                <w:rStyle w:val="27"/>
                <w:rFonts w:hint="eastAsia" w:ascii="宋体" w:hAnsi="宋体" w:cs="宋体"/>
                <w:b w:val="0"/>
                <w:bCs/>
                <w:color w:val="auto"/>
                <w:sz w:val="24"/>
                <w:highlight w:val="none"/>
                <w:lang w:eastAsia="zh-CN"/>
              </w:rPr>
              <w:t>。</w:t>
            </w:r>
          </w:p>
        </w:tc>
      </w:tr>
      <w:tr w14:paraId="2F0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31" w:type="dxa"/>
            <w:vMerge w:val="continue"/>
            <w:vAlign w:val="center"/>
          </w:tcPr>
          <w:p w14:paraId="6E110FA5">
            <w:pPr>
              <w:keepNext w:val="0"/>
              <w:keepLines w:val="0"/>
              <w:pageBreakBefore w:val="0"/>
              <w:widowControl w:val="0"/>
              <w:kinsoku/>
              <w:overflowPunct/>
              <w:topLinePunct w:val="0"/>
              <w:autoSpaceDE/>
              <w:autoSpaceDN/>
              <w:bidi w:val="0"/>
              <w:adjustRightInd/>
              <w:snapToGrid/>
              <w:spacing w:line="312" w:lineRule="auto"/>
              <w:jc w:val="center"/>
              <w:textAlignment w:val="auto"/>
              <w:rPr>
                <w:rFonts w:ascii="宋体" w:hAnsi="宋体" w:cs="宋体"/>
                <w:color w:val="auto"/>
                <w:kern w:val="0"/>
                <w:sz w:val="24"/>
                <w:highlight w:val="none"/>
                <w:lang w:val="zh-CN"/>
              </w:rPr>
            </w:pPr>
          </w:p>
        </w:tc>
        <w:tc>
          <w:tcPr>
            <w:tcW w:w="1691" w:type="dxa"/>
            <w:vMerge w:val="continue"/>
            <w:vAlign w:val="center"/>
          </w:tcPr>
          <w:p w14:paraId="40643F14">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s="宋体"/>
                <w:color w:val="auto"/>
                <w:sz w:val="24"/>
                <w:highlight w:val="none"/>
              </w:rPr>
            </w:pPr>
          </w:p>
        </w:tc>
        <w:tc>
          <w:tcPr>
            <w:tcW w:w="2750" w:type="dxa"/>
            <w:vAlign w:val="center"/>
          </w:tcPr>
          <w:p w14:paraId="32081D31">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tc>
        <w:tc>
          <w:tcPr>
            <w:tcW w:w="4708" w:type="dxa"/>
            <w:vAlign w:val="center"/>
          </w:tcPr>
          <w:p w14:paraId="6F32802A">
            <w:pPr>
              <w:keepNext w:val="0"/>
              <w:keepLines w:val="0"/>
              <w:pageBreakBefore w:val="0"/>
              <w:widowControl w:val="0"/>
              <w:kinsoku/>
              <w:overflowPunct/>
              <w:topLinePunct w:val="0"/>
              <w:autoSpaceDE/>
              <w:autoSpaceDN/>
              <w:bidi w:val="0"/>
              <w:adjustRightInd/>
              <w:snapToGrid/>
              <w:spacing w:line="312" w:lineRule="auto"/>
              <w:textAlignment w:val="auto"/>
              <w:rPr>
                <w:rStyle w:val="27"/>
                <w:rFonts w:hint="eastAsia" w:ascii="宋体" w:hAnsi="宋体" w:eastAsia="宋体" w:cs="宋体"/>
                <w:b w:val="0"/>
                <w:bCs/>
                <w:color w:val="auto"/>
                <w:sz w:val="24"/>
                <w:highlight w:val="none"/>
              </w:rPr>
            </w:pPr>
            <w:r>
              <w:rPr>
                <w:rStyle w:val="27"/>
                <w:rFonts w:hint="eastAsia" w:ascii="宋体" w:hAnsi="宋体" w:eastAsia="宋体" w:cs="宋体"/>
                <w:b w:val="0"/>
                <w:bCs/>
                <w:color w:val="auto"/>
                <w:sz w:val="24"/>
                <w:highlight w:val="none"/>
              </w:rPr>
              <w:t xml:space="preserve">提供“无重大违法记录承诺书”，格式见“第五章  </w:t>
            </w:r>
            <w:r>
              <w:rPr>
                <w:rStyle w:val="27"/>
                <w:rFonts w:hint="eastAsia" w:ascii="宋体" w:hAnsi="宋体" w:eastAsia="宋体" w:cs="宋体"/>
                <w:b w:val="0"/>
                <w:bCs/>
                <w:color w:val="auto"/>
                <w:sz w:val="24"/>
                <w:highlight w:val="none"/>
                <w:lang w:eastAsia="zh-CN"/>
              </w:rPr>
              <w:t>响应</w:t>
            </w:r>
            <w:r>
              <w:rPr>
                <w:rStyle w:val="27"/>
                <w:rFonts w:hint="eastAsia" w:ascii="宋体" w:hAnsi="宋体" w:eastAsia="宋体" w:cs="宋体"/>
                <w:b w:val="0"/>
                <w:bCs/>
                <w:color w:val="auto"/>
                <w:sz w:val="24"/>
                <w:highlight w:val="none"/>
              </w:rPr>
              <w:t>文件格式（</w:t>
            </w:r>
            <w:r>
              <w:rPr>
                <w:rStyle w:val="27"/>
                <w:rFonts w:hint="eastAsia" w:ascii="宋体" w:hAnsi="宋体" w:eastAsia="宋体" w:cs="宋体"/>
                <w:b w:val="0"/>
                <w:bCs/>
                <w:color w:val="auto"/>
                <w:sz w:val="24"/>
                <w:highlight w:val="none"/>
                <w:lang w:val="en-US" w:eastAsia="zh-CN"/>
              </w:rPr>
              <w:t>6</w:t>
            </w:r>
            <w:r>
              <w:rPr>
                <w:rStyle w:val="27"/>
                <w:rFonts w:hint="eastAsia" w:ascii="宋体" w:hAnsi="宋体" w:eastAsia="宋体" w:cs="宋体"/>
                <w:b w:val="0"/>
                <w:bCs/>
                <w:color w:val="auto"/>
                <w:sz w:val="24"/>
                <w:highlight w:val="none"/>
              </w:rPr>
              <w:t>）”</w:t>
            </w:r>
          </w:p>
        </w:tc>
      </w:tr>
      <w:tr w14:paraId="7713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1" w:type="dxa"/>
            <w:vAlign w:val="center"/>
          </w:tcPr>
          <w:p w14:paraId="1C47667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4441" w:type="dxa"/>
            <w:gridSpan w:val="2"/>
            <w:vAlign w:val="center"/>
          </w:tcPr>
          <w:p w14:paraId="7219359F">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bCs/>
                <w:color w:val="auto"/>
                <w:kern w:val="0"/>
                <w:sz w:val="24"/>
                <w:szCs w:val="22"/>
                <w:highlight w:val="none"/>
                <w:lang w:val="en-US" w:eastAsia="zh-Hans" w:bidi="ar-SA"/>
              </w:rPr>
            </w:pPr>
            <w:r>
              <w:rPr>
                <w:rFonts w:hint="eastAsia" w:ascii="宋体" w:hAnsi="宋体" w:cs="宋体"/>
                <w:bCs/>
                <w:color w:val="auto"/>
                <w:kern w:val="0"/>
                <w:sz w:val="24"/>
                <w:szCs w:val="22"/>
                <w:highlight w:val="none"/>
                <w:lang w:eastAsia="zh-Hans"/>
              </w:rPr>
              <w:t>供应商为</w:t>
            </w:r>
            <w:r>
              <w:rPr>
                <w:rFonts w:hint="eastAsia" w:ascii="宋体" w:hAnsi="宋体" w:cs="宋体"/>
                <w:bCs/>
                <w:color w:val="auto"/>
                <w:kern w:val="0"/>
                <w:sz w:val="24"/>
                <w:szCs w:val="22"/>
                <w:highlight w:val="none"/>
                <w:lang w:val="en-US" w:eastAsia="zh-CN"/>
              </w:rPr>
              <w:t>中小</w:t>
            </w:r>
            <w:r>
              <w:rPr>
                <w:rFonts w:hint="eastAsia" w:ascii="宋体" w:hAnsi="宋体" w:cs="宋体"/>
                <w:bCs/>
                <w:color w:val="auto"/>
                <w:kern w:val="0"/>
                <w:sz w:val="24"/>
                <w:szCs w:val="22"/>
                <w:highlight w:val="none"/>
                <w:lang w:eastAsia="zh-Hans"/>
              </w:rPr>
              <w:t>企业</w:t>
            </w:r>
          </w:p>
        </w:tc>
        <w:tc>
          <w:tcPr>
            <w:tcW w:w="4708" w:type="dxa"/>
            <w:vAlign w:val="center"/>
          </w:tcPr>
          <w:p w14:paraId="316ADAF9">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宋体" w:hAnsi="宋体" w:cs="宋体"/>
                <w:color w:val="auto"/>
                <w:kern w:val="0"/>
                <w:sz w:val="24"/>
                <w:szCs w:val="24"/>
                <w:highlight w:val="none"/>
                <w:lang w:val="en-US" w:eastAsia="zh-Hans" w:bidi="ar-SA"/>
              </w:rPr>
            </w:pPr>
            <w:r>
              <w:rPr>
                <w:rFonts w:hint="eastAsia" w:ascii="宋体" w:hAnsi="宋体" w:cs="宋体"/>
                <w:color w:val="auto"/>
                <w:kern w:val="0"/>
                <w:sz w:val="24"/>
                <w:highlight w:val="none"/>
                <w:lang w:eastAsia="zh-Hans"/>
              </w:rPr>
              <w:t>根据采购文件要求，提供“中小企业声明函”</w:t>
            </w:r>
          </w:p>
        </w:tc>
      </w:tr>
    </w:tbl>
    <w:p w14:paraId="1A8F3F04">
      <w:pPr>
        <w:spacing w:line="360" w:lineRule="auto"/>
        <w:rPr>
          <w:rFonts w:hint="eastAsia" w:ascii="宋体" w:hAnsi="宋体" w:cs="宋体"/>
          <w:b/>
          <w:bCs/>
          <w:sz w:val="28"/>
          <w:szCs w:val="21"/>
          <w:highlight w:val="none"/>
        </w:rPr>
      </w:pPr>
    </w:p>
    <w:p w14:paraId="46DBB859">
      <w:pPr>
        <w:rPr>
          <w:rFonts w:hint="eastAsia" w:ascii="宋体" w:hAnsi="宋体" w:cs="宋体"/>
          <w:b/>
          <w:bCs/>
          <w:sz w:val="28"/>
          <w:szCs w:val="21"/>
          <w:highlight w:val="none"/>
        </w:rPr>
      </w:pPr>
      <w:r>
        <w:rPr>
          <w:rFonts w:hint="eastAsia" w:ascii="宋体" w:hAnsi="宋体" w:cs="宋体"/>
          <w:b/>
          <w:bCs/>
          <w:sz w:val="28"/>
          <w:szCs w:val="21"/>
          <w:highlight w:val="none"/>
        </w:rPr>
        <w:br w:type="page"/>
      </w:r>
    </w:p>
    <w:p w14:paraId="2B6D6B1E">
      <w:pPr>
        <w:spacing w:line="360" w:lineRule="auto"/>
        <w:rPr>
          <w:rFonts w:hint="eastAsia" w:ascii="宋体" w:hAnsi="宋体" w:cs="宋体"/>
          <w:b/>
          <w:bCs/>
          <w:sz w:val="28"/>
          <w:szCs w:val="21"/>
          <w:highlight w:val="none"/>
        </w:rPr>
      </w:pPr>
      <w:r>
        <w:rPr>
          <w:rFonts w:hint="eastAsia" w:ascii="宋体" w:hAnsi="宋体" w:cs="宋体"/>
          <w:b/>
          <w:bCs/>
          <w:sz w:val="28"/>
          <w:szCs w:val="21"/>
          <w:highlight w:val="none"/>
        </w:rPr>
        <w:t>2、符合性审查</w:t>
      </w:r>
    </w:p>
    <w:tbl>
      <w:tblPr>
        <w:tblStyle w:val="2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66"/>
        <w:gridCol w:w="2884"/>
        <w:gridCol w:w="4764"/>
      </w:tblGrid>
      <w:tr w14:paraId="770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0" w:type="dxa"/>
            <w:vAlign w:val="center"/>
          </w:tcPr>
          <w:p w14:paraId="595129D0">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4450" w:type="dxa"/>
            <w:gridSpan w:val="2"/>
            <w:vAlign w:val="center"/>
          </w:tcPr>
          <w:p w14:paraId="57D0A71C">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4764" w:type="dxa"/>
            <w:vAlign w:val="center"/>
          </w:tcPr>
          <w:p w14:paraId="167D4CD5">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评审标准</w:t>
            </w:r>
          </w:p>
        </w:tc>
      </w:tr>
      <w:tr w14:paraId="21ED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0" w:type="dxa"/>
            <w:vMerge w:val="restart"/>
            <w:vAlign w:val="center"/>
          </w:tcPr>
          <w:p w14:paraId="6E4D8500">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1566" w:type="dxa"/>
            <w:vMerge w:val="restart"/>
            <w:vAlign w:val="center"/>
          </w:tcPr>
          <w:p w14:paraId="6E19C342">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有效性审查</w:t>
            </w:r>
          </w:p>
        </w:tc>
        <w:tc>
          <w:tcPr>
            <w:tcW w:w="2884" w:type="dxa"/>
            <w:vAlign w:val="center"/>
          </w:tcPr>
          <w:p w14:paraId="62165B3E">
            <w:pPr>
              <w:spacing w:line="288" w:lineRule="auto"/>
              <w:rPr>
                <w:rFonts w:hint="eastAsia" w:ascii="宋体" w:hAnsi="宋体" w:cs="宋体"/>
                <w:kern w:val="0"/>
                <w:sz w:val="24"/>
                <w:szCs w:val="24"/>
                <w:highlight w:val="none"/>
              </w:rPr>
            </w:pPr>
            <w:r>
              <w:rPr>
                <w:rFonts w:hint="eastAsia" w:ascii="宋体" w:hAnsi="宋体" w:cs="宋体"/>
                <w:sz w:val="24"/>
                <w:szCs w:val="24"/>
                <w:highlight w:val="none"/>
                <w:lang w:val="zh-CN"/>
              </w:rPr>
              <w:t>响应文件</w:t>
            </w:r>
            <w:r>
              <w:rPr>
                <w:rFonts w:hint="eastAsia" w:ascii="宋体" w:hAnsi="宋体" w:cs="宋体"/>
                <w:sz w:val="24"/>
                <w:szCs w:val="24"/>
                <w:highlight w:val="none"/>
              </w:rPr>
              <w:t>签署</w:t>
            </w:r>
          </w:p>
        </w:tc>
        <w:tc>
          <w:tcPr>
            <w:tcW w:w="4764" w:type="dxa"/>
            <w:vAlign w:val="center"/>
          </w:tcPr>
          <w:p w14:paraId="7A75ACD9">
            <w:pPr>
              <w:spacing w:line="288" w:lineRule="auto"/>
              <w:rPr>
                <w:rFonts w:hint="eastAsia" w:ascii="宋体" w:hAnsi="宋体" w:cs="宋体"/>
                <w:kern w:val="0"/>
                <w:sz w:val="24"/>
                <w:szCs w:val="24"/>
                <w:highlight w:val="none"/>
              </w:rPr>
            </w:pPr>
            <w:r>
              <w:rPr>
                <w:rFonts w:hint="eastAsia" w:ascii="宋体" w:hAnsi="宋体" w:cs="仿宋_GB2312"/>
                <w:sz w:val="24"/>
                <w:highlight w:val="none"/>
                <w:lang w:val="zh-CN"/>
              </w:rPr>
              <w:t>响应文件</w:t>
            </w:r>
            <w:r>
              <w:rPr>
                <w:rFonts w:hint="eastAsia" w:ascii="宋体" w:hAnsi="宋体"/>
                <w:sz w:val="24"/>
                <w:highlight w:val="none"/>
              </w:rPr>
              <w:t>中法定代表人或其授权代表人的签字齐全。</w:t>
            </w:r>
          </w:p>
        </w:tc>
      </w:tr>
      <w:tr w14:paraId="3B9F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90" w:type="dxa"/>
            <w:vMerge w:val="continue"/>
            <w:vAlign w:val="center"/>
          </w:tcPr>
          <w:p w14:paraId="3813E01C">
            <w:pPr>
              <w:spacing w:line="288" w:lineRule="auto"/>
              <w:jc w:val="center"/>
              <w:rPr>
                <w:rFonts w:hint="eastAsia" w:ascii="宋体" w:hAnsi="宋体" w:cs="宋体"/>
                <w:kern w:val="0"/>
                <w:sz w:val="24"/>
                <w:szCs w:val="24"/>
                <w:highlight w:val="none"/>
              </w:rPr>
            </w:pPr>
          </w:p>
        </w:tc>
        <w:tc>
          <w:tcPr>
            <w:tcW w:w="1566" w:type="dxa"/>
            <w:vMerge w:val="continue"/>
            <w:vAlign w:val="center"/>
          </w:tcPr>
          <w:p w14:paraId="69B0EBFF">
            <w:pPr>
              <w:spacing w:line="288" w:lineRule="auto"/>
              <w:jc w:val="center"/>
              <w:rPr>
                <w:rFonts w:hint="eastAsia" w:ascii="宋体" w:hAnsi="宋体" w:cs="宋体"/>
                <w:kern w:val="0"/>
                <w:sz w:val="24"/>
                <w:szCs w:val="24"/>
                <w:highlight w:val="none"/>
              </w:rPr>
            </w:pPr>
          </w:p>
        </w:tc>
        <w:tc>
          <w:tcPr>
            <w:tcW w:w="2884" w:type="dxa"/>
            <w:vAlign w:val="center"/>
          </w:tcPr>
          <w:p w14:paraId="491B0379">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rPr>
              <w:t>法定代表人身份证明及授权委托书</w:t>
            </w:r>
          </w:p>
        </w:tc>
        <w:tc>
          <w:tcPr>
            <w:tcW w:w="4764" w:type="dxa"/>
            <w:vAlign w:val="center"/>
          </w:tcPr>
          <w:p w14:paraId="64ED3AE5">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rPr>
              <w:t>法定代表人身份证明及授权委托书有效，且符合磋商文件规定的格式，签字或盖章齐全。</w:t>
            </w:r>
          </w:p>
        </w:tc>
      </w:tr>
      <w:tr w14:paraId="7F2A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0" w:type="dxa"/>
            <w:vMerge w:val="continue"/>
            <w:vAlign w:val="center"/>
          </w:tcPr>
          <w:p w14:paraId="499E1FA7">
            <w:pPr>
              <w:spacing w:line="288" w:lineRule="auto"/>
              <w:jc w:val="center"/>
              <w:rPr>
                <w:rFonts w:hint="eastAsia" w:ascii="宋体" w:hAnsi="宋体" w:cs="宋体"/>
                <w:kern w:val="0"/>
                <w:sz w:val="24"/>
                <w:szCs w:val="24"/>
                <w:highlight w:val="none"/>
              </w:rPr>
            </w:pPr>
          </w:p>
        </w:tc>
        <w:tc>
          <w:tcPr>
            <w:tcW w:w="1566" w:type="dxa"/>
            <w:vMerge w:val="continue"/>
            <w:vAlign w:val="center"/>
          </w:tcPr>
          <w:p w14:paraId="4E4BDA29">
            <w:pPr>
              <w:spacing w:line="288" w:lineRule="auto"/>
              <w:jc w:val="center"/>
              <w:rPr>
                <w:rFonts w:hint="eastAsia" w:ascii="宋体" w:hAnsi="宋体" w:cs="宋体"/>
                <w:kern w:val="0"/>
                <w:sz w:val="24"/>
                <w:szCs w:val="24"/>
                <w:highlight w:val="none"/>
              </w:rPr>
            </w:pPr>
          </w:p>
        </w:tc>
        <w:tc>
          <w:tcPr>
            <w:tcW w:w="2884" w:type="dxa"/>
            <w:vAlign w:val="center"/>
          </w:tcPr>
          <w:p w14:paraId="582AE3E5">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投标方案</w:t>
            </w:r>
          </w:p>
        </w:tc>
        <w:tc>
          <w:tcPr>
            <w:tcW w:w="4764" w:type="dxa"/>
            <w:vAlign w:val="center"/>
          </w:tcPr>
          <w:p w14:paraId="5412E843">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只能有一个方案投标。</w:t>
            </w:r>
          </w:p>
        </w:tc>
      </w:tr>
      <w:tr w14:paraId="6558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0" w:type="dxa"/>
            <w:vMerge w:val="continue"/>
            <w:vAlign w:val="center"/>
          </w:tcPr>
          <w:p w14:paraId="5AD89F11">
            <w:pPr>
              <w:spacing w:line="288" w:lineRule="auto"/>
              <w:jc w:val="center"/>
              <w:rPr>
                <w:rFonts w:hint="eastAsia" w:ascii="宋体" w:hAnsi="宋体" w:cs="宋体"/>
                <w:kern w:val="0"/>
                <w:sz w:val="24"/>
                <w:szCs w:val="24"/>
                <w:highlight w:val="none"/>
              </w:rPr>
            </w:pPr>
          </w:p>
        </w:tc>
        <w:tc>
          <w:tcPr>
            <w:tcW w:w="1566" w:type="dxa"/>
            <w:vMerge w:val="continue"/>
            <w:vAlign w:val="center"/>
          </w:tcPr>
          <w:p w14:paraId="5E1079AE">
            <w:pPr>
              <w:spacing w:line="288" w:lineRule="auto"/>
              <w:jc w:val="center"/>
              <w:rPr>
                <w:rFonts w:hint="eastAsia" w:ascii="宋体" w:hAnsi="宋体" w:cs="宋体"/>
                <w:kern w:val="0"/>
                <w:sz w:val="24"/>
                <w:szCs w:val="24"/>
                <w:highlight w:val="none"/>
              </w:rPr>
            </w:pPr>
          </w:p>
        </w:tc>
        <w:tc>
          <w:tcPr>
            <w:tcW w:w="2884" w:type="dxa"/>
            <w:vAlign w:val="center"/>
          </w:tcPr>
          <w:p w14:paraId="4FE6EA30">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报价唯一</w:t>
            </w:r>
          </w:p>
        </w:tc>
        <w:tc>
          <w:tcPr>
            <w:tcW w:w="4764" w:type="dxa"/>
            <w:vAlign w:val="center"/>
          </w:tcPr>
          <w:p w14:paraId="212CA96B">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只能有一个有效报价，不得提交选择性报价。</w:t>
            </w:r>
          </w:p>
        </w:tc>
      </w:tr>
      <w:tr w14:paraId="65F9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0" w:type="dxa"/>
            <w:vMerge w:val="continue"/>
            <w:vAlign w:val="center"/>
          </w:tcPr>
          <w:p w14:paraId="41164177">
            <w:pPr>
              <w:spacing w:line="288" w:lineRule="auto"/>
              <w:jc w:val="center"/>
              <w:rPr>
                <w:rFonts w:hint="eastAsia" w:ascii="宋体" w:hAnsi="宋体" w:cs="宋体"/>
                <w:kern w:val="0"/>
                <w:sz w:val="24"/>
                <w:szCs w:val="24"/>
                <w:highlight w:val="none"/>
              </w:rPr>
            </w:pPr>
          </w:p>
        </w:tc>
        <w:tc>
          <w:tcPr>
            <w:tcW w:w="1566" w:type="dxa"/>
            <w:vMerge w:val="continue"/>
            <w:vAlign w:val="center"/>
          </w:tcPr>
          <w:p w14:paraId="0AC63881">
            <w:pPr>
              <w:spacing w:line="288" w:lineRule="auto"/>
              <w:jc w:val="center"/>
              <w:rPr>
                <w:rFonts w:hint="eastAsia" w:ascii="宋体" w:hAnsi="宋体" w:cs="宋体"/>
                <w:kern w:val="0"/>
                <w:sz w:val="24"/>
                <w:szCs w:val="24"/>
                <w:highlight w:val="none"/>
              </w:rPr>
            </w:pPr>
          </w:p>
        </w:tc>
        <w:tc>
          <w:tcPr>
            <w:tcW w:w="2884" w:type="dxa"/>
            <w:vAlign w:val="center"/>
          </w:tcPr>
          <w:p w14:paraId="7C2AFF52">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响应文件内容</w:t>
            </w:r>
          </w:p>
        </w:tc>
        <w:tc>
          <w:tcPr>
            <w:tcW w:w="4764" w:type="dxa"/>
            <w:vAlign w:val="center"/>
          </w:tcPr>
          <w:p w14:paraId="590C88CA">
            <w:pPr>
              <w:spacing w:line="288"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响应文件内容齐全、无遗漏。</w:t>
            </w:r>
          </w:p>
        </w:tc>
      </w:tr>
      <w:tr w14:paraId="203D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0" w:type="dxa"/>
            <w:vMerge w:val="restart"/>
            <w:vAlign w:val="center"/>
          </w:tcPr>
          <w:p w14:paraId="39AE262D">
            <w:pPr>
              <w:spacing w:line="288"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p>
        </w:tc>
        <w:tc>
          <w:tcPr>
            <w:tcW w:w="1566" w:type="dxa"/>
            <w:vMerge w:val="restart"/>
            <w:vAlign w:val="center"/>
          </w:tcPr>
          <w:p w14:paraId="37ACFBF3">
            <w:pPr>
              <w:spacing w:line="288" w:lineRule="auto"/>
              <w:jc w:val="center"/>
              <w:rPr>
                <w:rFonts w:hint="eastAsia" w:ascii="宋体" w:hAnsi="宋体" w:cs="宋体"/>
                <w:sz w:val="24"/>
                <w:szCs w:val="24"/>
                <w:highlight w:val="none"/>
                <w:lang w:val="zh-CN"/>
              </w:rPr>
            </w:pPr>
            <w:r>
              <w:rPr>
                <w:rFonts w:hint="eastAsia" w:ascii="宋体" w:hAnsi="宋体" w:cs="宋体"/>
                <w:kern w:val="0"/>
                <w:sz w:val="24"/>
                <w:szCs w:val="24"/>
                <w:highlight w:val="none"/>
              </w:rPr>
              <w:t>磋商文件的响应程度审查</w:t>
            </w:r>
          </w:p>
        </w:tc>
        <w:tc>
          <w:tcPr>
            <w:tcW w:w="2884" w:type="dxa"/>
            <w:vAlign w:val="center"/>
          </w:tcPr>
          <w:p w14:paraId="7C6CDBE6">
            <w:pPr>
              <w:spacing w:line="288" w:lineRule="auto"/>
              <w:rPr>
                <w:rFonts w:hint="eastAsia" w:ascii="宋体" w:hAnsi="宋体" w:cs="宋体"/>
                <w:kern w:val="0"/>
                <w:sz w:val="24"/>
                <w:szCs w:val="24"/>
                <w:highlight w:val="none"/>
              </w:rPr>
            </w:pPr>
            <w:r>
              <w:rPr>
                <w:rFonts w:hint="eastAsia" w:ascii="宋体" w:hAnsi="宋体" w:cs="宋体"/>
                <w:sz w:val="24"/>
                <w:szCs w:val="24"/>
                <w:highlight w:val="none"/>
                <w:lang w:val="zh-CN"/>
              </w:rPr>
              <w:t>响应文件</w:t>
            </w:r>
            <w:r>
              <w:rPr>
                <w:rFonts w:hint="eastAsia" w:ascii="宋体" w:hAnsi="宋体" w:cs="宋体"/>
                <w:kern w:val="0"/>
                <w:sz w:val="24"/>
                <w:szCs w:val="24"/>
                <w:highlight w:val="none"/>
              </w:rPr>
              <w:t>有效期</w:t>
            </w:r>
          </w:p>
        </w:tc>
        <w:tc>
          <w:tcPr>
            <w:tcW w:w="4764" w:type="dxa"/>
            <w:vAlign w:val="center"/>
          </w:tcPr>
          <w:p w14:paraId="647232A8">
            <w:pPr>
              <w:spacing w:line="288" w:lineRule="auto"/>
              <w:rPr>
                <w:rFonts w:hint="eastAsia" w:ascii="宋体" w:hAnsi="宋体" w:cs="宋体"/>
                <w:kern w:val="0"/>
                <w:sz w:val="24"/>
                <w:szCs w:val="24"/>
                <w:highlight w:val="none"/>
              </w:rPr>
            </w:pPr>
            <w:r>
              <w:rPr>
                <w:rFonts w:hint="eastAsia" w:ascii="宋体" w:hAnsi="宋体" w:cs="宋体"/>
                <w:kern w:val="0"/>
                <w:sz w:val="24"/>
                <w:szCs w:val="24"/>
                <w:highlight w:val="none"/>
              </w:rPr>
              <w:t>满足磋商文件</w:t>
            </w:r>
            <w:r>
              <w:rPr>
                <w:rFonts w:hint="eastAsia" w:ascii="宋体" w:hAnsi="宋体" w:cs="宋体"/>
                <w:sz w:val="24"/>
                <w:szCs w:val="24"/>
                <w:highlight w:val="none"/>
                <w:lang w:val="zh-CN"/>
              </w:rPr>
              <w:t>规定。</w:t>
            </w:r>
          </w:p>
        </w:tc>
      </w:tr>
      <w:tr w14:paraId="24C9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0" w:type="dxa"/>
            <w:vMerge w:val="continue"/>
            <w:vAlign w:val="center"/>
          </w:tcPr>
          <w:p w14:paraId="59186DFF">
            <w:pPr>
              <w:spacing w:line="288" w:lineRule="auto"/>
              <w:jc w:val="center"/>
              <w:rPr>
                <w:rFonts w:hint="eastAsia" w:ascii="宋体" w:hAnsi="宋体" w:cs="宋体"/>
                <w:kern w:val="0"/>
                <w:sz w:val="24"/>
                <w:szCs w:val="24"/>
                <w:highlight w:val="none"/>
              </w:rPr>
            </w:pPr>
          </w:p>
        </w:tc>
        <w:tc>
          <w:tcPr>
            <w:tcW w:w="1566" w:type="dxa"/>
            <w:vMerge w:val="continue"/>
            <w:vAlign w:val="center"/>
          </w:tcPr>
          <w:p w14:paraId="05A947BE">
            <w:pPr>
              <w:spacing w:line="288" w:lineRule="auto"/>
              <w:rPr>
                <w:rFonts w:hint="eastAsia" w:ascii="宋体" w:hAnsi="宋体" w:cs="宋体"/>
                <w:sz w:val="24"/>
                <w:szCs w:val="24"/>
                <w:highlight w:val="none"/>
                <w:lang w:val="zh-CN"/>
              </w:rPr>
            </w:pPr>
          </w:p>
        </w:tc>
        <w:tc>
          <w:tcPr>
            <w:tcW w:w="2884" w:type="dxa"/>
            <w:vAlign w:val="center"/>
          </w:tcPr>
          <w:p w14:paraId="1BFFF34A">
            <w:pPr>
              <w:spacing w:line="288"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服务期限</w:t>
            </w:r>
          </w:p>
        </w:tc>
        <w:tc>
          <w:tcPr>
            <w:tcW w:w="4764" w:type="dxa"/>
            <w:vAlign w:val="center"/>
          </w:tcPr>
          <w:p w14:paraId="393EBCF4">
            <w:pPr>
              <w:spacing w:line="288" w:lineRule="auto"/>
              <w:rPr>
                <w:rFonts w:hint="eastAsia" w:ascii="宋体" w:hAnsi="宋体" w:cs="宋体"/>
                <w:sz w:val="24"/>
                <w:szCs w:val="24"/>
                <w:highlight w:val="none"/>
              </w:rPr>
            </w:pPr>
            <w:r>
              <w:rPr>
                <w:rFonts w:hint="eastAsia" w:ascii="宋体" w:hAnsi="宋体" w:cs="宋体"/>
                <w:sz w:val="24"/>
                <w:szCs w:val="24"/>
                <w:highlight w:val="none"/>
                <w:lang w:val="zh-CN"/>
              </w:rPr>
              <w:t>满足磋商文件规定。</w:t>
            </w:r>
          </w:p>
        </w:tc>
      </w:tr>
      <w:tr w14:paraId="60D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0" w:type="dxa"/>
            <w:vMerge w:val="continue"/>
            <w:vAlign w:val="center"/>
          </w:tcPr>
          <w:p w14:paraId="55A33F43">
            <w:pPr>
              <w:spacing w:line="288" w:lineRule="auto"/>
              <w:jc w:val="center"/>
              <w:rPr>
                <w:rFonts w:hint="eastAsia" w:ascii="宋体" w:hAnsi="宋体" w:cs="宋体"/>
                <w:kern w:val="0"/>
                <w:sz w:val="24"/>
                <w:szCs w:val="24"/>
                <w:highlight w:val="none"/>
              </w:rPr>
            </w:pPr>
          </w:p>
        </w:tc>
        <w:tc>
          <w:tcPr>
            <w:tcW w:w="1566" w:type="dxa"/>
            <w:vMerge w:val="continue"/>
            <w:vAlign w:val="center"/>
          </w:tcPr>
          <w:p w14:paraId="3DBF78FF">
            <w:pPr>
              <w:spacing w:line="288" w:lineRule="auto"/>
              <w:rPr>
                <w:rFonts w:hint="eastAsia" w:ascii="宋体" w:hAnsi="宋体" w:cs="宋体"/>
                <w:sz w:val="24"/>
                <w:szCs w:val="24"/>
                <w:highlight w:val="none"/>
                <w:lang w:val="zh-CN"/>
              </w:rPr>
            </w:pPr>
          </w:p>
        </w:tc>
        <w:tc>
          <w:tcPr>
            <w:tcW w:w="2884" w:type="dxa"/>
            <w:vAlign w:val="center"/>
          </w:tcPr>
          <w:p w14:paraId="5B57DEFB">
            <w:pPr>
              <w:spacing w:line="288" w:lineRule="auto"/>
              <w:rPr>
                <w:rFonts w:hint="eastAsia" w:ascii="宋体" w:hAnsi="宋体" w:cs="宋体"/>
                <w:sz w:val="24"/>
                <w:szCs w:val="24"/>
                <w:highlight w:val="none"/>
              </w:rPr>
            </w:pPr>
            <w:r>
              <w:rPr>
                <w:rFonts w:hint="eastAsia" w:ascii="宋体" w:hAnsi="宋体" w:cs="宋体"/>
                <w:sz w:val="24"/>
                <w:szCs w:val="24"/>
                <w:highlight w:val="none"/>
                <w:lang w:val="zh-CN"/>
              </w:rPr>
              <w:t>其他</w:t>
            </w:r>
          </w:p>
        </w:tc>
        <w:tc>
          <w:tcPr>
            <w:tcW w:w="4764" w:type="dxa"/>
            <w:vAlign w:val="center"/>
          </w:tcPr>
          <w:p w14:paraId="32C380D3">
            <w:pPr>
              <w:spacing w:line="288" w:lineRule="auto"/>
              <w:rPr>
                <w:rFonts w:hint="eastAsia" w:ascii="宋体" w:hAnsi="宋体" w:cs="宋体"/>
                <w:sz w:val="24"/>
                <w:szCs w:val="24"/>
                <w:highlight w:val="none"/>
              </w:rPr>
            </w:pPr>
            <w:r>
              <w:rPr>
                <w:rFonts w:hint="eastAsia" w:ascii="宋体" w:hAnsi="宋体" w:cs="宋体"/>
                <w:kern w:val="0"/>
                <w:sz w:val="24"/>
                <w:highlight w:val="none"/>
              </w:rPr>
              <w:t>满足竞争性磋商文件相关</w:t>
            </w:r>
            <w:r>
              <w:rPr>
                <w:rFonts w:hint="eastAsia" w:ascii="宋体" w:hAnsi="宋体" w:cs="仿宋_GB2312"/>
                <w:sz w:val="24"/>
                <w:highlight w:val="none"/>
                <w:lang w:val="zh-CN"/>
              </w:rPr>
              <w:t>规定。</w:t>
            </w:r>
          </w:p>
        </w:tc>
      </w:tr>
    </w:tbl>
    <w:p w14:paraId="400E2425">
      <w:pPr>
        <w:spacing w:line="360" w:lineRule="auto"/>
        <w:rPr>
          <w:rFonts w:hint="eastAsia" w:ascii="宋体" w:hAnsi="宋体" w:cs="宋体"/>
          <w:highlight w:val="none"/>
        </w:rPr>
        <w:sectPr>
          <w:footerReference r:id="rId17" w:type="first"/>
          <w:headerReference r:id="rId15" w:type="default"/>
          <w:footerReference r:id="rId16" w:type="default"/>
          <w:pgSz w:w="11906" w:h="16838"/>
          <w:pgMar w:top="1440" w:right="1083" w:bottom="1440" w:left="1083" w:header="850" w:footer="992" w:gutter="0"/>
          <w:pgNumType w:fmt="decimal"/>
          <w:cols w:space="0" w:num="1"/>
          <w:titlePg/>
          <w:rtlGutter w:val="0"/>
          <w:docGrid w:linePitch="312" w:charSpace="0"/>
        </w:sectPr>
      </w:pPr>
      <w:r>
        <w:rPr>
          <w:rFonts w:hint="eastAsia" w:ascii="宋体" w:hAnsi="宋体" w:cs="宋体"/>
          <w:b/>
          <w:sz w:val="24"/>
          <w:szCs w:val="24"/>
          <w:highlight w:val="none"/>
        </w:rPr>
        <w:t>注：以上评审内容，有一项不通过者，视为</w:t>
      </w:r>
      <w:r>
        <w:rPr>
          <w:rFonts w:hint="eastAsia" w:ascii="宋体" w:hAnsi="宋体" w:cs="宋体"/>
          <w:b/>
          <w:sz w:val="24"/>
          <w:szCs w:val="24"/>
          <w:highlight w:val="none"/>
          <w:lang w:eastAsia="zh-CN"/>
        </w:rPr>
        <w:t>供应商</w:t>
      </w:r>
      <w:r>
        <w:rPr>
          <w:rFonts w:hint="eastAsia" w:ascii="宋体" w:hAnsi="宋体" w:cs="宋体"/>
          <w:b/>
          <w:sz w:val="24"/>
          <w:szCs w:val="24"/>
          <w:highlight w:val="none"/>
        </w:rPr>
        <w:t>初步评审不通过，未通过初审的其</w:t>
      </w:r>
      <w:r>
        <w:rPr>
          <w:rFonts w:hint="eastAsia" w:ascii="宋体" w:hAnsi="宋体" w:cs="宋体"/>
          <w:b/>
          <w:sz w:val="24"/>
          <w:szCs w:val="24"/>
          <w:highlight w:val="none"/>
          <w:lang w:eastAsia="zh-CN"/>
        </w:rPr>
        <w:t>响应文件</w:t>
      </w:r>
      <w:r>
        <w:rPr>
          <w:rFonts w:hint="eastAsia" w:ascii="宋体" w:hAnsi="宋体" w:cs="宋体"/>
          <w:b/>
          <w:sz w:val="24"/>
          <w:szCs w:val="24"/>
          <w:highlight w:val="none"/>
        </w:rPr>
        <w:t>将按照无效响应处理</w:t>
      </w:r>
    </w:p>
    <w:p w14:paraId="0A75F943">
      <w:pPr>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详细</w:t>
      </w:r>
      <w:r>
        <w:rPr>
          <w:rFonts w:hint="eastAsia" w:ascii="宋体" w:hAnsi="宋体" w:cs="宋体"/>
          <w:b/>
          <w:bCs/>
          <w:color w:val="auto"/>
          <w:sz w:val="30"/>
          <w:szCs w:val="30"/>
          <w:highlight w:val="none"/>
        </w:rPr>
        <w:t>评审内容</w:t>
      </w:r>
    </w:p>
    <w:tbl>
      <w:tblPr>
        <w:tblStyle w:val="41"/>
        <w:tblW w:w="10106"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028"/>
        <w:gridCol w:w="828"/>
        <w:gridCol w:w="6810"/>
        <w:gridCol w:w="782"/>
      </w:tblGrid>
      <w:tr w14:paraId="1965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58" w:type="dxa"/>
            <w:vAlign w:val="top"/>
          </w:tcPr>
          <w:p w14:paraId="385B8EBB">
            <w:pPr>
              <w:spacing w:line="278" w:lineRule="auto"/>
              <w:rPr>
                <w:rFonts w:hint="eastAsia" w:ascii="宋体" w:hAnsi="宋体" w:eastAsia="宋体" w:cs="宋体"/>
                <w:sz w:val="21"/>
                <w:highlight w:val="none"/>
              </w:rPr>
            </w:pPr>
          </w:p>
          <w:p w14:paraId="0164C9AB">
            <w:pPr>
              <w:pStyle w:val="53"/>
              <w:spacing w:before="75" w:line="231" w:lineRule="auto"/>
              <w:ind w:left="86"/>
              <w:rPr>
                <w:rFonts w:hint="eastAsia" w:ascii="宋体" w:hAnsi="宋体" w:eastAsia="宋体" w:cs="宋体"/>
                <w:highlight w:val="none"/>
              </w:rPr>
            </w:pPr>
            <w:r>
              <w:rPr>
                <w:rFonts w:hint="eastAsia" w:ascii="宋体" w:hAnsi="宋体" w:eastAsia="宋体" w:cs="宋体"/>
                <w:spacing w:val="2"/>
                <w:highlight w:val="none"/>
              </w:rPr>
              <w:t>序号</w:t>
            </w:r>
          </w:p>
        </w:tc>
        <w:tc>
          <w:tcPr>
            <w:tcW w:w="1028" w:type="dxa"/>
            <w:vAlign w:val="top"/>
          </w:tcPr>
          <w:p w14:paraId="4B3A6A10">
            <w:pPr>
              <w:pStyle w:val="53"/>
              <w:spacing w:before="199" w:line="231" w:lineRule="auto"/>
              <w:ind w:left="84"/>
              <w:rPr>
                <w:rFonts w:hint="eastAsia" w:ascii="宋体" w:hAnsi="宋体" w:eastAsia="宋体" w:cs="宋体"/>
                <w:highlight w:val="none"/>
              </w:rPr>
            </w:pPr>
            <w:r>
              <w:rPr>
                <w:rFonts w:hint="eastAsia" w:ascii="宋体" w:hAnsi="宋体" w:eastAsia="宋体" w:cs="宋体"/>
                <w:spacing w:val="1"/>
                <w:highlight w:val="none"/>
              </w:rPr>
              <w:t>评审</w:t>
            </w:r>
          </w:p>
          <w:p w14:paraId="46F3700E">
            <w:pPr>
              <w:pStyle w:val="53"/>
              <w:spacing w:before="24" w:line="218" w:lineRule="auto"/>
              <w:ind w:left="113"/>
              <w:rPr>
                <w:rFonts w:hint="eastAsia" w:ascii="宋体" w:hAnsi="宋体" w:eastAsia="宋体" w:cs="宋体"/>
                <w:highlight w:val="none"/>
              </w:rPr>
            </w:pPr>
            <w:r>
              <w:rPr>
                <w:rFonts w:hint="eastAsia" w:ascii="宋体" w:hAnsi="宋体" w:eastAsia="宋体" w:cs="宋体"/>
                <w:spacing w:val="-7"/>
                <w:highlight w:val="none"/>
              </w:rPr>
              <w:t>内容</w:t>
            </w:r>
          </w:p>
        </w:tc>
        <w:tc>
          <w:tcPr>
            <w:tcW w:w="828" w:type="dxa"/>
            <w:vAlign w:val="top"/>
          </w:tcPr>
          <w:p w14:paraId="10D0FE7D">
            <w:pPr>
              <w:pStyle w:val="53"/>
              <w:spacing w:before="176" w:line="241" w:lineRule="auto"/>
              <w:ind w:left="319" w:right="83" w:hanging="223"/>
              <w:rPr>
                <w:rFonts w:hint="eastAsia" w:ascii="宋体" w:hAnsi="宋体" w:eastAsia="宋体" w:cs="宋体"/>
                <w:sz w:val="22"/>
                <w:szCs w:val="22"/>
                <w:highlight w:val="none"/>
              </w:rPr>
            </w:pPr>
            <w:r>
              <w:rPr>
                <w:rFonts w:hint="eastAsia" w:ascii="宋体" w:hAnsi="宋体" w:eastAsia="宋体" w:cs="宋体"/>
                <w:spacing w:val="-6"/>
                <w:sz w:val="22"/>
                <w:szCs w:val="22"/>
                <w:highlight w:val="none"/>
              </w:rPr>
              <w:t>分项序</w:t>
            </w:r>
            <w:r>
              <w:rPr>
                <w:rFonts w:hint="eastAsia" w:ascii="宋体" w:hAnsi="宋体" w:eastAsia="宋体" w:cs="宋体"/>
                <w:sz w:val="22"/>
                <w:szCs w:val="22"/>
                <w:highlight w:val="none"/>
              </w:rPr>
              <w:t>号</w:t>
            </w:r>
          </w:p>
        </w:tc>
        <w:tc>
          <w:tcPr>
            <w:tcW w:w="7592" w:type="dxa"/>
            <w:gridSpan w:val="2"/>
            <w:vAlign w:val="top"/>
          </w:tcPr>
          <w:p w14:paraId="3AA607AF">
            <w:pPr>
              <w:spacing w:line="244" w:lineRule="auto"/>
              <w:rPr>
                <w:rFonts w:hint="eastAsia" w:ascii="宋体" w:hAnsi="宋体" w:eastAsia="宋体" w:cs="宋体"/>
                <w:sz w:val="21"/>
                <w:highlight w:val="none"/>
              </w:rPr>
            </w:pPr>
          </w:p>
          <w:p w14:paraId="015CB6D9">
            <w:pPr>
              <w:pStyle w:val="53"/>
              <w:spacing w:before="71" w:line="223" w:lineRule="auto"/>
              <w:ind w:left="3430"/>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评分标准</w:t>
            </w:r>
          </w:p>
        </w:tc>
      </w:tr>
      <w:tr w14:paraId="7DF3F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58" w:type="dxa"/>
            <w:vAlign w:val="top"/>
          </w:tcPr>
          <w:p w14:paraId="7524818F">
            <w:pPr>
              <w:spacing w:line="448" w:lineRule="auto"/>
              <w:rPr>
                <w:rFonts w:hint="eastAsia" w:ascii="宋体" w:hAnsi="宋体" w:eastAsia="宋体" w:cs="宋体"/>
                <w:sz w:val="21"/>
                <w:highlight w:val="none"/>
              </w:rPr>
            </w:pPr>
          </w:p>
          <w:p w14:paraId="12206725">
            <w:pPr>
              <w:pStyle w:val="53"/>
              <w:spacing w:before="72" w:line="239" w:lineRule="auto"/>
              <w:ind w:left="106" w:right="89" w:firstLine="10"/>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1.投</w:t>
            </w:r>
            <w:r>
              <w:rPr>
                <w:rFonts w:hint="eastAsia" w:ascii="宋体" w:hAnsi="宋体" w:eastAsia="宋体" w:cs="宋体"/>
                <w:spacing w:val="-6"/>
                <w:sz w:val="22"/>
                <w:szCs w:val="22"/>
                <w:highlight w:val="none"/>
              </w:rPr>
              <w:t>标报</w:t>
            </w:r>
            <w:r>
              <w:rPr>
                <w:rFonts w:hint="eastAsia" w:ascii="宋体" w:hAnsi="宋体" w:eastAsia="宋体" w:cs="宋体"/>
                <w:spacing w:val="42"/>
                <w:w w:val="125"/>
                <w:sz w:val="22"/>
                <w:szCs w:val="22"/>
                <w:highlight w:val="none"/>
              </w:rPr>
              <w:t>价</w:t>
            </w:r>
          </w:p>
        </w:tc>
        <w:tc>
          <w:tcPr>
            <w:tcW w:w="1028" w:type="dxa"/>
            <w:vAlign w:val="top"/>
          </w:tcPr>
          <w:p w14:paraId="36432E00">
            <w:pPr>
              <w:spacing w:line="303" w:lineRule="auto"/>
              <w:rPr>
                <w:rFonts w:hint="eastAsia" w:ascii="宋体" w:hAnsi="宋体" w:eastAsia="宋体" w:cs="宋体"/>
                <w:sz w:val="21"/>
                <w:highlight w:val="none"/>
              </w:rPr>
            </w:pPr>
          </w:p>
          <w:p w14:paraId="086E60FB">
            <w:pPr>
              <w:pStyle w:val="53"/>
              <w:spacing w:before="72"/>
              <w:ind w:left="101" w:right="90"/>
              <w:jc w:val="both"/>
              <w:rPr>
                <w:rFonts w:hint="eastAsia" w:ascii="宋体" w:hAnsi="宋体" w:eastAsia="宋体" w:cs="宋体"/>
                <w:sz w:val="22"/>
                <w:szCs w:val="22"/>
                <w:highlight w:val="none"/>
              </w:rPr>
            </w:pPr>
            <w:r>
              <w:rPr>
                <w:rFonts w:hint="eastAsia" w:ascii="宋体" w:hAnsi="宋体" w:eastAsia="宋体" w:cs="宋体"/>
                <w:spacing w:val="-6"/>
                <w:sz w:val="22"/>
                <w:szCs w:val="22"/>
                <w:highlight w:val="none"/>
              </w:rPr>
              <w:t>投标</w:t>
            </w:r>
            <w:r>
              <w:rPr>
                <w:rFonts w:hint="eastAsia" w:ascii="宋体" w:hAnsi="宋体" w:eastAsia="宋体" w:cs="宋体"/>
                <w:spacing w:val="-7"/>
                <w:sz w:val="22"/>
                <w:szCs w:val="22"/>
                <w:highlight w:val="none"/>
              </w:rPr>
              <w:t>报价</w:t>
            </w:r>
            <w:r>
              <w:rPr>
                <w:rFonts w:hint="eastAsia" w:ascii="宋体" w:hAnsi="宋体" w:eastAsia="宋体" w:cs="宋体"/>
                <w:spacing w:val="-6"/>
                <w:sz w:val="22"/>
                <w:szCs w:val="22"/>
                <w:highlight w:val="none"/>
              </w:rPr>
              <w:t>（10</w:t>
            </w:r>
            <w:r>
              <w:rPr>
                <w:rFonts w:hint="eastAsia" w:ascii="宋体" w:hAnsi="宋体" w:eastAsia="宋体" w:cs="宋体"/>
                <w:spacing w:val="-7"/>
                <w:sz w:val="22"/>
                <w:szCs w:val="22"/>
                <w:highlight w:val="none"/>
              </w:rPr>
              <w:t>分）</w:t>
            </w:r>
          </w:p>
        </w:tc>
        <w:tc>
          <w:tcPr>
            <w:tcW w:w="828" w:type="dxa"/>
            <w:vAlign w:val="top"/>
          </w:tcPr>
          <w:p w14:paraId="73F0CAAD">
            <w:pPr>
              <w:spacing w:line="320" w:lineRule="auto"/>
              <w:rPr>
                <w:rFonts w:hint="eastAsia" w:ascii="宋体" w:hAnsi="宋体" w:eastAsia="宋体" w:cs="宋体"/>
                <w:sz w:val="21"/>
                <w:highlight w:val="none"/>
              </w:rPr>
            </w:pPr>
          </w:p>
          <w:p w14:paraId="54DC67F2">
            <w:pPr>
              <w:spacing w:line="321" w:lineRule="auto"/>
              <w:rPr>
                <w:rFonts w:hint="eastAsia" w:ascii="宋体" w:hAnsi="宋体" w:eastAsia="宋体" w:cs="宋体"/>
                <w:sz w:val="21"/>
                <w:highlight w:val="none"/>
              </w:rPr>
            </w:pPr>
          </w:p>
          <w:p w14:paraId="41F598A8">
            <w:pPr>
              <w:pStyle w:val="53"/>
              <w:spacing w:before="65" w:line="269" w:lineRule="exact"/>
              <w:ind w:left="274"/>
              <w:rPr>
                <w:rFonts w:hint="eastAsia" w:ascii="宋体" w:hAnsi="宋体" w:eastAsia="宋体" w:cs="宋体"/>
                <w:sz w:val="20"/>
                <w:szCs w:val="20"/>
                <w:highlight w:val="none"/>
              </w:rPr>
            </w:pPr>
            <w:r>
              <w:rPr>
                <w:rFonts w:hint="eastAsia" w:ascii="宋体" w:hAnsi="宋体" w:eastAsia="宋体" w:cs="宋体"/>
                <w:spacing w:val="-4"/>
                <w:position w:val="1"/>
                <w:sz w:val="20"/>
                <w:szCs w:val="20"/>
                <w:highlight w:val="none"/>
              </w:rPr>
              <w:t>1.1</w:t>
            </w:r>
          </w:p>
        </w:tc>
        <w:tc>
          <w:tcPr>
            <w:tcW w:w="6810" w:type="dxa"/>
            <w:vAlign w:val="top"/>
          </w:tcPr>
          <w:p w14:paraId="14387EA2">
            <w:pPr>
              <w:pStyle w:val="53"/>
              <w:spacing w:before="31" w:line="250" w:lineRule="auto"/>
              <w:ind w:left="16" w:right="86" w:firstLine="1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以满足竞争性磋商文件要求且最低的投标单价合计为评标基</w:t>
            </w:r>
            <w:r>
              <w:rPr>
                <w:rFonts w:hint="eastAsia" w:ascii="宋体" w:hAnsi="宋体" w:eastAsia="宋体" w:cs="宋体"/>
                <w:spacing w:val="8"/>
                <w:sz w:val="20"/>
                <w:szCs w:val="20"/>
                <w:highlight w:val="none"/>
              </w:rPr>
              <w:t>准价，其价格</w:t>
            </w:r>
            <w:r>
              <w:rPr>
                <w:rFonts w:hint="eastAsia" w:ascii="宋体" w:hAnsi="宋体" w:eastAsia="宋体" w:cs="宋体"/>
                <w:spacing w:val="-2"/>
                <w:sz w:val="20"/>
                <w:szCs w:val="20"/>
                <w:highlight w:val="none"/>
              </w:rPr>
              <w:t>分为满分</w:t>
            </w:r>
            <w:r>
              <w:rPr>
                <w:rFonts w:hint="eastAsia" w:ascii="宋体" w:hAnsi="宋体" w:eastAsia="宋体" w:cs="宋体"/>
                <w:spacing w:val="-17"/>
                <w:sz w:val="20"/>
                <w:szCs w:val="20"/>
                <w:highlight w:val="none"/>
              </w:rPr>
              <w:t xml:space="preserve"> </w:t>
            </w:r>
            <w:r>
              <w:rPr>
                <w:rFonts w:hint="eastAsia" w:ascii="宋体" w:hAnsi="宋体" w:eastAsia="宋体" w:cs="宋体"/>
                <w:spacing w:val="-2"/>
                <w:sz w:val="20"/>
                <w:szCs w:val="20"/>
                <w:highlight w:val="none"/>
              </w:rPr>
              <w:t>10</w:t>
            </w:r>
            <w:r>
              <w:rPr>
                <w:rFonts w:hint="eastAsia" w:ascii="宋体" w:hAnsi="宋体" w:eastAsia="宋体" w:cs="宋体"/>
                <w:spacing w:val="-27"/>
                <w:sz w:val="20"/>
                <w:szCs w:val="20"/>
                <w:highlight w:val="none"/>
              </w:rPr>
              <w:t xml:space="preserve"> </w:t>
            </w:r>
            <w:r>
              <w:rPr>
                <w:rFonts w:hint="eastAsia" w:ascii="宋体" w:hAnsi="宋体" w:eastAsia="宋体" w:cs="宋体"/>
                <w:spacing w:val="-2"/>
                <w:sz w:val="20"/>
                <w:szCs w:val="20"/>
                <w:highlight w:val="none"/>
              </w:rPr>
              <w:t>分。</w:t>
            </w:r>
          </w:p>
          <w:p w14:paraId="1E283415">
            <w:pPr>
              <w:pStyle w:val="53"/>
              <w:spacing w:line="252" w:lineRule="auto"/>
              <w:ind w:left="12" w:firstLine="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其他供应商的价格得分按照下列公式计算：投标单价得分</w:t>
            </w:r>
            <w:r>
              <w:rPr>
                <w:rFonts w:hint="eastAsia" w:ascii="宋体" w:hAnsi="宋体" w:eastAsia="宋体" w:cs="宋体"/>
                <w:spacing w:val="-10"/>
                <w:sz w:val="20"/>
                <w:szCs w:val="20"/>
                <w:highlight w:val="none"/>
              </w:rPr>
              <w:t>＝（</w:t>
            </w:r>
            <w:r>
              <w:rPr>
                <w:rFonts w:hint="eastAsia" w:ascii="宋体" w:hAnsi="宋体" w:eastAsia="宋体" w:cs="宋体"/>
                <w:spacing w:val="10"/>
                <w:sz w:val="20"/>
                <w:szCs w:val="20"/>
                <w:highlight w:val="none"/>
              </w:rPr>
              <w:t>评标基</w:t>
            </w:r>
            <w:r>
              <w:rPr>
                <w:rFonts w:hint="eastAsia" w:ascii="宋体" w:hAnsi="宋体" w:eastAsia="宋体" w:cs="宋体"/>
                <w:spacing w:val="9"/>
                <w:sz w:val="20"/>
                <w:szCs w:val="20"/>
                <w:highlight w:val="none"/>
              </w:rPr>
              <w:t>准价/</w:t>
            </w:r>
            <w:r>
              <w:rPr>
                <w:rFonts w:hint="eastAsia" w:ascii="宋体" w:hAnsi="宋体" w:eastAsia="宋体" w:cs="宋体"/>
                <w:sz w:val="20"/>
                <w:szCs w:val="20"/>
                <w:highlight w:val="none"/>
              </w:rPr>
              <w:t>投标单价）</w:t>
            </w:r>
            <w:r>
              <w:rPr>
                <w:rFonts w:hint="eastAsia" w:ascii="宋体" w:hAnsi="宋体" w:eastAsia="宋体" w:cs="宋体"/>
                <w:spacing w:val="-38"/>
                <w:sz w:val="20"/>
                <w:szCs w:val="20"/>
                <w:highlight w:val="none"/>
              </w:rPr>
              <w:t xml:space="preserve"> </w:t>
            </w:r>
            <w:r>
              <w:rPr>
                <w:rFonts w:hint="eastAsia" w:ascii="宋体" w:hAnsi="宋体" w:eastAsia="宋体" w:cs="宋体"/>
                <w:sz w:val="20"/>
                <w:szCs w:val="20"/>
                <w:highlight w:val="none"/>
              </w:rPr>
              <w:t>×</w:t>
            </w:r>
            <w:r>
              <w:rPr>
                <w:rFonts w:hint="eastAsia" w:ascii="宋体" w:hAnsi="宋体" w:eastAsia="宋体" w:cs="宋体"/>
                <w:spacing w:val="-78"/>
                <w:sz w:val="20"/>
                <w:szCs w:val="20"/>
                <w:highlight w:val="none"/>
              </w:rPr>
              <w:t xml:space="preserve"> </w:t>
            </w:r>
            <w:r>
              <w:rPr>
                <w:rFonts w:hint="eastAsia" w:ascii="宋体" w:hAnsi="宋体" w:eastAsia="宋体" w:cs="宋体"/>
                <w:sz w:val="20"/>
                <w:szCs w:val="20"/>
                <w:highlight w:val="none"/>
              </w:rPr>
              <w:t>10%×100。</w:t>
            </w:r>
          </w:p>
          <w:p w14:paraId="3C7599AB">
            <w:pPr>
              <w:pStyle w:val="53"/>
              <w:spacing w:before="1" w:line="234" w:lineRule="auto"/>
              <w:ind w:left="13" w:right="82" w:firstLine="5"/>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注：报价得分精确到小数点后两位；无效投标的报价不计入价格分值的计</w:t>
            </w:r>
            <w:r>
              <w:rPr>
                <w:rFonts w:hint="eastAsia" w:ascii="宋体" w:hAnsi="宋体" w:eastAsia="宋体" w:cs="宋体"/>
                <w:sz w:val="20"/>
                <w:szCs w:val="20"/>
                <w:highlight w:val="none"/>
              </w:rPr>
              <w:t>算</w:t>
            </w:r>
          </w:p>
        </w:tc>
        <w:tc>
          <w:tcPr>
            <w:tcW w:w="782" w:type="dxa"/>
            <w:vAlign w:val="top"/>
          </w:tcPr>
          <w:p w14:paraId="710FF3A0">
            <w:pPr>
              <w:spacing w:line="320" w:lineRule="auto"/>
              <w:rPr>
                <w:rFonts w:hint="eastAsia" w:ascii="宋体" w:hAnsi="宋体" w:eastAsia="宋体" w:cs="宋体"/>
                <w:sz w:val="21"/>
                <w:highlight w:val="none"/>
              </w:rPr>
            </w:pPr>
          </w:p>
          <w:p w14:paraId="069267EB">
            <w:pPr>
              <w:spacing w:line="321" w:lineRule="auto"/>
              <w:rPr>
                <w:rFonts w:hint="eastAsia" w:ascii="宋体" w:hAnsi="宋体" w:eastAsia="宋体" w:cs="宋体"/>
                <w:sz w:val="21"/>
                <w:highlight w:val="none"/>
              </w:rPr>
            </w:pPr>
          </w:p>
          <w:p w14:paraId="1F040557">
            <w:pPr>
              <w:pStyle w:val="53"/>
              <w:spacing w:before="65" w:line="270" w:lineRule="exact"/>
              <w:ind w:left="187"/>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0-10</w:t>
            </w:r>
          </w:p>
        </w:tc>
      </w:tr>
      <w:tr w14:paraId="15AD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658" w:type="dxa"/>
            <w:vMerge w:val="restart"/>
            <w:tcBorders>
              <w:bottom w:val="nil"/>
            </w:tcBorders>
            <w:vAlign w:val="top"/>
          </w:tcPr>
          <w:p w14:paraId="428D7F21">
            <w:pPr>
              <w:spacing w:line="286" w:lineRule="auto"/>
              <w:rPr>
                <w:rFonts w:hint="eastAsia" w:ascii="宋体" w:hAnsi="宋体" w:eastAsia="宋体" w:cs="宋体"/>
                <w:sz w:val="21"/>
                <w:highlight w:val="none"/>
              </w:rPr>
            </w:pPr>
          </w:p>
          <w:p w14:paraId="2B753B57">
            <w:pPr>
              <w:spacing w:line="287" w:lineRule="auto"/>
              <w:rPr>
                <w:rFonts w:hint="eastAsia" w:ascii="宋体" w:hAnsi="宋体" w:eastAsia="宋体" w:cs="宋体"/>
                <w:sz w:val="21"/>
                <w:highlight w:val="none"/>
              </w:rPr>
            </w:pPr>
          </w:p>
          <w:p w14:paraId="7CA43067">
            <w:pPr>
              <w:spacing w:line="287" w:lineRule="auto"/>
              <w:rPr>
                <w:rFonts w:hint="eastAsia" w:ascii="宋体" w:hAnsi="宋体" w:eastAsia="宋体" w:cs="宋体"/>
                <w:sz w:val="21"/>
                <w:highlight w:val="none"/>
              </w:rPr>
            </w:pPr>
          </w:p>
          <w:p w14:paraId="33020CBB">
            <w:pPr>
              <w:pStyle w:val="53"/>
              <w:spacing w:before="72"/>
              <w:ind w:left="112" w:right="89" w:hanging="10"/>
              <w:jc w:val="both"/>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2.商</w:t>
            </w:r>
            <w:r>
              <w:rPr>
                <w:rFonts w:hint="eastAsia" w:ascii="宋体" w:hAnsi="宋体" w:eastAsia="宋体" w:cs="宋体"/>
                <w:spacing w:val="-10"/>
                <w:sz w:val="22"/>
                <w:szCs w:val="22"/>
                <w:highlight w:val="none"/>
              </w:rPr>
              <w:t>务部</w:t>
            </w:r>
            <w:r>
              <w:rPr>
                <w:rFonts w:hint="eastAsia" w:ascii="宋体" w:hAnsi="宋体" w:eastAsia="宋体" w:cs="宋体"/>
                <w:spacing w:val="35"/>
                <w:w w:val="125"/>
                <w:sz w:val="22"/>
                <w:szCs w:val="22"/>
                <w:highlight w:val="none"/>
              </w:rPr>
              <w:t>分</w:t>
            </w:r>
          </w:p>
        </w:tc>
        <w:tc>
          <w:tcPr>
            <w:tcW w:w="1028" w:type="dxa"/>
            <w:vMerge w:val="restart"/>
            <w:tcBorders>
              <w:bottom w:val="nil"/>
            </w:tcBorders>
            <w:vAlign w:val="top"/>
          </w:tcPr>
          <w:p w14:paraId="7DFDF39F">
            <w:pPr>
              <w:pStyle w:val="53"/>
              <w:spacing w:before="279"/>
              <w:ind w:left="111"/>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企业</w:t>
            </w:r>
          </w:p>
          <w:p w14:paraId="210A21FD">
            <w:pPr>
              <w:pStyle w:val="53"/>
              <w:spacing w:before="38" w:line="277" w:lineRule="auto"/>
              <w:ind w:left="18" w:right="28" w:firstLine="94"/>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综合</w:t>
            </w:r>
            <w:r>
              <w:rPr>
                <w:rFonts w:hint="eastAsia" w:ascii="宋体" w:hAnsi="宋体" w:eastAsia="宋体" w:cs="宋体"/>
                <w:spacing w:val="-9"/>
                <w:sz w:val="20"/>
                <w:szCs w:val="20"/>
                <w:highlight w:val="none"/>
              </w:rPr>
              <w:t>实力、</w:t>
            </w:r>
            <w:r>
              <w:rPr>
                <w:rFonts w:hint="eastAsia" w:ascii="宋体" w:hAnsi="宋体" w:eastAsia="宋体" w:cs="宋体"/>
                <w:spacing w:val="48"/>
                <w:sz w:val="20"/>
                <w:szCs w:val="20"/>
                <w:highlight w:val="none"/>
              </w:rPr>
              <w:t>业绩</w:t>
            </w:r>
          </w:p>
          <w:p w14:paraId="302C4EED">
            <w:pPr>
              <w:pStyle w:val="53"/>
              <w:spacing w:before="202" w:line="241" w:lineRule="auto"/>
              <w:ind w:left="104" w:right="93" w:hanging="2"/>
              <w:rPr>
                <w:rFonts w:hint="eastAsia" w:ascii="宋体" w:hAnsi="宋体" w:eastAsia="宋体" w:cs="宋体"/>
                <w:sz w:val="22"/>
                <w:szCs w:val="22"/>
                <w:highlight w:val="none"/>
              </w:rPr>
            </w:pPr>
            <w:r>
              <w:rPr>
                <w:rFonts w:hint="eastAsia" w:ascii="宋体" w:hAnsi="宋体" w:eastAsia="宋体" w:cs="宋体"/>
                <w:spacing w:val="-6"/>
                <w:sz w:val="22"/>
                <w:szCs w:val="22"/>
                <w:highlight w:val="none"/>
              </w:rPr>
              <w:t>（1</w:t>
            </w:r>
            <w:r>
              <w:rPr>
                <w:rFonts w:hint="eastAsia" w:ascii="宋体" w:hAnsi="宋体" w:eastAsia="宋体" w:cs="宋体"/>
                <w:spacing w:val="-6"/>
                <w:sz w:val="22"/>
                <w:szCs w:val="22"/>
                <w:highlight w:val="none"/>
                <w:lang w:val="en-US" w:eastAsia="zh-CN"/>
              </w:rPr>
              <w:t>4</w:t>
            </w:r>
            <w:r>
              <w:rPr>
                <w:rFonts w:hint="eastAsia" w:ascii="宋体" w:hAnsi="宋体" w:eastAsia="宋体" w:cs="宋体"/>
                <w:spacing w:val="-16"/>
                <w:sz w:val="22"/>
                <w:szCs w:val="22"/>
                <w:highlight w:val="none"/>
              </w:rPr>
              <w:t>分）</w:t>
            </w:r>
          </w:p>
        </w:tc>
        <w:tc>
          <w:tcPr>
            <w:tcW w:w="828" w:type="dxa"/>
            <w:vAlign w:val="top"/>
          </w:tcPr>
          <w:p w14:paraId="209F23F1">
            <w:pPr>
              <w:spacing w:line="247" w:lineRule="auto"/>
              <w:rPr>
                <w:rFonts w:hint="eastAsia" w:ascii="宋体" w:hAnsi="宋体" w:eastAsia="宋体" w:cs="宋体"/>
                <w:sz w:val="21"/>
                <w:highlight w:val="none"/>
              </w:rPr>
            </w:pPr>
          </w:p>
          <w:p w14:paraId="5EE3497C">
            <w:pPr>
              <w:spacing w:line="247" w:lineRule="auto"/>
              <w:rPr>
                <w:rFonts w:hint="eastAsia" w:ascii="宋体" w:hAnsi="宋体" w:eastAsia="宋体" w:cs="宋体"/>
                <w:sz w:val="21"/>
                <w:highlight w:val="none"/>
              </w:rPr>
            </w:pPr>
          </w:p>
          <w:p w14:paraId="502505FE">
            <w:pPr>
              <w:pStyle w:val="53"/>
              <w:spacing w:before="65" w:line="269" w:lineRule="exact"/>
              <w:ind w:left="261"/>
              <w:rPr>
                <w:rFonts w:hint="eastAsia" w:ascii="宋体" w:hAnsi="宋体" w:eastAsia="宋体" w:cs="宋体"/>
                <w:sz w:val="20"/>
                <w:szCs w:val="20"/>
                <w:highlight w:val="none"/>
              </w:rPr>
            </w:pPr>
            <w:r>
              <w:rPr>
                <w:rFonts w:hint="eastAsia" w:ascii="宋体" w:hAnsi="宋体" w:eastAsia="宋体" w:cs="宋体"/>
                <w:spacing w:val="1"/>
                <w:position w:val="1"/>
                <w:sz w:val="20"/>
                <w:szCs w:val="20"/>
                <w:highlight w:val="none"/>
              </w:rPr>
              <w:t>2.1</w:t>
            </w:r>
          </w:p>
        </w:tc>
        <w:tc>
          <w:tcPr>
            <w:tcW w:w="6810" w:type="dxa"/>
            <w:tcBorders>
              <w:bottom w:val="single" w:color="000000" w:sz="4" w:space="0"/>
            </w:tcBorders>
            <w:vAlign w:val="top"/>
          </w:tcPr>
          <w:p w14:paraId="0A995092">
            <w:pPr>
              <w:pStyle w:val="53"/>
              <w:spacing w:before="34" w:line="244" w:lineRule="auto"/>
              <w:ind w:left="14" w:right="3" w:hanging="2"/>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近三年（</w:t>
            </w:r>
            <w:r>
              <w:rPr>
                <w:rFonts w:hint="eastAsia" w:ascii="宋体" w:hAnsi="宋体" w:eastAsia="宋体" w:cs="宋体"/>
                <w:sz w:val="20"/>
                <w:szCs w:val="20"/>
                <w:highlight w:val="none"/>
                <w:lang w:val="en-US" w:eastAsia="zh-CN"/>
              </w:rPr>
              <w:t>2023年01月01日</w:t>
            </w:r>
            <w:r>
              <w:rPr>
                <w:rFonts w:hint="eastAsia" w:ascii="宋体" w:hAnsi="宋体" w:eastAsia="宋体" w:cs="宋体"/>
                <w:sz w:val="20"/>
                <w:szCs w:val="20"/>
                <w:highlight w:val="none"/>
              </w:rPr>
              <w:t>至今）具有同类项目业绩（附中标通知书/成交通知书或合同等复印件）每提供一项</w:t>
            </w:r>
            <w:r>
              <w:rPr>
                <w:rFonts w:hint="eastAsia" w:ascii="宋体" w:hAnsi="宋体" w:eastAsia="宋体" w:cs="宋体"/>
                <w:sz w:val="20"/>
                <w:szCs w:val="20"/>
                <w:highlight w:val="none"/>
                <w:lang w:val="en-US" w:eastAsia="zh-CN"/>
              </w:rPr>
              <w:t>得1</w:t>
            </w:r>
            <w:r>
              <w:rPr>
                <w:rFonts w:hint="eastAsia" w:ascii="宋体" w:hAnsi="宋体" w:eastAsia="宋体" w:cs="宋体"/>
                <w:sz w:val="20"/>
                <w:szCs w:val="20"/>
                <w:highlight w:val="none"/>
              </w:rPr>
              <w:t>分，最多得</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分，未提供业绩证明资料不得分。</w:t>
            </w:r>
          </w:p>
        </w:tc>
        <w:tc>
          <w:tcPr>
            <w:tcW w:w="782" w:type="dxa"/>
            <w:tcBorders>
              <w:bottom w:val="single" w:color="000000" w:sz="4" w:space="0"/>
            </w:tcBorders>
            <w:vAlign w:val="top"/>
          </w:tcPr>
          <w:p w14:paraId="5CA7640D">
            <w:pPr>
              <w:spacing w:line="253" w:lineRule="auto"/>
              <w:rPr>
                <w:rFonts w:hint="eastAsia" w:ascii="宋体" w:hAnsi="宋体" w:eastAsia="宋体" w:cs="宋体"/>
                <w:sz w:val="21"/>
                <w:highlight w:val="none"/>
              </w:rPr>
            </w:pPr>
          </w:p>
          <w:p w14:paraId="5B2382E3">
            <w:pPr>
              <w:spacing w:line="253" w:lineRule="auto"/>
              <w:rPr>
                <w:rFonts w:hint="eastAsia" w:ascii="宋体" w:hAnsi="宋体" w:eastAsia="宋体" w:cs="宋体"/>
                <w:sz w:val="21"/>
                <w:highlight w:val="none"/>
              </w:rPr>
            </w:pPr>
          </w:p>
          <w:p w14:paraId="15A2E739">
            <w:pPr>
              <w:pStyle w:val="53"/>
              <w:spacing w:before="65" w:line="270" w:lineRule="exact"/>
              <w:ind w:left="240"/>
              <w:rPr>
                <w:rFonts w:hint="eastAsia" w:ascii="宋体" w:hAnsi="宋体" w:eastAsia="宋体" w:cs="宋体"/>
                <w:sz w:val="20"/>
                <w:szCs w:val="20"/>
                <w:highlight w:val="none"/>
                <w:lang w:eastAsia="zh-CN"/>
              </w:rPr>
            </w:pPr>
            <w:r>
              <w:rPr>
                <w:rFonts w:hint="eastAsia" w:ascii="宋体" w:hAnsi="宋体" w:eastAsia="宋体" w:cs="宋体"/>
                <w:spacing w:val="1"/>
                <w:position w:val="1"/>
                <w:sz w:val="20"/>
                <w:szCs w:val="20"/>
                <w:highlight w:val="none"/>
              </w:rPr>
              <w:t>0-</w:t>
            </w:r>
            <w:r>
              <w:rPr>
                <w:rFonts w:hint="eastAsia" w:ascii="宋体" w:hAnsi="宋体" w:eastAsia="宋体" w:cs="宋体"/>
                <w:spacing w:val="1"/>
                <w:position w:val="1"/>
                <w:sz w:val="20"/>
                <w:szCs w:val="20"/>
                <w:highlight w:val="none"/>
                <w:lang w:val="en-US" w:eastAsia="zh-CN"/>
              </w:rPr>
              <w:t>8</w:t>
            </w:r>
          </w:p>
        </w:tc>
      </w:tr>
      <w:tr w14:paraId="5C3E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58" w:type="dxa"/>
            <w:vMerge w:val="continue"/>
            <w:vAlign w:val="top"/>
          </w:tcPr>
          <w:p w14:paraId="4C3C18D7">
            <w:pPr>
              <w:pStyle w:val="53"/>
              <w:spacing w:before="72"/>
              <w:ind w:left="112" w:right="89" w:hanging="10"/>
              <w:jc w:val="both"/>
              <w:rPr>
                <w:rFonts w:hint="eastAsia" w:ascii="宋体" w:hAnsi="宋体" w:eastAsia="宋体" w:cs="宋体"/>
                <w:spacing w:val="-4"/>
                <w:sz w:val="22"/>
                <w:szCs w:val="22"/>
                <w:highlight w:val="none"/>
              </w:rPr>
            </w:pPr>
          </w:p>
        </w:tc>
        <w:tc>
          <w:tcPr>
            <w:tcW w:w="1028" w:type="dxa"/>
            <w:vMerge w:val="continue"/>
            <w:vAlign w:val="top"/>
          </w:tcPr>
          <w:p w14:paraId="23A508DF">
            <w:pPr>
              <w:pStyle w:val="53"/>
              <w:spacing w:before="202" w:line="241" w:lineRule="auto"/>
              <w:ind w:left="104" w:right="93" w:hanging="2"/>
              <w:rPr>
                <w:rFonts w:hint="eastAsia" w:ascii="宋体" w:hAnsi="宋体" w:eastAsia="宋体" w:cs="宋体"/>
                <w:spacing w:val="-6"/>
                <w:sz w:val="22"/>
                <w:szCs w:val="22"/>
                <w:highlight w:val="none"/>
              </w:rPr>
            </w:pPr>
          </w:p>
        </w:tc>
        <w:tc>
          <w:tcPr>
            <w:tcW w:w="828" w:type="dxa"/>
            <w:vAlign w:val="top"/>
          </w:tcPr>
          <w:p w14:paraId="3DEE4C47">
            <w:pPr>
              <w:pStyle w:val="53"/>
              <w:spacing w:before="65" w:line="269" w:lineRule="exact"/>
              <w:ind w:left="261"/>
              <w:rPr>
                <w:rFonts w:hint="eastAsia" w:ascii="宋体" w:hAnsi="宋体" w:eastAsia="宋体" w:cs="宋体"/>
                <w:spacing w:val="1"/>
                <w:position w:val="1"/>
                <w:sz w:val="20"/>
                <w:szCs w:val="20"/>
                <w:highlight w:val="none"/>
                <w:lang w:val="en-US" w:eastAsia="zh-CN"/>
              </w:rPr>
            </w:pPr>
          </w:p>
          <w:p w14:paraId="2A0B0A19">
            <w:pPr>
              <w:pStyle w:val="53"/>
              <w:spacing w:before="65" w:line="269" w:lineRule="exact"/>
              <w:ind w:left="261"/>
              <w:rPr>
                <w:rFonts w:hint="default" w:ascii="宋体" w:hAnsi="宋体" w:eastAsia="宋体" w:cs="宋体"/>
                <w:spacing w:val="1"/>
                <w:position w:val="1"/>
                <w:sz w:val="20"/>
                <w:szCs w:val="20"/>
                <w:highlight w:val="none"/>
                <w:lang w:val="en-US" w:eastAsia="zh-CN"/>
              </w:rPr>
            </w:pPr>
            <w:r>
              <w:rPr>
                <w:rFonts w:hint="eastAsia" w:ascii="宋体" w:hAnsi="宋体" w:eastAsia="宋体" w:cs="宋体"/>
                <w:spacing w:val="1"/>
                <w:position w:val="1"/>
                <w:sz w:val="20"/>
                <w:szCs w:val="20"/>
                <w:highlight w:val="none"/>
                <w:lang w:val="en-US" w:eastAsia="zh-CN"/>
              </w:rPr>
              <w:t>2.2</w:t>
            </w:r>
          </w:p>
        </w:tc>
        <w:tc>
          <w:tcPr>
            <w:tcW w:w="6810" w:type="dxa"/>
            <w:tcBorders>
              <w:bottom w:val="single" w:color="000000" w:sz="4" w:space="0"/>
            </w:tcBorders>
            <w:vAlign w:val="top"/>
          </w:tcPr>
          <w:p w14:paraId="4F41B591">
            <w:pPr>
              <w:pStyle w:val="53"/>
              <w:spacing w:before="34" w:line="244" w:lineRule="auto"/>
              <w:ind w:left="14" w:right="3" w:hanging="2"/>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 xml:space="preserve">供应商提供 2023 年 1 月 1 日至今承担的同类项目服务工作反馈意见（回 </w:t>
            </w:r>
          </w:p>
          <w:p w14:paraId="66C01CBD">
            <w:pPr>
              <w:pStyle w:val="53"/>
              <w:spacing w:before="34" w:line="244" w:lineRule="auto"/>
              <w:ind w:left="14" w:right="3" w:hanging="2"/>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访记录单）良好，每提供 1 份得1 分，最高得6 分（附相关证明材料复印件/扫描件并加盖供应商公章,业绩单应包括采购人名称和联系方式， 同一项目一年只限提供一份。如提供虚假业绩将按相关规定处理）。</w:t>
            </w:r>
          </w:p>
        </w:tc>
        <w:tc>
          <w:tcPr>
            <w:tcW w:w="782" w:type="dxa"/>
            <w:tcBorders>
              <w:bottom w:val="single" w:color="000000" w:sz="4" w:space="0"/>
            </w:tcBorders>
            <w:vAlign w:val="top"/>
          </w:tcPr>
          <w:p w14:paraId="2F629C92">
            <w:pPr>
              <w:pStyle w:val="53"/>
              <w:spacing w:before="65" w:line="270" w:lineRule="exact"/>
              <w:ind w:left="240"/>
              <w:rPr>
                <w:rFonts w:hint="eastAsia" w:ascii="宋体" w:hAnsi="宋体" w:eastAsia="宋体" w:cs="宋体"/>
                <w:spacing w:val="1"/>
                <w:position w:val="1"/>
                <w:sz w:val="20"/>
                <w:szCs w:val="20"/>
                <w:highlight w:val="none"/>
                <w:lang w:val="en-US" w:eastAsia="zh-CN"/>
              </w:rPr>
            </w:pPr>
          </w:p>
          <w:p w14:paraId="26F26617">
            <w:pPr>
              <w:pStyle w:val="53"/>
              <w:spacing w:before="65" w:line="270" w:lineRule="exact"/>
              <w:ind w:left="240"/>
              <w:rPr>
                <w:rFonts w:hint="default" w:ascii="宋体" w:hAnsi="宋体" w:eastAsia="宋体" w:cs="宋体"/>
                <w:spacing w:val="1"/>
                <w:position w:val="1"/>
                <w:sz w:val="20"/>
                <w:szCs w:val="20"/>
                <w:highlight w:val="none"/>
                <w:lang w:val="en-US" w:eastAsia="zh-CN"/>
              </w:rPr>
            </w:pPr>
            <w:r>
              <w:rPr>
                <w:rFonts w:hint="eastAsia" w:ascii="宋体" w:hAnsi="宋体" w:eastAsia="宋体" w:cs="宋体"/>
                <w:spacing w:val="1"/>
                <w:position w:val="1"/>
                <w:sz w:val="20"/>
                <w:szCs w:val="20"/>
                <w:highlight w:val="none"/>
                <w:lang w:val="en-US" w:eastAsia="zh-CN"/>
              </w:rPr>
              <w:t>0-6</w:t>
            </w:r>
          </w:p>
        </w:tc>
      </w:tr>
      <w:tr w14:paraId="5629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658" w:type="dxa"/>
            <w:vMerge w:val="restart"/>
            <w:vAlign w:val="top"/>
          </w:tcPr>
          <w:p w14:paraId="2E274BC0">
            <w:pPr>
              <w:spacing w:line="254" w:lineRule="auto"/>
              <w:rPr>
                <w:rFonts w:hint="eastAsia" w:ascii="宋体" w:hAnsi="宋体" w:eastAsia="宋体" w:cs="宋体"/>
                <w:sz w:val="21"/>
                <w:highlight w:val="none"/>
              </w:rPr>
            </w:pPr>
          </w:p>
          <w:p w14:paraId="11D9FBA4">
            <w:pPr>
              <w:spacing w:line="254" w:lineRule="auto"/>
              <w:rPr>
                <w:rFonts w:hint="eastAsia" w:ascii="宋体" w:hAnsi="宋体" w:eastAsia="宋体" w:cs="宋体"/>
                <w:sz w:val="21"/>
                <w:highlight w:val="none"/>
              </w:rPr>
            </w:pPr>
          </w:p>
          <w:p w14:paraId="05312041">
            <w:pPr>
              <w:spacing w:line="254" w:lineRule="auto"/>
              <w:rPr>
                <w:rFonts w:hint="eastAsia" w:ascii="宋体" w:hAnsi="宋体" w:eastAsia="宋体" w:cs="宋体"/>
                <w:sz w:val="21"/>
                <w:highlight w:val="none"/>
              </w:rPr>
            </w:pPr>
          </w:p>
          <w:p w14:paraId="65D7FB14">
            <w:pPr>
              <w:spacing w:line="254" w:lineRule="auto"/>
              <w:rPr>
                <w:rFonts w:hint="eastAsia" w:ascii="宋体" w:hAnsi="宋体" w:eastAsia="宋体" w:cs="宋体"/>
                <w:sz w:val="21"/>
                <w:highlight w:val="none"/>
              </w:rPr>
            </w:pPr>
          </w:p>
          <w:p w14:paraId="72319417">
            <w:pPr>
              <w:spacing w:line="254" w:lineRule="auto"/>
              <w:rPr>
                <w:rFonts w:hint="eastAsia" w:ascii="宋体" w:hAnsi="宋体" w:eastAsia="宋体" w:cs="宋体"/>
                <w:sz w:val="21"/>
                <w:highlight w:val="none"/>
              </w:rPr>
            </w:pPr>
          </w:p>
          <w:p w14:paraId="136DF883">
            <w:pPr>
              <w:spacing w:line="254" w:lineRule="auto"/>
              <w:rPr>
                <w:rFonts w:hint="eastAsia" w:ascii="宋体" w:hAnsi="宋体" w:eastAsia="宋体" w:cs="宋体"/>
                <w:sz w:val="21"/>
                <w:highlight w:val="none"/>
              </w:rPr>
            </w:pPr>
          </w:p>
          <w:p w14:paraId="3F2F8EA7">
            <w:pPr>
              <w:spacing w:line="254" w:lineRule="auto"/>
              <w:rPr>
                <w:rFonts w:hint="eastAsia" w:ascii="宋体" w:hAnsi="宋体" w:eastAsia="宋体" w:cs="宋体"/>
                <w:sz w:val="21"/>
                <w:highlight w:val="none"/>
              </w:rPr>
            </w:pPr>
          </w:p>
          <w:p w14:paraId="6A11FD29">
            <w:pPr>
              <w:spacing w:line="254" w:lineRule="auto"/>
              <w:rPr>
                <w:rFonts w:hint="eastAsia" w:ascii="宋体" w:hAnsi="宋体" w:eastAsia="宋体" w:cs="宋体"/>
                <w:sz w:val="21"/>
                <w:highlight w:val="none"/>
              </w:rPr>
            </w:pPr>
          </w:p>
          <w:p w14:paraId="21455F4D">
            <w:pPr>
              <w:spacing w:line="254" w:lineRule="auto"/>
              <w:rPr>
                <w:rFonts w:hint="eastAsia" w:ascii="宋体" w:hAnsi="宋体" w:eastAsia="宋体" w:cs="宋体"/>
                <w:sz w:val="21"/>
                <w:highlight w:val="none"/>
              </w:rPr>
            </w:pPr>
          </w:p>
          <w:p w14:paraId="763F5DBC">
            <w:pPr>
              <w:spacing w:line="254" w:lineRule="auto"/>
              <w:rPr>
                <w:rFonts w:hint="eastAsia" w:ascii="宋体" w:hAnsi="宋体" w:eastAsia="宋体" w:cs="宋体"/>
                <w:sz w:val="21"/>
                <w:highlight w:val="none"/>
              </w:rPr>
            </w:pPr>
          </w:p>
          <w:p w14:paraId="79EEE8E4">
            <w:pPr>
              <w:spacing w:line="254" w:lineRule="auto"/>
              <w:rPr>
                <w:rFonts w:hint="eastAsia" w:ascii="宋体" w:hAnsi="宋体" w:eastAsia="宋体" w:cs="宋体"/>
                <w:sz w:val="21"/>
                <w:highlight w:val="none"/>
              </w:rPr>
            </w:pPr>
          </w:p>
          <w:p w14:paraId="106F2B6D">
            <w:pPr>
              <w:spacing w:line="254" w:lineRule="auto"/>
              <w:rPr>
                <w:rFonts w:hint="eastAsia" w:ascii="宋体" w:hAnsi="宋体" w:eastAsia="宋体" w:cs="宋体"/>
                <w:sz w:val="21"/>
                <w:highlight w:val="none"/>
              </w:rPr>
            </w:pPr>
          </w:p>
          <w:p w14:paraId="0C118B26">
            <w:pPr>
              <w:spacing w:line="254" w:lineRule="auto"/>
              <w:rPr>
                <w:rFonts w:hint="eastAsia" w:ascii="宋体" w:hAnsi="宋体" w:eastAsia="宋体" w:cs="宋体"/>
                <w:sz w:val="21"/>
                <w:highlight w:val="none"/>
              </w:rPr>
            </w:pPr>
          </w:p>
          <w:p w14:paraId="19A0C7C1">
            <w:pPr>
              <w:spacing w:line="254" w:lineRule="auto"/>
              <w:rPr>
                <w:rFonts w:hint="eastAsia" w:ascii="宋体" w:hAnsi="宋体" w:eastAsia="宋体" w:cs="宋体"/>
                <w:sz w:val="21"/>
                <w:highlight w:val="none"/>
              </w:rPr>
            </w:pPr>
          </w:p>
          <w:p w14:paraId="119E12BC">
            <w:pPr>
              <w:spacing w:line="255" w:lineRule="auto"/>
              <w:rPr>
                <w:rFonts w:hint="eastAsia" w:ascii="宋体" w:hAnsi="宋体" w:eastAsia="宋体" w:cs="宋体"/>
                <w:sz w:val="21"/>
                <w:highlight w:val="none"/>
              </w:rPr>
            </w:pPr>
          </w:p>
          <w:p w14:paraId="3383CF62">
            <w:pPr>
              <w:pStyle w:val="53"/>
              <w:spacing w:before="65" w:line="252" w:lineRule="auto"/>
              <w:ind w:left="116" w:right="104" w:hanging="3"/>
              <w:jc w:val="both"/>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3.技</w:t>
            </w:r>
            <w:r>
              <w:rPr>
                <w:rFonts w:hint="eastAsia" w:ascii="宋体" w:hAnsi="宋体" w:eastAsia="宋体" w:cs="宋体"/>
                <w:spacing w:val="1"/>
                <w:sz w:val="20"/>
                <w:szCs w:val="20"/>
                <w:highlight w:val="none"/>
              </w:rPr>
              <w:t>术部</w:t>
            </w:r>
            <w:r>
              <w:rPr>
                <w:rFonts w:hint="eastAsia" w:ascii="宋体" w:hAnsi="宋体" w:eastAsia="宋体" w:cs="宋体"/>
                <w:spacing w:val="49"/>
                <w:w w:val="125"/>
                <w:sz w:val="20"/>
                <w:szCs w:val="20"/>
                <w:highlight w:val="none"/>
              </w:rPr>
              <w:t>分</w:t>
            </w:r>
          </w:p>
        </w:tc>
        <w:tc>
          <w:tcPr>
            <w:tcW w:w="1028" w:type="dxa"/>
            <w:vMerge w:val="restart"/>
            <w:vAlign w:val="top"/>
          </w:tcPr>
          <w:p w14:paraId="280859D0">
            <w:pPr>
              <w:spacing w:line="250" w:lineRule="auto"/>
              <w:rPr>
                <w:rFonts w:hint="eastAsia" w:ascii="宋体" w:hAnsi="宋体" w:eastAsia="宋体" w:cs="宋体"/>
                <w:sz w:val="21"/>
                <w:highlight w:val="none"/>
              </w:rPr>
            </w:pPr>
          </w:p>
          <w:p w14:paraId="5CDA582E">
            <w:pPr>
              <w:spacing w:line="250" w:lineRule="auto"/>
              <w:rPr>
                <w:rFonts w:hint="eastAsia" w:ascii="宋体" w:hAnsi="宋体" w:eastAsia="宋体" w:cs="宋体"/>
                <w:sz w:val="21"/>
                <w:highlight w:val="none"/>
              </w:rPr>
            </w:pPr>
          </w:p>
          <w:p w14:paraId="2C49F29F">
            <w:pPr>
              <w:spacing w:line="250" w:lineRule="auto"/>
              <w:rPr>
                <w:rFonts w:hint="eastAsia" w:ascii="宋体" w:hAnsi="宋体" w:eastAsia="宋体" w:cs="宋体"/>
                <w:sz w:val="21"/>
                <w:highlight w:val="none"/>
              </w:rPr>
            </w:pPr>
          </w:p>
          <w:p w14:paraId="76E754D9">
            <w:pPr>
              <w:spacing w:line="250" w:lineRule="auto"/>
              <w:rPr>
                <w:rFonts w:hint="eastAsia" w:ascii="宋体" w:hAnsi="宋体" w:eastAsia="宋体" w:cs="宋体"/>
                <w:sz w:val="21"/>
                <w:highlight w:val="none"/>
              </w:rPr>
            </w:pPr>
          </w:p>
          <w:p w14:paraId="3677AA92">
            <w:pPr>
              <w:spacing w:line="250" w:lineRule="auto"/>
              <w:rPr>
                <w:rFonts w:hint="eastAsia" w:ascii="宋体" w:hAnsi="宋体" w:eastAsia="宋体" w:cs="宋体"/>
                <w:sz w:val="21"/>
                <w:highlight w:val="none"/>
              </w:rPr>
            </w:pPr>
          </w:p>
          <w:p w14:paraId="5A7F9B5E">
            <w:pPr>
              <w:spacing w:line="250" w:lineRule="auto"/>
              <w:rPr>
                <w:rFonts w:hint="eastAsia" w:ascii="宋体" w:hAnsi="宋体" w:eastAsia="宋体" w:cs="宋体"/>
                <w:sz w:val="21"/>
                <w:highlight w:val="none"/>
              </w:rPr>
            </w:pPr>
          </w:p>
          <w:p w14:paraId="3FACE3C0">
            <w:pPr>
              <w:spacing w:line="250" w:lineRule="auto"/>
              <w:rPr>
                <w:rFonts w:hint="eastAsia" w:ascii="宋体" w:hAnsi="宋体" w:eastAsia="宋体" w:cs="宋体"/>
                <w:sz w:val="21"/>
                <w:highlight w:val="none"/>
              </w:rPr>
            </w:pPr>
          </w:p>
          <w:p w14:paraId="0A20B1DC">
            <w:pPr>
              <w:spacing w:line="250" w:lineRule="auto"/>
              <w:rPr>
                <w:rFonts w:hint="eastAsia" w:ascii="宋体" w:hAnsi="宋体" w:eastAsia="宋体" w:cs="宋体"/>
                <w:sz w:val="21"/>
                <w:highlight w:val="none"/>
              </w:rPr>
            </w:pPr>
          </w:p>
          <w:p w14:paraId="46C52173">
            <w:pPr>
              <w:spacing w:line="250" w:lineRule="auto"/>
              <w:rPr>
                <w:rFonts w:hint="eastAsia" w:ascii="宋体" w:hAnsi="宋体" w:eastAsia="宋体" w:cs="宋体"/>
                <w:sz w:val="21"/>
                <w:highlight w:val="none"/>
              </w:rPr>
            </w:pPr>
          </w:p>
          <w:p w14:paraId="5B59078F">
            <w:pPr>
              <w:spacing w:line="250" w:lineRule="auto"/>
              <w:rPr>
                <w:rFonts w:hint="eastAsia" w:ascii="宋体" w:hAnsi="宋体" w:eastAsia="宋体" w:cs="宋体"/>
                <w:sz w:val="21"/>
                <w:highlight w:val="none"/>
              </w:rPr>
            </w:pPr>
          </w:p>
          <w:p w14:paraId="7EEE0E4E">
            <w:pPr>
              <w:spacing w:line="251" w:lineRule="auto"/>
              <w:rPr>
                <w:rFonts w:hint="eastAsia" w:ascii="宋体" w:hAnsi="宋体" w:eastAsia="宋体" w:cs="宋体"/>
                <w:sz w:val="21"/>
                <w:highlight w:val="none"/>
              </w:rPr>
            </w:pPr>
          </w:p>
          <w:p w14:paraId="60F9BC24">
            <w:pPr>
              <w:spacing w:line="251" w:lineRule="auto"/>
              <w:rPr>
                <w:rFonts w:hint="eastAsia" w:ascii="宋体" w:hAnsi="宋体" w:eastAsia="宋体" w:cs="宋体"/>
                <w:sz w:val="21"/>
                <w:highlight w:val="none"/>
              </w:rPr>
            </w:pPr>
          </w:p>
          <w:p w14:paraId="6ACE03F3">
            <w:pPr>
              <w:pStyle w:val="53"/>
              <w:spacing w:before="65" w:line="251" w:lineRule="auto"/>
              <w:ind w:left="17" w:right="4" w:firstLine="93"/>
              <w:jc w:val="both"/>
              <w:rPr>
                <w:rFonts w:hint="eastAsia" w:ascii="宋体" w:hAnsi="宋体" w:eastAsia="宋体" w:cs="宋体"/>
                <w:sz w:val="20"/>
                <w:szCs w:val="20"/>
                <w:highlight w:val="none"/>
                <w:lang w:val="en-US" w:eastAsia="zh-CN"/>
              </w:rPr>
            </w:pPr>
            <w:r>
              <w:rPr>
                <w:rFonts w:hint="eastAsia" w:ascii="宋体" w:hAnsi="宋体" w:eastAsia="宋体" w:cs="宋体"/>
                <w:spacing w:val="1"/>
                <w:sz w:val="20"/>
                <w:szCs w:val="20"/>
                <w:highlight w:val="none"/>
              </w:rPr>
              <w:t>项目</w:t>
            </w:r>
            <w:r>
              <w:rPr>
                <w:rFonts w:hint="eastAsia" w:ascii="宋体" w:hAnsi="宋体" w:eastAsia="宋体" w:cs="宋体"/>
                <w:spacing w:val="48"/>
                <w:sz w:val="20"/>
                <w:szCs w:val="20"/>
                <w:highlight w:val="none"/>
              </w:rPr>
              <w:t>负责</w:t>
            </w:r>
            <w:r>
              <w:rPr>
                <w:rFonts w:hint="eastAsia" w:ascii="宋体" w:hAnsi="宋体" w:eastAsia="宋体" w:cs="宋体"/>
                <w:spacing w:val="-1"/>
                <w:sz w:val="20"/>
                <w:szCs w:val="20"/>
                <w:highlight w:val="none"/>
              </w:rPr>
              <w:t>人、团</w:t>
            </w:r>
            <w:r>
              <w:rPr>
                <w:rFonts w:hint="eastAsia" w:ascii="宋体" w:hAnsi="宋体" w:eastAsia="宋体" w:cs="宋体"/>
                <w:spacing w:val="48"/>
                <w:sz w:val="20"/>
                <w:szCs w:val="20"/>
                <w:highlight w:val="none"/>
              </w:rPr>
              <w:t>队配置及运行方案</w:t>
            </w:r>
            <w:r>
              <w:rPr>
                <w:rFonts w:hint="eastAsia" w:ascii="宋体" w:hAnsi="宋体" w:eastAsia="宋体" w:cs="宋体"/>
                <w:spacing w:val="48"/>
                <w:sz w:val="20"/>
                <w:szCs w:val="20"/>
                <w:highlight w:val="none"/>
                <w:lang w:eastAsia="zh-CN"/>
              </w:rPr>
              <w:t>（</w:t>
            </w:r>
            <w:r>
              <w:rPr>
                <w:rFonts w:hint="eastAsia" w:ascii="宋体" w:hAnsi="宋体" w:eastAsia="宋体" w:cs="宋体"/>
                <w:spacing w:val="48"/>
                <w:sz w:val="20"/>
                <w:szCs w:val="20"/>
                <w:highlight w:val="none"/>
                <w:lang w:val="en-US" w:eastAsia="zh-CN"/>
              </w:rPr>
              <w:t>78分</w:t>
            </w:r>
            <w:r>
              <w:rPr>
                <w:rFonts w:hint="eastAsia" w:ascii="宋体" w:hAnsi="宋体" w:eastAsia="宋体" w:cs="宋体"/>
                <w:spacing w:val="48"/>
                <w:sz w:val="20"/>
                <w:szCs w:val="20"/>
                <w:highlight w:val="none"/>
                <w:lang w:eastAsia="zh-CN"/>
              </w:rPr>
              <w:t>）</w:t>
            </w:r>
          </w:p>
        </w:tc>
        <w:tc>
          <w:tcPr>
            <w:tcW w:w="828" w:type="dxa"/>
            <w:vAlign w:val="top"/>
          </w:tcPr>
          <w:p w14:paraId="614F94CE">
            <w:pPr>
              <w:spacing w:line="251" w:lineRule="auto"/>
              <w:rPr>
                <w:rFonts w:hint="eastAsia" w:ascii="宋体" w:hAnsi="宋体" w:eastAsia="宋体" w:cs="宋体"/>
                <w:sz w:val="21"/>
                <w:highlight w:val="none"/>
              </w:rPr>
            </w:pPr>
          </w:p>
          <w:p w14:paraId="28843E78">
            <w:pPr>
              <w:spacing w:line="251" w:lineRule="auto"/>
              <w:rPr>
                <w:rFonts w:hint="eastAsia" w:ascii="宋体" w:hAnsi="宋体" w:eastAsia="宋体" w:cs="宋体"/>
                <w:sz w:val="21"/>
                <w:highlight w:val="none"/>
              </w:rPr>
            </w:pPr>
          </w:p>
          <w:p w14:paraId="03767B17">
            <w:pPr>
              <w:pStyle w:val="53"/>
              <w:spacing w:before="75" w:line="309" w:lineRule="exact"/>
              <w:ind w:left="243"/>
              <w:rPr>
                <w:rFonts w:hint="eastAsia" w:ascii="宋体" w:hAnsi="宋体" w:eastAsia="宋体" w:cs="宋体"/>
                <w:highlight w:val="none"/>
              </w:rPr>
            </w:pPr>
            <w:r>
              <w:rPr>
                <w:rFonts w:hint="eastAsia" w:ascii="宋体" w:hAnsi="宋体" w:eastAsia="宋体" w:cs="宋体"/>
                <w:spacing w:val="-1"/>
                <w:position w:val="2"/>
                <w:highlight w:val="none"/>
              </w:rPr>
              <w:t>3.1</w:t>
            </w:r>
          </w:p>
        </w:tc>
        <w:tc>
          <w:tcPr>
            <w:tcW w:w="6810" w:type="dxa"/>
            <w:tcBorders>
              <w:top w:val="single" w:color="000000" w:sz="4" w:space="0"/>
              <w:bottom w:val="single" w:color="000000" w:sz="4" w:space="0"/>
            </w:tcBorders>
            <w:vAlign w:val="top"/>
          </w:tcPr>
          <w:p w14:paraId="200347F3">
            <w:pPr>
              <w:pStyle w:val="53"/>
              <w:spacing w:before="202" w:line="251" w:lineRule="auto"/>
              <w:ind w:left="12" w:right="84"/>
              <w:jc w:val="both"/>
              <w:rPr>
                <w:rFonts w:hint="eastAsia" w:ascii="宋体" w:hAnsi="宋体" w:eastAsia="宋体" w:cs="宋体"/>
                <w:sz w:val="20"/>
                <w:szCs w:val="20"/>
                <w:highlight w:val="none"/>
              </w:rPr>
            </w:pPr>
            <w:r>
              <w:rPr>
                <w:rFonts w:hint="eastAsia" w:ascii="宋体" w:hAnsi="宋体" w:eastAsia="宋体" w:cs="宋体"/>
                <w:spacing w:val="10"/>
                <w:sz w:val="20"/>
                <w:szCs w:val="20"/>
                <w:highlight w:val="none"/>
                <w:lang w:eastAsia="zh-CN"/>
              </w:rPr>
              <w:t>供应商</w:t>
            </w:r>
            <w:r>
              <w:rPr>
                <w:rFonts w:hint="eastAsia" w:ascii="宋体" w:hAnsi="宋体" w:eastAsia="宋体" w:cs="宋体"/>
                <w:spacing w:val="10"/>
                <w:sz w:val="20"/>
                <w:szCs w:val="20"/>
                <w:highlight w:val="none"/>
              </w:rPr>
              <w:t>拟派负责人具有担任基本公共卫生服务类项目负责人</w:t>
            </w:r>
            <w:r>
              <w:rPr>
                <w:rFonts w:hint="eastAsia" w:ascii="宋体" w:hAnsi="宋体" w:eastAsia="宋体" w:cs="宋体"/>
                <w:spacing w:val="10"/>
                <w:sz w:val="20"/>
                <w:szCs w:val="20"/>
                <w:highlight w:val="none"/>
                <w:lang w:val="en-US" w:eastAsia="zh-CN"/>
              </w:rPr>
              <w:t>具有</w:t>
            </w:r>
            <w:r>
              <w:rPr>
                <w:rFonts w:hint="eastAsia" w:ascii="宋体" w:hAnsi="宋体" w:eastAsia="宋体" w:cs="宋体"/>
                <w:spacing w:val="9"/>
                <w:sz w:val="20"/>
                <w:szCs w:val="20"/>
                <w:highlight w:val="none"/>
              </w:rPr>
              <w:t>社区卫生服务机构工作经历且具备初级及以上职称（附证明材料并加盖</w:t>
            </w:r>
            <w:r>
              <w:rPr>
                <w:rFonts w:hint="eastAsia" w:ascii="宋体" w:hAnsi="宋体" w:eastAsia="宋体" w:cs="宋体"/>
                <w:spacing w:val="9"/>
                <w:sz w:val="20"/>
                <w:szCs w:val="20"/>
                <w:highlight w:val="none"/>
                <w:lang w:eastAsia="zh-CN"/>
              </w:rPr>
              <w:t>供应商</w:t>
            </w:r>
            <w:r>
              <w:rPr>
                <w:rFonts w:hint="eastAsia" w:ascii="宋体" w:hAnsi="宋体" w:eastAsia="宋体" w:cs="宋体"/>
                <w:spacing w:val="9"/>
                <w:sz w:val="20"/>
                <w:szCs w:val="20"/>
                <w:highlight w:val="none"/>
              </w:rPr>
              <w:t>公章</w:t>
            </w:r>
            <w:r>
              <w:rPr>
                <w:rFonts w:hint="eastAsia" w:ascii="宋体" w:hAnsi="宋体" w:eastAsia="宋体" w:cs="宋体"/>
                <w:spacing w:val="18"/>
                <w:sz w:val="20"/>
                <w:szCs w:val="20"/>
                <w:highlight w:val="none"/>
              </w:rPr>
              <w:t>）；</w:t>
            </w:r>
            <w:r>
              <w:rPr>
                <w:rFonts w:hint="eastAsia" w:ascii="宋体" w:hAnsi="宋体" w:eastAsia="宋体" w:cs="宋体"/>
                <w:spacing w:val="9"/>
                <w:sz w:val="20"/>
                <w:szCs w:val="20"/>
                <w:highlight w:val="none"/>
              </w:rPr>
              <w:t>各</w:t>
            </w:r>
            <w:r>
              <w:rPr>
                <w:rFonts w:hint="eastAsia" w:ascii="宋体" w:hAnsi="宋体" w:eastAsia="宋体" w:cs="宋体"/>
                <w:spacing w:val="9"/>
                <w:sz w:val="20"/>
                <w:szCs w:val="20"/>
                <w:highlight w:val="none"/>
                <w:lang w:eastAsia="zh-CN"/>
              </w:rPr>
              <w:t>供应商</w:t>
            </w:r>
            <w:r>
              <w:rPr>
                <w:rFonts w:hint="eastAsia" w:ascii="宋体" w:hAnsi="宋体" w:eastAsia="宋体" w:cs="宋体"/>
                <w:spacing w:val="9"/>
                <w:sz w:val="20"/>
                <w:szCs w:val="20"/>
                <w:highlight w:val="none"/>
              </w:rPr>
              <w:t>横</w:t>
            </w:r>
            <w:r>
              <w:rPr>
                <w:rFonts w:hint="eastAsia" w:ascii="宋体" w:hAnsi="宋体" w:eastAsia="宋体" w:cs="宋体"/>
                <w:spacing w:val="9"/>
                <w:sz w:val="20"/>
                <w:szCs w:val="20"/>
                <w:highlight w:val="none"/>
                <w:lang w:val="en-US" w:eastAsia="zh-CN"/>
              </w:rPr>
              <w:t>承诺</w:t>
            </w:r>
            <w:r>
              <w:rPr>
                <w:rFonts w:hint="eastAsia" w:ascii="宋体" w:hAnsi="宋体" w:eastAsia="宋体" w:cs="宋体"/>
                <w:spacing w:val="9"/>
                <w:sz w:val="20"/>
                <w:szCs w:val="20"/>
                <w:highlight w:val="none"/>
              </w:rPr>
              <w:t>向比较，项目负责人的工作经验、职称等最</w:t>
            </w:r>
            <w:r>
              <w:rPr>
                <w:rFonts w:hint="eastAsia" w:ascii="宋体" w:hAnsi="宋体" w:eastAsia="宋体" w:cs="宋体"/>
                <w:spacing w:val="4"/>
                <w:sz w:val="20"/>
                <w:szCs w:val="20"/>
                <w:highlight w:val="none"/>
              </w:rPr>
              <w:t>优的得</w:t>
            </w:r>
            <w:r>
              <w:rPr>
                <w:rFonts w:hint="eastAsia" w:ascii="宋体" w:hAnsi="宋体" w:eastAsia="宋体" w:cs="宋体"/>
                <w:spacing w:val="-22"/>
                <w:sz w:val="20"/>
                <w:szCs w:val="20"/>
                <w:highlight w:val="none"/>
                <w:lang w:val="en-US" w:eastAsia="zh-CN"/>
              </w:rPr>
              <w:t>5</w:t>
            </w:r>
            <w:r>
              <w:rPr>
                <w:rFonts w:hint="eastAsia" w:ascii="宋体" w:hAnsi="宋体" w:eastAsia="宋体" w:cs="宋体"/>
                <w:spacing w:val="4"/>
                <w:sz w:val="20"/>
                <w:szCs w:val="20"/>
                <w:highlight w:val="none"/>
              </w:rPr>
              <w:t>分，其次得</w:t>
            </w:r>
            <w:r>
              <w:rPr>
                <w:rFonts w:hint="eastAsia" w:ascii="宋体" w:hAnsi="宋体" w:eastAsia="宋体" w:cs="宋体"/>
                <w:spacing w:val="-39"/>
                <w:sz w:val="20"/>
                <w:szCs w:val="20"/>
                <w:highlight w:val="none"/>
                <w:lang w:val="en-US" w:eastAsia="zh-CN"/>
              </w:rPr>
              <w:t>4</w:t>
            </w:r>
            <w:r>
              <w:rPr>
                <w:rFonts w:hint="eastAsia" w:ascii="宋体" w:hAnsi="宋体" w:eastAsia="宋体" w:cs="宋体"/>
                <w:spacing w:val="4"/>
                <w:sz w:val="20"/>
                <w:szCs w:val="20"/>
                <w:highlight w:val="none"/>
              </w:rPr>
              <w:t>分，再其次的</w:t>
            </w:r>
            <w:r>
              <w:rPr>
                <w:rFonts w:hint="eastAsia" w:ascii="宋体" w:hAnsi="宋体" w:eastAsia="宋体" w:cs="宋体"/>
                <w:spacing w:val="-36"/>
                <w:sz w:val="20"/>
                <w:szCs w:val="20"/>
                <w:highlight w:val="none"/>
              </w:rPr>
              <w:t xml:space="preserve"> </w:t>
            </w:r>
            <w:r>
              <w:rPr>
                <w:rFonts w:hint="eastAsia" w:ascii="宋体" w:hAnsi="宋体" w:eastAsia="宋体" w:cs="宋体"/>
                <w:spacing w:val="4"/>
                <w:sz w:val="20"/>
                <w:szCs w:val="20"/>
                <w:highlight w:val="none"/>
                <w:lang w:val="en-US" w:eastAsia="zh-CN"/>
              </w:rPr>
              <w:t>3</w:t>
            </w:r>
            <w:r>
              <w:rPr>
                <w:rFonts w:hint="eastAsia" w:ascii="宋体" w:hAnsi="宋体" w:eastAsia="宋体" w:cs="宋体"/>
                <w:spacing w:val="4"/>
                <w:sz w:val="20"/>
                <w:szCs w:val="20"/>
                <w:highlight w:val="none"/>
              </w:rPr>
              <w:t>分，</w:t>
            </w:r>
            <w:r>
              <w:rPr>
                <w:rFonts w:hint="eastAsia" w:ascii="宋体" w:hAnsi="宋体" w:eastAsia="宋体" w:cs="宋体"/>
                <w:spacing w:val="4"/>
                <w:sz w:val="20"/>
                <w:szCs w:val="20"/>
                <w:highlight w:val="none"/>
                <w:lang w:val="en-US" w:eastAsia="zh-CN"/>
              </w:rPr>
              <w:t>依次类推，不提供不</w:t>
            </w:r>
            <w:r>
              <w:rPr>
                <w:rFonts w:hint="eastAsia" w:ascii="宋体" w:hAnsi="宋体" w:eastAsia="宋体" w:cs="宋体"/>
                <w:spacing w:val="4"/>
                <w:sz w:val="20"/>
                <w:szCs w:val="20"/>
                <w:highlight w:val="none"/>
              </w:rPr>
              <w:t>得分。</w:t>
            </w:r>
          </w:p>
        </w:tc>
        <w:tc>
          <w:tcPr>
            <w:tcW w:w="782" w:type="dxa"/>
            <w:tcBorders>
              <w:top w:val="single" w:color="000000" w:sz="4" w:space="0"/>
              <w:bottom w:val="single" w:color="000000" w:sz="4" w:space="0"/>
            </w:tcBorders>
            <w:vAlign w:val="top"/>
          </w:tcPr>
          <w:p w14:paraId="18099AB0">
            <w:pPr>
              <w:spacing w:line="270" w:lineRule="auto"/>
              <w:rPr>
                <w:rFonts w:hint="eastAsia" w:ascii="宋体" w:hAnsi="宋体" w:eastAsia="宋体" w:cs="宋体"/>
                <w:sz w:val="21"/>
                <w:highlight w:val="none"/>
              </w:rPr>
            </w:pPr>
          </w:p>
          <w:p w14:paraId="07F2261C">
            <w:pPr>
              <w:spacing w:line="271" w:lineRule="auto"/>
              <w:rPr>
                <w:rFonts w:hint="eastAsia" w:ascii="宋体" w:hAnsi="宋体" w:eastAsia="宋体" w:cs="宋体"/>
                <w:sz w:val="21"/>
                <w:highlight w:val="none"/>
              </w:rPr>
            </w:pPr>
          </w:p>
          <w:p w14:paraId="4584EA22">
            <w:pPr>
              <w:pStyle w:val="53"/>
              <w:spacing w:before="65" w:line="270" w:lineRule="exact"/>
              <w:ind w:left="240"/>
              <w:rPr>
                <w:rFonts w:hint="eastAsia" w:ascii="宋体" w:hAnsi="宋体" w:eastAsia="宋体" w:cs="宋体"/>
                <w:sz w:val="20"/>
                <w:szCs w:val="20"/>
                <w:highlight w:val="none"/>
                <w:lang w:eastAsia="zh-CN"/>
              </w:rPr>
            </w:pPr>
            <w:r>
              <w:rPr>
                <w:rFonts w:hint="eastAsia" w:ascii="宋体" w:hAnsi="宋体" w:eastAsia="宋体" w:cs="宋体"/>
                <w:spacing w:val="1"/>
                <w:position w:val="1"/>
                <w:sz w:val="20"/>
                <w:szCs w:val="20"/>
                <w:highlight w:val="none"/>
              </w:rPr>
              <w:t>0-</w:t>
            </w:r>
            <w:r>
              <w:rPr>
                <w:rFonts w:hint="eastAsia" w:ascii="宋体" w:hAnsi="宋体" w:eastAsia="宋体" w:cs="宋体"/>
                <w:spacing w:val="1"/>
                <w:position w:val="1"/>
                <w:sz w:val="20"/>
                <w:szCs w:val="20"/>
                <w:highlight w:val="none"/>
                <w:lang w:val="en-US" w:eastAsia="zh-CN"/>
              </w:rPr>
              <w:t>5</w:t>
            </w:r>
          </w:p>
        </w:tc>
      </w:tr>
      <w:tr w14:paraId="0C56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658" w:type="dxa"/>
            <w:vMerge w:val="continue"/>
            <w:vAlign w:val="top"/>
          </w:tcPr>
          <w:p w14:paraId="66B86338">
            <w:pPr>
              <w:rPr>
                <w:rFonts w:hint="eastAsia" w:ascii="宋体" w:hAnsi="宋体" w:eastAsia="宋体" w:cs="宋体"/>
                <w:sz w:val="21"/>
                <w:highlight w:val="none"/>
              </w:rPr>
            </w:pPr>
          </w:p>
        </w:tc>
        <w:tc>
          <w:tcPr>
            <w:tcW w:w="1028" w:type="dxa"/>
            <w:vMerge w:val="continue"/>
            <w:vAlign w:val="top"/>
          </w:tcPr>
          <w:p w14:paraId="074E44C1">
            <w:pPr>
              <w:rPr>
                <w:rFonts w:hint="eastAsia" w:ascii="宋体" w:hAnsi="宋体" w:eastAsia="宋体" w:cs="宋体"/>
                <w:sz w:val="21"/>
                <w:highlight w:val="none"/>
              </w:rPr>
            </w:pPr>
          </w:p>
        </w:tc>
        <w:tc>
          <w:tcPr>
            <w:tcW w:w="828" w:type="dxa"/>
            <w:vAlign w:val="top"/>
          </w:tcPr>
          <w:p w14:paraId="665248B1">
            <w:pPr>
              <w:spacing w:line="258" w:lineRule="auto"/>
              <w:rPr>
                <w:rFonts w:hint="eastAsia" w:ascii="宋体" w:hAnsi="宋体" w:eastAsia="宋体" w:cs="宋体"/>
                <w:sz w:val="21"/>
                <w:highlight w:val="none"/>
              </w:rPr>
            </w:pPr>
          </w:p>
          <w:p w14:paraId="36F900CA">
            <w:pPr>
              <w:spacing w:line="258" w:lineRule="auto"/>
              <w:rPr>
                <w:rFonts w:hint="eastAsia" w:ascii="宋体" w:hAnsi="宋体" w:eastAsia="宋体" w:cs="宋体"/>
                <w:sz w:val="21"/>
                <w:highlight w:val="none"/>
              </w:rPr>
            </w:pPr>
          </w:p>
          <w:p w14:paraId="2C648B3A">
            <w:pPr>
              <w:spacing w:line="258" w:lineRule="auto"/>
              <w:rPr>
                <w:rFonts w:hint="eastAsia" w:ascii="宋体" w:hAnsi="宋体" w:eastAsia="宋体" w:cs="宋体"/>
                <w:sz w:val="21"/>
                <w:highlight w:val="none"/>
              </w:rPr>
            </w:pPr>
          </w:p>
          <w:p w14:paraId="78DE917F">
            <w:pPr>
              <w:spacing w:line="259" w:lineRule="auto"/>
              <w:rPr>
                <w:rFonts w:hint="eastAsia" w:ascii="宋体" w:hAnsi="宋体" w:eastAsia="宋体" w:cs="宋体"/>
                <w:sz w:val="21"/>
                <w:highlight w:val="none"/>
              </w:rPr>
            </w:pPr>
          </w:p>
          <w:p w14:paraId="4E819EBB">
            <w:pPr>
              <w:spacing w:line="259" w:lineRule="auto"/>
              <w:rPr>
                <w:rFonts w:hint="eastAsia" w:ascii="宋体" w:hAnsi="宋体" w:eastAsia="宋体" w:cs="宋体"/>
                <w:sz w:val="21"/>
                <w:highlight w:val="none"/>
              </w:rPr>
            </w:pPr>
          </w:p>
          <w:p w14:paraId="50A7B5D8">
            <w:pPr>
              <w:spacing w:line="259" w:lineRule="auto"/>
              <w:rPr>
                <w:rFonts w:hint="eastAsia" w:ascii="宋体" w:hAnsi="宋体" w:eastAsia="宋体" w:cs="宋体"/>
                <w:sz w:val="21"/>
                <w:highlight w:val="none"/>
              </w:rPr>
            </w:pPr>
          </w:p>
          <w:p w14:paraId="37332E86">
            <w:pPr>
              <w:pStyle w:val="53"/>
              <w:spacing w:before="75" w:line="309" w:lineRule="exact"/>
              <w:ind w:left="243"/>
              <w:rPr>
                <w:rFonts w:hint="eastAsia" w:ascii="宋体" w:hAnsi="宋体" w:eastAsia="宋体" w:cs="宋体"/>
                <w:highlight w:val="none"/>
              </w:rPr>
            </w:pPr>
            <w:r>
              <w:rPr>
                <w:rFonts w:hint="eastAsia" w:ascii="宋体" w:hAnsi="宋体" w:eastAsia="宋体" w:cs="宋体"/>
                <w:spacing w:val="-1"/>
                <w:position w:val="2"/>
                <w:highlight w:val="none"/>
              </w:rPr>
              <w:t>3.2</w:t>
            </w:r>
          </w:p>
        </w:tc>
        <w:tc>
          <w:tcPr>
            <w:tcW w:w="6810" w:type="dxa"/>
            <w:tcBorders>
              <w:top w:val="single" w:color="000000" w:sz="4" w:space="0"/>
              <w:bottom w:val="single" w:color="000000" w:sz="4" w:space="0"/>
            </w:tcBorders>
            <w:vAlign w:val="top"/>
          </w:tcPr>
          <w:p w14:paraId="6CBAAB7A">
            <w:pPr>
              <w:pStyle w:val="53"/>
              <w:spacing w:before="33" w:line="251" w:lineRule="auto"/>
              <w:ind w:left="13" w:right="84" w:firstLine="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1.西医或中西医结合临床执业医师资质：不少于</w:t>
            </w:r>
            <w:r>
              <w:rPr>
                <w:rFonts w:hint="eastAsia" w:ascii="宋体" w:hAnsi="宋体" w:eastAsia="宋体" w:cs="宋体"/>
                <w:spacing w:val="-23"/>
                <w:sz w:val="20"/>
                <w:szCs w:val="20"/>
                <w:highlight w:val="none"/>
              </w:rPr>
              <w:t xml:space="preserve"> </w:t>
            </w:r>
            <w:r>
              <w:rPr>
                <w:rFonts w:hint="eastAsia" w:ascii="宋体" w:hAnsi="宋体" w:eastAsia="宋体" w:cs="宋体"/>
                <w:spacing w:val="6"/>
                <w:sz w:val="20"/>
                <w:szCs w:val="20"/>
                <w:highlight w:val="none"/>
              </w:rPr>
              <w:t>2</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名且有</w:t>
            </w:r>
            <w:r>
              <w:rPr>
                <w:rFonts w:hint="eastAsia" w:ascii="宋体" w:hAnsi="宋体" w:eastAsia="宋体" w:cs="宋体"/>
                <w:spacing w:val="-22"/>
                <w:sz w:val="20"/>
                <w:szCs w:val="20"/>
                <w:highlight w:val="none"/>
              </w:rPr>
              <w:t xml:space="preserve"> </w:t>
            </w:r>
            <w:r>
              <w:rPr>
                <w:rFonts w:hint="eastAsia" w:ascii="宋体" w:hAnsi="宋体" w:eastAsia="宋体" w:cs="宋体"/>
                <w:spacing w:val="6"/>
                <w:sz w:val="20"/>
                <w:szCs w:val="20"/>
                <w:highlight w:val="none"/>
              </w:rPr>
              <w:t>1-5</w:t>
            </w:r>
            <w:r>
              <w:rPr>
                <w:rFonts w:hint="eastAsia" w:ascii="宋体" w:hAnsi="宋体" w:eastAsia="宋体" w:cs="宋体"/>
                <w:spacing w:val="-29"/>
                <w:sz w:val="20"/>
                <w:szCs w:val="20"/>
                <w:highlight w:val="none"/>
              </w:rPr>
              <w:t xml:space="preserve"> </w:t>
            </w:r>
            <w:r>
              <w:rPr>
                <w:rFonts w:hint="eastAsia" w:ascii="宋体" w:hAnsi="宋体" w:eastAsia="宋体" w:cs="宋体"/>
                <w:spacing w:val="6"/>
                <w:sz w:val="20"/>
                <w:szCs w:val="20"/>
                <w:highlight w:val="none"/>
              </w:rPr>
              <w:t>年以上工作</w:t>
            </w:r>
            <w:r>
              <w:rPr>
                <w:rFonts w:hint="eastAsia" w:ascii="宋体" w:hAnsi="宋体" w:eastAsia="宋体" w:cs="宋体"/>
                <w:spacing w:val="4"/>
                <w:sz w:val="20"/>
                <w:szCs w:val="20"/>
                <w:highlight w:val="none"/>
              </w:rPr>
              <w:t>经验（其中至少</w:t>
            </w:r>
            <w:r>
              <w:rPr>
                <w:rFonts w:hint="eastAsia" w:ascii="宋体" w:hAnsi="宋体" w:eastAsia="宋体" w:cs="宋体"/>
                <w:spacing w:val="-23"/>
                <w:sz w:val="20"/>
                <w:szCs w:val="20"/>
                <w:highlight w:val="none"/>
              </w:rPr>
              <w:t xml:space="preserve"> </w:t>
            </w:r>
            <w:r>
              <w:rPr>
                <w:rFonts w:hint="eastAsia" w:ascii="宋体" w:hAnsi="宋体" w:eastAsia="宋体" w:cs="宋体"/>
                <w:spacing w:val="4"/>
                <w:sz w:val="20"/>
                <w:szCs w:val="20"/>
                <w:highlight w:val="none"/>
              </w:rPr>
              <w:t>1</w:t>
            </w:r>
            <w:r>
              <w:rPr>
                <w:rFonts w:hint="eastAsia" w:ascii="宋体" w:hAnsi="宋体" w:eastAsia="宋体" w:cs="宋体"/>
                <w:spacing w:val="-34"/>
                <w:sz w:val="20"/>
                <w:szCs w:val="20"/>
                <w:highlight w:val="none"/>
              </w:rPr>
              <w:t xml:space="preserve"> </w:t>
            </w:r>
            <w:r>
              <w:rPr>
                <w:rFonts w:hint="eastAsia" w:ascii="宋体" w:hAnsi="宋体" w:eastAsia="宋体" w:cs="宋体"/>
                <w:spacing w:val="4"/>
                <w:sz w:val="20"/>
                <w:szCs w:val="20"/>
                <w:highlight w:val="none"/>
              </w:rPr>
              <w:t>名全科医师</w:t>
            </w:r>
            <w:r>
              <w:rPr>
                <w:rFonts w:hint="eastAsia" w:ascii="宋体" w:hAnsi="宋体" w:eastAsia="宋体" w:cs="宋体"/>
                <w:spacing w:val="16"/>
                <w:sz w:val="20"/>
                <w:szCs w:val="20"/>
                <w:highlight w:val="none"/>
              </w:rPr>
              <w:t>）；</w:t>
            </w:r>
          </w:p>
          <w:p w14:paraId="236162A4">
            <w:pPr>
              <w:pStyle w:val="53"/>
              <w:spacing w:line="229" w:lineRule="auto"/>
              <w:ind w:left="9"/>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2.执业药师资质或药师职称资质：</w:t>
            </w:r>
            <w:r>
              <w:rPr>
                <w:rFonts w:hint="eastAsia" w:ascii="宋体" w:hAnsi="宋体" w:eastAsia="宋体" w:cs="宋体"/>
                <w:spacing w:val="-59"/>
                <w:sz w:val="20"/>
                <w:szCs w:val="20"/>
                <w:highlight w:val="none"/>
              </w:rPr>
              <w:t xml:space="preserve"> </w:t>
            </w:r>
            <w:r>
              <w:rPr>
                <w:rFonts w:hint="eastAsia" w:ascii="宋体" w:hAnsi="宋体" w:eastAsia="宋体" w:cs="宋体"/>
                <w:spacing w:val="4"/>
                <w:sz w:val="20"/>
                <w:szCs w:val="20"/>
                <w:highlight w:val="none"/>
              </w:rPr>
              <w:t>不少于</w:t>
            </w:r>
            <w:r>
              <w:rPr>
                <w:rFonts w:hint="eastAsia" w:ascii="宋体" w:hAnsi="宋体" w:eastAsia="宋体" w:cs="宋体"/>
                <w:spacing w:val="-27"/>
                <w:sz w:val="20"/>
                <w:szCs w:val="20"/>
                <w:highlight w:val="none"/>
              </w:rPr>
              <w:t xml:space="preserve"> </w:t>
            </w:r>
            <w:r>
              <w:rPr>
                <w:rFonts w:hint="eastAsia" w:ascii="宋体" w:hAnsi="宋体" w:eastAsia="宋体" w:cs="宋体"/>
                <w:spacing w:val="4"/>
                <w:sz w:val="20"/>
                <w:szCs w:val="20"/>
                <w:highlight w:val="none"/>
                <w:lang w:val="en-US" w:eastAsia="zh-CN"/>
              </w:rPr>
              <w:t>2</w:t>
            </w:r>
            <w:r>
              <w:rPr>
                <w:rFonts w:hint="eastAsia" w:ascii="宋体" w:hAnsi="宋体" w:eastAsia="宋体" w:cs="宋体"/>
                <w:spacing w:val="-31"/>
                <w:sz w:val="20"/>
                <w:szCs w:val="20"/>
                <w:highlight w:val="none"/>
              </w:rPr>
              <w:t xml:space="preserve"> </w:t>
            </w:r>
            <w:r>
              <w:rPr>
                <w:rFonts w:hint="eastAsia" w:ascii="宋体" w:hAnsi="宋体" w:eastAsia="宋体" w:cs="宋体"/>
                <w:spacing w:val="4"/>
                <w:sz w:val="20"/>
                <w:szCs w:val="20"/>
                <w:highlight w:val="none"/>
              </w:rPr>
              <w:t>名；</w:t>
            </w:r>
          </w:p>
          <w:p w14:paraId="4BCDF557">
            <w:pPr>
              <w:pStyle w:val="53"/>
              <w:spacing w:before="24" w:line="229" w:lineRule="auto"/>
              <w:ind w:left="11"/>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3.</w:t>
            </w:r>
            <w:r>
              <w:rPr>
                <w:rFonts w:hint="eastAsia" w:ascii="宋体" w:hAnsi="宋体" w:eastAsia="宋体" w:cs="宋体"/>
                <w:spacing w:val="-56"/>
                <w:sz w:val="20"/>
                <w:szCs w:val="20"/>
                <w:highlight w:val="none"/>
              </w:rPr>
              <w:t xml:space="preserve"> </w:t>
            </w:r>
            <w:r>
              <w:rPr>
                <w:rFonts w:hint="eastAsia" w:ascii="宋体" w:hAnsi="宋体" w:eastAsia="宋体" w:cs="宋体"/>
                <w:spacing w:val="3"/>
                <w:sz w:val="20"/>
                <w:szCs w:val="20"/>
                <w:highlight w:val="none"/>
              </w:rPr>
              <w:t>中医执业医师：不少于</w:t>
            </w:r>
            <w:r>
              <w:rPr>
                <w:rFonts w:hint="eastAsia" w:ascii="宋体" w:hAnsi="宋体" w:eastAsia="宋体" w:cs="宋体"/>
                <w:spacing w:val="-37"/>
                <w:sz w:val="20"/>
                <w:szCs w:val="20"/>
                <w:highlight w:val="none"/>
              </w:rPr>
              <w:t xml:space="preserve"> </w:t>
            </w:r>
            <w:r>
              <w:rPr>
                <w:rFonts w:hint="eastAsia" w:ascii="宋体" w:hAnsi="宋体" w:eastAsia="宋体" w:cs="宋体"/>
                <w:spacing w:val="3"/>
                <w:sz w:val="20"/>
                <w:szCs w:val="20"/>
                <w:highlight w:val="none"/>
                <w:lang w:val="en-US" w:eastAsia="zh-CN"/>
              </w:rPr>
              <w:t>3</w:t>
            </w:r>
            <w:r>
              <w:rPr>
                <w:rFonts w:hint="eastAsia" w:ascii="宋体" w:hAnsi="宋体" w:eastAsia="宋体" w:cs="宋体"/>
                <w:spacing w:val="-33"/>
                <w:sz w:val="20"/>
                <w:szCs w:val="20"/>
                <w:highlight w:val="none"/>
              </w:rPr>
              <w:t xml:space="preserve"> </w:t>
            </w:r>
            <w:r>
              <w:rPr>
                <w:rFonts w:hint="eastAsia" w:ascii="宋体" w:hAnsi="宋体" w:eastAsia="宋体" w:cs="宋体"/>
                <w:spacing w:val="3"/>
                <w:sz w:val="20"/>
                <w:szCs w:val="20"/>
                <w:highlight w:val="none"/>
              </w:rPr>
              <w:t>名且有</w:t>
            </w:r>
            <w:r>
              <w:rPr>
                <w:rFonts w:hint="eastAsia" w:ascii="宋体" w:hAnsi="宋体" w:eastAsia="宋体" w:cs="宋体"/>
                <w:spacing w:val="-23"/>
                <w:sz w:val="20"/>
                <w:szCs w:val="20"/>
                <w:highlight w:val="none"/>
              </w:rPr>
              <w:t xml:space="preserve"> </w:t>
            </w:r>
            <w:r>
              <w:rPr>
                <w:rFonts w:hint="eastAsia" w:ascii="宋体" w:hAnsi="宋体" w:eastAsia="宋体" w:cs="宋体"/>
                <w:spacing w:val="3"/>
                <w:sz w:val="20"/>
                <w:szCs w:val="20"/>
                <w:highlight w:val="none"/>
              </w:rPr>
              <w:t>1-5</w:t>
            </w:r>
            <w:r>
              <w:rPr>
                <w:rFonts w:hint="eastAsia" w:ascii="宋体" w:hAnsi="宋体" w:eastAsia="宋体" w:cs="宋体"/>
                <w:spacing w:val="-28"/>
                <w:sz w:val="20"/>
                <w:szCs w:val="20"/>
                <w:highlight w:val="none"/>
              </w:rPr>
              <w:t xml:space="preserve"> </w:t>
            </w:r>
            <w:r>
              <w:rPr>
                <w:rFonts w:hint="eastAsia" w:ascii="宋体" w:hAnsi="宋体" w:eastAsia="宋体" w:cs="宋体"/>
                <w:spacing w:val="3"/>
                <w:sz w:val="20"/>
                <w:szCs w:val="20"/>
                <w:highlight w:val="none"/>
              </w:rPr>
              <w:t>年以上工作经</w:t>
            </w:r>
            <w:r>
              <w:rPr>
                <w:rFonts w:hint="eastAsia" w:ascii="宋体" w:hAnsi="宋体" w:eastAsia="宋体" w:cs="宋体"/>
                <w:spacing w:val="2"/>
                <w:sz w:val="20"/>
                <w:szCs w:val="20"/>
                <w:highlight w:val="none"/>
              </w:rPr>
              <w:t>验；</w:t>
            </w:r>
          </w:p>
          <w:p w14:paraId="6A359F08">
            <w:pPr>
              <w:pStyle w:val="53"/>
              <w:spacing w:before="23" w:line="229" w:lineRule="auto"/>
              <w:ind w:left="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4.护士资质：不少于</w:t>
            </w:r>
            <w:r>
              <w:rPr>
                <w:rFonts w:hint="eastAsia" w:ascii="宋体" w:hAnsi="宋体" w:eastAsia="宋体" w:cs="宋体"/>
                <w:spacing w:val="-29"/>
                <w:sz w:val="20"/>
                <w:szCs w:val="20"/>
                <w:highlight w:val="none"/>
              </w:rPr>
              <w:t xml:space="preserve"> </w:t>
            </w:r>
            <w:r>
              <w:rPr>
                <w:rFonts w:hint="eastAsia" w:ascii="宋体" w:hAnsi="宋体" w:eastAsia="宋体" w:cs="宋体"/>
                <w:spacing w:val="4"/>
                <w:sz w:val="20"/>
                <w:szCs w:val="20"/>
                <w:highlight w:val="none"/>
                <w:lang w:val="en-US" w:eastAsia="zh-CN"/>
              </w:rPr>
              <w:t>6</w:t>
            </w:r>
            <w:r>
              <w:rPr>
                <w:rFonts w:hint="eastAsia" w:ascii="宋体" w:hAnsi="宋体" w:eastAsia="宋体" w:cs="宋体"/>
                <w:spacing w:val="-33"/>
                <w:sz w:val="20"/>
                <w:szCs w:val="20"/>
                <w:highlight w:val="none"/>
              </w:rPr>
              <w:t xml:space="preserve"> </w:t>
            </w:r>
            <w:r>
              <w:rPr>
                <w:rFonts w:hint="eastAsia" w:ascii="宋体" w:hAnsi="宋体" w:eastAsia="宋体" w:cs="宋体"/>
                <w:spacing w:val="4"/>
                <w:sz w:val="20"/>
                <w:szCs w:val="20"/>
                <w:highlight w:val="none"/>
              </w:rPr>
              <w:t>名且有</w:t>
            </w:r>
            <w:r>
              <w:rPr>
                <w:rFonts w:hint="eastAsia" w:ascii="宋体" w:hAnsi="宋体" w:eastAsia="宋体" w:cs="宋体"/>
                <w:spacing w:val="-23"/>
                <w:sz w:val="20"/>
                <w:szCs w:val="20"/>
                <w:highlight w:val="none"/>
              </w:rPr>
              <w:t xml:space="preserve"> </w:t>
            </w:r>
            <w:r>
              <w:rPr>
                <w:rFonts w:hint="eastAsia" w:ascii="宋体" w:hAnsi="宋体" w:eastAsia="宋体" w:cs="宋体"/>
                <w:spacing w:val="4"/>
                <w:sz w:val="20"/>
                <w:szCs w:val="20"/>
                <w:highlight w:val="none"/>
              </w:rPr>
              <w:t>1-5</w:t>
            </w:r>
            <w:r>
              <w:rPr>
                <w:rFonts w:hint="eastAsia" w:ascii="宋体" w:hAnsi="宋体" w:eastAsia="宋体" w:cs="宋体"/>
                <w:spacing w:val="-28"/>
                <w:sz w:val="20"/>
                <w:szCs w:val="20"/>
                <w:highlight w:val="none"/>
              </w:rPr>
              <w:t xml:space="preserve"> </w:t>
            </w:r>
            <w:r>
              <w:rPr>
                <w:rFonts w:hint="eastAsia" w:ascii="宋体" w:hAnsi="宋体" w:eastAsia="宋体" w:cs="宋体"/>
                <w:spacing w:val="4"/>
                <w:sz w:val="20"/>
                <w:szCs w:val="20"/>
                <w:highlight w:val="none"/>
              </w:rPr>
              <w:t>年以上工作经验；</w:t>
            </w:r>
          </w:p>
          <w:p w14:paraId="561E93C6">
            <w:pPr>
              <w:pStyle w:val="53"/>
              <w:spacing w:before="24" w:line="251" w:lineRule="auto"/>
              <w:ind w:left="14" w:right="3" w:hanging="3"/>
              <w:rPr>
                <w:rFonts w:hint="eastAsia" w:ascii="宋体" w:hAnsi="宋体" w:eastAsia="宋体" w:cs="宋体"/>
                <w:spacing w:val="2"/>
                <w:sz w:val="20"/>
                <w:szCs w:val="20"/>
                <w:highlight w:val="none"/>
              </w:rPr>
            </w:pPr>
            <w:r>
              <w:rPr>
                <w:rFonts w:hint="eastAsia" w:ascii="宋体" w:hAnsi="宋体" w:eastAsia="宋体" w:cs="宋体"/>
                <w:spacing w:val="5"/>
                <w:sz w:val="20"/>
                <w:szCs w:val="20"/>
                <w:highlight w:val="none"/>
              </w:rPr>
              <w:t>5.如承诺承担妇儿保等公共卫生工作，需提供医师资质：2</w:t>
            </w:r>
            <w:r>
              <w:rPr>
                <w:rFonts w:hint="eastAsia" w:ascii="宋体" w:hAnsi="宋体" w:eastAsia="宋体" w:cs="宋体"/>
                <w:spacing w:val="-31"/>
                <w:sz w:val="20"/>
                <w:szCs w:val="20"/>
                <w:highlight w:val="none"/>
              </w:rPr>
              <w:t xml:space="preserve"> </w:t>
            </w:r>
            <w:r>
              <w:rPr>
                <w:rFonts w:hint="eastAsia" w:ascii="宋体" w:hAnsi="宋体" w:eastAsia="宋体" w:cs="宋体"/>
                <w:spacing w:val="5"/>
                <w:sz w:val="20"/>
                <w:szCs w:val="20"/>
                <w:highlight w:val="none"/>
              </w:rPr>
              <w:t>名</w:t>
            </w:r>
            <w:r>
              <w:rPr>
                <w:rFonts w:hint="eastAsia" w:ascii="宋体" w:hAnsi="宋体" w:eastAsia="宋体" w:cs="宋体"/>
                <w:spacing w:val="-25"/>
                <w:sz w:val="20"/>
                <w:szCs w:val="20"/>
                <w:highlight w:val="none"/>
              </w:rPr>
              <w:t xml:space="preserve"> </w:t>
            </w:r>
            <w:r>
              <w:rPr>
                <w:rFonts w:hint="eastAsia" w:ascii="宋体" w:hAnsi="宋体" w:eastAsia="宋体" w:cs="宋体"/>
                <w:spacing w:val="5"/>
                <w:sz w:val="20"/>
                <w:szCs w:val="20"/>
                <w:highlight w:val="none"/>
              </w:rPr>
              <w:t>1-5</w:t>
            </w:r>
            <w:r>
              <w:rPr>
                <w:rFonts w:hint="eastAsia" w:ascii="宋体" w:hAnsi="宋体" w:eastAsia="宋体" w:cs="宋体"/>
                <w:spacing w:val="-28"/>
                <w:sz w:val="20"/>
                <w:szCs w:val="20"/>
                <w:highlight w:val="none"/>
              </w:rPr>
              <w:t xml:space="preserve"> </w:t>
            </w:r>
            <w:r>
              <w:rPr>
                <w:rFonts w:hint="eastAsia" w:ascii="宋体" w:hAnsi="宋体" w:eastAsia="宋体" w:cs="宋体"/>
                <w:spacing w:val="4"/>
                <w:sz w:val="20"/>
                <w:szCs w:val="20"/>
                <w:highlight w:val="none"/>
              </w:rPr>
              <w:t>年以</w:t>
            </w:r>
            <w:r>
              <w:rPr>
                <w:rFonts w:hint="eastAsia" w:ascii="宋体" w:hAnsi="宋体" w:eastAsia="宋体" w:cs="宋体"/>
                <w:spacing w:val="2"/>
                <w:sz w:val="20"/>
                <w:szCs w:val="20"/>
                <w:highlight w:val="none"/>
              </w:rPr>
              <w:t>上工作经验。</w:t>
            </w:r>
          </w:p>
          <w:p w14:paraId="40DAFA69">
            <w:pPr>
              <w:pStyle w:val="53"/>
              <w:spacing w:before="24" w:line="251" w:lineRule="auto"/>
              <w:ind w:left="14" w:right="3" w:hanging="3"/>
              <w:rPr>
                <w:rFonts w:hint="eastAsia" w:ascii="宋体" w:hAnsi="宋体" w:eastAsia="宋体" w:cs="宋体"/>
                <w:spacing w:val="2"/>
                <w:sz w:val="20"/>
                <w:szCs w:val="20"/>
                <w:highlight w:val="none"/>
                <w:lang w:val="en-US" w:eastAsia="zh-CN"/>
              </w:rPr>
            </w:pPr>
            <w:r>
              <w:rPr>
                <w:rFonts w:hint="eastAsia" w:ascii="宋体" w:hAnsi="宋体" w:eastAsia="宋体" w:cs="宋体"/>
                <w:spacing w:val="2"/>
                <w:sz w:val="20"/>
                <w:szCs w:val="20"/>
                <w:highlight w:val="none"/>
                <w:lang w:val="en-US" w:eastAsia="zh-CN"/>
              </w:rPr>
              <w:t>6.影像技师不少于1名，检验技师不少于1名，并提供相关资质。</w:t>
            </w:r>
          </w:p>
          <w:p w14:paraId="5FE41314">
            <w:pPr>
              <w:pStyle w:val="53"/>
              <w:spacing w:line="229" w:lineRule="auto"/>
              <w:ind w:left="1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注：1.（助理医师、助理药师等不能够单独执业的人员不计算人数</w:t>
            </w:r>
            <w:r>
              <w:rPr>
                <w:rFonts w:hint="eastAsia" w:ascii="宋体" w:hAnsi="宋体" w:eastAsia="宋体" w:cs="宋体"/>
                <w:spacing w:val="-7"/>
                <w:sz w:val="20"/>
                <w:szCs w:val="20"/>
                <w:highlight w:val="none"/>
              </w:rPr>
              <w:t>）；</w:t>
            </w:r>
          </w:p>
          <w:p w14:paraId="4B9BADD0">
            <w:pPr>
              <w:pStyle w:val="53"/>
              <w:spacing w:before="24" w:line="244" w:lineRule="auto"/>
              <w:ind w:left="12" w:right="82" w:hanging="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w:t>
            </w:r>
            <w:r>
              <w:rPr>
                <w:rFonts w:hint="eastAsia" w:ascii="宋体" w:hAnsi="宋体" w:eastAsia="宋体" w:cs="宋体"/>
                <w:spacing w:val="9"/>
                <w:sz w:val="20"/>
                <w:szCs w:val="20"/>
                <w:highlight w:val="none"/>
                <w:lang w:eastAsia="zh-CN"/>
              </w:rPr>
              <w:t>供应商</w:t>
            </w:r>
            <w:r>
              <w:rPr>
                <w:rFonts w:hint="eastAsia" w:ascii="宋体" w:hAnsi="宋体" w:eastAsia="宋体" w:cs="宋体"/>
                <w:spacing w:val="9"/>
                <w:sz w:val="20"/>
                <w:szCs w:val="20"/>
                <w:highlight w:val="none"/>
              </w:rPr>
              <w:t>根据本项目特点，设定科学合理的管理机构及岗位，机构人员构</w:t>
            </w:r>
            <w:r>
              <w:rPr>
                <w:rFonts w:hint="eastAsia" w:ascii="宋体" w:hAnsi="宋体" w:eastAsia="宋体" w:cs="宋体"/>
                <w:spacing w:val="8"/>
                <w:sz w:val="20"/>
                <w:szCs w:val="20"/>
                <w:highlight w:val="none"/>
              </w:rPr>
              <w:t>成合理，</w:t>
            </w:r>
            <w:r>
              <w:rPr>
                <w:rFonts w:hint="eastAsia" w:ascii="宋体" w:hAnsi="宋体" w:eastAsia="宋体" w:cs="宋体"/>
                <w:spacing w:val="-37"/>
                <w:sz w:val="20"/>
                <w:szCs w:val="20"/>
                <w:highlight w:val="none"/>
              </w:rPr>
              <w:t xml:space="preserve"> </w:t>
            </w:r>
            <w:r>
              <w:rPr>
                <w:rFonts w:hint="eastAsia" w:ascii="宋体" w:hAnsi="宋体" w:eastAsia="宋体" w:cs="宋体"/>
                <w:spacing w:val="8"/>
                <w:sz w:val="20"/>
                <w:szCs w:val="20"/>
                <w:highlight w:val="none"/>
              </w:rPr>
              <w:t>岗位齐全，职责分工明确，并制定工作</w:t>
            </w:r>
            <w:r>
              <w:rPr>
                <w:rFonts w:hint="eastAsia" w:ascii="宋体" w:hAnsi="宋体" w:eastAsia="宋体" w:cs="宋体"/>
                <w:spacing w:val="7"/>
                <w:sz w:val="20"/>
                <w:szCs w:val="20"/>
                <w:highlight w:val="none"/>
              </w:rPr>
              <w:t>现场管理制度及人员管理</w:t>
            </w:r>
            <w:r>
              <w:rPr>
                <w:rFonts w:hint="eastAsia" w:ascii="宋体" w:hAnsi="宋体" w:eastAsia="宋体" w:cs="宋体"/>
                <w:spacing w:val="8"/>
                <w:sz w:val="20"/>
                <w:szCs w:val="20"/>
                <w:highlight w:val="none"/>
              </w:rPr>
              <w:t>规范（附主要管理、工作人员花名册及其简历基本信息、资质证明文件、</w:t>
            </w:r>
            <w:r>
              <w:rPr>
                <w:rFonts w:hint="eastAsia" w:ascii="宋体" w:hAnsi="宋体" w:eastAsia="宋体" w:cs="宋体"/>
                <w:spacing w:val="7"/>
                <w:sz w:val="20"/>
                <w:szCs w:val="20"/>
                <w:highlight w:val="none"/>
              </w:rPr>
              <w:t>职称等证明材料复印件加盖</w:t>
            </w:r>
            <w:r>
              <w:rPr>
                <w:rFonts w:hint="eastAsia" w:ascii="宋体" w:hAnsi="宋体" w:eastAsia="宋体" w:cs="宋体"/>
                <w:spacing w:val="7"/>
                <w:sz w:val="20"/>
                <w:szCs w:val="20"/>
                <w:highlight w:val="none"/>
                <w:lang w:eastAsia="zh-CN"/>
              </w:rPr>
              <w:t>供应商</w:t>
            </w:r>
            <w:r>
              <w:rPr>
                <w:rFonts w:hint="eastAsia" w:ascii="宋体" w:hAnsi="宋体" w:eastAsia="宋体" w:cs="宋体"/>
                <w:spacing w:val="7"/>
                <w:sz w:val="20"/>
                <w:szCs w:val="20"/>
                <w:highlight w:val="none"/>
              </w:rPr>
              <w:t>公章）。以上</w:t>
            </w:r>
            <w:r>
              <w:rPr>
                <w:rFonts w:hint="eastAsia" w:ascii="宋体" w:hAnsi="宋体" w:eastAsia="宋体" w:cs="宋体"/>
                <w:spacing w:val="-35"/>
                <w:sz w:val="20"/>
                <w:szCs w:val="20"/>
                <w:highlight w:val="none"/>
                <w:lang w:val="en-US" w:eastAsia="zh-CN"/>
              </w:rPr>
              <w:t>6</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项每项</w:t>
            </w:r>
            <w:r>
              <w:rPr>
                <w:rFonts w:hint="eastAsia" w:ascii="宋体" w:hAnsi="宋体" w:eastAsia="宋体" w:cs="宋体"/>
                <w:spacing w:val="-36"/>
                <w:sz w:val="20"/>
                <w:szCs w:val="20"/>
                <w:highlight w:val="none"/>
              </w:rPr>
              <w:t xml:space="preserve"> </w:t>
            </w:r>
            <w:r>
              <w:rPr>
                <w:rFonts w:hint="eastAsia" w:ascii="宋体" w:hAnsi="宋体" w:eastAsia="宋体" w:cs="宋体"/>
                <w:spacing w:val="6"/>
                <w:sz w:val="20"/>
                <w:szCs w:val="20"/>
                <w:highlight w:val="none"/>
                <w:lang w:val="en-US" w:eastAsia="zh-CN"/>
              </w:rPr>
              <w:t>4</w:t>
            </w:r>
            <w:r>
              <w:rPr>
                <w:rFonts w:hint="eastAsia" w:ascii="宋体" w:hAnsi="宋体" w:eastAsia="宋体" w:cs="宋体"/>
                <w:spacing w:val="6"/>
                <w:sz w:val="20"/>
                <w:szCs w:val="20"/>
                <w:highlight w:val="none"/>
              </w:rPr>
              <w:t>分，</w:t>
            </w:r>
            <w:r>
              <w:rPr>
                <w:rFonts w:hint="eastAsia" w:ascii="宋体" w:hAnsi="宋体" w:eastAsia="宋体" w:cs="宋体"/>
                <w:spacing w:val="6"/>
                <w:sz w:val="20"/>
                <w:szCs w:val="20"/>
                <w:highlight w:val="none"/>
                <w:lang w:val="en-US" w:eastAsia="zh-CN"/>
              </w:rPr>
              <w:t>横向对比，每项较优的得4分，其次3分，再其次得2分，</w:t>
            </w:r>
            <w:r>
              <w:rPr>
                <w:rFonts w:hint="eastAsia" w:ascii="宋体" w:hAnsi="宋体" w:eastAsia="宋体" w:cs="宋体"/>
                <w:spacing w:val="4"/>
                <w:sz w:val="20"/>
                <w:szCs w:val="20"/>
                <w:highlight w:val="none"/>
                <w:lang w:val="en-US" w:eastAsia="zh-CN"/>
              </w:rPr>
              <w:t>依次类推</w:t>
            </w:r>
            <w:r>
              <w:rPr>
                <w:rFonts w:hint="eastAsia" w:ascii="宋体" w:hAnsi="宋体" w:eastAsia="宋体" w:cs="宋体"/>
                <w:spacing w:val="6"/>
                <w:sz w:val="20"/>
                <w:szCs w:val="20"/>
                <w:highlight w:val="none"/>
                <w:lang w:val="en-US" w:eastAsia="zh-CN"/>
              </w:rPr>
              <w:t>。</w:t>
            </w:r>
            <w:r>
              <w:rPr>
                <w:rFonts w:hint="eastAsia" w:ascii="宋体" w:hAnsi="宋体" w:eastAsia="宋体" w:cs="宋体"/>
                <w:spacing w:val="6"/>
                <w:sz w:val="20"/>
                <w:szCs w:val="20"/>
                <w:highlight w:val="none"/>
              </w:rPr>
              <w:t>前</w:t>
            </w:r>
            <w:r>
              <w:rPr>
                <w:rFonts w:hint="eastAsia" w:ascii="宋体" w:hAnsi="宋体" w:eastAsia="宋体" w:cs="宋体"/>
                <w:spacing w:val="-39"/>
                <w:sz w:val="20"/>
                <w:szCs w:val="20"/>
                <w:highlight w:val="none"/>
              </w:rPr>
              <w:t xml:space="preserve"> </w:t>
            </w:r>
            <w:r>
              <w:rPr>
                <w:rFonts w:hint="eastAsia" w:ascii="宋体" w:hAnsi="宋体" w:eastAsia="宋体" w:cs="宋体"/>
                <w:spacing w:val="6"/>
                <w:sz w:val="20"/>
                <w:szCs w:val="20"/>
                <w:highlight w:val="none"/>
              </w:rPr>
              <w:t>4</w:t>
            </w:r>
            <w:r>
              <w:rPr>
                <w:rFonts w:hint="eastAsia" w:ascii="宋体" w:hAnsi="宋体" w:eastAsia="宋体" w:cs="宋体"/>
                <w:spacing w:val="-34"/>
                <w:sz w:val="20"/>
                <w:szCs w:val="20"/>
                <w:highlight w:val="none"/>
              </w:rPr>
              <w:t xml:space="preserve"> </w:t>
            </w:r>
            <w:r>
              <w:rPr>
                <w:rFonts w:hint="eastAsia" w:ascii="宋体" w:hAnsi="宋体" w:eastAsia="宋体" w:cs="宋体"/>
                <w:spacing w:val="6"/>
                <w:sz w:val="20"/>
                <w:szCs w:val="20"/>
                <w:highlight w:val="none"/>
              </w:rPr>
              <w:t>项不</w:t>
            </w:r>
            <w:r>
              <w:rPr>
                <w:rFonts w:hint="eastAsia" w:ascii="宋体" w:hAnsi="宋体" w:eastAsia="宋体" w:cs="宋体"/>
                <w:spacing w:val="7"/>
                <w:sz w:val="20"/>
                <w:szCs w:val="20"/>
                <w:highlight w:val="none"/>
              </w:rPr>
              <w:t>达标此大项不得分。</w:t>
            </w:r>
          </w:p>
        </w:tc>
        <w:tc>
          <w:tcPr>
            <w:tcW w:w="782" w:type="dxa"/>
            <w:tcBorders>
              <w:top w:val="single" w:color="000000" w:sz="4" w:space="0"/>
              <w:bottom w:val="single" w:color="000000" w:sz="4" w:space="0"/>
            </w:tcBorders>
            <w:vAlign w:val="top"/>
          </w:tcPr>
          <w:p w14:paraId="22C4D525">
            <w:pPr>
              <w:spacing w:line="265" w:lineRule="auto"/>
              <w:rPr>
                <w:rFonts w:hint="eastAsia" w:ascii="宋体" w:hAnsi="宋体" w:eastAsia="宋体" w:cs="宋体"/>
                <w:sz w:val="21"/>
                <w:highlight w:val="none"/>
              </w:rPr>
            </w:pPr>
          </w:p>
          <w:p w14:paraId="690D01E6">
            <w:pPr>
              <w:spacing w:line="265" w:lineRule="auto"/>
              <w:rPr>
                <w:rFonts w:hint="eastAsia" w:ascii="宋体" w:hAnsi="宋体" w:eastAsia="宋体" w:cs="宋体"/>
                <w:sz w:val="21"/>
                <w:highlight w:val="none"/>
              </w:rPr>
            </w:pPr>
          </w:p>
          <w:p w14:paraId="27DE9845">
            <w:pPr>
              <w:spacing w:line="265" w:lineRule="auto"/>
              <w:rPr>
                <w:rFonts w:hint="eastAsia" w:ascii="宋体" w:hAnsi="宋体" w:eastAsia="宋体" w:cs="宋体"/>
                <w:sz w:val="21"/>
                <w:highlight w:val="none"/>
              </w:rPr>
            </w:pPr>
          </w:p>
          <w:p w14:paraId="60AA761F">
            <w:pPr>
              <w:spacing w:line="265" w:lineRule="auto"/>
              <w:rPr>
                <w:rFonts w:hint="eastAsia" w:ascii="宋体" w:hAnsi="宋体" w:eastAsia="宋体" w:cs="宋体"/>
                <w:sz w:val="21"/>
                <w:highlight w:val="none"/>
              </w:rPr>
            </w:pPr>
          </w:p>
          <w:p w14:paraId="6B26CB3B">
            <w:pPr>
              <w:spacing w:line="266" w:lineRule="auto"/>
              <w:rPr>
                <w:rFonts w:hint="eastAsia" w:ascii="宋体" w:hAnsi="宋体" w:eastAsia="宋体" w:cs="宋体"/>
                <w:sz w:val="21"/>
                <w:highlight w:val="none"/>
              </w:rPr>
            </w:pPr>
          </w:p>
          <w:p w14:paraId="55C9BE9F">
            <w:pPr>
              <w:spacing w:line="266" w:lineRule="auto"/>
              <w:rPr>
                <w:rFonts w:hint="eastAsia" w:ascii="宋体" w:hAnsi="宋体" w:eastAsia="宋体" w:cs="宋体"/>
                <w:sz w:val="21"/>
                <w:highlight w:val="none"/>
              </w:rPr>
            </w:pPr>
          </w:p>
          <w:p w14:paraId="568F2CB0">
            <w:pPr>
              <w:pStyle w:val="53"/>
              <w:spacing w:before="65" w:line="270" w:lineRule="exact"/>
              <w:ind w:left="187"/>
              <w:rPr>
                <w:rFonts w:hint="default" w:ascii="宋体" w:hAnsi="宋体" w:eastAsia="宋体" w:cs="宋体"/>
                <w:sz w:val="20"/>
                <w:szCs w:val="20"/>
                <w:highlight w:val="none"/>
                <w:lang w:val="en-US" w:eastAsia="zh-CN"/>
              </w:rPr>
            </w:pPr>
            <w:r>
              <w:rPr>
                <w:rFonts w:hint="eastAsia" w:ascii="宋体" w:hAnsi="宋体" w:eastAsia="宋体" w:cs="宋体"/>
                <w:spacing w:val="2"/>
                <w:position w:val="1"/>
                <w:sz w:val="20"/>
                <w:szCs w:val="20"/>
                <w:highlight w:val="none"/>
              </w:rPr>
              <w:t>0-</w:t>
            </w:r>
            <w:r>
              <w:rPr>
                <w:rFonts w:hint="eastAsia" w:ascii="宋体" w:hAnsi="宋体" w:eastAsia="宋体" w:cs="宋体"/>
                <w:spacing w:val="2"/>
                <w:position w:val="1"/>
                <w:sz w:val="20"/>
                <w:szCs w:val="20"/>
                <w:highlight w:val="none"/>
                <w:lang w:val="en-US" w:eastAsia="zh-CN"/>
              </w:rPr>
              <w:t>24</w:t>
            </w:r>
          </w:p>
        </w:tc>
      </w:tr>
      <w:tr w14:paraId="0D68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58" w:type="dxa"/>
            <w:vMerge w:val="continue"/>
            <w:vAlign w:val="top"/>
          </w:tcPr>
          <w:p w14:paraId="1F3BBEED">
            <w:pPr>
              <w:rPr>
                <w:rFonts w:hint="eastAsia" w:ascii="宋体" w:hAnsi="宋体" w:eastAsia="宋体" w:cs="宋体"/>
                <w:sz w:val="21"/>
                <w:highlight w:val="none"/>
              </w:rPr>
            </w:pPr>
          </w:p>
        </w:tc>
        <w:tc>
          <w:tcPr>
            <w:tcW w:w="1028" w:type="dxa"/>
            <w:vMerge w:val="continue"/>
            <w:vAlign w:val="top"/>
          </w:tcPr>
          <w:p w14:paraId="538AE346">
            <w:pPr>
              <w:rPr>
                <w:rFonts w:hint="eastAsia" w:ascii="宋体" w:hAnsi="宋体" w:eastAsia="宋体" w:cs="宋体"/>
                <w:sz w:val="21"/>
                <w:highlight w:val="none"/>
              </w:rPr>
            </w:pPr>
          </w:p>
        </w:tc>
        <w:tc>
          <w:tcPr>
            <w:tcW w:w="828" w:type="dxa"/>
            <w:vAlign w:val="top"/>
          </w:tcPr>
          <w:p w14:paraId="0A2006D4">
            <w:pPr>
              <w:spacing w:line="304" w:lineRule="auto"/>
              <w:rPr>
                <w:rFonts w:hint="eastAsia" w:ascii="宋体" w:hAnsi="宋体" w:eastAsia="宋体" w:cs="宋体"/>
                <w:sz w:val="21"/>
                <w:highlight w:val="none"/>
              </w:rPr>
            </w:pPr>
          </w:p>
          <w:p w14:paraId="35F6B02C">
            <w:pPr>
              <w:spacing w:line="305" w:lineRule="auto"/>
              <w:rPr>
                <w:rFonts w:hint="eastAsia" w:ascii="宋体" w:hAnsi="宋体" w:eastAsia="宋体" w:cs="宋体"/>
                <w:sz w:val="21"/>
                <w:highlight w:val="none"/>
              </w:rPr>
            </w:pPr>
          </w:p>
          <w:p w14:paraId="655E17F4">
            <w:pPr>
              <w:pStyle w:val="53"/>
              <w:spacing w:before="74" w:line="310" w:lineRule="exact"/>
              <w:ind w:left="243"/>
              <w:rPr>
                <w:rFonts w:hint="eastAsia" w:ascii="宋体" w:hAnsi="宋体" w:eastAsia="宋体" w:cs="宋体"/>
                <w:highlight w:val="none"/>
              </w:rPr>
            </w:pPr>
            <w:r>
              <w:rPr>
                <w:rFonts w:hint="eastAsia" w:ascii="宋体" w:hAnsi="宋体" w:eastAsia="宋体" w:cs="宋体"/>
                <w:spacing w:val="-1"/>
                <w:position w:val="2"/>
                <w:highlight w:val="none"/>
              </w:rPr>
              <w:t>3.3</w:t>
            </w:r>
          </w:p>
        </w:tc>
        <w:tc>
          <w:tcPr>
            <w:tcW w:w="6810" w:type="dxa"/>
            <w:tcBorders>
              <w:top w:val="single" w:color="000000" w:sz="4" w:space="0"/>
              <w:bottom w:val="single" w:color="000000" w:sz="4" w:space="0"/>
            </w:tcBorders>
            <w:vAlign w:val="top"/>
          </w:tcPr>
          <w:p w14:paraId="1C732AC6">
            <w:pPr>
              <w:pStyle w:val="53"/>
              <w:spacing w:before="35" w:line="245" w:lineRule="auto"/>
              <w:ind w:left="13" w:right="81" w:hanging="1"/>
              <w:jc w:val="both"/>
              <w:rPr>
                <w:rFonts w:hint="eastAsia" w:ascii="宋体" w:hAnsi="宋体" w:eastAsia="宋体" w:cs="宋体"/>
                <w:sz w:val="20"/>
                <w:szCs w:val="20"/>
                <w:highlight w:val="none"/>
              </w:rPr>
            </w:pPr>
            <w:r>
              <w:rPr>
                <w:rFonts w:hint="eastAsia" w:ascii="宋体" w:hAnsi="宋体" w:eastAsia="宋体" w:cs="宋体"/>
                <w:spacing w:val="10"/>
                <w:sz w:val="20"/>
                <w:szCs w:val="20"/>
                <w:highlight w:val="none"/>
                <w:lang w:eastAsia="zh-CN"/>
              </w:rPr>
              <w:t>供应商</w:t>
            </w:r>
            <w:r>
              <w:rPr>
                <w:rFonts w:hint="eastAsia" w:ascii="宋体" w:hAnsi="宋体" w:eastAsia="宋体" w:cs="宋体"/>
                <w:spacing w:val="10"/>
                <w:sz w:val="20"/>
                <w:szCs w:val="20"/>
                <w:highlight w:val="none"/>
              </w:rPr>
              <w:t>针对本项目提供拟建服务站医用耗材、器械</w:t>
            </w:r>
            <w:r>
              <w:rPr>
                <w:rFonts w:hint="eastAsia" w:ascii="宋体" w:hAnsi="宋体" w:eastAsia="宋体" w:cs="宋体"/>
                <w:spacing w:val="9"/>
                <w:sz w:val="20"/>
                <w:szCs w:val="20"/>
                <w:highlight w:val="none"/>
              </w:rPr>
              <w:t>、医用设备、仪器等清单，承诺满足国家和自治区关于《城市社区卫生服务中心主要设备配置标准（试行）》相关要求，各</w:t>
            </w:r>
            <w:r>
              <w:rPr>
                <w:rFonts w:hint="eastAsia" w:ascii="宋体" w:hAnsi="宋体" w:eastAsia="宋体" w:cs="宋体"/>
                <w:spacing w:val="9"/>
                <w:sz w:val="20"/>
                <w:szCs w:val="20"/>
                <w:highlight w:val="none"/>
                <w:lang w:eastAsia="zh-CN"/>
              </w:rPr>
              <w:t>供应商</w:t>
            </w:r>
            <w:r>
              <w:rPr>
                <w:rFonts w:hint="eastAsia" w:ascii="宋体" w:hAnsi="宋体" w:eastAsia="宋体" w:cs="宋体"/>
                <w:spacing w:val="9"/>
                <w:sz w:val="20"/>
                <w:szCs w:val="20"/>
                <w:highlight w:val="none"/>
              </w:rPr>
              <w:t>承诺清单内容横向比较，医用器械、设备、仪器清单内容每有一项有利于项目实施、内容清晰完善且被评审专家</w:t>
            </w:r>
            <w:r>
              <w:rPr>
                <w:rFonts w:hint="eastAsia" w:ascii="宋体" w:hAnsi="宋体" w:eastAsia="宋体" w:cs="宋体"/>
                <w:spacing w:val="7"/>
                <w:sz w:val="20"/>
                <w:szCs w:val="20"/>
                <w:highlight w:val="none"/>
              </w:rPr>
              <w:t>认可的增项每项得</w:t>
            </w:r>
            <w:r>
              <w:rPr>
                <w:rFonts w:hint="eastAsia" w:ascii="宋体" w:hAnsi="宋体" w:eastAsia="宋体" w:cs="宋体"/>
                <w:spacing w:val="-29"/>
                <w:sz w:val="20"/>
                <w:szCs w:val="20"/>
                <w:highlight w:val="none"/>
              </w:rPr>
              <w:t xml:space="preserve"> </w:t>
            </w:r>
            <w:r>
              <w:rPr>
                <w:rFonts w:hint="eastAsia" w:ascii="宋体" w:hAnsi="宋体" w:eastAsia="宋体" w:cs="宋体"/>
                <w:spacing w:val="7"/>
                <w:sz w:val="20"/>
                <w:szCs w:val="20"/>
                <w:highlight w:val="none"/>
              </w:rPr>
              <w:t>0.5</w:t>
            </w:r>
            <w:r>
              <w:rPr>
                <w:rFonts w:hint="eastAsia" w:ascii="宋体" w:hAnsi="宋体" w:eastAsia="宋体" w:cs="宋体"/>
                <w:spacing w:val="-30"/>
                <w:sz w:val="20"/>
                <w:szCs w:val="20"/>
                <w:highlight w:val="none"/>
              </w:rPr>
              <w:t xml:space="preserve"> </w:t>
            </w:r>
            <w:r>
              <w:rPr>
                <w:rFonts w:hint="eastAsia" w:ascii="宋体" w:hAnsi="宋体" w:eastAsia="宋体" w:cs="宋体"/>
                <w:spacing w:val="7"/>
                <w:sz w:val="20"/>
                <w:szCs w:val="20"/>
                <w:highlight w:val="none"/>
              </w:rPr>
              <w:t>分，最多得</w:t>
            </w:r>
            <w:r>
              <w:rPr>
                <w:rFonts w:hint="eastAsia" w:ascii="宋体" w:hAnsi="宋体" w:eastAsia="宋体" w:cs="宋体"/>
                <w:spacing w:val="-39"/>
                <w:sz w:val="20"/>
                <w:szCs w:val="20"/>
                <w:highlight w:val="none"/>
                <w:lang w:val="en-US" w:eastAsia="zh-CN"/>
              </w:rPr>
              <w:t>6</w:t>
            </w:r>
            <w:r>
              <w:rPr>
                <w:rFonts w:hint="eastAsia" w:ascii="宋体" w:hAnsi="宋体" w:eastAsia="宋体" w:cs="宋体"/>
                <w:spacing w:val="7"/>
                <w:sz w:val="20"/>
                <w:szCs w:val="20"/>
                <w:highlight w:val="none"/>
              </w:rPr>
              <w:t>分；</w:t>
            </w:r>
            <w:r>
              <w:rPr>
                <w:rFonts w:hint="eastAsia" w:ascii="宋体" w:hAnsi="宋体" w:eastAsia="宋体" w:cs="宋体"/>
                <w:spacing w:val="7"/>
                <w:sz w:val="20"/>
                <w:szCs w:val="20"/>
                <w:highlight w:val="none"/>
                <w:lang w:eastAsia="zh-CN"/>
              </w:rPr>
              <w:t>供应商</w:t>
            </w:r>
            <w:r>
              <w:rPr>
                <w:rFonts w:hint="eastAsia" w:ascii="宋体" w:hAnsi="宋体" w:eastAsia="宋体" w:cs="宋体"/>
                <w:spacing w:val="7"/>
                <w:sz w:val="20"/>
                <w:szCs w:val="20"/>
                <w:highlight w:val="none"/>
              </w:rPr>
              <w:t>无相关承诺的此项不得</w:t>
            </w:r>
            <w:r>
              <w:rPr>
                <w:rFonts w:hint="eastAsia" w:ascii="宋体" w:hAnsi="宋体" w:eastAsia="宋体" w:cs="宋体"/>
                <w:spacing w:val="-8"/>
                <w:sz w:val="20"/>
                <w:szCs w:val="20"/>
                <w:highlight w:val="none"/>
              </w:rPr>
              <w:t>分。</w:t>
            </w:r>
          </w:p>
        </w:tc>
        <w:tc>
          <w:tcPr>
            <w:tcW w:w="782" w:type="dxa"/>
            <w:tcBorders>
              <w:top w:val="single" w:color="000000" w:sz="4" w:space="0"/>
              <w:bottom w:val="single" w:color="000000" w:sz="4" w:space="0"/>
            </w:tcBorders>
            <w:vAlign w:val="top"/>
          </w:tcPr>
          <w:p w14:paraId="4B415455">
            <w:pPr>
              <w:spacing w:line="323" w:lineRule="auto"/>
              <w:rPr>
                <w:rFonts w:hint="eastAsia" w:ascii="宋体" w:hAnsi="宋体" w:eastAsia="宋体" w:cs="宋体"/>
                <w:sz w:val="21"/>
                <w:highlight w:val="none"/>
              </w:rPr>
            </w:pPr>
          </w:p>
          <w:p w14:paraId="376F4189">
            <w:pPr>
              <w:spacing w:line="324" w:lineRule="auto"/>
              <w:rPr>
                <w:rFonts w:hint="eastAsia" w:ascii="宋体" w:hAnsi="宋体" w:eastAsia="宋体" w:cs="宋体"/>
                <w:sz w:val="21"/>
                <w:highlight w:val="none"/>
              </w:rPr>
            </w:pPr>
          </w:p>
          <w:p w14:paraId="61E52295">
            <w:pPr>
              <w:pStyle w:val="53"/>
              <w:spacing w:before="65" w:line="271" w:lineRule="exact"/>
              <w:ind w:left="240"/>
              <w:rPr>
                <w:rFonts w:hint="eastAsia" w:ascii="宋体" w:hAnsi="宋体" w:eastAsia="宋体" w:cs="宋体"/>
                <w:sz w:val="20"/>
                <w:szCs w:val="20"/>
                <w:highlight w:val="none"/>
                <w:lang w:val="en-US" w:eastAsia="zh-CN"/>
              </w:rPr>
            </w:pPr>
            <w:r>
              <w:rPr>
                <w:rFonts w:hint="eastAsia" w:ascii="宋体" w:hAnsi="宋体" w:eastAsia="宋体" w:cs="宋体"/>
                <w:spacing w:val="1"/>
                <w:position w:val="1"/>
                <w:sz w:val="20"/>
                <w:szCs w:val="20"/>
                <w:highlight w:val="none"/>
              </w:rPr>
              <w:t>0-</w:t>
            </w:r>
            <w:r>
              <w:rPr>
                <w:rFonts w:hint="eastAsia" w:ascii="宋体" w:hAnsi="宋体" w:eastAsia="宋体" w:cs="宋体"/>
                <w:spacing w:val="1"/>
                <w:position w:val="1"/>
                <w:sz w:val="20"/>
                <w:szCs w:val="20"/>
                <w:highlight w:val="none"/>
                <w:lang w:val="en-US" w:eastAsia="zh-CN"/>
              </w:rPr>
              <w:t>6</w:t>
            </w:r>
          </w:p>
        </w:tc>
      </w:tr>
      <w:tr w14:paraId="1AEE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8" w:type="dxa"/>
            <w:vMerge w:val="continue"/>
            <w:vAlign w:val="top"/>
          </w:tcPr>
          <w:p w14:paraId="2A8C2ECD">
            <w:pPr>
              <w:rPr>
                <w:rFonts w:hint="eastAsia" w:ascii="宋体" w:hAnsi="宋体" w:eastAsia="宋体" w:cs="宋体"/>
                <w:sz w:val="21"/>
                <w:highlight w:val="none"/>
              </w:rPr>
            </w:pPr>
          </w:p>
        </w:tc>
        <w:tc>
          <w:tcPr>
            <w:tcW w:w="1028" w:type="dxa"/>
            <w:vMerge w:val="continue"/>
            <w:vAlign w:val="top"/>
          </w:tcPr>
          <w:p w14:paraId="62A824A1">
            <w:pPr>
              <w:rPr>
                <w:rFonts w:hint="eastAsia" w:ascii="宋体" w:hAnsi="宋体" w:eastAsia="宋体" w:cs="宋体"/>
                <w:sz w:val="21"/>
                <w:highlight w:val="none"/>
              </w:rPr>
            </w:pPr>
          </w:p>
        </w:tc>
        <w:tc>
          <w:tcPr>
            <w:tcW w:w="828" w:type="dxa"/>
            <w:vAlign w:val="top"/>
          </w:tcPr>
          <w:p w14:paraId="30217066">
            <w:pPr>
              <w:spacing w:line="247" w:lineRule="auto"/>
              <w:rPr>
                <w:rFonts w:hint="eastAsia" w:ascii="宋体" w:hAnsi="宋体" w:eastAsia="宋体" w:cs="宋体"/>
                <w:sz w:val="21"/>
                <w:highlight w:val="none"/>
              </w:rPr>
            </w:pPr>
          </w:p>
          <w:p w14:paraId="0C206F90">
            <w:pPr>
              <w:spacing w:line="248" w:lineRule="auto"/>
              <w:rPr>
                <w:rFonts w:hint="eastAsia" w:ascii="宋体" w:hAnsi="宋体" w:eastAsia="宋体" w:cs="宋体"/>
                <w:sz w:val="21"/>
                <w:highlight w:val="none"/>
              </w:rPr>
            </w:pPr>
          </w:p>
          <w:p w14:paraId="0C5FA791">
            <w:pPr>
              <w:spacing w:line="248" w:lineRule="auto"/>
              <w:rPr>
                <w:rFonts w:hint="eastAsia" w:ascii="宋体" w:hAnsi="宋体" w:eastAsia="宋体" w:cs="宋体"/>
                <w:sz w:val="21"/>
                <w:highlight w:val="none"/>
              </w:rPr>
            </w:pPr>
          </w:p>
          <w:p w14:paraId="50C6F233">
            <w:pPr>
              <w:pStyle w:val="53"/>
              <w:spacing w:before="75" w:line="309" w:lineRule="exact"/>
              <w:ind w:left="243"/>
              <w:rPr>
                <w:rFonts w:hint="eastAsia" w:ascii="宋体" w:hAnsi="宋体" w:eastAsia="宋体" w:cs="宋体"/>
                <w:highlight w:val="none"/>
              </w:rPr>
            </w:pPr>
            <w:r>
              <w:rPr>
                <w:rFonts w:hint="eastAsia" w:ascii="宋体" w:hAnsi="宋体" w:eastAsia="宋体" w:cs="宋体"/>
                <w:spacing w:val="-1"/>
                <w:position w:val="2"/>
                <w:highlight w:val="none"/>
              </w:rPr>
              <w:t>3.4</w:t>
            </w:r>
          </w:p>
        </w:tc>
        <w:tc>
          <w:tcPr>
            <w:tcW w:w="6810" w:type="dxa"/>
            <w:tcBorders>
              <w:top w:val="single" w:color="000000" w:sz="4" w:space="0"/>
              <w:bottom w:val="single" w:color="000000" w:sz="4" w:space="0"/>
            </w:tcBorders>
            <w:vAlign w:val="top"/>
          </w:tcPr>
          <w:p w14:paraId="17B2F077">
            <w:pPr>
              <w:pStyle w:val="53"/>
              <w:spacing w:before="41" w:line="246" w:lineRule="auto"/>
              <w:ind w:left="13" w:right="29" w:hanging="1"/>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 xml:space="preserve">供应商应针对所投项目特点和执行要求制定具体的服务方案。方案包括 但不限于：①实施目标、范围和任务；②实施方案和实施计划；③人员组织安排计划；④关键节点控制措施；⑤服务承诺等。方案内容完整齐全，符合项目实际需求的得 10 分；每缺少一项方案内容的扣 2分，每有一项内容存在缺陷的扣 1分，扣完为止，未提供项目组织方案的，此项不得分。 </w:t>
            </w:r>
          </w:p>
          <w:p w14:paraId="390AFD45">
            <w:pPr>
              <w:pStyle w:val="53"/>
              <w:spacing w:before="41" w:line="246" w:lineRule="auto"/>
              <w:ind w:left="13" w:right="29" w:hanging="1"/>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注：内容存在缺陷是指：①该项内容描述前后不一致；②该项内容所阐述的项目信息与本项目实际信息不一致；③该项内容引用的规定、规范错误； ④该项内容描述不符合国家相关法律法规、政策文件、规范标准要求；⑤该项内容阐述的方式方法明显不符合本项目实际情况；⑥该项内容描述与本项目实际情况不符；⑦ 该项内容套用其他项目内容。</w:t>
            </w:r>
          </w:p>
        </w:tc>
        <w:tc>
          <w:tcPr>
            <w:tcW w:w="782" w:type="dxa"/>
            <w:tcBorders>
              <w:top w:val="single" w:color="000000" w:sz="4" w:space="0"/>
              <w:bottom w:val="single" w:color="000000" w:sz="4" w:space="0"/>
            </w:tcBorders>
            <w:vAlign w:val="top"/>
          </w:tcPr>
          <w:p w14:paraId="7C73ED3A">
            <w:pPr>
              <w:spacing w:line="261" w:lineRule="auto"/>
              <w:rPr>
                <w:rFonts w:hint="eastAsia" w:ascii="宋体" w:hAnsi="宋体" w:eastAsia="宋体" w:cs="宋体"/>
                <w:sz w:val="21"/>
                <w:highlight w:val="none"/>
              </w:rPr>
            </w:pPr>
          </w:p>
          <w:p w14:paraId="2E7E2C64">
            <w:pPr>
              <w:spacing w:line="261" w:lineRule="auto"/>
              <w:rPr>
                <w:rFonts w:hint="eastAsia" w:ascii="宋体" w:hAnsi="宋体" w:eastAsia="宋体" w:cs="宋体"/>
                <w:sz w:val="21"/>
                <w:highlight w:val="none"/>
              </w:rPr>
            </w:pPr>
          </w:p>
          <w:p w14:paraId="4256D7A0">
            <w:pPr>
              <w:spacing w:line="262" w:lineRule="auto"/>
              <w:rPr>
                <w:rFonts w:hint="eastAsia" w:ascii="宋体" w:hAnsi="宋体" w:eastAsia="宋体" w:cs="宋体"/>
                <w:sz w:val="21"/>
                <w:highlight w:val="none"/>
              </w:rPr>
            </w:pPr>
          </w:p>
          <w:p w14:paraId="5840B301">
            <w:pPr>
              <w:pStyle w:val="53"/>
              <w:spacing w:before="65" w:line="270" w:lineRule="exact"/>
              <w:ind w:left="187"/>
              <w:rPr>
                <w:rFonts w:hint="eastAsia" w:ascii="宋体" w:hAnsi="宋体" w:eastAsia="宋体" w:cs="宋体"/>
                <w:sz w:val="20"/>
                <w:szCs w:val="20"/>
                <w:highlight w:val="none"/>
              </w:rPr>
            </w:pPr>
            <w:r>
              <w:rPr>
                <w:rFonts w:hint="eastAsia" w:ascii="宋体" w:hAnsi="宋体" w:eastAsia="宋体" w:cs="宋体"/>
                <w:spacing w:val="2"/>
                <w:position w:val="1"/>
                <w:sz w:val="20"/>
                <w:szCs w:val="20"/>
                <w:highlight w:val="none"/>
              </w:rPr>
              <w:t>0-10</w:t>
            </w:r>
          </w:p>
        </w:tc>
      </w:tr>
      <w:tr w14:paraId="759C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8" w:type="dxa"/>
            <w:vMerge w:val="continue"/>
            <w:vAlign w:val="top"/>
          </w:tcPr>
          <w:p w14:paraId="390BA0BE">
            <w:pPr>
              <w:rPr>
                <w:rFonts w:hint="eastAsia" w:ascii="宋体" w:hAnsi="宋体" w:eastAsia="宋体" w:cs="宋体"/>
                <w:sz w:val="21"/>
                <w:highlight w:val="none"/>
              </w:rPr>
            </w:pPr>
          </w:p>
        </w:tc>
        <w:tc>
          <w:tcPr>
            <w:tcW w:w="1028" w:type="dxa"/>
            <w:vMerge w:val="continue"/>
            <w:vAlign w:val="top"/>
          </w:tcPr>
          <w:p w14:paraId="4E5D6F82">
            <w:pPr>
              <w:rPr>
                <w:rFonts w:hint="eastAsia" w:ascii="宋体" w:hAnsi="宋体" w:eastAsia="宋体" w:cs="宋体"/>
                <w:sz w:val="21"/>
                <w:highlight w:val="none"/>
              </w:rPr>
            </w:pPr>
          </w:p>
        </w:tc>
        <w:tc>
          <w:tcPr>
            <w:tcW w:w="828" w:type="dxa"/>
            <w:vAlign w:val="top"/>
          </w:tcPr>
          <w:p w14:paraId="4E8C1696">
            <w:pPr>
              <w:spacing w:line="331" w:lineRule="auto"/>
              <w:rPr>
                <w:rFonts w:hint="eastAsia" w:ascii="宋体" w:hAnsi="宋体" w:eastAsia="宋体" w:cs="宋体"/>
                <w:sz w:val="21"/>
                <w:highlight w:val="none"/>
              </w:rPr>
            </w:pPr>
          </w:p>
          <w:p w14:paraId="48B68E45">
            <w:pPr>
              <w:pStyle w:val="53"/>
              <w:spacing w:before="74" w:line="310" w:lineRule="exact"/>
              <w:ind w:left="243" w:leftChars="0"/>
              <w:rPr>
                <w:rFonts w:hint="eastAsia" w:ascii="宋体" w:hAnsi="宋体" w:eastAsia="宋体" w:cs="宋体"/>
                <w:spacing w:val="-1"/>
                <w:position w:val="2"/>
                <w:highlight w:val="none"/>
              </w:rPr>
            </w:pPr>
            <w:r>
              <w:rPr>
                <w:rFonts w:hint="eastAsia" w:ascii="宋体" w:hAnsi="宋体" w:eastAsia="宋体" w:cs="宋体"/>
                <w:spacing w:val="-1"/>
                <w:position w:val="2"/>
                <w:highlight w:val="none"/>
              </w:rPr>
              <w:t>3.5</w:t>
            </w:r>
          </w:p>
        </w:tc>
        <w:tc>
          <w:tcPr>
            <w:tcW w:w="6810" w:type="dxa"/>
            <w:tcBorders>
              <w:top w:val="single" w:color="000000" w:sz="4" w:space="0"/>
              <w:bottom w:val="single" w:color="000000" w:sz="4" w:space="0"/>
            </w:tcBorders>
            <w:vAlign w:val="top"/>
          </w:tcPr>
          <w:p w14:paraId="0864E0BC">
            <w:pPr>
              <w:pStyle w:val="53"/>
              <w:spacing w:before="41" w:line="246" w:lineRule="auto"/>
              <w:ind w:left="13" w:right="29" w:hanging="1"/>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根据供应商提供针对本项目制定的质量及安全保证措施进行综合评分；包含但不限于：①能够杜绝医疗安全事件发生的方案；②项目日常管理方案；③项目工作检查记录；④内部质量监管；⑤员工工作表现评估等。方案内容完整齐全，符合项目实际需求的得 10分；每缺少一项方案内容的扣2分，每有一项内容存在缺陷的扣1分，扣完为止，未提供项目组织方案的，此项不得分。 </w:t>
            </w:r>
          </w:p>
          <w:p w14:paraId="24DB0BE1">
            <w:pPr>
              <w:pStyle w:val="53"/>
              <w:spacing w:before="41" w:line="246" w:lineRule="auto"/>
              <w:ind w:left="13" w:right="29" w:hanging="1"/>
              <w:jc w:val="both"/>
              <w:rPr>
                <w:rFonts w:hint="eastAsia" w:ascii="宋体" w:hAnsi="宋体" w:eastAsia="宋体" w:cs="宋体"/>
                <w:spacing w:val="9"/>
                <w:sz w:val="20"/>
                <w:szCs w:val="20"/>
                <w:highlight w:val="none"/>
              </w:rPr>
            </w:pPr>
            <w:r>
              <w:rPr>
                <w:rFonts w:hint="eastAsia" w:ascii="宋体" w:hAnsi="宋体" w:eastAsia="宋体" w:cs="宋体"/>
                <w:sz w:val="20"/>
                <w:szCs w:val="20"/>
                <w:highlight w:val="none"/>
                <w:lang w:val="en-US" w:eastAsia="zh-CN"/>
              </w:rPr>
              <w:t>注：内容存在缺陷是指：①该项内容描述前后不一致；②该项内容所阐述的项目信息与本项目实际信息不一致；③该项内容引用的规定、规范错误； ④该项内容描述不符合国家相关法律法规、政策文件、规范标准要求；⑤该项内容阐述的方式方法明显不符合本项目实际情况；⑥该项内容描述与本项目实际情况不符；⑦ 该项内容套用其他项目内容。</w:t>
            </w:r>
          </w:p>
        </w:tc>
        <w:tc>
          <w:tcPr>
            <w:tcW w:w="782" w:type="dxa"/>
            <w:tcBorders>
              <w:top w:val="single" w:color="000000" w:sz="4" w:space="0"/>
              <w:bottom w:val="single" w:color="000000" w:sz="4" w:space="0"/>
            </w:tcBorders>
            <w:vAlign w:val="top"/>
          </w:tcPr>
          <w:p w14:paraId="2E80699A">
            <w:pPr>
              <w:spacing w:line="371" w:lineRule="auto"/>
              <w:rPr>
                <w:rFonts w:hint="eastAsia" w:ascii="宋体" w:hAnsi="宋体" w:eastAsia="宋体" w:cs="宋体"/>
                <w:sz w:val="21"/>
                <w:highlight w:val="none"/>
              </w:rPr>
            </w:pPr>
          </w:p>
          <w:p w14:paraId="1D0560E1">
            <w:pPr>
              <w:pStyle w:val="53"/>
              <w:spacing w:before="65" w:line="271" w:lineRule="exact"/>
              <w:ind w:left="240" w:leftChars="0"/>
              <w:rPr>
                <w:rFonts w:hint="default" w:ascii="宋体" w:hAnsi="宋体" w:eastAsia="宋体" w:cs="宋体"/>
                <w:spacing w:val="2"/>
                <w:position w:val="1"/>
                <w:sz w:val="20"/>
                <w:szCs w:val="20"/>
                <w:highlight w:val="none"/>
                <w:lang w:val="en-US"/>
              </w:rPr>
            </w:pPr>
            <w:r>
              <w:rPr>
                <w:rFonts w:hint="eastAsia" w:ascii="宋体" w:hAnsi="宋体" w:eastAsia="宋体" w:cs="宋体"/>
                <w:spacing w:val="1"/>
                <w:position w:val="1"/>
                <w:sz w:val="20"/>
                <w:szCs w:val="20"/>
                <w:highlight w:val="none"/>
              </w:rPr>
              <w:t>0-</w:t>
            </w:r>
            <w:r>
              <w:rPr>
                <w:rFonts w:hint="eastAsia" w:ascii="宋体" w:hAnsi="宋体" w:eastAsia="宋体" w:cs="宋体"/>
                <w:spacing w:val="1"/>
                <w:position w:val="1"/>
                <w:sz w:val="20"/>
                <w:szCs w:val="20"/>
                <w:highlight w:val="none"/>
                <w:lang w:val="en-US" w:eastAsia="zh-CN"/>
              </w:rPr>
              <w:t>10</w:t>
            </w:r>
          </w:p>
        </w:tc>
      </w:tr>
      <w:tr w14:paraId="737B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8" w:type="dxa"/>
            <w:vMerge w:val="continue"/>
            <w:vAlign w:val="top"/>
          </w:tcPr>
          <w:p w14:paraId="7948BEE6">
            <w:pPr>
              <w:rPr>
                <w:rFonts w:hint="eastAsia" w:ascii="宋体" w:hAnsi="宋体" w:eastAsia="宋体" w:cs="宋体"/>
                <w:sz w:val="21"/>
                <w:highlight w:val="none"/>
              </w:rPr>
            </w:pPr>
          </w:p>
        </w:tc>
        <w:tc>
          <w:tcPr>
            <w:tcW w:w="1028" w:type="dxa"/>
            <w:vMerge w:val="continue"/>
            <w:vAlign w:val="top"/>
          </w:tcPr>
          <w:p w14:paraId="5F5B5BE3">
            <w:pPr>
              <w:rPr>
                <w:rFonts w:hint="eastAsia" w:ascii="宋体" w:hAnsi="宋体" w:eastAsia="宋体" w:cs="宋体"/>
                <w:sz w:val="21"/>
                <w:highlight w:val="none"/>
              </w:rPr>
            </w:pPr>
          </w:p>
        </w:tc>
        <w:tc>
          <w:tcPr>
            <w:tcW w:w="828" w:type="dxa"/>
            <w:vAlign w:val="top"/>
          </w:tcPr>
          <w:p w14:paraId="7B642BD4">
            <w:pPr>
              <w:pStyle w:val="53"/>
              <w:spacing w:before="137" w:line="310" w:lineRule="exact"/>
              <w:ind w:left="243" w:leftChars="0"/>
              <w:rPr>
                <w:rFonts w:hint="eastAsia" w:ascii="宋体" w:hAnsi="宋体" w:eastAsia="宋体" w:cs="宋体"/>
                <w:spacing w:val="-1"/>
                <w:position w:val="2"/>
                <w:highlight w:val="none"/>
              </w:rPr>
            </w:pPr>
            <w:r>
              <w:rPr>
                <w:rFonts w:hint="eastAsia" w:ascii="宋体" w:hAnsi="宋体" w:eastAsia="宋体" w:cs="宋体"/>
                <w:spacing w:val="-1"/>
                <w:position w:val="2"/>
                <w:highlight w:val="none"/>
              </w:rPr>
              <w:t>3.6</w:t>
            </w:r>
          </w:p>
        </w:tc>
        <w:tc>
          <w:tcPr>
            <w:tcW w:w="6810" w:type="dxa"/>
            <w:tcBorders>
              <w:top w:val="single" w:color="000000" w:sz="4" w:space="0"/>
              <w:bottom w:val="single" w:color="000000" w:sz="4" w:space="0"/>
            </w:tcBorders>
            <w:vAlign w:val="top"/>
          </w:tcPr>
          <w:p w14:paraId="3273DEEE">
            <w:pPr>
              <w:pStyle w:val="53"/>
              <w:spacing w:before="33" w:line="233" w:lineRule="auto"/>
              <w:ind w:left="16" w:leftChars="0" w:hanging="2" w:firstLineChars="0"/>
              <w:rPr>
                <w:rFonts w:hint="eastAsia" w:ascii="宋体" w:hAnsi="宋体" w:eastAsia="宋体" w:cs="宋体"/>
                <w:spacing w:val="9"/>
                <w:sz w:val="20"/>
                <w:szCs w:val="20"/>
                <w:highlight w:val="none"/>
              </w:rPr>
            </w:pPr>
            <w:r>
              <w:rPr>
                <w:rFonts w:hint="eastAsia" w:ascii="宋体" w:hAnsi="宋体" w:eastAsia="宋体" w:cs="宋体"/>
                <w:spacing w:val="7"/>
                <w:sz w:val="20"/>
                <w:szCs w:val="20"/>
                <w:highlight w:val="none"/>
              </w:rPr>
              <w:t>根据项目采购需求中的基本公共卫生服务工作的</w:t>
            </w:r>
            <w:r>
              <w:rPr>
                <w:rFonts w:hint="eastAsia" w:ascii="宋体" w:hAnsi="宋体" w:eastAsia="宋体" w:cs="宋体"/>
                <w:spacing w:val="-11"/>
                <w:sz w:val="20"/>
                <w:szCs w:val="20"/>
                <w:highlight w:val="none"/>
              </w:rPr>
              <w:t xml:space="preserve"> </w:t>
            </w:r>
            <w:r>
              <w:rPr>
                <w:rFonts w:hint="eastAsia" w:ascii="宋体" w:hAnsi="宋体" w:eastAsia="宋体" w:cs="宋体"/>
                <w:spacing w:val="7"/>
                <w:sz w:val="20"/>
                <w:szCs w:val="20"/>
                <w:highlight w:val="none"/>
              </w:rPr>
              <w:t>14</w:t>
            </w:r>
            <w:r>
              <w:rPr>
                <w:rFonts w:hint="eastAsia" w:ascii="宋体" w:hAnsi="宋体" w:eastAsia="宋体" w:cs="宋体"/>
                <w:spacing w:val="-32"/>
                <w:sz w:val="20"/>
                <w:szCs w:val="20"/>
                <w:highlight w:val="none"/>
              </w:rPr>
              <w:t xml:space="preserve"> </w:t>
            </w:r>
            <w:r>
              <w:rPr>
                <w:rFonts w:hint="eastAsia" w:ascii="宋体" w:hAnsi="宋体" w:eastAsia="宋体" w:cs="宋体"/>
                <w:spacing w:val="7"/>
                <w:sz w:val="20"/>
                <w:szCs w:val="20"/>
                <w:highlight w:val="none"/>
              </w:rPr>
              <w:t>项内容，</w:t>
            </w:r>
            <w:r>
              <w:rPr>
                <w:rFonts w:hint="eastAsia" w:ascii="宋体" w:hAnsi="宋体" w:eastAsia="宋体" w:cs="宋体"/>
                <w:spacing w:val="7"/>
                <w:sz w:val="20"/>
                <w:szCs w:val="20"/>
                <w:highlight w:val="none"/>
                <w:lang w:eastAsia="zh-CN"/>
              </w:rPr>
              <w:t>供应商</w:t>
            </w:r>
            <w:r>
              <w:rPr>
                <w:rFonts w:hint="eastAsia" w:ascii="宋体" w:hAnsi="宋体" w:eastAsia="宋体" w:cs="宋体"/>
                <w:spacing w:val="7"/>
                <w:sz w:val="20"/>
                <w:szCs w:val="20"/>
                <w:highlight w:val="none"/>
              </w:rPr>
              <w:t>能够完</w:t>
            </w:r>
            <w:r>
              <w:rPr>
                <w:rFonts w:hint="eastAsia" w:ascii="宋体" w:hAnsi="宋体" w:eastAsia="宋体" w:cs="宋体"/>
                <w:spacing w:val="-3"/>
                <w:sz w:val="20"/>
                <w:szCs w:val="20"/>
                <w:highlight w:val="none"/>
              </w:rPr>
              <w:t>成全部</w:t>
            </w:r>
            <w:r>
              <w:rPr>
                <w:rFonts w:hint="eastAsia" w:ascii="宋体" w:hAnsi="宋体" w:eastAsia="宋体" w:cs="宋体"/>
                <w:spacing w:val="-8"/>
                <w:sz w:val="20"/>
                <w:szCs w:val="20"/>
                <w:highlight w:val="none"/>
              </w:rPr>
              <w:t xml:space="preserve"> </w:t>
            </w:r>
            <w:r>
              <w:rPr>
                <w:rFonts w:hint="eastAsia" w:ascii="宋体" w:hAnsi="宋体" w:eastAsia="宋体" w:cs="宋体"/>
                <w:spacing w:val="-3"/>
                <w:sz w:val="20"/>
                <w:szCs w:val="20"/>
                <w:highlight w:val="none"/>
              </w:rPr>
              <w:t>14</w:t>
            </w:r>
            <w:r>
              <w:rPr>
                <w:rFonts w:hint="eastAsia" w:ascii="宋体" w:hAnsi="宋体" w:eastAsia="宋体" w:cs="宋体"/>
                <w:spacing w:val="-32"/>
                <w:sz w:val="20"/>
                <w:szCs w:val="20"/>
                <w:highlight w:val="none"/>
              </w:rPr>
              <w:t xml:space="preserve"> </w:t>
            </w:r>
            <w:r>
              <w:rPr>
                <w:rFonts w:hint="eastAsia" w:ascii="宋体" w:hAnsi="宋体" w:eastAsia="宋体" w:cs="宋体"/>
                <w:spacing w:val="-3"/>
                <w:sz w:val="20"/>
                <w:szCs w:val="20"/>
                <w:highlight w:val="none"/>
              </w:rPr>
              <w:t>项得</w:t>
            </w:r>
            <w:r>
              <w:rPr>
                <w:rFonts w:hint="eastAsia" w:ascii="宋体" w:hAnsi="宋体" w:eastAsia="宋体" w:cs="宋体"/>
                <w:spacing w:val="-22"/>
                <w:sz w:val="20"/>
                <w:szCs w:val="20"/>
                <w:highlight w:val="none"/>
              </w:rPr>
              <w:t xml:space="preserve"> </w:t>
            </w:r>
            <w:r>
              <w:rPr>
                <w:rFonts w:hint="eastAsia" w:ascii="宋体" w:hAnsi="宋体" w:eastAsia="宋体" w:cs="宋体"/>
                <w:spacing w:val="-3"/>
                <w:sz w:val="20"/>
                <w:szCs w:val="20"/>
                <w:highlight w:val="none"/>
                <w:lang w:val="en-US" w:eastAsia="zh-CN"/>
              </w:rPr>
              <w:t>7</w:t>
            </w:r>
            <w:r>
              <w:rPr>
                <w:rFonts w:hint="eastAsia" w:ascii="宋体" w:hAnsi="宋体" w:eastAsia="宋体" w:cs="宋体"/>
                <w:spacing w:val="-3"/>
                <w:sz w:val="20"/>
                <w:szCs w:val="20"/>
                <w:highlight w:val="none"/>
              </w:rPr>
              <w:t>分，每少</w:t>
            </w:r>
            <w:r>
              <w:rPr>
                <w:rFonts w:hint="eastAsia" w:ascii="宋体" w:hAnsi="宋体" w:eastAsia="宋体" w:cs="宋体"/>
                <w:spacing w:val="-23"/>
                <w:sz w:val="20"/>
                <w:szCs w:val="20"/>
                <w:highlight w:val="none"/>
              </w:rPr>
              <w:t xml:space="preserve"> </w:t>
            </w:r>
            <w:r>
              <w:rPr>
                <w:rFonts w:hint="eastAsia" w:ascii="宋体" w:hAnsi="宋体" w:eastAsia="宋体" w:cs="宋体"/>
                <w:spacing w:val="-3"/>
                <w:sz w:val="20"/>
                <w:szCs w:val="20"/>
                <w:highlight w:val="none"/>
              </w:rPr>
              <w:t>1</w:t>
            </w:r>
            <w:r>
              <w:rPr>
                <w:rFonts w:hint="eastAsia" w:ascii="宋体" w:hAnsi="宋体" w:eastAsia="宋体" w:cs="宋体"/>
                <w:spacing w:val="-31"/>
                <w:sz w:val="20"/>
                <w:szCs w:val="20"/>
                <w:highlight w:val="none"/>
              </w:rPr>
              <w:t xml:space="preserve"> </w:t>
            </w:r>
            <w:r>
              <w:rPr>
                <w:rFonts w:hint="eastAsia" w:ascii="宋体" w:hAnsi="宋体" w:eastAsia="宋体" w:cs="宋体"/>
                <w:spacing w:val="-3"/>
                <w:sz w:val="20"/>
                <w:szCs w:val="20"/>
                <w:highlight w:val="none"/>
              </w:rPr>
              <w:t>项扣</w:t>
            </w:r>
            <w:r>
              <w:rPr>
                <w:rFonts w:hint="eastAsia" w:ascii="宋体" w:hAnsi="宋体" w:eastAsia="宋体" w:cs="宋体"/>
                <w:spacing w:val="-22"/>
                <w:sz w:val="20"/>
                <w:szCs w:val="20"/>
                <w:highlight w:val="none"/>
              </w:rPr>
              <w:t xml:space="preserve"> </w:t>
            </w:r>
            <w:r>
              <w:rPr>
                <w:rFonts w:hint="eastAsia" w:ascii="宋体" w:hAnsi="宋体" w:eastAsia="宋体" w:cs="宋体"/>
                <w:spacing w:val="-3"/>
                <w:sz w:val="20"/>
                <w:szCs w:val="20"/>
                <w:highlight w:val="none"/>
                <w:lang w:val="en-US" w:eastAsia="zh-CN"/>
              </w:rPr>
              <w:t>0.5</w:t>
            </w:r>
            <w:r>
              <w:rPr>
                <w:rFonts w:hint="eastAsia" w:ascii="宋体" w:hAnsi="宋体" w:eastAsia="宋体" w:cs="宋体"/>
                <w:spacing w:val="-3"/>
                <w:sz w:val="20"/>
                <w:szCs w:val="20"/>
                <w:highlight w:val="none"/>
              </w:rPr>
              <w:t>分。</w:t>
            </w:r>
            <w:r>
              <w:rPr>
                <w:rFonts w:hint="eastAsia" w:ascii="宋体" w:hAnsi="宋体" w:eastAsia="宋体" w:cs="宋体"/>
                <w:spacing w:val="-3"/>
                <w:sz w:val="20"/>
                <w:szCs w:val="20"/>
                <w:highlight w:val="none"/>
                <w:lang w:val="en-US" w:eastAsia="zh-CN"/>
              </w:rPr>
              <w:t>无</w:t>
            </w:r>
            <w:r>
              <w:rPr>
                <w:rFonts w:hint="eastAsia" w:ascii="宋体" w:hAnsi="宋体" w:eastAsia="宋体" w:cs="宋体"/>
                <w:spacing w:val="7"/>
                <w:sz w:val="20"/>
                <w:szCs w:val="20"/>
                <w:highlight w:val="none"/>
              </w:rPr>
              <w:t>相关证明材料</w:t>
            </w:r>
            <w:r>
              <w:rPr>
                <w:rFonts w:hint="eastAsia" w:ascii="宋体" w:hAnsi="宋体" w:eastAsia="宋体" w:cs="宋体"/>
                <w:spacing w:val="7"/>
                <w:sz w:val="20"/>
                <w:szCs w:val="20"/>
                <w:highlight w:val="none"/>
                <w:lang w:val="en-US" w:eastAsia="zh-CN"/>
              </w:rPr>
              <w:t>或</w:t>
            </w:r>
            <w:r>
              <w:rPr>
                <w:rFonts w:hint="eastAsia" w:ascii="宋体" w:hAnsi="宋体" w:eastAsia="宋体" w:cs="宋体"/>
                <w:spacing w:val="7"/>
                <w:sz w:val="20"/>
                <w:szCs w:val="20"/>
                <w:highlight w:val="none"/>
              </w:rPr>
              <w:t>承诺的此项不得分。</w:t>
            </w:r>
          </w:p>
        </w:tc>
        <w:tc>
          <w:tcPr>
            <w:tcW w:w="782" w:type="dxa"/>
            <w:tcBorders>
              <w:top w:val="single" w:color="000000" w:sz="4" w:space="0"/>
              <w:bottom w:val="single" w:color="000000" w:sz="4" w:space="0"/>
            </w:tcBorders>
            <w:vAlign w:val="top"/>
          </w:tcPr>
          <w:p w14:paraId="39E228C7">
            <w:pPr>
              <w:pStyle w:val="53"/>
              <w:spacing w:before="166" w:line="270" w:lineRule="exact"/>
              <w:ind w:left="187" w:leftChars="0"/>
              <w:rPr>
                <w:rFonts w:hint="eastAsia" w:ascii="宋体" w:hAnsi="宋体" w:eastAsia="宋体" w:cs="宋体"/>
                <w:spacing w:val="2"/>
                <w:position w:val="1"/>
                <w:sz w:val="20"/>
                <w:szCs w:val="20"/>
                <w:highlight w:val="none"/>
                <w:lang w:eastAsia="zh-CN"/>
              </w:rPr>
            </w:pPr>
            <w:r>
              <w:rPr>
                <w:rFonts w:hint="eastAsia" w:ascii="宋体" w:hAnsi="宋体" w:eastAsia="宋体" w:cs="宋体"/>
                <w:spacing w:val="2"/>
                <w:position w:val="1"/>
                <w:sz w:val="20"/>
                <w:szCs w:val="20"/>
                <w:highlight w:val="none"/>
              </w:rPr>
              <w:t>0-</w:t>
            </w:r>
            <w:r>
              <w:rPr>
                <w:rFonts w:hint="eastAsia" w:ascii="宋体" w:hAnsi="宋体" w:eastAsia="宋体" w:cs="宋体"/>
                <w:spacing w:val="2"/>
                <w:position w:val="1"/>
                <w:sz w:val="20"/>
                <w:szCs w:val="20"/>
                <w:highlight w:val="none"/>
                <w:lang w:val="en-US" w:eastAsia="zh-CN"/>
              </w:rPr>
              <w:t>7</w:t>
            </w:r>
          </w:p>
        </w:tc>
      </w:tr>
      <w:tr w14:paraId="5C18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8" w:type="dxa"/>
            <w:vMerge w:val="continue"/>
            <w:vAlign w:val="top"/>
          </w:tcPr>
          <w:p w14:paraId="599A82F7">
            <w:pPr>
              <w:rPr>
                <w:rFonts w:hint="eastAsia" w:ascii="宋体" w:hAnsi="宋体" w:eastAsia="宋体" w:cs="宋体"/>
                <w:sz w:val="21"/>
                <w:highlight w:val="none"/>
              </w:rPr>
            </w:pPr>
          </w:p>
        </w:tc>
        <w:tc>
          <w:tcPr>
            <w:tcW w:w="1028" w:type="dxa"/>
            <w:vMerge w:val="continue"/>
            <w:vAlign w:val="top"/>
          </w:tcPr>
          <w:p w14:paraId="7731A6FA">
            <w:pPr>
              <w:rPr>
                <w:rFonts w:hint="eastAsia" w:ascii="宋体" w:hAnsi="宋体" w:eastAsia="宋体" w:cs="宋体"/>
                <w:sz w:val="21"/>
                <w:highlight w:val="none"/>
              </w:rPr>
            </w:pPr>
          </w:p>
        </w:tc>
        <w:tc>
          <w:tcPr>
            <w:tcW w:w="828" w:type="dxa"/>
            <w:vAlign w:val="top"/>
          </w:tcPr>
          <w:p w14:paraId="652D34EB">
            <w:pPr>
              <w:pStyle w:val="53"/>
              <w:spacing w:before="275" w:line="310" w:lineRule="exact"/>
              <w:ind w:left="243" w:leftChars="0"/>
              <w:rPr>
                <w:rFonts w:hint="eastAsia" w:ascii="宋体" w:hAnsi="宋体" w:eastAsia="宋体" w:cs="宋体"/>
                <w:spacing w:val="-1"/>
                <w:position w:val="2"/>
                <w:highlight w:val="none"/>
              </w:rPr>
            </w:pPr>
            <w:r>
              <w:rPr>
                <w:rFonts w:hint="eastAsia" w:ascii="宋体" w:hAnsi="宋体" w:eastAsia="宋体" w:cs="宋体"/>
                <w:spacing w:val="-1"/>
                <w:position w:val="2"/>
                <w:highlight w:val="none"/>
              </w:rPr>
              <w:t>3.7</w:t>
            </w:r>
          </w:p>
        </w:tc>
        <w:tc>
          <w:tcPr>
            <w:tcW w:w="6810" w:type="dxa"/>
            <w:tcBorders>
              <w:top w:val="single" w:color="000000" w:sz="4" w:space="0"/>
              <w:bottom w:val="single" w:color="000000" w:sz="4" w:space="0"/>
            </w:tcBorders>
            <w:vAlign w:val="top"/>
          </w:tcPr>
          <w:p w14:paraId="424DE909">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 xml:space="preserve">承诺服务期内①定期对相关人员考核；②确保服务队伍稳定，减少人员 </w:t>
            </w:r>
          </w:p>
          <w:p w14:paraId="01A31756">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流动性，制定相应措施</w:t>
            </w:r>
            <w:bookmarkStart w:id="297" w:name="_GoBack"/>
            <w:bookmarkEnd w:id="297"/>
            <w:r>
              <w:rPr>
                <w:rFonts w:hint="eastAsia" w:ascii="宋体" w:hAnsi="宋体" w:eastAsia="宋体" w:cs="宋体"/>
                <w:spacing w:val="9"/>
                <w:sz w:val="20"/>
                <w:szCs w:val="20"/>
                <w:highlight w:val="none"/>
                <w:lang w:val="en-US" w:eastAsia="zh-CN"/>
              </w:rPr>
              <w:t xml:space="preserve">。上述 2 项每项内容全面完整，合理、可行性较 强、且具有针对性的，得 6 分；每缺一项内容，扣 3 分；每项内容中每有一处缺陷扣 1.5 分，扣完为止。 </w:t>
            </w:r>
          </w:p>
          <w:p w14:paraId="6114B1C3">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 xml:space="preserve">注：内容存在缺陷是指：①该项内容描述前后不一致；②该项内容所阐 </w:t>
            </w:r>
          </w:p>
          <w:p w14:paraId="1EC5C4EE">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 xml:space="preserve">述的项目信息与本项目实际信息不一致；③该项内容引用的规定、规范 </w:t>
            </w:r>
          </w:p>
          <w:p w14:paraId="2348DC9E">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错误； ④该项内容描述不符合国家相关法律法规、政策文件、规范标准要求；⑤该项内容阐述的方式方法明显不符合本项目实际情况；⑥该项 内容描述与本项目实际情况不符；⑦ 该项内容套用其他项目内容。</w:t>
            </w:r>
          </w:p>
        </w:tc>
        <w:tc>
          <w:tcPr>
            <w:tcW w:w="782" w:type="dxa"/>
            <w:tcBorders>
              <w:top w:val="single" w:color="000000" w:sz="4" w:space="0"/>
              <w:bottom w:val="single" w:color="000000" w:sz="4" w:space="0"/>
            </w:tcBorders>
            <w:vAlign w:val="top"/>
          </w:tcPr>
          <w:p w14:paraId="241BA65B">
            <w:pPr>
              <w:rPr>
                <w:rFonts w:hint="eastAsia" w:ascii="宋体" w:hAnsi="宋体" w:eastAsia="宋体" w:cs="宋体"/>
                <w:sz w:val="21"/>
                <w:highlight w:val="none"/>
              </w:rPr>
            </w:pPr>
          </w:p>
          <w:p w14:paraId="09F2D5DE">
            <w:pPr>
              <w:pStyle w:val="53"/>
              <w:spacing w:before="65" w:line="270" w:lineRule="exact"/>
              <w:ind w:left="240" w:leftChars="0"/>
              <w:rPr>
                <w:rFonts w:hint="eastAsia" w:ascii="宋体" w:hAnsi="宋体" w:eastAsia="宋体" w:cs="宋体"/>
                <w:spacing w:val="2"/>
                <w:position w:val="1"/>
                <w:sz w:val="20"/>
                <w:szCs w:val="20"/>
                <w:highlight w:val="none"/>
              </w:rPr>
            </w:pPr>
            <w:r>
              <w:rPr>
                <w:rFonts w:hint="eastAsia" w:ascii="宋体" w:hAnsi="宋体" w:eastAsia="宋体" w:cs="宋体"/>
                <w:spacing w:val="1"/>
                <w:position w:val="1"/>
                <w:sz w:val="20"/>
                <w:szCs w:val="20"/>
                <w:highlight w:val="none"/>
              </w:rPr>
              <w:t>0-</w:t>
            </w:r>
            <w:r>
              <w:rPr>
                <w:rFonts w:hint="eastAsia" w:ascii="宋体" w:hAnsi="宋体" w:eastAsia="宋体" w:cs="宋体"/>
                <w:spacing w:val="1"/>
                <w:position w:val="1"/>
                <w:sz w:val="20"/>
                <w:szCs w:val="20"/>
                <w:highlight w:val="none"/>
                <w:lang w:val="en-US" w:eastAsia="zh-CN"/>
              </w:rPr>
              <w:t>6</w:t>
            </w:r>
          </w:p>
        </w:tc>
      </w:tr>
      <w:tr w14:paraId="193F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8" w:type="dxa"/>
            <w:vMerge w:val="continue"/>
            <w:tcBorders>
              <w:bottom w:val="nil"/>
            </w:tcBorders>
            <w:vAlign w:val="top"/>
          </w:tcPr>
          <w:p w14:paraId="14138B70">
            <w:pPr>
              <w:rPr>
                <w:rFonts w:hint="eastAsia" w:ascii="宋体" w:hAnsi="宋体" w:eastAsia="宋体" w:cs="宋体"/>
                <w:sz w:val="21"/>
                <w:highlight w:val="none"/>
              </w:rPr>
            </w:pPr>
          </w:p>
        </w:tc>
        <w:tc>
          <w:tcPr>
            <w:tcW w:w="1028" w:type="dxa"/>
            <w:vMerge w:val="continue"/>
            <w:tcBorders>
              <w:bottom w:val="nil"/>
            </w:tcBorders>
            <w:vAlign w:val="top"/>
          </w:tcPr>
          <w:p w14:paraId="7708FC69">
            <w:pPr>
              <w:rPr>
                <w:rFonts w:hint="eastAsia" w:ascii="宋体" w:hAnsi="宋体" w:eastAsia="宋体" w:cs="宋体"/>
                <w:sz w:val="21"/>
                <w:highlight w:val="none"/>
              </w:rPr>
            </w:pPr>
          </w:p>
        </w:tc>
        <w:tc>
          <w:tcPr>
            <w:tcW w:w="828" w:type="dxa"/>
            <w:vAlign w:val="top"/>
          </w:tcPr>
          <w:p w14:paraId="0B87083C">
            <w:pPr>
              <w:pStyle w:val="53"/>
              <w:spacing w:before="275" w:line="310" w:lineRule="exact"/>
              <w:ind w:left="243" w:leftChars="0"/>
              <w:rPr>
                <w:rFonts w:hint="eastAsia" w:ascii="宋体" w:hAnsi="宋体" w:eastAsia="宋体" w:cs="宋体"/>
                <w:spacing w:val="-1"/>
                <w:position w:val="2"/>
                <w:highlight w:val="none"/>
              </w:rPr>
            </w:pPr>
            <w:r>
              <w:rPr>
                <w:rFonts w:hint="eastAsia" w:ascii="宋体" w:hAnsi="宋体" w:eastAsia="宋体" w:cs="宋体"/>
                <w:spacing w:val="-1"/>
                <w:position w:val="2"/>
                <w:sz w:val="20"/>
                <w:szCs w:val="20"/>
                <w:highlight w:val="none"/>
                <w:lang w:val="en-US" w:eastAsia="zh-CN"/>
              </w:rPr>
              <w:t>3.8</w:t>
            </w:r>
          </w:p>
        </w:tc>
        <w:tc>
          <w:tcPr>
            <w:tcW w:w="6810" w:type="dxa"/>
            <w:tcBorders>
              <w:top w:val="single" w:color="000000" w:sz="4" w:space="0"/>
              <w:bottom w:val="single" w:color="000000" w:sz="4" w:space="0"/>
            </w:tcBorders>
            <w:vAlign w:val="top"/>
          </w:tcPr>
          <w:p w14:paraId="167A205D">
            <w:pPr>
              <w:bidi w:val="0"/>
              <w:rPr>
                <w:rFonts w:hint="eastAsia" w:ascii="宋体" w:hAnsi="宋体" w:eastAsia="宋体" w:cs="宋体"/>
                <w:sz w:val="20"/>
                <w:szCs w:val="20"/>
                <w:highlight w:val="none"/>
                <w:lang w:val="en-US" w:eastAsia="en-US"/>
              </w:rPr>
            </w:pPr>
            <w:r>
              <w:rPr>
                <w:rFonts w:hint="eastAsia" w:ascii="宋体" w:hAnsi="宋体" w:eastAsia="宋体" w:cs="宋体"/>
                <w:sz w:val="20"/>
                <w:szCs w:val="20"/>
                <w:highlight w:val="none"/>
                <w:lang w:val="en-US" w:eastAsia="en-US"/>
              </w:rPr>
              <w:t>根据供应商提供的应急预案（包括但不限于：①应急小组人员配置；②劳动纠纷应急预案及措施；③应急调配预案及措施；④服务需求变动的应急预案及措施）进行综合评审。</w:t>
            </w:r>
          </w:p>
          <w:p w14:paraId="345F53E9">
            <w:pPr>
              <w:bidi w:val="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en-US"/>
              </w:rPr>
              <w:t>以上内容完整清晰明确且科学合理、可行性高具有针对性并满足采购需求的得</w:t>
            </w:r>
            <w:r>
              <w:rPr>
                <w:rFonts w:hint="eastAsia" w:ascii="宋体" w:hAnsi="宋体" w:cs="宋体"/>
                <w:sz w:val="20"/>
                <w:szCs w:val="20"/>
                <w:highlight w:val="none"/>
                <w:lang w:val="en-US" w:eastAsia="zh-CN"/>
              </w:rPr>
              <w:t>8</w:t>
            </w:r>
            <w:r>
              <w:rPr>
                <w:rFonts w:hint="eastAsia" w:ascii="宋体" w:hAnsi="宋体" w:eastAsia="宋体" w:cs="宋体"/>
                <w:sz w:val="20"/>
                <w:szCs w:val="20"/>
                <w:highlight w:val="none"/>
                <w:lang w:val="en-US" w:eastAsia="en-US"/>
              </w:rPr>
              <w:t>分，每缺少一项内容扣2分；</w:t>
            </w:r>
            <w:r>
              <w:rPr>
                <w:rFonts w:hint="eastAsia" w:ascii="宋体" w:hAnsi="宋体" w:eastAsia="宋体" w:cs="宋体"/>
                <w:sz w:val="20"/>
                <w:szCs w:val="20"/>
                <w:highlight w:val="none"/>
                <w:lang w:val="en-US" w:eastAsia="zh-CN"/>
              </w:rPr>
              <w:t>每小项内容中有一处内容缺陷扣1分，</w:t>
            </w:r>
            <w:r>
              <w:rPr>
                <w:rFonts w:hint="eastAsia" w:ascii="宋体" w:hAnsi="宋体" w:eastAsia="宋体" w:cs="宋体"/>
                <w:sz w:val="20"/>
                <w:szCs w:val="20"/>
                <w:highlight w:val="none"/>
                <w:lang w:val="en-US" w:eastAsia="en-US"/>
              </w:rPr>
              <w:t>扣完为止。</w:t>
            </w:r>
            <w:r>
              <w:rPr>
                <w:rFonts w:hint="eastAsia" w:ascii="宋体" w:hAnsi="宋体" w:eastAsia="宋体" w:cs="宋体"/>
                <w:sz w:val="20"/>
                <w:szCs w:val="20"/>
                <w:highlight w:val="none"/>
                <w:lang w:val="en-US" w:eastAsia="zh-CN"/>
              </w:rPr>
              <w:t>未提供应急预案的，此项不得分。</w:t>
            </w:r>
          </w:p>
          <w:p w14:paraId="43F11ED0">
            <w:pPr>
              <w:pStyle w:val="53"/>
              <w:spacing w:before="34" w:line="239" w:lineRule="auto"/>
              <w:ind w:left="24" w:leftChars="0" w:right="82" w:rightChars="0" w:hanging="12" w:firstLineChars="0"/>
              <w:jc w:val="both"/>
              <w:rPr>
                <w:rFonts w:hint="eastAsia" w:ascii="宋体" w:hAnsi="宋体" w:eastAsia="宋体" w:cs="宋体"/>
                <w:spacing w:val="9"/>
                <w:sz w:val="20"/>
                <w:szCs w:val="20"/>
                <w:highlight w:val="none"/>
              </w:rPr>
            </w:pPr>
            <w:r>
              <w:rPr>
                <w:rFonts w:hint="eastAsia" w:ascii="宋体" w:hAnsi="宋体" w:eastAsia="宋体" w:cs="宋体"/>
                <w:sz w:val="20"/>
                <w:szCs w:val="20"/>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82" w:type="dxa"/>
            <w:tcBorders>
              <w:top w:val="single" w:color="000000" w:sz="4" w:space="0"/>
              <w:bottom w:val="single" w:color="000000" w:sz="4" w:space="0"/>
            </w:tcBorders>
            <w:vAlign w:val="center"/>
          </w:tcPr>
          <w:p w14:paraId="29A5A091">
            <w:pPr>
              <w:pStyle w:val="53"/>
              <w:spacing w:before="65" w:line="270" w:lineRule="exact"/>
              <w:ind w:left="240" w:leftChars="0"/>
              <w:jc w:val="center"/>
              <w:rPr>
                <w:rFonts w:hint="eastAsia" w:ascii="宋体" w:hAnsi="宋体" w:eastAsia="宋体" w:cs="宋体"/>
                <w:spacing w:val="2"/>
                <w:position w:val="1"/>
                <w:sz w:val="20"/>
                <w:szCs w:val="20"/>
                <w:highlight w:val="none"/>
              </w:rPr>
            </w:pPr>
            <w:r>
              <w:rPr>
                <w:rFonts w:hint="eastAsia" w:ascii="宋体" w:hAnsi="宋体" w:eastAsia="宋体" w:cs="宋体"/>
                <w:spacing w:val="1"/>
                <w:position w:val="1"/>
                <w:sz w:val="20"/>
                <w:szCs w:val="20"/>
                <w:highlight w:val="none"/>
                <w:lang w:val="en-US" w:eastAsia="zh-CN"/>
              </w:rPr>
              <w:t>0-8</w:t>
            </w:r>
          </w:p>
        </w:tc>
      </w:tr>
      <w:tr w14:paraId="1608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106" w:type="dxa"/>
            <w:gridSpan w:val="5"/>
            <w:tcBorders>
              <w:top w:val="nil"/>
            </w:tcBorders>
            <w:vAlign w:val="top"/>
          </w:tcPr>
          <w:p w14:paraId="7D617BCB">
            <w:pPr>
              <w:pStyle w:val="53"/>
              <w:spacing w:before="49" w:line="223" w:lineRule="auto"/>
              <w:ind w:left="132"/>
              <w:rPr>
                <w:rFonts w:hint="eastAsia" w:ascii="宋体" w:hAnsi="宋体" w:eastAsia="宋体" w:cs="宋体"/>
                <w:sz w:val="22"/>
                <w:szCs w:val="22"/>
                <w:highlight w:val="none"/>
              </w:rPr>
            </w:pPr>
            <w:r>
              <w:rPr>
                <w:rFonts w:hint="eastAsia" w:ascii="宋体" w:hAnsi="宋体" w:eastAsia="宋体" w:cs="宋体"/>
                <w:b/>
                <w:bCs/>
                <w:spacing w:val="-3"/>
                <w:sz w:val="22"/>
                <w:szCs w:val="22"/>
                <w:highlight w:val="none"/>
              </w:rPr>
              <w:t>合计</w:t>
            </w:r>
            <w:r>
              <w:rPr>
                <w:rFonts w:hint="eastAsia" w:ascii="宋体" w:hAnsi="宋体" w:eastAsia="宋体" w:cs="宋体"/>
                <w:spacing w:val="-3"/>
                <w:sz w:val="22"/>
                <w:szCs w:val="22"/>
                <w:highlight w:val="none"/>
              </w:rPr>
              <w:t xml:space="preserve"> </w:t>
            </w:r>
            <w:r>
              <w:rPr>
                <w:rFonts w:hint="eastAsia" w:ascii="宋体" w:hAnsi="宋体" w:eastAsia="宋体" w:cs="宋体"/>
                <w:b/>
                <w:bCs/>
                <w:spacing w:val="-3"/>
                <w:sz w:val="22"/>
                <w:szCs w:val="22"/>
                <w:highlight w:val="none"/>
              </w:rPr>
              <w:t>100分，供应商综合得分=商务部分得分+技术部分得分。</w:t>
            </w:r>
          </w:p>
          <w:p w14:paraId="7EF71562">
            <w:pPr>
              <w:pStyle w:val="53"/>
              <w:spacing w:before="65" w:line="270" w:lineRule="exact"/>
              <w:ind w:left="187"/>
              <w:rPr>
                <w:rFonts w:hint="eastAsia" w:ascii="宋体" w:hAnsi="宋体" w:eastAsia="宋体" w:cs="宋体"/>
                <w:spacing w:val="2"/>
                <w:position w:val="1"/>
                <w:sz w:val="20"/>
                <w:szCs w:val="20"/>
                <w:highlight w:val="none"/>
              </w:rPr>
            </w:pPr>
            <w:r>
              <w:rPr>
                <w:rFonts w:hint="eastAsia" w:ascii="宋体" w:hAnsi="宋体" w:eastAsia="宋体" w:cs="宋体"/>
                <w:b/>
                <w:bCs/>
                <w:spacing w:val="7"/>
                <w:sz w:val="20"/>
                <w:szCs w:val="20"/>
                <w:highlight w:val="none"/>
              </w:rPr>
              <w:t>注：1、评分计算结果保留两位小数，第三</w:t>
            </w:r>
            <w:r>
              <w:rPr>
                <w:rFonts w:hint="eastAsia" w:ascii="宋体" w:hAnsi="宋体" w:eastAsia="宋体" w:cs="宋体"/>
                <w:b/>
                <w:bCs/>
                <w:spacing w:val="6"/>
                <w:sz w:val="20"/>
                <w:szCs w:val="20"/>
                <w:highlight w:val="none"/>
              </w:rPr>
              <w:t>位小数四舍五入。</w:t>
            </w:r>
          </w:p>
        </w:tc>
      </w:tr>
    </w:tbl>
    <w:p w14:paraId="7B5B0D91">
      <w:pPr>
        <w:pStyle w:val="9"/>
        <w:spacing w:line="199" w:lineRule="exact"/>
        <w:ind w:left="0" w:leftChars="0" w:firstLine="0" w:firstLineChars="0"/>
        <w:rPr>
          <w:rFonts w:hint="eastAsia" w:ascii="宋体" w:hAnsi="宋体" w:eastAsia="宋体" w:cs="宋体"/>
          <w:sz w:val="17"/>
          <w:highlight w:val="none"/>
        </w:rPr>
      </w:pPr>
    </w:p>
    <w:p w14:paraId="57FC0BC1">
      <w:pPr>
        <w:pStyle w:val="9"/>
        <w:spacing w:line="272" w:lineRule="auto"/>
        <w:rPr>
          <w:highlight w:val="none"/>
        </w:rPr>
      </w:pPr>
    </w:p>
    <w:p w14:paraId="1928EFD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说明：1、按照《财政部 工业和信息化部关于印发&lt;政府采购促进中小企业发展管理办法&gt;的通知》（财库〔2020〕46 号）及《关于落实好政府采购支持中小企业发展的通知》（新财购【2022】22 号）的规定，落实促进中小企业发展政策；按照《财政部、 司法部关于政府采购支持监狱企业发展有关问题的通知》（财库〔2014〕68 号）的规定，落实支持监狱企业发展政策。按照《三部门联合发布关于促进残疾人就业政府采购政策的通知》（财库〔2017〕 141 号）的规定，落实支持残疾人福利性单位发展政策。 </w:t>
      </w:r>
    </w:p>
    <w:p w14:paraId="16867AE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2、关于小微企业： </w:t>
      </w:r>
    </w:p>
    <w:p w14:paraId="4D22A40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2.1 按&lt;关于印发《政府采购促进中小企业发展暂行办法》的通知&gt;（财库〔2020〕46 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4566C3C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2.1.1 在政府采购活动中，</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 xml:space="preserve">提供的货物、工程或者服务符合下列情形的，享受本办法规定的中小企业扶持政策： </w:t>
      </w:r>
    </w:p>
    <w:p w14:paraId="7C25CB0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（一）在货物采购项目中，货物由中小企业制造，即货物由中小企业生产且使用该中 </w:t>
      </w:r>
    </w:p>
    <w:p w14:paraId="74BDCE1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小企业商号或者注册商标； </w:t>
      </w:r>
    </w:p>
    <w:p w14:paraId="4859478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（二）在工程采购项目中，工程由中小企业承建，即工程施工单位为中小企业； </w:t>
      </w:r>
    </w:p>
    <w:p w14:paraId="5208F57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（三）在服务采购项目中，服务由中小企业承接，即提供服务的人员为中小企业依照 </w:t>
      </w:r>
    </w:p>
    <w:p w14:paraId="56D89165">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《中华人民共和国劳动合同法》订立劳动合同的从业人员。在货物采购项目中，</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lang w:val="en-US" w:eastAsia="zh-CN"/>
        </w:rPr>
        <w:t xml:space="preserve">提供的货物既有中小企业制造货物，也有大型企业制造货物的，不享受本办法规定的中小企业扶持政策。以联合体形式参加政府采购活动，联合体各方均为中小企业的，联合体视同中小 企业。其中，联合体各方均为小微企业的，联合体视同小微企业。 </w:t>
      </w:r>
    </w:p>
    <w:p w14:paraId="5A6C044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 依照&lt;财政部、司法部关于政府采购支持监狱企业发展有关问题的通知&gt;（财库〔2014〕68 号）之规定，监狱企业应当符合以下条件： </w:t>
      </w:r>
    </w:p>
    <w:p w14:paraId="0DEB139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C460481">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2.2. 2 监狱企业参加政府采购活动时，视同小型、微型企业，应当提供由省级以 上监狱管理局、戒毒管理局（含新疆生产建设兵团）出具的属于监狱企业的证明文件。 </w:t>
      </w:r>
    </w:p>
    <w:p w14:paraId="48FA327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3、附件 </w:t>
      </w:r>
    </w:p>
    <w:p w14:paraId="47BA4FA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关于印发中小企业划型标准规定的通知(工信部联企业〔2011〕300 号) 各省、自治区、直辖市人民政府，国务院各部委、各直属机构及有关单位： 为贯彻落实《中华人民共和国中小企业促进法》和《国务院关于进一步促进中小 企业发展的若干意见》（国发〔2009〕36 号），工业和信息化部、国家统计局、发展 改革委、财政部研究制定了《中小企业划型标准规定》。经国务院同意，现印发给你们，请遵照执行。 </w:t>
      </w:r>
    </w:p>
    <w:p w14:paraId="68DC2B2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工业和信息化部 </w:t>
      </w:r>
    </w:p>
    <w:p w14:paraId="2D3C9E9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国家统计局 </w:t>
      </w:r>
    </w:p>
    <w:p w14:paraId="20FDC616">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国家发展和改革委员会 </w:t>
      </w:r>
    </w:p>
    <w:p w14:paraId="4951078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财政部 </w:t>
      </w:r>
    </w:p>
    <w:p w14:paraId="489EA93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二○一一年六月十八日 </w:t>
      </w:r>
    </w:p>
    <w:p w14:paraId="53B6B08A">
      <w:pPr>
        <w:spacing w:line="240" w:lineRule="auto"/>
        <w:ind w:firstLine="3360" w:firstLineChars="16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中小企业划型标准规定</w:t>
      </w:r>
    </w:p>
    <w:p w14:paraId="7ECDB9E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一、根据《中华人民共和国中小企业促进法》和《国务院关于进一步促进中小企业发展的若干意见》(国发〔2009〕36 号)，制定本规定。 </w:t>
      </w:r>
    </w:p>
    <w:p w14:paraId="62D1DB9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二、中小企业划分为中型、小型、微型三种类型，具体标准根据企业从业人员、营业收入、资产总额等指标，结合行业特点制定。 </w:t>
      </w:r>
    </w:p>
    <w:p w14:paraId="0EB9BAC3">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本规定适用的行业包括：农、林、牧、渔业，工业（包括采矿业，制造业，电力、热力、燃气及水生产和供应业），建筑业，批发业，零售业，交通运输业（不含铁路运输业），仓储业，邮政业，住宿业，租赁和商务服务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7049065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四、各行业划型标准为： </w:t>
      </w:r>
    </w:p>
    <w:p w14:paraId="143B504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（一）农、林、牧、渔业。营业收入 20000 万元以下的为中小微型企业。其中，营业收入 500 万元及以上的为中型企业，营业收入 50 万元及以上的为小型企业，营业收入 50 万元以下的为微型企业。 </w:t>
      </w:r>
    </w:p>
    <w:p w14:paraId="2ACB207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（二）工业。从业人员 1000 人以下或营业收入 40000 万元以下的为中小微型企业。其中，从业人员 300 人及以上，且营业收入 2000 万元及以上的为中型企业；从业人员20 人及以上，且营业收入 300 万元及以上的为小型企业；从业人员 20 人以下或营业收入 300 万元以下的为微型企业。 </w:t>
      </w:r>
    </w:p>
    <w:p w14:paraId="0284788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万元及以上的为小型企业；营业收入62300 万元以下或资产总额 300 万元以下的为微型企业。 </w:t>
      </w:r>
    </w:p>
    <w:p w14:paraId="0AAE79A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 </w:t>
      </w:r>
    </w:p>
    <w:p w14:paraId="3CF3F48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 </w:t>
      </w:r>
    </w:p>
    <w:p w14:paraId="4AAFF8B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 </w:t>
      </w:r>
    </w:p>
    <w:p w14:paraId="16E0F82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（七）仓储业。从业人员 200 人以下或营业收入 30000 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 </w:t>
      </w:r>
    </w:p>
    <w:p w14:paraId="3DA93BE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（八）邮政业。从业人员 1000 人以下或营业收入 30000 万元以下的为中小微型企业。 </w:t>
      </w:r>
    </w:p>
    <w:p w14:paraId="34465961">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其中，从业人员 300 人及以上，且营业收入 2000 万元及以上的为中型企业；从业人员 20 人及以上，且营业收入 100 万元及以上的为小型企业；从业人员 20 人以下或营业收入 100 万元以下的为微型企业。 </w:t>
      </w:r>
    </w:p>
    <w:p w14:paraId="15C857C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48E3CDA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（十）租赁和商务服务业。从业人员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 </w:t>
      </w:r>
    </w:p>
    <w:p w14:paraId="0C7B15A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 </w:t>
      </w:r>
    </w:p>
    <w:p w14:paraId="496AC17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 </w:t>
      </w:r>
    </w:p>
    <w:p w14:paraId="4A61E33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 </w:t>
      </w:r>
    </w:p>
    <w:p w14:paraId="224E53F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 </w:t>
      </w:r>
    </w:p>
    <w:p w14:paraId="3226415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（十五）租赁和商务服务业。从业人员 300 人以下或资产总额 120000 万元以下的为中小微型企业。其中，从业人员 100 人及以上，且资产总额 8000 万元及以上的为中型企业；从业人员 10 人及以上，且资产总额100万元及以上的为小型企业；从业人员10人以下或资产总额 100 万元以下的为微型企业。 </w:t>
      </w:r>
    </w:p>
    <w:p w14:paraId="402F413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（十六）其他未列明行业。从业人员 300 人以下的为中小微型企业。其中，从业人员 100 人及以上的为中型企业；从业人员 10 人及以上的为小型企业；从业人员 10 人以下的为微型企业。 </w:t>
      </w:r>
    </w:p>
    <w:p w14:paraId="406B0AEB">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五、企业类型的划分以统计部门的统计数据为依据。 </w:t>
      </w:r>
    </w:p>
    <w:p w14:paraId="38D7360B">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六、本规定适用于在中华人民共和国境内依法设立的各类所有制和各种组织形式的企业。个体工商户和本规定以外的行业，参照本规定进行划型。 </w:t>
      </w:r>
    </w:p>
    <w:p w14:paraId="27AF9D1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2BA0BF08">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八、本规定由工业和信息化部、国家统计局会同有关部门根据《国民经济行业分类》修订情况和企业发展变化情况适时修订。 </w:t>
      </w:r>
    </w:p>
    <w:p w14:paraId="22ED3AA2">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九、本规定由工业和信息化部、国家统计局会同有关部门负责解释。 </w:t>
      </w:r>
    </w:p>
    <w:p w14:paraId="60F3E04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十、本规定自发布之日起执行，原国家经贸委、原国家计委、财政部和国家统计局 2003 年颁布的《中小企业标准暂行规定》同时废止。 </w:t>
      </w:r>
    </w:p>
    <w:p w14:paraId="15681BCC">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4、附件 </w:t>
      </w:r>
    </w:p>
    <w:p w14:paraId="160754E8">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关于推动解决政府采购异常低价问题的通知</w:t>
      </w:r>
    </w:p>
    <w:p w14:paraId="42D743E8">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财库〔2026〕2 号</w:t>
      </w:r>
    </w:p>
    <w:p w14:paraId="070ED83D">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各中央预算单位，各省、自治区、直辖市、计划单列市财政厅（局），新疆生产建设 </w:t>
      </w:r>
    </w:p>
    <w:p w14:paraId="2064F19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兵团财政局： 为整治政府采购领域“内卷式”竞争，形成优质优价、良性竞争的市场秩序，现 </w:t>
      </w:r>
    </w:p>
    <w:p w14:paraId="5CC274B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就推动解决政府采购异常低价问题有关事项通知如下： </w:t>
      </w:r>
    </w:p>
    <w:p w14:paraId="13F38F4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一、加强政府采购需求管理 </w:t>
      </w:r>
    </w:p>
    <w:p w14:paraId="058171D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4944D6C7">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二、强化政府采购异常低价审查 </w:t>
      </w:r>
    </w:p>
    <w:p w14:paraId="0691B3B7">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（一）采购人应当在采购文件中明确，政府采购评审中出现下列情形之一的，评审委员会应当启动异常低价投标（响应）审查程序： </w:t>
      </w:r>
    </w:p>
    <w:p w14:paraId="2720C84F">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1.投标（响应）报价低于全部通过符合性审查供应商投标（响应）报价平均值 50% 的，即投标（响应）报价&lt;全部通过符合性审查供应商投标（响应）报价平均值×50%； </w:t>
      </w:r>
    </w:p>
    <w:p w14:paraId="2003A57C">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2.投标（响应）报价低于通过符合性审查的次低报价供应商投标（响应）报价 50% 的，即投标（响应）报价&lt;通过符合性审查的次低报价供应商投标（响应）报价×50%； </w:t>
      </w:r>
    </w:p>
    <w:p w14:paraId="1738038A">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3.投标（响应）报价低于采购项目最高限价 45%的，即投标（响应）报价&lt;采购项目最高限价×45%； </w:t>
      </w:r>
    </w:p>
    <w:p w14:paraId="722E96BE">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4.评审委员会基于专业判断，认为供应商报价过低，有可能影响产品质量或者不能诚信履约的其他情形。 采购人可以结合具体项目实际情况，提高上述第 1 项至第 3 项中启动异常低价投标（响应）审查的数值标准，但是最高不得超过 65%。相关法律法规对供应商报价有规定的，从其规定。 </w:t>
      </w:r>
    </w:p>
    <w:p w14:paraId="7686EDB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 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1AD78C8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77D6C7A0">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三、加强政府采购履约验收管理 </w:t>
      </w:r>
    </w:p>
    <w:p w14:paraId="6C4A55A9">
      <w:pPr>
        <w:spacing w:line="24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本通知自 2026 年 2 月 1 日起施行。 </w:t>
      </w:r>
    </w:p>
    <w:p w14:paraId="7B03E33A">
      <w:pPr>
        <w:spacing w:line="240" w:lineRule="auto"/>
        <w:ind w:firstLine="6300" w:firstLineChars="30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财政部 </w:t>
      </w:r>
    </w:p>
    <w:p w14:paraId="7FA2A4D4">
      <w:pPr>
        <w:spacing w:line="240" w:lineRule="auto"/>
        <w:ind w:firstLine="6090" w:firstLineChars="29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2026 年 1 月 14 日</w:t>
      </w:r>
    </w:p>
    <w:p w14:paraId="24EE9F95">
      <w:pPr>
        <w:rPr>
          <w:sz w:val="21"/>
          <w:szCs w:val="21"/>
          <w:highlight w:val="none"/>
        </w:rPr>
      </w:pPr>
    </w:p>
    <w:sectPr>
      <w:headerReference r:id="rId18" w:type="default"/>
      <w:footerReference r:id="rId19" w:type="default"/>
      <w:pgSz w:w="11906" w:h="16838"/>
      <w:pgMar w:top="1440" w:right="1083" w:bottom="1440" w:left="1083" w:header="850"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
    <w:altName w:val="宋体"/>
    <w:panose1 w:val="00000000000000000000"/>
    <w:charset w:val="81"/>
    <w:family w:val="roman"/>
    <w:pitch w:val="default"/>
    <w:sig w:usb0="00000000" w:usb1="00000000" w:usb2="0000000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5792">
    <w:pPr>
      <w:pStyle w:val="1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1FF3">
    <w:pPr>
      <w:pStyle w:val="15"/>
      <w:framePr w:wrap="around" w:vAnchor="text" w:hAnchor="margin" w:xAlign="center" w:y="1"/>
      <w:rPr>
        <w:rStyle w:val="28"/>
      </w:rPr>
    </w:pPr>
    <w:r>
      <w:fldChar w:fldCharType="begin"/>
    </w:r>
    <w:r>
      <w:rPr>
        <w:rStyle w:val="28"/>
      </w:rPr>
      <w:instrText xml:space="preserve">PAGE  </w:instrText>
    </w:r>
    <w:r>
      <w:fldChar w:fldCharType="end"/>
    </w:r>
  </w:p>
  <w:p w14:paraId="2FAD14BD">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EB35">
    <w:pPr>
      <w:pStyle w:val="15"/>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510F84">
                          <w:pPr>
                            <w:pStyle w:val="15"/>
                            <w:rPr>
                              <w:rStyle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510F84">
                    <w:pPr>
                      <w:pStyle w:val="15"/>
                      <w:rPr>
                        <w:rStyle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3B2E9">
    <w:pPr>
      <w:spacing w:line="184" w:lineRule="auto"/>
      <w:ind w:left="47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6BA9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26BA9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731E">
    <w:pPr>
      <w:pStyle w:val="15"/>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A38BF">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2A38BF">
                    <w:pPr>
                      <w:pStyle w:val="15"/>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CFA73">
                          <w:pPr>
                            <w:pStyle w:val="15"/>
                            <w:rPr>
                              <w:rStyle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F6CFA73">
                    <w:pPr>
                      <w:pStyle w:val="15"/>
                      <w:rPr>
                        <w:rStyle w:val="28"/>
                      </w:rPr>
                    </w:pP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D002">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025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80250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A6D6">
    <w:pPr>
      <w:pStyle w:val="15"/>
      <w:ind w:right="360" w:firstLine="6840" w:firstLineChars="38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3757E">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E3757E">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DF4E">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A4D4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0A4D4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B21C">
    <w:pPr>
      <w:pStyle w:val="15"/>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D4780">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ADD4780">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252A">
    <w:pPr>
      <w:pStyle w:val="16"/>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AAB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194">
    <w:pPr>
      <w:pStyle w:val="16"/>
      <w:pBdr>
        <w:bottom w:val="none" w:color="auto" w:sz="0" w:space="1"/>
      </w:pBdr>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D202">
    <w:pPr>
      <w:pStyle w:val="16"/>
      <w:pBdr>
        <w:bottom w:val="none" w:color="auto" w:sz="0" w:space="1"/>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2A65">
    <w:pPr>
      <w:spacing w:line="634" w:lineRule="exact"/>
      <w:rPr>
        <w:rFonts w:ascii="仿宋" w:hAnsi="仿宋" w:eastAsia="仿宋" w:cs="仿宋"/>
        <w:sz w:val="17"/>
        <w:szCs w:val="17"/>
      </w:rPr>
    </w:pPr>
    <w:r>
      <w:drawing>
        <wp:anchor distT="0" distB="0" distL="0" distR="0" simplePos="0" relativeHeight="251659264" behindDoc="0" locked="0" layoutInCell="0" allowOverlap="1">
          <wp:simplePos x="0" y="0"/>
          <wp:positionH relativeFrom="page">
            <wp:posOffset>687070</wp:posOffset>
          </wp:positionH>
          <wp:positionV relativeFrom="page">
            <wp:posOffset>951865</wp:posOffset>
          </wp:positionV>
          <wp:extent cx="618490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6184801"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8012">
    <w:pPr>
      <w:pBdr>
        <w:bottom w:val="none" w:color="auto" w:sz="0" w:space="0"/>
      </w:pBdr>
      <w:overflowPunct w:val="0"/>
      <w:spacing w:line="500" w:lineRule="exact"/>
      <w:jc w:val="right"/>
      <w:rPr>
        <w:rFonts w:hint="eastAsia"/>
      </w:rPr>
    </w:pPr>
    <w:r>
      <w:rPr>
        <w:rFonts w:hint="eastAsia" w:ascii="宋体" w:hAnsi="宋体" w:eastAsia="宋体" w:cs="宋体"/>
        <w:b/>
        <w:szCs w:val="21"/>
      </w:rPr>
      <w:t xml:space="preserve"> </w:t>
    </w:r>
    <w:r>
      <w:rPr>
        <w:rFonts w:hint="eastAsia" w:ascii="仿宋" w:hAnsi="仿宋" w:eastAsia="仿宋" w:cs="仿宋"/>
        <w:b/>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EC55">
    <w:pPr>
      <w:pStyle w:val="16"/>
      <w:pBdr>
        <w:bottom w:val="none" w:color="auto" w:sz="0" w:space="1"/>
      </w:pBdr>
      <w:jc w:val="center"/>
      <w:rPr>
        <w:b/>
        <w:b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45ED">
    <w:pPr>
      <w:pBdr>
        <w:bottom w:val="none" w:color="auto" w:sz="0" w:space="0"/>
      </w:pBdr>
      <w:overflowPunct w:val="0"/>
      <w:spacing w:line="500" w:lineRule="exact"/>
      <w:jc w:val="right"/>
      <w:rPr>
        <w:rFonts w:hint="eastAsia"/>
      </w:rPr>
    </w:pPr>
    <w:r>
      <w:rPr>
        <w:rFonts w:hint="eastAsia" w:ascii="仿宋" w:hAnsi="仿宋" w:eastAsia="仿宋" w:cs="仿宋"/>
        <w:b/>
        <w:szCs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8BE6D"/>
    <w:multiLevelType w:val="singleLevel"/>
    <w:tmpl w:val="8CF8BE6D"/>
    <w:lvl w:ilvl="0" w:tentative="0">
      <w:start w:val="1"/>
      <w:numFmt w:val="decimal"/>
      <w:suff w:val="nothing"/>
      <w:lvlText w:val="%1．"/>
      <w:lvlJc w:val="left"/>
      <w:pPr>
        <w:ind w:left="0" w:firstLine="400"/>
      </w:pPr>
      <w:rPr>
        <w:rFonts w:hint="default"/>
      </w:rPr>
    </w:lvl>
  </w:abstractNum>
  <w:abstractNum w:abstractNumId="1">
    <w:nsid w:val="96D832A4"/>
    <w:multiLevelType w:val="singleLevel"/>
    <w:tmpl w:val="96D832A4"/>
    <w:lvl w:ilvl="0" w:tentative="0">
      <w:start w:val="1"/>
      <w:numFmt w:val="decimal"/>
      <w:suff w:val="nothing"/>
      <w:lvlText w:val="%1．"/>
      <w:lvlJc w:val="left"/>
      <w:pPr>
        <w:ind w:left="0" w:firstLine="400"/>
      </w:pPr>
      <w:rPr>
        <w:rFonts w:hint="default"/>
      </w:rPr>
    </w:lvl>
  </w:abstractNum>
  <w:abstractNum w:abstractNumId="2">
    <w:nsid w:val="CC45AB0E"/>
    <w:multiLevelType w:val="singleLevel"/>
    <w:tmpl w:val="CC45AB0E"/>
    <w:lvl w:ilvl="0" w:tentative="0">
      <w:start w:val="1"/>
      <w:numFmt w:val="decimal"/>
      <w:suff w:val="nothing"/>
      <w:lvlText w:val="%1．"/>
      <w:lvlJc w:val="left"/>
      <w:pPr>
        <w:ind w:left="0" w:firstLine="400"/>
      </w:pPr>
      <w:rPr>
        <w:rFonts w:hint="default"/>
      </w:rPr>
    </w:lvl>
  </w:abstractNum>
  <w:abstractNum w:abstractNumId="3">
    <w:nsid w:val="CF27A270"/>
    <w:multiLevelType w:val="singleLevel"/>
    <w:tmpl w:val="CF27A270"/>
    <w:lvl w:ilvl="0" w:tentative="0">
      <w:start w:val="1"/>
      <w:numFmt w:val="decimal"/>
      <w:suff w:val="nothing"/>
      <w:lvlText w:val="%1．"/>
      <w:lvlJc w:val="left"/>
      <w:pPr>
        <w:ind w:left="0" w:firstLine="400"/>
      </w:pPr>
      <w:rPr>
        <w:rFonts w:hint="default"/>
      </w:rPr>
    </w:lvl>
  </w:abstractNum>
  <w:abstractNum w:abstractNumId="4">
    <w:nsid w:val="E716F5FB"/>
    <w:multiLevelType w:val="singleLevel"/>
    <w:tmpl w:val="E716F5FB"/>
    <w:lvl w:ilvl="0" w:tentative="0">
      <w:start w:val="1"/>
      <w:numFmt w:val="decimal"/>
      <w:suff w:val="nothing"/>
      <w:lvlText w:val="%1．"/>
      <w:lvlJc w:val="left"/>
      <w:pPr>
        <w:ind w:left="0" w:firstLine="400"/>
      </w:pPr>
      <w:rPr>
        <w:rFonts w:hint="default"/>
      </w:rPr>
    </w:lvl>
  </w:abstractNum>
  <w:abstractNum w:abstractNumId="5">
    <w:nsid w:val="E8047F72"/>
    <w:multiLevelType w:val="singleLevel"/>
    <w:tmpl w:val="E8047F72"/>
    <w:lvl w:ilvl="0" w:tentative="0">
      <w:start w:val="1"/>
      <w:numFmt w:val="decimal"/>
      <w:suff w:val="nothing"/>
      <w:lvlText w:val="%1．"/>
      <w:lvlJc w:val="left"/>
      <w:pPr>
        <w:ind w:left="0" w:firstLine="400"/>
      </w:pPr>
      <w:rPr>
        <w:rFonts w:hint="default"/>
      </w:rPr>
    </w:lvl>
  </w:abstractNum>
  <w:abstractNum w:abstractNumId="6">
    <w:nsid w:val="FD57FC6E"/>
    <w:multiLevelType w:val="singleLevel"/>
    <w:tmpl w:val="FD57FC6E"/>
    <w:lvl w:ilvl="0" w:tentative="0">
      <w:start w:val="1"/>
      <w:numFmt w:val="decimal"/>
      <w:suff w:val="nothing"/>
      <w:lvlText w:val="%1．"/>
      <w:lvlJc w:val="left"/>
      <w:pPr>
        <w:ind w:left="0" w:firstLine="400"/>
      </w:pPr>
      <w:rPr>
        <w:rFonts w:hint="default"/>
      </w:rPr>
    </w:lvl>
  </w:abstractNum>
  <w:abstractNum w:abstractNumId="7">
    <w:nsid w:val="FE0DFBA7"/>
    <w:multiLevelType w:val="singleLevel"/>
    <w:tmpl w:val="FE0DFBA7"/>
    <w:lvl w:ilvl="0" w:tentative="0">
      <w:start w:val="1"/>
      <w:numFmt w:val="decimal"/>
      <w:suff w:val="nothing"/>
      <w:lvlText w:val="%1．"/>
      <w:lvlJc w:val="left"/>
      <w:pPr>
        <w:ind w:left="0" w:firstLine="400"/>
      </w:pPr>
      <w:rPr>
        <w:rFonts w:hint="default"/>
      </w:rPr>
    </w:lvl>
  </w:abstractNum>
  <w:abstractNum w:abstractNumId="8">
    <w:nsid w:val="06A99FFD"/>
    <w:multiLevelType w:val="singleLevel"/>
    <w:tmpl w:val="06A99FFD"/>
    <w:lvl w:ilvl="0" w:tentative="0">
      <w:start w:val="1"/>
      <w:numFmt w:val="decimal"/>
      <w:suff w:val="nothing"/>
      <w:lvlText w:val="%1．"/>
      <w:lvlJc w:val="left"/>
      <w:pPr>
        <w:ind w:left="0" w:firstLine="400"/>
      </w:pPr>
      <w:rPr>
        <w:rFonts w:hint="default"/>
      </w:rPr>
    </w:lvl>
  </w:abstractNum>
  <w:abstractNum w:abstractNumId="9">
    <w:nsid w:val="08676812"/>
    <w:multiLevelType w:val="singleLevel"/>
    <w:tmpl w:val="08676812"/>
    <w:lvl w:ilvl="0" w:tentative="0">
      <w:start w:val="3"/>
      <w:numFmt w:val="chineseCounting"/>
      <w:suff w:val="nothing"/>
      <w:lvlText w:val="第%1章、"/>
      <w:lvlJc w:val="left"/>
      <w:rPr>
        <w:rFonts w:hint="eastAsia"/>
      </w:rPr>
    </w:lvl>
  </w:abstractNum>
  <w:abstractNum w:abstractNumId="10">
    <w:nsid w:val="09DD8ABB"/>
    <w:multiLevelType w:val="singleLevel"/>
    <w:tmpl w:val="09DD8ABB"/>
    <w:lvl w:ilvl="0" w:tentative="0">
      <w:start w:val="1"/>
      <w:numFmt w:val="decimal"/>
      <w:suff w:val="nothing"/>
      <w:lvlText w:val="%1．"/>
      <w:lvlJc w:val="left"/>
      <w:pPr>
        <w:ind w:left="0" w:firstLine="400"/>
      </w:pPr>
      <w:rPr>
        <w:rFonts w:hint="default"/>
      </w:rPr>
    </w:lvl>
  </w:abstractNum>
  <w:abstractNum w:abstractNumId="11">
    <w:nsid w:val="0F60A83B"/>
    <w:multiLevelType w:val="singleLevel"/>
    <w:tmpl w:val="0F60A83B"/>
    <w:lvl w:ilvl="0" w:tentative="0">
      <w:start w:val="1"/>
      <w:numFmt w:val="chineseCounting"/>
      <w:suff w:val="nothing"/>
      <w:lvlText w:val="%1、"/>
      <w:lvlJc w:val="left"/>
      <w:pPr>
        <w:ind w:left="0" w:firstLine="420"/>
      </w:pPr>
      <w:rPr>
        <w:rFonts w:hint="eastAsia"/>
      </w:rPr>
    </w:lvl>
  </w:abstractNum>
  <w:abstractNum w:abstractNumId="12">
    <w:nsid w:val="225BCB41"/>
    <w:multiLevelType w:val="singleLevel"/>
    <w:tmpl w:val="225BCB41"/>
    <w:lvl w:ilvl="0" w:tentative="0">
      <w:start w:val="1"/>
      <w:numFmt w:val="decimal"/>
      <w:suff w:val="nothing"/>
      <w:lvlText w:val="%1．"/>
      <w:lvlJc w:val="left"/>
      <w:pPr>
        <w:ind w:left="0" w:firstLine="400"/>
      </w:pPr>
      <w:rPr>
        <w:rFonts w:hint="default"/>
      </w:rPr>
    </w:lvl>
  </w:abstractNum>
  <w:abstractNum w:abstractNumId="13">
    <w:nsid w:val="4660D526"/>
    <w:multiLevelType w:val="singleLevel"/>
    <w:tmpl w:val="4660D526"/>
    <w:lvl w:ilvl="0" w:tentative="0">
      <w:start w:val="1"/>
      <w:numFmt w:val="decimal"/>
      <w:suff w:val="nothing"/>
      <w:lvlText w:val="%1．"/>
      <w:lvlJc w:val="left"/>
      <w:pPr>
        <w:ind w:left="0" w:firstLine="400"/>
      </w:pPr>
      <w:rPr>
        <w:rFonts w:hint="default"/>
      </w:rPr>
    </w:lvl>
  </w:abstractNum>
  <w:abstractNum w:abstractNumId="14">
    <w:nsid w:val="48090C85"/>
    <w:multiLevelType w:val="singleLevel"/>
    <w:tmpl w:val="48090C85"/>
    <w:lvl w:ilvl="0" w:tentative="0">
      <w:start w:val="1"/>
      <w:numFmt w:val="decimal"/>
      <w:suff w:val="nothing"/>
      <w:lvlText w:val="%1．"/>
      <w:lvlJc w:val="left"/>
      <w:pPr>
        <w:ind w:left="0" w:firstLine="400"/>
      </w:pPr>
      <w:rPr>
        <w:rFonts w:hint="default"/>
      </w:rPr>
    </w:lvl>
  </w:abstractNum>
  <w:abstractNum w:abstractNumId="15">
    <w:nsid w:val="5009F6A4"/>
    <w:multiLevelType w:val="singleLevel"/>
    <w:tmpl w:val="5009F6A4"/>
    <w:lvl w:ilvl="0" w:tentative="0">
      <w:start w:val="1"/>
      <w:numFmt w:val="decimal"/>
      <w:suff w:val="nothing"/>
      <w:lvlText w:val="%1．"/>
      <w:lvlJc w:val="left"/>
      <w:pPr>
        <w:ind w:left="0" w:firstLine="400"/>
      </w:pPr>
      <w:rPr>
        <w:rFonts w:hint="default"/>
      </w:rPr>
    </w:lvl>
  </w:abstractNum>
  <w:abstractNum w:abstractNumId="16">
    <w:nsid w:val="6D231150"/>
    <w:multiLevelType w:val="singleLevel"/>
    <w:tmpl w:val="6D231150"/>
    <w:lvl w:ilvl="0" w:tentative="0">
      <w:start w:val="1"/>
      <w:numFmt w:val="decimal"/>
      <w:suff w:val="nothing"/>
      <w:lvlText w:val="%1．"/>
      <w:lvlJc w:val="left"/>
      <w:pPr>
        <w:ind w:left="0" w:firstLine="400"/>
      </w:pPr>
      <w:rPr>
        <w:rFonts w:hint="default"/>
      </w:rPr>
    </w:lvl>
  </w:abstractNum>
  <w:abstractNum w:abstractNumId="17">
    <w:nsid w:val="6FF2158E"/>
    <w:multiLevelType w:val="multilevel"/>
    <w:tmpl w:val="6FF2158E"/>
    <w:lvl w:ilvl="0" w:tentative="0">
      <w:start w:val="1"/>
      <w:numFmt w:val="decimal"/>
      <w:lvlText w:val="%1."/>
      <w:lvlJc w:val="left"/>
      <w:pPr>
        <w:ind w:left="84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739D0441"/>
    <w:multiLevelType w:val="multilevel"/>
    <w:tmpl w:val="739D0441"/>
    <w:lvl w:ilvl="0" w:tentative="0">
      <w:start w:val="1"/>
      <w:numFmt w:val="decimal"/>
      <w:lvlText w:val="%1."/>
      <w:lvlJc w:val="left"/>
      <w:pPr>
        <w:ind w:left="84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7871691F"/>
    <w:multiLevelType w:val="singleLevel"/>
    <w:tmpl w:val="7871691F"/>
    <w:lvl w:ilvl="0" w:tentative="0">
      <w:start w:val="1"/>
      <w:numFmt w:val="decimal"/>
      <w:suff w:val="nothing"/>
      <w:lvlText w:val="%1．"/>
      <w:lvlJc w:val="left"/>
      <w:pPr>
        <w:ind w:left="0" w:firstLine="400"/>
      </w:pPr>
      <w:rPr>
        <w:rFonts w:hint="default"/>
      </w:rPr>
    </w:lvl>
  </w:abstractNum>
  <w:num w:numId="1">
    <w:abstractNumId w:val="11"/>
  </w:num>
  <w:num w:numId="2">
    <w:abstractNumId w:val="15"/>
  </w:num>
  <w:num w:numId="3">
    <w:abstractNumId w:val="8"/>
  </w:num>
  <w:num w:numId="4">
    <w:abstractNumId w:val="13"/>
  </w:num>
  <w:num w:numId="5">
    <w:abstractNumId w:val="17"/>
  </w:num>
  <w:num w:numId="6">
    <w:abstractNumId w:val="7"/>
  </w:num>
  <w:num w:numId="7">
    <w:abstractNumId w:val="14"/>
  </w:num>
  <w:num w:numId="8">
    <w:abstractNumId w:val="6"/>
  </w:num>
  <w:num w:numId="9">
    <w:abstractNumId w:val="19"/>
  </w:num>
  <w:num w:numId="10">
    <w:abstractNumId w:val="12"/>
  </w:num>
  <w:num w:numId="11">
    <w:abstractNumId w:val="2"/>
  </w:num>
  <w:num w:numId="12">
    <w:abstractNumId w:val="0"/>
  </w:num>
  <w:num w:numId="13">
    <w:abstractNumId w:val="1"/>
  </w:num>
  <w:num w:numId="14">
    <w:abstractNumId w:val="4"/>
  </w:num>
  <w:num w:numId="15">
    <w:abstractNumId w:val="5"/>
  </w:num>
  <w:num w:numId="16">
    <w:abstractNumId w:val="10"/>
  </w:num>
  <w:num w:numId="17">
    <w:abstractNumId w:val="9"/>
  </w:num>
  <w:num w:numId="18">
    <w:abstractNumId w:val="18"/>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YzgyMzBmNmM2Yjg3ZmQzNDZlNTdjNTg2MGYzMDkifQ=="/>
  </w:docVars>
  <w:rsids>
    <w:rsidRoot w:val="57FC7200"/>
    <w:rsid w:val="01166F24"/>
    <w:rsid w:val="01603852"/>
    <w:rsid w:val="01F36FCC"/>
    <w:rsid w:val="032D4F1E"/>
    <w:rsid w:val="0361440A"/>
    <w:rsid w:val="038E05E4"/>
    <w:rsid w:val="050F0447"/>
    <w:rsid w:val="05C7639E"/>
    <w:rsid w:val="05F45A09"/>
    <w:rsid w:val="07794418"/>
    <w:rsid w:val="07A21EB4"/>
    <w:rsid w:val="07F35760"/>
    <w:rsid w:val="0859084E"/>
    <w:rsid w:val="09095327"/>
    <w:rsid w:val="0A002C7E"/>
    <w:rsid w:val="0A2F7010"/>
    <w:rsid w:val="0A8C6210"/>
    <w:rsid w:val="0AA4273D"/>
    <w:rsid w:val="0B182AA2"/>
    <w:rsid w:val="0B3729BF"/>
    <w:rsid w:val="0B4577BD"/>
    <w:rsid w:val="0BF52264"/>
    <w:rsid w:val="0C8607AA"/>
    <w:rsid w:val="0CE22365"/>
    <w:rsid w:val="0D816365"/>
    <w:rsid w:val="0DA47D15"/>
    <w:rsid w:val="0F9F4054"/>
    <w:rsid w:val="103C5BBC"/>
    <w:rsid w:val="10B02D63"/>
    <w:rsid w:val="114C084A"/>
    <w:rsid w:val="11660E72"/>
    <w:rsid w:val="12B338B2"/>
    <w:rsid w:val="153D3CCE"/>
    <w:rsid w:val="153D5444"/>
    <w:rsid w:val="15591767"/>
    <w:rsid w:val="168871E3"/>
    <w:rsid w:val="16FC1FCC"/>
    <w:rsid w:val="17BE7C25"/>
    <w:rsid w:val="17BF778E"/>
    <w:rsid w:val="17CE118E"/>
    <w:rsid w:val="190D49C0"/>
    <w:rsid w:val="1A6F66F4"/>
    <w:rsid w:val="1A7154EF"/>
    <w:rsid w:val="1B3425D8"/>
    <w:rsid w:val="1B390568"/>
    <w:rsid w:val="1B5A3D5D"/>
    <w:rsid w:val="1B776A68"/>
    <w:rsid w:val="1C927150"/>
    <w:rsid w:val="1C9550ED"/>
    <w:rsid w:val="1DA433CF"/>
    <w:rsid w:val="1DE245F0"/>
    <w:rsid w:val="1DFC3255"/>
    <w:rsid w:val="1F2C30F3"/>
    <w:rsid w:val="1F3B158A"/>
    <w:rsid w:val="20C27B76"/>
    <w:rsid w:val="215F5F1E"/>
    <w:rsid w:val="22473E0E"/>
    <w:rsid w:val="224F536F"/>
    <w:rsid w:val="2298179E"/>
    <w:rsid w:val="22A47527"/>
    <w:rsid w:val="22CA2E8B"/>
    <w:rsid w:val="24D874A3"/>
    <w:rsid w:val="25012775"/>
    <w:rsid w:val="25E31FC2"/>
    <w:rsid w:val="26D251BE"/>
    <w:rsid w:val="27397700"/>
    <w:rsid w:val="283830DC"/>
    <w:rsid w:val="283A128D"/>
    <w:rsid w:val="28F74247"/>
    <w:rsid w:val="2975636C"/>
    <w:rsid w:val="29893184"/>
    <w:rsid w:val="2A3F0751"/>
    <w:rsid w:val="2A7D3AEC"/>
    <w:rsid w:val="2B3F0371"/>
    <w:rsid w:val="2BE458BF"/>
    <w:rsid w:val="2CB13908"/>
    <w:rsid w:val="2D4A5D8B"/>
    <w:rsid w:val="2DA16000"/>
    <w:rsid w:val="2EE62640"/>
    <w:rsid w:val="2FB475A5"/>
    <w:rsid w:val="30083A5D"/>
    <w:rsid w:val="30B7758F"/>
    <w:rsid w:val="31595266"/>
    <w:rsid w:val="337D1C2C"/>
    <w:rsid w:val="33FD1324"/>
    <w:rsid w:val="340572FB"/>
    <w:rsid w:val="348A7ED5"/>
    <w:rsid w:val="34A838D6"/>
    <w:rsid w:val="352C49E1"/>
    <w:rsid w:val="359C5BCE"/>
    <w:rsid w:val="35A240D4"/>
    <w:rsid w:val="35E57391"/>
    <w:rsid w:val="36003D7E"/>
    <w:rsid w:val="36341386"/>
    <w:rsid w:val="372F43C3"/>
    <w:rsid w:val="37844784"/>
    <w:rsid w:val="37880213"/>
    <w:rsid w:val="379320DC"/>
    <w:rsid w:val="38AD434C"/>
    <w:rsid w:val="392F0EB2"/>
    <w:rsid w:val="3939219C"/>
    <w:rsid w:val="39743AD8"/>
    <w:rsid w:val="39815C60"/>
    <w:rsid w:val="3AB31E12"/>
    <w:rsid w:val="3B1808F9"/>
    <w:rsid w:val="3BDA2C82"/>
    <w:rsid w:val="3C182BA8"/>
    <w:rsid w:val="3C67733A"/>
    <w:rsid w:val="3CAA7B3E"/>
    <w:rsid w:val="3D314871"/>
    <w:rsid w:val="3D37175C"/>
    <w:rsid w:val="3D55642B"/>
    <w:rsid w:val="3D6633E7"/>
    <w:rsid w:val="3DA62A38"/>
    <w:rsid w:val="3DB14D5C"/>
    <w:rsid w:val="3E7762B4"/>
    <w:rsid w:val="3E9B456D"/>
    <w:rsid w:val="3EB70DA6"/>
    <w:rsid w:val="3F087854"/>
    <w:rsid w:val="3F537159"/>
    <w:rsid w:val="3F8D4B70"/>
    <w:rsid w:val="405E1E05"/>
    <w:rsid w:val="40620545"/>
    <w:rsid w:val="408E7D2C"/>
    <w:rsid w:val="40BB2B60"/>
    <w:rsid w:val="40F2256A"/>
    <w:rsid w:val="40FB605B"/>
    <w:rsid w:val="411A45A9"/>
    <w:rsid w:val="41B60048"/>
    <w:rsid w:val="41FC6DA7"/>
    <w:rsid w:val="42310D2C"/>
    <w:rsid w:val="426674CC"/>
    <w:rsid w:val="42960BF7"/>
    <w:rsid w:val="43264823"/>
    <w:rsid w:val="437529BD"/>
    <w:rsid w:val="459F41C9"/>
    <w:rsid w:val="479F2B4D"/>
    <w:rsid w:val="487E46E3"/>
    <w:rsid w:val="48E56510"/>
    <w:rsid w:val="499D0E07"/>
    <w:rsid w:val="49FE7A5D"/>
    <w:rsid w:val="4A6A3171"/>
    <w:rsid w:val="4B00417F"/>
    <w:rsid w:val="4C561BFF"/>
    <w:rsid w:val="4D161EE4"/>
    <w:rsid w:val="4DC83C20"/>
    <w:rsid w:val="4E0562C4"/>
    <w:rsid w:val="4E1A4F20"/>
    <w:rsid w:val="4E46382E"/>
    <w:rsid w:val="4EBC5E99"/>
    <w:rsid w:val="4F807E20"/>
    <w:rsid w:val="4FFC07A0"/>
    <w:rsid w:val="501716A5"/>
    <w:rsid w:val="50C57645"/>
    <w:rsid w:val="522D29AA"/>
    <w:rsid w:val="522E0803"/>
    <w:rsid w:val="52C33F69"/>
    <w:rsid w:val="532D6010"/>
    <w:rsid w:val="54604B65"/>
    <w:rsid w:val="5472334E"/>
    <w:rsid w:val="549F23FA"/>
    <w:rsid w:val="55316E4A"/>
    <w:rsid w:val="568F761F"/>
    <w:rsid w:val="56C34B91"/>
    <w:rsid w:val="57DA74B2"/>
    <w:rsid w:val="57FC7200"/>
    <w:rsid w:val="5838665C"/>
    <w:rsid w:val="591E2664"/>
    <w:rsid w:val="5A1B139F"/>
    <w:rsid w:val="5AA32359"/>
    <w:rsid w:val="5ADB7953"/>
    <w:rsid w:val="5AE05A7D"/>
    <w:rsid w:val="5D107309"/>
    <w:rsid w:val="5DAC6417"/>
    <w:rsid w:val="5E0076AA"/>
    <w:rsid w:val="5FAD16DE"/>
    <w:rsid w:val="60C34A1A"/>
    <w:rsid w:val="6132054D"/>
    <w:rsid w:val="613F280A"/>
    <w:rsid w:val="61F90D62"/>
    <w:rsid w:val="62C27B96"/>
    <w:rsid w:val="63021D41"/>
    <w:rsid w:val="630E1509"/>
    <w:rsid w:val="63441FC8"/>
    <w:rsid w:val="63530FFD"/>
    <w:rsid w:val="641549C4"/>
    <w:rsid w:val="6427056A"/>
    <w:rsid w:val="643822E8"/>
    <w:rsid w:val="64567BF4"/>
    <w:rsid w:val="65283B5E"/>
    <w:rsid w:val="653A0B8B"/>
    <w:rsid w:val="65DE0E90"/>
    <w:rsid w:val="6645400C"/>
    <w:rsid w:val="66544FA9"/>
    <w:rsid w:val="665E1984"/>
    <w:rsid w:val="66C32BE9"/>
    <w:rsid w:val="679F6E2F"/>
    <w:rsid w:val="67D37CEA"/>
    <w:rsid w:val="67FA3075"/>
    <w:rsid w:val="6A5261C7"/>
    <w:rsid w:val="6A88688D"/>
    <w:rsid w:val="6B1212A2"/>
    <w:rsid w:val="6BA77929"/>
    <w:rsid w:val="6BEB52F8"/>
    <w:rsid w:val="6C6E0826"/>
    <w:rsid w:val="6C7553FB"/>
    <w:rsid w:val="6C89693E"/>
    <w:rsid w:val="6CBF3079"/>
    <w:rsid w:val="6D06656D"/>
    <w:rsid w:val="6EA80AE2"/>
    <w:rsid w:val="6FB228CC"/>
    <w:rsid w:val="708C17E3"/>
    <w:rsid w:val="70A82764"/>
    <w:rsid w:val="717F138E"/>
    <w:rsid w:val="72233A82"/>
    <w:rsid w:val="735A1167"/>
    <w:rsid w:val="744F349C"/>
    <w:rsid w:val="745F6056"/>
    <w:rsid w:val="749079C5"/>
    <w:rsid w:val="75297601"/>
    <w:rsid w:val="754829CA"/>
    <w:rsid w:val="75E555C4"/>
    <w:rsid w:val="76334E79"/>
    <w:rsid w:val="779E13CD"/>
    <w:rsid w:val="7830114B"/>
    <w:rsid w:val="784F55D0"/>
    <w:rsid w:val="78686692"/>
    <w:rsid w:val="7880578A"/>
    <w:rsid w:val="78AB1048"/>
    <w:rsid w:val="78C45535"/>
    <w:rsid w:val="79B51823"/>
    <w:rsid w:val="79BE763A"/>
    <w:rsid w:val="7A385B78"/>
    <w:rsid w:val="7A407312"/>
    <w:rsid w:val="7BBC46E0"/>
    <w:rsid w:val="7D2B3877"/>
    <w:rsid w:val="7DCB7281"/>
    <w:rsid w:val="7E003312"/>
    <w:rsid w:val="7FBE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widowControl/>
      <w:spacing w:before="240" w:after="240" w:line="360" w:lineRule="auto"/>
      <w:jc w:val="center"/>
      <w:outlineLvl w:val="0"/>
    </w:pPr>
    <w:rPr>
      <w:rFonts w:ascii="Times New Roman" w:hAnsi="Times New Roman" w:eastAsia="宋体" w:cs="Times New Roman"/>
      <w:b/>
      <w:bCs/>
      <w:kern w:val="44"/>
      <w:sz w:val="32"/>
      <w:szCs w:val="44"/>
    </w:rPr>
  </w:style>
  <w:style w:type="paragraph" w:styleId="3">
    <w:name w:val="heading 2"/>
    <w:basedOn w:val="1"/>
    <w:next w:val="1"/>
    <w:link w:val="32"/>
    <w:semiHidden/>
    <w:unhideWhenUsed/>
    <w:qFormat/>
    <w:uiPriority w:val="0"/>
    <w:pPr>
      <w:keepNext/>
      <w:keepLines/>
      <w:spacing w:before="240" w:after="240" w:line="360" w:lineRule="auto"/>
      <w:jc w:val="left"/>
      <w:outlineLvl w:val="1"/>
    </w:pPr>
    <w:rPr>
      <w:rFonts w:ascii="Arial" w:hAnsi="Arial" w:eastAsia="宋体" w:cs="Arial"/>
      <w:b/>
      <w:bCs/>
      <w:sz w:val="30"/>
      <w:szCs w:val="32"/>
    </w:rPr>
  </w:style>
  <w:style w:type="paragraph" w:styleId="4">
    <w:name w:val="heading 3"/>
    <w:basedOn w:val="1"/>
    <w:next w:val="1"/>
    <w:link w:val="31"/>
    <w:semiHidden/>
    <w:unhideWhenUsed/>
    <w:qFormat/>
    <w:uiPriority w:val="0"/>
    <w:pPr>
      <w:keepNext/>
      <w:keepLines/>
      <w:spacing w:before="240" w:after="240" w:line="360" w:lineRule="auto"/>
      <w:jc w:val="left"/>
      <w:outlineLvl w:val="2"/>
    </w:pPr>
    <w:rPr>
      <w:rFonts w:ascii="Calibri" w:hAnsi="Calibri" w:eastAsia="宋体" w:cs="Arial"/>
      <w:b/>
      <w:bCs/>
      <w:sz w:val="28"/>
      <w:szCs w:val="32"/>
    </w:rPr>
  </w:style>
  <w:style w:type="paragraph" w:styleId="5">
    <w:name w:val="heading 4"/>
    <w:basedOn w:val="1"/>
    <w:next w:val="1"/>
    <w:semiHidden/>
    <w:unhideWhenUsed/>
    <w:qFormat/>
    <w:uiPriority w:val="0"/>
    <w:pPr>
      <w:keepNext/>
      <w:keepLines/>
      <w:spacing w:before="240" w:beforeLines="0" w:beforeAutospacing="0" w:after="240" w:afterLines="0" w:afterAutospacing="0" w:line="360" w:lineRule="auto"/>
      <w:jc w:val="center"/>
      <w:outlineLvl w:val="3"/>
    </w:pPr>
    <w:rPr>
      <w:rFonts w:ascii="Arial" w:hAnsi="Arial" w:eastAsia="宋体" w:cs="Arial"/>
      <w:b/>
      <w:sz w:val="24"/>
      <w:szCs w:val="24"/>
    </w:rPr>
  </w:style>
  <w:style w:type="character" w:default="1" w:styleId="26">
    <w:name w:val="Default Paragraph Font"/>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annotation text"/>
    <w:basedOn w:val="1"/>
    <w:semiHidden/>
    <w:unhideWhenUsed/>
    <w:qFormat/>
    <w:uiPriority w:val="99"/>
    <w:pPr>
      <w:jc w:val="left"/>
    </w:pPr>
  </w:style>
  <w:style w:type="paragraph" w:styleId="9">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10">
    <w:name w:val="Body Text Indent"/>
    <w:basedOn w:val="1"/>
    <w:qFormat/>
    <w:uiPriority w:val="0"/>
    <w:pPr>
      <w:spacing w:after="120"/>
      <w:ind w:left="420" w:leftChars="200"/>
    </w:pPr>
  </w:style>
  <w:style w:type="paragraph" w:styleId="11">
    <w:name w:val="HTML Address"/>
    <w:basedOn w:val="1"/>
    <w:qFormat/>
    <w:uiPriority w:val="0"/>
    <w:rPr>
      <w:i/>
      <w:iCs/>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pPr>
    <w:rPr>
      <w:sz w:val="28"/>
    </w:rPr>
  </w:style>
  <w:style w:type="paragraph" w:styleId="14">
    <w:name w:val="Body Text Indent 2"/>
    <w:basedOn w:val="1"/>
    <w:qFormat/>
    <w:uiPriority w:val="0"/>
    <w:pPr>
      <w:spacing w:line="360" w:lineRule="auto"/>
      <w:ind w:left="839" w:hanging="839" w:hangingChars="355"/>
    </w:pPr>
    <w:rPr>
      <w:b/>
      <w:kern w:val="0"/>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0"/>
    <w:pPr>
      <w:autoSpaceDE w:val="0"/>
      <w:autoSpaceDN w:val="0"/>
      <w:adjustRightInd w:val="0"/>
      <w:spacing w:line="312" w:lineRule="atLeast"/>
      <w:textAlignment w:val="baseline"/>
    </w:pPr>
    <w:rPr>
      <w:kern w:val="0"/>
    </w:rPr>
  </w:style>
  <w:style w:type="paragraph" w:styleId="18">
    <w:name w:val="List"/>
    <w:basedOn w:val="1"/>
    <w:qFormat/>
    <w:uiPriority w:val="0"/>
    <w:pPr>
      <w:ind w:left="200" w:hanging="200" w:hangingChars="200"/>
    </w:pPr>
  </w:style>
  <w:style w:type="paragraph" w:styleId="19">
    <w:name w:val="footnote text"/>
    <w:basedOn w:val="1"/>
    <w:qFormat/>
    <w:uiPriority w:val="0"/>
    <w:pPr>
      <w:snapToGrid w:val="0"/>
      <w:jc w:val="left"/>
    </w:pPr>
    <w:rPr>
      <w:sz w:val="18"/>
    </w:rPr>
  </w:style>
  <w:style w:type="paragraph" w:styleId="20">
    <w:name w:val="index 7"/>
    <w:basedOn w:val="1"/>
    <w:next w:val="1"/>
    <w:link w:val="42"/>
    <w:semiHidden/>
    <w:qFormat/>
    <w:uiPriority w:val="0"/>
    <w:pPr>
      <w:ind w:left="2520"/>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18"/>
      <w:szCs w:val="18"/>
    </w:rPr>
  </w:style>
  <w:style w:type="paragraph" w:styleId="22">
    <w:name w:val="Body Text First Indent"/>
    <w:basedOn w:val="9"/>
    <w:next w:val="1"/>
    <w:qFormat/>
    <w:uiPriority w:val="0"/>
    <w:pPr>
      <w:tabs>
        <w:tab w:val="left" w:pos="630"/>
      </w:tabs>
      <w:spacing w:after="120" w:afterLines="0"/>
      <w:ind w:firstLine="100" w:firstLineChars="100"/>
      <w:jc w:val="both"/>
      <w:textAlignment w:val="auto"/>
    </w:pPr>
    <w:rPr>
      <w:rFonts w:ascii="Times New Roman"/>
      <w:sz w:val="21"/>
      <w:szCs w:val="24"/>
    </w:rPr>
  </w:style>
  <w:style w:type="paragraph" w:styleId="23">
    <w:name w:val="Body Text First Indent 2"/>
    <w:basedOn w:val="10"/>
    <w:semiHidden/>
    <w:qFormat/>
    <w:uiPriority w:val="0"/>
    <w:pPr>
      <w:ind w:firstLine="420" w:firstLineChars="200"/>
    </w:p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customStyle="1" w:styleId="29">
    <w:name w:val="标题 1 Char"/>
    <w:link w:val="2"/>
    <w:qFormat/>
    <w:uiPriority w:val="0"/>
    <w:rPr>
      <w:rFonts w:ascii="Times New Roman" w:hAnsi="Times New Roman" w:eastAsia="宋体" w:cs="Times New Roman"/>
      <w:b/>
      <w:bCs/>
      <w:kern w:val="44"/>
      <w:sz w:val="32"/>
      <w:szCs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3 Char"/>
    <w:basedOn w:val="26"/>
    <w:link w:val="4"/>
    <w:qFormat/>
    <w:uiPriority w:val="0"/>
    <w:rPr>
      <w:rFonts w:ascii="Calibri" w:hAnsi="Calibri" w:eastAsia="宋体" w:cs="Arial"/>
      <w:b/>
      <w:bCs/>
      <w:sz w:val="28"/>
      <w:szCs w:val="32"/>
    </w:rPr>
  </w:style>
  <w:style w:type="character" w:customStyle="1" w:styleId="32">
    <w:name w:val="标题 2 Char"/>
    <w:basedOn w:val="26"/>
    <w:link w:val="3"/>
    <w:qFormat/>
    <w:uiPriority w:val="99"/>
    <w:rPr>
      <w:rFonts w:ascii="Arial" w:hAnsi="Arial" w:eastAsia="宋体" w:cs="Arial"/>
      <w:b/>
      <w:bCs/>
      <w:sz w:val="30"/>
      <w:szCs w:val="32"/>
    </w:rPr>
  </w:style>
  <w:style w:type="paragraph" w:customStyle="1" w:styleId="33">
    <w:name w:val="表格文字"/>
    <w:basedOn w:val="1"/>
    <w:next w:val="9"/>
    <w:qFormat/>
    <w:uiPriority w:val="0"/>
    <w:pPr>
      <w:jc w:val="left"/>
    </w:pPr>
    <w:rPr>
      <w:bCs/>
      <w:spacing w:val="10"/>
      <w:sz w:val="24"/>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p0"/>
    <w:basedOn w:val="1"/>
    <w:qFormat/>
    <w:uiPriority w:val="0"/>
    <w:pPr>
      <w:widowControl/>
    </w:pPr>
    <w:rPr>
      <w:rFonts w:ascii="Courier New" w:hAnsi="Courier New" w:cs="Courier New"/>
      <w:kern w:val="0"/>
      <w:szCs w:val="21"/>
      <w:lang w:bidi="ar-SA"/>
    </w:rPr>
  </w:style>
  <w:style w:type="paragraph" w:customStyle="1" w:styleId="36">
    <w:name w:val="Body Text First Indent 21"/>
    <w:basedOn w:val="37"/>
    <w:qFormat/>
    <w:uiPriority w:val="0"/>
    <w:pPr>
      <w:ind w:left="420" w:firstLine="420" w:firstLineChars="200"/>
    </w:pPr>
    <w:rPr>
      <w:rFonts w:eastAsia="宋?"/>
    </w:rPr>
  </w:style>
  <w:style w:type="paragraph" w:customStyle="1" w:styleId="37">
    <w:name w:val="Body Text Indent1"/>
    <w:basedOn w:val="1"/>
    <w:next w:val="38"/>
    <w:qFormat/>
    <w:uiPriority w:val="0"/>
    <w:pPr>
      <w:ind w:left="200" w:leftChars="200"/>
    </w:pPr>
  </w:style>
  <w:style w:type="paragraph" w:customStyle="1" w:styleId="38">
    <w:name w:val="envelope return1"/>
    <w:basedOn w:val="1"/>
    <w:qFormat/>
    <w:uiPriority w:val="0"/>
    <w:rPr>
      <w:rFonts w:ascii="Arial" w:hAnsi="Arial"/>
    </w:rPr>
  </w:style>
  <w:style w:type="paragraph" w:customStyle="1" w:styleId="39">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0">
    <w:name w:val="*正文"/>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eastAsia" w:ascii="宋体" w:hAnsi="宋体" w:eastAsia="宋体" w:cs="仿宋_GB2312"/>
      <w:color w:val="auto"/>
      <w:kern w:val="2"/>
      <w:sz w:val="21"/>
      <w:szCs w:val="22"/>
      <w:lang w:val="en-US" w:eastAsia="zh-CN" w:bidi="ar"/>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索引 7 Char"/>
    <w:link w:val="20"/>
    <w:qFormat/>
    <w:uiPriority w:val="0"/>
  </w:style>
  <w:style w:type="paragraph" w:customStyle="1" w:styleId="43">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44">
    <w:name w:val="列表段落1"/>
    <w:basedOn w:val="1"/>
    <w:qFormat/>
    <w:uiPriority w:val="34"/>
    <w:pPr>
      <w:ind w:firstLine="420" w:firstLineChars="200"/>
    </w:pPr>
  </w:style>
  <w:style w:type="character" w:customStyle="1" w:styleId="45">
    <w:name w:val="font61"/>
    <w:basedOn w:val="26"/>
    <w:qFormat/>
    <w:uiPriority w:val="0"/>
    <w:rPr>
      <w:rFonts w:hint="eastAsia" w:ascii="宋体" w:hAnsi="宋体" w:eastAsia="宋体" w:cs="宋体"/>
      <w:color w:val="000000"/>
      <w:sz w:val="20"/>
      <w:szCs w:val="20"/>
      <w:u w:val="none"/>
    </w:rPr>
  </w:style>
  <w:style w:type="character" w:customStyle="1" w:styleId="46">
    <w:name w:val="font11"/>
    <w:basedOn w:val="26"/>
    <w:qFormat/>
    <w:uiPriority w:val="0"/>
    <w:rPr>
      <w:rFonts w:hint="eastAsia" w:ascii="宋体" w:hAnsi="宋体" w:eastAsia="宋体" w:cs="宋体"/>
      <w:color w:val="FF0000"/>
      <w:sz w:val="20"/>
      <w:szCs w:val="20"/>
      <w:u w:val="none"/>
    </w:rPr>
  </w:style>
  <w:style w:type="paragraph" w:customStyle="1" w:styleId="47">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48">
    <w:name w:val="List Paragraph"/>
    <w:basedOn w:val="1"/>
    <w:qFormat/>
    <w:uiPriority w:val="34"/>
    <w:pPr>
      <w:ind w:firstLine="420" w:firstLineChars="200"/>
    </w:pPr>
  </w:style>
  <w:style w:type="paragraph" w:customStyle="1" w:styleId="49">
    <w:name w:val="无间隔1"/>
    <w:basedOn w:val="1"/>
    <w:qFormat/>
    <w:uiPriority w:val="1"/>
    <w:rPr>
      <w:rFonts w:ascii="Calibri" w:hAnsi="Calibri"/>
      <w:szCs w:val="22"/>
    </w:rPr>
  </w:style>
  <w:style w:type="paragraph" w:customStyle="1" w:styleId="5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21597</Words>
  <Characters>22639</Characters>
  <Lines>0</Lines>
  <Paragraphs>0</Paragraphs>
  <TotalTime>25</TotalTime>
  <ScaleCrop>false</ScaleCrop>
  <LinksUpToDate>false</LinksUpToDate>
  <CharactersWithSpaces>22794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2023-07-13T06:14:00Z</dcterms:created>
  <dc:creator>奔赴.</dc:creator>
  <cp:lastModifiedBy>奔赴.</cp:lastModifiedBy>
  <cp:lastPrinted>2026-03-02T04:06:00Z</cp:lastPrinted>
  <dcterms:modified xsi:type="dcterms:W3CDTF">2026-04-14T02:17:02Z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85800E45453D49668017A3EEED136FC5_13</vt:lpwstr>
  </property>
  <property fmtid="{D5CDD505-2E9C-101B-9397-08002B2CF9AE}" pid="4" name="KSOTemplateDocerSaveRecord">
    <vt:lpwstr>eyJoZGlkIjoiNzc2YzgyMzBmNmM2Yjg3ZmQzNDZlNTdjNTg2MGYzMDkiLCJ1c2VySWQiOiIyNjgxNzY5ODcifQ==</vt:lpwstr>
  </property>
</Properties>
</file>