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E5D87">
      <w:pPr>
        <w:pStyle w:val="27"/>
        <w:spacing w:line="360" w:lineRule="auto"/>
        <w:jc w:val="center"/>
        <w:rPr>
          <w:rFonts w:hint="eastAsia" w:ascii="微软雅黑" w:hAnsi="微软雅黑" w:eastAsia="微软雅黑" w:cs="微软雅黑"/>
          <w:b/>
          <w:color w:val="auto"/>
          <w:kern w:val="2"/>
          <w:sz w:val="44"/>
          <w:szCs w:val="44"/>
          <w:highlight w:val="none"/>
          <w:lang w:val="en-US" w:eastAsia="zh-CN" w:bidi="ar-SA"/>
        </w:rPr>
      </w:pPr>
      <w:bookmarkStart w:id="0" w:name="_Toc19507"/>
    </w:p>
    <w:p w14:paraId="53D29DD9">
      <w:pPr>
        <w:pStyle w:val="27"/>
        <w:spacing w:line="360" w:lineRule="auto"/>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喀什市思政教育一体化项目(村级带头人及后备力量赴内地开展跟班锻炼)</w:t>
      </w:r>
    </w:p>
    <w:p w14:paraId="097606DD">
      <w:pPr>
        <w:spacing w:line="240" w:lineRule="atLeast"/>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招标文件</w:t>
      </w:r>
    </w:p>
    <w:p w14:paraId="673606F4">
      <w:pPr>
        <w:spacing w:line="240" w:lineRule="atLeast"/>
        <w:jc w:val="both"/>
        <w:rPr>
          <w:rFonts w:hint="eastAsia" w:ascii="微软雅黑" w:hAnsi="微软雅黑" w:eastAsia="微软雅黑" w:cs="微软雅黑"/>
          <w:b/>
          <w:bCs/>
          <w:color w:val="auto"/>
          <w:kern w:val="0"/>
          <w:sz w:val="28"/>
          <w:szCs w:val="28"/>
          <w:highlight w:val="none"/>
          <w:shd w:val="clear" w:color="auto" w:fill="FFFFFF"/>
          <w:lang w:eastAsia="zh-CN"/>
        </w:rPr>
      </w:pPr>
    </w:p>
    <w:p w14:paraId="7FE619F2">
      <w:pPr>
        <w:spacing w:line="240" w:lineRule="atLeast"/>
        <w:jc w:val="center"/>
        <w:rPr>
          <w:rFonts w:hint="eastAsia" w:ascii="微软雅黑" w:hAnsi="微软雅黑" w:eastAsia="微软雅黑" w:cs="微软雅黑"/>
          <w:b/>
          <w:bCs/>
          <w:color w:val="0000FF"/>
          <w:kern w:val="0"/>
          <w:sz w:val="32"/>
          <w:szCs w:val="32"/>
          <w:highlight w:val="none"/>
          <w:shd w:val="clear" w:color="auto" w:fill="FFFFFF"/>
          <w:lang w:val="en-US" w:eastAsia="zh-CN"/>
        </w:rPr>
      </w:pPr>
      <w:r>
        <w:rPr>
          <w:rFonts w:hint="eastAsia" w:ascii="微软雅黑" w:hAnsi="微软雅黑" w:eastAsia="微软雅黑" w:cs="微软雅黑"/>
          <w:b/>
          <w:bCs/>
          <w:color w:val="auto"/>
          <w:kern w:val="0"/>
          <w:sz w:val="28"/>
          <w:szCs w:val="28"/>
          <w:highlight w:val="none"/>
          <w:shd w:val="clear" w:color="auto" w:fill="FFFFFF"/>
          <w:lang w:eastAsia="zh-CN"/>
        </w:rPr>
        <w:t>项目编号：</w:t>
      </w:r>
      <w:r>
        <w:rPr>
          <w:rFonts w:hint="eastAsia" w:ascii="微软雅黑" w:hAnsi="微软雅黑" w:eastAsia="微软雅黑" w:cs="微软雅黑"/>
          <w:b/>
          <w:bCs/>
          <w:color w:val="000000" w:themeColor="text1"/>
          <w:kern w:val="0"/>
          <w:sz w:val="28"/>
          <w:szCs w:val="28"/>
          <w:highlight w:val="none"/>
          <w:shd w:val="clear" w:color="auto" w:fill="FFFFFF"/>
          <w:lang w:val="en-US" w:eastAsia="zh-CN"/>
          <w14:textFill>
            <w14:solidFill>
              <w14:schemeClr w14:val="tx1"/>
            </w14:solidFill>
          </w14:textFill>
        </w:rPr>
        <w:t>XJXZJCG2026-001</w:t>
      </w:r>
    </w:p>
    <w:p w14:paraId="6441F500">
      <w:pPr>
        <w:pStyle w:val="37"/>
        <w:ind w:left="0" w:leftChars="0" w:firstLine="0" w:firstLineChars="0"/>
        <w:rPr>
          <w:rFonts w:hint="eastAsia"/>
          <w:color w:val="auto"/>
          <w:highlight w:val="none"/>
        </w:rPr>
      </w:pPr>
    </w:p>
    <w:p w14:paraId="240C78F9">
      <w:pPr>
        <w:adjustRightInd w:val="0"/>
        <w:snapToGrid w:val="0"/>
        <w:spacing w:line="480" w:lineRule="auto"/>
        <w:ind w:left="420" w:leftChars="200" w:firstLine="600" w:firstLineChars="200"/>
        <w:jc w:val="left"/>
        <w:rPr>
          <w:rFonts w:hint="eastAsia" w:ascii="微软雅黑" w:hAnsi="微软雅黑" w:eastAsia="微软雅黑" w:cs="微软雅黑"/>
          <w:color w:val="auto"/>
          <w:sz w:val="30"/>
          <w:szCs w:val="30"/>
          <w:highlight w:val="none"/>
        </w:rPr>
      </w:pPr>
    </w:p>
    <w:p w14:paraId="45AAE223">
      <w:pPr>
        <w:adjustRightInd w:val="0"/>
        <w:snapToGrid w:val="0"/>
        <w:spacing w:line="480" w:lineRule="auto"/>
        <w:ind w:left="420" w:leftChars="200" w:firstLine="600" w:firstLineChars="200"/>
        <w:jc w:val="left"/>
        <w:rPr>
          <w:rFonts w:hint="default"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采 购 人：</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中共喀什市委组织部</w:t>
      </w:r>
      <w:r>
        <w:rPr>
          <w:rFonts w:hint="eastAsia" w:ascii="微软雅黑" w:hAnsi="微软雅黑" w:eastAsia="微软雅黑" w:cs="微软雅黑"/>
          <w:color w:val="auto"/>
          <w:sz w:val="30"/>
          <w:szCs w:val="30"/>
          <w:highlight w:val="none"/>
          <w:u w:val="single"/>
          <w:lang w:val="en-US" w:eastAsia="zh-CN"/>
        </w:rPr>
        <w:t xml:space="preserve">          </w:t>
      </w:r>
    </w:p>
    <w:p w14:paraId="356B1DD2">
      <w:pPr>
        <w:adjustRightInd w:val="0"/>
        <w:snapToGrid w:val="0"/>
        <w:spacing w:line="480" w:lineRule="auto"/>
        <w:ind w:left="420" w:leftChars="200" w:firstLine="600" w:firstLineChars="200"/>
        <w:jc w:val="left"/>
        <w:rPr>
          <w:rFonts w:hint="eastAsia" w:ascii="微软雅黑" w:hAnsi="微软雅黑" w:eastAsia="微软雅黑" w:cs="微软雅黑"/>
          <w:color w:val="auto"/>
          <w:sz w:val="30"/>
          <w:szCs w:val="30"/>
          <w:highlight w:val="none"/>
          <w:u w:val="single"/>
          <w:lang w:val="en-US" w:eastAsia="zh-CN"/>
        </w:rPr>
      </w:pPr>
      <w:r>
        <w:rPr>
          <w:rFonts w:hint="eastAsia" w:ascii="微软雅黑" w:hAnsi="微软雅黑" w:eastAsia="微软雅黑" w:cs="微软雅黑"/>
          <w:color w:val="auto"/>
          <w:sz w:val="30"/>
          <w:szCs w:val="30"/>
          <w:highlight w:val="none"/>
        </w:rPr>
        <w:t>联 系 人：</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李鹏飞</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rPr>
        <w:t xml:space="preserve">     </w:t>
      </w:r>
    </w:p>
    <w:p w14:paraId="4E806D52">
      <w:pPr>
        <w:adjustRightInd w:val="0"/>
        <w:snapToGrid w:val="0"/>
        <w:spacing w:line="480" w:lineRule="auto"/>
        <w:ind w:left="420" w:leftChars="200" w:firstLine="600" w:firstLineChars="200"/>
        <w:jc w:val="left"/>
        <w:rPr>
          <w:rFonts w:hint="default"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联系电话：</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13899189870</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p>
    <w:p w14:paraId="34886C06">
      <w:pPr>
        <w:adjustRightInd w:val="0"/>
        <w:snapToGrid w:val="0"/>
        <w:spacing w:line="480" w:lineRule="auto"/>
        <w:ind w:left="420" w:leftChars="200" w:firstLine="600" w:firstLineChars="200"/>
        <w:jc w:val="left"/>
        <w:rPr>
          <w:rFonts w:hint="eastAsia"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代理机构：</w:t>
      </w:r>
      <w:r>
        <w:rPr>
          <w:rFonts w:hint="eastAsia" w:ascii="微软雅黑" w:hAnsi="微软雅黑" w:eastAsia="微软雅黑" w:cs="微软雅黑"/>
          <w:color w:val="auto"/>
          <w:sz w:val="30"/>
          <w:szCs w:val="30"/>
          <w:highlight w:val="none"/>
          <w:u w:val="single"/>
          <w:lang w:eastAsia="zh-CN"/>
        </w:rPr>
        <w:t>新疆新之建工程咨询有限公司</w:t>
      </w:r>
      <w:r>
        <w:rPr>
          <w:rFonts w:hint="eastAsia" w:ascii="微软雅黑" w:hAnsi="微软雅黑" w:eastAsia="微软雅黑" w:cs="微软雅黑"/>
          <w:color w:val="auto"/>
          <w:sz w:val="30"/>
          <w:szCs w:val="30"/>
          <w:highlight w:val="none"/>
          <w:u w:val="single"/>
          <w:lang w:val="en-US" w:eastAsia="zh-CN"/>
        </w:rPr>
        <w:t xml:space="preserve"> </w:t>
      </w:r>
    </w:p>
    <w:p w14:paraId="1C30269F">
      <w:pPr>
        <w:adjustRightInd w:val="0"/>
        <w:snapToGrid w:val="0"/>
        <w:spacing w:line="480" w:lineRule="auto"/>
        <w:ind w:left="420" w:leftChars="200" w:firstLine="600" w:firstLineChars="200"/>
        <w:jc w:val="left"/>
        <w:rPr>
          <w:rFonts w:hint="eastAsia"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联 系 人：</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邬燕龙</w:t>
      </w:r>
      <w:r>
        <w:rPr>
          <w:rFonts w:hint="eastAsia" w:ascii="微软雅黑" w:hAnsi="微软雅黑" w:eastAsia="微软雅黑" w:cs="微软雅黑"/>
          <w:color w:val="auto"/>
          <w:sz w:val="30"/>
          <w:szCs w:val="30"/>
          <w:highlight w:val="none"/>
          <w:u w:val="single"/>
        </w:rPr>
        <w:t xml:space="preserve">                 </w:t>
      </w:r>
    </w:p>
    <w:p w14:paraId="7F5C54D2">
      <w:pPr>
        <w:adjustRightInd w:val="0"/>
        <w:snapToGrid w:val="0"/>
        <w:spacing w:line="480" w:lineRule="auto"/>
        <w:ind w:left="420" w:leftChars="200" w:firstLine="600" w:firstLineChars="200"/>
        <w:jc w:val="left"/>
        <w:rPr>
          <w:rFonts w:hint="eastAsia" w:ascii="微软雅黑" w:hAnsi="微软雅黑" w:eastAsia="微软雅黑" w:cs="微软雅黑"/>
          <w:color w:val="auto"/>
          <w:sz w:val="30"/>
          <w:szCs w:val="30"/>
          <w:highlight w:val="none"/>
          <w:lang w:val="en-US" w:eastAsia="zh-CN"/>
        </w:rPr>
      </w:pPr>
      <w:r>
        <w:rPr>
          <w:rFonts w:hint="eastAsia" w:ascii="微软雅黑" w:hAnsi="微软雅黑" w:eastAsia="微软雅黑" w:cs="微软雅黑"/>
          <w:color w:val="auto"/>
          <w:sz w:val="30"/>
          <w:szCs w:val="30"/>
          <w:highlight w:val="none"/>
        </w:rPr>
        <w:t>联系电话：</w:t>
      </w:r>
      <w:r>
        <w:rPr>
          <w:rFonts w:hint="eastAsia" w:ascii="微软雅黑" w:hAnsi="微软雅黑" w:eastAsia="微软雅黑" w:cs="微软雅黑"/>
          <w:color w:val="auto"/>
          <w:sz w:val="30"/>
          <w:szCs w:val="30"/>
          <w:highlight w:val="none"/>
          <w:u w:val="single"/>
        </w:rPr>
        <w:t xml:space="preserve">      </w:t>
      </w:r>
      <w:r>
        <w:rPr>
          <w:rFonts w:hint="eastAsia" w:ascii="微软雅黑" w:hAnsi="微软雅黑" w:eastAsia="微软雅黑" w:cs="微软雅黑"/>
          <w:color w:val="auto"/>
          <w:sz w:val="30"/>
          <w:szCs w:val="30"/>
          <w:highlight w:val="none"/>
          <w:u w:val="single"/>
          <w:lang w:val="en-US" w:eastAsia="zh-CN"/>
        </w:rPr>
        <w:t xml:space="preserve">    </w:t>
      </w:r>
      <w:r>
        <w:rPr>
          <w:rFonts w:hint="eastAsia" w:ascii="微软雅黑" w:hAnsi="微软雅黑" w:eastAsia="微软雅黑" w:cs="微软雅黑"/>
          <w:color w:val="auto"/>
          <w:sz w:val="30"/>
          <w:szCs w:val="30"/>
          <w:highlight w:val="none"/>
          <w:u w:val="single"/>
          <w:lang w:eastAsia="zh-CN"/>
        </w:rPr>
        <w:t>16675437306</w:t>
      </w:r>
      <w:r>
        <w:rPr>
          <w:rFonts w:hint="eastAsia" w:ascii="微软雅黑" w:hAnsi="微软雅黑" w:eastAsia="微软雅黑" w:cs="微软雅黑"/>
          <w:color w:val="auto"/>
          <w:sz w:val="30"/>
          <w:szCs w:val="30"/>
          <w:highlight w:val="none"/>
          <w:u w:val="single"/>
        </w:rPr>
        <w:t xml:space="preserve">              </w:t>
      </w:r>
    </w:p>
    <w:p w14:paraId="61A4D4F8">
      <w:pPr>
        <w:pageBreakBefore w:val="0"/>
        <w:kinsoku/>
        <w:overflowPunct/>
        <w:bidi w:val="0"/>
        <w:snapToGrid w:val="0"/>
        <w:spacing w:line="312" w:lineRule="auto"/>
        <w:jc w:val="center"/>
        <w:outlineLvl w:val="9"/>
        <w:rPr>
          <w:rFonts w:hint="eastAsia" w:ascii="微软雅黑" w:hAnsi="微软雅黑" w:eastAsia="微软雅黑" w:cs="微软雅黑"/>
          <w:color w:val="auto"/>
          <w:sz w:val="30"/>
          <w:szCs w:val="30"/>
          <w:highlight w:val="none"/>
          <w:lang w:eastAsia="zh-CN"/>
        </w:rPr>
        <w:sectPr>
          <w:headerReference r:id="rId3" w:type="default"/>
          <w:footerReference r:id="rId4" w:type="default"/>
          <w:pgSz w:w="11906" w:h="16838"/>
          <w:pgMar w:top="1440" w:right="1080" w:bottom="1440" w:left="1080" w:header="851" w:footer="992" w:gutter="0"/>
          <w:pgNumType w:fmt="decimal" w:start="1"/>
          <w:cols w:space="720" w:num="1"/>
          <w:docGrid w:type="linesAndChars" w:linePitch="312" w:charSpace="0"/>
        </w:sectPr>
      </w:pPr>
      <w:r>
        <w:rPr>
          <w:rFonts w:hint="eastAsia" w:ascii="微软雅黑" w:hAnsi="微软雅黑" w:eastAsia="微软雅黑" w:cs="微软雅黑"/>
          <w:color w:val="auto"/>
          <w:sz w:val="30"/>
          <w:szCs w:val="30"/>
          <w:highlight w:val="none"/>
          <w:lang w:val="en-US" w:eastAsia="zh-CN"/>
        </w:rPr>
        <w:t xml:space="preserve">   </w:t>
      </w:r>
      <w:r>
        <w:rPr>
          <w:rFonts w:hint="eastAsia" w:ascii="微软雅黑" w:hAnsi="微软雅黑" w:eastAsia="微软雅黑" w:cs="微软雅黑"/>
          <w:color w:val="auto"/>
          <w:sz w:val="30"/>
          <w:szCs w:val="30"/>
          <w:highlight w:val="none"/>
          <w:lang w:eastAsia="zh-CN"/>
        </w:rPr>
        <w:t>二〇二六年四月</w:t>
      </w:r>
    </w:p>
    <w:p w14:paraId="419FABA4">
      <w:pPr>
        <w:keepNext w:val="0"/>
        <w:keepLines w:val="0"/>
        <w:pageBreakBefore w:val="0"/>
        <w:widowControl w:val="0"/>
        <w:tabs>
          <w:tab w:val="left" w:pos="8400"/>
        </w:tabs>
        <w:kinsoku/>
        <w:wordWrap/>
        <w:overflowPunct/>
        <w:topLinePunct w:val="0"/>
        <w:autoSpaceDE/>
        <w:autoSpaceDN/>
        <w:bidi w:val="0"/>
        <w:adjustRightInd w:val="0"/>
        <w:snapToGrid w:val="0"/>
        <w:spacing w:line="300" w:lineRule="auto"/>
        <w:jc w:val="center"/>
        <w:textAlignment w:val="auto"/>
        <w:rPr>
          <w:rFonts w:hint="eastAsia" w:ascii="微软雅黑" w:hAnsi="微软雅黑" w:eastAsia="微软雅黑" w:cs="微软雅黑"/>
          <w:b/>
          <w:color w:val="auto"/>
          <w:sz w:val="28"/>
          <w:szCs w:val="28"/>
          <w:highlight w:val="none"/>
        </w:rPr>
      </w:pPr>
    </w:p>
    <w:p w14:paraId="5B3756C2">
      <w:pPr>
        <w:keepNext w:val="0"/>
        <w:keepLines w:val="0"/>
        <w:pageBreakBefore w:val="0"/>
        <w:widowControl w:val="0"/>
        <w:tabs>
          <w:tab w:val="left" w:pos="8400"/>
        </w:tabs>
        <w:kinsoku/>
        <w:wordWrap/>
        <w:overflowPunct/>
        <w:topLinePunct w:val="0"/>
        <w:autoSpaceDE/>
        <w:autoSpaceDN/>
        <w:bidi w:val="0"/>
        <w:adjustRightInd w:val="0"/>
        <w:snapToGrid w:val="0"/>
        <w:spacing w:line="300" w:lineRule="auto"/>
        <w:jc w:val="center"/>
        <w:textAlignment w:val="auto"/>
        <w:rPr>
          <w:rFonts w:hint="eastAsia" w:ascii="微软雅黑" w:hAnsi="微软雅黑" w:eastAsia="微软雅黑" w:cs="微软雅黑"/>
          <w:b/>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p>
    <w:p w14:paraId="4CD66719">
      <w:pPr>
        <w:keepNext w:val="0"/>
        <w:keepLines w:val="0"/>
        <w:pageBreakBefore w:val="0"/>
        <w:widowControl w:val="0"/>
        <w:tabs>
          <w:tab w:val="left" w:pos="8400"/>
        </w:tabs>
        <w:kinsoku/>
        <w:wordWrap/>
        <w:overflowPunct/>
        <w:topLinePunct w:val="0"/>
        <w:autoSpaceDE/>
        <w:autoSpaceDN/>
        <w:bidi w:val="0"/>
        <w:adjustRightInd w:val="0"/>
        <w:snapToGrid w:val="0"/>
        <w:spacing w:line="300" w:lineRule="auto"/>
        <w:jc w:val="center"/>
        <w:textAlignment w:val="auto"/>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目  录</w:t>
      </w:r>
    </w:p>
    <w:p w14:paraId="169B6536">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TOC \o "1-3" \h \z \u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_Toc5341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第1章  投标人须知</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_Toc5341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9AE4B42">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_Toc337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一</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总  则</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_Toc337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5226BAF">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_Toc6102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1.采购人、采购代理机构及投标人</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_Toc6102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1BC1D74">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_Toc14552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2.资金来源</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_Toc14552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AD84F16">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_Toc32660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3.投标费用</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_Toc32660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18718741">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_Toc26569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4.适用法律</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_Toc26569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CA01310">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_Toc3298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eastAsia="zh-CN"/>
        </w:rPr>
        <w:t>二、招标文件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_Toc3298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BB72A08">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_Toc2975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5.招标文件构成</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_Toc2975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3618831">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_Toc28607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6.招标文件的澄清与修改</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_Toc28607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4FF4A5B">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_Toc25350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7.投标截止时间的顺延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_Toc25350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D390EDD">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_Toc10285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eastAsia="zh-CN"/>
        </w:rPr>
        <w:t>三、投标文件的编制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_Toc10285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6781F098">
      <w:pPr>
        <w:pStyle w:val="14"/>
        <w:keepNext w:val="0"/>
        <w:keepLines w:val="0"/>
        <w:pageBreakBefore w:val="0"/>
        <w:widowControl w:val="0"/>
        <w:tabs>
          <w:tab w:val="right" w:pos="3600"/>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_Toc16886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t>投标范围及投标文件中标准和计量单位的使用</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_Toc16886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0821D7B3">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_Toc9813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9.投标文件构成</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_Toc9813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7A370006">
      <w:pPr>
        <w:pStyle w:val="14"/>
        <w:keepNext w:val="0"/>
        <w:keepLines w:val="0"/>
        <w:pageBreakBefore w:val="0"/>
        <w:widowControl w:val="0"/>
        <w:tabs>
          <w:tab w:val="right" w:pos="3600"/>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_Toc23480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10.</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t>证明投标标的的合格性和符合招标文件规定的</w:t>
      </w:r>
      <w:r>
        <w:rPr>
          <w:rFonts w:hint="eastAsia" w:ascii="微软雅黑" w:hAnsi="微软雅黑" w:eastAsia="微软雅黑" w:cs="微软雅黑"/>
          <w:color w:val="auto"/>
          <w:sz w:val="21"/>
          <w:szCs w:val="21"/>
          <w:highlight w:val="none"/>
          <w:lang w:val="en-US" w:eastAsia="zh-CN"/>
        </w:rPr>
        <w:t>投标</w:t>
      </w:r>
      <w:r>
        <w:rPr>
          <w:rFonts w:hint="eastAsia" w:ascii="微软雅黑" w:hAnsi="微软雅黑" w:eastAsia="微软雅黑" w:cs="微软雅黑"/>
          <w:color w:val="auto"/>
          <w:sz w:val="21"/>
          <w:szCs w:val="21"/>
          <w:highlight w:val="none"/>
        </w:rPr>
        <w:t>文件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_Toc23480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93E792C">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_Toc27898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11.投标报价</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_Toc27898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D960FE9">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_Toc23075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12.投标保证金</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_Toc23075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13BAC524">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_Toc20558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13.投标有效期</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_Toc20558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7</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E3569E7">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_Toc4997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lang w:eastAsia="zh-CN"/>
        </w:rPr>
        <w:t>投标</w:t>
      </w:r>
      <w:r>
        <w:rPr>
          <w:rFonts w:hint="eastAsia" w:ascii="微软雅黑" w:hAnsi="微软雅黑" w:eastAsia="微软雅黑" w:cs="微软雅黑"/>
          <w:bCs/>
          <w:color w:val="auto"/>
          <w:kern w:val="2"/>
          <w:sz w:val="21"/>
          <w:szCs w:val="21"/>
          <w:highlight w:val="none"/>
          <w:lang w:val="en-US" w:eastAsia="zh-CN" w:bidi="ar-SA"/>
        </w:rPr>
        <w:t>文件的签署及规定</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_Toc4997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8B91DBC">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_Toc31913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四</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投标文件的递交</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_Toc31913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ABE728C">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_Toc32024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15.</w:t>
      </w:r>
      <w:r>
        <w:rPr>
          <w:rFonts w:hint="eastAsia" w:ascii="微软雅黑" w:hAnsi="微软雅黑" w:eastAsia="微软雅黑" w:cs="微软雅黑"/>
          <w:color w:val="auto"/>
          <w:sz w:val="21"/>
          <w:szCs w:val="21"/>
          <w:highlight w:val="none"/>
        </w:rPr>
        <w:t>投标文件的密封和标记</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_Toc32024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0E042779">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_Toc25563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bCs/>
          <w:color w:val="auto"/>
          <w:kern w:val="2"/>
          <w:sz w:val="21"/>
          <w:szCs w:val="21"/>
          <w:highlight w:val="none"/>
          <w:lang w:val="en-US" w:eastAsia="zh-CN" w:bidi="ar-SA"/>
        </w:rPr>
        <w:t>1</w:t>
      </w:r>
      <w:r>
        <w:rPr>
          <w:rFonts w:hint="eastAsia" w:ascii="微软雅黑" w:hAnsi="微软雅黑" w:eastAsia="微软雅黑" w:cs="微软雅黑"/>
          <w:bCs/>
          <w:color w:val="auto"/>
          <w:sz w:val="21"/>
          <w:szCs w:val="21"/>
          <w:highlight w:val="none"/>
        </w:rPr>
        <w:t>6.投标截止</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_Toc25563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8</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4F046A1">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_Toc9984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17.投标文件的接收、修改与撤回</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_Toc9984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C01FF15">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_Toc15800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五</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开标及评标</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_Toc15800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1B7C811">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_Toc5578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18.开标</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_Toc5578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9</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41E18C7">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_Toc17111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19.资格审查及组建评标委员会</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_Toc17111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10</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6A9A290">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_Toc15896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20.投标文件的符合性审查与澄清</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_Toc15896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10</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1F14C337">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_Toc7822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21.投标偏离</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_Toc7822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11</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79297889">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_Toc14896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22.</w:t>
      </w:r>
      <w:r>
        <w:rPr>
          <w:rFonts w:hint="eastAsia" w:ascii="微软雅黑" w:hAnsi="微软雅黑" w:eastAsia="微软雅黑" w:cs="微软雅黑"/>
          <w:color w:val="auto"/>
          <w:sz w:val="21"/>
          <w:szCs w:val="21"/>
          <w:highlight w:val="none"/>
          <w:lang w:eastAsia="zh-CN"/>
        </w:rPr>
        <w:t>投标无效</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_Toc14896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11</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DF60E12">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_Toc21804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23.比较与评价</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_Toc21804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1356FF61">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_Toc3008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24.废标</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_Toc3008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2B77173">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_Toc7643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25.保密原则</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_Toc7643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67B023ED">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_Toc8372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六</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确定中标</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_Toc8372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20E7CA03">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_Toc7320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26.中标候选人的确定原则及标准</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_Toc7320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69AF03C9">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_Toc19410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27.确定中标候选人和中标人</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_Toc19410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7470293">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_Toc1254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28.采购任务取消</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_Toc1254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C704321">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_Toc14103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29.中标通知书和招标结果通知书</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_Toc14103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A51E890">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_Toc13097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30.签订合同</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_Toc13097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81111B7">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_Toc17970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31.履约保证金</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_Toc17970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20E1790B">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_Toc31181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32.中标服务费</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_Toc31181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9461600">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_Toc20872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33.政府采购信用担保</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_Toc20872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1253F705">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_Toc2210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34.廉洁自律规定</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_Toc2210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44ACE18">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_Toc9894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35.人员回避</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_Toc9894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267FDA54">
      <w:pPr>
        <w:pStyle w:val="14"/>
        <w:keepNext w:val="0"/>
        <w:keepLines w:val="0"/>
        <w:pageBreakBefore w:val="0"/>
        <w:widowControl w:val="0"/>
        <w:tabs>
          <w:tab w:val="right" w:leader="dot" w:pos="8306"/>
          <w:tab w:val="clear" w:pos="1260"/>
          <w:tab w:val="clear" w:pos="8630"/>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_Toc18449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36.质疑与接收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_Toc18449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16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7F885D81">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_Toc24855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bCs/>
          <w:color w:val="auto"/>
          <w:sz w:val="21"/>
          <w:szCs w:val="21"/>
          <w:highlight w:val="none"/>
        </w:rPr>
        <w:t>质疑函范本</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_Toc24855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21</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6B4F38FC">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_Toc3872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附件1：履约保证金保函</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_Toc3872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22</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06D19F5">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_Toc4693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rPr>
        <w:t>附件2：政府采购履约担保函</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_Toc4693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C9B7C95">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_Toc6909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kern w:val="2"/>
          <w:sz w:val="21"/>
          <w:szCs w:val="21"/>
          <w:highlight w:val="none"/>
          <w:lang w:val="en-US" w:eastAsia="zh-CN" w:bidi="ar-SA"/>
        </w:rPr>
        <w:t>第2章  投标文件格式</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_Toc6909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25</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4A6CD01">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_Toc24314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eastAsia="zh-CN"/>
        </w:rPr>
        <w:t>第一部分</w:t>
      </w:r>
      <w:r>
        <w:rPr>
          <w:rFonts w:hint="eastAsia" w:ascii="微软雅黑" w:hAnsi="微软雅黑" w:eastAsia="微软雅黑" w:cs="微软雅黑"/>
          <w:color w:val="auto"/>
          <w:sz w:val="21"/>
          <w:szCs w:val="21"/>
          <w:highlight w:val="none"/>
          <w:lang w:val="en-US" w:eastAsia="zh-CN"/>
        </w:rPr>
        <w:t xml:space="preserve"> </w:t>
      </w:r>
      <w:r>
        <w:rPr>
          <w:rFonts w:hint="eastAsia" w:ascii="微软雅黑" w:hAnsi="微软雅黑" w:eastAsia="微软雅黑" w:cs="微软雅黑"/>
          <w:color w:val="auto"/>
          <w:sz w:val="21"/>
          <w:szCs w:val="21"/>
          <w:highlight w:val="none"/>
        </w:rPr>
        <w:t>开标一览表及资格证明文件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_Toc24314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26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0A8DA243">
      <w:pPr>
        <w:pStyle w:val="30"/>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HYPERLINK \l _Toc24314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lang w:eastAsia="zh-CN"/>
        </w:rPr>
        <w:t>第二部分</w:t>
      </w:r>
      <w:r>
        <w:rPr>
          <w:rFonts w:hint="eastAsia" w:ascii="微软雅黑" w:hAnsi="微软雅黑" w:eastAsia="微软雅黑" w:cs="微软雅黑"/>
          <w:color w:val="auto"/>
          <w:sz w:val="21"/>
          <w:szCs w:val="21"/>
          <w:highlight w:val="none"/>
          <w:lang w:val="en-US" w:eastAsia="zh-CN"/>
        </w:rPr>
        <w:t xml:space="preserve"> 商务及技术文件</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lang w:val="en-US" w:eastAsia="zh-CN"/>
        </w:rPr>
        <w:t>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sz w:val="21"/>
          <w:szCs w:val="21"/>
          <w:highlight w:val="none"/>
          <w:lang w:val="en-US" w:eastAsia="zh-CN"/>
        </w:rPr>
        <w:t>5</w:t>
      </w:r>
    </w:p>
    <w:p w14:paraId="6080AEFB">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_Toc6846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bCs w:val="0"/>
          <w:color w:val="auto"/>
          <w:sz w:val="21"/>
          <w:szCs w:val="21"/>
          <w:highlight w:val="none"/>
          <w:lang w:val="en-US" w:eastAsia="zh-CN"/>
        </w:rPr>
        <w:t xml:space="preserve">第3章 </w:t>
      </w:r>
      <w:r>
        <w:rPr>
          <w:rFonts w:hint="eastAsia" w:ascii="微软雅黑" w:hAnsi="微软雅黑" w:eastAsia="微软雅黑" w:cs="微软雅黑"/>
          <w:bCs w:val="0"/>
          <w:color w:val="auto"/>
          <w:sz w:val="21"/>
          <w:szCs w:val="21"/>
          <w:highlight w:val="none"/>
          <w:lang w:eastAsia="zh-CN"/>
        </w:rPr>
        <w:t>招标公告</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_Toc6846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4B10E895">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lang w:val="en-US" w:eastAsia="zh-CN"/>
        </w:rPr>
        <w:t xml:space="preserve">    </w:t>
      </w: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_Toc12456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bCs w:val="0"/>
          <w:color w:val="auto"/>
          <w:sz w:val="21"/>
          <w:szCs w:val="21"/>
          <w:highlight w:val="none"/>
          <w:lang w:eastAsia="zh-CN"/>
        </w:rPr>
        <w:t>喀什市思政教育一体化项目(村级带头人及后备力量赴内地开展跟班锻炼)的公开招标公告</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_Toc12456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53</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3756902C">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_Toc8896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第4章  投标人须知资料表</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_Toc8896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56</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18C1D828">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_Toc9628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第5章  采购需求</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kern w:val="0"/>
          <w:sz w:val="21"/>
          <w:szCs w:val="21"/>
          <w:highlight w:val="none"/>
        </w:rPr>
        <w:fldChar w:fldCharType="end"/>
      </w:r>
      <w:r>
        <w:rPr>
          <w:rFonts w:hint="eastAsia" w:ascii="微软雅黑" w:hAnsi="微软雅黑" w:eastAsia="微软雅黑" w:cs="微软雅黑"/>
          <w:color w:val="auto"/>
          <w:kern w:val="0"/>
          <w:sz w:val="21"/>
          <w:szCs w:val="21"/>
          <w:highlight w:val="none"/>
          <w:lang w:val="en-US" w:eastAsia="zh-CN"/>
        </w:rPr>
        <w:t>0</w:t>
      </w:r>
    </w:p>
    <w:p w14:paraId="6D8C29CE">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_Toc17725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第6章  评标方法和标准</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PAGEREF _Toc17725 \h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 w:val="21"/>
          <w:szCs w:val="21"/>
          <w:highlight w:val="none"/>
        </w:rPr>
        <w:t>64</w:t>
      </w:r>
      <w:r>
        <w:rPr>
          <w:rFonts w:hint="eastAsia" w:ascii="微软雅黑" w:hAnsi="微软雅黑" w:eastAsia="微软雅黑" w:cs="微软雅黑"/>
          <w:color w:val="auto"/>
          <w:sz w:val="21"/>
          <w:szCs w:val="21"/>
          <w:highlight w:val="none"/>
        </w:rPr>
        <w:fldChar w:fldCharType="end"/>
      </w:r>
      <w:r>
        <w:rPr>
          <w:rFonts w:hint="eastAsia" w:ascii="微软雅黑" w:hAnsi="微软雅黑" w:eastAsia="微软雅黑" w:cs="微软雅黑"/>
          <w:color w:val="auto"/>
          <w:kern w:val="0"/>
          <w:sz w:val="21"/>
          <w:szCs w:val="21"/>
          <w:highlight w:val="none"/>
        </w:rPr>
        <w:fldChar w:fldCharType="end"/>
      </w:r>
    </w:p>
    <w:p w14:paraId="598EDFA0">
      <w:pPr>
        <w:pStyle w:val="24"/>
        <w:keepNext w:val="0"/>
        <w:keepLines w:val="0"/>
        <w:pageBreakBefore w:val="0"/>
        <w:widowControl w:val="0"/>
        <w:tabs>
          <w:tab w:val="right" w:leader="dot" w:pos="8306"/>
        </w:tabs>
        <w:kinsoku/>
        <w:wordWrap/>
        <w:overflowPunct/>
        <w:topLinePunct w:val="0"/>
        <w:autoSpaceDE/>
        <w:autoSpaceDN/>
        <w:bidi w:val="0"/>
        <w:snapToGrid w:val="0"/>
        <w:spacing w:line="30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0"/>
          <w:sz w:val="21"/>
          <w:szCs w:val="21"/>
          <w:highlight w:val="none"/>
        </w:rPr>
        <w:fldChar w:fldCharType="begin"/>
      </w:r>
      <w:r>
        <w:rPr>
          <w:rFonts w:hint="eastAsia" w:ascii="微软雅黑" w:hAnsi="微软雅黑" w:eastAsia="微软雅黑" w:cs="微软雅黑"/>
          <w:color w:val="auto"/>
          <w:kern w:val="0"/>
          <w:sz w:val="21"/>
          <w:szCs w:val="21"/>
          <w:highlight w:val="none"/>
        </w:rPr>
        <w:instrText xml:space="preserve"> HYPERLINK \l _Toc12464 </w:instrText>
      </w:r>
      <w:r>
        <w:rPr>
          <w:rFonts w:hint="eastAsia" w:ascii="微软雅黑" w:hAnsi="微软雅黑" w:eastAsia="微软雅黑" w:cs="微软雅黑"/>
          <w:color w:val="auto"/>
          <w:kern w:val="0"/>
          <w:sz w:val="21"/>
          <w:szCs w:val="21"/>
          <w:highlight w:val="none"/>
        </w:rPr>
        <w:fldChar w:fldCharType="separate"/>
      </w:r>
      <w:r>
        <w:rPr>
          <w:rFonts w:hint="eastAsia" w:ascii="微软雅黑" w:hAnsi="微软雅黑" w:eastAsia="微软雅黑" w:cs="微软雅黑"/>
          <w:color w:val="auto"/>
          <w:sz w:val="21"/>
          <w:szCs w:val="21"/>
          <w:highlight w:val="none"/>
          <w:lang w:val="en-US" w:eastAsia="zh-CN"/>
        </w:rPr>
        <w:t>第7章  政府采购合同</w:t>
      </w:r>
      <w:r>
        <w:rPr>
          <w:rFonts w:hint="eastAsia" w:ascii="微软雅黑" w:hAnsi="微软雅黑" w:eastAsia="微软雅黑" w:cs="微软雅黑"/>
          <w:color w:val="auto"/>
          <w:sz w:val="21"/>
          <w:szCs w:val="21"/>
          <w:highlight w:val="none"/>
        </w:rPr>
        <w:tab/>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kern w:val="0"/>
          <w:sz w:val="21"/>
          <w:szCs w:val="21"/>
          <w:highlight w:val="none"/>
        </w:rPr>
        <w:fldChar w:fldCharType="end"/>
      </w:r>
      <w:r>
        <w:rPr>
          <w:rFonts w:hint="eastAsia" w:ascii="微软雅黑" w:hAnsi="微软雅黑" w:eastAsia="微软雅黑" w:cs="微软雅黑"/>
          <w:color w:val="auto"/>
          <w:kern w:val="0"/>
          <w:sz w:val="21"/>
          <w:szCs w:val="21"/>
          <w:highlight w:val="none"/>
          <w:lang w:val="en-US" w:eastAsia="zh-CN"/>
        </w:rPr>
        <w:t>9</w:t>
      </w:r>
    </w:p>
    <w:p w14:paraId="2F0D2596">
      <w:pPr>
        <w:keepNext w:val="0"/>
        <w:keepLines w:val="0"/>
        <w:pageBreakBefore w:val="0"/>
        <w:widowControl w:val="0"/>
        <w:kinsoku/>
        <w:wordWrap/>
        <w:overflowPunct/>
        <w:topLinePunct w:val="0"/>
        <w:autoSpaceDE/>
        <w:autoSpaceDN/>
        <w:bidi w:val="0"/>
        <w:adjustRightInd/>
        <w:snapToGrid w:val="0"/>
        <w:spacing w:line="300" w:lineRule="auto"/>
        <w:ind w:firstLine="0" w:firstLineChars="0"/>
        <w:jc w:val="center"/>
        <w:textAlignment w:val="auto"/>
        <w:rPr>
          <w:rFonts w:hint="eastAsia" w:ascii="方正小标宋简体" w:hAnsi="方正小标宋简体" w:eastAsia="方正小标宋简体" w:cs="方正小标宋简体"/>
          <w:color w:val="auto"/>
          <w:kern w:val="0"/>
          <w:szCs w:val="28"/>
          <w:highlight w:val="none"/>
        </w:rPr>
        <w:sectPr>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color w:val="auto"/>
          <w:kern w:val="0"/>
          <w:sz w:val="21"/>
          <w:szCs w:val="21"/>
          <w:highlight w:val="none"/>
        </w:rPr>
        <w:fldChar w:fldCharType="end"/>
      </w:r>
      <w:bookmarkStart w:id="1" w:name="_Toc216582804"/>
      <w:bookmarkStart w:id="2" w:name="_Toc22782"/>
      <w:bookmarkStart w:id="3" w:name="_Toc17230"/>
      <w:bookmarkStart w:id="4" w:name="_Toc6176"/>
    </w:p>
    <w:p w14:paraId="63723C54">
      <w:pPr>
        <w:pStyle w:val="27"/>
        <w:spacing w:line="360" w:lineRule="auto"/>
        <w:jc w:val="both"/>
        <w:rPr>
          <w:rFonts w:hint="eastAsia" w:ascii="方正小标宋简体" w:hAnsi="方正小标宋简体" w:eastAsia="方正小标宋简体" w:cs="方正小标宋简体"/>
          <w:b/>
          <w:color w:val="auto"/>
          <w:kern w:val="2"/>
          <w:sz w:val="44"/>
          <w:szCs w:val="44"/>
          <w:highlight w:val="none"/>
          <w:lang w:val="en-US" w:eastAsia="zh-CN" w:bidi="ar-SA"/>
        </w:rPr>
      </w:pPr>
      <w:bookmarkStart w:id="5" w:name="_Toc5341"/>
    </w:p>
    <w:p w14:paraId="0289A76B">
      <w:pPr>
        <w:pStyle w:val="27"/>
        <w:spacing w:line="360" w:lineRule="auto"/>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喀什市思政教育一体化项目(村级带头人及后备力量赴内地开展跟班锻炼)</w:t>
      </w:r>
    </w:p>
    <w:p w14:paraId="454E4538">
      <w:pPr>
        <w:pStyle w:val="27"/>
        <w:spacing w:line="360" w:lineRule="auto"/>
        <w:jc w:val="center"/>
        <w:rPr>
          <w:rFonts w:hint="eastAsia" w:ascii="微软雅黑" w:hAnsi="微软雅黑" w:eastAsia="微软雅黑" w:cs="微软雅黑"/>
          <w:color w:val="auto"/>
          <w:sz w:val="16"/>
          <w:szCs w:val="22"/>
          <w:highlight w:val="none"/>
        </w:rPr>
      </w:pPr>
    </w:p>
    <w:p w14:paraId="6E122FA3">
      <w:pPr>
        <w:spacing w:line="240" w:lineRule="atLeast"/>
        <w:jc w:val="both"/>
        <w:rPr>
          <w:rFonts w:hint="eastAsia" w:ascii="微软雅黑" w:hAnsi="微软雅黑" w:eastAsia="微软雅黑" w:cs="微软雅黑"/>
          <w:b/>
          <w:color w:val="auto"/>
          <w:kern w:val="2"/>
          <w:sz w:val="44"/>
          <w:szCs w:val="44"/>
          <w:highlight w:val="none"/>
          <w:lang w:val="en-US" w:eastAsia="zh-CN" w:bidi="ar-SA"/>
        </w:rPr>
      </w:pPr>
    </w:p>
    <w:p w14:paraId="0958A2D2">
      <w:pPr>
        <w:spacing w:line="240" w:lineRule="atLeast"/>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招标文件</w:t>
      </w:r>
    </w:p>
    <w:p w14:paraId="461C3EC6">
      <w:pPr>
        <w:spacing w:line="240" w:lineRule="atLeast"/>
        <w:jc w:val="both"/>
        <w:rPr>
          <w:rFonts w:hint="eastAsia" w:ascii="微软雅黑" w:hAnsi="微软雅黑" w:eastAsia="微软雅黑" w:cs="微软雅黑"/>
          <w:b/>
          <w:bCs/>
          <w:color w:val="auto"/>
          <w:kern w:val="0"/>
          <w:sz w:val="28"/>
          <w:szCs w:val="28"/>
          <w:highlight w:val="none"/>
          <w:shd w:val="clear" w:color="auto" w:fill="FFFFFF"/>
          <w:lang w:eastAsia="zh-CN"/>
        </w:rPr>
      </w:pPr>
    </w:p>
    <w:p w14:paraId="08649559">
      <w:pPr>
        <w:spacing w:line="240" w:lineRule="atLeast"/>
        <w:jc w:val="center"/>
        <w:rPr>
          <w:rFonts w:hint="eastAsia" w:ascii="微软雅黑" w:hAnsi="微软雅黑" w:eastAsia="微软雅黑" w:cs="微软雅黑"/>
          <w:b/>
          <w:bCs/>
          <w:color w:val="0000FF"/>
          <w:kern w:val="0"/>
          <w:sz w:val="32"/>
          <w:szCs w:val="32"/>
          <w:highlight w:val="none"/>
          <w:shd w:val="clear" w:color="auto" w:fill="FFFFFF"/>
          <w:lang w:val="en-US" w:eastAsia="zh-CN"/>
        </w:rPr>
      </w:pPr>
      <w:r>
        <w:rPr>
          <w:rFonts w:hint="eastAsia" w:ascii="微软雅黑" w:hAnsi="微软雅黑" w:eastAsia="微软雅黑" w:cs="微软雅黑"/>
          <w:b/>
          <w:bCs/>
          <w:color w:val="auto"/>
          <w:kern w:val="0"/>
          <w:sz w:val="28"/>
          <w:szCs w:val="28"/>
          <w:highlight w:val="none"/>
          <w:shd w:val="clear" w:color="auto" w:fill="FFFFFF"/>
          <w:lang w:eastAsia="zh-CN"/>
        </w:rPr>
        <w:t>项目编号：</w:t>
      </w:r>
      <w:r>
        <w:rPr>
          <w:rFonts w:hint="eastAsia" w:ascii="微软雅黑" w:hAnsi="微软雅黑" w:eastAsia="微软雅黑" w:cs="微软雅黑"/>
          <w:b/>
          <w:bCs/>
          <w:color w:val="000000" w:themeColor="text1"/>
          <w:kern w:val="0"/>
          <w:sz w:val="28"/>
          <w:szCs w:val="28"/>
          <w:highlight w:val="none"/>
          <w:shd w:val="clear" w:color="auto" w:fill="FFFFFF"/>
          <w:lang w:val="en-US" w:eastAsia="zh-CN"/>
          <w14:textFill>
            <w14:solidFill>
              <w14:schemeClr w14:val="tx1"/>
            </w14:solidFill>
          </w14:textFill>
        </w:rPr>
        <w:t>XJXZJCG2026-001</w:t>
      </w:r>
    </w:p>
    <w:p w14:paraId="5D9B25F5">
      <w:pPr>
        <w:spacing w:line="240" w:lineRule="atLeast"/>
        <w:jc w:val="center"/>
        <w:rPr>
          <w:rFonts w:hint="eastAsia" w:ascii="微软雅黑" w:hAnsi="微软雅黑" w:eastAsia="微软雅黑" w:cs="微软雅黑"/>
          <w:b/>
          <w:bCs/>
          <w:color w:val="auto"/>
          <w:kern w:val="0"/>
          <w:sz w:val="28"/>
          <w:szCs w:val="28"/>
          <w:highlight w:val="none"/>
          <w:shd w:val="clear" w:color="auto" w:fill="FFFFFF"/>
          <w:lang w:val="en-US" w:eastAsia="zh-CN"/>
        </w:rPr>
      </w:pPr>
    </w:p>
    <w:p w14:paraId="518054C2">
      <w:pPr>
        <w:rPr>
          <w:rFonts w:hint="eastAsia" w:ascii="微软雅黑" w:hAnsi="微软雅黑" w:eastAsia="微软雅黑" w:cs="微软雅黑"/>
          <w:color w:val="auto"/>
          <w:sz w:val="20"/>
          <w:szCs w:val="22"/>
          <w:highlight w:val="none"/>
        </w:rPr>
      </w:pPr>
    </w:p>
    <w:p w14:paraId="442E962E">
      <w:pPr>
        <w:pStyle w:val="7"/>
        <w:rPr>
          <w:rFonts w:hint="eastAsia" w:ascii="微软雅黑" w:hAnsi="微软雅黑" w:eastAsia="微软雅黑" w:cs="微软雅黑"/>
          <w:color w:val="auto"/>
          <w:sz w:val="22"/>
          <w:szCs w:val="18"/>
          <w:highlight w:val="none"/>
        </w:rPr>
      </w:pPr>
    </w:p>
    <w:p w14:paraId="468A3919">
      <w:pPr>
        <w:pStyle w:val="7"/>
        <w:rPr>
          <w:rFonts w:hint="eastAsia" w:ascii="微软雅黑" w:hAnsi="微软雅黑" w:eastAsia="微软雅黑" w:cs="微软雅黑"/>
          <w:color w:val="auto"/>
          <w:sz w:val="22"/>
          <w:szCs w:val="18"/>
          <w:highlight w:val="none"/>
        </w:rPr>
      </w:pPr>
    </w:p>
    <w:p w14:paraId="70D64C93">
      <w:pPr>
        <w:spacing w:line="240" w:lineRule="atLeast"/>
        <w:jc w:val="center"/>
        <w:rPr>
          <w:rFonts w:hint="eastAsia" w:ascii="微软雅黑" w:hAnsi="微软雅黑" w:eastAsia="微软雅黑" w:cs="微软雅黑"/>
          <w:b/>
          <w:color w:val="auto"/>
          <w:kern w:val="2"/>
          <w:sz w:val="48"/>
          <w:szCs w:val="48"/>
          <w:highlight w:val="none"/>
          <w:lang w:val="en-US" w:eastAsia="zh-CN" w:bidi="ar-SA"/>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r>
        <w:rPr>
          <w:rFonts w:hint="eastAsia" w:ascii="微软雅黑" w:hAnsi="微软雅黑" w:eastAsia="微软雅黑" w:cs="微软雅黑"/>
          <w:b/>
          <w:color w:val="auto"/>
          <w:kern w:val="2"/>
          <w:sz w:val="44"/>
          <w:szCs w:val="44"/>
          <w:highlight w:val="none"/>
          <w:lang w:val="en-US" w:eastAsia="zh-CN" w:bidi="ar-SA"/>
        </w:rPr>
        <w:t>第一册</w:t>
      </w:r>
    </w:p>
    <w:p w14:paraId="5ADD5078">
      <w:pPr>
        <w:pStyle w:val="2"/>
        <w:pageBreakBefore w:val="0"/>
        <w:widowControl w:val="0"/>
        <w:tabs>
          <w:tab w:val="left" w:pos="0"/>
        </w:tabs>
        <w:kinsoku/>
        <w:wordWrap/>
        <w:overflowPunct/>
        <w:topLinePunct w:val="0"/>
        <w:bidi w:val="0"/>
        <w:snapToGrid w:val="0"/>
        <w:spacing w:before="0" w:after="0" w:line="240" w:lineRule="auto"/>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 xml:space="preserve">第1章 </w:t>
      </w:r>
      <w:bookmarkStart w:id="6" w:name="_Toc31625"/>
      <w:bookmarkStart w:id="7" w:name="_Toc515647756"/>
      <w:bookmarkStart w:id="8" w:name="_Toc19728"/>
      <w:r>
        <w:rPr>
          <w:rFonts w:hint="eastAsia" w:ascii="微软雅黑" w:hAnsi="微软雅黑" w:eastAsia="微软雅黑" w:cs="微软雅黑"/>
          <w:color w:val="auto"/>
          <w:sz w:val="28"/>
          <w:szCs w:val="28"/>
          <w:highlight w:val="none"/>
        </w:rPr>
        <w:t>投标人须知</w:t>
      </w:r>
      <w:bookmarkEnd w:id="1"/>
      <w:bookmarkEnd w:id="2"/>
      <w:bookmarkEnd w:id="3"/>
      <w:bookmarkEnd w:id="4"/>
      <w:bookmarkEnd w:id="5"/>
      <w:bookmarkEnd w:id="6"/>
      <w:bookmarkEnd w:id="7"/>
      <w:bookmarkEnd w:id="8"/>
    </w:p>
    <w:p w14:paraId="7B7A26B1">
      <w:pPr>
        <w:pStyle w:val="3"/>
        <w:pageBreakBefore w:val="0"/>
        <w:widowControl w:val="0"/>
        <w:kinsoku/>
        <w:wordWrap/>
        <w:overflowPunct/>
        <w:topLinePunct w:val="0"/>
        <w:bidi w:val="0"/>
        <w:snapToGrid w:val="0"/>
        <w:spacing w:before="0" w:line="240" w:lineRule="auto"/>
        <w:ind w:left="1079" w:leftChars="257" w:hanging="540"/>
        <w:textAlignment w:val="auto"/>
        <w:rPr>
          <w:rFonts w:hint="eastAsia" w:ascii="微软雅黑" w:hAnsi="微软雅黑" w:eastAsia="微软雅黑" w:cs="微软雅黑"/>
          <w:b/>
          <w:color w:val="auto"/>
          <w:sz w:val="24"/>
          <w:szCs w:val="24"/>
          <w:highlight w:val="none"/>
        </w:rPr>
      </w:pPr>
      <w:bookmarkStart w:id="9" w:name="_Toc520356143"/>
      <w:bookmarkStart w:id="10" w:name="_Toc216582805"/>
      <w:bookmarkStart w:id="11" w:name="_Toc518923060"/>
      <w:bookmarkStart w:id="12" w:name="_Toc510"/>
      <w:bookmarkStart w:id="13" w:name="_Toc337"/>
      <w:bookmarkStart w:id="14" w:name="_Toc2335"/>
      <w:bookmarkStart w:id="15" w:name="_Toc12854"/>
      <w:bookmarkStart w:id="16" w:name="_Toc3750"/>
      <w:bookmarkStart w:id="17" w:name="_Toc7782"/>
      <w:bookmarkStart w:id="18" w:name="_Toc27626"/>
      <w:bookmarkStart w:id="19" w:name="_Toc32746"/>
      <w:bookmarkStart w:id="20" w:name="_Toc25761"/>
      <w:bookmarkStart w:id="21" w:name="_Toc4670"/>
      <w:bookmarkStart w:id="22" w:name="_Toc11739"/>
      <w:r>
        <w:rPr>
          <w:rFonts w:hint="eastAsia" w:ascii="微软雅黑" w:hAnsi="微软雅黑" w:eastAsia="微软雅黑" w:cs="微软雅黑"/>
          <w:b/>
          <w:color w:val="auto"/>
          <w:sz w:val="24"/>
          <w:szCs w:val="24"/>
          <w:highlight w:val="none"/>
        </w:rPr>
        <w:t>一</w:t>
      </w:r>
      <w:bookmarkEnd w:id="9"/>
      <w:bookmarkEnd w:id="10"/>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rPr>
        <w:t>总  则</w:t>
      </w:r>
      <w:bookmarkEnd w:id="11"/>
      <w:bookmarkEnd w:id="12"/>
      <w:bookmarkEnd w:id="13"/>
    </w:p>
    <w:p w14:paraId="173DF9F4">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23" w:name="_Toc520356144"/>
      <w:bookmarkStart w:id="24" w:name="_Toc518923061"/>
      <w:bookmarkStart w:id="25" w:name="_Toc6102"/>
      <w:bookmarkStart w:id="26" w:name="_Toc4911"/>
      <w:r>
        <w:rPr>
          <w:rFonts w:hint="eastAsia" w:ascii="微软雅黑" w:hAnsi="微软雅黑" w:eastAsia="微软雅黑" w:cs="微软雅黑"/>
          <w:color w:val="auto"/>
          <w:sz w:val="24"/>
          <w:szCs w:val="24"/>
          <w:highlight w:val="none"/>
          <w:u w:val="none"/>
        </w:rPr>
        <w:t>1.采购人、采购代理机构及</w:t>
      </w:r>
      <w:bookmarkEnd w:id="23"/>
      <w:r>
        <w:rPr>
          <w:rFonts w:hint="eastAsia" w:ascii="微软雅黑" w:hAnsi="微软雅黑" w:eastAsia="微软雅黑" w:cs="微软雅黑"/>
          <w:color w:val="auto"/>
          <w:sz w:val="24"/>
          <w:szCs w:val="24"/>
          <w:highlight w:val="none"/>
          <w:u w:val="none"/>
        </w:rPr>
        <w:t>投标人</w:t>
      </w:r>
      <w:bookmarkEnd w:id="24"/>
      <w:bookmarkEnd w:id="25"/>
      <w:bookmarkEnd w:id="26"/>
    </w:p>
    <w:p w14:paraId="28D90B54">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val="en-US" w:eastAsia="zh-CN"/>
        </w:rPr>
        <w:t xml:space="preserve">1.1     </w:t>
      </w:r>
      <w:r>
        <w:rPr>
          <w:rFonts w:hint="eastAsia" w:ascii="微软雅黑" w:hAnsi="微软雅黑" w:eastAsia="微软雅黑" w:cs="微软雅黑"/>
          <w:color w:val="auto"/>
          <w:sz w:val="24"/>
          <w:szCs w:val="24"/>
          <w:highlight w:val="none"/>
          <w:u w:val="none"/>
        </w:rPr>
        <w:t>采购人：是指依法开展政府采购活动的国家机关、事业单位、团体组织。本项目的采购人见</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u w:val="none"/>
        </w:rPr>
        <w:t>。</w:t>
      </w:r>
    </w:p>
    <w:p w14:paraId="635B68E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val="en-US" w:eastAsia="zh-CN"/>
        </w:rPr>
        <w:t xml:space="preserve">1.2     </w:t>
      </w:r>
      <w:r>
        <w:rPr>
          <w:rFonts w:hint="eastAsia" w:ascii="微软雅黑" w:hAnsi="微软雅黑" w:eastAsia="微软雅黑" w:cs="微软雅黑"/>
          <w:color w:val="auto"/>
          <w:sz w:val="24"/>
          <w:szCs w:val="24"/>
          <w:highlight w:val="none"/>
          <w:u w:val="none"/>
        </w:rPr>
        <w:t>采购代理机构：是指集中采购机构或从事采购代理业务的社会中介机构。本项目的采购代理机构见</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u w:val="none"/>
        </w:rPr>
        <w:t>。</w:t>
      </w:r>
    </w:p>
    <w:p w14:paraId="6AFEEB06">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val="en-US" w:eastAsia="zh-CN"/>
        </w:rPr>
        <w:t xml:space="preserve">1.3     </w:t>
      </w:r>
      <w:r>
        <w:rPr>
          <w:rFonts w:hint="eastAsia" w:ascii="微软雅黑" w:hAnsi="微软雅黑" w:eastAsia="微软雅黑" w:cs="微软雅黑"/>
          <w:color w:val="auto"/>
          <w:sz w:val="24"/>
          <w:szCs w:val="24"/>
          <w:highlight w:val="none"/>
          <w:u w:val="none"/>
        </w:rPr>
        <w:t>投标人：是指向采购人提供货物、工程或者服务的法人、非法人组织或者自然人。本项目的投标人须满足以下条件：</w:t>
      </w:r>
    </w:p>
    <w:p w14:paraId="35C0DBD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1.3.1</w:t>
      </w:r>
      <w:r>
        <w:rPr>
          <w:rFonts w:hint="eastAsia" w:ascii="微软雅黑" w:hAnsi="微软雅黑" w:eastAsia="微软雅黑" w:cs="微软雅黑"/>
          <w:color w:val="auto"/>
          <w:sz w:val="24"/>
          <w:szCs w:val="24"/>
          <w:highlight w:val="none"/>
          <w:u w:val="none"/>
        </w:rPr>
        <w:tab/>
      </w:r>
      <w:r>
        <w:rPr>
          <w:rFonts w:hint="eastAsia" w:ascii="微软雅黑" w:hAnsi="微软雅黑" w:eastAsia="微软雅黑" w:cs="微软雅黑"/>
          <w:color w:val="auto"/>
          <w:sz w:val="24"/>
          <w:szCs w:val="24"/>
          <w:highlight w:val="none"/>
          <w:u w:val="none"/>
        </w:rPr>
        <w:t>在中华人民共和国境内注册，能够独立承担民事责任，有生产或供应能力的本国</w:t>
      </w:r>
      <w:r>
        <w:rPr>
          <w:rFonts w:hint="eastAsia" w:ascii="微软雅黑" w:hAnsi="微软雅黑" w:eastAsia="微软雅黑" w:cs="微软雅黑"/>
          <w:color w:val="auto"/>
          <w:sz w:val="24"/>
          <w:szCs w:val="24"/>
          <w:highlight w:val="none"/>
          <w:u w:val="none"/>
          <w:lang w:eastAsia="zh-CN"/>
        </w:rPr>
        <w:t>投标人</w:t>
      </w:r>
      <w:r>
        <w:rPr>
          <w:rFonts w:hint="eastAsia" w:ascii="微软雅黑" w:hAnsi="微软雅黑" w:eastAsia="微软雅黑" w:cs="微软雅黑"/>
          <w:color w:val="auto"/>
          <w:sz w:val="24"/>
          <w:szCs w:val="24"/>
          <w:highlight w:val="none"/>
          <w:u w:val="none"/>
        </w:rPr>
        <w:t>。</w:t>
      </w:r>
    </w:p>
    <w:p w14:paraId="40C5CC44">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1.3.2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具备《中华人民共和国政府采购法》第二十二条关于</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条件的规定，遵守本项目采购人本级和上级财政部门政府采购的有关规定。</w:t>
      </w:r>
    </w:p>
    <w:p w14:paraId="2DA22BA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以采购代理机构认可的方式获得了本项目的招标文件。</w:t>
      </w:r>
    </w:p>
    <w:p w14:paraId="73C61AB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   符合</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中规定的其他要求。</w:t>
      </w:r>
    </w:p>
    <w:p w14:paraId="0BDF763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1.3.5   若</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中写明专门面向中小</w:t>
      </w:r>
      <w:r>
        <w:rPr>
          <w:rFonts w:hint="eastAsia" w:ascii="微软雅黑" w:hAnsi="微软雅黑" w:eastAsia="微软雅黑" w:cs="微软雅黑"/>
          <w:color w:val="auto"/>
          <w:sz w:val="24"/>
          <w:szCs w:val="24"/>
          <w:highlight w:val="none"/>
          <w:lang w:val="en-US" w:eastAsia="zh-CN"/>
        </w:rPr>
        <w:t>微</w:t>
      </w:r>
      <w:r>
        <w:rPr>
          <w:rFonts w:hint="eastAsia" w:ascii="微软雅黑" w:hAnsi="微软雅黑" w:eastAsia="微软雅黑" w:cs="微软雅黑"/>
          <w:color w:val="auto"/>
          <w:sz w:val="24"/>
          <w:szCs w:val="24"/>
          <w:highlight w:val="none"/>
        </w:rPr>
        <w:t>企业采购的，如投标人为非中小</w:t>
      </w:r>
      <w:r>
        <w:rPr>
          <w:rFonts w:hint="eastAsia" w:ascii="微软雅黑" w:hAnsi="微软雅黑" w:eastAsia="微软雅黑" w:cs="微软雅黑"/>
          <w:color w:val="auto"/>
          <w:sz w:val="24"/>
          <w:szCs w:val="24"/>
          <w:highlight w:val="none"/>
          <w:lang w:val="en-US" w:eastAsia="zh-CN"/>
        </w:rPr>
        <w:t>微</w:t>
      </w:r>
      <w:r>
        <w:rPr>
          <w:rFonts w:hint="eastAsia" w:ascii="微软雅黑" w:hAnsi="微软雅黑" w:eastAsia="微软雅黑" w:cs="微软雅黑"/>
          <w:color w:val="auto"/>
          <w:sz w:val="24"/>
          <w:szCs w:val="24"/>
          <w:highlight w:val="none"/>
        </w:rPr>
        <w:t>企业，其投标将被认定为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7EF798A2">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如</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中允许联合体投标，对联合体规定如下：</w:t>
      </w:r>
    </w:p>
    <w:p w14:paraId="3E83F7FA">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两个以上</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可以组成一个投标联合体，以一个投标人的身份投标。</w:t>
      </w:r>
    </w:p>
    <w:p w14:paraId="178697B6">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联合体各方均应符合《中华人民共和国政府采购法》第二十二条规定的条件。</w:t>
      </w:r>
    </w:p>
    <w:p w14:paraId="7F6F9F58">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   采购人根据采购项目对投标人的特殊要求，联合体中至少应当有一方符合相关规定。</w:t>
      </w:r>
    </w:p>
    <w:p w14:paraId="362B9F3A">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联合体各方应签订共同投标协议，明确约定联合体各方承担的工作和相应的责任，并将共同投标协议连同投标文件一并提交招标采购单位。</w:t>
      </w:r>
    </w:p>
    <w:p w14:paraId="5360BB4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78E3522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1.4.6  联合体中有同类资质的</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按照联合体分工承担相同工作的，按照资质等级较低的</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确定资质等级。</w:t>
      </w:r>
    </w:p>
    <w:p w14:paraId="726FBDF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1.4.7  以联合体形式参加政府采购活动的，联合体各方不得再单独参加或者与其他</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另外组成联合体参加本项目投标，否则相关投标将被认定为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67CE5484">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   对联合体投标的其他资格要求见</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w:t>
      </w:r>
    </w:p>
    <w:p w14:paraId="2E12F82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单位负责人为同一人或者存在直接控股、管理关系的不同</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，其相关投标将被认定为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4B8D3015">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为本项目提供过整体设计、规范编制或者项目管理、监理、检测等服务的</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，不得再参加本项目上述服务以外的其他采购活动。否则其投标将被认定为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041F35BD">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投标人在投标过程中不得向采购人提供或给予影响其正常决策行为的任何有价值物品或服务。一经发现，其投标将被认定为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37FAFF73">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27" w:name="_Toc518923062"/>
      <w:bookmarkStart w:id="28" w:name="_Toc14552"/>
      <w:bookmarkStart w:id="29" w:name="_Toc21441"/>
      <w:r>
        <w:rPr>
          <w:rFonts w:hint="eastAsia" w:ascii="微软雅黑" w:hAnsi="微软雅黑" w:eastAsia="微软雅黑" w:cs="微软雅黑"/>
          <w:color w:val="auto"/>
          <w:sz w:val="24"/>
          <w:szCs w:val="24"/>
          <w:highlight w:val="none"/>
          <w:u w:val="none"/>
        </w:rPr>
        <w:t>2.资金来源</w:t>
      </w:r>
      <w:bookmarkEnd w:id="27"/>
      <w:bookmarkEnd w:id="28"/>
      <w:bookmarkEnd w:id="29"/>
    </w:p>
    <w:p w14:paraId="648B7A8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本项目的采购人已获得足以支付本次招标后所签订的合同项下的资金（包括财政性资金和本项目采购中无法与财政性资金分割的非财政性资金）。</w:t>
      </w:r>
    </w:p>
    <w:p w14:paraId="130F340A">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    项目预算金额和分项或分包最高限价</w:t>
      </w:r>
      <w:r>
        <w:rPr>
          <w:rFonts w:hint="eastAsia" w:ascii="微软雅黑" w:hAnsi="微软雅黑" w:eastAsia="微软雅黑" w:cs="微软雅黑"/>
          <w:color w:val="auto"/>
          <w:sz w:val="24"/>
          <w:szCs w:val="24"/>
          <w:highlight w:val="none"/>
          <w:u w:val="single"/>
        </w:rPr>
        <w:t>见投标人须知资料表</w:t>
      </w:r>
      <w:r>
        <w:rPr>
          <w:rFonts w:hint="eastAsia" w:ascii="微软雅黑" w:hAnsi="微软雅黑" w:eastAsia="微软雅黑" w:cs="微软雅黑"/>
          <w:color w:val="auto"/>
          <w:sz w:val="24"/>
          <w:szCs w:val="24"/>
          <w:highlight w:val="none"/>
        </w:rPr>
        <w:t>。</w:t>
      </w:r>
    </w:p>
    <w:p w14:paraId="7893672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    投标人报价超过招标文件规定的预算金额或者分项、分包最高限价的，其投标将被认定为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0E167143">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30" w:name="_Toc14536"/>
      <w:bookmarkStart w:id="31" w:name="_Toc32660"/>
      <w:bookmarkStart w:id="32" w:name="_Toc518923063"/>
      <w:bookmarkStart w:id="33" w:name="_Toc520356145"/>
      <w:r>
        <w:rPr>
          <w:rFonts w:hint="eastAsia" w:ascii="微软雅黑" w:hAnsi="微软雅黑" w:eastAsia="微软雅黑" w:cs="微软雅黑"/>
          <w:color w:val="auto"/>
          <w:sz w:val="24"/>
          <w:szCs w:val="24"/>
          <w:highlight w:val="none"/>
          <w:u w:val="none"/>
        </w:rPr>
        <w:t>3.投标费用</w:t>
      </w:r>
      <w:bookmarkEnd w:id="30"/>
      <w:bookmarkEnd w:id="31"/>
      <w:bookmarkEnd w:id="32"/>
      <w:bookmarkEnd w:id="33"/>
    </w:p>
    <w:p w14:paraId="106B687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不论投标的结果如何，投标人应承担所有与准备和参加投标有关的费用。</w:t>
      </w:r>
    </w:p>
    <w:p w14:paraId="35C25D8F">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34" w:name="_Toc26569"/>
      <w:bookmarkStart w:id="35" w:name="_Toc518923064"/>
      <w:bookmarkStart w:id="36" w:name="_Toc19443"/>
      <w:r>
        <w:rPr>
          <w:rFonts w:hint="eastAsia" w:ascii="微软雅黑" w:hAnsi="微软雅黑" w:eastAsia="微软雅黑" w:cs="微软雅黑"/>
          <w:color w:val="auto"/>
          <w:sz w:val="24"/>
          <w:szCs w:val="24"/>
          <w:highlight w:val="none"/>
          <w:u w:val="none"/>
        </w:rPr>
        <w:t>4.适用法律</w:t>
      </w:r>
      <w:bookmarkEnd w:id="34"/>
      <w:bookmarkEnd w:id="35"/>
      <w:bookmarkEnd w:id="36"/>
    </w:p>
    <w:p w14:paraId="3FB311D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5EE2D949">
      <w:pPr>
        <w:pStyle w:val="3"/>
        <w:pageBreakBefore w:val="0"/>
        <w:widowControl w:val="0"/>
        <w:kinsoku/>
        <w:wordWrap/>
        <w:overflowPunct/>
        <w:topLinePunct w:val="0"/>
        <w:bidi w:val="0"/>
        <w:snapToGrid w:val="0"/>
        <w:spacing w:before="0" w:line="336" w:lineRule="auto"/>
        <w:ind w:left="1079" w:leftChars="257" w:hanging="540"/>
        <w:textAlignment w:val="auto"/>
        <w:rPr>
          <w:rFonts w:hint="eastAsia" w:ascii="微软雅黑" w:hAnsi="微软雅黑" w:eastAsia="微软雅黑" w:cs="微软雅黑"/>
          <w:b/>
          <w:color w:val="auto"/>
          <w:sz w:val="24"/>
          <w:szCs w:val="24"/>
          <w:highlight w:val="none"/>
        </w:rPr>
      </w:pPr>
      <w:bookmarkStart w:id="37" w:name="_Toc216582806"/>
      <w:bookmarkStart w:id="38" w:name="_Toc26723"/>
      <w:bookmarkStart w:id="39" w:name="_Toc518923065"/>
      <w:bookmarkStart w:id="40" w:name="_Toc520356146"/>
      <w:bookmarkStart w:id="41" w:name="_Toc3298"/>
      <w:r>
        <w:rPr>
          <w:rFonts w:hint="eastAsia" w:ascii="微软雅黑" w:hAnsi="微软雅黑" w:eastAsia="微软雅黑" w:cs="微软雅黑"/>
          <w:b/>
          <w:color w:val="auto"/>
          <w:sz w:val="24"/>
          <w:szCs w:val="24"/>
          <w:highlight w:val="none"/>
          <w:lang w:eastAsia="zh-CN"/>
        </w:rPr>
        <w:t>二、招标文件</w:t>
      </w:r>
      <w:bookmarkEnd w:id="37"/>
      <w:bookmarkEnd w:id="38"/>
      <w:bookmarkEnd w:id="39"/>
      <w:bookmarkEnd w:id="40"/>
      <w:bookmarkEnd w:id="41"/>
    </w:p>
    <w:p w14:paraId="4B5CE5CA">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42" w:name="_Toc518923066"/>
      <w:bookmarkStart w:id="43" w:name="_Toc2975"/>
      <w:bookmarkStart w:id="44" w:name="_Toc31532"/>
      <w:bookmarkStart w:id="45" w:name="_Toc520356147"/>
      <w:r>
        <w:rPr>
          <w:rFonts w:hint="eastAsia" w:ascii="微软雅黑" w:hAnsi="微软雅黑" w:eastAsia="微软雅黑" w:cs="微软雅黑"/>
          <w:color w:val="auto"/>
          <w:sz w:val="24"/>
          <w:szCs w:val="24"/>
          <w:highlight w:val="none"/>
          <w:u w:val="none"/>
        </w:rPr>
        <w:t>5.招标文件构成</w:t>
      </w:r>
      <w:bookmarkEnd w:id="42"/>
      <w:bookmarkEnd w:id="43"/>
      <w:bookmarkEnd w:id="44"/>
      <w:bookmarkEnd w:id="45"/>
    </w:p>
    <w:p w14:paraId="2BD6BD3D">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招标文件分为三册共7章，内容如下：</w:t>
      </w:r>
    </w:p>
    <w:p w14:paraId="1F42B316">
      <w:pPr>
        <w:pageBreakBefore w:val="0"/>
        <w:widowControl w:val="0"/>
        <w:kinsoku/>
        <w:wordWrap/>
        <w:overflowPunct/>
        <w:topLinePunct w:val="0"/>
        <w:bidi w:val="0"/>
        <w:snapToGrid w:val="0"/>
        <w:spacing w:line="336" w:lineRule="auto"/>
        <w:ind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第一册</w:t>
      </w:r>
    </w:p>
    <w:p w14:paraId="37E2589E">
      <w:pPr>
        <w:pageBreakBefore w:val="0"/>
        <w:widowControl w:val="0"/>
        <w:tabs>
          <w:tab w:val="left" w:pos="0"/>
        </w:tabs>
        <w:kinsoku/>
        <w:wordWrap/>
        <w:overflowPunct/>
        <w:topLinePunct w:val="0"/>
        <w:bidi w:val="0"/>
        <w:snapToGrid w:val="0"/>
        <w:spacing w:line="336" w:lineRule="auto"/>
        <w:ind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1章   </w:t>
      </w:r>
      <w:r>
        <w:rPr>
          <w:rFonts w:hint="eastAsia" w:ascii="微软雅黑" w:hAnsi="微软雅黑" w:eastAsia="微软雅黑" w:cs="微软雅黑"/>
          <w:color w:val="auto"/>
          <w:sz w:val="24"/>
          <w:szCs w:val="24"/>
          <w:highlight w:val="none"/>
        </w:rPr>
        <w:t>投标人须知</w:t>
      </w:r>
    </w:p>
    <w:p w14:paraId="1EE53EF5">
      <w:pPr>
        <w:pageBreakBefore w:val="0"/>
        <w:widowControl w:val="0"/>
        <w:numPr>
          <w:ilvl w:val="0"/>
          <w:numId w:val="0"/>
        </w:numPr>
        <w:kinsoku/>
        <w:wordWrap/>
        <w:overflowPunct/>
        <w:topLinePunct w:val="0"/>
        <w:bidi w:val="0"/>
        <w:snapToGrid w:val="0"/>
        <w:spacing w:line="336" w:lineRule="auto"/>
        <w:ind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2章   </w:t>
      </w:r>
      <w:r>
        <w:rPr>
          <w:rFonts w:hint="eastAsia" w:ascii="微软雅黑" w:hAnsi="微软雅黑" w:eastAsia="微软雅黑" w:cs="微软雅黑"/>
          <w:color w:val="auto"/>
          <w:sz w:val="24"/>
          <w:szCs w:val="24"/>
          <w:highlight w:val="none"/>
        </w:rPr>
        <w:t>投标文件格式</w:t>
      </w:r>
    </w:p>
    <w:p w14:paraId="308340BA">
      <w:pPr>
        <w:pageBreakBefore w:val="0"/>
        <w:widowControl w:val="0"/>
        <w:kinsoku/>
        <w:wordWrap/>
        <w:overflowPunct/>
        <w:topLinePunct w:val="0"/>
        <w:bidi w:val="0"/>
        <w:snapToGrid w:val="0"/>
        <w:spacing w:line="336" w:lineRule="auto"/>
        <w:ind w:left="1080" w:leftChars="429" w:hanging="1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第二册</w:t>
      </w:r>
    </w:p>
    <w:p w14:paraId="3C8A4728">
      <w:pPr>
        <w:pageBreakBefore w:val="0"/>
        <w:widowControl w:val="0"/>
        <w:numPr>
          <w:ilvl w:val="0"/>
          <w:numId w:val="0"/>
        </w:numPr>
        <w:kinsoku/>
        <w:wordWrap/>
        <w:overflowPunct/>
        <w:topLinePunct w:val="0"/>
        <w:bidi w:val="0"/>
        <w:snapToGrid w:val="0"/>
        <w:spacing w:line="336" w:lineRule="auto"/>
        <w:ind w:leftChars="429"/>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3章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招标公告</w:t>
      </w:r>
    </w:p>
    <w:p w14:paraId="4E20BFDC">
      <w:pPr>
        <w:pageBreakBefore w:val="0"/>
        <w:widowControl w:val="0"/>
        <w:numPr>
          <w:ilvl w:val="0"/>
          <w:numId w:val="0"/>
        </w:numPr>
        <w:kinsoku/>
        <w:wordWrap/>
        <w:overflowPunct/>
        <w:topLinePunct w:val="0"/>
        <w:bidi w:val="0"/>
        <w:snapToGrid w:val="0"/>
        <w:spacing w:line="336" w:lineRule="auto"/>
        <w:ind w:leftChars="429"/>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4章  </w:t>
      </w:r>
      <w:r>
        <w:rPr>
          <w:rFonts w:hint="eastAsia" w:ascii="微软雅黑" w:hAnsi="微软雅黑" w:eastAsia="微软雅黑" w:cs="微软雅黑"/>
          <w:color w:val="auto"/>
          <w:sz w:val="24"/>
          <w:szCs w:val="24"/>
          <w:highlight w:val="none"/>
        </w:rPr>
        <w:t xml:space="preserve"> 投标人须知资料表</w:t>
      </w:r>
    </w:p>
    <w:p w14:paraId="79306234">
      <w:pPr>
        <w:pageBreakBefore w:val="0"/>
        <w:widowControl w:val="0"/>
        <w:numPr>
          <w:ilvl w:val="0"/>
          <w:numId w:val="0"/>
        </w:numPr>
        <w:kinsoku/>
        <w:wordWrap/>
        <w:overflowPunct/>
        <w:topLinePunct w:val="0"/>
        <w:bidi w:val="0"/>
        <w:snapToGrid w:val="0"/>
        <w:spacing w:line="336" w:lineRule="auto"/>
        <w:ind w:leftChars="429"/>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5章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需求</w:t>
      </w:r>
    </w:p>
    <w:p w14:paraId="44960405">
      <w:pPr>
        <w:pageBreakBefore w:val="0"/>
        <w:widowControl w:val="0"/>
        <w:numPr>
          <w:ilvl w:val="0"/>
          <w:numId w:val="0"/>
        </w:numPr>
        <w:kinsoku/>
        <w:wordWrap/>
        <w:overflowPunct/>
        <w:topLinePunct w:val="0"/>
        <w:bidi w:val="0"/>
        <w:snapToGrid w:val="0"/>
        <w:spacing w:line="336" w:lineRule="auto"/>
        <w:ind w:leftChars="429"/>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6章  </w:t>
      </w:r>
      <w:r>
        <w:rPr>
          <w:rFonts w:hint="eastAsia" w:ascii="微软雅黑" w:hAnsi="微软雅黑" w:eastAsia="微软雅黑" w:cs="微软雅黑"/>
          <w:color w:val="auto"/>
          <w:sz w:val="24"/>
          <w:szCs w:val="24"/>
          <w:highlight w:val="none"/>
        </w:rPr>
        <w:t xml:space="preserve"> 评标方法和标准</w:t>
      </w:r>
    </w:p>
    <w:p w14:paraId="335C3FBD">
      <w:pPr>
        <w:pageBreakBefore w:val="0"/>
        <w:widowControl w:val="0"/>
        <w:kinsoku/>
        <w:wordWrap/>
        <w:overflowPunct/>
        <w:topLinePunct w:val="0"/>
        <w:bidi w:val="0"/>
        <w:snapToGrid w:val="0"/>
        <w:spacing w:line="336" w:lineRule="auto"/>
        <w:ind w:left="901"/>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第三册</w:t>
      </w:r>
    </w:p>
    <w:p w14:paraId="7E09A82C">
      <w:pPr>
        <w:pageBreakBefore w:val="0"/>
        <w:widowControl w:val="0"/>
        <w:numPr>
          <w:ilvl w:val="0"/>
          <w:numId w:val="0"/>
        </w:numPr>
        <w:kinsoku/>
        <w:wordWrap/>
        <w:overflowPunct/>
        <w:topLinePunct w:val="0"/>
        <w:bidi w:val="0"/>
        <w:snapToGrid w:val="0"/>
        <w:spacing w:line="336" w:lineRule="auto"/>
        <w:ind w:leftChars="429"/>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 xml:space="preserve">7章   </w:t>
      </w:r>
      <w:r>
        <w:rPr>
          <w:rFonts w:hint="eastAsia" w:ascii="微软雅黑" w:hAnsi="微软雅黑" w:eastAsia="微软雅黑" w:cs="微软雅黑"/>
          <w:color w:val="auto"/>
          <w:sz w:val="24"/>
          <w:szCs w:val="24"/>
          <w:highlight w:val="none"/>
        </w:rPr>
        <w:t>政府采购合同格式</w:t>
      </w:r>
    </w:p>
    <w:p w14:paraId="1313C083">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如本文件的前后内容不一致，以最后描述为准。</w:t>
      </w:r>
    </w:p>
    <w:p w14:paraId="2FC97AB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7AC12F82">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b w:val="0"/>
          <w:color w:val="auto"/>
          <w:sz w:val="24"/>
          <w:szCs w:val="24"/>
          <w:highlight w:val="none"/>
          <w:u w:val="none"/>
        </w:rPr>
      </w:pPr>
      <w:bookmarkStart w:id="46" w:name="_Toc520356148"/>
      <w:bookmarkStart w:id="47" w:name="_Toc28607"/>
      <w:bookmarkStart w:id="48" w:name="_Toc518923067"/>
      <w:bookmarkStart w:id="49" w:name="_Toc3250"/>
      <w:r>
        <w:rPr>
          <w:rFonts w:hint="eastAsia" w:ascii="微软雅黑" w:hAnsi="微软雅黑" w:eastAsia="微软雅黑" w:cs="微软雅黑"/>
          <w:color w:val="auto"/>
          <w:sz w:val="24"/>
          <w:szCs w:val="24"/>
          <w:highlight w:val="none"/>
          <w:u w:val="none"/>
        </w:rPr>
        <w:t>6.招标文件的澄清</w:t>
      </w:r>
      <w:bookmarkEnd w:id="46"/>
      <w:r>
        <w:rPr>
          <w:rFonts w:hint="eastAsia" w:ascii="微软雅黑" w:hAnsi="微软雅黑" w:eastAsia="微软雅黑" w:cs="微软雅黑"/>
          <w:color w:val="auto"/>
          <w:sz w:val="24"/>
          <w:szCs w:val="24"/>
          <w:highlight w:val="none"/>
          <w:u w:val="none"/>
        </w:rPr>
        <w:t>与修改</w:t>
      </w:r>
      <w:bookmarkEnd w:id="47"/>
      <w:bookmarkEnd w:id="48"/>
      <w:bookmarkEnd w:id="49"/>
    </w:p>
    <w:p w14:paraId="6826E3FC">
      <w:pPr>
        <w:pStyle w:val="7"/>
        <w:pageBreakBefore w:val="0"/>
        <w:widowControl w:val="0"/>
        <w:kinsoku/>
        <w:wordWrap/>
        <w:overflowPunct/>
        <w:topLinePunct w:val="0"/>
        <w:bidi w:val="0"/>
        <w:snapToGrid w:val="0"/>
        <w:spacing w:line="336" w:lineRule="auto"/>
        <w:ind w:left="84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14:paraId="196C3338">
      <w:pPr>
        <w:pStyle w:val="7"/>
        <w:pageBreakBefore w:val="0"/>
        <w:widowControl w:val="0"/>
        <w:kinsoku/>
        <w:wordWrap/>
        <w:overflowPunct/>
        <w:topLinePunct w:val="0"/>
        <w:bidi w:val="0"/>
        <w:snapToGrid w:val="0"/>
        <w:spacing w:line="336" w:lineRule="auto"/>
        <w:ind w:left="840" w:hanging="840" w:hangingChars="350"/>
        <w:textAlignment w:val="auto"/>
        <w:rPr>
          <w:rFonts w:hint="eastAsia" w:ascii="微软雅黑" w:hAnsi="微软雅黑" w:eastAsia="微软雅黑" w:cs="微软雅黑"/>
          <w:color w:val="auto"/>
          <w:sz w:val="24"/>
          <w:szCs w:val="24"/>
          <w:highlight w:val="none"/>
        </w:rPr>
      </w:pPr>
      <w:bookmarkStart w:id="50" w:name="_Toc520356149"/>
      <w:bookmarkStart w:id="51" w:name="_Ref467378678"/>
      <w:r>
        <w:rPr>
          <w:rFonts w:hint="eastAsia" w:ascii="微软雅黑" w:hAnsi="微软雅黑" w:eastAsia="微软雅黑" w:cs="微软雅黑"/>
          <w:color w:val="auto"/>
          <w:sz w:val="24"/>
          <w:szCs w:val="24"/>
          <w:highlight w:val="none"/>
        </w:rPr>
        <w:t>6.2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14:paraId="13B48333">
      <w:pPr>
        <w:pStyle w:val="7"/>
        <w:pageBreakBefore w:val="0"/>
        <w:widowControl w:val="0"/>
        <w:kinsoku/>
        <w:wordWrap/>
        <w:overflowPunct/>
        <w:topLinePunct w:val="0"/>
        <w:bidi w:val="0"/>
        <w:snapToGrid w:val="0"/>
        <w:spacing w:line="336" w:lineRule="auto"/>
        <w:ind w:left="840" w:hanging="840" w:hangingChars="3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澄清或者修改的内容可能影响投标文件编制的，采购代理机构将以发布澄清（更正）公告的方式通知所有领取</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的潜在投标人，并对其具有约束力。</w:t>
      </w:r>
    </w:p>
    <w:p w14:paraId="0B49A420">
      <w:pPr>
        <w:pStyle w:val="4"/>
        <w:pageBreakBefore w:val="0"/>
        <w:widowControl w:val="0"/>
        <w:tabs>
          <w:tab w:val="left" w:pos="900"/>
        </w:tabs>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52" w:name="_Toc13296"/>
      <w:bookmarkStart w:id="53" w:name="_Toc25350"/>
      <w:bookmarkStart w:id="54" w:name="_Toc518923068"/>
      <w:r>
        <w:rPr>
          <w:rFonts w:hint="eastAsia" w:ascii="微软雅黑" w:hAnsi="微软雅黑" w:eastAsia="微软雅黑" w:cs="微软雅黑"/>
          <w:color w:val="auto"/>
          <w:sz w:val="24"/>
          <w:szCs w:val="24"/>
          <w:highlight w:val="none"/>
          <w:u w:val="none"/>
        </w:rPr>
        <w:t>7</w:t>
      </w:r>
      <w:bookmarkEnd w:id="50"/>
      <w:bookmarkEnd w:id="51"/>
      <w:r>
        <w:rPr>
          <w:rFonts w:hint="eastAsia" w:ascii="微软雅黑" w:hAnsi="微软雅黑" w:eastAsia="微软雅黑" w:cs="微软雅黑"/>
          <w:color w:val="auto"/>
          <w:sz w:val="24"/>
          <w:szCs w:val="24"/>
          <w:highlight w:val="none"/>
          <w:u w:val="none"/>
        </w:rPr>
        <w:t>.投标截止时间的顺延</w:t>
      </w:r>
      <w:bookmarkEnd w:id="52"/>
      <w:bookmarkEnd w:id="53"/>
      <w:bookmarkEnd w:id="54"/>
    </w:p>
    <w:p w14:paraId="32DF8D8A">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为使投标人准备投标时有足够的时间对招标文件的澄清或者修改部分进行研究，采购人将依法决定是否顺延投标截止时间。</w:t>
      </w:r>
      <w:bookmarkStart w:id="55" w:name="_Toc516367020"/>
      <w:bookmarkStart w:id="56" w:name="_Toc518923069"/>
      <w:bookmarkStart w:id="57" w:name="_Toc520356150"/>
      <w:bookmarkStart w:id="58" w:name="_Toc216582807"/>
      <w:bookmarkStart w:id="59" w:name="_Toc10285"/>
      <w:bookmarkStart w:id="60" w:name="_Toc15988"/>
    </w:p>
    <w:p w14:paraId="114227D1">
      <w:pPr>
        <w:pageBreakBefore w:val="0"/>
        <w:widowControl w:val="0"/>
        <w:kinsoku/>
        <w:wordWrap/>
        <w:overflowPunct/>
        <w:topLinePunct w:val="0"/>
        <w:bidi w:val="0"/>
        <w:snapToGrid w:val="0"/>
        <w:spacing w:line="336" w:lineRule="auto"/>
        <w:ind w:left="900" w:hanging="900" w:hangingChars="375"/>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eastAsia="zh-CN"/>
        </w:rPr>
        <w:t>三、投标文件</w:t>
      </w:r>
      <w:bookmarkEnd w:id="55"/>
      <w:r>
        <w:rPr>
          <w:rFonts w:hint="eastAsia" w:ascii="微软雅黑" w:hAnsi="微软雅黑" w:eastAsia="微软雅黑" w:cs="微软雅黑"/>
          <w:b/>
          <w:color w:val="auto"/>
          <w:sz w:val="24"/>
          <w:szCs w:val="24"/>
          <w:highlight w:val="none"/>
          <w:lang w:eastAsia="zh-CN"/>
        </w:rPr>
        <w:t>的编制</w:t>
      </w:r>
      <w:bookmarkEnd w:id="56"/>
      <w:bookmarkEnd w:id="57"/>
      <w:bookmarkEnd w:id="58"/>
      <w:bookmarkEnd w:id="59"/>
      <w:bookmarkEnd w:id="60"/>
    </w:p>
    <w:p w14:paraId="05C9B16A">
      <w:pPr>
        <w:pStyle w:val="4"/>
        <w:pageBreakBefore w:val="0"/>
        <w:widowControl w:val="0"/>
        <w:tabs>
          <w:tab w:val="left" w:pos="900"/>
        </w:tabs>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61" w:name="_Toc520356151"/>
      <w:bookmarkStart w:id="62" w:name="_Toc8995"/>
      <w:bookmarkStart w:id="63" w:name="_Toc516367021"/>
      <w:bookmarkStart w:id="64" w:name="_Toc16886"/>
      <w:bookmarkStart w:id="65" w:name="_Toc518923070"/>
      <w:r>
        <w:rPr>
          <w:rFonts w:hint="eastAsia" w:ascii="微软雅黑" w:hAnsi="微软雅黑" w:eastAsia="微软雅黑" w:cs="微软雅黑"/>
          <w:color w:val="auto"/>
          <w:sz w:val="24"/>
          <w:szCs w:val="24"/>
          <w:highlight w:val="none"/>
          <w:u w:val="none"/>
        </w:rPr>
        <w:t>8.投标范围及投标文件中标准和计量单位的使用</w:t>
      </w:r>
      <w:bookmarkEnd w:id="61"/>
      <w:bookmarkEnd w:id="62"/>
      <w:bookmarkEnd w:id="63"/>
      <w:bookmarkEnd w:id="64"/>
      <w:bookmarkEnd w:id="65"/>
    </w:p>
    <w:p w14:paraId="2197D76C">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项目有分包的，投标人可对招标文件其中一个或几个分包进行投标，除非在</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中另有规定。</w:t>
      </w:r>
    </w:p>
    <w:p w14:paraId="3658088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8.2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投标人应当对所投分包招标文件中“</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需求”所列的所有服务内容进行投标，如仅响应分包中的部分内容，其投标将被认定为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49040CDC">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8.3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无论招标文件第5章</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需求中是否要求，投标人所投服务均应符合</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标准。</w:t>
      </w:r>
    </w:p>
    <w:p w14:paraId="2B71C65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8.4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除招标文件中有特殊要求外，投标文件中所使用的计量单位，应采用中华人民共和国法定计量单位。</w:t>
      </w:r>
    </w:p>
    <w:p w14:paraId="21D26DBB">
      <w:pPr>
        <w:pStyle w:val="4"/>
        <w:pageBreakBefore w:val="0"/>
        <w:widowControl w:val="0"/>
        <w:tabs>
          <w:tab w:val="left" w:pos="900"/>
        </w:tabs>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66" w:name="_Ref467306195"/>
      <w:bookmarkStart w:id="67" w:name="_Toc516367022"/>
      <w:bookmarkStart w:id="68" w:name="_Ref467306676"/>
      <w:bookmarkStart w:id="69" w:name="_Toc6550"/>
      <w:bookmarkStart w:id="70" w:name="_Toc520356152"/>
      <w:bookmarkStart w:id="71" w:name="_Toc518923071"/>
      <w:bookmarkStart w:id="72" w:name="_Toc9813"/>
      <w:r>
        <w:rPr>
          <w:rFonts w:hint="eastAsia" w:ascii="微软雅黑" w:hAnsi="微软雅黑" w:eastAsia="微软雅黑" w:cs="微软雅黑"/>
          <w:color w:val="auto"/>
          <w:sz w:val="24"/>
          <w:szCs w:val="24"/>
          <w:highlight w:val="none"/>
          <w:u w:val="none"/>
        </w:rPr>
        <w:t>9.投标文件</w:t>
      </w:r>
      <w:bookmarkEnd w:id="66"/>
      <w:bookmarkEnd w:id="67"/>
      <w:bookmarkEnd w:id="68"/>
      <w:r>
        <w:rPr>
          <w:rFonts w:hint="eastAsia" w:ascii="微软雅黑" w:hAnsi="微软雅黑" w:eastAsia="微软雅黑" w:cs="微软雅黑"/>
          <w:color w:val="auto"/>
          <w:sz w:val="24"/>
          <w:szCs w:val="24"/>
          <w:highlight w:val="none"/>
          <w:u w:val="none"/>
        </w:rPr>
        <w:t>构成</w:t>
      </w:r>
      <w:bookmarkEnd w:id="69"/>
      <w:bookmarkEnd w:id="70"/>
      <w:bookmarkEnd w:id="71"/>
      <w:bookmarkEnd w:id="72"/>
    </w:p>
    <w:p w14:paraId="0AFF975E">
      <w:pPr>
        <w:pageBreakBefore w:val="0"/>
        <w:widowControl w:val="0"/>
        <w:tabs>
          <w:tab w:val="left" w:pos="900"/>
          <w:tab w:val="left" w:pos="5580"/>
        </w:tabs>
        <w:kinsoku/>
        <w:wordWrap/>
        <w:overflowPunct/>
        <w:topLinePunct w:val="0"/>
        <w:bidi w:val="0"/>
        <w:snapToGrid w:val="0"/>
        <w:spacing w:line="336" w:lineRule="auto"/>
        <w:ind w:left="960" w:hanging="960" w:hangingChars="400"/>
        <w:jc w:val="left"/>
        <w:textAlignment w:val="auto"/>
        <w:rPr>
          <w:rFonts w:hint="eastAsia" w:ascii="微软雅黑" w:hAnsi="微软雅黑" w:eastAsia="微软雅黑" w:cs="微软雅黑"/>
          <w:color w:val="auto"/>
          <w:sz w:val="24"/>
          <w:szCs w:val="24"/>
          <w:highlight w:val="none"/>
          <w:u w:val="single"/>
        </w:rPr>
      </w:pPr>
      <w:bookmarkStart w:id="73" w:name="_Ref467052588"/>
      <w:r>
        <w:rPr>
          <w:rFonts w:hint="eastAsia" w:ascii="微软雅黑" w:hAnsi="微软雅黑" w:eastAsia="微软雅黑" w:cs="微软雅黑"/>
          <w:color w:val="auto"/>
          <w:sz w:val="24"/>
          <w:szCs w:val="24"/>
          <w:highlight w:val="none"/>
        </w:rPr>
        <w:t xml:space="preserve">9.1    </w:t>
      </w:r>
      <w:bookmarkEnd w:id="73"/>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u w:val="single"/>
          <w:lang w:val="en-US" w:eastAsia="zh-CN"/>
        </w:rPr>
        <w:t>投标单位应完整地按采购文件提供的投标文件格式及要求编写投标文件，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投标人应承担上传失误产生的任何后果。）</w:t>
      </w:r>
    </w:p>
    <w:p w14:paraId="207070FE">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    上述文件应按照招标文件规定的格式填写、签署和盖章。</w:t>
      </w:r>
    </w:p>
    <w:p w14:paraId="0AA22834">
      <w:pPr>
        <w:pStyle w:val="4"/>
        <w:pageBreakBefore w:val="0"/>
        <w:widowControl w:val="0"/>
        <w:tabs>
          <w:tab w:val="left" w:pos="900"/>
        </w:tabs>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74" w:name="_Toc520356153"/>
      <w:bookmarkStart w:id="75" w:name="_Toc516367023"/>
      <w:bookmarkStart w:id="76" w:name="_Toc23480"/>
      <w:bookmarkStart w:id="77" w:name="_Toc29995"/>
      <w:bookmarkStart w:id="78" w:name="_Toc518923072"/>
      <w:bookmarkStart w:id="79" w:name="_Toc508185920"/>
      <w:bookmarkStart w:id="80" w:name="_Toc520356155"/>
      <w:r>
        <w:rPr>
          <w:rFonts w:hint="eastAsia" w:ascii="微软雅黑" w:hAnsi="微软雅黑" w:eastAsia="微软雅黑" w:cs="微软雅黑"/>
          <w:color w:val="auto"/>
          <w:sz w:val="24"/>
          <w:szCs w:val="24"/>
          <w:highlight w:val="none"/>
          <w:u w:val="none"/>
        </w:rPr>
        <w:t>10.</w:t>
      </w:r>
      <w:r>
        <w:rPr>
          <w:rFonts w:hint="eastAsia" w:ascii="微软雅黑" w:hAnsi="微软雅黑" w:eastAsia="微软雅黑" w:cs="微软雅黑"/>
          <w:color w:val="auto"/>
          <w:sz w:val="24"/>
          <w:szCs w:val="24"/>
          <w:highlight w:val="none"/>
          <w:u w:val="none"/>
        </w:rPr>
        <w:tab/>
      </w:r>
      <w:r>
        <w:rPr>
          <w:rFonts w:hint="eastAsia" w:ascii="微软雅黑" w:hAnsi="微软雅黑" w:eastAsia="微软雅黑" w:cs="微软雅黑"/>
          <w:color w:val="auto"/>
          <w:sz w:val="24"/>
          <w:szCs w:val="24"/>
          <w:highlight w:val="none"/>
          <w:u w:val="none"/>
        </w:rPr>
        <w:t>证明投标标的的合格性和符合招标文件规定的</w:t>
      </w:r>
      <w:r>
        <w:rPr>
          <w:rFonts w:hint="eastAsia" w:ascii="微软雅黑" w:hAnsi="微软雅黑" w:eastAsia="微软雅黑" w:cs="微软雅黑"/>
          <w:color w:val="auto"/>
          <w:sz w:val="24"/>
          <w:szCs w:val="24"/>
          <w:highlight w:val="none"/>
          <w:u w:val="none"/>
          <w:lang w:val="en-US" w:eastAsia="zh-CN"/>
        </w:rPr>
        <w:t>投标</w:t>
      </w:r>
      <w:r>
        <w:rPr>
          <w:rFonts w:hint="eastAsia" w:ascii="微软雅黑" w:hAnsi="微软雅黑" w:eastAsia="微软雅黑" w:cs="微软雅黑"/>
          <w:color w:val="auto"/>
          <w:sz w:val="24"/>
          <w:szCs w:val="24"/>
          <w:highlight w:val="none"/>
          <w:u w:val="none"/>
        </w:rPr>
        <w:t>文件</w:t>
      </w:r>
      <w:bookmarkEnd w:id="74"/>
      <w:bookmarkEnd w:id="75"/>
      <w:bookmarkEnd w:id="76"/>
      <w:bookmarkEnd w:id="77"/>
      <w:bookmarkEnd w:id="78"/>
      <w:bookmarkEnd w:id="79"/>
    </w:p>
    <w:p w14:paraId="77E1308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投标人应提交证明文件，证明其投标内容符合招标文件规定。该证明文件是投标文件的一部分。</w:t>
      </w:r>
    </w:p>
    <w:p w14:paraId="7D402B0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bookmarkStart w:id="81" w:name="_Ref467306244"/>
      <w:r>
        <w:rPr>
          <w:rFonts w:hint="eastAsia" w:ascii="微软雅黑" w:hAnsi="微软雅黑" w:eastAsia="微软雅黑" w:cs="微软雅黑"/>
          <w:color w:val="auto"/>
          <w:sz w:val="24"/>
          <w:szCs w:val="24"/>
          <w:highlight w:val="none"/>
        </w:rPr>
        <w:t>10.2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上款所述的证明文件，可以是文字资料、图纸和数据</w:t>
      </w:r>
      <w:bookmarkEnd w:id="81"/>
      <w:r>
        <w:rPr>
          <w:rFonts w:hint="eastAsia" w:ascii="微软雅黑" w:hAnsi="微软雅黑" w:eastAsia="微软雅黑" w:cs="微软雅黑"/>
          <w:color w:val="auto"/>
          <w:sz w:val="24"/>
          <w:szCs w:val="24"/>
          <w:highlight w:val="none"/>
        </w:rPr>
        <w:t>。</w:t>
      </w:r>
    </w:p>
    <w:p w14:paraId="701F85D2">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10.2.1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服务主要技术指标的详细说明；</w:t>
      </w:r>
    </w:p>
    <w:p w14:paraId="1649BFC3">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10.2.2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对照招标文件技术要求，逐条说明所提供服务及伴随的履约服务已对招标文件的技术要求做出了实质性的响应，或申明与技术要求条文的偏差和例外。</w:t>
      </w:r>
    </w:p>
    <w:p w14:paraId="3D345822">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82" w:name="_Toc518923073"/>
      <w:bookmarkStart w:id="83" w:name="_Toc27898"/>
      <w:bookmarkStart w:id="84" w:name="_Toc24655"/>
      <w:r>
        <w:rPr>
          <w:rFonts w:hint="eastAsia" w:ascii="微软雅黑" w:hAnsi="微软雅黑" w:eastAsia="微软雅黑" w:cs="微软雅黑"/>
          <w:color w:val="auto"/>
          <w:sz w:val="24"/>
          <w:szCs w:val="24"/>
          <w:highlight w:val="none"/>
          <w:u w:val="none"/>
        </w:rPr>
        <w:t>11.投标报价</w:t>
      </w:r>
      <w:bookmarkEnd w:id="80"/>
      <w:bookmarkEnd w:id="82"/>
      <w:bookmarkEnd w:id="83"/>
      <w:bookmarkEnd w:id="84"/>
    </w:p>
    <w:p w14:paraId="01A3CE8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22AD68C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投标人应在投标分项报价表上标明分项服务的价格（如适用）和总价，并由法定代表人或其委托代理人签署。</w:t>
      </w:r>
    </w:p>
    <w:p w14:paraId="53204D9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采购人不接受具有附加条件的报价。</w:t>
      </w:r>
    </w:p>
    <w:p w14:paraId="672E3EBD">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投标人所报的各分项投标报价在合同履行过程中是固定不变的，不得以任何理由予以变更。任何包含价格调整要求的投标，将被认定为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75492C99">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85" w:name="_Toc520356156"/>
      <w:bookmarkStart w:id="86" w:name="_Toc518923074"/>
      <w:bookmarkStart w:id="87" w:name="_Toc13611"/>
      <w:bookmarkStart w:id="88" w:name="_Ref467306513"/>
      <w:bookmarkStart w:id="89" w:name="_Toc23075"/>
      <w:r>
        <w:rPr>
          <w:rFonts w:hint="eastAsia" w:ascii="微软雅黑" w:hAnsi="微软雅黑" w:eastAsia="微软雅黑" w:cs="微软雅黑"/>
          <w:color w:val="auto"/>
          <w:sz w:val="24"/>
          <w:szCs w:val="24"/>
          <w:highlight w:val="none"/>
          <w:u w:val="none"/>
        </w:rPr>
        <w:t>12.投标保证金</w:t>
      </w:r>
      <w:bookmarkEnd w:id="85"/>
      <w:bookmarkEnd w:id="86"/>
      <w:bookmarkEnd w:id="87"/>
      <w:bookmarkEnd w:id="88"/>
      <w:bookmarkEnd w:id="89"/>
    </w:p>
    <w:p w14:paraId="742B0946">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bookmarkStart w:id="90" w:name="_Ref467306302"/>
      <w:r>
        <w:rPr>
          <w:rFonts w:hint="eastAsia" w:ascii="微软雅黑" w:hAnsi="微软雅黑" w:eastAsia="微软雅黑" w:cs="微软雅黑"/>
          <w:color w:val="auto"/>
          <w:sz w:val="24"/>
          <w:szCs w:val="24"/>
          <w:highlight w:val="none"/>
        </w:rPr>
        <w:t>12.1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投标人应提交</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中规定的投标保证金</w:t>
      </w:r>
      <w:bookmarkEnd w:id="90"/>
      <w:r>
        <w:rPr>
          <w:rFonts w:hint="eastAsia" w:ascii="微软雅黑" w:hAnsi="微软雅黑" w:eastAsia="微软雅黑" w:cs="微软雅黑"/>
          <w:color w:val="auto"/>
          <w:sz w:val="24"/>
          <w:szCs w:val="24"/>
          <w:highlight w:val="none"/>
        </w:rPr>
        <w:t>，并作为其投标的一部分。</w:t>
      </w:r>
    </w:p>
    <w:p w14:paraId="6815DBEB">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投标人存在下列情形的，投标保证金不予退还：</w:t>
      </w:r>
    </w:p>
    <w:p w14:paraId="332E397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（1）在投标有效期内，撤销投标的；</w:t>
      </w:r>
    </w:p>
    <w:p w14:paraId="5B5C880D">
      <w:pPr>
        <w:pStyle w:val="15"/>
        <w:pageBreakBefore w:val="0"/>
        <w:widowControl w:val="0"/>
        <w:tabs>
          <w:tab w:val="left" w:pos="2240"/>
        </w:tabs>
        <w:kinsoku/>
        <w:wordWrap/>
        <w:overflowPunct/>
        <w:topLinePunct w:val="0"/>
        <w:bidi w:val="0"/>
        <w:snapToGrid w:val="0"/>
        <w:spacing w:line="336" w:lineRule="auto"/>
        <w:ind w:left="1079" w:leftChars="371"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（2）中标后不按本须知第30条的规定与采购人签订合同的；</w:t>
      </w:r>
    </w:p>
    <w:p w14:paraId="151F8B95">
      <w:pPr>
        <w:pStyle w:val="15"/>
        <w:pageBreakBefore w:val="0"/>
        <w:widowControl w:val="0"/>
        <w:tabs>
          <w:tab w:val="left" w:pos="2240"/>
        </w:tabs>
        <w:kinsoku/>
        <w:wordWrap/>
        <w:overflowPunct/>
        <w:topLinePunct w:val="0"/>
        <w:bidi w:val="0"/>
        <w:snapToGrid w:val="0"/>
        <w:spacing w:line="336" w:lineRule="auto"/>
        <w:ind w:left="1079" w:leftChars="371"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（3）中标后不按本须知第31条的规定提交履约保证金的；</w:t>
      </w:r>
    </w:p>
    <w:p w14:paraId="3FD3AE94">
      <w:pPr>
        <w:pStyle w:val="15"/>
        <w:pageBreakBefore w:val="0"/>
        <w:widowControl w:val="0"/>
        <w:tabs>
          <w:tab w:val="left" w:pos="2240"/>
        </w:tabs>
        <w:kinsoku/>
        <w:wordWrap/>
        <w:overflowPunct/>
        <w:topLinePunct w:val="0"/>
        <w:bidi w:val="0"/>
        <w:snapToGrid w:val="0"/>
        <w:spacing w:line="336" w:lineRule="auto"/>
        <w:ind w:left="1079" w:leftChars="371"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（4）中标后不按本须知第32条的规定缴纳中标服务费的；</w:t>
      </w:r>
    </w:p>
    <w:p w14:paraId="6B92CFEF">
      <w:pPr>
        <w:pStyle w:val="15"/>
        <w:pageBreakBefore w:val="0"/>
        <w:widowControl w:val="0"/>
        <w:tabs>
          <w:tab w:val="left" w:pos="2240"/>
        </w:tabs>
        <w:kinsoku/>
        <w:wordWrap/>
        <w:overflowPunct/>
        <w:topLinePunct w:val="0"/>
        <w:bidi w:val="0"/>
        <w:snapToGrid w:val="0"/>
        <w:spacing w:line="336" w:lineRule="auto"/>
        <w:ind w:left="1079" w:leftChars="371" w:hanging="300" w:hangingChars="1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（5）存在其他违法违规行为的。</w:t>
      </w:r>
    </w:p>
    <w:p w14:paraId="249DF15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bookmarkStart w:id="91" w:name="_Ref467306336"/>
      <w:r>
        <w:rPr>
          <w:rFonts w:hint="eastAsia" w:ascii="微软雅黑" w:hAnsi="微软雅黑" w:eastAsia="微软雅黑" w:cs="微软雅黑"/>
          <w:color w:val="auto"/>
          <w:sz w:val="24"/>
          <w:szCs w:val="24"/>
          <w:highlight w:val="none"/>
        </w:rPr>
        <w:t>12.3</w:t>
      </w:r>
      <w:r>
        <w:rPr>
          <w:rFonts w:hint="eastAsia" w:ascii="微软雅黑" w:hAnsi="微软雅黑" w:eastAsia="微软雅黑" w:cs="微软雅黑"/>
          <w:color w:val="auto"/>
          <w:sz w:val="24"/>
          <w:szCs w:val="24"/>
          <w:highlight w:val="none"/>
        </w:rPr>
        <w:tab/>
      </w:r>
      <w:bookmarkEnd w:id="91"/>
      <w:r>
        <w:rPr>
          <w:rFonts w:hint="eastAsia" w:ascii="微软雅黑" w:hAnsi="微软雅黑" w:eastAsia="微软雅黑" w:cs="微软雅黑"/>
          <w:color w:val="auto"/>
          <w:sz w:val="24"/>
          <w:szCs w:val="24"/>
          <w:highlight w:val="none"/>
        </w:rPr>
        <w:t>政府采购信用担保试点范围内的项目，接受符合财政部门规定的政府采购投标担保函原件。</w:t>
      </w:r>
    </w:p>
    <w:p w14:paraId="0190944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投标人未按本须知第12.1和12.3条规定提交投标保证金的，其投标将被认定为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0065B4A4">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12.4.1  采用电汇形式的，一般可以实时入账；</w:t>
      </w:r>
    </w:p>
    <w:p w14:paraId="059EF5D1">
      <w:pPr>
        <w:pageBreakBefore w:val="0"/>
        <w:widowControl w:val="0"/>
        <w:kinsoku/>
        <w:wordWrap/>
        <w:overflowPunct/>
        <w:topLinePunct w:val="0"/>
        <w:bidi w:val="0"/>
        <w:snapToGrid w:val="0"/>
        <w:spacing w:line="336" w:lineRule="auto"/>
        <w:ind w:left="96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45C32D2F">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    联合体投标的，可以由联合体中的一方或者共同提交投标保证金。以一方名义提交投标保证金的，对联合体各方均具有约束力。</w:t>
      </w:r>
    </w:p>
    <w:p w14:paraId="0A3C001C">
      <w:pPr>
        <w:pageBreakBefore w:val="0"/>
        <w:widowControl w:val="0"/>
        <w:kinsoku/>
        <w:wordWrap/>
        <w:overflowPunct/>
        <w:topLinePunct w:val="0"/>
        <w:bidi w:val="0"/>
        <w:snapToGrid w:val="0"/>
        <w:spacing w:line="336" w:lineRule="auto"/>
        <w:ind w:left="96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r>
        <w:rPr>
          <w:rFonts w:hint="eastAsia" w:ascii="微软雅黑" w:hAnsi="微软雅黑" w:eastAsia="微软雅黑" w:cs="微软雅黑"/>
          <w:color w:val="auto"/>
          <w:sz w:val="24"/>
          <w:szCs w:val="24"/>
          <w:highlight w:val="none"/>
          <w:lang w:val="en-US" w:eastAsia="zh-CN"/>
        </w:rPr>
        <w:t xml:space="preserve">6    </w:t>
      </w:r>
      <w:r>
        <w:rPr>
          <w:rFonts w:hint="eastAsia" w:ascii="微软雅黑" w:hAnsi="微软雅黑" w:eastAsia="微软雅黑" w:cs="微软雅黑"/>
          <w:color w:val="auto"/>
          <w:sz w:val="24"/>
          <w:szCs w:val="24"/>
          <w:highlight w:val="none"/>
        </w:rPr>
        <w:t>投标保证金的退还</w:t>
      </w:r>
    </w:p>
    <w:p w14:paraId="740F0D52">
      <w:pPr>
        <w:pageBreakBefore w:val="0"/>
        <w:widowControl w:val="0"/>
        <w:kinsoku/>
        <w:wordWrap/>
        <w:overflowPunct/>
        <w:topLinePunct w:val="0"/>
        <w:bidi w:val="0"/>
        <w:snapToGrid w:val="0"/>
        <w:spacing w:line="336" w:lineRule="auto"/>
        <w:ind w:left="1020" w:hanging="1020" w:hangingChars="4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12.6.1  中标人应在与采购人签订合同之日起5个工作日内，及时联系保证金收受机构办理投标保证金无息退还手续。</w:t>
      </w:r>
    </w:p>
    <w:p w14:paraId="591AAE51">
      <w:pPr>
        <w:pageBreakBefore w:val="0"/>
        <w:widowControl w:val="0"/>
        <w:kinsoku/>
        <w:wordWrap/>
        <w:overflowPunct/>
        <w:topLinePunct w:val="0"/>
        <w:bidi w:val="0"/>
        <w:snapToGrid w:val="0"/>
        <w:spacing w:line="336" w:lineRule="auto"/>
        <w:ind w:left="1020" w:hanging="1020" w:hangingChars="4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12.6.2  未中标投标人的投标保证金将在中标通知书发出之日暨中标结果公告公布之日起5个工作日内无息退还。投标人及时联系保证金收受机构办理退还投标保证金手续。</w:t>
      </w:r>
      <w:bookmarkStart w:id="92" w:name="_Toc518923075"/>
    </w:p>
    <w:p w14:paraId="73F169A1">
      <w:pPr>
        <w:pageBreakBefore w:val="0"/>
        <w:widowControl w:val="0"/>
        <w:kinsoku/>
        <w:wordWrap/>
        <w:overflowPunct/>
        <w:topLinePunct w:val="0"/>
        <w:bidi w:val="0"/>
        <w:snapToGrid w:val="0"/>
        <w:spacing w:line="336" w:lineRule="auto"/>
        <w:ind w:left="1020" w:hanging="1020" w:hangingChars="4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12.6.3  政府采购投标担保函不予退回。</w:t>
      </w:r>
      <w:bookmarkEnd w:id="92"/>
    </w:p>
    <w:p w14:paraId="0F0FB3E2">
      <w:pPr>
        <w:pageBreakBefore w:val="0"/>
        <w:widowControl w:val="0"/>
        <w:kinsoku/>
        <w:wordWrap/>
        <w:overflowPunct/>
        <w:topLinePunct w:val="0"/>
        <w:bidi w:val="0"/>
        <w:snapToGrid w:val="0"/>
        <w:spacing w:line="336" w:lineRule="auto"/>
        <w:ind w:left="96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    因投标人自身原因导致无法及时退还的，采购人或采购代理机构将不承担相应责任。</w:t>
      </w:r>
    </w:p>
    <w:p w14:paraId="596E946F">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93" w:name="_Toc520356157"/>
      <w:bookmarkStart w:id="94" w:name="_Toc20558"/>
      <w:bookmarkStart w:id="95" w:name="_Toc518923076"/>
      <w:bookmarkStart w:id="96" w:name="_Toc1011"/>
      <w:r>
        <w:rPr>
          <w:rFonts w:hint="eastAsia" w:ascii="微软雅黑" w:hAnsi="微软雅黑" w:eastAsia="微软雅黑" w:cs="微软雅黑"/>
          <w:color w:val="auto"/>
          <w:sz w:val="24"/>
          <w:szCs w:val="24"/>
          <w:highlight w:val="none"/>
          <w:u w:val="none"/>
        </w:rPr>
        <w:t>13.投标有效期</w:t>
      </w:r>
      <w:bookmarkEnd w:id="93"/>
      <w:bookmarkEnd w:id="94"/>
      <w:bookmarkEnd w:id="95"/>
      <w:bookmarkEnd w:id="96"/>
    </w:p>
    <w:p w14:paraId="7AB3E10A">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投标应在</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中规定时间内保持有效。投标有效期不满足要求的投标，其投标将被认定为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00E066AB">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08A6615B">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97" w:name="_Toc518923077"/>
      <w:bookmarkStart w:id="98" w:name="_Toc520356158"/>
      <w:bookmarkStart w:id="99" w:name="_Toc16114"/>
      <w:bookmarkStart w:id="100" w:name="_Toc4997"/>
      <w:r>
        <w:rPr>
          <w:rFonts w:hint="eastAsia" w:ascii="微软雅黑" w:hAnsi="微软雅黑" w:eastAsia="微软雅黑" w:cs="微软雅黑"/>
          <w:color w:val="auto"/>
          <w:sz w:val="24"/>
          <w:szCs w:val="24"/>
          <w:highlight w:val="none"/>
          <w:u w:val="none"/>
        </w:rPr>
        <w:t>14.</w:t>
      </w:r>
      <w:bookmarkEnd w:id="97"/>
      <w:bookmarkEnd w:id="98"/>
      <w:bookmarkEnd w:id="99"/>
      <w:r>
        <w:rPr>
          <w:rFonts w:hint="eastAsia" w:ascii="微软雅黑" w:hAnsi="微软雅黑" w:eastAsia="微软雅黑" w:cs="微软雅黑"/>
          <w:color w:val="auto"/>
          <w:sz w:val="24"/>
          <w:szCs w:val="24"/>
          <w:highlight w:val="none"/>
          <w:u w:val="none"/>
          <w:lang w:eastAsia="zh-CN"/>
        </w:rPr>
        <w:t>投标</w:t>
      </w:r>
      <w:r>
        <w:rPr>
          <w:rFonts w:hint="eastAsia" w:ascii="微软雅黑" w:hAnsi="微软雅黑" w:eastAsia="微软雅黑" w:cs="微软雅黑"/>
          <w:b/>
          <w:bCs/>
          <w:color w:val="auto"/>
          <w:kern w:val="2"/>
          <w:sz w:val="24"/>
          <w:szCs w:val="24"/>
          <w:highlight w:val="none"/>
          <w:u w:val="none"/>
          <w:lang w:val="en-US" w:eastAsia="zh-CN" w:bidi="ar-SA"/>
        </w:rPr>
        <w:t>文件的签署及规定</w:t>
      </w:r>
      <w:bookmarkEnd w:id="100"/>
    </w:p>
    <w:p w14:paraId="5721B23E">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14.1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投标人</w:t>
      </w:r>
      <w:r>
        <w:rPr>
          <w:rFonts w:hint="eastAsia" w:ascii="微软雅黑" w:hAnsi="微软雅黑" w:eastAsia="微软雅黑" w:cs="微软雅黑"/>
          <w:color w:val="auto"/>
          <w:sz w:val="24"/>
          <w:szCs w:val="24"/>
          <w:highlight w:val="none"/>
          <w:lang w:val="en-US" w:eastAsia="zh-CN"/>
        </w:rPr>
        <w:t>应按投标人须知资料表中的规定，准备和递交（加密上传）电子投标文件。</w:t>
      </w:r>
    </w:p>
    <w:p w14:paraId="7D3ECCEC">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所有</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应按照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规定的格式填写、签署</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盖章。</w:t>
      </w:r>
    </w:p>
    <w:p w14:paraId="5B19C860">
      <w:pPr>
        <w:pageBreakBefore w:val="0"/>
        <w:widowControl w:val="0"/>
        <w:kinsoku/>
        <w:wordWrap/>
        <w:overflowPunct/>
        <w:topLinePunct w:val="0"/>
        <w:bidi w:val="0"/>
        <w:snapToGrid w:val="0"/>
        <w:spacing w:line="336" w:lineRule="auto"/>
        <w:ind w:left="84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14.3   </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因字迹潦草、表达不清或</w:t>
      </w:r>
      <w:r>
        <w:rPr>
          <w:rFonts w:hint="eastAsia" w:ascii="微软雅黑" w:hAnsi="微软雅黑" w:eastAsia="微软雅黑" w:cs="微软雅黑"/>
          <w:color w:val="auto"/>
          <w:sz w:val="24"/>
          <w:szCs w:val="24"/>
          <w:highlight w:val="none"/>
          <w:lang w:val="en-US" w:eastAsia="zh-CN"/>
        </w:rPr>
        <w:t>未按照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规定的格式填写、签署</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盖章所引起的后果由</w:t>
      </w:r>
      <w:r>
        <w:rPr>
          <w:rFonts w:hint="eastAsia" w:ascii="微软雅黑" w:hAnsi="微软雅黑" w:eastAsia="微软雅黑" w:cs="微软雅黑"/>
          <w:color w:val="auto"/>
          <w:sz w:val="24"/>
          <w:szCs w:val="24"/>
          <w:highlight w:val="none"/>
          <w:lang w:eastAsia="zh-CN"/>
        </w:rPr>
        <w:t>投标人</w:t>
      </w:r>
      <w:r>
        <w:rPr>
          <w:rFonts w:hint="eastAsia" w:ascii="微软雅黑" w:hAnsi="微软雅黑" w:eastAsia="微软雅黑" w:cs="微软雅黑"/>
          <w:color w:val="auto"/>
          <w:sz w:val="24"/>
          <w:szCs w:val="24"/>
          <w:highlight w:val="none"/>
        </w:rPr>
        <w:t>负责。</w:t>
      </w:r>
    </w:p>
    <w:p w14:paraId="62883665">
      <w:pPr>
        <w:pStyle w:val="3"/>
        <w:pageBreakBefore w:val="0"/>
        <w:widowControl w:val="0"/>
        <w:kinsoku/>
        <w:wordWrap/>
        <w:overflowPunct/>
        <w:topLinePunct w:val="0"/>
        <w:bidi w:val="0"/>
        <w:snapToGrid w:val="0"/>
        <w:spacing w:before="0" w:line="336" w:lineRule="auto"/>
        <w:ind w:left="1079" w:leftChars="257" w:hanging="540"/>
        <w:textAlignment w:val="auto"/>
        <w:rPr>
          <w:rFonts w:hint="eastAsia" w:ascii="微软雅黑" w:hAnsi="微软雅黑" w:eastAsia="微软雅黑" w:cs="微软雅黑"/>
          <w:color w:val="auto"/>
          <w:sz w:val="24"/>
          <w:szCs w:val="24"/>
          <w:highlight w:val="none"/>
        </w:rPr>
      </w:pPr>
      <w:bookmarkStart w:id="101" w:name="_Toc216582808"/>
      <w:bookmarkStart w:id="102" w:name="_Toc518923078"/>
      <w:bookmarkStart w:id="103" w:name="_Toc10653"/>
      <w:bookmarkStart w:id="104" w:name="_Toc520356159"/>
      <w:bookmarkStart w:id="105" w:name="_Toc31913"/>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投标文件的递交</w:t>
      </w:r>
      <w:bookmarkEnd w:id="101"/>
      <w:bookmarkEnd w:id="102"/>
      <w:bookmarkEnd w:id="103"/>
      <w:bookmarkEnd w:id="104"/>
      <w:bookmarkEnd w:id="105"/>
    </w:p>
    <w:p w14:paraId="522B22BA">
      <w:pPr>
        <w:pStyle w:val="4"/>
        <w:pageBreakBefore w:val="0"/>
        <w:widowControl w:val="0"/>
        <w:numPr>
          <w:ilvl w:val="0"/>
          <w:numId w:val="0"/>
        </w:numPr>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06" w:name="_Toc32024"/>
      <w:bookmarkStart w:id="107" w:name="_Toc520356160"/>
      <w:bookmarkStart w:id="108" w:name="_Toc518923079"/>
      <w:bookmarkStart w:id="109" w:name="_Toc8602"/>
      <w:r>
        <w:rPr>
          <w:rFonts w:hint="eastAsia" w:ascii="微软雅黑" w:hAnsi="微软雅黑" w:eastAsia="微软雅黑" w:cs="微软雅黑"/>
          <w:color w:val="auto"/>
          <w:sz w:val="24"/>
          <w:szCs w:val="24"/>
          <w:highlight w:val="none"/>
          <w:u w:val="none"/>
          <w:lang w:val="en-US" w:eastAsia="zh-CN"/>
        </w:rPr>
        <w:t>15.</w:t>
      </w:r>
      <w:r>
        <w:rPr>
          <w:rFonts w:hint="eastAsia" w:ascii="微软雅黑" w:hAnsi="微软雅黑" w:eastAsia="微软雅黑" w:cs="微软雅黑"/>
          <w:color w:val="auto"/>
          <w:sz w:val="24"/>
          <w:szCs w:val="24"/>
          <w:highlight w:val="none"/>
          <w:u w:val="none"/>
        </w:rPr>
        <w:t>投标文件的密封和标记</w:t>
      </w:r>
      <w:bookmarkEnd w:id="106"/>
      <w:bookmarkEnd w:id="107"/>
      <w:bookmarkEnd w:id="108"/>
      <w:bookmarkEnd w:id="109"/>
    </w:p>
    <w:p w14:paraId="584059CB">
      <w:pPr>
        <w:pageBreakBefore w:val="0"/>
        <w:widowControl w:val="0"/>
        <w:tabs>
          <w:tab w:val="left" w:pos="4830"/>
        </w:tabs>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b/>
          <w:bCs/>
          <w:color w:val="auto"/>
          <w:kern w:val="2"/>
          <w:sz w:val="24"/>
          <w:szCs w:val="24"/>
          <w:highlight w:val="none"/>
          <w:u w:val="single"/>
          <w:lang w:val="en-US" w:eastAsia="zh-CN" w:bidi="ar-SA"/>
        </w:rPr>
      </w:pPr>
      <w:r>
        <w:rPr>
          <w:rFonts w:hint="eastAsia" w:ascii="微软雅黑" w:hAnsi="微软雅黑" w:eastAsia="微软雅黑" w:cs="微软雅黑"/>
          <w:color w:val="auto"/>
          <w:sz w:val="24"/>
          <w:szCs w:val="24"/>
          <w:highlight w:val="none"/>
        </w:rPr>
        <w:t xml:space="preserve">15.1   </w:t>
      </w:r>
      <w:r>
        <w:rPr>
          <w:rFonts w:hint="eastAsia" w:ascii="微软雅黑" w:hAnsi="微软雅黑" w:eastAsia="微软雅黑" w:cs="微软雅黑"/>
          <w:b/>
          <w:bCs/>
          <w:color w:val="auto"/>
          <w:kern w:val="2"/>
          <w:sz w:val="24"/>
          <w:szCs w:val="24"/>
          <w:highlight w:val="none"/>
          <w:u w:val="single"/>
          <w:lang w:val="en-US" w:eastAsia="zh-CN" w:bidi="ar-SA"/>
        </w:rPr>
        <w:t>投标人应完整地按招标文件提供的投标文件格式及要求编写投标文件，投标人须在投标截止时间前完成在系统上传递交电子投标文件。投标人的电子投标文件是经过CA证书加密后上传提交的，任何单位或个人均无法在投标截止时间(即投标截止时间)之前查看或篡改，不存在泄密风险。（投标人须严格按照政采云电子投标流程制作并上传电子投标文件，投标人应承担上传失误产生的任何后果。）</w:t>
      </w:r>
    </w:p>
    <w:p w14:paraId="7F15FA45">
      <w:pPr>
        <w:pStyle w:val="4"/>
        <w:pageBreakBefore w:val="0"/>
        <w:widowControl w:val="0"/>
        <w:tabs>
          <w:tab w:val="left" w:pos="4830"/>
        </w:tabs>
        <w:kinsoku/>
        <w:wordWrap/>
        <w:overflowPunct/>
        <w:topLinePunct w:val="0"/>
        <w:bidi w:val="0"/>
        <w:snapToGrid w:val="0"/>
        <w:spacing w:before="0" w:after="0" w:line="336" w:lineRule="auto"/>
        <w:ind w:left="1120" w:hanging="960" w:hangingChars="400"/>
        <w:textAlignment w:val="auto"/>
        <w:rPr>
          <w:rFonts w:hint="eastAsia" w:ascii="微软雅黑" w:hAnsi="微软雅黑" w:eastAsia="微软雅黑" w:cs="微软雅黑"/>
          <w:b w:val="0"/>
          <w:color w:val="auto"/>
          <w:kern w:val="2"/>
          <w:sz w:val="24"/>
          <w:szCs w:val="24"/>
          <w:highlight w:val="none"/>
          <w:u w:val="none"/>
          <w:lang w:val="en-US" w:eastAsia="zh-CN" w:bidi="ar-SA"/>
        </w:rPr>
      </w:pPr>
      <w:bookmarkStart w:id="110" w:name="_Toc2988"/>
      <w:bookmarkStart w:id="111" w:name="_Toc518923080"/>
      <w:bookmarkStart w:id="112" w:name="_Toc520356161"/>
      <w:bookmarkStart w:id="113" w:name="_Toc12504"/>
      <w:r>
        <w:rPr>
          <w:rFonts w:hint="eastAsia" w:ascii="微软雅黑" w:hAnsi="微软雅黑" w:eastAsia="微软雅黑" w:cs="微软雅黑"/>
          <w:b w:val="0"/>
          <w:color w:val="auto"/>
          <w:kern w:val="2"/>
          <w:sz w:val="24"/>
          <w:szCs w:val="24"/>
          <w:highlight w:val="none"/>
          <w:u w:val="none"/>
          <w:lang w:val="en-US" w:eastAsia="zh-CN" w:bidi="ar-SA"/>
        </w:rPr>
        <w:t>15.2    投标人因自身原因导致电子投标文件无法导入电子评标系统的，该投标文件视为无效文件。</w:t>
      </w:r>
      <w:bookmarkEnd w:id="110"/>
    </w:p>
    <w:p w14:paraId="39066FD9">
      <w:pPr>
        <w:pStyle w:val="4"/>
        <w:pageBreakBefore w:val="0"/>
        <w:widowControl w:val="0"/>
        <w:tabs>
          <w:tab w:val="left" w:pos="4830"/>
        </w:tabs>
        <w:kinsoku/>
        <w:wordWrap/>
        <w:overflowPunct/>
        <w:topLinePunct w:val="0"/>
        <w:bidi w:val="0"/>
        <w:snapToGrid w:val="0"/>
        <w:spacing w:before="0" w:after="0" w:line="336" w:lineRule="auto"/>
        <w:ind w:left="1120" w:hanging="960" w:hangingChars="400"/>
        <w:textAlignment w:val="auto"/>
        <w:rPr>
          <w:rFonts w:hint="eastAsia" w:ascii="微软雅黑" w:hAnsi="微软雅黑" w:eastAsia="微软雅黑" w:cs="微软雅黑"/>
          <w:b w:val="0"/>
          <w:color w:val="auto"/>
          <w:kern w:val="2"/>
          <w:sz w:val="24"/>
          <w:szCs w:val="24"/>
          <w:highlight w:val="none"/>
          <w:u w:val="none"/>
          <w:lang w:val="en-US" w:eastAsia="zh-CN" w:bidi="ar-SA"/>
        </w:rPr>
      </w:pPr>
      <w:bookmarkStart w:id="114" w:name="_Toc9723"/>
      <w:r>
        <w:rPr>
          <w:rFonts w:hint="eastAsia" w:ascii="微软雅黑" w:hAnsi="微软雅黑" w:eastAsia="微软雅黑" w:cs="微软雅黑"/>
          <w:b w:val="0"/>
          <w:color w:val="auto"/>
          <w:kern w:val="2"/>
          <w:sz w:val="24"/>
          <w:szCs w:val="24"/>
          <w:highlight w:val="none"/>
          <w:u w:val="none"/>
          <w:lang w:val="en-US" w:eastAsia="zh-CN" w:bidi="ar-SA"/>
        </w:rPr>
        <w:t>15.3    电子投标文件具有法律效力,与其他形式的投标文件在内容和格式上等同，若投标文件与招标文件要求不一致，其内容影响成交结果时，责任由投标单位自行承担。</w:t>
      </w:r>
      <w:bookmarkEnd w:id="114"/>
    </w:p>
    <w:p w14:paraId="4E341042">
      <w:pPr>
        <w:pStyle w:val="4"/>
        <w:pageBreakBefore w:val="0"/>
        <w:widowControl w:val="0"/>
        <w:tabs>
          <w:tab w:val="left" w:pos="4830"/>
        </w:tabs>
        <w:kinsoku/>
        <w:wordWrap/>
        <w:overflowPunct/>
        <w:topLinePunct w:val="0"/>
        <w:bidi w:val="0"/>
        <w:snapToGrid w:val="0"/>
        <w:spacing w:before="0" w:after="0" w:line="336" w:lineRule="auto"/>
        <w:textAlignment w:val="auto"/>
        <w:rPr>
          <w:rFonts w:hint="eastAsia" w:ascii="微软雅黑" w:hAnsi="微软雅黑" w:eastAsia="微软雅黑" w:cs="微软雅黑"/>
          <w:b/>
          <w:bCs/>
          <w:color w:val="auto"/>
          <w:sz w:val="24"/>
          <w:szCs w:val="24"/>
          <w:highlight w:val="none"/>
          <w:u w:val="none"/>
        </w:rPr>
      </w:pPr>
      <w:bookmarkStart w:id="115" w:name="_Toc25563"/>
      <w:r>
        <w:rPr>
          <w:rFonts w:hint="eastAsia" w:ascii="微软雅黑" w:hAnsi="微软雅黑" w:eastAsia="微软雅黑" w:cs="微软雅黑"/>
          <w:b/>
          <w:bCs/>
          <w:color w:val="auto"/>
          <w:kern w:val="2"/>
          <w:sz w:val="24"/>
          <w:szCs w:val="24"/>
          <w:highlight w:val="none"/>
          <w:u w:val="none"/>
          <w:lang w:val="en-US" w:eastAsia="zh-CN" w:bidi="ar-SA"/>
        </w:rPr>
        <w:t>1</w:t>
      </w:r>
      <w:r>
        <w:rPr>
          <w:rFonts w:hint="eastAsia" w:ascii="微软雅黑" w:hAnsi="微软雅黑" w:eastAsia="微软雅黑" w:cs="微软雅黑"/>
          <w:b/>
          <w:bCs/>
          <w:color w:val="auto"/>
          <w:sz w:val="24"/>
          <w:szCs w:val="24"/>
          <w:highlight w:val="none"/>
          <w:u w:val="none"/>
        </w:rPr>
        <w:t>6.投标截止</w:t>
      </w:r>
      <w:bookmarkEnd w:id="111"/>
      <w:bookmarkEnd w:id="112"/>
      <w:bookmarkEnd w:id="113"/>
      <w:bookmarkEnd w:id="115"/>
    </w:p>
    <w:p w14:paraId="7602DAAD">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16.1</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b/>
          <w:bCs/>
          <w:color w:val="auto"/>
          <w:sz w:val="24"/>
          <w:szCs w:val="24"/>
          <w:highlight w:val="none"/>
          <w:u w:val="single"/>
          <w:lang w:val="en-US" w:eastAsia="zh-CN"/>
        </w:rPr>
        <w:t>投标人应在投标人须知资料表中规定的截止时间前，将投标文件递交到招标公告中规定的地点。解密时间30分钟，逾期未解密的视为投标无效。</w:t>
      </w:r>
      <w:bookmarkStart w:id="116" w:name="_Toc518923081"/>
      <w:bookmarkStart w:id="117" w:name="_Toc520356162"/>
      <w:bookmarkStart w:id="118" w:name="_Toc32748"/>
    </w:p>
    <w:p w14:paraId="11D5637B">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16.2</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p>
    <w:p w14:paraId="5BF8B460">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16.3   采购人和采购代理机构将拒绝接收在投标截止时间后上传的投标文件。</w:t>
      </w:r>
    </w:p>
    <w:p w14:paraId="60911F08">
      <w:pPr>
        <w:pStyle w:val="4"/>
        <w:pageBreakBefore w:val="0"/>
        <w:widowControl w:val="0"/>
        <w:tabs>
          <w:tab w:val="left" w:pos="4830"/>
        </w:tabs>
        <w:kinsoku/>
        <w:wordWrap/>
        <w:overflowPunct/>
        <w:topLinePunct w:val="0"/>
        <w:bidi w:val="0"/>
        <w:snapToGrid w:val="0"/>
        <w:spacing w:before="0" w:after="0" w:line="336" w:lineRule="auto"/>
        <w:ind w:left="1120" w:hanging="960" w:hangingChars="400"/>
        <w:textAlignment w:val="auto"/>
        <w:rPr>
          <w:rFonts w:hint="eastAsia" w:ascii="微软雅黑" w:hAnsi="微软雅黑" w:eastAsia="微软雅黑" w:cs="微软雅黑"/>
          <w:color w:val="auto"/>
          <w:sz w:val="24"/>
          <w:szCs w:val="24"/>
          <w:highlight w:val="none"/>
          <w:u w:val="none"/>
        </w:rPr>
      </w:pPr>
      <w:bookmarkStart w:id="119" w:name="_Toc9984"/>
      <w:r>
        <w:rPr>
          <w:rFonts w:hint="eastAsia" w:ascii="微软雅黑" w:hAnsi="微软雅黑" w:eastAsia="微软雅黑" w:cs="微软雅黑"/>
          <w:color w:val="auto"/>
          <w:sz w:val="24"/>
          <w:szCs w:val="24"/>
          <w:highlight w:val="none"/>
          <w:u w:val="none"/>
        </w:rPr>
        <w:t>17.投标文件的接收、修改与撤回</w:t>
      </w:r>
      <w:bookmarkEnd w:id="116"/>
      <w:bookmarkEnd w:id="117"/>
      <w:bookmarkEnd w:id="118"/>
      <w:bookmarkEnd w:id="119"/>
    </w:p>
    <w:p w14:paraId="263B0B59">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17.1</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在投标截止时间后上传投标文件的，采购人和采购代理机构将</w:t>
      </w:r>
      <w:r>
        <w:rPr>
          <w:rFonts w:hint="eastAsia" w:ascii="微软雅黑" w:hAnsi="微软雅黑" w:eastAsia="微软雅黑" w:cs="微软雅黑"/>
          <w:b/>
          <w:bCs/>
          <w:color w:val="auto"/>
          <w:sz w:val="24"/>
          <w:szCs w:val="24"/>
          <w:highlight w:val="none"/>
          <w:lang w:val="en-US" w:eastAsia="zh-CN"/>
        </w:rPr>
        <w:t>拒绝接收</w:t>
      </w:r>
      <w:r>
        <w:rPr>
          <w:rFonts w:hint="eastAsia" w:ascii="微软雅黑" w:hAnsi="微软雅黑" w:eastAsia="微软雅黑" w:cs="微软雅黑"/>
          <w:color w:val="auto"/>
          <w:sz w:val="24"/>
          <w:szCs w:val="24"/>
          <w:highlight w:val="none"/>
          <w:lang w:val="en-US" w:eastAsia="zh-CN"/>
        </w:rPr>
        <w:t>。</w:t>
      </w:r>
    </w:p>
    <w:p w14:paraId="7F3253AD">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17.2    递交投标文件以后，如果投标人要进行修改或撤回投标，投标人对投标文件的修改或撤回通知应按本须知规定编制。采购人和采购代理机构将予以接收，并视为投标文件的组成部分。</w:t>
      </w:r>
    </w:p>
    <w:p w14:paraId="19659E39">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17.3</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在投标截止期之后，采购人和采购代理机构不接受投标人主动对其投标文件做任何修改。</w:t>
      </w:r>
    </w:p>
    <w:p w14:paraId="209C9F76">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17.4</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采购人和采购代理机构对所接收投标文件概不退回。</w:t>
      </w:r>
      <w:bookmarkStart w:id="120" w:name="_Toc13557"/>
      <w:bookmarkStart w:id="121" w:name="_Toc216582809"/>
      <w:bookmarkStart w:id="122" w:name="_Toc518923082"/>
      <w:bookmarkStart w:id="123" w:name="_Toc520356163"/>
    </w:p>
    <w:p w14:paraId="7010F217">
      <w:pPr>
        <w:pStyle w:val="3"/>
        <w:pageBreakBefore w:val="0"/>
        <w:widowControl w:val="0"/>
        <w:kinsoku/>
        <w:wordWrap/>
        <w:overflowPunct/>
        <w:topLinePunct w:val="0"/>
        <w:bidi w:val="0"/>
        <w:snapToGrid w:val="0"/>
        <w:spacing w:before="0" w:line="336" w:lineRule="auto"/>
        <w:ind w:left="1079" w:leftChars="257" w:hanging="540"/>
        <w:textAlignment w:val="auto"/>
        <w:rPr>
          <w:rFonts w:hint="eastAsia" w:ascii="微软雅黑" w:hAnsi="微软雅黑" w:eastAsia="微软雅黑" w:cs="微软雅黑"/>
          <w:color w:val="auto"/>
          <w:sz w:val="24"/>
          <w:szCs w:val="24"/>
          <w:highlight w:val="none"/>
        </w:rPr>
      </w:pPr>
      <w:bookmarkStart w:id="124" w:name="_Toc15800"/>
      <w:r>
        <w:rPr>
          <w:rFonts w:hint="eastAsia" w:ascii="微软雅黑" w:hAnsi="微软雅黑" w:eastAsia="微软雅黑" w:cs="微软雅黑"/>
          <w:b/>
          <w:color w:val="auto"/>
          <w:sz w:val="24"/>
          <w:szCs w:val="24"/>
          <w:highlight w:val="none"/>
        </w:rPr>
        <w:t>五</w:t>
      </w:r>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rPr>
        <w:t>开标及评标</w:t>
      </w:r>
      <w:bookmarkEnd w:id="120"/>
      <w:bookmarkEnd w:id="121"/>
      <w:bookmarkEnd w:id="122"/>
      <w:bookmarkEnd w:id="123"/>
      <w:bookmarkEnd w:id="124"/>
    </w:p>
    <w:p w14:paraId="7E080F28">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25" w:name="_Toc9468"/>
      <w:bookmarkStart w:id="126" w:name="_Toc518923083"/>
      <w:bookmarkStart w:id="127" w:name="_Toc5578"/>
      <w:bookmarkStart w:id="128" w:name="_Toc520356164"/>
      <w:bookmarkStart w:id="129" w:name="_Toc520356166"/>
      <w:bookmarkStart w:id="130" w:name="_Toc518923085"/>
      <w:bookmarkStart w:id="131" w:name="_Toc30370"/>
      <w:r>
        <w:rPr>
          <w:rFonts w:hint="eastAsia" w:ascii="微软雅黑" w:hAnsi="微软雅黑" w:eastAsia="微软雅黑" w:cs="微软雅黑"/>
          <w:color w:val="auto"/>
          <w:sz w:val="24"/>
          <w:szCs w:val="24"/>
          <w:highlight w:val="none"/>
          <w:u w:val="none"/>
        </w:rPr>
        <w:t>18.开标</w:t>
      </w:r>
      <w:bookmarkEnd w:id="125"/>
      <w:bookmarkEnd w:id="126"/>
      <w:bookmarkEnd w:id="127"/>
      <w:bookmarkEnd w:id="128"/>
    </w:p>
    <w:p w14:paraId="4E638362">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采购人和采购代理机构将按</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 xml:space="preserve">中规定的开标时间和地点组织开标。  </w:t>
      </w:r>
    </w:p>
    <w:p w14:paraId="21A72095">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b/>
          <w:bCs/>
          <w:color w:val="auto"/>
          <w:sz w:val="24"/>
          <w:szCs w:val="24"/>
          <w:highlight w:val="none"/>
          <w:u w:val="single"/>
          <w:lang w:val="en-US" w:eastAsia="zh-CN"/>
        </w:rPr>
      </w:pPr>
      <w:bookmarkStart w:id="132" w:name="_Toc520356165"/>
      <w:r>
        <w:rPr>
          <w:rFonts w:hint="eastAsia" w:ascii="微软雅黑" w:hAnsi="微软雅黑" w:eastAsia="微软雅黑" w:cs="微软雅黑"/>
          <w:color w:val="auto"/>
          <w:sz w:val="24"/>
          <w:szCs w:val="24"/>
          <w:highlight w:val="none"/>
          <w:lang w:val="en-US" w:eastAsia="zh-CN"/>
        </w:rPr>
        <w:t xml:space="preserve">18.2   </w:t>
      </w:r>
      <w:r>
        <w:rPr>
          <w:rFonts w:hint="eastAsia" w:ascii="微软雅黑" w:hAnsi="微软雅黑" w:eastAsia="微软雅黑" w:cs="微软雅黑"/>
          <w:b/>
          <w:bCs/>
          <w:color w:val="auto"/>
          <w:sz w:val="24"/>
          <w:szCs w:val="24"/>
          <w:highlight w:val="none"/>
          <w:u w:val="single"/>
          <w:lang w:val="en-US" w:eastAsia="zh-CN"/>
        </w:rPr>
        <w:t>本项目实行电子投标文件，电子投标文件的有关要求按投标人须知资料表要求，投标人应该使用投标人CA锁对电子投标文件加密，否则，其投标文件将被拒绝评审。开标时，投标人必须使用加密该文件的CA锁，以便开标时对其电子投标文件进行解密，由于投标人自身原因未能成功导入评标系统的，均视为不响应招标文件，其投标文件将被拒绝评审。未按规定时间在招标文件要求的开评标系统解密成功的电子投标文件无效。</w:t>
      </w:r>
    </w:p>
    <w:p w14:paraId="754FE863">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b/>
          <w:bCs/>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lang w:val="en-US" w:eastAsia="zh-CN"/>
        </w:rPr>
        <w:t xml:space="preserve">18.3   </w:t>
      </w:r>
      <w:r>
        <w:rPr>
          <w:rFonts w:hint="eastAsia" w:ascii="微软雅黑" w:hAnsi="微软雅黑" w:eastAsia="微软雅黑" w:cs="微软雅黑"/>
          <w:b/>
          <w:bCs/>
          <w:color w:val="auto"/>
          <w:sz w:val="24"/>
          <w:szCs w:val="24"/>
          <w:highlight w:val="none"/>
          <w:u w:val="single"/>
          <w:lang w:val="en-US" w:eastAsia="zh-CN"/>
        </w:rPr>
        <w:t>投标人在规定时间内对投标文件进行解密，时长为30分钟。投标人解密失败或未在规定时间内解密，将无法参加下一阶段的投标，请投标人提前调试CA锁，确保开标过程中正常使用。</w:t>
      </w:r>
    </w:p>
    <w:p w14:paraId="630F95C1">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18.4   </w:t>
      </w:r>
      <w:r>
        <w:rPr>
          <w:rFonts w:hint="eastAsia" w:ascii="微软雅黑" w:hAnsi="微软雅黑" w:eastAsia="微软雅黑" w:cs="微软雅黑"/>
          <w:b/>
          <w:bCs/>
          <w:color w:val="auto"/>
          <w:sz w:val="24"/>
          <w:szCs w:val="24"/>
          <w:highlight w:val="none"/>
          <w:u w:val="single"/>
          <w:lang w:val="en-US" w:eastAsia="zh-CN"/>
        </w:rPr>
        <w:t>由采购代理机构开启开标记录，投标人须使用CA 锁在政采云平台对开标记录进行签章确认。</w:t>
      </w:r>
    </w:p>
    <w:p w14:paraId="5E4A1753">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18.5   </w:t>
      </w:r>
      <w:r>
        <w:rPr>
          <w:rFonts w:hint="eastAsia" w:ascii="微软雅黑" w:hAnsi="微软雅黑" w:eastAsia="微软雅黑" w:cs="微软雅黑"/>
          <w:b/>
          <w:bCs/>
          <w:color w:val="auto"/>
          <w:sz w:val="24"/>
          <w:szCs w:val="24"/>
          <w:highlight w:val="none"/>
          <w:u w:val="single"/>
          <w:lang w:val="en-US" w:eastAsia="zh-CN"/>
        </w:rPr>
        <w:t>采购人登录政采云平台对供应商的资格证明材料进行审查。</w:t>
      </w:r>
    </w:p>
    <w:p w14:paraId="5CF02053">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33" w:name="_Toc1457"/>
      <w:bookmarkStart w:id="134" w:name="_Toc518923084"/>
      <w:bookmarkStart w:id="135" w:name="_Toc17111"/>
      <w:r>
        <w:rPr>
          <w:rFonts w:hint="eastAsia" w:ascii="微软雅黑" w:hAnsi="微软雅黑" w:eastAsia="微软雅黑" w:cs="微软雅黑"/>
          <w:color w:val="auto"/>
          <w:sz w:val="24"/>
          <w:szCs w:val="24"/>
          <w:highlight w:val="none"/>
          <w:u w:val="none"/>
        </w:rPr>
        <w:t>19</w:t>
      </w:r>
      <w:bookmarkEnd w:id="132"/>
      <w:r>
        <w:rPr>
          <w:rFonts w:hint="eastAsia" w:ascii="微软雅黑" w:hAnsi="微软雅黑" w:eastAsia="微软雅黑" w:cs="微软雅黑"/>
          <w:color w:val="auto"/>
          <w:sz w:val="24"/>
          <w:szCs w:val="24"/>
          <w:highlight w:val="none"/>
          <w:u w:val="none"/>
        </w:rPr>
        <w:t>.资格审查及组建评标委员会</w:t>
      </w:r>
      <w:bookmarkEnd w:id="133"/>
      <w:bookmarkEnd w:id="134"/>
      <w:bookmarkEnd w:id="135"/>
    </w:p>
    <w:p w14:paraId="4D09BBF3">
      <w:pPr>
        <w:pageBreakBefore w:val="0"/>
        <w:widowControl w:val="0"/>
        <w:kinsoku/>
        <w:wordWrap/>
        <w:overflowPunct/>
        <w:topLinePunct w:val="0"/>
        <w:bidi w:val="0"/>
        <w:snapToGrid w:val="0"/>
        <w:spacing w:line="336" w:lineRule="auto"/>
        <w:ind w:left="112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19.1   </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依据法律法规和</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中规定的内容，对投标人的资格进行审查。未按要求提供资格审查资料的投标人或其中一项未通过的投标人，将视为资格审查不合格，未能通过资格审查的投标人不进入下一阶段的评审，将被认定为</w:t>
      </w:r>
      <w:r>
        <w:rPr>
          <w:rFonts w:hint="eastAsia" w:ascii="微软雅黑" w:hAnsi="微软雅黑" w:eastAsia="微软雅黑" w:cs="微软雅黑"/>
          <w:b/>
          <w:bCs/>
          <w:color w:val="auto"/>
          <w:sz w:val="24"/>
          <w:szCs w:val="24"/>
          <w:highlight w:val="none"/>
        </w:rPr>
        <w:t>无效投标</w:t>
      </w:r>
      <w:r>
        <w:rPr>
          <w:rFonts w:hint="eastAsia" w:ascii="微软雅黑" w:hAnsi="微软雅黑" w:eastAsia="微软雅黑" w:cs="微软雅黑"/>
          <w:color w:val="auto"/>
          <w:sz w:val="24"/>
          <w:szCs w:val="24"/>
          <w:highlight w:val="none"/>
        </w:rPr>
        <w:t>。</w:t>
      </w:r>
    </w:p>
    <w:p w14:paraId="223B1F25">
      <w:pPr>
        <w:pageBreakBefore w:val="0"/>
        <w:widowControl w:val="0"/>
        <w:kinsoku/>
        <w:wordWrap/>
        <w:overflowPunct/>
        <w:topLinePunct w:val="0"/>
        <w:bidi w:val="0"/>
        <w:snapToGrid w:val="0"/>
        <w:spacing w:line="336" w:lineRule="auto"/>
        <w:ind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通过资格审查的</w:t>
      </w:r>
      <w:r>
        <w:rPr>
          <w:rFonts w:hint="eastAsia" w:ascii="微软雅黑" w:hAnsi="微软雅黑" w:eastAsia="微软雅黑" w:cs="微软雅黑"/>
          <w:color w:val="auto"/>
          <w:sz w:val="24"/>
          <w:szCs w:val="24"/>
          <w:highlight w:val="none"/>
          <w:lang w:eastAsia="zh-CN"/>
        </w:rPr>
        <w:t>投标单位</w:t>
      </w:r>
      <w:r>
        <w:rPr>
          <w:rFonts w:hint="eastAsia" w:ascii="微软雅黑" w:hAnsi="微软雅黑" w:eastAsia="微软雅黑" w:cs="微软雅黑"/>
          <w:color w:val="auto"/>
          <w:sz w:val="24"/>
          <w:szCs w:val="24"/>
          <w:highlight w:val="none"/>
        </w:rPr>
        <w:t>少于不足三家的，不得评标。</w:t>
      </w:r>
    </w:p>
    <w:p w14:paraId="3A435F45">
      <w:pPr>
        <w:pageBreakBefore w:val="0"/>
        <w:widowControl w:val="0"/>
        <w:kinsoku/>
        <w:wordWrap/>
        <w:overflowPunct/>
        <w:topLinePunct w:val="0"/>
        <w:bidi w:val="0"/>
        <w:snapToGrid w:val="0"/>
        <w:spacing w:line="336" w:lineRule="auto"/>
        <w:ind w:left="105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19.2   采购人在</w:t>
      </w:r>
      <w:r>
        <w:rPr>
          <w:rFonts w:hint="eastAsia" w:ascii="微软雅黑" w:hAnsi="微软雅黑" w:eastAsia="微软雅黑" w:cs="微软雅黑"/>
          <w:color w:val="auto"/>
          <w:sz w:val="24"/>
          <w:szCs w:val="24"/>
          <w:highlight w:val="none"/>
          <w:lang w:eastAsia="zh-CN"/>
        </w:rPr>
        <w:t>资格审查</w:t>
      </w:r>
      <w:r>
        <w:rPr>
          <w:rFonts w:hint="eastAsia" w:ascii="微软雅黑" w:hAnsi="微软雅黑" w:eastAsia="微软雅黑" w:cs="微软雅黑"/>
          <w:color w:val="auto"/>
          <w:sz w:val="24"/>
          <w:szCs w:val="24"/>
          <w:highlight w:val="none"/>
        </w:rPr>
        <w:t>期间查询供应商的信用记录。供应商存在不良信用记录的，其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将被认定为</w:t>
      </w:r>
      <w:r>
        <w:rPr>
          <w:rFonts w:hint="eastAsia" w:ascii="微软雅黑" w:hAnsi="微软雅黑" w:eastAsia="微软雅黑" w:cs="微软雅黑"/>
          <w:b/>
          <w:bCs/>
          <w:color w:val="auto"/>
          <w:sz w:val="24"/>
          <w:szCs w:val="24"/>
          <w:highlight w:val="none"/>
          <w:lang w:eastAsia="zh-CN"/>
        </w:rPr>
        <w:t>无效投标</w:t>
      </w:r>
      <w:r>
        <w:rPr>
          <w:rFonts w:hint="eastAsia" w:ascii="微软雅黑" w:hAnsi="微软雅黑" w:eastAsia="微软雅黑" w:cs="微软雅黑"/>
          <w:color w:val="auto"/>
          <w:sz w:val="24"/>
          <w:szCs w:val="24"/>
          <w:highlight w:val="none"/>
        </w:rPr>
        <w:t>。</w:t>
      </w:r>
    </w:p>
    <w:p w14:paraId="75D5F35A">
      <w:pPr>
        <w:pageBreakBefore w:val="0"/>
        <w:widowControl w:val="0"/>
        <w:kinsoku/>
        <w:wordWrap/>
        <w:overflowPunct/>
        <w:topLinePunct w:val="0"/>
        <w:bidi w:val="0"/>
        <w:snapToGrid w:val="0"/>
        <w:spacing w:line="336" w:lineRule="auto"/>
        <w:ind w:left="1120" w:hanging="960" w:hangingChars="4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19.2.1  不良信用记录指：投标人参加采购活动前三年内，被“信用中国”网站列入失信被执行人和重大税收违法失信主体的、被“中国政府采购网”网站列入政府采购严重违法失信行为记录名单（处罚期限尚未届满的）的投标人；以及存在《中华人民共和国政府采购法实施条例》第十九条规定的行政处罚记录。</w:t>
      </w:r>
    </w:p>
    <w:p w14:paraId="6AB77172">
      <w:pPr>
        <w:pageBreakBefore w:val="0"/>
        <w:widowControl w:val="0"/>
        <w:kinsoku/>
        <w:wordWrap/>
        <w:overflowPunct/>
        <w:topLinePunct w:val="0"/>
        <w:bidi w:val="0"/>
        <w:snapToGrid w:val="0"/>
        <w:spacing w:line="336" w:lineRule="auto"/>
        <w:ind w:left="112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19.2.2  </w:t>
      </w:r>
      <w:r>
        <w:rPr>
          <w:rFonts w:hint="eastAsia" w:ascii="微软雅黑" w:hAnsi="微软雅黑" w:eastAsia="微软雅黑" w:cs="微软雅黑"/>
          <w:color w:val="auto"/>
          <w:sz w:val="24"/>
          <w:szCs w:val="24"/>
          <w:highlight w:val="none"/>
        </w:rPr>
        <w:t>查询及记录方式：采购人</w:t>
      </w:r>
      <w:r>
        <w:rPr>
          <w:rFonts w:hint="eastAsia" w:ascii="微软雅黑" w:hAnsi="微软雅黑" w:eastAsia="微软雅黑" w:cs="微软雅黑"/>
          <w:color w:val="auto"/>
          <w:sz w:val="24"/>
          <w:szCs w:val="24"/>
          <w:highlight w:val="none"/>
          <w:lang w:val="en-US" w:eastAsia="zh-CN"/>
        </w:rPr>
        <w:t>资格审查过程中</w:t>
      </w:r>
      <w:r>
        <w:rPr>
          <w:rFonts w:hint="eastAsia" w:ascii="微软雅黑" w:hAnsi="微软雅黑" w:eastAsia="微软雅黑" w:cs="微软雅黑"/>
          <w:color w:val="auto"/>
          <w:sz w:val="24"/>
          <w:szCs w:val="24"/>
          <w:highlight w:val="none"/>
        </w:rPr>
        <w:t>查询网页</w:t>
      </w:r>
      <w:r>
        <w:rPr>
          <w:rFonts w:hint="eastAsia" w:ascii="微软雅黑" w:hAnsi="微软雅黑" w:eastAsia="微软雅黑" w:cs="微软雅黑"/>
          <w:color w:val="auto"/>
          <w:sz w:val="24"/>
          <w:szCs w:val="24"/>
          <w:highlight w:val="none"/>
          <w:lang w:val="en-US" w:eastAsia="zh-CN"/>
        </w:rPr>
        <w:t>现场核查</w:t>
      </w:r>
      <w:r>
        <w:rPr>
          <w:rFonts w:hint="eastAsia" w:ascii="微软雅黑" w:hAnsi="微软雅黑" w:eastAsia="微软雅黑" w:cs="微软雅黑"/>
          <w:color w:val="auto"/>
          <w:sz w:val="24"/>
          <w:szCs w:val="24"/>
          <w:highlight w:val="none"/>
        </w:rPr>
        <w:t>。投标人不良信用记录以采购人或采购代理机构查询结果为准。</w:t>
      </w:r>
      <w:r>
        <w:rPr>
          <w:rFonts w:hint="eastAsia" w:ascii="微软雅黑" w:hAnsi="微软雅黑" w:eastAsia="微软雅黑" w:cs="微软雅黑"/>
          <w:color w:val="auto"/>
          <w:kern w:val="0"/>
          <w:sz w:val="24"/>
          <w:szCs w:val="24"/>
          <w:highlight w:val="none"/>
          <w:lang w:val="en-US" w:eastAsia="zh-CN" w:bidi="ar-SA"/>
        </w:rPr>
        <w:t>在本招标文件规定的查询时间之后，网站信息发生的任何变更均不再作为评标依据。</w:t>
      </w:r>
      <w:r>
        <w:rPr>
          <w:rFonts w:hint="eastAsia" w:ascii="微软雅黑" w:hAnsi="微软雅黑" w:eastAsia="微软雅黑" w:cs="微软雅黑"/>
          <w:color w:val="auto"/>
          <w:sz w:val="24"/>
          <w:szCs w:val="24"/>
          <w:highlight w:val="none"/>
          <w:lang w:val="en-US" w:eastAsia="zh-CN"/>
        </w:rPr>
        <w:t>投标人</w:t>
      </w:r>
      <w:r>
        <w:rPr>
          <w:rFonts w:hint="eastAsia" w:ascii="微软雅黑" w:hAnsi="微软雅黑" w:eastAsia="微软雅黑" w:cs="微软雅黑"/>
          <w:color w:val="auto"/>
          <w:sz w:val="24"/>
          <w:szCs w:val="24"/>
          <w:highlight w:val="none"/>
        </w:rPr>
        <w:t>自行提供的与网站信息不一致的其他证明材料亦不作为资格审查依据</w:t>
      </w:r>
      <w:r>
        <w:rPr>
          <w:rFonts w:hint="eastAsia" w:ascii="微软雅黑" w:hAnsi="微软雅黑" w:eastAsia="微软雅黑" w:cs="微软雅黑"/>
          <w:color w:val="auto"/>
          <w:sz w:val="24"/>
          <w:szCs w:val="24"/>
          <w:highlight w:val="none"/>
          <w:lang w:val="en-US" w:eastAsia="zh-CN"/>
        </w:rPr>
        <w:t>。</w:t>
      </w:r>
    </w:p>
    <w:p w14:paraId="7A0C0AEE">
      <w:pPr>
        <w:pageBreakBefore w:val="0"/>
        <w:widowControl w:val="0"/>
        <w:kinsoku/>
        <w:wordWrap/>
        <w:overflowPunct/>
        <w:topLinePunct w:val="0"/>
        <w:bidi w:val="0"/>
        <w:snapToGrid w:val="0"/>
        <w:spacing w:line="336" w:lineRule="auto"/>
        <w:ind w:left="991" w:hanging="849" w:hangingChars="354"/>
        <w:textAlignment w:val="auto"/>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color w:val="auto"/>
          <w:sz w:val="24"/>
          <w:szCs w:val="24"/>
          <w:highlight w:val="none"/>
        </w:rPr>
        <w:t>19.3   按照《中华人民共和国政府采购法》、《中华人民共和国政府采购法实施条例》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《政府采购货物和服务招标投标管理办法》及本项目本级和上级财政部门的有关规定依法组建的评标委员会，负责本项目评标工作。</w:t>
      </w:r>
      <w:r>
        <w:rPr>
          <w:rFonts w:hint="eastAsia" w:ascii="微软雅黑" w:hAnsi="微软雅黑" w:eastAsia="微软雅黑" w:cs="微软雅黑"/>
          <w:b/>
          <w:bCs/>
          <w:color w:val="auto"/>
          <w:sz w:val="24"/>
          <w:szCs w:val="24"/>
          <w:highlight w:val="none"/>
        </w:rPr>
        <w:t>本项目评标委员会由</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人组成（依法从政采云平台专家库随机抽取专家</w:t>
      </w: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名）。</w:t>
      </w:r>
    </w:p>
    <w:p w14:paraId="675BC195">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b w:val="0"/>
          <w:bCs/>
          <w:color w:val="auto"/>
          <w:sz w:val="24"/>
          <w:szCs w:val="24"/>
          <w:highlight w:val="none"/>
          <w:bdr w:val="single" w:color="auto" w:sz="4" w:space="0"/>
        </w:rPr>
      </w:pPr>
      <w:bookmarkStart w:id="136" w:name="_Toc15896"/>
      <w:r>
        <w:rPr>
          <w:rFonts w:hint="eastAsia" w:ascii="微软雅黑" w:hAnsi="微软雅黑" w:eastAsia="微软雅黑" w:cs="微软雅黑"/>
          <w:color w:val="auto"/>
          <w:sz w:val="24"/>
          <w:szCs w:val="24"/>
          <w:highlight w:val="none"/>
          <w:u w:val="none"/>
        </w:rPr>
        <w:t>20.投标文件的</w:t>
      </w:r>
      <w:bookmarkEnd w:id="129"/>
      <w:r>
        <w:rPr>
          <w:rFonts w:hint="eastAsia" w:ascii="微软雅黑" w:hAnsi="微软雅黑" w:eastAsia="微软雅黑" w:cs="微软雅黑"/>
          <w:color w:val="auto"/>
          <w:sz w:val="24"/>
          <w:szCs w:val="24"/>
          <w:highlight w:val="none"/>
          <w:u w:val="none"/>
        </w:rPr>
        <w:t>符合性审查与澄清</w:t>
      </w:r>
      <w:bookmarkEnd w:id="130"/>
      <w:bookmarkEnd w:id="131"/>
      <w:bookmarkEnd w:id="136"/>
    </w:p>
    <w:p w14:paraId="1FF98B5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137" w:name="_Hlt522424701"/>
      <w:bookmarkEnd w:id="137"/>
      <w:bookmarkStart w:id="138" w:name="_Toc520356167"/>
    </w:p>
    <w:p w14:paraId="0664E4D2">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投标文件的澄清</w:t>
      </w:r>
    </w:p>
    <w:p w14:paraId="57C21B3B">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3572E49C">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20.2.2  投标人的澄清、说明或补正将作为投标文件的一部分。评标委员会要求</w:t>
      </w:r>
      <w:r>
        <w:rPr>
          <w:rFonts w:hint="eastAsia" w:ascii="微软雅黑" w:hAnsi="微软雅黑" w:eastAsia="微软雅黑" w:cs="微软雅黑"/>
          <w:color w:val="auto"/>
          <w:sz w:val="24"/>
          <w:szCs w:val="24"/>
          <w:highlight w:val="none"/>
          <w:lang w:eastAsia="zh-CN"/>
        </w:rPr>
        <w:t>投标人</w:t>
      </w:r>
      <w:r>
        <w:rPr>
          <w:rFonts w:hint="eastAsia" w:ascii="微软雅黑" w:hAnsi="微软雅黑" w:eastAsia="微软雅黑" w:cs="微软雅黑"/>
          <w:color w:val="auto"/>
          <w:sz w:val="24"/>
          <w:szCs w:val="24"/>
          <w:highlight w:val="none"/>
        </w:rPr>
        <w:t>澄清、说明或者更正投标文件应当以书面形式作出。</w:t>
      </w:r>
      <w:r>
        <w:rPr>
          <w:rFonts w:hint="eastAsia" w:ascii="微软雅黑" w:hAnsi="微软雅黑" w:eastAsia="微软雅黑" w:cs="微软雅黑"/>
          <w:color w:val="auto"/>
          <w:sz w:val="24"/>
          <w:szCs w:val="24"/>
          <w:highlight w:val="none"/>
          <w:lang w:eastAsia="zh-CN"/>
        </w:rPr>
        <w:t>投标人</w:t>
      </w:r>
      <w:r>
        <w:rPr>
          <w:rFonts w:hint="eastAsia" w:ascii="微软雅黑" w:hAnsi="微软雅黑" w:eastAsia="微软雅黑" w:cs="微软雅黑"/>
          <w:color w:val="auto"/>
          <w:sz w:val="24"/>
          <w:szCs w:val="24"/>
          <w:highlight w:val="none"/>
        </w:rPr>
        <w:t>的澄清、说明或者更正应当由法定代表人或其授权代表签字或加盖公章。由授权代表签字的，应当附法定代表人授权书。供应商为自然人的，应当由本人签字并附身份证明。</w:t>
      </w:r>
    </w:p>
    <w:p w14:paraId="1192094B">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投标文件报价出现前后不一致的，按照下列规定修正：</w:t>
      </w:r>
    </w:p>
    <w:p w14:paraId="06D34A60">
      <w:pPr>
        <w:pageBreakBefore w:val="0"/>
        <w:widowControl w:val="0"/>
        <w:kinsoku/>
        <w:wordWrap/>
        <w:overflowPunct/>
        <w:topLinePunct w:val="0"/>
        <w:bidi w:val="0"/>
        <w:snapToGrid w:val="0"/>
        <w:spacing w:line="336" w:lineRule="auto"/>
        <w:ind w:left="1020" w:hanging="1020" w:hangingChars="4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（一）投标文件中开标一览表（报价表）内容与投标文件中相应内容不一致的，以开标一览表（报价表）为准；</w:t>
      </w:r>
    </w:p>
    <w:p w14:paraId="42D0C77D">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（二）大写金额和小写金额不一致的，以大写金额为准；</w:t>
      </w:r>
    </w:p>
    <w:p w14:paraId="30F5D2C3">
      <w:pPr>
        <w:pageBreakBefore w:val="0"/>
        <w:widowControl w:val="0"/>
        <w:kinsoku/>
        <w:wordWrap/>
        <w:overflowPunct/>
        <w:topLinePunct w:val="0"/>
        <w:bidi w:val="0"/>
        <w:snapToGrid w:val="0"/>
        <w:spacing w:line="336" w:lineRule="auto"/>
        <w:ind w:left="1020" w:hanging="1020" w:hangingChars="4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（三）单价金额小数点或者百分比有明显错位的，以开标一览表的总价为准，并修改单价；</w:t>
      </w:r>
    </w:p>
    <w:p w14:paraId="4E1CA6E5">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（四）总价金额与按单价汇总金额不一致的，以单价金额计算结果为准。</w:t>
      </w:r>
    </w:p>
    <w:p w14:paraId="7A9E2BC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同时出现两种以上不一致的，按照前款规定的顺序修正。修正后的报价按照第20.2条的规定经投标人确认后产生约束力，投标人不确认的，将被认定为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62C16CCF">
      <w:pPr>
        <w:pageBreakBefore w:val="0"/>
        <w:widowControl w:val="0"/>
        <w:kinsoku/>
        <w:wordWrap/>
        <w:overflowPunct/>
        <w:topLinePunct w:val="0"/>
        <w:bidi w:val="0"/>
        <w:snapToGrid w:val="0"/>
        <w:spacing w:line="336" w:lineRule="auto"/>
        <w:ind w:left="735" w:leftChars="350" w:firstLine="120" w:firstLineChars="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对不同文字文本投标文件的解释发生异议的，以中文文本为准。</w:t>
      </w:r>
    </w:p>
    <w:p w14:paraId="2F7AAF70">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39" w:name="_Toc14928"/>
      <w:bookmarkStart w:id="140" w:name="_Toc7822"/>
      <w:bookmarkStart w:id="141" w:name="_Toc518923086"/>
      <w:r>
        <w:rPr>
          <w:rFonts w:hint="eastAsia" w:ascii="微软雅黑" w:hAnsi="微软雅黑" w:eastAsia="微软雅黑" w:cs="微软雅黑"/>
          <w:color w:val="auto"/>
          <w:sz w:val="24"/>
          <w:szCs w:val="24"/>
          <w:highlight w:val="none"/>
          <w:u w:val="none"/>
        </w:rPr>
        <w:t>21.投标偏离</w:t>
      </w:r>
      <w:bookmarkEnd w:id="139"/>
      <w:bookmarkEnd w:id="140"/>
      <w:bookmarkEnd w:id="141"/>
    </w:p>
    <w:p w14:paraId="54D349C4">
      <w:pPr>
        <w:pageBreakBefore w:val="0"/>
        <w:widowControl w:val="0"/>
        <w:kinsoku/>
        <w:wordWrap/>
        <w:overflowPunct/>
        <w:topLinePunct w:val="0"/>
        <w:bidi w:val="0"/>
        <w:snapToGrid w:val="0"/>
        <w:spacing w:line="336" w:lineRule="auto"/>
        <w:ind w:left="847" w:leftChars="99" w:hanging="640" w:hangingChars="26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评标委员会可以接受投标文件中不构成实质性偏离的不正规或不一致。</w:t>
      </w:r>
    </w:p>
    <w:p w14:paraId="219936CB">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lang w:eastAsia="zh-CN"/>
        </w:rPr>
      </w:pPr>
      <w:bookmarkStart w:id="142" w:name="_Toc518923087"/>
      <w:bookmarkStart w:id="143" w:name="_Toc31926"/>
      <w:bookmarkStart w:id="144" w:name="_Toc14896"/>
      <w:r>
        <w:rPr>
          <w:rFonts w:hint="eastAsia" w:ascii="微软雅黑" w:hAnsi="微软雅黑" w:eastAsia="微软雅黑" w:cs="微软雅黑"/>
          <w:color w:val="auto"/>
          <w:sz w:val="24"/>
          <w:szCs w:val="24"/>
          <w:highlight w:val="none"/>
          <w:u w:val="none"/>
        </w:rPr>
        <w:t>22.</w:t>
      </w:r>
      <w:bookmarkEnd w:id="142"/>
      <w:r>
        <w:rPr>
          <w:rFonts w:hint="eastAsia" w:ascii="微软雅黑" w:hAnsi="微软雅黑" w:eastAsia="微软雅黑" w:cs="微软雅黑"/>
          <w:b/>
          <w:color w:val="auto"/>
          <w:sz w:val="24"/>
          <w:szCs w:val="24"/>
          <w:highlight w:val="none"/>
          <w:u w:val="none"/>
          <w:lang w:eastAsia="zh-CN"/>
        </w:rPr>
        <w:t>投标无效</w:t>
      </w:r>
      <w:bookmarkEnd w:id="143"/>
      <w:bookmarkEnd w:id="144"/>
    </w:p>
    <w:p w14:paraId="4B2D1BCB">
      <w:pPr>
        <w:pageBreakBefore w:val="0"/>
        <w:widowControl w:val="0"/>
        <w:kinsoku/>
        <w:wordWrap/>
        <w:overflowPunct/>
        <w:topLinePunct w:val="0"/>
        <w:bidi w:val="0"/>
        <w:snapToGrid w:val="0"/>
        <w:spacing w:line="336" w:lineRule="auto"/>
        <w:ind w:left="840" w:hanging="960" w:hanging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。投标人不得通过修正或撤销不符合要求的偏离从而使其投标成为实质上响应的投标。</w:t>
      </w:r>
    </w:p>
    <w:p w14:paraId="6CE6464E">
      <w:pPr>
        <w:pageBreakBefore w:val="0"/>
        <w:widowControl w:val="0"/>
        <w:kinsoku/>
        <w:wordWrap/>
        <w:overflowPunct/>
        <w:topLinePunct w:val="0"/>
        <w:bidi w:val="0"/>
        <w:snapToGrid w:val="0"/>
        <w:spacing w:line="336" w:lineRule="auto"/>
        <w:ind w:left="791" w:leftChars="377"/>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评标委员会决定投标的响应性只根据招标文件要求、投标文件内容及财政主管部门指定相关信息发布媒体。</w:t>
      </w:r>
    </w:p>
    <w:p w14:paraId="2C5C30B6">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如发现下列情况之一的，其投标将被认定为</w:t>
      </w:r>
      <w:r>
        <w:rPr>
          <w:rFonts w:hint="eastAsia" w:ascii="微软雅黑" w:hAnsi="微软雅黑" w:eastAsia="微软雅黑" w:cs="微软雅黑"/>
          <w:b/>
          <w:color w:val="auto"/>
          <w:sz w:val="24"/>
          <w:szCs w:val="24"/>
          <w:highlight w:val="none"/>
          <w:lang w:eastAsia="zh-CN"/>
        </w:rPr>
        <w:t>投标无效</w:t>
      </w:r>
      <w:r>
        <w:rPr>
          <w:rFonts w:hint="eastAsia" w:ascii="微软雅黑" w:hAnsi="微软雅黑" w:eastAsia="微软雅黑" w:cs="微软雅黑"/>
          <w:color w:val="auto"/>
          <w:sz w:val="24"/>
          <w:szCs w:val="24"/>
          <w:highlight w:val="none"/>
        </w:rPr>
        <w:t>：</w:t>
      </w:r>
    </w:p>
    <w:p w14:paraId="53F044F4">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lang w:eastAsia="zh-CN"/>
        </w:rPr>
      </w:pPr>
      <w:bookmarkStart w:id="145" w:name="_Toc518923088"/>
      <w:bookmarkStart w:id="146" w:name="_Toc23137"/>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lang w:eastAsia="zh-CN"/>
        </w:rPr>
        <w:t>未按招标文件规定的形式和金额提交投标保证金的；</w:t>
      </w:r>
    </w:p>
    <w:p w14:paraId="49A805A7">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（2）</w:t>
      </w:r>
      <w:r>
        <w:rPr>
          <w:rFonts w:hint="eastAsia" w:ascii="微软雅黑" w:hAnsi="微软雅黑" w:eastAsia="微软雅黑" w:cs="微软雅黑"/>
          <w:b/>
          <w:bCs/>
          <w:color w:val="auto"/>
          <w:sz w:val="24"/>
          <w:szCs w:val="24"/>
          <w:highlight w:val="none"/>
          <w:lang w:eastAsia="zh-CN"/>
        </w:rPr>
        <w:t>未按照招标文件规定要求签署、盖章的；</w:t>
      </w:r>
    </w:p>
    <w:p w14:paraId="396197AA">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lang w:eastAsia="zh-CN"/>
        </w:rPr>
        <w:t>未满足招标文件中技术条款的实质性要求；</w:t>
      </w:r>
    </w:p>
    <w:p w14:paraId="7B431BEE">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lang w:eastAsia="zh-CN"/>
        </w:rPr>
        <w:t>与其他投标人串通投标，或者与采购人串通投标；</w:t>
      </w:r>
    </w:p>
    <w:p w14:paraId="2DAFA187">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lang w:eastAsia="zh-CN"/>
        </w:rPr>
        <w:t>属于招标文件规定的其他投标无效情形；</w:t>
      </w:r>
    </w:p>
    <w:p w14:paraId="6D4AC83C">
      <w:pPr>
        <w:pageBreakBefore w:val="0"/>
        <w:widowControl w:val="0"/>
        <w:numPr>
          <w:ilvl w:val="0"/>
          <w:numId w:val="0"/>
        </w:numPr>
        <w:kinsoku/>
        <w:wordWrap/>
        <w:overflowPunct/>
        <w:topLinePunct w:val="0"/>
        <w:bidi w:val="0"/>
        <w:adjustRightInd w:val="0"/>
        <w:snapToGrid w:val="0"/>
        <w:spacing w:line="336" w:lineRule="auto"/>
        <w:ind w:left="1135" w:leftChars="312" w:hanging="480" w:hangingChars="2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lang w:eastAsia="zh-CN"/>
        </w:rPr>
        <w:t>评标委员会认为投标人的报价明显低于其他通过符合性检查投标人的报价，有可能影响履约的，且投标人未按照规定证明其报价合理性的；</w:t>
      </w:r>
    </w:p>
    <w:p w14:paraId="6B22446F">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lang w:eastAsia="zh-CN"/>
        </w:rPr>
        <w:t>投标文件含有采购人不能接受的附加条件的；</w:t>
      </w:r>
    </w:p>
    <w:p w14:paraId="5C5212FC">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lang w:eastAsia="zh-CN"/>
        </w:rPr>
        <w:t>不符合法规和招标文件中规定的其他实质性要求的。</w:t>
      </w:r>
    </w:p>
    <w:p w14:paraId="68CBD845">
      <w:pPr>
        <w:pStyle w:val="4"/>
        <w:pageBreakBefore w:val="0"/>
        <w:kinsoku/>
        <w:overflowPunct/>
        <w:topLinePunct w:val="0"/>
        <w:bidi w:val="0"/>
        <w:snapToGrid w:val="0"/>
        <w:spacing w:before="0" w:after="0" w:line="312" w:lineRule="auto"/>
        <w:ind w:left="720" w:hanging="720" w:hangingChars="300"/>
        <w:textAlignment w:val="auto"/>
        <w:rPr>
          <w:rFonts w:hint="eastAsia" w:ascii="微软雅黑" w:hAnsi="微软雅黑" w:eastAsia="微软雅黑" w:cs="微软雅黑"/>
          <w:color w:val="auto"/>
          <w:sz w:val="24"/>
          <w:szCs w:val="24"/>
          <w:highlight w:val="none"/>
          <w:u w:val="none"/>
          <w:lang w:val="en-US" w:eastAsia="zh-CN"/>
        </w:rPr>
      </w:pPr>
      <w:bookmarkStart w:id="147" w:name="_Toc218"/>
      <w:r>
        <w:rPr>
          <w:rFonts w:hint="eastAsia" w:ascii="微软雅黑" w:hAnsi="微软雅黑" w:eastAsia="微软雅黑" w:cs="微软雅黑"/>
          <w:color w:val="auto"/>
          <w:sz w:val="24"/>
          <w:szCs w:val="24"/>
          <w:highlight w:val="none"/>
          <w:u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bookmarkEnd w:id="147"/>
    </w:p>
    <w:p w14:paraId="4E608B86">
      <w:pPr>
        <w:pageBreakBefore w:val="0"/>
        <w:widowControl w:val="0"/>
        <w:numPr>
          <w:ilvl w:val="0"/>
          <w:numId w:val="0"/>
        </w:numPr>
        <w:kinsoku/>
        <w:wordWrap/>
        <w:overflowPunct/>
        <w:topLinePunct w:val="0"/>
        <w:bidi w:val="0"/>
        <w:adjustRightInd w:val="0"/>
        <w:snapToGrid w:val="0"/>
        <w:spacing w:line="336" w:lineRule="auto"/>
        <w:ind w:left="1135" w:leftChars="312" w:hanging="480" w:hangingChars="2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（1）投标人直接或者间接从采购人或者采购代理机构处获得其他供应商的相关情况并修改其投标文件或者投标文件；</w:t>
      </w:r>
    </w:p>
    <w:p w14:paraId="4D3D04DC">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（2）投标人按照采购人或者采购代理机构的授意撤换、修改投标文件或者投标文件；</w:t>
      </w:r>
    </w:p>
    <w:p w14:paraId="03E07B73">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（3）投标人之间协商报价、技术方案等投标文件或者投标文件的实质性内容；</w:t>
      </w:r>
    </w:p>
    <w:p w14:paraId="731FD017">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（4）属于同一集团、协会、商会等组织成员的投标人按照该组织要求协同参加政府采购活动；</w:t>
      </w:r>
    </w:p>
    <w:p w14:paraId="57844EA2">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（5）投标人之间事先约定由某一特定投标人中标、成交；</w:t>
      </w:r>
    </w:p>
    <w:p w14:paraId="6E0E47E9">
      <w:pPr>
        <w:pageBreakBefore w:val="0"/>
        <w:widowControl w:val="0"/>
        <w:numPr>
          <w:ilvl w:val="0"/>
          <w:numId w:val="0"/>
        </w:numPr>
        <w:kinsoku/>
        <w:wordWrap/>
        <w:overflowPunct/>
        <w:topLinePunct w:val="0"/>
        <w:bidi w:val="0"/>
        <w:adjustRightInd w:val="0"/>
        <w:snapToGrid w:val="0"/>
        <w:spacing w:line="336" w:lineRule="auto"/>
        <w:ind w:firstLine="720" w:firstLineChars="3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（6）投标人之间商定部分投标人放弃参加政府采购活动或者放弃中标、成交；</w:t>
      </w:r>
    </w:p>
    <w:p w14:paraId="241CE292">
      <w:pPr>
        <w:pageBreakBefore w:val="0"/>
        <w:widowControl w:val="0"/>
        <w:numPr>
          <w:ilvl w:val="0"/>
          <w:numId w:val="0"/>
        </w:numPr>
        <w:kinsoku/>
        <w:wordWrap/>
        <w:overflowPunct/>
        <w:topLinePunct w:val="0"/>
        <w:bidi w:val="0"/>
        <w:adjustRightInd w:val="0"/>
        <w:snapToGrid w:val="0"/>
        <w:spacing w:line="336" w:lineRule="auto"/>
        <w:ind w:left="1135" w:leftChars="312" w:hanging="480" w:hangingChars="200"/>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（7）投标人与采购人或者采购代理机构之间、投标人相互之间，为谋求特定投标人中标、成交或者排斥其他投标人的其他串通行为。</w:t>
      </w:r>
    </w:p>
    <w:p w14:paraId="00452F76">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b/>
          <w:color w:val="auto"/>
          <w:sz w:val="24"/>
          <w:szCs w:val="24"/>
          <w:highlight w:val="none"/>
          <w:u w:val="none"/>
        </w:rPr>
      </w:pPr>
      <w:bookmarkStart w:id="148" w:name="_Toc21804"/>
      <w:r>
        <w:rPr>
          <w:rFonts w:hint="eastAsia" w:ascii="微软雅黑" w:hAnsi="微软雅黑" w:eastAsia="微软雅黑" w:cs="微软雅黑"/>
          <w:b/>
          <w:color w:val="auto"/>
          <w:sz w:val="24"/>
          <w:szCs w:val="24"/>
          <w:highlight w:val="none"/>
          <w:u w:val="none"/>
        </w:rPr>
        <w:t>23</w:t>
      </w:r>
      <w:bookmarkEnd w:id="138"/>
      <w:r>
        <w:rPr>
          <w:rFonts w:hint="eastAsia" w:ascii="微软雅黑" w:hAnsi="微软雅黑" w:eastAsia="微软雅黑" w:cs="微软雅黑"/>
          <w:b/>
          <w:color w:val="auto"/>
          <w:sz w:val="24"/>
          <w:szCs w:val="24"/>
          <w:highlight w:val="none"/>
          <w:u w:val="none"/>
        </w:rPr>
        <w:t>.比较与评价</w:t>
      </w:r>
      <w:bookmarkEnd w:id="145"/>
      <w:bookmarkEnd w:id="146"/>
      <w:bookmarkEnd w:id="148"/>
    </w:p>
    <w:p w14:paraId="3FAFE005">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经符合性审查合格的投标文件，评标委员会将根据招标文件确定的评标方法和标准，对其技术部分和商务部分作进一步的比较和评价。</w:t>
      </w:r>
    </w:p>
    <w:p w14:paraId="0EF8CE5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23.2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评标严格按照招标文件的要求和条件进行。根据实际情况，在</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中规定采用下列一种评标方法，详细评标标准见招标文件第六章：</w:t>
      </w:r>
    </w:p>
    <w:p w14:paraId="001D6C8B">
      <w:pPr>
        <w:pStyle w:val="15"/>
        <w:pageBreakBefore w:val="0"/>
        <w:widowControl w:val="0"/>
        <w:kinsoku/>
        <w:wordWrap/>
        <w:overflowPunct/>
        <w:topLinePunct w:val="0"/>
        <w:bidi w:val="0"/>
        <w:snapToGrid w:val="0"/>
        <w:spacing w:line="336" w:lineRule="auto"/>
        <w:ind w:left="899" w:leftChars="342" w:hanging="181"/>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最低评标价法，是指投标文件满足招标文件全部实质性要求，且投标报价最低的投标人为中标候选人的评标方法。</w:t>
      </w:r>
    </w:p>
    <w:p w14:paraId="22AB766F">
      <w:pPr>
        <w:pStyle w:val="15"/>
        <w:pageBreakBefore w:val="0"/>
        <w:widowControl w:val="0"/>
        <w:kinsoku/>
        <w:wordWrap/>
        <w:overflowPunct/>
        <w:topLinePunct w:val="0"/>
        <w:bidi w:val="0"/>
        <w:snapToGrid w:val="0"/>
        <w:spacing w:line="336" w:lineRule="auto"/>
        <w:ind w:left="898" w:leftChars="342" w:hanging="1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综合评分法，是指投标文件满足招标文件全部实质性要求，且按照评审因素的量化指标评审得分最高的投标人为中标候选人的评标方法。</w:t>
      </w:r>
    </w:p>
    <w:p w14:paraId="6A1A1B8C">
      <w:pPr>
        <w:pStyle w:val="15"/>
        <w:pageBreakBefore w:val="0"/>
        <w:widowControl w:val="0"/>
        <w:kinsoku/>
        <w:wordWrap/>
        <w:overflowPunct/>
        <w:topLinePunct w:val="0"/>
        <w:bidi w:val="0"/>
        <w:snapToGrid w:val="0"/>
        <w:spacing w:line="336" w:lineRule="auto"/>
        <w:ind w:firstLine="960" w:firstLineChars="400"/>
        <w:textAlignment w:val="auto"/>
        <w:rPr>
          <w:rFonts w:hint="eastAsia" w:ascii="微软雅黑" w:hAnsi="微软雅黑" w:eastAsia="微软雅黑" w:cs="微软雅黑"/>
          <w:b/>
          <w:bCs/>
          <w:color w:val="auto"/>
          <w:sz w:val="24"/>
          <w:szCs w:val="24"/>
          <w:highlight w:val="none"/>
          <w:u w:val="single"/>
          <w:lang w:eastAsia="zh-CN"/>
        </w:rPr>
      </w:pPr>
      <w:r>
        <w:rPr>
          <w:rFonts w:hint="eastAsia" w:ascii="微软雅黑" w:hAnsi="微软雅黑" w:eastAsia="微软雅黑" w:cs="微软雅黑"/>
          <w:b/>
          <w:bCs/>
          <w:color w:val="auto"/>
          <w:sz w:val="24"/>
          <w:szCs w:val="24"/>
          <w:highlight w:val="none"/>
          <w:u w:val="single"/>
        </w:rPr>
        <w:t>本项目采用招标方式：公开招标，评</w:t>
      </w:r>
      <w:r>
        <w:rPr>
          <w:rFonts w:hint="eastAsia" w:ascii="微软雅黑" w:hAnsi="微软雅黑" w:eastAsia="微软雅黑" w:cs="微软雅黑"/>
          <w:b/>
          <w:bCs/>
          <w:color w:val="auto"/>
          <w:sz w:val="24"/>
          <w:szCs w:val="24"/>
          <w:highlight w:val="none"/>
          <w:u w:val="single"/>
          <w:lang w:eastAsia="zh-CN"/>
        </w:rPr>
        <w:t>标</w:t>
      </w:r>
      <w:r>
        <w:rPr>
          <w:rFonts w:hint="eastAsia" w:ascii="微软雅黑" w:hAnsi="微软雅黑" w:eastAsia="微软雅黑" w:cs="微软雅黑"/>
          <w:b/>
          <w:bCs/>
          <w:color w:val="auto"/>
          <w:sz w:val="24"/>
          <w:szCs w:val="24"/>
          <w:highlight w:val="none"/>
          <w:u w:val="single"/>
        </w:rPr>
        <w:t>方法：综合评分法</w:t>
      </w:r>
      <w:r>
        <w:rPr>
          <w:rFonts w:hint="eastAsia" w:ascii="微软雅黑" w:hAnsi="微软雅黑" w:eastAsia="微软雅黑" w:cs="微软雅黑"/>
          <w:b/>
          <w:bCs/>
          <w:color w:val="auto"/>
          <w:sz w:val="24"/>
          <w:szCs w:val="24"/>
          <w:highlight w:val="none"/>
          <w:u w:val="single"/>
          <w:lang w:eastAsia="zh-CN"/>
        </w:rPr>
        <w:t>。</w:t>
      </w:r>
    </w:p>
    <w:p w14:paraId="0D0C9466">
      <w:pPr>
        <w:pStyle w:val="15"/>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23.3   本项目根据《政府采购促进中小企业发展管理办法》（财库[2020]46 号）、关于进一步加大政府采购支持中小企业力度的通知财库〔2022〕19号，《财政部司法部关于政府采购支持监狱企业发展有关问题的通知》（财库〔2014〕68 号）和《三部门联合发布关于促进残疾人就业政府采购政策的通知》（财库〔2017〕141 号）的规定，对满足价格扣除条件且在响应文件中提交了</w:t>
      </w:r>
      <w:r>
        <w:rPr>
          <w:rFonts w:hint="eastAsia" w:ascii="微软雅黑" w:hAnsi="微软雅黑" w:eastAsia="微软雅黑" w:cs="微软雅黑"/>
          <w:color w:val="auto"/>
          <w:sz w:val="24"/>
          <w:szCs w:val="24"/>
          <w:highlight w:val="none"/>
          <w:lang w:eastAsia="zh-CN"/>
        </w:rPr>
        <w:t>《中小企业声明函》</w:t>
      </w:r>
      <w:r>
        <w:rPr>
          <w:rFonts w:hint="eastAsia" w:ascii="微软雅黑" w:hAnsi="微软雅黑" w:eastAsia="微软雅黑" w:cs="微软雅黑"/>
          <w:color w:val="auto"/>
          <w:sz w:val="24"/>
          <w:szCs w:val="24"/>
          <w:highlight w:val="none"/>
        </w:rPr>
        <w:t>或省级以上监狱管理局、戒毒管理局（含新疆生产建设兵团）出具的属于监狱企业的证明文件的供应商，其</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报价扣除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10% </w:t>
      </w:r>
      <w:r>
        <w:rPr>
          <w:rFonts w:hint="eastAsia" w:ascii="微软雅黑" w:hAnsi="微软雅黑" w:eastAsia="微软雅黑" w:cs="微软雅黑"/>
          <w:color w:val="auto"/>
          <w:sz w:val="24"/>
          <w:szCs w:val="24"/>
          <w:highlight w:val="none"/>
        </w:rPr>
        <w:t>后参与评审。对于同时属于小微企业、监狱企业或残疾人福利性单位的，不重复进行投标报价扣除。具体办法详见</w:t>
      </w:r>
      <w:r>
        <w:rPr>
          <w:rFonts w:hint="eastAsia" w:ascii="微软雅黑" w:hAnsi="微软雅黑" w:eastAsia="微软雅黑" w:cs="微软雅黑"/>
          <w:color w:val="auto"/>
          <w:sz w:val="24"/>
          <w:szCs w:val="24"/>
          <w:highlight w:val="none"/>
          <w:lang w:eastAsia="zh-CN"/>
        </w:rPr>
        <w:t>招标</w:t>
      </w:r>
      <w:r>
        <w:rPr>
          <w:rFonts w:hint="eastAsia" w:ascii="微软雅黑" w:hAnsi="微软雅黑" w:eastAsia="微软雅黑" w:cs="微软雅黑"/>
          <w:color w:val="auto"/>
          <w:sz w:val="24"/>
          <w:szCs w:val="24"/>
          <w:highlight w:val="none"/>
        </w:rPr>
        <w:t>文件第6章。</w:t>
      </w:r>
    </w:p>
    <w:p w14:paraId="0ED3A132">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49" w:name="_Toc520356168"/>
      <w:bookmarkStart w:id="150" w:name="_Toc11069"/>
      <w:bookmarkStart w:id="151" w:name="_Toc3008"/>
      <w:bookmarkStart w:id="152" w:name="_Toc518923089"/>
      <w:r>
        <w:rPr>
          <w:rFonts w:hint="eastAsia" w:ascii="微软雅黑" w:hAnsi="微软雅黑" w:eastAsia="微软雅黑" w:cs="微软雅黑"/>
          <w:color w:val="auto"/>
          <w:sz w:val="24"/>
          <w:szCs w:val="24"/>
          <w:highlight w:val="none"/>
          <w:u w:val="none"/>
        </w:rPr>
        <w:t>24</w:t>
      </w:r>
      <w:bookmarkEnd w:id="149"/>
      <w:r>
        <w:rPr>
          <w:rFonts w:hint="eastAsia" w:ascii="微软雅黑" w:hAnsi="微软雅黑" w:eastAsia="微软雅黑" w:cs="微软雅黑"/>
          <w:color w:val="auto"/>
          <w:sz w:val="24"/>
          <w:szCs w:val="24"/>
          <w:highlight w:val="none"/>
          <w:u w:val="none"/>
        </w:rPr>
        <w:t>.废标</w:t>
      </w:r>
      <w:bookmarkEnd w:id="150"/>
      <w:bookmarkEnd w:id="151"/>
      <w:bookmarkEnd w:id="152"/>
    </w:p>
    <w:p w14:paraId="78AE6FD5">
      <w:pPr>
        <w:pageBreakBefore w:val="0"/>
        <w:widowControl w:val="0"/>
        <w:kinsoku/>
        <w:wordWrap/>
        <w:overflowPunct/>
        <w:topLinePunct w:val="0"/>
        <w:bidi w:val="0"/>
        <w:snapToGrid w:val="0"/>
        <w:spacing w:line="336" w:lineRule="auto"/>
        <w:ind w:left="897" w:leftChars="399" w:hanging="60" w:hangingChars="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出现下列情形之一，将导致项目废标： </w:t>
      </w:r>
    </w:p>
    <w:p w14:paraId="75E929A7">
      <w:pPr>
        <w:pageBreakBefore w:val="0"/>
        <w:widowControl w:val="0"/>
        <w:kinsoku/>
        <w:wordWrap/>
        <w:overflowPunct/>
        <w:topLinePunct w:val="0"/>
        <w:bidi w:val="0"/>
        <w:snapToGrid w:val="0"/>
        <w:spacing w:line="336" w:lineRule="auto"/>
        <w:ind w:left="807" w:leftChars="299" w:hanging="180" w:hangingChars="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（1）符合专业条件的</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或者对招标文件做实质性响应的</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不足三家；</w:t>
      </w:r>
    </w:p>
    <w:p w14:paraId="3EC80590">
      <w:pPr>
        <w:pageBreakBefore w:val="0"/>
        <w:widowControl w:val="0"/>
        <w:kinsoku/>
        <w:wordWrap/>
        <w:overflowPunct/>
        <w:topLinePunct w:val="0"/>
        <w:bidi w:val="0"/>
        <w:snapToGrid w:val="0"/>
        <w:spacing w:line="336" w:lineRule="auto"/>
        <w:ind w:left="807" w:leftChars="299" w:hanging="180" w:hangingChars="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（2）出现影响采购公正的违法、违规行为的；</w:t>
      </w:r>
    </w:p>
    <w:p w14:paraId="71A142EE">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（3）投标人的报价均超过了采购预算，采购人不能支付的；</w:t>
      </w:r>
    </w:p>
    <w:p w14:paraId="3A6BDAB6">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（4）因重大变故，采购任务取消的。   </w:t>
      </w:r>
    </w:p>
    <w:p w14:paraId="55BC8522">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53" w:name="_Toc12734"/>
      <w:bookmarkStart w:id="154" w:name="_Toc7643"/>
      <w:bookmarkStart w:id="155" w:name="_Toc518923090"/>
      <w:bookmarkStart w:id="156" w:name="_Toc520356169"/>
      <w:r>
        <w:rPr>
          <w:rFonts w:hint="eastAsia" w:ascii="微软雅黑" w:hAnsi="微软雅黑" w:eastAsia="微软雅黑" w:cs="微软雅黑"/>
          <w:color w:val="auto"/>
          <w:sz w:val="24"/>
          <w:szCs w:val="24"/>
          <w:highlight w:val="none"/>
          <w:u w:val="none"/>
        </w:rPr>
        <w:t>25.保密原则</w:t>
      </w:r>
      <w:bookmarkEnd w:id="153"/>
      <w:bookmarkEnd w:id="154"/>
      <w:bookmarkEnd w:id="155"/>
    </w:p>
    <w:p w14:paraId="6CADD5A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评标将在严格保密的情况下进行。</w:t>
      </w:r>
    </w:p>
    <w:p w14:paraId="015C427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政府采购评审专家应当遵守评审工作纪律，不得泄露评审文件、评审情况和评审中获悉的商业秘密。</w:t>
      </w:r>
    </w:p>
    <w:p w14:paraId="058B5F3D">
      <w:pPr>
        <w:pStyle w:val="3"/>
        <w:pageBreakBefore w:val="0"/>
        <w:widowControl w:val="0"/>
        <w:kinsoku/>
        <w:wordWrap/>
        <w:overflowPunct/>
        <w:topLinePunct w:val="0"/>
        <w:bidi w:val="0"/>
        <w:snapToGrid w:val="0"/>
        <w:spacing w:before="0" w:line="336" w:lineRule="auto"/>
        <w:ind w:left="1079" w:leftChars="257" w:hanging="540"/>
        <w:textAlignment w:val="auto"/>
        <w:rPr>
          <w:rFonts w:hint="eastAsia" w:ascii="微软雅黑" w:hAnsi="微软雅黑" w:eastAsia="微软雅黑" w:cs="微软雅黑"/>
          <w:color w:val="auto"/>
          <w:sz w:val="24"/>
          <w:szCs w:val="24"/>
          <w:highlight w:val="none"/>
        </w:rPr>
      </w:pPr>
      <w:bookmarkStart w:id="157" w:name="_Toc216582810"/>
      <w:bookmarkStart w:id="158" w:name="_Toc518923091"/>
      <w:bookmarkStart w:id="159" w:name="_Toc8372"/>
      <w:bookmarkStart w:id="160" w:name="_Toc20201"/>
      <w:r>
        <w:rPr>
          <w:rFonts w:hint="eastAsia" w:ascii="微软雅黑" w:hAnsi="微软雅黑" w:eastAsia="微软雅黑" w:cs="微软雅黑"/>
          <w:b/>
          <w:color w:val="auto"/>
          <w:sz w:val="24"/>
          <w:szCs w:val="24"/>
          <w:highlight w:val="none"/>
        </w:rPr>
        <w:t>六</w:t>
      </w:r>
      <w:bookmarkEnd w:id="156"/>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color w:val="auto"/>
          <w:sz w:val="24"/>
          <w:szCs w:val="24"/>
          <w:highlight w:val="none"/>
        </w:rPr>
        <w:t>确定中标</w:t>
      </w:r>
      <w:bookmarkEnd w:id="157"/>
      <w:bookmarkEnd w:id="158"/>
      <w:bookmarkEnd w:id="159"/>
      <w:bookmarkEnd w:id="160"/>
    </w:p>
    <w:p w14:paraId="27DA2B36">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61" w:name="_Toc518923092"/>
      <w:bookmarkStart w:id="162" w:name="_Ref467307010"/>
      <w:bookmarkStart w:id="163" w:name="_Toc7320"/>
      <w:bookmarkStart w:id="164" w:name="_Toc520356170"/>
      <w:bookmarkStart w:id="165" w:name="_Toc20881"/>
      <w:r>
        <w:rPr>
          <w:rFonts w:hint="eastAsia" w:ascii="微软雅黑" w:hAnsi="微软雅黑" w:eastAsia="微软雅黑" w:cs="微软雅黑"/>
          <w:color w:val="auto"/>
          <w:sz w:val="24"/>
          <w:szCs w:val="24"/>
          <w:highlight w:val="none"/>
          <w:u w:val="none"/>
        </w:rPr>
        <w:t>26.中标候选人的确定原则及标准</w:t>
      </w:r>
      <w:bookmarkEnd w:id="161"/>
      <w:bookmarkEnd w:id="162"/>
      <w:bookmarkEnd w:id="163"/>
      <w:bookmarkEnd w:id="164"/>
      <w:bookmarkEnd w:id="165"/>
    </w:p>
    <w:p w14:paraId="00F0DDA3">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除第28条规定外，对实质上响应</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的投标人按下列方法进行排序，确定中标候选人：</w:t>
      </w:r>
    </w:p>
    <w:p w14:paraId="05CDDE83">
      <w:pPr>
        <w:pageBreakBefore w:val="0"/>
        <w:widowControl w:val="0"/>
        <w:kinsoku/>
        <w:wordWrap/>
        <w:overflowPunct/>
        <w:topLinePunct w:val="0"/>
        <w:bidi w:val="0"/>
        <w:snapToGrid w:val="0"/>
        <w:spacing w:line="336" w:lineRule="auto"/>
        <w:ind w:left="901"/>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0948F1EF">
      <w:pPr>
        <w:pageBreakBefore w:val="0"/>
        <w:widowControl w:val="0"/>
        <w:kinsoku/>
        <w:wordWrap/>
        <w:overflowPunct/>
        <w:topLinePunct w:val="0"/>
        <w:bidi w:val="0"/>
        <w:snapToGrid w:val="0"/>
        <w:spacing w:line="336" w:lineRule="auto"/>
        <w:ind w:left="901"/>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3E94E226">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66" w:name="_Toc520356171"/>
      <w:bookmarkStart w:id="167" w:name="_Toc13969"/>
      <w:bookmarkStart w:id="168" w:name="_Toc19410"/>
      <w:bookmarkStart w:id="169" w:name="_Toc518923093"/>
      <w:r>
        <w:rPr>
          <w:rFonts w:hint="eastAsia" w:ascii="微软雅黑" w:hAnsi="微软雅黑" w:eastAsia="微软雅黑" w:cs="微软雅黑"/>
          <w:color w:val="auto"/>
          <w:sz w:val="24"/>
          <w:szCs w:val="24"/>
          <w:highlight w:val="none"/>
          <w:u w:val="none"/>
        </w:rPr>
        <w:t>27</w:t>
      </w:r>
      <w:bookmarkEnd w:id="166"/>
      <w:r>
        <w:rPr>
          <w:rFonts w:hint="eastAsia" w:ascii="微软雅黑" w:hAnsi="微软雅黑" w:eastAsia="微软雅黑" w:cs="微软雅黑"/>
          <w:color w:val="auto"/>
          <w:sz w:val="24"/>
          <w:szCs w:val="24"/>
          <w:highlight w:val="none"/>
          <w:u w:val="none"/>
        </w:rPr>
        <w:t>.确定中标候选人和中标人</w:t>
      </w:r>
      <w:bookmarkEnd w:id="167"/>
      <w:bookmarkEnd w:id="168"/>
      <w:bookmarkEnd w:id="169"/>
    </w:p>
    <w:p w14:paraId="3476CDD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评标委员会将根据评标标准，按</w:t>
      </w:r>
      <w:r>
        <w:rPr>
          <w:rFonts w:hint="eastAsia" w:ascii="微软雅黑" w:hAnsi="微软雅黑" w:eastAsia="微软雅黑" w:cs="微软雅黑"/>
          <w:color w:val="auto"/>
          <w:sz w:val="24"/>
          <w:szCs w:val="24"/>
          <w:highlight w:val="none"/>
          <w:u w:val="single"/>
        </w:rPr>
        <w:t>投标人须知资料表中</w:t>
      </w:r>
      <w:r>
        <w:rPr>
          <w:rFonts w:hint="eastAsia" w:ascii="微软雅黑" w:hAnsi="微软雅黑" w:eastAsia="微软雅黑" w:cs="微软雅黑"/>
          <w:color w:val="auto"/>
          <w:sz w:val="24"/>
          <w:szCs w:val="24"/>
          <w:highlight w:val="none"/>
        </w:rPr>
        <w:t>规定数量推荐中标候选人；或根据采购人的委托，直接确定中标人。</w:t>
      </w:r>
    </w:p>
    <w:p w14:paraId="7008AE76">
      <w:pPr>
        <w:pStyle w:val="4"/>
        <w:pageBreakBefore w:val="0"/>
        <w:widowControl w:val="0"/>
        <w:tabs>
          <w:tab w:val="left" w:pos="900"/>
        </w:tabs>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70" w:name="_Toc520356173"/>
      <w:bookmarkStart w:id="171" w:name="_Ref467306874"/>
      <w:bookmarkStart w:id="172" w:name="_Toc1254"/>
      <w:bookmarkStart w:id="173" w:name="_Toc518923094"/>
      <w:bookmarkStart w:id="174" w:name="_Toc3672"/>
      <w:r>
        <w:rPr>
          <w:rFonts w:hint="eastAsia" w:ascii="微软雅黑" w:hAnsi="微软雅黑" w:eastAsia="微软雅黑" w:cs="微软雅黑"/>
          <w:color w:val="auto"/>
          <w:sz w:val="24"/>
          <w:szCs w:val="24"/>
          <w:highlight w:val="none"/>
          <w:u w:val="none"/>
        </w:rPr>
        <w:t>28</w:t>
      </w:r>
      <w:bookmarkEnd w:id="170"/>
      <w:bookmarkEnd w:id="171"/>
      <w:r>
        <w:rPr>
          <w:rFonts w:hint="eastAsia" w:ascii="微软雅黑" w:hAnsi="微软雅黑" w:eastAsia="微软雅黑" w:cs="微软雅黑"/>
          <w:color w:val="auto"/>
          <w:sz w:val="24"/>
          <w:szCs w:val="24"/>
          <w:highlight w:val="none"/>
          <w:u w:val="none"/>
        </w:rPr>
        <w:t>.采购任务取消</w:t>
      </w:r>
      <w:bookmarkEnd w:id="172"/>
      <w:bookmarkEnd w:id="173"/>
      <w:bookmarkEnd w:id="174"/>
    </w:p>
    <w:p w14:paraId="00459D00">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因重大变故采购任务取消时，采购人有权拒绝任何投标人中标，且对受影响的投标人不承担任何责任。</w:t>
      </w:r>
      <w:bookmarkStart w:id="175" w:name="_Toc520356174"/>
    </w:p>
    <w:p w14:paraId="6C3C8662">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76" w:name="_Toc518923095"/>
      <w:bookmarkStart w:id="177" w:name="_Toc18841"/>
      <w:bookmarkStart w:id="178" w:name="_Toc14103"/>
      <w:r>
        <w:rPr>
          <w:rFonts w:hint="eastAsia" w:ascii="微软雅黑" w:hAnsi="微软雅黑" w:eastAsia="微软雅黑" w:cs="微软雅黑"/>
          <w:color w:val="auto"/>
          <w:sz w:val="24"/>
          <w:szCs w:val="24"/>
          <w:highlight w:val="none"/>
          <w:u w:val="none"/>
        </w:rPr>
        <w:t>29.中标通知书</w:t>
      </w:r>
      <w:bookmarkEnd w:id="175"/>
      <w:r>
        <w:rPr>
          <w:rFonts w:hint="eastAsia" w:ascii="微软雅黑" w:hAnsi="微软雅黑" w:eastAsia="微软雅黑" w:cs="微软雅黑"/>
          <w:color w:val="auto"/>
          <w:sz w:val="24"/>
          <w:szCs w:val="24"/>
          <w:highlight w:val="none"/>
          <w:u w:val="none"/>
        </w:rPr>
        <w:t>和招标结果通知书</w:t>
      </w:r>
      <w:bookmarkEnd w:id="176"/>
      <w:bookmarkEnd w:id="177"/>
      <w:bookmarkEnd w:id="178"/>
    </w:p>
    <w:p w14:paraId="2B2866EA">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在投标有效期内，中标人确定后，采购人或者采购代理机构发布中标公告，同时以书面形式向中标人发出中标通知书；</w:t>
      </w:r>
    </w:p>
    <w:p w14:paraId="0F33D01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29.2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中标通知书是合同的组成部分；</w:t>
      </w:r>
    </w:p>
    <w:p w14:paraId="1F91DE31">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79" w:name="_Ref467307062"/>
      <w:bookmarkStart w:id="180" w:name="_Ref467307204"/>
      <w:bookmarkStart w:id="181" w:name="_Ref467306978"/>
      <w:bookmarkStart w:id="182" w:name="_Toc2887"/>
      <w:bookmarkStart w:id="183" w:name="_Toc13097"/>
      <w:bookmarkStart w:id="184" w:name="_Toc518923096"/>
      <w:bookmarkStart w:id="185" w:name="_Ref467306377"/>
      <w:bookmarkStart w:id="186" w:name="_Toc520356175"/>
      <w:r>
        <w:rPr>
          <w:rFonts w:hint="eastAsia" w:ascii="微软雅黑" w:hAnsi="微软雅黑" w:eastAsia="微软雅黑" w:cs="微软雅黑"/>
          <w:color w:val="auto"/>
          <w:sz w:val="24"/>
          <w:szCs w:val="24"/>
          <w:highlight w:val="none"/>
          <w:u w:val="none"/>
        </w:rPr>
        <w:t>30.签订合同</w:t>
      </w:r>
      <w:bookmarkEnd w:id="179"/>
      <w:bookmarkEnd w:id="180"/>
      <w:bookmarkEnd w:id="181"/>
      <w:bookmarkEnd w:id="182"/>
      <w:bookmarkEnd w:id="183"/>
      <w:bookmarkEnd w:id="184"/>
      <w:bookmarkEnd w:id="185"/>
      <w:bookmarkEnd w:id="186"/>
    </w:p>
    <w:p w14:paraId="52A2DEF5">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中标人应当自发出中标通知书之日起30日内，与采购人签订合同。</w:t>
      </w:r>
    </w:p>
    <w:p w14:paraId="792FD44B">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30.2</w:t>
      </w:r>
      <w:r>
        <w:rPr>
          <w:rFonts w:hint="eastAsia" w:ascii="微软雅黑" w:hAnsi="微软雅黑" w:eastAsia="微软雅黑" w:cs="微软雅黑"/>
          <w:color w:val="auto"/>
          <w:sz w:val="24"/>
          <w:szCs w:val="24"/>
          <w:highlight w:val="none"/>
        </w:rPr>
        <w:tab/>
      </w:r>
      <w:bookmarkStart w:id="187" w:name="_Ref467307090"/>
      <w:bookmarkStart w:id="188" w:name="_Ref467306425"/>
      <w:bookmarkStart w:id="189" w:name="_Toc520356176"/>
      <w:r>
        <w:rPr>
          <w:rFonts w:hint="eastAsia" w:ascii="微软雅黑" w:hAnsi="微软雅黑" w:eastAsia="微软雅黑" w:cs="微软雅黑"/>
          <w:color w:val="auto"/>
          <w:sz w:val="24"/>
          <w:szCs w:val="24"/>
          <w:highlight w:val="none"/>
        </w:rPr>
        <w:t>招标文件、中标人的投标文件及其澄清文件等，均为签订合同的依据。</w:t>
      </w:r>
    </w:p>
    <w:p w14:paraId="7EC31B92">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5A285D6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30.4   当出现法规规定的</w:t>
      </w:r>
      <w:r>
        <w:rPr>
          <w:rFonts w:hint="eastAsia" w:ascii="微软雅黑" w:hAnsi="微软雅黑" w:eastAsia="微软雅黑" w:cs="微软雅黑"/>
          <w:b/>
          <w:color w:val="auto"/>
          <w:sz w:val="24"/>
          <w:szCs w:val="24"/>
          <w:highlight w:val="none"/>
        </w:rPr>
        <w:t>中标无效或中标结果无效</w:t>
      </w:r>
      <w:r>
        <w:rPr>
          <w:rFonts w:hint="eastAsia" w:ascii="微软雅黑" w:hAnsi="微软雅黑" w:eastAsia="微软雅黑" w:cs="微软雅黑"/>
          <w:color w:val="auto"/>
          <w:sz w:val="24"/>
          <w:szCs w:val="24"/>
          <w:highlight w:val="none"/>
        </w:rPr>
        <w:t>情形时，采购人可与排名下一位的中标候选人另行签订合同，或依法重新开展采购活动。</w:t>
      </w:r>
    </w:p>
    <w:p w14:paraId="44C820A1">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90" w:name="_Toc518923097"/>
      <w:bookmarkStart w:id="191" w:name="_Toc31323"/>
      <w:bookmarkStart w:id="192" w:name="_Toc17970"/>
      <w:r>
        <w:rPr>
          <w:rFonts w:hint="eastAsia" w:ascii="微软雅黑" w:hAnsi="微软雅黑" w:eastAsia="微软雅黑" w:cs="微软雅黑"/>
          <w:color w:val="auto"/>
          <w:sz w:val="24"/>
          <w:szCs w:val="24"/>
          <w:highlight w:val="none"/>
          <w:u w:val="none"/>
        </w:rPr>
        <w:t>31.履约保证金</w:t>
      </w:r>
      <w:bookmarkEnd w:id="187"/>
      <w:bookmarkEnd w:id="188"/>
      <w:bookmarkEnd w:id="189"/>
      <w:bookmarkEnd w:id="190"/>
      <w:bookmarkEnd w:id="191"/>
      <w:bookmarkEnd w:id="192"/>
    </w:p>
    <w:p w14:paraId="61A7B254">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中标人应按照</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规定向采购人缴纳履约保证金。</w:t>
      </w:r>
    </w:p>
    <w:p w14:paraId="6C977251">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31.2</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政府采购利用担保试点范围内的项目，除31.1规定的情形外，中标人也可以按照财政部门的规定，向采购人提供合格的履约担保函。</w:t>
      </w:r>
    </w:p>
    <w:p w14:paraId="028855A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31.3   如果中标人没有按照上述履约保证金的规定执行，将视为放弃中标资格，中标人的投标保证金将不予退还。在此情况下，采购人可确定下一候选人为中标人，也可以重新开展采购活动。</w:t>
      </w:r>
    </w:p>
    <w:p w14:paraId="5227C4E6">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lang w:eastAsia="zh-CN"/>
        </w:rPr>
      </w:pPr>
      <w:bookmarkStart w:id="193" w:name="_Toc9590"/>
      <w:bookmarkStart w:id="194" w:name="_Toc518923098"/>
      <w:bookmarkStart w:id="195" w:name="_Toc31181"/>
      <w:r>
        <w:rPr>
          <w:rFonts w:hint="eastAsia" w:ascii="微软雅黑" w:hAnsi="微软雅黑" w:eastAsia="微软雅黑" w:cs="微软雅黑"/>
          <w:color w:val="auto"/>
          <w:sz w:val="24"/>
          <w:szCs w:val="24"/>
          <w:highlight w:val="none"/>
          <w:u w:val="none"/>
        </w:rPr>
        <w:t>32.</w:t>
      </w:r>
      <w:bookmarkEnd w:id="193"/>
      <w:bookmarkEnd w:id="194"/>
      <w:bookmarkEnd w:id="195"/>
      <w:r>
        <w:rPr>
          <w:rFonts w:hint="eastAsia" w:ascii="微软雅黑" w:hAnsi="微软雅黑" w:eastAsia="微软雅黑" w:cs="微软雅黑"/>
          <w:color w:val="auto"/>
          <w:sz w:val="24"/>
          <w:szCs w:val="24"/>
          <w:highlight w:val="none"/>
          <w:u w:val="none"/>
        </w:rPr>
        <w:t>中标服务费</w:t>
      </w:r>
    </w:p>
    <w:p w14:paraId="54FE6FC9">
      <w:pPr>
        <w:pageBreakBefore w:val="0"/>
        <w:widowControl w:val="0"/>
        <w:kinsoku/>
        <w:wordWrap/>
        <w:overflowPunct/>
        <w:topLinePunct w:val="0"/>
        <w:bidi w:val="0"/>
        <w:snapToGrid w:val="0"/>
        <w:spacing w:line="336" w:lineRule="auto"/>
        <w:ind w:left="840" w:leftChars="200" w:hanging="420" w:hangingChars="1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中标人须按照</w:t>
      </w:r>
      <w:r>
        <w:rPr>
          <w:rFonts w:hint="eastAsia" w:ascii="微软雅黑" w:hAnsi="微软雅黑" w:eastAsia="微软雅黑" w:cs="微软雅黑"/>
          <w:color w:val="auto"/>
          <w:sz w:val="24"/>
          <w:szCs w:val="24"/>
          <w:highlight w:val="none"/>
          <w:u w:val="single"/>
        </w:rPr>
        <w:t>投标须知资料表</w:t>
      </w:r>
      <w:r>
        <w:rPr>
          <w:rFonts w:hint="eastAsia" w:ascii="微软雅黑" w:hAnsi="微软雅黑" w:eastAsia="微软雅黑" w:cs="微软雅黑"/>
          <w:color w:val="auto"/>
          <w:sz w:val="24"/>
          <w:szCs w:val="24"/>
          <w:highlight w:val="none"/>
        </w:rPr>
        <w:t>规定，向采购代理机构支付中标服务费。</w:t>
      </w:r>
    </w:p>
    <w:p w14:paraId="4DCA4B41">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96" w:name="_Toc518923099"/>
      <w:bookmarkStart w:id="197" w:name="_Toc20872"/>
      <w:bookmarkStart w:id="198" w:name="_Toc15631"/>
      <w:r>
        <w:rPr>
          <w:rFonts w:hint="eastAsia" w:ascii="微软雅黑" w:hAnsi="微软雅黑" w:eastAsia="微软雅黑" w:cs="微软雅黑"/>
          <w:color w:val="auto"/>
          <w:sz w:val="24"/>
          <w:szCs w:val="24"/>
          <w:highlight w:val="none"/>
          <w:u w:val="none"/>
        </w:rPr>
        <w:t>33.政府采购信用担保</w:t>
      </w:r>
      <w:bookmarkEnd w:id="196"/>
      <w:bookmarkEnd w:id="197"/>
      <w:bookmarkEnd w:id="198"/>
    </w:p>
    <w:p w14:paraId="6C06AB05">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本项目是否属于信用担保试点范围见</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w:t>
      </w:r>
    </w:p>
    <w:p w14:paraId="43B059C8">
      <w:pPr>
        <w:pageBreakBefore w:val="0"/>
        <w:widowControl w:val="0"/>
        <w:kinsoku/>
        <w:wordWrap/>
        <w:overflowPunct/>
        <w:topLinePunct w:val="0"/>
        <w:bidi w:val="0"/>
        <w:snapToGrid w:val="0"/>
        <w:spacing w:line="336" w:lineRule="auto"/>
        <w:ind w:left="850" w:hanging="849" w:hangingChars="35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33.2   如属于政府采购信用担保试点范围内，中小型企业投标人可以自由按照财政部门的规定，采用投标担保、履约担保和融资担保。</w:t>
      </w:r>
    </w:p>
    <w:p w14:paraId="03AF6F6D">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33.2.1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投标人递交的投标担保函和履约担保函应符合本招标文件的规定。</w:t>
      </w:r>
    </w:p>
    <w:p w14:paraId="2537DDC6">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33.2.2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中标人可以采取融资担保的形式为政府采购项目履约进行融资。</w:t>
      </w:r>
    </w:p>
    <w:p w14:paraId="72838B5E">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33.2.3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合格的政府采购专业信用担保机构见</w:t>
      </w:r>
      <w:r>
        <w:rPr>
          <w:rFonts w:hint="eastAsia" w:ascii="微软雅黑" w:hAnsi="微软雅黑" w:eastAsia="微软雅黑" w:cs="微软雅黑"/>
          <w:color w:val="auto"/>
          <w:sz w:val="24"/>
          <w:szCs w:val="24"/>
          <w:highlight w:val="none"/>
          <w:u w:val="single"/>
        </w:rPr>
        <w:t>投标人须知资料表</w:t>
      </w:r>
      <w:r>
        <w:rPr>
          <w:rFonts w:hint="eastAsia" w:ascii="微软雅黑" w:hAnsi="微软雅黑" w:eastAsia="微软雅黑" w:cs="微软雅黑"/>
          <w:color w:val="auto"/>
          <w:sz w:val="24"/>
          <w:szCs w:val="24"/>
          <w:highlight w:val="none"/>
        </w:rPr>
        <w:t>。</w:t>
      </w:r>
    </w:p>
    <w:p w14:paraId="54B4E72C">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199" w:name="_Toc26042"/>
      <w:bookmarkStart w:id="200" w:name="_Toc518923100"/>
      <w:bookmarkStart w:id="201" w:name="_Toc2210"/>
      <w:r>
        <w:rPr>
          <w:rFonts w:hint="eastAsia" w:ascii="微软雅黑" w:hAnsi="微软雅黑" w:eastAsia="微软雅黑" w:cs="微软雅黑"/>
          <w:color w:val="auto"/>
          <w:sz w:val="24"/>
          <w:szCs w:val="24"/>
          <w:highlight w:val="none"/>
          <w:u w:val="none"/>
        </w:rPr>
        <w:t>34.廉洁自律规定</w:t>
      </w:r>
      <w:bookmarkEnd w:id="199"/>
      <w:bookmarkEnd w:id="200"/>
      <w:bookmarkEnd w:id="201"/>
    </w:p>
    <w:p w14:paraId="0614C5E7">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34.1   采购代理机构工作人员不得以不正当手段获取政府采购代理业务，不得与采购人、</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恶意串通操纵政府采购活动。</w:t>
      </w:r>
    </w:p>
    <w:p w14:paraId="0A428363">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34.2   采购代理机构工作人员不得接受采购人或者</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组织的宴请、旅游、娱乐，不得收受礼品、现金、有价证券等，不得向采购人或者</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报销应当由个人承担的费用。</w:t>
      </w:r>
    </w:p>
    <w:p w14:paraId="59924E84">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34.3   为强化采购代理机构内部监督机制，</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可按</w:t>
      </w:r>
      <w:r>
        <w:rPr>
          <w:rFonts w:hint="eastAsia" w:ascii="微软雅黑" w:hAnsi="微软雅黑" w:eastAsia="微软雅黑" w:cs="微软雅黑"/>
          <w:color w:val="auto"/>
          <w:sz w:val="24"/>
          <w:szCs w:val="24"/>
          <w:highlight w:val="none"/>
          <w:u w:val="single"/>
        </w:rPr>
        <w:t>投标人须知资料表中的</w:t>
      </w:r>
      <w:r>
        <w:rPr>
          <w:rFonts w:hint="eastAsia" w:ascii="微软雅黑" w:hAnsi="微软雅黑" w:eastAsia="微软雅黑" w:cs="微软雅黑"/>
          <w:color w:val="auto"/>
          <w:sz w:val="24"/>
          <w:szCs w:val="24"/>
          <w:highlight w:val="none"/>
        </w:rPr>
        <w:t>监督电话和信箱，反映采购代理机构的廉洁自律等问题。</w:t>
      </w:r>
    </w:p>
    <w:p w14:paraId="05EA7F09">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202" w:name="_Toc9894"/>
      <w:bookmarkStart w:id="203" w:name="_Toc518923101"/>
      <w:bookmarkStart w:id="204" w:name="_Toc11975"/>
      <w:r>
        <w:rPr>
          <w:rFonts w:hint="eastAsia" w:ascii="微软雅黑" w:hAnsi="微软雅黑" w:eastAsia="微软雅黑" w:cs="微软雅黑"/>
          <w:color w:val="auto"/>
          <w:sz w:val="24"/>
          <w:szCs w:val="24"/>
          <w:highlight w:val="none"/>
          <w:u w:val="none"/>
        </w:rPr>
        <w:t>35.人员回避</w:t>
      </w:r>
      <w:bookmarkEnd w:id="202"/>
      <w:bookmarkEnd w:id="203"/>
      <w:bookmarkEnd w:id="204"/>
    </w:p>
    <w:p w14:paraId="552BAEE9">
      <w:pPr>
        <w:pageBreakBefore w:val="0"/>
        <w:widowControl w:val="0"/>
        <w:kinsoku/>
        <w:wordWrap/>
        <w:overflowPunct/>
        <w:topLinePunct w:val="0"/>
        <w:bidi w:val="0"/>
        <w:snapToGrid w:val="0"/>
        <w:spacing w:line="336" w:lineRule="auto"/>
        <w:ind w:left="900" w:hanging="900" w:hangingChars="3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投标人认为采购人员及其相关人员有法律法规所列与其他</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有利害关系的，可以向采购人或采购代理机构书面提出回避申请，并说明理由。</w:t>
      </w:r>
    </w:p>
    <w:p w14:paraId="04C8A339">
      <w:pPr>
        <w:pStyle w:val="4"/>
        <w:pageBreakBefore w:val="0"/>
        <w:widowControl w:val="0"/>
        <w:kinsoku/>
        <w:wordWrap/>
        <w:overflowPunct/>
        <w:topLinePunct w:val="0"/>
        <w:bidi w:val="0"/>
        <w:snapToGrid w:val="0"/>
        <w:spacing w:before="0" w:after="0" w:line="336" w:lineRule="auto"/>
        <w:textAlignment w:val="auto"/>
        <w:rPr>
          <w:rFonts w:hint="eastAsia" w:ascii="微软雅黑" w:hAnsi="微软雅黑" w:eastAsia="微软雅黑" w:cs="微软雅黑"/>
          <w:color w:val="auto"/>
          <w:sz w:val="24"/>
          <w:szCs w:val="24"/>
          <w:highlight w:val="none"/>
          <w:u w:val="none"/>
        </w:rPr>
      </w:pPr>
      <w:bookmarkStart w:id="205" w:name="_Toc1148"/>
      <w:bookmarkStart w:id="206" w:name="_Toc11115"/>
      <w:bookmarkStart w:id="207" w:name="_Toc5666"/>
      <w:bookmarkStart w:id="208" w:name="_Toc102"/>
      <w:bookmarkStart w:id="209" w:name="_Toc18449"/>
      <w:bookmarkStart w:id="210" w:name="_Toc515647798"/>
      <w:r>
        <w:rPr>
          <w:rFonts w:hint="eastAsia" w:ascii="微软雅黑" w:hAnsi="微软雅黑" w:eastAsia="微软雅黑" w:cs="微软雅黑"/>
          <w:color w:val="auto"/>
          <w:sz w:val="24"/>
          <w:szCs w:val="24"/>
          <w:highlight w:val="none"/>
          <w:u w:val="none"/>
        </w:rPr>
        <w:t>36.质疑与接收</w:t>
      </w:r>
      <w:bookmarkEnd w:id="205"/>
      <w:bookmarkEnd w:id="206"/>
      <w:bookmarkEnd w:id="207"/>
      <w:bookmarkEnd w:id="208"/>
      <w:bookmarkEnd w:id="209"/>
      <w:bookmarkEnd w:id="210"/>
    </w:p>
    <w:p w14:paraId="75B8FD5B">
      <w:pPr>
        <w:pageBreakBefore w:val="0"/>
        <w:widowControl w:val="0"/>
        <w:kinsoku/>
        <w:wordWrap/>
        <w:overflowPunct/>
        <w:topLinePunct w:val="0"/>
        <w:bidi w:val="0"/>
        <w:snapToGrid w:val="0"/>
        <w:spacing w:line="336" w:lineRule="auto"/>
        <w:ind w:left="72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5BA0B9F">
      <w:pPr>
        <w:pStyle w:val="12"/>
        <w:pageBreakBefore w:val="0"/>
        <w:widowControl w:val="0"/>
        <w:kinsoku/>
        <w:wordWrap/>
        <w:overflowPunct/>
        <w:topLinePunct w:val="0"/>
        <w:bidi w:val="0"/>
        <w:snapToGrid w:val="0"/>
        <w:spacing w:before="95" w:line="336" w:lineRule="auto"/>
        <w:ind w:left="728" w:leftChars="4" w:hanging="720" w:hangingChars="3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2408F20">
      <w:pPr>
        <w:pStyle w:val="12"/>
        <w:pageBreakBefore w:val="0"/>
        <w:widowControl w:val="0"/>
        <w:kinsoku/>
        <w:wordWrap/>
        <w:overflowPunct/>
        <w:topLinePunct w:val="0"/>
        <w:bidi w:val="0"/>
        <w:snapToGrid w:val="0"/>
        <w:spacing w:before="125" w:line="336" w:lineRule="auto"/>
        <w:ind w:left="728" w:leftChars="4"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20B1BB38">
      <w:pPr>
        <w:pageBreakBefore w:val="0"/>
        <w:widowControl w:val="0"/>
        <w:kinsoku/>
        <w:wordWrap/>
        <w:overflowPunct/>
        <w:topLinePunct w:val="0"/>
        <w:bidi w:val="0"/>
        <w:snapToGrid w:val="0"/>
        <w:spacing w:line="336" w:lineRule="auto"/>
        <w:ind w:left="72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xml:space="preserve">  质疑</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将依法承担不利后果。</w:t>
      </w:r>
    </w:p>
    <w:p w14:paraId="3A09CFA0">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采购代理机构质疑函接收部门、联系电话和通讯地址, 见</w:t>
      </w:r>
      <w:r>
        <w:rPr>
          <w:rFonts w:hint="eastAsia" w:ascii="微软雅黑" w:hAnsi="微软雅黑" w:eastAsia="微软雅黑" w:cs="微软雅黑"/>
          <w:color w:val="auto"/>
          <w:sz w:val="24"/>
          <w:szCs w:val="24"/>
          <w:highlight w:val="none"/>
          <w:u w:val="single"/>
        </w:rPr>
        <w:t>投标人须知资料表。</w:t>
      </w:r>
    </w:p>
    <w:p w14:paraId="04185B7B">
      <w:pPr>
        <w:pageBreakBefore w:val="0"/>
        <w:widowControl w:val="0"/>
        <w:kinsoku/>
        <w:wordWrap/>
        <w:overflowPunct/>
        <w:topLinePunct w:val="0"/>
        <w:bidi w:val="0"/>
        <w:snapToGrid w:val="0"/>
        <w:spacing w:line="336" w:lineRule="auto"/>
        <w:ind w:left="72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36.6  供应商认为</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、采购过程和中标结果使自己的权益受到损害的，可以在知道或者应知其权益受到损害之日起7个工作日内，以书面形式向采购方提出质疑。供应商应知其权益受到损害之日，是指：</w:t>
      </w:r>
    </w:p>
    <w:p w14:paraId="35B56EB3">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(一)对可以质疑的</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提出质疑的，为收到</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之日或者</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公告期限届满之日</w:t>
      </w:r>
      <w:r>
        <w:rPr>
          <w:rFonts w:hint="eastAsia" w:ascii="微软雅黑" w:hAnsi="微软雅黑" w:eastAsia="微软雅黑" w:cs="微软雅黑"/>
          <w:color w:val="auto"/>
          <w:sz w:val="24"/>
          <w:szCs w:val="24"/>
          <w:highlight w:val="none"/>
          <w:lang w:eastAsia="zh-CN"/>
        </w:rPr>
        <w:t>。</w:t>
      </w:r>
    </w:p>
    <w:p w14:paraId="1D0F7116">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(二)对采购过程提出质疑的，为各采购程序环节结束之日；</w:t>
      </w:r>
    </w:p>
    <w:p w14:paraId="67E5D286">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(三)对中标结果提出质疑的，为中标结果公告期限届满之日。</w:t>
      </w:r>
    </w:p>
    <w:p w14:paraId="23B4D786">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中所称质疑及答复，是指参加本次采购活动的</w:t>
      </w:r>
      <w:r>
        <w:rPr>
          <w:rFonts w:hint="eastAsia" w:ascii="微软雅黑" w:hAnsi="微软雅黑" w:eastAsia="微软雅黑" w:cs="微软雅黑"/>
          <w:b w:val="0"/>
          <w:i w:val="0"/>
          <w:color w:val="auto"/>
          <w:sz w:val="24"/>
          <w:szCs w:val="24"/>
          <w:highlight w:val="none"/>
          <w:lang w:eastAsia="zh-CN"/>
        </w:rPr>
        <w:t>投标人</w:t>
      </w:r>
      <w:r>
        <w:rPr>
          <w:rFonts w:hint="eastAsia" w:ascii="微软雅黑" w:hAnsi="微软雅黑" w:eastAsia="微软雅黑" w:cs="微软雅黑"/>
          <w:color w:val="auto"/>
          <w:sz w:val="24"/>
          <w:szCs w:val="24"/>
          <w:highlight w:val="none"/>
        </w:rPr>
        <w:t>对政府采购活动中的</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、采购过程和成交结果向采购方提出质疑，采购方答复质疑的行为。</w:t>
      </w:r>
    </w:p>
    <w:p w14:paraId="1348AF51">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 xml:space="preserve">8  </w:t>
      </w:r>
      <w:r>
        <w:rPr>
          <w:rFonts w:hint="eastAsia" w:ascii="微软雅黑" w:hAnsi="微软雅黑" w:eastAsia="微软雅黑" w:cs="微软雅黑"/>
          <w:color w:val="auto"/>
          <w:sz w:val="24"/>
          <w:szCs w:val="24"/>
          <w:highlight w:val="none"/>
        </w:rPr>
        <w:t>对可以质疑的</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提出质疑的，质疑人为参与本项目的报价方或潜在报价方。可质疑的文件为采购公告以及</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（包括属于其组成部分的澄清、修改、补充文件和评审标准等）。</w:t>
      </w:r>
    </w:p>
    <w:p w14:paraId="51F3B839">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 xml:space="preserve">9  </w:t>
      </w:r>
      <w:r>
        <w:rPr>
          <w:rFonts w:hint="eastAsia" w:ascii="微软雅黑" w:hAnsi="微软雅黑" w:eastAsia="微软雅黑" w:cs="微软雅黑"/>
          <w:color w:val="auto"/>
          <w:sz w:val="24"/>
          <w:szCs w:val="24"/>
          <w:highlight w:val="none"/>
        </w:rPr>
        <w:t>对采购过程和成交结果提出质疑的，质疑人为直接参与本项目的报价方。采购过程,即从采购项目信息公告发布起到</w:t>
      </w:r>
      <w:r>
        <w:rPr>
          <w:rFonts w:hint="eastAsia" w:ascii="微软雅黑" w:hAnsi="微软雅黑" w:eastAsia="微软雅黑" w:cs="微软雅黑"/>
          <w:color w:val="auto"/>
          <w:sz w:val="24"/>
          <w:szCs w:val="24"/>
          <w:highlight w:val="none"/>
          <w:lang w:eastAsia="zh-CN"/>
        </w:rPr>
        <w:t>中标</w:t>
      </w:r>
      <w:r>
        <w:rPr>
          <w:rFonts w:hint="eastAsia" w:ascii="微软雅黑" w:hAnsi="微软雅黑" w:eastAsia="微软雅黑" w:cs="微软雅黑"/>
          <w:color w:val="auto"/>
          <w:sz w:val="24"/>
          <w:szCs w:val="24"/>
          <w:highlight w:val="none"/>
        </w:rPr>
        <w:t>结果公告止，包括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的发出、提交投标文件、投标文件开启、评审等各个采购程序环节。</w:t>
      </w:r>
    </w:p>
    <w:p w14:paraId="256BEB9D">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 xml:space="preserve"> 提出质疑应当符合下列条件：</w:t>
      </w:r>
    </w:p>
    <w:p w14:paraId="3BB87695">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（一）质疑主体应当符合有关规定；</w:t>
      </w:r>
    </w:p>
    <w:p w14:paraId="70A3E121">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（二）在质疑法定期限内提出；</w:t>
      </w:r>
    </w:p>
    <w:p w14:paraId="5BBE9A8F">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（三）属于可以提出质疑的政府采购事项受理范围和本项目采购人的管辖权范围；</w:t>
      </w:r>
    </w:p>
    <w:p w14:paraId="25AFBE40">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（四）政府采购法律、法规、规章规定的其他条件。</w:t>
      </w:r>
    </w:p>
    <w:p w14:paraId="40D40C42">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36.11 </w:t>
      </w:r>
      <w:r>
        <w:rPr>
          <w:rFonts w:hint="eastAsia" w:ascii="微软雅黑" w:hAnsi="微软雅黑" w:eastAsia="微软雅黑" w:cs="微软雅黑"/>
          <w:color w:val="auto"/>
          <w:sz w:val="24"/>
          <w:szCs w:val="24"/>
          <w:highlight w:val="none"/>
        </w:rPr>
        <w:t>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3AC8889">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36.12</w:t>
      </w:r>
      <w:r>
        <w:rPr>
          <w:rFonts w:hint="eastAsia" w:ascii="微软雅黑" w:hAnsi="微软雅黑" w:eastAsia="微软雅黑" w:cs="微软雅黑"/>
          <w:color w:val="auto"/>
          <w:sz w:val="24"/>
          <w:szCs w:val="24"/>
          <w:highlight w:val="none"/>
        </w:rPr>
        <w:t xml:space="preserve"> 质疑人所提供的证明材料应当具有真实性、合法性以及与质疑事项的关联性和证明力，否则不能作为认定该质疑事项成立的依据。</w:t>
      </w:r>
    </w:p>
    <w:p w14:paraId="382218BB">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36.13</w:t>
      </w:r>
      <w:r>
        <w:rPr>
          <w:rFonts w:hint="eastAsia" w:ascii="微软雅黑" w:hAnsi="微软雅黑" w:eastAsia="微软雅黑" w:cs="微软雅黑"/>
          <w:color w:val="auto"/>
          <w:sz w:val="24"/>
          <w:szCs w:val="24"/>
          <w:highlight w:val="none"/>
        </w:rPr>
        <w:t xml:space="preserve"> 质疑人提出质疑时应当提交质疑函。质疑函包括下列内容：</w:t>
      </w:r>
    </w:p>
    <w:p w14:paraId="6D4D0B49">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（一）提出质疑的质疑人的名称、地址、邮编、联系人及联系电话等；</w:t>
      </w:r>
    </w:p>
    <w:p w14:paraId="7099AA0D">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（二）质疑项目的名称、编号；</w:t>
      </w:r>
    </w:p>
    <w:p w14:paraId="1A2AADD0">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（三）质疑事项；</w:t>
      </w:r>
    </w:p>
    <w:p w14:paraId="06211C6B">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（四）事实依据和证明材料；</w:t>
      </w:r>
    </w:p>
    <w:p w14:paraId="73593D33">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（五）法律依据；</w:t>
      </w:r>
    </w:p>
    <w:p w14:paraId="2A5AE3F8">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（六）提出质疑的日期。</w:t>
      </w:r>
    </w:p>
    <w:p w14:paraId="2A404C84">
      <w:pPr>
        <w:pageBreakBefore w:val="0"/>
        <w:widowControl w:val="0"/>
        <w:kinsoku/>
        <w:wordWrap/>
        <w:overflowPunct/>
        <w:topLinePunct w:val="0"/>
        <w:bidi w:val="0"/>
        <w:snapToGrid w:val="0"/>
        <w:spacing w:line="336" w:lineRule="auto"/>
        <w:ind w:left="630" w:leftChars="30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2105947F">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36.14</w:t>
      </w:r>
      <w:r>
        <w:rPr>
          <w:rFonts w:hint="eastAsia" w:ascii="微软雅黑" w:hAnsi="微软雅黑" w:eastAsia="微软雅黑" w:cs="微软雅黑"/>
          <w:color w:val="auto"/>
          <w:sz w:val="24"/>
          <w:szCs w:val="24"/>
          <w:highlight w:val="none"/>
        </w:rPr>
        <w:t xml:space="preserve"> 质疑人可以委托代理人进行质疑。代理人应当提交授权委托书。授权委托书应当载明委托代理的具体权限、期限和相关事项。</w:t>
      </w:r>
    </w:p>
    <w:p w14:paraId="2CE6AE32">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36.15 </w:t>
      </w:r>
      <w:r>
        <w:rPr>
          <w:rFonts w:hint="eastAsia" w:ascii="微软雅黑" w:hAnsi="微软雅黑" w:eastAsia="微软雅黑" w:cs="微软雅黑"/>
          <w:color w:val="auto"/>
          <w:sz w:val="24"/>
          <w:szCs w:val="24"/>
          <w:highlight w:val="none"/>
        </w:rPr>
        <w:t>质疑的审查和受理</w:t>
      </w:r>
    </w:p>
    <w:p w14:paraId="52271D0D">
      <w:pPr>
        <w:pageBreakBefore w:val="0"/>
        <w:widowControl w:val="0"/>
        <w:kinsoku/>
        <w:wordWrap/>
        <w:overflowPunct/>
        <w:topLinePunct w:val="0"/>
        <w:bidi w:val="0"/>
        <w:snapToGrid w:val="0"/>
        <w:spacing w:line="336" w:lineRule="auto"/>
        <w:ind w:left="630" w:leftChars="30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采购方在收到质疑函后应当及时审查是否符合质疑受理条件，对符合质疑受理条件的，及时予以受理。</w:t>
      </w:r>
    </w:p>
    <w:p w14:paraId="2CABC15E">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36.16</w:t>
      </w:r>
      <w:r>
        <w:rPr>
          <w:rFonts w:hint="eastAsia" w:ascii="微软雅黑" w:hAnsi="微软雅黑" w:eastAsia="微软雅黑" w:cs="微软雅黑"/>
          <w:color w:val="auto"/>
          <w:sz w:val="24"/>
          <w:szCs w:val="24"/>
          <w:highlight w:val="none"/>
        </w:rPr>
        <w:t xml:space="preserve"> 对不符合质疑受理条件的，分别按照下列不同情形予以处理：</w:t>
      </w:r>
    </w:p>
    <w:p w14:paraId="2E7DE1BF">
      <w:pPr>
        <w:pageBreakBefore w:val="0"/>
        <w:widowControl w:val="0"/>
        <w:kinsoku/>
        <w:wordWrap/>
        <w:overflowPunct/>
        <w:topLinePunct w:val="0"/>
        <w:bidi w:val="0"/>
        <w:snapToGrid w:val="0"/>
        <w:spacing w:line="336" w:lineRule="auto"/>
        <w:ind w:left="630" w:leftChars="30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1D28126C">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（二）质疑主体不符合有关规定的，告知质疑人不予受理；</w:t>
      </w:r>
    </w:p>
    <w:p w14:paraId="2F7A6AF0">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（三）超过质疑法定期限提出质疑的，告知质疑人不予受理；</w:t>
      </w:r>
    </w:p>
    <w:p w14:paraId="014EE9E0">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（四）对不属于可以提出质疑的政府采购事项提出质疑的，告知质疑人不予受理；</w:t>
      </w:r>
    </w:p>
    <w:p w14:paraId="047F5A58">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（五）质疑不属于本项目采购方管辖的，告知质疑人向有管辖权的采购人提出质疑；</w:t>
      </w:r>
    </w:p>
    <w:p w14:paraId="20C5B6C4">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（六）质疑不符合其他条件的，告知质疑人不予受理。</w:t>
      </w:r>
    </w:p>
    <w:p w14:paraId="6065322F">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37.</w:t>
      </w:r>
      <w:r>
        <w:rPr>
          <w:rFonts w:hint="eastAsia" w:ascii="微软雅黑" w:hAnsi="微软雅黑" w:eastAsia="微软雅黑" w:cs="微软雅黑"/>
          <w:b/>
          <w:bCs/>
          <w:color w:val="auto"/>
          <w:sz w:val="24"/>
          <w:szCs w:val="24"/>
          <w:highlight w:val="none"/>
        </w:rPr>
        <w:t>质疑的处理和答复</w:t>
      </w:r>
    </w:p>
    <w:p w14:paraId="11D96DD9">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37.1</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采购方受理质疑后，将及时把质疑函发送给被质疑人，并要求其在一定限期人提交书面答复，同时提供有关证据、依据和相关材料。</w:t>
      </w:r>
    </w:p>
    <w:p w14:paraId="077EA28E">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37.2</w:t>
      </w:r>
      <w:r>
        <w:rPr>
          <w:rFonts w:hint="eastAsia" w:ascii="微软雅黑" w:hAnsi="微软雅黑" w:eastAsia="微软雅黑" w:cs="微软雅黑"/>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19DE7182">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37.3</w:t>
      </w:r>
      <w:r>
        <w:rPr>
          <w:rFonts w:hint="eastAsia" w:ascii="微软雅黑" w:hAnsi="微软雅黑" w:eastAsia="微软雅黑" w:cs="微软雅黑"/>
          <w:color w:val="auto"/>
          <w:sz w:val="24"/>
          <w:szCs w:val="24"/>
          <w:highlight w:val="none"/>
        </w:rPr>
        <w:t xml:space="preserve">  对评审过程、成交结果提出质疑的，采购方可以组织原评审委员会协助答复质疑。</w:t>
      </w:r>
    </w:p>
    <w:p w14:paraId="4CC0720D">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37.4  </w:t>
      </w:r>
      <w:r>
        <w:rPr>
          <w:rFonts w:hint="eastAsia" w:ascii="微软雅黑" w:hAnsi="微软雅黑" w:eastAsia="微软雅黑" w:cs="微软雅黑"/>
          <w:color w:val="auto"/>
          <w:sz w:val="24"/>
          <w:szCs w:val="24"/>
          <w:highlight w:val="none"/>
        </w:rPr>
        <w:t>质疑处理过程中，质疑人书面申请撤回质疑的，将终止质疑处理程序。</w:t>
      </w:r>
    </w:p>
    <w:p w14:paraId="2113FD4F">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37.5  </w:t>
      </w:r>
      <w:r>
        <w:rPr>
          <w:rFonts w:hint="eastAsia" w:ascii="微软雅黑" w:hAnsi="微软雅黑" w:eastAsia="微软雅黑" w:cs="微软雅黑"/>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279D5B52">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37.6  </w:t>
      </w:r>
      <w:r>
        <w:rPr>
          <w:rFonts w:hint="eastAsia" w:ascii="微软雅黑" w:hAnsi="微软雅黑" w:eastAsia="微软雅黑" w:cs="微软雅黑"/>
          <w:color w:val="auto"/>
          <w:sz w:val="24"/>
          <w:szCs w:val="24"/>
          <w:highlight w:val="none"/>
        </w:rPr>
        <w:t>采购方将在正式受理质疑后7个工作日内作出答复，但处理质疑需要进行调查取证、组织专家评审、质疑人及被质疑人提交或补正材料等所需时间，不计算在质疑处理期限内。</w:t>
      </w:r>
    </w:p>
    <w:p w14:paraId="579E0464">
      <w:pPr>
        <w:pageBreakBefore w:val="0"/>
        <w:widowControl w:val="0"/>
        <w:kinsoku/>
        <w:wordWrap/>
        <w:overflowPunct/>
        <w:topLinePunct w:val="0"/>
        <w:bidi w:val="0"/>
        <w:snapToGrid w:val="0"/>
        <w:spacing w:line="336" w:lineRule="auto"/>
        <w:ind w:left="84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采购方经调查、论证、核实，认定质疑不能成立的，继续开展采购活动；认定质疑成立的，按照以下情况处理：</w:t>
      </w:r>
    </w:p>
    <w:p w14:paraId="3BC19920">
      <w:pPr>
        <w:pageBreakBefore w:val="0"/>
        <w:widowControl w:val="0"/>
        <w:kinsoku/>
        <w:wordWrap/>
        <w:overflowPunct/>
        <w:topLinePunct w:val="0"/>
        <w:bidi w:val="0"/>
        <w:snapToGrid w:val="0"/>
        <w:spacing w:line="336" w:lineRule="auto"/>
        <w:ind w:left="630" w:leftChars="30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（一）对</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提出的质疑未对成交结果构成影响的，继续开展采购活动；对成交结果构成影响但依法通过澄清或者修改可以继续开展采购活动的，澄清或者修改</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后继续开展采购活动，否则应当修改</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后重新开展采购活动。</w:t>
      </w:r>
    </w:p>
    <w:p w14:paraId="4AD71A81">
      <w:pPr>
        <w:pageBreakBefore w:val="0"/>
        <w:widowControl w:val="0"/>
        <w:kinsoku/>
        <w:wordWrap/>
        <w:overflowPunct/>
        <w:topLinePunct w:val="0"/>
        <w:bidi w:val="0"/>
        <w:snapToGrid w:val="0"/>
        <w:spacing w:line="336" w:lineRule="auto"/>
        <w:ind w:left="630" w:leftChars="30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14:paraId="01F18825">
      <w:pPr>
        <w:pageBreakBefore w:val="0"/>
        <w:widowControl w:val="0"/>
        <w:kinsoku/>
        <w:wordWrap/>
        <w:overflowPunct/>
        <w:topLinePunct w:val="0"/>
        <w:bidi w:val="0"/>
        <w:snapToGrid w:val="0"/>
        <w:spacing w:line="336"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37.8</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采购方将书面答复质疑，质疑答复包括下列内容：</w:t>
      </w:r>
    </w:p>
    <w:p w14:paraId="7C619D90">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（一）质疑人名称；</w:t>
      </w:r>
    </w:p>
    <w:p w14:paraId="14944DE9">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（二）收到质疑函的日期、质疑项目名称及编号;</w:t>
      </w:r>
    </w:p>
    <w:p w14:paraId="2E1AFD5D">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（三）</w:t>
      </w:r>
      <w:r>
        <w:rPr>
          <w:rFonts w:hint="eastAsia" w:ascii="微软雅黑" w:hAnsi="微软雅黑" w:eastAsia="微软雅黑" w:cs="微软雅黑"/>
          <w:color w:val="auto"/>
          <w:sz w:val="24"/>
          <w:szCs w:val="24"/>
          <w:highlight w:val="none"/>
        </w:rPr>
        <w:t>质疑事项、质疑答复的具体内容、事实依据和法律依据；</w:t>
      </w:r>
    </w:p>
    <w:p w14:paraId="10C66908">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（四）告知质疑人依法投诉的权利；</w:t>
      </w:r>
    </w:p>
    <w:p w14:paraId="5BB54988">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（五）质疑答复日期。</w:t>
      </w:r>
    </w:p>
    <w:p w14:paraId="168F8A1F">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467338CE">
      <w:pPr>
        <w:pageBreakBefore w:val="0"/>
        <w:widowControl w:val="0"/>
        <w:kinsoku/>
        <w:wordWrap/>
        <w:overflowPunct/>
        <w:topLinePunct w:val="0"/>
        <w:bidi w:val="0"/>
        <w:snapToGrid w:val="0"/>
        <w:spacing w:line="336" w:lineRule="auto"/>
        <w:ind w:left="720"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37.9</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质疑人有下列行为之一的，属于虚假、恶意质疑，将由采购方建议财政部门将其列入不良行为记录名单，禁止其1至3年内参加政府采购活动：</w:t>
      </w:r>
    </w:p>
    <w:p w14:paraId="061E6041">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（一）捏造事实；</w:t>
      </w:r>
    </w:p>
    <w:p w14:paraId="4AE8C3EF">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（二）提供虚假材料；</w:t>
      </w:r>
    </w:p>
    <w:p w14:paraId="1D2B1F34">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（三）以非法手段取得证明材料或者无法提供证据的合法来源；</w:t>
      </w:r>
    </w:p>
    <w:p w14:paraId="4C5FE7E5">
      <w:pPr>
        <w:pageBreakBefore w:val="0"/>
        <w:widowControl w:val="0"/>
        <w:kinsoku/>
        <w:wordWrap/>
        <w:overflowPunct/>
        <w:topLinePunct w:val="0"/>
        <w:bidi w:val="0"/>
        <w:snapToGrid w:val="0"/>
        <w:spacing w:line="336" w:lineRule="auto"/>
        <w:ind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（四）法律法规规定的其他违法情形。</w:t>
      </w:r>
    </w:p>
    <w:p w14:paraId="114E38A8">
      <w:pPr>
        <w:spacing w:line="240" w:lineRule="atLeast"/>
        <w:ind w:left="900" w:hanging="787" w:hangingChars="375"/>
        <w:rPr>
          <w:rFonts w:hint="eastAsia" w:ascii="微软雅黑" w:hAnsi="微软雅黑" w:eastAsia="微软雅黑" w:cs="微软雅黑"/>
          <w:color w:val="auto"/>
          <w:sz w:val="21"/>
          <w:szCs w:val="21"/>
          <w:highlight w:val="none"/>
        </w:rPr>
      </w:pPr>
    </w:p>
    <w:p w14:paraId="488E5834">
      <w:pPr>
        <w:keepNext w:val="0"/>
        <w:keepLines w:val="0"/>
        <w:pageBreakBefore w:val="0"/>
        <w:kinsoku/>
        <w:wordWrap/>
        <w:overflowPunct/>
        <w:topLinePunct w:val="0"/>
        <w:autoSpaceDE/>
        <w:autoSpaceDN/>
        <w:bidi w:val="0"/>
        <w:snapToGrid w:val="0"/>
        <w:spacing w:line="240" w:lineRule="auto"/>
        <w:jc w:val="center"/>
        <w:textAlignment w:val="auto"/>
        <w:outlineLvl w:val="1"/>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1"/>
          <w:szCs w:val="21"/>
          <w:highlight w:val="none"/>
        </w:rPr>
        <w:br w:type="page"/>
      </w:r>
      <w:bookmarkStart w:id="211" w:name="_Toc24855"/>
      <w:bookmarkStart w:id="212" w:name="_Toc518923103"/>
      <w:bookmarkStart w:id="213" w:name="_Toc13691"/>
      <w:r>
        <w:rPr>
          <w:rFonts w:hint="eastAsia" w:ascii="微软雅黑" w:hAnsi="微软雅黑" w:eastAsia="微软雅黑" w:cs="微软雅黑"/>
          <w:b/>
          <w:bCs/>
          <w:color w:val="auto"/>
          <w:sz w:val="22"/>
          <w:szCs w:val="22"/>
          <w:highlight w:val="none"/>
        </w:rPr>
        <w:t>质疑函范本</w:t>
      </w:r>
      <w:bookmarkEnd w:id="211"/>
    </w:p>
    <w:p w14:paraId="7A05518C">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bCs/>
          <w:color w:val="auto"/>
          <w:sz w:val="22"/>
          <w:szCs w:val="22"/>
          <w:highlight w:val="none"/>
        </w:rPr>
      </w:pPr>
      <w:bookmarkStart w:id="214" w:name="_Toc24926"/>
      <w:bookmarkStart w:id="215" w:name="_Toc7044"/>
      <w:bookmarkStart w:id="216" w:name="_Toc13218"/>
      <w:bookmarkStart w:id="217" w:name="_Toc29534"/>
      <w:bookmarkStart w:id="218" w:name="_Toc28797"/>
      <w:bookmarkStart w:id="219" w:name="_Toc31020"/>
      <w:bookmarkStart w:id="220" w:name="_Toc32439"/>
      <w:bookmarkStart w:id="221" w:name="_Toc9491"/>
      <w:bookmarkStart w:id="222" w:name="_Toc20504"/>
      <w:r>
        <w:rPr>
          <w:rFonts w:hint="eastAsia" w:ascii="微软雅黑" w:hAnsi="微软雅黑" w:eastAsia="微软雅黑" w:cs="微软雅黑"/>
          <w:bCs/>
          <w:color w:val="auto"/>
          <w:sz w:val="22"/>
          <w:szCs w:val="22"/>
          <w:highlight w:val="none"/>
        </w:rPr>
        <w:t>一、质疑供应商基本信息</w:t>
      </w:r>
      <w:bookmarkEnd w:id="214"/>
      <w:bookmarkEnd w:id="215"/>
      <w:bookmarkEnd w:id="216"/>
      <w:bookmarkEnd w:id="217"/>
      <w:bookmarkEnd w:id="218"/>
      <w:bookmarkEnd w:id="219"/>
      <w:bookmarkEnd w:id="220"/>
      <w:bookmarkEnd w:id="221"/>
      <w:bookmarkEnd w:id="222"/>
    </w:p>
    <w:p w14:paraId="7A0A37EE">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p>
    <w:p w14:paraId="7669D72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04BAC25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2B557C3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p>
    <w:p w14:paraId="686A4A9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522908E4">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2DB639DE">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bCs/>
          <w:color w:val="auto"/>
          <w:sz w:val="22"/>
          <w:szCs w:val="22"/>
          <w:highlight w:val="none"/>
        </w:rPr>
      </w:pPr>
      <w:bookmarkStart w:id="223" w:name="_Toc12179"/>
      <w:bookmarkStart w:id="224" w:name="_Toc3694"/>
      <w:bookmarkStart w:id="225" w:name="_Toc226"/>
      <w:bookmarkStart w:id="226" w:name="_Toc27681"/>
      <w:bookmarkStart w:id="227" w:name="_Toc32083"/>
      <w:bookmarkStart w:id="228" w:name="_Toc20123"/>
      <w:bookmarkStart w:id="229" w:name="_Toc4409"/>
      <w:bookmarkStart w:id="230" w:name="_Toc30222"/>
      <w:bookmarkStart w:id="231" w:name="_Toc31363"/>
      <w:r>
        <w:rPr>
          <w:rFonts w:hint="eastAsia" w:ascii="微软雅黑" w:hAnsi="微软雅黑" w:eastAsia="微软雅黑" w:cs="微软雅黑"/>
          <w:bCs/>
          <w:color w:val="auto"/>
          <w:sz w:val="22"/>
          <w:szCs w:val="22"/>
          <w:highlight w:val="none"/>
        </w:rPr>
        <w:t>二、质疑项目基本情况</w:t>
      </w:r>
      <w:bookmarkEnd w:id="223"/>
      <w:bookmarkEnd w:id="224"/>
      <w:bookmarkEnd w:id="225"/>
      <w:bookmarkEnd w:id="226"/>
      <w:bookmarkEnd w:id="227"/>
      <w:bookmarkEnd w:id="228"/>
      <w:bookmarkEnd w:id="229"/>
      <w:bookmarkEnd w:id="230"/>
      <w:bookmarkEnd w:id="231"/>
    </w:p>
    <w:p w14:paraId="4490F1B5">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14:paraId="4FC8FAAD">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包号：</w:t>
      </w:r>
      <w:r>
        <w:rPr>
          <w:rFonts w:hint="eastAsia" w:ascii="微软雅黑" w:hAnsi="微软雅黑" w:eastAsia="微软雅黑" w:cs="微软雅黑"/>
          <w:color w:val="auto"/>
          <w:sz w:val="22"/>
          <w:szCs w:val="22"/>
          <w:highlight w:val="none"/>
          <w:u w:val="dotted"/>
        </w:rPr>
        <w:t xml:space="preserve">                </w:t>
      </w:r>
    </w:p>
    <w:p w14:paraId="46981FC2">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p>
    <w:p w14:paraId="41F8DD4F">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招标文件</w:t>
      </w:r>
      <w:r>
        <w:rPr>
          <w:rFonts w:hint="eastAsia" w:ascii="微软雅黑" w:hAnsi="微软雅黑" w:eastAsia="微软雅黑" w:cs="微软雅黑"/>
          <w:color w:val="auto"/>
          <w:sz w:val="22"/>
          <w:szCs w:val="22"/>
          <w:highlight w:val="none"/>
        </w:rPr>
        <w:t>获取日期：</w:t>
      </w:r>
      <w:r>
        <w:rPr>
          <w:rFonts w:hint="eastAsia" w:ascii="微软雅黑" w:hAnsi="微软雅黑" w:eastAsia="微软雅黑" w:cs="微软雅黑"/>
          <w:color w:val="auto"/>
          <w:sz w:val="22"/>
          <w:szCs w:val="22"/>
          <w:highlight w:val="none"/>
          <w:u w:val="dotted"/>
        </w:rPr>
        <w:t xml:space="preserve">                                   </w:t>
      </w:r>
    </w:p>
    <w:p w14:paraId="54DFD42E">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bCs/>
          <w:color w:val="auto"/>
          <w:sz w:val="22"/>
          <w:szCs w:val="22"/>
          <w:highlight w:val="none"/>
        </w:rPr>
      </w:pPr>
      <w:bookmarkStart w:id="232" w:name="_Toc17475"/>
      <w:bookmarkStart w:id="233" w:name="_Toc12401"/>
      <w:bookmarkStart w:id="234" w:name="_Toc4978"/>
      <w:bookmarkStart w:id="235" w:name="_Toc21917"/>
      <w:bookmarkStart w:id="236" w:name="_Toc21644"/>
      <w:bookmarkStart w:id="237" w:name="_Toc1349"/>
      <w:bookmarkStart w:id="238" w:name="_Toc4900"/>
      <w:bookmarkStart w:id="239" w:name="_Toc17103"/>
      <w:r>
        <w:rPr>
          <w:rFonts w:hint="eastAsia" w:ascii="微软雅黑" w:hAnsi="微软雅黑" w:eastAsia="微软雅黑" w:cs="微软雅黑"/>
          <w:bCs/>
          <w:color w:val="auto"/>
          <w:sz w:val="22"/>
          <w:szCs w:val="22"/>
          <w:highlight w:val="none"/>
        </w:rPr>
        <w:t>三、质疑事项具体内容</w:t>
      </w:r>
      <w:bookmarkEnd w:id="232"/>
      <w:bookmarkEnd w:id="233"/>
      <w:bookmarkEnd w:id="234"/>
      <w:bookmarkEnd w:id="235"/>
      <w:bookmarkEnd w:id="236"/>
      <w:bookmarkEnd w:id="237"/>
      <w:bookmarkEnd w:id="238"/>
      <w:bookmarkEnd w:id="239"/>
    </w:p>
    <w:p w14:paraId="25A97530">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p>
    <w:p w14:paraId="66725337">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p>
    <w:p w14:paraId="75421775">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p>
    <w:p w14:paraId="5F45A96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r>
        <w:rPr>
          <w:rFonts w:hint="eastAsia" w:ascii="微软雅黑" w:hAnsi="微软雅黑" w:eastAsia="微软雅黑" w:cs="微软雅黑"/>
          <w:color w:val="auto"/>
          <w:sz w:val="22"/>
          <w:szCs w:val="22"/>
          <w:highlight w:val="none"/>
          <w:u w:val="dotted"/>
        </w:rPr>
        <w:t xml:space="preserve">                                        </w:t>
      </w:r>
    </w:p>
    <w:p w14:paraId="008CD8A1">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bCs/>
          <w:color w:val="auto"/>
          <w:sz w:val="22"/>
          <w:szCs w:val="22"/>
          <w:highlight w:val="none"/>
        </w:rPr>
      </w:pPr>
      <w:bookmarkStart w:id="240" w:name="_Toc15774"/>
      <w:bookmarkStart w:id="241" w:name="_Toc12953"/>
      <w:bookmarkStart w:id="242" w:name="_Toc31962"/>
      <w:bookmarkStart w:id="243" w:name="_Toc14716"/>
      <w:bookmarkStart w:id="244" w:name="_Toc30785"/>
      <w:bookmarkStart w:id="245" w:name="_Toc19561"/>
      <w:bookmarkStart w:id="246" w:name="_Toc11725"/>
      <w:bookmarkStart w:id="247" w:name="_Toc19138"/>
      <w:bookmarkStart w:id="248" w:name="_Toc11711"/>
      <w:r>
        <w:rPr>
          <w:rFonts w:hint="eastAsia" w:ascii="微软雅黑" w:hAnsi="微软雅黑" w:eastAsia="微软雅黑" w:cs="微软雅黑"/>
          <w:bCs/>
          <w:color w:val="auto"/>
          <w:sz w:val="22"/>
          <w:szCs w:val="22"/>
          <w:highlight w:val="none"/>
        </w:rPr>
        <w:t>四、与质疑事项相关的质疑请求</w:t>
      </w:r>
      <w:bookmarkEnd w:id="240"/>
      <w:bookmarkEnd w:id="241"/>
      <w:bookmarkEnd w:id="242"/>
      <w:bookmarkEnd w:id="243"/>
      <w:bookmarkEnd w:id="244"/>
      <w:bookmarkEnd w:id="245"/>
      <w:bookmarkEnd w:id="246"/>
      <w:bookmarkEnd w:id="247"/>
      <w:bookmarkEnd w:id="248"/>
    </w:p>
    <w:p w14:paraId="5A013CCA">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14:paraId="38FD34C8">
      <w:pPr>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14:paraId="487979E6">
      <w:pPr>
        <w:keepNext w:val="0"/>
        <w:keepLines w:val="0"/>
        <w:pageBreakBefore w:val="0"/>
        <w:widowControl w:val="0"/>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3E5EA892">
      <w:pPr>
        <w:keepNext w:val="0"/>
        <w:keepLines w:val="0"/>
        <w:pageBreakBefore w:val="0"/>
        <w:kinsoku/>
        <w:wordWrap/>
        <w:overflowPunct/>
        <w:topLinePunct w:val="0"/>
        <w:autoSpaceDE/>
        <w:autoSpaceDN/>
        <w:bidi w:val="0"/>
        <w:snapToGrid w:val="0"/>
        <w:spacing w:line="240" w:lineRule="auto"/>
        <w:jc w:val="both"/>
        <w:textAlignment w:val="auto"/>
        <w:rPr>
          <w:rFonts w:hint="eastAsia" w:ascii="微软雅黑" w:hAnsi="微软雅黑" w:eastAsia="微软雅黑" w:cs="微软雅黑"/>
          <w:b/>
          <w:color w:val="auto"/>
          <w:sz w:val="22"/>
          <w:szCs w:val="22"/>
          <w:highlight w:val="none"/>
        </w:rPr>
      </w:pPr>
    </w:p>
    <w:p w14:paraId="20478B48">
      <w:pPr>
        <w:keepNext w:val="0"/>
        <w:keepLines w:val="0"/>
        <w:pageBreakBefore w:val="0"/>
        <w:kinsoku/>
        <w:wordWrap/>
        <w:overflowPunct/>
        <w:topLinePunct w:val="0"/>
        <w:autoSpaceDE/>
        <w:autoSpaceDN/>
        <w:bidi w:val="0"/>
        <w:snapToGrid w:val="0"/>
        <w:spacing w:line="240" w:lineRule="auto"/>
        <w:jc w:val="both"/>
        <w:textAlignment w:val="auto"/>
        <w:rPr>
          <w:rFonts w:hint="eastAsia" w:ascii="微软雅黑" w:hAnsi="微软雅黑" w:eastAsia="微软雅黑" w:cs="微软雅黑"/>
          <w:b/>
          <w:color w:val="auto"/>
          <w:sz w:val="22"/>
          <w:szCs w:val="22"/>
          <w:highlight w:val="none"/>
        </w:rPr>
      </w:pPr>
    </w:p>
    <w:p w14:paraId="4713E1C1">
      <w:pPr>
        <w:keepNext w:val="0"/>
        <w:keepLines w:val="0"/>
        <w:pageBreakBefore w:val="0"/>
        <w:kinsoku/>
        <w:wordWrap/>
        <w:overflowPunct/>
        <w:topLinePunct w:val="0"/>
        <w:autoSpaceDE/>
        <w:autoSpaceDN/>
        <w:bidi w:val="0"/>
        <w:snapToGrid w:val="0"/>
        <w:spacing w:line="240" w:lineRule="auto"/>
        <w:jc w:val="both"/>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质疑函制作说明：</w:t>
      </w:r>
    </w:p>
    <w:p w14:paraId="6AC9106C">
      <w:pPr>
        <w:keepNext w:val="0"/>
        <w:keepLines w:val="0"/>
        <w:pageBreakBefore w:val="0"/>
        <w:widowControl/>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644D3A5C">
      <w:pPr>
        <w:keepNext w:val="0"/>
        <w:keepLines w:val="0"/>
        <w:pageBreakBefore w:val="0"/>
        <w:widowControl/>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48EBAD1A">
      <w:pPr>
        <w:keepNext w:val="0"/>
        <w:keepLines w:val="0"/>
        <w:pageBreakBefore w:val="0"/>
        <w:widowControl/>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3.质疑供应商若对项目的某一分包进行质疑，质疑函中应列明具体分包号。</w:t>
      </w:r>
    </w:p>
    <w:p w14:paraId="5473A4CE">
      <w:pPr>
        <w:keepNext w:val="0"/>
        <w:keepLines w:val="0"/>
        <w:pageBreakBefore w:val="0"/>
        <w:widowControl/>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7742AFD8">
      <w:pPr>
        <w:keepNext w:val="0"/>
        <w:keepLines w:val="0"/>
        <w:pageBreakBefore w:val="0"/>
        <w:widowControl/>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33FCF5DD">
      <w:pPr>
        <w:keepNext w:val="0"/>
        <w:keepLines w:val="0"/>
        <w:pageBreakBefore w:val="0"/>
        <w:widowControl/>
        <w:kinsoku/>
        <w:wordWrap/>
        <w:overflowPunct/>
        <w:topLinePunct w:val="0"/>
        <w:autoSpaceDE/>
        <w:autoSpaceDN/>
        <w:bidi w:val="0"/>
        <w:snapToGrid w:val="0"/>
        <w:spacing w:line="240" w:lineRule="auto"/>
        <w:ind w:firstLine="440" w:firstLineChars="200"/>
        <w:jc w:val="both"/>
        <w:textAlignment w:val="auto"/>
        <w:rPr>
          <w:rFonts w:hint="eastAsia" w:ascii="微软雅黑" w:hAnsi="微软雅黑" w:eastAsia="微软雅黑" w:cs="微软雅黑"/>
          <w:color w:val="auto"/>
          <w:sz w:val="21"/>
          <w:szCs w:val="21"/>
          <w:highlight w:val="none"/>
        </w:rPr>
        <w:sectPr>
          <w:headerReference r:id="rId7" w:type="default"/>
          <w:footerReference r:id="rId8" w:type="default"/>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bookmarkEnd w:id="212"/>
    <w:bookmarkEnd w:id="213"/>
    <w:p w14:paraId="3A531A2C">
      <w:pPr>
        <w:pStyle w:val="3"/>
        <w:pageBreakBefore w:val="0"/>
        <w:widowControl w:val="0"/>
        <w:kinsoku/>
        <w:wordWrap/>
        <w:overflowPunct/>
        <w:topLinePunct w:val="0"/>
        <w:bidi w:val="0"/>
        <w:spacing w:before="0" w:line="312" w:lineRule="auto"/>
        <w:jc w:val="center"/>
        <w:textAlignment w:val="auto"/>
        <w:rPr>
          <w:rFonts w:hint="eastAsia" w:ascii="微软雅黑" w:hAnsi="微软雅黑" w:eastAsia="微软雅黑" w:cs="微软雅黑"/>
          <w:color w:val="auto"/>
          <w:sz w:val="22"/>
          <w:szCs w:val="22"/>
          <w:highlight w:val="none"/>
        </w:rPr>
      </w:pPr>
      <w:bookmarkStart w:id="249" w:name="_Toc3872"/>
      <w:bookmarkStart w:id="250" w:name="_Toc518923104"/>
      <w:bookmarkStart w:id="251" w:name="_Toc16485"/>
      <w:r>
        <w:rPr>
          <w:rFonts w:hint="eastAsia" w:ascii="微软雅黑" w:hAnsi="微软雅黑" w:eastAsia="微软雅黑" w:cs="微软雅黑"/>
          <w:color w:val="auto"/>
          <w:sz w:val="22"/>
          <w:szCs w:val="22"/>
          <w:highlight w:val="none"/>
        </w:rPr>
        <w:t>附件1：履约保证金保函</w:t>
      </w:r>
      <w:bookmarkEnd w:id="249"/>
    </w:p>
    <w:p w14:paraId="2F66E8AF">
      <w:pPr>
        <w:pStyle w:val="3"/>
        <w:pageBreakBefore w:val="0"/>
        <w:widowControl w:val="0"/>
        <w:kinsoku/>
        <w:wordWrap/>
        <w:overflowPunct/>
        <w:topLinePunct w:val="0"/>
        <w:bidi w:val="0"/>
        <w:spacing w:before="0" w:line="312" w:lineRule="auto"/>
        <w:jc w:val="center"/>
        <w:textAlignment w:val="auto"/>
        <w:rPr>
          <w:rFonts w:hint="eastAsia" w:ascii="微软雅黑" w:hAnsi="微软雅黑" w:eastAsia="微软雅黑" w:cs="微软雅黑"/>
          <w:b/>
          <w:color w:val="auto"/>
          <w:sz w:val="22"/>
          <w:szCs w:val="22"/>
          <w:highlight w:val="none"/>
        </w:rPr>
      </w:pPr>
      <w:bookmarkStart w:id="252" w:name="_Toc16607"/>
      <w:bookmarkStart w:id="253" w:name="_Toc515647801"/>
      <w:bookmarkStart w:id="254" w:name="_Toc162"/>
      <w:bookmarkStart w:id="255" w:name="_Toc9613"/>
      <w:bookmarkStart w:id="256" w:name="_Toc13962"/>
      <w:bookmarkStart w:id="257" w:name="_Toc1768"/>
      <w:r>
        <w:rPr>
          <w:rFonts w:hint="eastAsia" w:ascii="微软雅黑" w:hAnsi="微软雅黑" w:eastAsia="微软雅黑" w:cs="微软雅黑"/>
          <w:b/>
          <w:color w:val="auto"/>
          <w:sz w:val="22"/>
          <w:szCs w:val="22"/>
          <w:highlight w:val="none"/>
          <w:lang w:val="en-US" w:eastAsia="zh-CN"/>
        </w:rPr>
        <w:t>(</w:t>
      </w:r>
      <w:bookmarkEnd w:id="252"/>
      <w:bookmarkEnd w:id="253"/>
      <w:bookmarkEnd w:id="254"/>
      <w:bookmarkEnd w:id="255"/>
      <w:bookmarkEnd w:id="256"/>
      <w:r>
        <w:rPr>
          <w:rFonts w:hint="eastAsia" w:ascii="微软雅黑" w:hAnsi="微软雅黑" w:eastAsia="微软雅黑" w:cs="微软雅黑"/>
          <w:b/>
          <w:color w:val="auto"/>
          <w:sz w:val="22"/>
          <w:szCs w:val="22"/>
          <w:highlight w:val="none"/>
        </w:rPr>
        <w:t>中标后开具）</w:t>
      </w:r>
      <w:bookmarkEnd w:id="257"/>
    </w:p>
    <w:p w14:paraId="3CD1A9B2">
      <w:pPr>
        <w:pStyle w:val="15"/>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致: (</w:t>
      </w:r>
      <w:r>
        <w:rPr>
          <w:rFonts w:hint="eastAsia" w:ascii="微软雅黑" w:hAnsi="微软雅黑" w:eastAsia="微软雅黑" w:cs="微软雅黑"/>
          <w:i/>
          <w:color w:val="auto"/>
          <w:sz w:val="22"/>
          <w:szCs w:val="22"/>
          <w:highlight w:val="none"/>
          <w:u w:val="single"/>
          <w:lang w:eastAsia="zh-CN"/>
        </w:rPr>
        <w:t>采购人</w:t>
      </w:r>
      <w:r>
        <w:rPr>
          <w:rFonts w:hint="eastAsia" w:ascii="微软雅黑" w:hAnsi="微软雅黑" w:eastAsia="微软雅黑" w:cs="微软雅黑"/>
          <w:color w:val="auto"/>
          <w:sz w:val="22"/>
          <w:szCs w:val="22"/>
          <w:highlight w:val="none"/>
        </w:rPr>
        <w:t>)</w:t>
      </w:r>
    </w:p>
    <w:p w14:paraId="2D80CD39">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号合同履约保函</w:t>
      </w:r>
    </w:p>
    <w:p w14:paraId="395D9C59">
      <w:pPr>
        <w:pStyle w:val="15"/>
        <w:keepNext w:val="0"/>
        <w:keepLines w:val="0"/>
        <w:pageBreakBefore w:val="0"/>
        <w:widowControl w:val="0"/>
        <w:kinsoku/>
        <w:wordWrap/>
        <w:overflowPunct/>
        <w:topLinePunct w:val="0"/>
        <w:autoSpaceDE/>
        <w:autoSpaceDN/>
        <w:bidi w:val="0"/>
        <w:adjustRightInd/>
        <w:snapToGrid w:val="0"/>
        <w:spacing w:line="312" w:lineRule="auto"/>
        <w:ind w:firstLine="550" w:firstLineChars="2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本保函作为贵方与(</w:t>
      </w:r>
      <w:r>
        <w:rPr>
          <w:rFonts w:hint="eastAsia" w:ascii="微软雅黑" w:hAnsi="微软雅黑" w:eastAsia="微软雅黑" w:cs="微软雅黑"/>
          <w:i/>
          <w:color w:val="auto"/>
          <w:sz w:val="22"/>
          <w:szCs w:val="22"/>
          <w:highlight w:val="none"/>
          <w:u w:val="single"/>
        </w:rPr>
        <w:t>卖方名称</w:t>
      </w:r>
      <w:r>
        <w:rPr>
          <w:rFonts w:hint="eastAsia" w:ascii="微软雅黑" w:hAnsi="微软雅黑" w:eastAsia="微软雅黑" w:cs="微软雅黑"/>
          <w:color w:val="auto"/>
          <w:sz w:val="22"/>
          <w:szCs w:val="22"/>
          <w:highlight w:val="none"/>
        </w:rPr>
        <w:t>)(以下简称卖方)于</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日就</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项目(以下简称项目)项下提供(</w:t>
      </w:r>
      <w:r>
        <w:rPr>
          <w:rFonts w:hint="eastAsia" w:ascii="微软雅黑" w:hAnsi="微软雅黑" w:eastAsia="微软雅黑" w:cs="微软雅黑"/>
          <w:i/>
          <w:color w:val="auto"/>
          <w:sz w:val="22"/>
          <w:szCs w:val="22"/>
          <w:highlight w:val="none"/>
          <w:u w:val="single"/>
        </w:rPr>
        <w:t>服务名称</w:t>
      </w:r>
      <w:r>
        <w:rPr>
          <w:rFonts w:hint="eastAsia" w:ascii="微软雅黑" w:hAnsi="微软雅黑" w:eastAsia="微软雅黑" w:cs="微软雅黑"/>
          <w:color w:val="auto"/>
          <w:sz w:val="22"/>
          <w:szCs w:val="22"/>
          <w:highlight w:val="none"/>
        </w:rPr>
        <w:t>)(以下简称服务)签订的(</w:t>
      </w:r>
      <w:r>
        <w:rPr>
          <w:rFonts w:hint="eastAsia" w:ascii="微软雅黑" w:hAnsi="微软雅黑" w:eastAsia="微软雅黑" w:cs="微软雅黑"/>
          <w:i/>
          <w:color w:val="auto"/>
          <w:sz w:val="22"/>
          <w:szCs w:val="22"/>
          <w:highlight w:val="none"/>
          <w:u w:val="single"/>
        </w:rPr>
        <w:t>合同号</w:t>
      </w:r>
      <w:r>
        <w:rPr>
          <w:rFonts w:hint="eastAsia" w:ascii="微软雅黑" w:hAnsi="微软雅黑" w:eastAsia="微软雅黑" w:cs="微软雅黑"/>
          <w:color w:val="auto"/>
          <w:sz w:val="22"/>
          <w:szCs w:val="22"/>
          <w:highlight w:val="none"/>
        </w:rPr>
        <w:t>)号合同的履约保函。</w:t>
      </w:r>
    </w:p>
    <w:p w14:paraId="6A3C2EF7">
      <w:pPr>
        <w:pStyle w:val="15"/>
        <w:keepNext w:val="0"/>
        <w:keepLines w:val="0"/>
        <w:pageBreakBefore w:val="0"/>
        <w:widowControl w:val="0"/>
        <w:kinsoku/>
        <w:wordWrap/>
        <w:overflowPunct/>
        <w:topLinePunct w:val="0"/>
        <w:autoSpaceDE/>
        <w:autoSpaceDN/>
        <w:bidi w:val="0"/>
        <w:adjustRightInd/>
        <w:snapToGrid w:val="0"/>
        <w:spacing w:line="312" w:lineRule="auto"/>
        <w:ind w:firstLine="495" w:firstLineChars="2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i/>
          <w:color w:val="auto"/>
          <w:sz w:val="22"/>
          <w:szCs w:val="22"/>
          <w:highlight w:val="none"/>
          <w:u w:val="single"/>
        </w:rPr>
        <w:t>出具保函的银行名称</w:t>
      </w:r>
      <w:r>
        <w:rPr>
          <w:rFonts w:hint="eastAsia" w:ascii="微软雅黑" w:hAnsi="微软雅黑" w:eastAsia="微软雅黑" w:cs="微软雅黑"/>
          <w:color w:val="auto"/>
          <w:sz w:val="22"/>
          <w:szCs w:val="22"/>
          <w:highlight w:val="none"/>
        </w:rPr>
        <w:t>)(以下简称银行)无条件地、不可撤销地具结保证本行、其继承人和受让人无追索地向贵方以(</w:t>
      </w:r>
      <w:r>
        <w:rPr>
          <w:rFonts w:hint="eastAsia" w:ascii="微软雅黑" w:hAnsi="微软雅黑" w:eastAsia="微软雅黑" w:cs="微软雅黑"/>
          <w:i/>
          <w:color w:val="auto"/>
          <w:sz w:val="22"/>
          <w:szCs w:val="22"/>
          <w:highlight w:val="none"/>
          <w:u w:val="single"/>
        </w:rPr>
        <w:t>货币名称</w:t>
      </w:r>
      <w:r>
        <w:rPr>
          <w:rFonts w:hint="eastAsia" w:ascii="微软雅黑" w:hAnsi="微软雅黑" w:eastAsia="微软雅黑" w:cs="微软雅黑"/>
          <w:color w:val="auto"/>
          <w:sz w:val="22"/>
          <w:szCs w:val="22"/>
          <w:highlight w:val="none"/>
        </w:rPr>
        <w:t>)支付总额不超过(</w:t>
      </w:r>
      <w:r>
        <w:rPr>
          <w:rFonts w:hint="eastAsia" w:ascii="微软雅黑" w:hAnsi="微软雅黑" w:eastAsia="微软雅黑" w:cs="微软雅黑"/>
          <w:i/>
          <w:color w:val="auto"/>
          <w:sz w:val="22"/>
          <w:szCs w:val="22"/>
          <w:highlight w:val="none"/>
          <w:u w:val="single"/>
        </w:rPr>
        <w:t>货币数量</w:t>
      </w:r>
      <w:r>
        <w:rPr>
          <w:rFonts w:hint="eastAsia" w:ascii="微软雅黑" w:hAnsi="微软雅黑" w:eastAsia="微软雅黑" w:cs="微软雅黑"/>
          <w:color w:val="auto"/>
          <w:sz w:val="22"/>
          <w:szCs w:val="22"/>
          <w:highlight w:val="none"/>
        </w:rPr>
        <w:t>),即相当于合同价格的</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%,并以此约定如下:</w:t>
      </w:r>
    </w:p>
    <w:p w14:paraId="0B3190C1">
      <w:pPr>
        <w:pStyle w:val="15"/>
        <w:keepNext w:val="0"/>
        <w:keepLines w:val="0"/>
        <w:pageBreakBefore w:val="0"/>
        <w:widowControl w:val="0"/>
        <w:kinsoku/>
        <w:wordWrap/>
        <w:overflowPunct/>
        <w:topLinePunct w:val="0"/>
        <w:autoSpaceDE/>
        <w:autoSpaceDN/>
        <w:bidi w:val="0"/>
        <w:adjustRightInd/>
        <w:snapToGrid w:val="0"/>
        <w:spacing w:line="312" w:lineRule="auto"/>
        <w:ind w:left="539" w:leftChars="25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631DFF29">
      <w:pPr>
        <w:pStyle w:val="15"/>
        <w:keepNext w:val="0"/>
        <w:keepLines w:val="0"/>
        <w:pageBreakBefore w:val="0"/>
        <w:widowControl w:val="0"/>
        <w:kinsoku/>
        <w:wordWrap/>
        <w:overflowPunct/>
        <w:topLinePunct w:val="0"/>
        <w:autoSpaceDE/>
        <w:autoSpaceDN/>
        <w:bidi w:val="0"/>
        <w:adjustRightInd/>
        <w:snapToGrid w:val="0"/>
        <w:spacing w:line="312" w:lineRule="auto"/>
        <w:ind w:left="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2.本保函项下的任何支付应为免税和净值。对于现有或将来的税收、关税、收费、费用扣减或预提税款，不论这些款项是何种性质和由谁征收，都不应从本保函项下的支付中扣除。</w:t>
      </w:r>
    </w:p>
    <w:p w14:paraId="3317D8C1">
      <w:pPr>
        <w:pStyle w:val="15"/>
        <w:keepNext w:val="0"/>
        <w:keepLines w:val="0"/>
        <w:pageBreakBefore w:val="0"/>
        <w:widowControl w:val="0"/>
        <w:kinsoku/>
        <w:wordWrap/>
        <w:overflowPunct/>
        <w:topLinePunct w:val="0"/>
        <w:autoSpaceDE/>
        <w:autoSpaceDN/>
        <w:bidi w:val="0"/>
        <w:adjustRightInd/>
        <w:snapToGrid w:val="0"/>
        <w:spacing w:line="312" w:lineRule="auto"/>
        <w:ind w:left="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75E80AC7">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4.本保函在本合同规定的保证期期满前完全有效。</w:t>
      </w:r>
    </w:p>
    <w:p w14:paraId="432DC8BB">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rPr>
      </w:pPr>
    </w:p>
    <w:p w14:paraId="0668FD98">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谨启</w:t>
      </w:r>
    </w:p>
    <w:p w14:paraId="1DE98B3D">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出具保函银行名称：</w:t>
      </w:r>
      <w:r>
        <w:rPr>
          <w:rFonts w:hint="eastAsia" w:ascii="微软雅黑" w:hAnsi="微软雅黑" w:eastAsia="微软雅黑" w:cs="微软雅黑"/>
          <w:color w:val="auto"/>
          <w:sz w:val="22"/>
          <w:szCs w:val="22"/>
          <w:highlight w:val="none"/>
          <w:u w:val="single"/>
        </w:rPr>
        <w:t xml:space="preserve">                             </w:t>
      </w:r>
    </w:p>
    <w:p w14:paraId="6C62D739">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签字人姓名和职务：</w:t>
      </w:r>
      <w:r>
        <w:rPr>
          <w:rFonts w:hint="eastAsia" w:ascii="微软雅黑" w:hAnsi="微软雅黑" w:eastAsia="微软雅黑" w:cs="微软雅黑"/>
          <w:color w:val="auto"/>
          <w:sz w:val="22"/>
          <w:szCs w:val="22"/>
          <w:highlight w:val="none"/>
          <w:u w:val="single"/>
        </w:rPr>
        <w:t xml:space="preserve">                             </w:t>
      </w:r>
    </w:p>
    <w:p w14:paraId="659B19A1">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签字人签名：</w:t>
      </w:r>
      <w:r>
        <w:rPr>
          <w:rFonts w:hint="eastAsia" w:ascii="微软雅黑" w:hAnsi="微软雅黑" w:eastAsia="微软雅黑" w:cs="微软雅黑"/>
          <w:color w:val="auto"/>
          <w:sz w:val="22"/>
          <w:szCs w:val="22"/>
          <w:highlight w:val="none"/>
          <w:u w:val="single"/>
        </w:rPr>
        <w:t xml:space="preserve">                                   </w:t>
      </w:r>
    </w:p>
    <w:p w14:paraId="498F3F49">
      <w:pPr>
        <w:pStyle w:val="15"/>
        <w:keepNext w:val="0"/>
        <w:keepLines w:val="0"/>
        <w:pageBreakBefore w:val="0"/>
        <w:widowControl w:val="0"/>
        <w:kinsoku/>
        <w:wordWrap/>
        <w:overflowPunct/>
        <w:topLinePunct w:val="0"/>
        <w:autoSpaceDE/>
        <w:autoSpaceDN/>
        <w:bidi w:val="0"/>
        <w:adjustRightInd/>
        <w:snapToGrid w:val="0"/>
        <w:spacing w:line="312" w:lineRule="auto"/>
        <w:ind w:left="1079" w:leftChars="257" w:hanging="540"/>
        <w:textAlignment w:val="auto"/>
        <w:rPr>
          <w:rFonts w:hint="eastAsia" w:ascii="微软雅黑" w:hAnsi="微软雅黑" w:eastAsia="微软雅黑" w:cs="微软雅黑"/>
          <w:color w:val="auto"/>
          <w:sz w:val="22"/>
          <w:szCs w:val="22"/>
          <w:highlight w:val="none"/>
          <w:u w:val="single"/>
        </w:rPr>
      </w:pP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u w:val="single"/>
        </w:rPr>
        <w:t xml:space="preserve">                                         </w:t>
      </w:r>
    </w:p>
    <w:p w14:paraId="00CF346C">
      <w:pPr>
        <w:pStyle w:val="3"/>
        <w:pageBreakBefore w:val="0"/>
        <w:widowControl w:val="0"/>
        <w:kinsoku/>
        <w:wordWrap/>
        <w:overflowPunct/>
        <w:topLinePunct w:val="0"/>
        <w:bidi w:val="0"/>
        <w:spacing w:before="0" w:line="312" w:lineRule="auto"/>
        <w:jc w:val="both"/>
        <w:textAlignment w:val="auto"/>
        <w:rPr>
          <w:rFonts w:hint="eastAsia" w:ascii="微软雅黑" w:hAnsi="微软雅黑" w:eastAsia="微软雅黑" w:cs="微软雅黑"/>
          <w:color w:val="auto"/>
          <w:sz w:val="21"/>
          <w:szCs w:val="21"/>
          <w:highlight w:val="none"/>
        </w:rPr>
        <w:sectPr>
          <w:pgSz w:w="11906" w:h="16838"/>
          <w:pgMar w:top="1440" w:right="1080" w:bottom="1440" w:left="1080" w:header="851" w:footer="992" w:gutter="0"/>
          <w:pgNumType w:fmt="decimal"/>
          <w:cols w:space="720" w:num="1"/>
          <w:docGrid w:type="linesAndChars" w:linePitch="312" w:charSpace="0"/>
        </w:sectPr>
      </w:pPr>
    </w:p>
    <w:p w14:paraId="3637335B">
      <w:pPr>
        <w:pStyle w:val="3"/>
        <w:pageBreakBefore w:val="0"/>
        <w:widowControl w:val="0"/>
        <w:kinsoku/>
        <w:wordWrap/>
        <w:overflowPunct/>
        <w:topLinePunct w:val="0"/>
        <w:bidi w:val="0"/>
        <w:adjustRightInd w:val="0"/>
        <w:snapToGrid w:val="0"/>
        <w:spacing w:before="0" w:line="312" w:lineRule="auto"/>
        <w:ind w:left="1079" w:leftChars="257" w:hanging="540"/>
        <w:textAlignment w:val="auto"/>
        <w:rPr>
          <w:rFonts w:hint="eastAsia" w:ascii="微软雅黑" w:hAnsi="微软雅黑" w:eastAsia="微软雅黑" w:cs="微软雅黑"/>
          <w:color w:val="auto"/>
          <w:sz w:val="22"/>
          <w:szCs w:val="22"/>
          <w:highlight w:val="none"/>
        </w:rPr>
      </w:pPr>
      <w:bookmarkStart w:id="258" w:name="_Toc4693"/>
      <w:r>
        <w:rPr>
          <w:rFonts w:hint="eastAsia" w:ascii="微软雅黑" w:hAnsi="微软雅黑" w:eastAsia="微软雅黑" w:cs="微软雅黑"/>
          <w:color w:val="auto"/>
          <w:sz w:val="22"/>
          <w:szCs w:val="22"/>
          <w:highlight w:val="none"/>
        </w:rPr>
        <w:t>附件2：</w:t>
      </w:r>
      <w:bookmarkEnd w:id="250"/>
      <w:bookmarkEnd w:id="251"/>
      <w:r>
        <w:rPr>
          <w:rFonts w:hint="eastAsia" w:ascii="微软雅黑" w:hAnsi="微软雅黑" w:eastAsia="微软雅黑" w:cs="微软雅黑"/>
          <w:color w:val="auto"/>
          <w:sz w:val="22"/>
          <w:szCs w:val="22"/>
          <w:highlight w:val="none"/>
        </w:rPr>
        <w:t>政府采购履约担保函</w:t>
      </w:r>
      <w:bookmarkEnd w:id="258"/>
    </w:p>
    <w:p w14:paraId="1DCB3E6A">
      <w:pPr>
        <w:pStyle w:val="3"/>
        <w:pageBreakBefore w:val="0"/>
        <w:widowControl w:val="0"/>
        <w:kinsoku/>
        <w:wordWrap/>
        <w:overflowPunct/>
        <w:topLinePunct w:val="0"/>
        <w:bidi w:val="0"/>
        <w:adjustRightInd w:val="0"/>
        <w:snapToGrid w:val="0"/>
        <w:spacing w:before="0" w:line="312" w:lineRule="auto"/>
        <w:ind w:left="1079" w:leftChars="257" w:hanging="540"/>
        <w:textAlignment w:val="auto"/>
        <w:rPr>
          <w:rFonts w:hint="eastAsia" w:ascii="微软雅黑" w:hAnsi="微软雅黑" w:eastAsia="微软雅黑" w:cs="微软雅黑"/>
          <w:b w:val="0"/>
          <w:color w:val="auto"/>
          <w:kern w:val="0"/>
          <w:sz w:val="22"/>
          <w:szCs w:val="22"/>
          <w:highlight w:val="none"/>
        </w:rPr>
      </w:pPr>
      <w:bookmarkStart w:id="259" w:name="_Toc26934"/>
      <w:bookmarkStart w:id="260" w:name="_Toc28268"/>
      <w:bookmarkStart w:id="261" w:name="_Toc515904842"/>
      <w:bookmarkStart w:id="262" w:name="_Toc518923105"/>
      <w:r>
        <w:rPr>
          <w:rFonts w:hint="eastAsia" w:ascii="微软雅黑" w:hAnsi="微软雅黑" w:eastAsia="微软雅黑" w:cs="微软雅黑"/>
          <w:color w:val="auto"/>
          <w:sz w:val="22"/>
          <w:szCs w:val="22"/>
          <w:highlight w:val="none"/>
        </w:rPr>
        <w:t>（采用政府采购信用担保形式时使用）</w:t>
      </w:r>
      <w:bookmarkEnd w:id="259"/>
      <w:bookmarkEnd w:id="260"/>
      <w:bookmarkEnd w:id="261"/>
      <w:bookmarkEnd w:id="262"/>
    </w:p>
    <w:p w14:paraId="1EE39C29">
      <w:pPr>
        <w:pageBreakBefore w:val="0"/>
        <w:widowControl w:val="0"/>
        <w:kinsoku/>
        <w:wordWrap/>
        <w:overflowPunct/>
        <w:topLinePunct w:val="0"/>
        <w:bidi w:val="0"/>
        <w:adjustRightInd w:val="0"/>
        <w:snapToGrid w:val="0"/>
        <w:spacing w:line="312"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编号：</w:t>
      </w:r>
    </w:p>
    <w:p w14:paraId="19F1B305">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（采购人）：</w:t>
      </w:r>
    </w:p>
    <w:p w14:paraId="048EDCCB">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鉴于你方与</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（以下简称</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）于</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日签定编号为   的《</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政府采购合同》（以下简称主合同），且依据该合同的约定，</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应在</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年</w:t>
      </w:r>
    </w:p>
    <w:p w14:paraId="5C864228">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日前向你方交纳履约保证金，且可以履约担保函的形式交纳履约保证金。应</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的申请，我方以保证的方式向你方提供如下履约保证金担保：</w:t>
      </w:r>
    </w:p>
    <w:p w14:paraId="413EFA1D">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一、保证责任的情形及保证金额</w:t>
      </w:r>
    </w:p>
    <w:p w14:paraId="192C18B2">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（一）在</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出现下列情形之一时，我方承担保证责任：</w:t>
      </w:r>
    </w:p>
    <w:p w14:paraId="7DC9F368">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1．将中标项目转让给他人，或者在投标文件中未说明，且未经采购招标机构人同意，将中标项目分包给他人的；</w:t>
      </w:r>
    </w:p>
    <w:p w14:paraId="7EC1F848">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2．主合同约定的应当缴纳履约保证金的情形: </w:t>
      </w:r>
    </w:p>
    <w:p w14:paraId="6074A565">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（1）未按主合同约定的质量、数量和期限供应货物/提供服务/完成工程的；</w:t>
      </w:r>
    </w:p>
    <w:p w14:paraId="6BE6F9E2">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p>
    <w:p w14:paraId="10B1B5FB">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（二）我方的保证范围是主合同约定的合同价款总额的</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%数额为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元（大写</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），币种为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。（即主合同履约保证金金额）</w:t>
      </w:r>
    </w:p>
    <w:p w14:paraId="7F8F13B1">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二、保证的方式及保证期间</w:t>
      </w:r>
    </w:p>
    <w:p w14:paraId="3D2EDE9C">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我方保证的方式为：连带责任保证。</w:t>
      </w:r>
    </w:p>
    <w:p w14:paraId="5C1B2162">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我方保证的期间为：自本合同生效之日起至</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按照主合同约定的供货/完工期限届满后</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日内。</w:t>
      </w:r>
    </w:p>
    <w:p w14:paraId="4EE41578">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如果</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未按主合同约定向贵方供应货物/提供服务/完成工程的，由我方在保证金额内向你方支付上述款项。</w:t>
      </w:r>
    </w:p>
    <w:p w14:paraId="4D1F1C83">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三、承担保证责任的程序</w:t>
      </w:r>
    </w:p>
    <w:p w14:paraId="1B0F0FE7">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1．你方要求我方承担保证责任的，应在本保函保证期间内向我方发出书面索赔通知。索赔通知应写明要求索赔的金额，支付款项应到达的帐号。并附有证明</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违约事实的证明材料。</w:t>
      </w:r>
    </w:p>
    <w:p w14:paraId="3F672317">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如果你方与</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因货物质量问题产生争议，你方还需同时提供</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部门出具的质量检测报告，或经诉讼（仲裁）程序裁决后的裁决书、调解书，本保证人即按照检测结果或裁决书、调解书决定是否承担保证责任。</w:t>
      </w:r>
    </w:p>
    <w:p w14:paraId="4FDA1392">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 我方收到你方的书面索赔通知及相应证明材料，在</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工作日内进行核定后按照本保函的承诺承担保证责任。</w:t>
      </w:r>
    </w:p>
    <w:p w14:paraId="71EB5A90">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四、保证责任的终止</w:t>
      </w:r>
    </w:p>
    <w:p w14:paraId="05315846">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6AE1BED">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2．我方按照本保函向你方履行了保证责任后，自我方向你方支付款项（支付款项从我方账户划出）之日起，保证责任即终止。</w:t>
      </w:r>
    </w:p>
    <w:p w14:paraId="5288F7DF">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3．按照法律法规的规定或出现应终止我方保证责任的其它情形的，我方在本保函项下的保证责任亦终止。</w:t>
      </w:r>
    </w:p>
    <w:p w14:paraId="1BC97957">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4．你方与</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修改主合同，加重我方保证责任的，我方对加重部分不承担保证责任，但该等修改事先经我方书面同意的除外；你方与</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修改主合同履行期限，我方保证期间仍依修改前的履行期限计算，但该等修改事先经我方书面同意的除外。</w:t>
      </w:r>
    </w:p>
    <w:p w14:paraId="2D26725E">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五、免责条款</w:t>
      </w:r>
    </w:p>
    <w:p w14:paraId="376ECDD4">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1．因你方违反主合同约定致使</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不能履行义务的，我方不承担保证责任。</w:t>
      </w:r>
    </w:p>
    <w:p w14:paraId="3B1B3D77">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2．依照法律法规的规定或你方与</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的另行约定，全部或者部分免除</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应缴纳的保证金义务的，我方亦免除相应的保证责任。</w:t>
      </w:r>
    </w:p>
    <w:p w14:paraId="3D5B2A49">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3．因不可抗力造成</w:t>
      </w:r>
      <w:r>
        <w:rPr>
          <w:rFonts w:hint="eastAsia" w:ascii="微软雅黑" w:hAnsi="微软雅黑" w:eastAsia="微软雅黑" w:cs="微软雅黑"/>
          <w:b w:val="0"/>
          <w:i w:val="0"/>
          <w:color w:val="auto"/>
          <w:sz w:val="22"/>
          <w:szCs w:val="22"/>
          <w:highlight w:val="none"/>
          <w:lang w:eastAsia="zh-CN"/>
        </w:rPr>
        <w:t>投标人</w:t>
      </w:r>
      <w:r>
        <w:rPr>
          <w:rFonts w:hint="eastAsia" w:ascii="微软雅黑" w:hAnsi="微软雅黑" w:eastAsia="微软雅黑" w:cs="微软雅黑"/>
          <w:color w:val="auto"/>
          <w:sz w:val="22"/>
          <w:szCs w:val="22"/>
          <w:highlight w:val="none"/>
        </w:rPr>
        <w:t>不能履行供货义务的，我方不承担保证责任。</w:t>
      </w:r>
    </w:p>
    <w:p w14:paraId="33F9803A">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六、争议的解决</w:t>
      </w:r>
    </w:p>
    <w:p w14:paraId="00F8FEED">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因本保函发生的纠纷，由你我双方协商解决，协商不成的，通过诉讼程序解决，诉讼管辖地法院为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法院。</w:t>
      </w:r>
    </w:p>
    <w:p w14:paraId="2DDE01A6">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七、保函的生效</w:t>
      </w:r>
    </w:p>
    <w:p w14:paraId="1A0DF538">
      <w:pPr>
        <w:keepNext w:val="0"/>
        <w:keepLines w:val="0"/>
        <w:pageBreakBefore w:val="0"/>
        <w:widowControl w:val="0"/>
        <w:kinsoku/>
        <w:wordWrap/>
        <w:overflowPunct/>
        <w:topLinePunct w:val="0"/>
        <w:autoSpaceDE/>
        <w:autoSpaceDN/>
        <w:bidi w:val="0"/>
        <w:adjustRightInd w:val="0"/>
        <w:snapToGrid w:val="0"/>
        <w:spacing w:line="312" w:lineRule="auto"/>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本保函自我方加盖公章之日起生效。</w:t>
      </w:r>
    </w:p>
    <w:p w14:paraId="4DDB9270">
      <w:pPr>
        <w:pageBreakBefore w:val="0"/>
        <w:widowControl w:val="0"/>
        <w:kinsoku/>
        <w:wordWrap/>
        <w:overflowPunct/>
        <w:topLinePunct w:val="0"/>
        <w:bidi w:val="0"/>
        <w:adjustRightInd w:val="0"/>
        <w:snapToGrid w:val="0"/>
        <w:spacing w:line="312" w:lineRule="auto"/>
        <w:ind w:firstLine="4950" w:firstLineChars="22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保证人：（公章）</w:t>
      </w:r>
    </w:p>
    <w:p w14:paraId="0E1C657A">
      <w:pPr>
        <w:pageBreakBefore w:val="0"/>
        <w:widowControl w:val="0"/>
        <w:kinsoku/>
        <w:wordWrap/>
        <w:overflowPunct/>
        <w:topLinePunct w:val="0"/>
        <w:bidi w:val="0"/>
        <w:adjustRightInd w:val="0"/>
        <w:snapToGrid w:val="0"/>
        <w:spacing w:line="312" w:lineRule="auto"/>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年     月      日</w:t>
      </w:r>
    </w:p>
    <w:p w14:paraId="7EEB4D9E">
      <w:pPr>
        <w:pageBreakBefore w:val="0"/>
        <w:kinsoku/>
        <w:wordWrap/>
        <w:overflowPunct/>
        <w:topLinePunct w:val="0"/>
        <w:bidi w:val="0"/>
        <w:adjustRightInd w:val="0"/>
        <w:snapToGrid w:val="0"/>
        <w:spacing w:line="288" w:lineRule="auto"/>
        <w:textAlignment w:val="auto"/>
        <w:rPr>
          <w:rFonts w:hint="eastAsia" w:ascii="微软雅黑 Light" w:hAnsi="微软雅黑 Light" w:eastAsia="微软雅黑 Light" w:cs="微软雅黑 Light"/>
          <w:color w:val="auto"/>
          <w:sz w:val="28"/>
          <w:szCs w:val="28"/>
          <w:highlight w:val="none"/>
        </w:rPr>
      </w:pPr>
    </w:p>
    <w:p w14:paraId="032C90A6">
      <w:pPr>
        <w:jc w:val="center"/>
        <w:outlineLvl w:val="1"/>
        <w:rPr>
          <w:rFonts w:hint="eastAsia" w:ascii="微软雅黑 Light" w:hAnsi="微软雅黑 Light" w:eastAsia="微软雅黑 Light" w:cs="微软雅黑 Light"/>
          <w:b/>
          <w:bCs/>
          <w:color w:val="auto"/>
          <w:sz w:val="24"/>
          <w:highlight w:val="none"/>
        </w:rPr>
        <w:sectPr>
          <w:pgSz w:w="11906" w:h="16838"/>
          <w:pgMar w:top="1440" w:right="1080" w:bottom="1440" w:left="1080" w:header="851" w:footer="992" w:gutter="0"/>
          <w:pgNumType w:fmt="decimal"/>
          <w:cols w:space="720" w:num="1"/>
          <w:docGrid w:type="linesAndChars" w:linePitch="312" w:charSpace="0"/>
        </w:sectPr>
      </w:pPr>
    </w:p>
    <w:p w14:paraId="67D64947">
      <w:pPr>
        <w:pStyle w:val="2"/>
        <w:numPr>
          <w:ilvl w:val="0"/>
          <w:numId w:val="0"/>
        </w:numPr>
        <w:tabs>
          <w:tab w:val="left" w:pos="0"/>
        </w:tabs>
        <w:spacing w:before="0" w:after="0" w:line="240" w:lineRule="atLeast"/>
        <w:ind w:leftChars="0"/>
        <w:jc w:val="center"/>
        <w:rPr>
          <w:rFonts w:hint="eastAsia" w:ascii="微软雅黑" w:hAnsi="微软雅黑" w:eastAsia="微软雅黑" w:cs="微软雅黑"/>
          <w:b/>
          <w:color w:val="auto"/>
          <w:kern w:val="2"/>
          <w:sz w:val="32"/>
          <w:szCs w:val="32"/>
          <w:highlight w:val="none"/>
          <w:lang w:val="en-US" w:eastAsia="zh-CN" w:bidi="ar-SA"/>
        </w:rPr>
      </w:pPr>
      <w:bookmarkStart w:id="263" w:name="_Toc216582812"/>
      <w:bookmarkStart w:id="264" w:name="_Toc6909"/>
      <w:r>
        <w:rPr>
          <w:rFonts w:hint="eastAsia" w:ascii="微软雅黑" w:hAnsi="微软雅黑" w:eastAsia="微软雅黑" w:cs="微软雅黑"/>
          <w:b/>
          <w:color w:val="auto"/>
          <w:kern w:val="2"/>
          <w:sz w:val="32"/>
          <w:szCs w:val="32"/>
          <w:highlight w:val="none"/>
          <w:lang w:val="en-US" w:eastAsia="zh-CN" w:bidi="ar-SA"/>
        </w:rPr>
        <w:t xml:space="preserve">第2章 </w:t>
      </w:r>
      <w:bookmarkStart w:id="265" w:name="_Toc17612"/>
      <w:bookmarkStart w:id="266" w:name="_Toc518923106"/>
      <w:r>
        <w:rPr>
          <w:rFonts w:hint="eastAsia" w:ascii="微软雅黑" w:hAnsi="微软雅黑" w:eastAsia="微软雅黑" w:cs="微软雅黑"/>
          <w:b/>
          <w:color w:val="auto"/>
          <w:kern w:val="2"/>
          <w:sz w:val="32"/>
          <w:szCs w:val="32"/>
          <w:highlight w:val="none"/>
          <w:lang w:val="en-US" w:eastAsia="zh-CN" w:bidi="ar-SA"/>
        </w:rPr>
        <w:t>投标文件格式</w:t>
      </w:r>
      <w:bookmarkEnd w:id="263"/>
      <w:bookmarkEnd w:id="264"/>
      <w:bookmarkEnd w:id="265"/>
      <w:bookmarkEnd w:id="266"/>
      <w:bookmarkStart w:id="267" w:name="_Toc22494"/>
      <w:bookmarkStart w:id="268" w:name="_Toc518923107"/>
    </w:p>
    <w:tbl>
      <w:tblPr>
        <w:tblStyle w:val="38"/>
        <w:tblpPr w:leftFromText="180" w:rightFromText="180" w:vertAnchor="text" w:horzAnchor="page" w:tblpX="1270" w:tblpY="275"/>
        <w:tblOverlap w:val="never"/>
        <w:tblW w:w="964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640"/>
      </w:tblGrid>
      <w:tr w14:paraId="7186F2B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826" w:hRule="atLeast"/>
        </w:trPr>
        <w:tc>
          <w:tcPr>
            <w:tcW w:w="9640" w:type="dxa"/>
            <w:shd w:val="clear" w:color="auto" w:fill="FCFEEA"/>
            <w:noWrap w:val="0"/>
            <w:vAlign w:val="top"/>
          </w:tcPr>
          <w:p w14:paraId="27E40A93">
            <w:pPr>
              <w:pStyle w:val="12"/>
              <w:keepNext w:val="0"/>
              <w:keepLines w:val="0"/>
              <w:suppressLineNumbers w:val="0"/>
              <w:shd w:val="clear" w:color="auto" w:fill="auto"/>
              <w:spacing w:beforeAutospacing="0" w:after="0" w:afterAutospacing="0"/>
              <w:ind w:left="0" w:right="0" w:firstLine="4200" w:firstLineChars="1500"/>
              <w:rPr>
                <w:rFonts w:hint="eastAsia" w:ascii="微软雅黑" w:hAnsi="微软雅黑" w:eastAsia="微软雅黑" w:cs="微软雅黑"/>
                <w:b/>
                <w:bCs/>
                <w:color w:val="auto"/>
                <w:sz w:val="28"/>
                <w:szCs w:val="28"/>
                <w:highlight w:val="none"/>
              </w:rPr>
            </w:pPr>
          </w:p>
          <w:p w14:paraId="4634A2A0">
            <w:pPr>
              <w:pStyle w:val="12"/>
              <w:keepNext w:val="0"/>
              <w:keepLines w:val="0"/>
              <w:suppressLineNumbers w:val="0"/>
              <w:shd w:val="clear" w:color="auto" w:fill="auto"/>
              <w:spacing w:beforeAutospacing="0" w:after="0" w:afterAutospacing="0"/>
              <w:ind w:left="0" w:right="0" w:firstLine="4200" w:firstLineChars="1500"/>
              <w:rPr>
                <w:rFonts w:hint="eastAsia" w:ascii="微软雅黑" w:hAnsi="微软雅黑" w:eastAsia="微软雅黑" w:cs="微软雅黑"/>
                <w:b/>
                <w:bCs/>
                <w:color w:val="auto"/>
                <w:sz w:val="28"/>
                <w:szCs w:val="28"/>
                <w:highlight w:val="none"/>
              </w:rPr>
            </w:pPr>
          </w:p>
          <w:p w14:paraId="635A34ED">
            <w:pPr>
              <w:pStyle w:val="12"/>
              <w:keepNext w:val="0"/>
              <w:keepLines w:val="0"/>
              <w:suppressLineNumbers w:val="0"/>
              <w:shd w:val="clear" w:color="auto" w:fill="auto"/>
              <w:spacing w:beforeAutospacing="0" w:after="0" w:afterAutospacing="0"/>
              <w:ind w:left="0" w:right="0"/>
              <w:rPr>
                <w:rFonts w:hint="eastAsia" w:ascii="微软雅黑" w:hAnsi="微软雅黑" w:eastAsia="微软雅黑" w:cs="微软雅黑"/>
                <w:b/>
                <w:bCs/>
                <w:color w:val="auto"/>
                <w:sz w:val="28"/>
                <w:szCs w:val="28"/>
                <w:highlight w:val="none"/>
              </w:rPr>
            </w:pPr>
          </w:p>
          <w:p w14:paraId="3CD9018A">
            <w:pPr>
              <w:pStyle w:val="12"/>
              <w:keepNext w:val="0"/>
              <w:keepLines w:val="0"/>
              <w:suppressLineNumbers w:val="0"/>
              <w:spacing w:beforeAutospacing="0" w:after="0" w:afterAutospacing="0"/>
              <w:ind w:left="0" w:right="0" w:firstLine="2240" w:firstLineChars="800"/>
              <w:rPr>
                <w:rFonts w:hint="eastAsia" w:ascii="宋体" w:hAnsi="宋体" w:eastAsia="宋体" w:cs="宋体"/>
                <w:b/>
                <w:bCs/>
                <w:color w:val="auto"/>
                <w:sz w:val="28"/>
                <w:szCs w:val="28"/>
                <w:highlight w:val="none"/>
              </w:rPr>
            </w:pPr>
            <w:r>
              <w:rPr>
                <w:rFonts w:hint="eastAsia" w:cs="宋体"/>
                <w:b/>
                <w:bCs/>
                <w:color w:val="auto"/>
                <w:sz w:val="28"/>
                <w:szCs w:val="28"/>
                <w:highlight w:val="none"/>
              </w:rPr>
              <w:t>***************************** （项目名称）</w:t>
            </w:r>
          </w:p>
          <w:p w14:paraId="7F3A47DA">
            <w:pPr>
              <w:pStyle w:val="12"/>
              <w:keepNext w:val="0"/>
              <w:keepLines w:val="0"/>
              <w:suppressLineNumbers w:val="0"/>
              <w:spacing w:beforeAutospacing="0" w:after="0" w:afterAutospacing="0"/>
              <w:ind w:left="0" w:right="0"/>
              <w:jc w:val="center"/>
              <w:rPr>
                <w:rFonts w:hint="eastAsia" w:ascii="微软雅黑" w:hAnsi="微软雅黑" w:eastAsia="微软雅黑" w:cs="微软雅黑"/>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 </w:t>
            </w:r>
            <w:r>
              <w:rPr>
                <w:rFonts w:hint="eastAsia" w:cs="宋体"/>
                <w:b/>
                <w:bCs/>
                <w:color w:val="auto"/>
                <w:sz w:val="28"/>
                <w:szCs w:val="28"/>
                <w:highlight w:val="none"/>
              </w:rPr>
              <w:t>（</w:t>
            </w:r>
            <w:r>
              <w:rPr>
                <w:rFonts w:hint="eastAsia" w:ascii="宋体" w:hAnsi="宋体" w:eastAsia="宋体" w:cs="宋体"/>
                <w:b/>
                <w:bCs/>
                <w:color w:val="auto"/>
                <w:sz w:val="28"/>
                <w:szCs w:val="28"/>
                <w:highlight w:val="none"/>
              </w:rPr>
              <w:t>标项名称</w:t>
            </w:r>
            <w:r>
              <w:rPr>
                <w:rFonts w:hint="eastAsia" w:cs="宋体"/>
                <w:b/>
                <w:bCs/>
                <w:color w:val="auto"/>
                <w:sz w:val="28"/>
                <w:szCs w:val="28"/>
                <w:highlight w:val="none"/>
              </w:rPr>
              <w:t>）</w:t>
            </w:r>
          </w:p>
          <w:p w14:paraId="6794569F">
            <w:pPr>
              <w:pStyle w:val="12"/>
              <w:keepNext w:val="0"/>
              <w:keepLines w:val="0"/>
              <w:suppressLineNumbers w:val="0"/>
              <w:shd w:val="clear" w:color="auto" w:fill="auto"/>
              <w:spacing w:beforeAutospacing="0" w:after="0" w:afterAutospacing="0"/>
              <w:ind w:left="0" w:right="0" w:firstLine="240" w:firstLineChars="100"/>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eastAsia="zh-CN"/>
              </w:rPr>
              <w:t>项目</w:t>
            </w:r>
            <w:r>
              <w:rPr>
                <w:rFonts w:hint="eastAsia" w:ascii="微软雅黑" w:hAnsi="微软雅黑" w:eastAsia="微软雅黑" w:cs="微软雅黑"/>
                <w:b/>
                <w:bCs/>
                <w:color w:val="auto"/>
                <w:sz w:val="24"/>
                <w:szCs w:val="24"/>
                <w:highlight w:val="none"/>
              </w:rPr>
              <w:t>编号</w:t>
            </w:r>
            <w:r>
              <w:rPr>
                <w:rFonts w:hint="eastAsia" w:ascii="微软雅黑" w:hAnsi="微软雅黑" w:eastAsia="微软雅黑" w:cs="微软雅黑"/>
                <w:b/>
                <w:bCs/>
                <w:color w:val="auto"/>
                <w:sz w:val="24"/>
                <w:szCs w:val="24"/>
                <w:highlight w:val="none"/>
                <w:lang w:val="en-US" w:eastAsia="zh-CN"/>
              </w:rPr>
              <w:t>*****************</w:t>
            </w:r>
          </w:p>
          <w:p w14:paraId="55E06493">
            <w:pPr>
              <w:pStyle w:val="12"/>
              <w:keepNext w:val="0"/>
              <w:keepLines w:val="0"/>
              <w:suppressLineNumbers w:val="0"/>
              <w:shd w:val="clear" w:color="auto" w:fill="auto"/>
              <w:spacing w:beforeAutospacing="0" w:after="0" w:afterAutospacing="0"/>
              <w:ind w:left="0" w:right="0"/>
              <w:jc w:val="center"/>
              <w:rPr>
                <w:rFonts w:hint="eastAsia" w:ascii="微软雅黑" w:hAnsi="微软雅黑" w:eastAsia="微软雅黑" w:cs="微软雅黑"/>
                <w:b/>
                <w:bCs/>
                <w:color w:val="auto"/>
                <w:sz w:val="28"/>
                <w:szCs w:val="28"/>
                <w:highlight w:val="none"/>
              </w:rPr>
            </w:pPr>
          </w:p>
          <w:p w14:paraId="57B2E061">
            <w:pPr>
              <w:pStyle w:val="26"/>
              <w:keepNext w:val="0"/>
              <w:keepLines w:val="0"/>
              <w:suppressLineNumbers w:val="0"/>
              <w:spacing w:before="0" w:beforeAutospacing="0" w:afterAutospacing="0"/>
              <w:ind w:left="0" w:right="0"/>
              <w:rPr>
                <w:rFonts w:hint="eastAsia"/>
                <w:color w:val="auto"/>
                <w:highlight w:val="none"/>
              </w:rPr>
            </w:pPr>
          </w:p>
          <w:p w14:paraId="4EBFA75B">
            <w:pPr>
              <w:pStyle w:val="12"/>
              <w:keepNext w:val="0"/>
              <w:keepLines w:val="0"/>
              <w:suppressLineNumbers w:val="0"/>
              <w:spacing w:beforeAutospacing="0" w:after="0" w:afterAutospacing="0"/>
              <w:ind w:left="0" w:right="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eastAsia="zh-CN"/>
              </w:rPr>
              <w:t>投标</w:t>
            </w:r>
            <w:r>
              <w:rPr>
                <w:rFonts w:hint="eastAsia" w:ascii="宋体" w:hAnsi="宋体" w:eastAsia="宋体" w:cs="宋体"/>
                <w:b/>
                <w:bCs/>
                <w:color w:val="auto"/>
                <w:sz w:val="48"/>
                <w:highlight w:val="none"/>
              </w:rPr>
              <w:t>文件</w:t>
            </w:r>
          </w:p>
          <w:p w14:paraId="0573FCB9">
            <w:pPr>
              <w:pStyle w:val="7"/>
              <w:keepNext w:val="0"/>
              <w:keepLines w:val="0"/>
              <w:suppressLineNumbers w:val="0"/>
              <w:shd w:val="clear" w:color="auto" w:fill="auto"/>
              <w:spacing w:before="0" w:beforeAutospacing="0" w:after="0" w:afterAutospacing="0"/>
              <w:ind w:left="0" w:right="0"/>
              <w:rPr>
                <w:rFonts w:hint="eastAsia" w:ascii="微软雅黑" w:hAnsi="微软雅黑" w:eastAsia="微软雅黑" w:cs="微软雅黑"/>
                <w:b/>
                <w:color w:val="auto"/>
                <w:sz w:val="28"/>
                <w:szCs w:val="28"/>
                <w:highlight w:val="none"/>
              </w:rPr>
            </w:pPr>
          </w:p>
          <w:p w14:paraId="462E56B8">
            <w:pPr>
              <w:keepNext w:val="0"/>
              <w:keepLines w:val="0"/>
              <w:suppressLineNumbers w:val="0"/>
              <w:shd w:val="clear" w:color="auto" w:fill="auto"/>
              <w:spacing w:before="0" w:beforeAutospacing="0" w:after="0" w:afterAutospacing="0" w:line="360" w:lineRule="auto"/>
              <w:ind w:left="176" w:leftChars="84" w:right="0" w:firstLine="960" w:firstLineChars="400"/>
              <w:rPr>
                <w:rFonts w:hint="eastAsia" w:ascii="微软雅黑" w:hAnsi="微软雅黑" w:eastAsia="微软雅黑" w:cs="微软雅黑"/>
                <w:color w:val="auto"/>
                <w:sz w:val="24"/>
                <w:szCs w:val="24"/>
                <w:highlight w:val="none"/>
              </w:rPr>
            </w:pPr>
          </w:p>
          <w:p w14:paraId="296A1B75">
            <w:pPr>
              <w:keepNext w:val="0"/>
              <w:keepLines w:val="0"/>
              <w:suppressLineNumbers w:val="0"/>
              <w:shd w:val="clear" w:color="auto" w:fill="auto"/>
              <w:spacing w:before="0" w:beforeAutospacing="0" w:after="0" w:afterAutospacing="0" w:line="360" w:lineRule="auto"/>
              <w:ind w:left="176" w:leftChars="84" w:right="0"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投标单位：（公章）</w:t>
            </w:r>
          </w:p>
          <w:p w14:paraId="6D3B515A">
            <w:pPr>
              <w:keepNext w:val="0"/>
              <w:keepLines w:val="0"/>
              <w:suppressLineNumbers w:val="0"/>
              <w:shd w:val="clear" w:color="auto" w:fill="auto"/>
              <w:spacing w:before="0" w:beforeAutospacing="0" w:after="0" w:afterAutospacing="0" w:line="360" w:lineRule="auto"/>
              <w:ind w:left="176" w:leftChars="84" w:right="0"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p>
          <w:p w14:paraId="119E52AF">
            <w:pPr>
              <w:keepNext w:val="0"/>
              <w:keepLines w:val="0"/>
              <w:suppressLineNumbers w:val="0"/>
              <w:shd w:val="clear" w:color="auto" w:fill="auto"/>
              <w:spacing w:before="0" w:beforeAutospacing="0" w:after="0" w:afterAutospacing="0" w:line="360" w:lineRule="auto"/>
              <w:ind w:left="176" w:leftChars="84" w:right="0"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联系人：</w:t>
            </w:r>
          </w:p>
          <w:p w14:paraId="12BE29B8">
            <w:pPr>
              <w:keepNext w:val="0"/>
              <w:keepLines w:val="0"/>
              <w:suppressLineNumbers w:val="0"/>
              <w:shd w:val="clear" w:color="auto" w:fill="auto"/>
              <w:spacing w:before="0" w:beforeAutospacing="0" w:after="0" w:afterAutospacing="0" w:line="360" w:lineRule="auto"/>
              <w:ind w:left="176" w:leftChars="84" w:right="0"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p>
          <w:p w14:paraId="57A35DFC">
            <w:pPr>
              <w:keepNext w:val="0"/>
              <w:keepLines w:val="0"/>
              <w:suppressLineNumbers w:val="0"/>
              <w:shd w:val="clear" w:color="auto" w:fill="auto"/>
              <w:spacing w:before="0" w:beforeAutospacing="0" w:after="0" w:afterAutospacing="0"/>
              <w:ind w:left="0" w:right="0"/>
              <w:jc w:val="center"/>
              <w:rPr>
                <w:rFonts w:hint="eastAsia" w:ascii="微软雅黑" w:hAnsi="微软雅黑" w:eastAsia="微软雅黑" w:cs="微软雅黑"/>
                <w:b/>
                <w:bCs/>
                <w:color w:val="auto"/>
                <w:sz w:val="24"/>
                <w:szCs w:val="24"/>
                <w:highlight w:val="none"/>
              </w:rPr>
            </w:pPr>
          </w:p>
          <w:p w14:paraId="4248F639">
            <w:pPr>
              <w:keepNext w:val="0"/>
              <w:keepLines w:val="0"/>
              <w:suppressLineNumbers w:val="0"/>
              <w:shd w:val="clear" w:color="auto" w:fill="auto"/>
              <w:spacing w:before="0" w:beforeAutospacing="0" w:after="0" w:afterAutospacing="0"/>
              <w:ind w:left="0" w:right="0"/>
              <w:jc w:val="center"/>
              <w:rPr>
                <w:rFonts w:hint="eastAsia" w:ascii="微软雅黑" w:hAnsi="微软雅黑" w:eastAsia="微软雅黑" w:cs="微软雅黑"/>
                <w:b/>
                <w:bCs/>
                <w:color w:val="auto"/>
                <w:sz w:val="24"/>
                <w:szCs w:val="24"/>
                <w:highlight w:val="none"/>
              </w:rPr>
            </w:pPr>
          </w:p>
          <w:p w14:paraId="2E9AB8EF">
            <w:pPr>
              <w:keepNext w:val="0"/>
              <w:keepLines w:val="0"/>
              <w:suppressLineNumbers w:val="0"/>
              <w:shd w:val="clear" w:color="auto" w:fill="auto"/>
              <w:spacing w:before="0" w:beforeAutospacing="0" w:after="0" w:afterAutospacing="0"/>
              <w:ind w:left="0" w:right="0"/>
              <w:jc w:val="center"/>
              <w:rPr>
                <w:rFonts w:hint="eastAsia" w:ascii="微软雅黑" w:hAnsi="微软雅黑" w:eastAsia="微软雅黑" w:cs="微软雅黑"/>
                <w:b/>
                <w:bCs/>
                <w:color w:val="auto"/>
                <w:sz w:val="24"/>
                <w:szCs w:val="24"/>
                <w:highlight w:val="none"/>
              </w:rPr>
            </w:pPr>
          </w:p>
          <w:p w14:paraId="276BD95B">
            <w:pPr>
              <w:keepNext w:val="0"/>
              <w:keepLines w:val="0"/>
              <w:suppressLineNumbers w:val="0"/>
              <w:shd w:val="clear" w:color="auto" w:fill="auto"/>
              <w:spacing w:before="0" w:beforeAutospacing="0" w:after="0" w:afterAutospacing="0"/>
              <w:ind w:left="0" w:right="0"/>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2"/>
                <w:szCs w:val="22"/>
                <w:highlight w:val="none"/>
              </w:rPr>
              <w:t>注：在xxx年xx月xx日xx</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xx之前不得启封</w:t>
            </w:r>
          </w:p>
        </w:tc>
      </w:tr>
    </w:tbl>
    <w:p w14:paraId="0DF3783C">
      <w:pPr>
        <w:rPr>
          <w:rFonts w:hint="eastAsia" w:ascii="微软雅黑" w:hAnsi="微软雅黑" w:eastAsia="微软雅黑" w:cs="微软雅黑"/>
          <w:color w:val="auto"/>
          <w:highlight w:val="none"/>
          <w:lang w:eastAsia="zh-CN"/>
        </w:rPr>
        <w:sectPr>
          <w:headerReference r:id="rId9" w:type="default"/>
          <w:footerReference r:id="rId10" w:type="default"/>
          <w:pgSz w:w="11906" w:h="16838"/>
          <w:pgMar w:top="1440" w:right="1080" w:bottom="1440" w:left="1080" w:header="851" w:footer="992" w:gutter="0"/>
          <w:pgNumType w:fmt="decimal"/>
          <w:cols w:space="720" w:num="1"/>
          <w:docGrid w:type="linesAndChars" w:linePitch="312" w:charSpace="0"/>
        </w:sectPr>
      </w:pPr>
    </w:p>
    <w:p w14:paraId="0A54072D">
      <w:pPr>
        <w:pStyle w:val="3"/>
        <w:numPr>
          <w:ilvl w:val="0"/>
          <w:numId w:val="0"/>
        </w:numPr>
        <w:spacing w:before="0" w:line="240" w:lineRule="atLeast"/>
        <w:jc w:val="center"/>
        <w:rPr>
          <w:rFonts w:hint="eastAsia" w:ascii="微软雅黑" w:hAnsi="微软雅黑" w:eastAsia="微软雅黑" w:cs="微软雅黑"/>
          <w:b/>
          <w:color w:val="auto"/>
          <w:kern w:val="0"/>
          <w:sz w:val="28"/>
          <w:szCs w:val="28"/>
          <w:highlight w:val="none"/>
          <w:lang w:val="en-US" w:eastAsia="zh-CN" w:bidi="ar-SA"/>
        </w:rPr>
      </w:pPr>
      <w:bookmarkStart w:id="269" w:name="_Toc24314"/>
      <w:r>
        <w:rPr>
          <w:rFonts w:hint="eastAsia" w:ascii="微软雅黑" w:hAnsi="微软雅黑" w:eastAsia="微软雅黑" w:cs="微软雅黑"/>
          <w:color w:val="auto"/>
          <w:sz w:val="28"/>
          <w:szCs w:val="28"/>
          <w:highlight w:val="none"/>
          <w:lang w:eastAsia="zh-CN"/>
        </w:rPr>
        <w:t>第一部分</w:t>
      </w:r>
      <w:r>
        <w:rPr>
          <w:rFonts w:hint="eastAsia" w:ascii="微软雅黑" w:hAnsi="微软雅黑" w:eastAsia="微软雅黑" w:cs="微软雅黑"/>
          <w:color w:val="auto"/>
          <w:sz w:val="28"/>
          <w:szCs w:val="28"/>
          <w:highlight w:val="none"/>
          <w:lang w:val="en-US" w:eastAsia="zh-CN"/>
        </w:rPr>
        <w:t xml:space="preserve"> </w:t>
      </w:r>
      <w:r>
        <w:rPr>
          <w:rFonts w:hint="eastAsia" w:ascii="微软雅黑" w:hAnsi="微软雅黑" w:eastAsia="微软雅黑" w:cs="微软雅黑"/>
          <w:color w:val="auto"/>
          <w:sz w:val="28"/>
          <w:szCs w:val="28"/>
          <w:highlight w:val="none"/>
        </w:rPr>
        <w:t>开标一览表及资格证明文件</w:t>
      </w:r>
      <w:bookmarkEnd w:id="267"/>
      <w:bookmarkEnd w:id="268"/>
      <w:bookmarkEnd w:id="269"/>
    </w:p>
    <w:p w14:paraId="3348B98E">
      <w:pPr>
        <w:keepNext w:val="0"/>
        <w:keepLines w:val="0"/>
        <w:pageBreakBefore w:val="0"/>
        <w:widowControl w:val="0"/>
        <w:numPr>
          <w:ilvl w:val="0"/>
          <w:numId w:val="0"/>
        </w:numPr>
        <w:tabs>
          <w:tab w:val="left" w:pos="5580"/>
        </w:tabs>
        <w:kinsoku/>
        <w:wordWrap/>
        <w:overflowPunct/>
        <w:topLinePunct w:val="0"/>
        <w:bidi w:val="0"/>
        <w:snapToGrid/>
        <w:spacing w:line="480" w:lineRule="auto"/>
        <w:jc w:val="center"/>
        <w:textAlignment w:val="auto"/>
        <w:outlineLvl w:val="9"/>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color w:val="auto"/>
          <w:kern w:val="0"/>
          <w:sz w:val="22"/>
          <w:szCs w:val="22"/>
          <w:highlight w:val="none"/>
          <w:lang w:val="en-US" w:eastAsia="zh-CN" w:bidi="ar-SA"/>
        </w:rPr>
        <w:t>（资格证明文件扫描件均加盖投标人公章）</w:t>
      </w:r>
    </w:p>
    <w:p w14:paraId="22E244D6">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1、开标一览表；</w:t>
      </w:r>
    </w:p>
    <w:p w14:paraId="10E43844">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2、法人或者其他组织的营业执照等证明文件；</w:t>
      </w:r>
    </w:p>
    <w:p w14:paraId="7D53C3B7">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3、法定代表人（单位负责人）投标需提供法定代表人（单位负责人）身份证明；授权人投标需提供法定代表人(单位负责人)身份证明及授权书；</w:t>
      </w:r>
    </w:p>
    <w:p w14:paraId="5C84347B">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4、提供2025年度的财务审计报告（新公司可提供近三个月内任意一个月的银行资信证明）；</w:t>
      </w:r>
    </w:p>
    <w:p w14:paraId="11EDD635">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5、提供依法缴纳近六个月任意一个月社会保险的凭据；</w:t>
      </w:r>
    </w:p>
    <w:p w14:paraId="12EAD017">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6、提供税务部门出具的近六个月任意一个月的税收证明；</w:t>
      </w:r>
    </w:p>
    <w:p w14:paraId="6D407BC1">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1FFD07E5">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8、具有履行合同所必需的设备和专业技术能力的承诺书；</w:t>
      </w:r>
    </w:p>
    <w:p w14:paraId="4BAEBC2D">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9、提供针对本次项目《反商业贿赂承诺书》；</w:t>
      </w:r>
    </w:p>
    <w:p w14:paraId="223B01BB">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10、参加政府采购活动前3年内在经营活动中没有重大违法违规记录的书面声明；</w:t>
      </w:r>
    </w:p>
    <w:p w14:paraId="041D6C79">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11、投标保证金缴纳凭证；</w:t>
      </w:r>
    </w:p>
    <w:p w14:paraId="72E335C9">
      <w:pPr>
        <w:keepNext w:val="0"/>
        <w:keepLines w:val="0"/>
        <w:pageBreakBefore w:val="0"/>
        <w:widowControl w:val="0"/>
        <w:numPr>
          <w:ilvl w:val="0"/>
          <w:numId w:val="0"/>
        </w:numPr>
        <w:tabs>
          <w:tab w:val="left" w:pos="5580"/>
        </w:tabs>
        <w:kinsoku/>
        <w:wordWrap/>
        <w:overflowPunct/>
        <w:topLinePunct w:val="0"/>
        <w:autoSpaceDE/>
        <w:autoSpaceDN/>
        <w:bidi w:val="0"/>
        <w:adjustRightInd/>
        <w:snapToGrid w:val="0"/>
        <w:spacing w:line="288" w:lineRule="auto"/>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12、供应商可提供有利于投标的其他证明材料；</w:t>
      </w:r>
    </w:p>
    <w:p w14:paraId="2BE4133C">
      <w:pPr>
        <w:tabs>
          <w:tab w:val="left" w:pos="5580"/>
        </w:tabs>
        <w:spacing w:line="240" w:lineRule="atLeast"/>
        <w:ind w:left="1" w:firstLine="493" w:firstLineChars="235"/>
        <w:rPr>
          <w:rFonts w:hint="eastAsia" w:ascii="微软雅黑 Light" w:hAnsi="微软雅黑 Light" w:eastAsia="微软雅黑 Light" w:cs="微软雅黑 Light"/>
          <w:color w:val="auto"/>
          <w:sz w:val="21"/>
          <w:szCs w:val="21"/>
          <w:highlight w:val="none"/>
        </w:rPr>
      </w:pPr>
    </w:p>
    <w:p w14:paraId="4095FC97">
      <w:pPr>
        <w:rPr>
          <w:rFonts w:hint="eastAsia" w:ascii="微软雅黑" w:hAnsi="微软雅黑" w:eastAsia="微软雅黑" w:cs="微软雅黑"/>
          <w:color w:val="auto"/>
          <w:sz w:val="24"/>
          <w:szCs w:val="24"/>
          <w:highlight w:val="none"/>
        </w:rPr>
      </w:pPr>
      <w:bookmarkStart w:id="270" w:name="_Toc20835"/>
      <w:bookmarkStart w:id="271" w:name="_Toc518923108"/>
      <w:bookmarkStart w:id="272" w:name="_Toc30042"/>
      <w:r>
        <w:rPr>
          <w:rFonts w:hint="eastAsia" w:ascii="微软雅黑" w:hAnsi="微软雅黑" w:eastAsia="微软雅黑" w:cs="微软雅黑"/>
          <w:color w:val="auto"/>
          <w:sz w:val="24"/>
          <w:szCs w:val="24"/>
          <w:highlight w:val="none"/>
        </w:rPr>
        <w:br w:type="page"/>
      </w:r>
    </w:p>
    <w:p w14:paraId="5C2261FA">
      <w:pPr>
        <w:pStyle w:val="3"/>
        <w:spacing w:before="0"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开标一览表</w:t>
      </w:r>
      <w:bookmarkEnd w:id="270"/>
      <w:bookmarkEnd w:id="271"/>
      <w:bookmarkEnd w:id="272"/>
      <w:bookmarkStart w:id="273" w:name="_Hlt520356241"/>
      <w:bookmarkEnd w:id="273"/>
      <w:bookmarkStart w:id="274" w:name="_Toc480942349"/>
      <w:bookmarkStart w:id="275" w:name="_Toc520356217"/>
      <w:bookmarkStart w:id="276" w:name="_Toc216582813"/>
      <w:bookmarkStart w:id="277" w:name="_Ref467988698"/>
    </w:p>
    <w:p w14:paraId="3726F758">
      <w:pPr>
        <w:keepNext w:val="0"/>
        <w:keepLines w:val="0"/>
        <w:pageBreakBefore w:val="0"/>
        <w:widowControl w:val="0"/>
        <w:kinsoku/>
        <w:wordWrap/>
        <w:overflowPunct/>
        <w:topLinePunct w:val="0"/>
        <w:autoSpaceDE/>
        <w:autoSpaceDN/>
        <w:bidi w:val="0"/>
        <w:adjustRightInd w:val="0"/>
        <w:snapToGrid w:val="0"/>
        <w:spacing w:before="219" w:line="240" w:lineRule="auto"/>
        <w:jc w:val="both"/>
        <w:textAlignment w:val="auto"/>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rPr>
        <w:t xml:space="preserve">项目名称：               </w:t>
      </w:r>
      <w:r>
        <w:rPr>
          <w:rFonts w:hint="eastAsia" w:ascii="微软雅黑" w:hAnsi="微软雅黑" w:eastAsia="微软雅黑" w:cs="微软雅黑"/>
          <w:color w:val="auto"/>
          <w:spacing w:val="-2"/>
          <w:sz w:val="24"/>
          <w:szCs w:val="24"/>
          <w:highlight w:val="none"/>
          <w:lang w:val="en-US" w:eastAsia="zh-CN"/>
        </w:rPr>
        <w:t xml:space="preserve">         </w:t>
      </w:r>
      <w:r>
        <w:rPr>
          <w:rFonts w:hint="eastAsia" w:ascii="微软雅黑" w:hAnsi="微软雅黑" w:eastAsia="微软雅黑" w:cs="微软雅黑"/>
          <w:color w:val="auto"/>
          <w:spacing w:val="-2"/>
          <w:sz w:val="24"/>
          <w:szCs w:val="24"/>
          <w:highlight w:val="none"/>
        </w:rPr>
        <w:t>项目编号：</w:t>
      </w:r>
      <w:r>
        <w:rPr>
          <w:rFonts w:hint="eastAsia" w:ascii="微软雅黑" w:hAnsi="微软雅黑" w:eastAsia="微软雅黑" w:cs="微软雅黑"/>
          <w:color w:val="auto"/>
          <w:spacing w:val="-2"/>
          <w:sz w:val="24"/>
          <w:szCs w:val="24"/>
          <w:highlight w:val="none"/>
          <w:lang w:val="en-US" w:eastAsia="zh-CN"/>
        </w:rPr>
        <w:t xml:space="preserve">                              </w:t>
      </w:r>
    </w:p>
    <w:p w14:paraId="37303B14">
      <w:pPr>
        <w:keepNext w:val="0"/>
        <w:keepLines w:val="0"/>
        <w:pageBreakBefore w:val="0"/>
        <w:widowControl w:val="0"/>
        <w:kinsoku/>
        <w:wordWrap/>
        <w:overflowPunct/>
        <w:topLinePunct w:val="0"/>
        <w:autoSpaceDE/>
        <w:autoSpaceDN/>
        <w:bidi w:val="0"/>
        <w:adjustRightInd w:val="0"/>
        <w:snapToGrid w:val="0"/>
        <w:spacing w:before="219" w:line="240" w:lineRule="auto"/>
        <w:jc w:val="both"/>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val="en-US" w:eastAsia="zh-CN"/>
        </w:rPr>
        <w:t>标项名称：</w:t>
      </w:r>
    </w:p>
    <w:p w14:paraId="1C661EA0">
      <w:pPr>
        <w:keepNext w:val="0"/>
        <w:keepLines w:val="0"/>
        <w:pageBreakBefore w:val="0"/>
        <w:widowControl w:val="0"/>
        <w:kinsoku/>
        <w:wordWrap/>
        <w:overflowPunct/>
        <w:topLinePunct w:val="0"/>
        <w:autoSpaceDE/>
        <w:autoSpaceDN/>
        <w:bidi w:val="0"/>
        <w:adjustRightInd w:val="0"/>
        <w:snapToGrid w:val="0"/>
        <w:spacing w:before="219" w:line="240" w:lineRule="auto"/>
        <w:jc w:val="both"/>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报价单位：元</w:t>
      </w:r>
    </w:p>
    <w:tbl>
      <w:tblPr>
        <w:tblStyle w:val="82"/>
        <w:tblW w:w="970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17"/>
      </w:tblGrid>
      <w:tr w14:paraId="4082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2792" w:type="dxa"/>
            <w:tcBorders>
              <w:left w:val="single" w:color="000000" w:sz="2" w:space="0"/>
            </w:tcBorders>
            <w:noWrap w:val="0"/>
            <w:vAlign w:val="center"/>
          </w:tcPr>
          <w:p w14:paraId="30C1AFDA">
            <w:pPr>
              <w:pageBreakBefore w:val="0"/>
              <w:kinsoku/>
              <w:overflowPunct/>
              <w:bidi w:val="0"/>
              <w:snapToGrid w:val="0"/>
              <w:spacing w:before="216" w:line="312" w:lineRule="auto"/>
              <w:jc w:val="center"/>
              <w:rPr>
                <w:rFonts w:hint="eastAsia" w:ascii="微软雅黑" w:hAnsi="微软雅黑" w:eastAsia="微软雅黑" w:cs="微软雅黑"/>
                <w:color w:val="auto"/>
                <w:spacing w:val="-4"/>
                <w:sz w:val="24"/>
                <w:szCs w:val="24"/>
                <w:highlight w:val="none"/>
              </w:rPr>
            </w:pPr>
            <w:r>
              <w:rPr>
                <w:rFonts w:hint="eastAsia" w:ascii="微软雅黑" w:hAnsi="微软雅黑" w:eastAsia="微软雅黑" w:cs="微软雅黑"/>
                <w:color w:val="auto"/>
                <w:spacing w:val="-4"/>
                <w:sz w:val="24"/>
                <w:szCs w:val="24"/>
                <w:highlight w:val="none"/>
                <w:lang w:eastAsia="zh-CN"/>
              </w:rPr>
              <w:t>标项</w:t>
            </w:r>
            <w:r>
              <w:rPr>
                <w:rFonts w:hint="eastAsia" w:ascii="微软雅黑" w:hAnsi="微软雅黑" w:eastAsia="微软雅黑" w:cs="微软雅黑"/>
                <w:color w:val="auto"/>
                <w:spacing w:val="-4"/>
                <w:sz w:val="24"/>
                <w:szCs w:val="24"/>
                <w:highlight w:val="none"/>
              </w:rPr>
              <w:t>名称</w:t>
            </w:r>
          </w:p>
        </w:tc>
        <w:tc>
          <w:tcPr>
            <w:tcW w:w="6917" w:type="dxa"/>
            <w:tcBorders>
              <w:right w:val="single" w:color="000000" w:sz="2" w:space="0"/>
            </w:tcBorders>
            <w:noWrap w:val="0"/>
            <w:vAlign w:val="top"/>
          </w:tcPr>
          <w:p w14:paraId="776D1D7B">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14:paraId="5BF1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2792" w:type="dxa"/>
            <w:tcBorders>
              <w:left w:val="single" w:color="000000" w:sz="2" w:space="0"/>
            </w:tcBorders>
            <w:noWrap w:val="0"/>
            <w:vAlign w:val="center"/>
          </w:tcPr>
          <w:p w14:paraId="6D044F51">
            <w:pPr>
              <w:pageBreakBefore w:val="0"/>
              <w:kinsoku/>
              <w:overflowPunct/>
              <w:bidi w:val="0"/>
              <w:snapToGrid w:val="0"/>
              <w:spacing w:before="78" w:line="312"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pacing w:val="-4"/>
                <w:sz w:val="24"/>
                <w:szCs w:val="24"/>
                <w:highlight w:val="none"/>
                <w:lang w:eastAsia="zh-CN"/>
              </w:rPr>
              <w:t>总</w:t>
            </w:r>
            <w:r>
              <w:rPr>
                <w:rFonts w:hint="eastAsia" w:ascii="微软雅黑" w:hAnsi="微软雅黑" w:eastAsia="微软雅黑" w:cs="微软雅黑"/>
                <w:color w:val="auto"/>
                <w:spacing w:val="-4"/>
                <w:sz w:val="24"/>
                <w:szCs w:val="24"/>
                <w:highlight w:val="none"/>
              </w:rPr>
              <w:t>报价</w:t>
            </w:r>
            <w:r>
              <w:rPr>
                <w:rFonts w:hint="eastAsia" w:ascii="微软雅黑" w:hAnsi="微软雅黑" w:eastAsia="微软雅黑" w:cs="微软雅黑"/>
                <w:color w:val="auto"/>
                <w:spacing w:val="-4"/>
                <w:sz w:val="24"/>
                <w:szCs w:val="24"/>
                <w:highlight w:val="none"/>
                <w:lang w:eastAsia="zh-CN"/>
              </w:rPr>
              <w:t>（元）</w:t>
            </w:r>
          </w:p>
        </w:tc>
        <w:tc>
          <w:tcPr>
            <w:tcW w:w="6917" w:type="dxa"/>
            <w:tcBorders>
              <w:right w:val="single" w:color="000000" w:sz="2" w:space="0"/>
            </w:tcBorders>
            <w:noWrap w:val="0"/>
            <w:vAlign w:val="top"/>
          </w:tcPr>
          <w:p w14:paraId="5E11EF1F">
            <w:pPr>
              <w:pageBreakBefore w:val="0"/>
              <w:kinsoku/>
              <w:overflowPunct/>
              <w:bidi w:val="0"/>
              <w:snapToGrid w:val="0"/>
              <w:spacing w:before="78" w:line="312"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6"/>
                <w:position w:val="29"/>
                <w:sz w:val="24"/>
                <w:szCs w:val="24"/>
                <w:highlight w:val="none"/>
              </w:rPr>
              <w:t>小写：</w:t>
            </w:r>
          </w:p>
          <w:p w14:paraId="7A4D8E66">
            <w:pPr>
              <w:pageBreakBefore w:val="0"/>
              <w:kinsoku/>
              <w:overflowPunct/>
              <w:bidi w:val="0"/>
              <w:snapToGrid w:val="0"/>
              <w:spacing w:line="312" w:lineRule="auto"/>
              <w:ind w:firstLine="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5"/>
                <w:sz w:val="24"/>
                <w:szCs w:val="24"/>
                <w:highlight w:val="none"/>
              </w:rPr>
              <w:t>大写：</w:t>
            </w:r>
          </w:p>
        </w:tc>
      </w:tr>
      <w:tr w14:paraId="6F398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atLeast"/>
        </w:trPr>
        <w:tc>
          <w:tcPr>
            <w:tcW w:w="2792" w:type="dxa"/>
            <w:tcBorders>
              <w:left w:val="single" w:color="000000" w:sz="2" w:space="0"/>
            </w:tcBorders>
            <w:noWrap w:val="0"/>
            <w:vAlign w:val="center"/>
          </w:tcPr>
          <w:p w14:paraId="60ECEE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投标</w:t>
            </w:r>
            <w:r>
              <w:rPr>
                <w:rFonts w:hint="eastAsia" w:ascii="微软雅黑" w:hAnsi="微软雅黑" w:eastAsia="微软雅黑" w:cs="微软雅黑"/>
                <w:color w:val="auto"/>
                <w:sz w:val="24"/>
                <w:szCs w:val="24"/>
                <w:highlight w:val="none"/>
              </w:rPr>
              <w:t>保证金</w:t>
            </w:r>
            <w:r>
              <w:rPr>
                <w:rFonts w:hint="eastAsia" w:ascii="微软雅黑" w:hAnsi="微软雅黑" w:eastAsia="微软雅黑" w:cs="微软雅黑"/>
                <w:color w:val="auto"/>
                <w:sz w:val="24"/>
                <w:szCs w:val="24"/>
                <w:highlight w:val="none"/>
                <w:lang w:val="en-US" w:eastAsia="zh-CN"/>
              </w:rPr>
              <w:t>缴纳金额及缴纳方式</w:t>
            </w:r>
          </w:p>
        </w:tc>
        <w:tc>
          <w:tcPr>
            <w:tcW w:w="6917" w:type="dxa"/>
            <w:tcBorders>
              <w:right w:val="single" w:color="000000" w:sz="2" w:space="0"/>
            </w:tcBorders>
            <w:noWrap w:val="0"/>
            <w:vAlign w:val="top"/>
          </w:tcPr>
          <w:p w14:paraId="4BC28A91">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r w14:paraId="10AE5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noWrap w:val="0"/>
            <w:vAlign w:val="center"/>
          </w:tcPr>
          <w:p w14:paraId="4E41792B">
            <w:pPr>
              <w:pageBreakBefore w:val="0"/>
              <w:kinsoku/>
              <w:overflowPunct/>
              <w:bidi w:val="0"/>
              <w:snapToGrid w:val="0"/>
              <w:spacing w:before="331"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1"/>
                <w:sz w:val="24"/>
                <w:szCs w:val="24"/>
                <w:highlight w:val="none"/>
              </w:rPr>
              <w:t>服务期限</w:t>
            </w:r>
          </w:p>
        </w:tc>
        <w:tc>
          <w:tcPr>
            <w:tcW w:w="6917" w:type="dxa"/>
            <w:tcBorders>
              <w:right w:val="single" w:color="000000" w:sz="2" w:space="0"/>
            </w:tcBorders>
            <w:noWrap w:val="0"/>
            <w:vAlign w:val="top"/>
          </w:tcPr>
          <w:p w14:paraId="6F46736F">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rPr>
            </w:pPr>
          </w:p>
        </w:tc>
      </w:tr>
      <w:tr w14:paraId="2B3E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noWrap w:val="0"/>
            <w:vAlign w:val="center"/>
          </w:tcPr>
          <w:p w14:paraId="6A93014D">
            <w:pPr>
              <w:pageBreakBefore w:val="0"/>
              <w:kinsoku/>
              <w:overflowPunct/>
              <w:bidi w:val="0"/>
              <w:snapToGrid w:val="0"/>
              <w:spacing w:before="280"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3"/>
                <w:sz w:val="24"/>
                <w:szCs w:val="24"/>
                <w:highlight w:val="none"/>
              </w:rPr>
              <w:t>服务地点</w:t>
            </w:r>
          </w:p>
        </w:tc>
        <w:tc>
          <w:tcPr>
            <w:tcW w:w="6917" w:type="dxa"/>
            <w:tcBorders>
              <w:right w:val="single" w:color="000000" w:sz="2" w:space="0"/>
            </w:tcBorders>
            <w:noWrap w:val="0"/>
            <w:vAlign w:val="center"/>
          </w:tcPr>
          <w:p w14:paraId="7FD098A7">
            <w:pPr>
              <w:pageBreakBefore w:val="0"/>
              <w:kinsoku/>
              <w:overflowPunct/>
              <w:bidi w:val="0"/>
              <w:snapToGrid w:val="0"/>
              <w:spacing w:line="312" w:lineRule="auto"/>
              <w:jc w:val="center"/>
              <w:rPr>
                <w:rFonts w:hint="eastAsia" w:ascii="微软雅黑" w:hAnsi="微软雅黑" w:eastAsia="微软雅黑" w:cs="微软雅黑"/>
                <w:color w:val="auto"/>
                <w:sz w:val="24"/>
                <w:szCs w:val="24"/>
                <w:highlight w:val="none"/>
                <w:lang w:eastAsia="zh-CN"/>
              </w:rPr>
            </w:pPr>
          </w:p>
        </w:tc>
      </w:tr>
      <w:tr w14:paraId="1BCE6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trPr>
        <w:tc>
          <w:tcPr>
            <w:tcW w:w="2792" w:type="dxa"/>
            <w:tcBorders>
              <w:left w:val="single" w:color="000000" w:sz="2" w:space="0"/>
            </w:tcBorders>
            <w:noWrap w:val="0"/>
            <w:vAlign w:val="center"/>
          </w:tcPr>
          <w:p w14:paraId="3C4B4183">
            <w:pPr>
              <w:pageBreakBefore w:val="0"/>
              <w:kinsoku/>
              <w:overflowPunct/>
              <w:bidi w:val="0"/>
              <w:snapToGrid w:val="0"/>
              <w:spacing w:before="283"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7"/>
                <w:sz w:val="24"/>
                <w:szCs w:val="24"/>
                <w:highlight w:val="none"/>
              </w:rPr>
              <w:t>备注</w:t>
            </w:r>
          </w:p>
        </w:tc>
        <w:tc>
          <w:tcPr>
            <w:tcW w:w="6917" w:type="dxa"/>
            <w:tcBorders>
              <w:right w:val="single" w:color="000000" w:sz="2" w:space="0"/>
            </w:tcBorders>
            <w:noWrap w:val="0"/>
            <w:vAlign w:val="top"/>
          </w:tcPr>
          <w:p w14:paraId="2AF502B1">
            <w:pPr>
              <w:pageBreakBefore w:val="0"/>
              <w:kinsoku/>
              <w:overflowPunct/>
              <w:bidi w:val="0"/>
              <w:snapToGrid w:val="0"/>
              <w:spacing w:line="312" w:lineRule="auto"/>
              <w:rPr>
                <w:rFonts w:hint="eastAsia" w:ascii="微软雅黑" w:hAnsi="微软雅黑" w:eastAsia="微软雅黑" w:cs="微软雅黑"/>
                <w:color w:val="auto"/>
                <w:sz w:val="24"/>
                <w:szCs w:val="24"/>
                <w:highlight w:val="none"/>
              </w:rPr>
            </w:pPr>
          </w:p>
        </w:tc>
      </w:tr>
    </w:tbl>
    <w:p w14:paraId="589388D2">
      <w:pPr>
        <w:pStyle w:val="4"/>
        <w:rPr>
          <w:rFonts w:hint="eastAsia" w:ascii="微软雅黑" w:hAnsi="微软雅黑" w:eastAsia="微软雅黑" w:cs="微软雅黑"/>
          <w:color w:val="auto"/>
          <w:sz w:val="24"/>
          <w:szCs w:val="24"/>
          <w:highlight w:val="none"/>
        </w:rPr>
      </w:pPr>
    </w:p>
    <w:p w14:paraId="77098662">
      <w:pPr>
        <w:pStyle w:val="15"/>
        <w:tabs>
          <w:tab w:val="left" w:pos="5580"/>
        </w:tabs>
        <w:spacing w:line="240" w:lineRule="atLeas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1BF423CA">
      <w:pPr>
        <w:pStyle w:val="15"/>
        <w:tabs>
          <w:tab w:val="left" w:pos="5580"/>
        </w:tabs>
        <w:spacing w:line="240" w:lineRule="atLeast"/>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475E99C7">
      <w:pPr>
        <w:pStyle w:val="15"/>
        <w:tabs>
          <w:tab w:val="left" w:pos="5580"/>
        </w:tabs>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6374EBA3">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bookmarkStart w:id="278" w:name="_Toc518923109"/>
      <w:bookmarkStart w:id="279" w:name="_Toc61"/>
    </w:p>
    <w:p w14:paraId="4F4925B0">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注:</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1、如投标报价超过本项目最高限价，其报价无效。不能进入下一阶段评审。</w:t>
      </w:r>
    </w:p>
    <w:p w14:paraId="1196A0FC">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2、此表中，每包的报价总价应和投标分项报价表的总价相一致。</w:t>
      </w:r>
    </w:p>
    <w:p w14:paraId="2D06C675">
      <w:pPr>
        <w:pStyle w:val="15"/>
        <w:pageBreakBefore w:val="0"/>
        <w:tabs>
          <w:tab w:val="left" w:pos="5580"/>
        </w:tabs>
        <w:kinsoku/>
        <w:overflowPunct/>
        <w:bidi w:val="0"/>
        <w:snapToGrid w:val="0"/>
        <w:spacing w:line="312" w:lineRule="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此报价包含本项目相关所有费用。</w:t>
      </w:r>
    </w:p>
    <w:p w14:paraId="765A4A88">
      <w:pPr>
        <w:pStyle w:val="3"/>
        <w:spacing w:before="0" w:line="240" w:lineRule="atLeast"/>
        <w:ind w:left="1079" w:leftChars="257" w:hanging="540"/>
        <w:rPr>
          <w:rFonts w:hint="eastAsia" w:ascii="微软雅黑" w:hAnsi="微软雅黑" w:eastAsia="微软雅黑" w:cs="微软雅黑"/>
          <w:color w:val="auto"/>
          <w:sz w:val="21"/>
          <w:szCs w:val="21"/>
          <w:highlight w:val="none"/>
        </w:rPr>
        <w:sectPr>
          <w:footerReference r:id="rId11" w:type="default"/>
          <w:pgSz w:w="11906" w:h="16838"/>
          <w:pgMar w:top="1440" w:right="1080" w:bottom="1440" w:left="1080" w:header="851" w:footer="992" w:gutter="0"/>
          <w:pgNumType w:fmt="decimal"/>
          <w:cols w:space="720" w:num="1"/>
          <w:docGrid w:type="linesAndChars" w:linePitch="312" w:charSpace="0"/>
        </w:sectPr>
      </w:pPr>
    </w:p>
    <w:p w14:paraId="247BD22D">
      <w:pPr>
        <w:pStyle w:val="3"/>
        <w:spacing w:before="0" w:line="240" w:lineRule="atLeast"/>
        <w:jc w:val="center"/>
        <w:rPr>
          <w:rFonts w:hint="eastAsia" w:ascii="微软雅黑" w:hAnsi="微软雅黑" w:eastAsia="微软雅黑" w:cs="微软雅黑"/>
          <w:b w:val="0"/>
          <w:color w:val="auto"/>
          <w:sz w:val="28"/>
          <w:szCs w:val="28"/>
          <w:highlight w:val="none"/>
        </w:rPr>
      </w:pPr>
      <w:bookmarkStart w:id="280" w:name="_Toc11449"/>
      <w:bookmarkStart w:id="281" w:name="_Toc12821"/>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eastAsia="zh-CN"/>
        </w:rPr>
        <w:t>、</w:t>
      </w:r>
      <w:bookmarkEnd w:id="278"/>
      <w:bookmarkEnd w:id="279"/>
      <w:r>
        <w:rPr>
          <w:rFonts w:hint="eastAsia" w:ascii="微软雅黑" w:hAnsi="微软雅黑" w:eastAsia="微软雅黑" w:cs="微软雅黑"/>
          <w:color w:val="auto"/>
          <w:sz w:val="28"/>
          <w:szCs w:val="28"/>
          <w:highlight w:val="none"/>
          <w:lang w:eastAsia="zh-CN"/>
        </w:rPr>
        <w:t>法人或者其他组织的营业执照等证明</w:t>
      </w:r>
      <w:r>
        <w:rPr>
          <w:rFonts w:hint="eastAsia" w:ascii="微软雅黑" w:hAnsi="微软雅黑" w:eastAsia="微软雅黑" w:cs="微软雅黑"/>
          <w:color w:val="auto"/>
          <w:sz w:val="28"/>
          <w:szCs w:val="28"/>
          <w:highlight w:val="none"/>
        </w:rPr>
        <w:t>文件</w:t>
      </w:r>
      <w:bookmarkEnd w:id="280"/>
      <w:bookmarkEnd w:id="281"/>
    </w:p>
    <w:p w14:paraId="73BB5DA9">
      <w:pPr>
        <w:pStyle w:val="15"/>
        <w:tabs>
          <w:tab w:val="left" w:pos="5580"/>
        </w:tabs>
        <w:spacing w:line="360" w:lineRule="auto"/>
        <w:rPr>
          <w:rFonts w:hint="eastAsia" w:ascii="微软雅黑" w:hAnsi="微软雅黑" w:eastAsia="微软雅黑" w:cs="微软雅黑"/>
          <w:b w:val="0"/>
          <w:bCs w:val="0"/>
          <w:color w:val="auto"/>
          <w:kern w:val="2"/>
          <w:sz w:val="24"/>
          <w:szCs w:val="24"/>
          <w:highlight w:val="none"/>
          <w:lang w:val="en-US" w:eastAsia="zh-CN" w:bidi="ar-SA"/>
        </w:rPr>
        <w:sectPr>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b/>
          <w:bCs/>
          <w:color w:val="auto"/>
          <w:sz w:val="24"/>
          <w:szCs w:val="24"/>
          <w:highlight w:val="none"/>
        </w:rPr>
        <w:t>说明：</w:t>
      </w:r>
      <w:r>
        <w:rPr>
          <w:rFonts w:hint="eastAsia" w:ascii="微软雅黑" w:hAnsi="微软雅黑" w:eastAsia="微软雅黑" w:cs="微软雅黑"/>
          <w:b w:val="0"/>
          <w:bCs w:val="0"/>
          <w:color w:val="auto"/>
          <w:sz w:val="24"/>
          <w:szCs w:val="24"/>
          <w:highlight w:val="none"/>
          <w:lang w:val="en-US" w:eastAsia="zh-CN"/>
        </w:rPr>
        <w:t>如投标人是企业的，应提供其在工商部门注册的有效“营业执照”扫描件；投标人是事业单位的，应提供其有效的“事业单位法人证书”扫描件；投标人是非企业专业服务机构的，应提供其有效的“执业许可证”扫描件；投标人是民办非企业单位的，应提供其有效的“登记证书”扫描件；扫描件上应加盖本单位公章</w:t>
      </w:r>
      <w:r>
        <w:rPr>
          <w:rFonts w:hint="eastAsia" w:ascii="微软雅黑" w:hAnsi="微软雅黑" w:eastAsia="微软雅黑" w:cs="微软雅黑"/>
          <w:b w:val="0"/>
          <w:bCs w:val="0"/>
          <w:color w:val="auto"/>
          <w:kern w:val="2"/>
          <w:sz w:val="24"/>
          <w:szCs w:val="24"/>
          <w:highlight w:val="none"/>
          <w:lang w:val="en-US" w:eastAsia="zh-CN" w:bidi="ar-SA"/>
        </w:rPr>
        <w:t>。</w:t>
      </w:r>
    </w:p>
    <w:p w14:paraId="67D41862">
      <w:pPr>
        <w:pStyle w:val="3"/>
        <w:spacing w:before="0" w:line="240" w:lineRule="atLeast"/>
        <w:jc w:val="center"/>
        <w:rPr>
          <w:rFonts w:hint="default" w:ascii="微软雅黑" w:hAnsi="微软雅黑" w:eastAsia="微软雅黑" w:cs="微软雅黑"/>
          <w:b/>
          <w:color w:val="auto"/>
          <w:sz w:val="28"/>
          <w:szCs w:val="28"/>
          <w:highlight w:val="none"/>
          <w:lang w:val="en-US" w:eastAsia="zh-CN"/>
        </w:rPr>
      </w:pPr>
      <w:bookmarkStart w:id="282" w:name="_Toc14236"/>
      <w:bookmarkStart w:id="283" w:name="_Toc16191"/>
      <w:bookmarkStart w:id="284" w:name="_Toc29452"/>
      <w:bookmarkStart w:id="285" w:name="_Toc31221"/>
      <w:bookmarkStart w:id="286" w:name="_Toc515647807"/>
      <w:bookmarkStart w:id="287" w:name="_Toc1083"/>
      <w:bookmarkStart w:id="288" w:name="_Toc22472"/>
      <w:r>
        <w:rPr>
          <w:rFonts w:hint="eastAsia" w:ascii="微软雅黑" w:hAnsi="微软雅黑" w:eastAsia="微软雅黑" w:cs="微软雅黑"/>
          <w:b/>
          <w:color w:val="auto"/>
          <w:sz w:val="28"/>
          <w:szCs w:val="28"/>
          <w:highlight w:val="none"/>
          <w:lang w:val="en-US" w:eastAsia="zh-CN"/>
        </w:rPr>
        <w:t>3.法定代表人（单位负责人）投标需提供法定代表人（单位负责人）身份证明；授权人投标需提供法定代表人(单位负责人)身份证明及授权书；</w:t>
      </w:r>
    </w:p>
    <w:p w14:paraId="48AC006C">
      <w:pPr>
        <w:pStyle w:val="3"/>
        <w:spacing w:before="0" w:line="240" w:lineRule="atLeast"/>
        <w:jc w:val="center"/>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8"/>
          <w:szCs w:val="28"/>
          <w:highlight w:val="none"/>
          <w:lang w:val="en-US" w:eastAsia="zh-CN"/>
        </w:rPr>
        <w:t>3.1、法定代表人（单位负责人）身份证明</w:t>
      </w:r>
      <w:bookmarkEnd w:id="282"/>
      <w:bookmarkEnd w:id="283"/>
      <w:bookmarkEnd w:id="284"/>
      <w:bookmarkEnd w:id="285"/>
    </w:p>
    <w:bookmarkEnd w:id="286"/>
    <w:bookmarkEnd w:id="287"/>
    <w:bookmarkEnd w:id="288"/>
    <w:p w14:paraId="1755E2AB">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1"/>
          <w:szCs w:val="21"/>
          <w:highlight w:val="none"/>
        </w:rPr>
        <w:cr/>
      </w:r>
      <w:r>
        <w:rPr>
          <w:rFonts w:hint="eastAsia" w:ascii="微软雅黑" w:hAnsi="微软雅黑" w:eastAsia="微软雅黑" w:cs="微软雅黑"/>
          <w:color w:val="auto"/>
          <w:sz w:val="24"/>
          <w:szCs w:val="24"/>
          <w:highlight w:val="none"/>
        </w:rPr>
        <w:t xml:space="preserve">投标人名称： </w:t>
      </w:r>
      <w:r>
        <w:rPr>
          <w:rFonts w:hint="eastAsia" w:ascii="微软雅黑" w:hAnsi="微软雅黑" w:eastAsia="微软雅黑" w:cs="微软雅黑"/>
          <w:color w:val="auto"/>
          <w:sz w:val="24"/>
          <w:szCs w:val="24"/>
          <w:highlight w:val="none"/>
        </w:rPr>
        <w:tab/>
      </w:r>
    </w:p>
    <w:p w14:paraId="321786E3">
      <w:pPr>
        <w:spacing w:line="360" w:lineRule="auto"/>
        <w:rPr>
          <w:rFonts w:hint="eastAsia" w:ascii="微软雅黑" w:hAnsi="微软雅黑" w:eastAsia="微软雅黑" w:cs="微软雅黑"/>
          <w:color w:val="auto"/>
          <w:sz w:val="24"/>
          <w:szCs w:val="24"/>
          <w:highlight w:val="none"/>
        </w:rPr>
      </w:pPr>
    </w:p>
    <w:p w14:paraId="4F24D698">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姓名：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性别：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年龄：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职务： </w:t>
      </w:r>
      <w:r>
        <w:rPr>
          <w:rFonts w:hint="eastAsia" w:ascii="微软雅黑" w:hAnsi="微软雅黑" w:eastAsia="微软雅黑" w:cs="微软雅黑"/>
          <w:color w:val="auto"/>
          <w:sz w:val="24"/>
          <w:szCs w:val="24"/>
          <w:highlight w:val="none"/>
        </w:rPr>
        <w:tab/>
      </w:r>
    </w:p>
    <w:p w14:paraId="081C1E77">
      <w:pPr>
        <w:spacing w:line="360" w:lineRule="auto"/>
        <w:rPr>
          <w:rFonts w:hint="eastAsia" w:ascii="微软雅黑" w:hAnsi="微软雅黑" w:eastAsia="微软雅黑" w:cs="微软雅黑"/>
          <w:color w:val="auto"/>
          <w:sz w:val="24"/>
          <w:szCs w:val="24"/>
          <w:highlight w:val="none"/>
        </w:rPr>
      </w:pPr>
    </w:p>
    <w:p w14:paraId="52FB4055">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系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（投标人名称）的法定代表人（单位负责人）。</w:t>
      </w:r>
    </w:p>
    <w:p w14:paraId="465EAF2E">
      <w:pPr>
        <w:spacing w:line="360" w:lineRule="auto"/>
        <w:rPr>
          <w:rFonts w:hint="eastAsia" w:ascii="微软雅黑" w:hAnsi="微软雅黑" w:eastAsia="微软雅黑" w:cs="微软雅黑"/>
          <w:color w:val="auto"/>
          <w:sz w:val="24"/>
          <w:szCs w:val="24"/>
          <w:highlight w:val="none"/>
        </w:rPr>
      </w:pPr>
    </w:p>
    <w:p w14:paraId="60909CE2">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142084EF">
      <w:pPr>
        <w:spacing w:line="360" w:lineRule="auto"/>
        <w:rPr>
          <w:rFonts w:hint="eastAsia" w:ascii="微软雅黑" w:hAnsi="微软雅黑" w:eastAsia="微软雅黑" w:cs="微软雅黑"/>
          <w:color w:val="auto"/>
          <w:sz w:val="24"/>
          <w:szCs w:val="24"/>
          <w:highlight w:val="none"/>
        </w:rPr>
      </w:pPr>
    </w:p>
    <w:p w14:paraId="281D7466">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附：法定代表人（单位负责人）身份证正反面</w:t>
      </w:r>
      <w:r>
        <w:rPr>
          <w:rFonts w:hint="eastAsia" w:ascii="微软雅黑" w:hAnsi="微软雅黑" w:eastAsia="微软雅黑" w:cs="微软雅黑"/>
          <w:color w:val="auto"/>
          <w:sz w:val="24"/>
          <w:szCs w:val="24"/>
          <w:highlight w:val="none"/>
          <w:lang w:eastAsia="zh-CN"/>
        </w:rPr>
        <w:t>扫描件</w:t>
      </w:r>
      <w:r>
        <w:rPr>
          <w:rFonts w:hint="eastAsia" w:ascii="微软雅黑" w:hAnsi="微软雅黑" w:eastAsia="微软雅黑" w:cs="微软雅黑"/>
          <w:color w:val="auto"/>
          <w:sz w:val="24"/>
          <w:szCs w:val="24"/>
          <w:highlight w:val="none"/>
        </w:rPr>
        <w:t xml:space="preserve">。 </w:t>
      </w:r>
    </w:p>
    <w:p w14:paraId="44BA7860">
      <w:pPr>
        <w:spacing w:line="360" w:lineRule="auto"/>
        <w:rPr>
          <w:rFonts w:hint="eastAsia" w:ascii="微软雅黑" w:hAnsi="微软雅黑" w:eastAsia="微软雅黑" w:cs="微软雅黑"/>
          <w:color w:val="auto"/>
          <w:sz w:val="24"/>
          <w:szCs w:val="24"/>
          <w:highlight w:val="none"/>
        </w:rPr>
      </w:pPr>
    </w:p>
    <w:p w14:paraId="5DC4724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注：本身份证明需由投标人加盖单位公章。</w:t>
      </w:r>
    </w:p>
    <w:p w14:paraId="29BF2DAF">
      <w:pPr>
        <w:spacing w:line="360" w:lineRule="auto"/>
        <w:rPr>
          <w:rFonts w:hint="eastAsia" w:ascii="微软雅黑" w:hAnsi="微软雅黑" w:eastAsia="微软雅黑" w:cs="微软雅黑"/>
          <w:color w:val="auto"/>
          <w:sz w:val="24"/>
          <w:szCs w:val="24"/>
          <w:highlight w:val="none"/>
        </w:rPr>
      </w:pPr>
    </w:p>
    <w:p w14:paraId="61398385">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名称（单位盖章）：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884A70F">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rPr>
        <w:t xml:space="preserve">                    </w:t>
      </w:r>
    </w:p>
    <w:p w14:paraId="4BF61B5B">
      <w:pPr>
        <w:pStyle w:val="15"/>
        <w:tabs>
          <w:tab w:val="left" w:pos="5580"/>
        </w:tabs>
        <w:spacing w:line="240" w:lineRule="atLeas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bidi="ar-SA"/>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09747B85">
      <w:pPr>
        <w:pStyle w:val="15"/>
        <w:tabs>
          <w:tab w:val="left" w:pos="5580"/>
        </w:tabs>
        <w:spacing w:line="480" w:lineRule="auto"/>
        <w:rPr>
          <w:rFonts w:hint="eastAsia" w:ascii="微软雅黑" w:hAnsi="微软雅黑" w:eastAsia="微软雅黑" w:cs="微软雅黑"/>
          <w:color w:val="auto"/>
          <w:sz w:val="21"/>
          <w:szCs w:val="21"/>
          <w:highlight w:val="none"/>
        </w:rPr>
        <w:sectPr>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color w:val="auto"/>
          <w:sz w:val="21"/>
          <w:szCs w:val="21"/>
          <w:highlight w:val="none"/>
        </w:rPr>
        <w:t xml:space="preserve">   </w:t>
      </w:r>
    </w:p>
    <w:p w14:paraId="29473E29">
      <w:pPr>
        <w:pStyle w:val="15"/>
        <w:tabs>
          <w:tab w:val="left" w:pos="5580"/>
        </w:tabs>
        <w:spacing w:line="480" w:lineRule="auto"/>
        <w:jc w:val="cente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3.2、法定代表人（单位负责人）授权委托书（如有授权人须提供）</w:t>
      </w:r>
    </w:p>
    <w:p w14:paraId="3B11E62E">
      <w:pPr>
        <w:pStyle w:val="12"/>
        <w:keepNext w:val="0"/>
        <w:keepLines w:val="0"/>
        <w:pageBreakBefore w:val="0"/>
        <w:widowControl w:val="0"/>
        <w:tabs>
          <w:tab w:val="left" w:pos="2119"/>
          <w:tab w:val="clear" w:pos="567"/>
        </w:tabs>
        <w:kinsoku/>
        <w:wordWrap/>
        <w:overflowPunct/>
        <w:topLinePunct w:val="0"/>
        <w:autoSpaceDE/>
        <w:autoSpaceDN/>
        <w:bidi w:val="0"/>
        <w:adjustRightInd/>
        <w:snapToGrid w:val="0"/>
        <w:spacing w:before="181" w:line="288" w:lineRule="auto"/>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(采购人)</w:t>
      </w:r>
    </w:p>
    <w:p w14:paraId="55D4CA86">
      <w:pPr>
        <w:pStyle w:val="15"/>
        <w:tabs>
          <w:tab w:val="left" w:pos="5580"/>
        </w:tabs>
        <w:spacing w:line="480" w:lineRule="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本授权书声明：注册于</w:t>
      </w:r>
      <w:r>
        <w:rPr>
          <w:rFonts w:hint="eastAsia" w:ascii="微软雅黑" w:hAnsi="微软雅黑" w:eastAsia="微软雅黑" w:cs="微软雅黑"/>
          <w:i w:val="0"/>
          <w:iCs w:val="0"/>
          <w:color w:val="auto"/>
          <w:sz w:val="24"/>
          <w:szCs w:val="24"/>
          <w:highlight w:val="none"/>
          <w:u w:val="single"/>
        </w:rPr>
        <w:t>（国家或地区的名称）</w:t>
      </w:r>
      <w:r>
        <w:rPr>
          <w:rFonts w:hint="eastAsia" w:ascii="微软雅黑" w:hAnsi="微软雅黑" w:eastAsia="微软雅黑" w:cs="微软雅黑"/>
          <w:i w:val="0"/>
          <w:iCs w:val="0"/>
          <w:color w:val="auto"/>
          <w:sz w:val="24"/>
          <w:szCs w:val="24"/>
          <w:highlight w:val="none"/>
        </w:rPr>
        <w:t>的（</w:t>
      </w:r>
      <w:r>
        <w:rPr>
          <w:rFonts w:hint="eastAsia" w:ascii="微软雅黑" w:hAnsi="微软雅黑" w:eastAsia="微软雅黑" w:cs="微软雅黑"/>
          <w:i w:val="0"/>
          <w:iCs w:val="0"/>
          <w:color w:val="auto"/>
          <w:sz w:val="24"/>
          <w:szCs w:val="24"/>
          <w:highlight w:val="none"/>
          <w:u w:val="single"/>
        </w:rPr>
        <w:t>投标人</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法人代表姓名、职务</w:t>
      </w:r>
      <w:r>
        <w:rPr>
          <w:rFonts w:hint="eastAsia" w:ascii="微软雅黑" w:hAnsi="微软雅黑" w:eastAsia="微软雅黑" w:cs="微软雅黑"/>
          <w:i w:val="0"/>
          <w:iCs w:val="0"/>
          <w:color w:val="auto"/>
          <w:sz w:val="24"/>
          <w:szCs w:val="24"/>
          <w:highlight w:val="none"/>
        </w:rPr>
        <w:t>）代表我单位授权（</w:t>
      </w:r>
      <w:r>
        <w:rPr>
          <w:rFonts w:hint="eastAsia" w:ascii="微软雅黑" w:hAnsi="微软雅黑" w:eastAsia="微软雅黑" w:cs="微软雅黑"/>
          <w:i w:val="0"/>
          <w:iCs w:val="0"/>
          <w:color w:val="auto"/>
          <w:sz w:val="24"/>
          <w:szCs w:val="24"/>
          <w:highlight w:val="none"/>
          <w:u w:val="single"/>
        </w:rPr>
        <w:t>单位名称</w:t>
      </w:r>
      <w:r>
        <w:rPr>
          <w:rFonts w:hint="eastAsia" w:ascii="微软雅黑" w:hAnsi="微软雅黑" w:eastAsia="微软雅黑" w:cs="微软雅黑"/>
          <w:i w:val="0"/>
          <w:iCs w:val="0"/>
          <w:color w:val="auto"/>
          <w:sz w:val="24"/>
          <w:szCs w:val="24"/>
          <w:highlight w:val="none"/>
        </w:rPr>
        <w:t>）的在下面签字的（</w:t>
      </w:r>
      <w:r>
        <w:rPr>
          <w:rFonts w:hint="eastAsia" w:ascii="微软雅黑" w:hAnsi="微软雅黑" w:eastAsia="微软雅黑" w:cs="微软雅黑"/>
          <w:i w:val="0"/>
          <w:iCs w:val="0"/>
          <w:color w:val="auto"/>
          <w:sz w:val="24"/>
          <w:szCs w:val="24"/>
          <w:highlight w:val="none"/>
          <w:u w:val="single"/>
        </w:rPr>
        <w:t>被授权人的姓名、职务</w:t>
      </w:r>
      <w:r>
        <w:rPr>
          <w:rFonts w:hint="eastAsia" w:ascii="微软雅黑" w:hAnsi="微软雅黑" w:eastAsia="微软雅黑" w:cs="微软雅黑"/>
          <w:i w:val="0"/>
          <w:iCs w:val="0"/>
          <w:color w:val="auto"/>
          <w:sz w:val="24"/>
          <w:szCs w:val="24"/>
          <w:highlight w:val="none"/>
        </w:rPr>
        <w:t>）为我单位的合法代理人，</w:t>
      </w:r>
      <w:r>
        <w:rPr>
          <w:rFonts w:hint="eastAsia" w:ascii="微软雅黑" w:hAnsi="微软雅黑" w:eastAsia="微软雅黑" w:cs="微软雅黑"/>
          <w:i w:val="0"/>
          <w:iCs w:val="0"/>
          <w:color w:val="auto"/>
          <w:sz w:val="24"/>
          <w:szCs w:val="24"/>
          <w:highlight w:val="none"/>
          <w:lang w:eastAsia="zh-CN"/>
        </w:rPr>
        <w:t>参加</w:t>
      </w:r>
      <w:r>
        <w:rPr>
          <w:rFonts w:hint="eastAsia" w:ascii="微软雅黑" w:hAnsi="微软雅黑" w:eastAsia="微软雅黑" w:cs="微软雅黑"/>
          <w:i w:val="0"/>
          <w:iCs w:val="0"/>
          <w:color w:val="auto"/>
          <w:sz w:val="24"/>
          <w:szCs w:val="24"/>
          <w:highlight w:val="none"/>
        </w:rPr>
        <w:t>（</w:t>
      </w:r>
      <w:r>
        <w:rPr>
          <w:rFonts w:hint="eastAsia" w:ascii="微软雅黑" w:hAnsi="微软雅黑" w:eastAsia="微软雅黑" w:cs="微软雅黑"/>
          <w:i w:val="0"/>
          <w:iCs w:val="0"/>
          <w:color w:val="auto"/>
          <w:sz w:val="24"/>
          <w:szCs w:val="24"/>
          <w:highlight w:val="none"/>
          <w:u w:val="single"/>
          <w:lang w:val="en-US" w:eastAsia="zh-CN"/>
        </w:rPr>
        <w:t>项目</w:t>
      </w:r>
      <w:r>
        <w:rPr>
          <w:rFonts w:hint="eastAsia" w:ascii="微软雅黑" w:hAnsi="微软雅黑" w:eastAsia="微软雅黑" w:cs="微软雅黑"/>
          <w:i w:val="0"/>
          <w:iCs w:val="0"/>
          <w:color w:val="auto"/>
          <w:sz w:val="24"/>
          <w:szCs w:val="24"/>
          <w:highlight w:val="none"/>
          <w:u w:val="single"/>
        </w:rPr>
        <w:t>名称</w:t>
      </w:r>
      <w:r>
        <w:rPr>
          <w:rFonts w:hint="eastAsia" w:ascii="微软雅黑" w:hAnsi="微软雅黑" w:eastAsia="微软雅黑" w:cs="微软雅黑"/>
          <w:i w:val="0"/>
          <w:iCs w:val="0"/>
          <w:color w:val="auto"/>
          <w:sz w:val="24"/>
          <w:szCs w:val="24"/>
          <w:highlight w:val="none"/>
        </w:rPr>
        <w:t>）投标，以我单位名义处理一切与之有关的事务。</w:t>
      </w:r>
    </w:p>
    <w:p w14:paraId="6814D944">
      <w:pPr>
        <w:pStyle w:val="12"/>
        <w:keepNext w:val="0"/>
        <w:keepLines w:val="0"/>
        <w:pageBreakBefore w:val="0"/>
        <w:widowControl w:val="0"/>
        <w:tabs>
          <w:tab w:val="left" w:pos="2539"/>
          <w:tab w:val="left" w:pos="3168"/>
          <w:tab w:val="left" w:pos="3799"/>
          <w:tab w:val="clear" w:pos="567"/>
        </w:tabs>
        <w:kinsoku/>
        <w:wordWrap/>
        <w:overflowPunct/>
        <w:topLinePunct w:val="0"/>
        <w:autoSpaceDE/>
        <w:autoSpaceDN/>
        <w:bidi w:val="0"/>
        <w:adjustRightInd/>
        <w:snapToGrid w:val="0"/>
        <w:spacing w:line="288" w:lineRule="auto"/>
        <w:ind w:right="-35" w:rightChars="-17"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日签字生效，代理人无转委托权，特此声明。</w:t>
      </w:r>
    </w:p>
    <w:p w14:paraId="1ABA750D">
      <w:pPr>
        <w:pStyle w:val="7"/>
        <w:spacing w:line="480" w:lineRule="auto"/>
        <w:rPr>
          <w:rFonts w:hint="eastAsia" w:ascii="微软雅黑" w:hAnsi="微软雅黑" w:eastAsia="微软雅黑" w:cs="微软雅黑"/>
          <w:color w:val="auto"/>
          <w:sz w:val="24"/>
          <w:szCs w:val="24"/>
          <w:highlight w:val="none"/>
        </w:rPr>
      </w:pPr>
    </w:p>
    <w:p w14:paraId="27DA7CB3">
      <w:pPr>
        <w:pStyle w:val="7"/>
        <w:spacing w:line="48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附：</w:t>
      </w:r>
      <w:r>
        <w:rPr>
          <w:rFonts w:hint="eastAsia" w:ascii="微软雅黑" w:hAnsi="微软雅黑" w:eastAsia="微软雅黑" w:cs="微软雅黑"/>
          <w:b/>
          <w:bCs/>
          <w:color w:val="auto"/>
          <w:sz w:val="24"/>
          <w:szCs w:val="24"/>
          <w:highlight w:val="none"/>
          <w:lang w:eastAsia="zh-CN"/>
        </w:rPr>
        <w:t>委托人和被委托人身份证正反面扫描件，如有授权人必须提供授权委托书</w:t>
      </w:r>
      <w:r>
        <w:rPr>
          <w:rFonts w:hint="eastAsia" w:ascii="微软雅黑" w:hAnsi="微软雅黑" w:eastAsia="微软雅黑" w:cs="微软雅黑"/>
          <w:b/>
          <w:bCs/>
          <w:color w:val="auto"/>
          <w:sz w:val="24"/>
          <w:szCs w:val="24"/>
          <w:highlight w:val="none"/>
        </w:rPr>
        <w:t>。</w:t>
      </w:r>
    </w:p>
    <w:p w14:paraId="10164E2E">
      <w:pPr>
        <w:pStyle w:val="15"/>
        <w:tabs>
          <w:tab w:val="left" w:pos="5580"/>
        </w:tabs>
        <w:spacing w:line="480" w:lineRule="auto"/>
        <w:ind w:left="-539" w:leftChars="-257" w:firstLine="900" w:firstLineChars="375"/>
        <w:rPr>
          <w:rFonts w:hint="eastAsia" w:ascii="微软雅黑" w:hAnsi="微软雅黑" w:eastAsia="微软雅黑" w:cs="微软雅黑"/>
          <w:color w:val="auto"/>
          <w:sz w:val="24"/>
          <w:szCs w:val="24"/>
          <w:highlight w:val="none"/>
        </w:rPr>
      </w:pPr>
    </w:p>
    <w:p w14:paraId="5CC16CBD">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投标人名称</w:t>
      </w:r>
      <w:r>
        <w:rPr>
          <w:rFonts w:hint="eastAsia" w:ascii="微软雅黑" w:hAnsi="微软雅黑" w:eastAsia="微软雅黑" w:cs="微软雅黑"/>
          <w:color w:val="auto"/>
          <w:sz w:val="24"/>
          <w:szCs w:val="24"/>
          <w:highlight w:val="none"/>
        </w:rPr>
        <w:t>（单位盖章）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p>
    <w:p w14:paraId="4F03FCC5">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法定代表人（签字或盖章）：</w:t>
      </w:r>
      <w:r>
        <w:rPr>
          <w:rFonts w:hint="eastAsia" w:ascii="微软雅黑" w:hAnsi="微软雅黑" w:eastAsia="微软雅黑" w:cs="微软雅黑"/>
          <w:color w:val="auto"/>
          <w:sz w:val="24"/>
          <w:szCs w:val="24"/>
          <w:highlight w:val="none"/>
          <w:u w:val="single"/>
          <w:lang w:val="en-US" w:eastAsia="zh-CN"/>
        </w:rPr>
        <w:t xml:space="preserve">                    </w:t>
      </w:r>
    </w:p>
    <w:p w14:paraId="7BB90861">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3E0D9C24">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委托代理人（签字或盖章）：</w:t>
      </w:r>
      <w:r>
        <w:rPr>
          <w:rFonts w:hint="eastAsia" w:ascii="微软雅黑" w:hAnsi="微软雅黑" w:eastAsia="微软雅黑" w:cs="微软雅黑"/>
          <w:color w:val="auto"/>
          <w:sz w:val="24"/>
          <w:szCs w:val="24"/>
          <w:highlight w:val="none"/>
          <w:u w:val="single"/>
          <w:lang w:val="en-US" w:eastAsia="zh-CN"/>
        </w:rPr>
        <w:t xml:space="preserve">                    </w:t>
      </w:r>
    </w:p>
    <w:p w14:paraId="0D86FC2C">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身份证号码：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48225EF2">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详细通讯地址：</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49558325">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5D0D30E6">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lang w:val="en-US" w:eastAsia="zh-CN"/>
        </w:rPr>
        <w:t xml:space="preserve">                                    </w:t>
      </w:r>
    </w:p>
    <w:p w14:paraId="51168EEB">
      <w:pPr>
        <w:pStyle w:val="15"/>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微软雅黑" w:hAnsi="微软雅黑" w:eastAsia="微软雅黑" w:cs="微软雅黑"/>
          <w:b/>
          <w:color w:val="auto"/>
          <w:kern w:val="0"/>
          <w:sz w:val="22"/>
          <w:szCs w:val="22"/>
          <w:highlight w:val="none"/>
          <w:lang w:val="en-US" w:eastAsia="zh-CN"/>
        </w:rPr>
      </w:pPr>
      <w:r>
        <w:rPr>
          <w:rFonts w:hint="eastAsia" w:ascii="微软雅黑" w:hAnsi="微软雅黑" w:eastAsia="微软雅黑" w:cs="微软雅黑"/>
          <w:color w:val="auto"/>
          <w:sz w:val="24"/>
          <w:szCs w:val="24"/>
          <w:highlight w:val="none"/>
        </w:rPr>
        <w:t>电　　话：</w:t>
      </w:r>
      <w:bookmarkStart w:id="289" w:name="_Toc22138"/>
      <w:bookmarkStart w:id="290" w:name="_Toc15480"/>
      <w:bookmarkStart w:id="291" w:name="_Toc4923"/>
      <w:bookmarkStart w:id="292" w:name="_Toc10290"/>
      <w:bookmarkStart w:id="293" w:name="_Toc8410"/>
      <w:r>
        <w:rPr>
          <w:rFonts w:hint="eastAsia" w:ascii="微软雅黑" w:hAnsi="微软雅黑" w:eastAsia="微软雅黑" w:cs="微软雅黑"/>
          <w:color w:val="auto"/>
          <w:sz w:val="24"/>
          <w:szCs w:val="24"/>
          <w:highlight w:val="none"/>
          <w:u w:val="single"/>
          <w:lang w:val="en-US" w:eastAsia="zh-CN"/>
        </w:rPr>
        <w:t xml:space="preserve">                                    </w:t>
      </w:r>
    </w:p>
    <w:bookmarkEnd w:id="289"/>
    <w:bookmarkEnd w:id="290"/>
    <w:bookmarkEnd w:id="291"/>
    <w:bookmarkEnd w:id="292"/>
    <w:bookmarkEnd w:id="293"/>
    <w:p w14:paraId="1B048072">
      <w:pPr>
        <w:pStyle w:val="15"/>
        <w:tabs>
          <w:tab w:val="left" w:pos="5580"/>
        </w:tabs>
        <w:spacing w:line="240" w:lineRule="atLeast"/>
        <w:ind w:left="-539" w:leftChars="-257" w:firstLine="787" w:firstLineChars="375"/>
        <w:jc w:val="center"/>
        <w:outlineLvl w:val="1"/>
        <w:rPr>
          <w:rFonts w:hint="eastAsia" w:ascii="微软雅黑" w:hAnsi="微软雅黑" w:eastAsia="微软雅黑" w:cs="微软雅黑"/>
          <w:b/>
          <w:color w:val="auto"/>
          <w:kern w:val="0"/>
          <w:sz w:val="21"/>
          <w:szCs w:val="21"/>
          <w:highlight w:val="none"/>
        </w:rPr>
        <w:sectPr>
          <w:footerReference r:id="rId12" w:type="default"/>
          <w:pgSz w:w="11906" w:h="16838"/>
          <w:pgMar w:top="1440" w:right="1080" w:bottom="1440" w:left="1080" w:header="851" w:footer="992" w:gutter="0"/>
          <w:pgNumType w:fmt="decimal"/>
          <w:cols w:space="720" w:num="1"/>
          <w:rtlGutter w:val="0"/>
          <w:docGrid w:type="linesAndChars" w:linePitch="312" w:charSpace="0"/>
        </w:sectPr>
      </w:pPr>
    </w:p>
    <w:p w14:paraId="54A0563E">
      <w:pPr>
        <w:pStyle w:val="15"/>
        <w:tabs>
          <w:tab w:val="left" w:pos="5580"/>
        </w:tabs>
        <w:spacing w:line="480" w:lineRule="auto"/>
        <w:jc w:val="center"/>
        <w:outlineLvl w:val="1"/>
        <w:rPr>
          <w:rFonts w:hint="eastAsia" w:ascii="微软雅黑" w:hAnsi="微软雅黑" w:eastAsia="微软雅黑" w:cs="微软雅黑"/>
          <w:b/>
          <w:color w:val="auto"/>
          <w:kern w:val="0"/>
          <w:sz w:val="28"/>
          <w:szCs w:val="28"/>
          <w:highlight w:val="none"/>
          <w:lang w:val="en-US" w:eastAsia="zh-CN" w:bidi="ar-SA"/>
        </w:rPr>
      </w:pPr>
      <w:bookmarkStart w:id="294" w:name="_Toc31961"/>
      <w:bookmarkStart w:id="295" w:name="_Toc6003"/>
      <w:r>
        <w:rPr>
          <w:rFonts w:hint="eastAsia" w:ascii="微软雅黑" w:hAnsi="微软雅黑" w:eastAsia="微软雅黑" w:cs="微软雅黑"/>
          <w:b/>
          <w:color w:val="auto"/>
          <w:kern w:val="0"/>
          <w:sz w:val="28"/>
          <w:szCs w:val="28"/>
          <w:highlight w:val="none"/>
          <w:lang w:val="en-US" w:eastAsia="zh-CN" w:bidi="ar-SA"/>
        </w:rPr>
        <w:t>4</w:t>
      </w:r>
      <w:bookmarkEnd w:id="294"/>
      <w:r>
        <w:rPr>
          <w:rFonts w:hint="eastAsia" w:ascii="微软雅黑" w:hAnsi="微软雅黑" w:eastAsia="微软雅黑" w:cs="微软雅黑"/>
          <w:b/>
          <w:color w:val="auto"/>
          <w:kern w:val="0"/>
          <w:sz w:val="28"/>
          <w:szCs w:val="28"/>
          <w:highlight w:val="none"/>
          <w:lang w:val="en-US" w:eastAsia="zh-CN" w:bidi="ar-SA"/>
        </w:rPr>
        <w:t>、提供2025年度的财务审计报告（新公司可提供近三个月内任意一个月的银行资信证明）；</w:t>
      </w:r>
      <w:bookmarkEnd w:id="295"/>
    </w:p>
    <w:p w14:paraId="4EAEF9DC">
      <w:pP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lang w:eastAsia="zh-CN"/>
        </w:rPr>
        <w:t>投标人须</w:t>
      </w:r>
      <w:r>
        <w:rPr>
          <w:rFonts w:hint="eastAsia" w:ascii="微软雅黑" w:hAnsi="微软雅黑" w:eastAsia="微软雅黑" w:cs="微软雅黑"/>
          <w:b w:val="0"/>
          <w:bCs w:val="0"/>
          <w:color w:val="auto"/>
          <w:sz w:val="24"/>
          <w:szCs w:val="24"/>
          <w:highlight w:val="none"/>
          <w:lang w:val="en-US" w:eastAsia="zh-CN"/>
        </w:rPr>
        <w:t>提供2025年度的财务审计报告（新公司可提供近三个月内任意一个月的银行资信证明）</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财务</w:t>
      </w:r>
      <w:r>
        <w:rPr>
          <w:rFonts w:hint="eastAsia" w:ascii="微软雅黑" w:hAnsi="微软雅黑" w:eastAsia="微软雅黑" w:cs="微软雅黑"/>
          <w:b w:val="0"/>
          <w:bCs w:val="0"/>
          <w:color w:val="auto"/>
          <w:sz w:val="24"/>
          <w:szCs w:val="24"/>
          <w:highlight w:val="none"/>
          <w:lang w:eastAsia="zh-CN"/>
        </w:rPr>
        <w:t>审计报告中须包括资资产负债表、利润表、现金流量表、所有者权益变动表、财务报表附注及财务审计公司营业执照和会计师证件），新公司可提供近三个月内任意一个月的银行资信证明；扫描件上应加盖本单位公章。</w:t>
      </w:r>
    </w:p>
    <w:p w14:paraId="18C8DDD0">
      <w:pPr>
        <w:pStyle w:val="12"/>
        <w:rPr>
          <w:rFonts w:hint="eastAsia" w:ascii="微软雅黑" w:hAnsi="微软雅黑" w:eastAsia="微软雅黑" w:cs="微软雅黑"/>
          <w:color w:val="auto"/>
          <w:sz w:val="21"/>
          <w:szCs w:val="21"/>
          <w:highlight w:val="none"/>
        </w:rPr>
      </w:pPr>
    </w:p>
    <w:p w14:paraId="007B4CDE">
      <w:pPr>
        <w:pStyle w:val="3"/>
        <w:numPr>
          <w:ilvl w:val="0"/>
          <w:numId w:val="0"/>
        </w:numPr>
        <w:spacing w:before="0" w:line="240" w:lineRule="atLeast"/>
        <w:jc w:val="left"/>
        <w:outlineLvl w:val="1"/>
        <w:rPr>
          <w:rFonts w:hint="eastAsia" w:ascii="微软雅黑" w:hAnsi="微软雅黑" w:eastAsia="微软雅黑" w:cs="微软雅黑"/>
          <w:b/>
          <w:color w:val="auto"/>
          <w:kern w:val="0"/>
          <w:sz w:val="21"/>
          <w:szCs w:val="21"/>
          <w:highlight w:val="none"/>
          <w:lang w:val="en-US" w:eastAsia="zh-CN" w:bidi="ar-SA"/>
        </w:rPr>
      </w:pPr>
      <w:bookmarkStart w:id="296" w:name="_Toc25584"/>
    </w:p>
    <w:p w14:paraId="13E305C7">
      <w:pPr>
        <w:pStyle w:val="3"/>
        <w:numPr>
          <w:ilvl w:val="0"/>
          <w:numId w:val="0"/>
        </w:numPr>
        <w:spacing w:before="0" w:line="240" w:lineRule="atLeast"/>
        <w:jc w:val="center"/>
        <w:outlineLvl w:val="1"/>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5、提供依法缴纳近六个月任意一个月社会保险的凭据；</w:t>
      </w:r>
      <w:bookmarkEnd w:id="296"/>
    </w:p>
    <w:p w14:paraId="655B8839">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说明：</w:t>
      </w:r>
      <w:r>
        <w:rPr>
          <w:rFonts w:hint="eastAsia" w:ascii="微软雅黑" w:hAnsi="微软雅黑" w:eastAsia="微软雅黑" w:cs="微软雅黑"/>
          <w:color w:val="auto"/>
          <w:sz w:val="24"/>
          <w:szCs w:val="24"/>
          <w:highlight w:val="none"/>
          <w:lang w:val="en-US" w:eastAsia="zh-CN"/>
        </w:rPr>
        <w:t>提供依法缴纳近六个月任意一个月社会保险的凭据；扫描件上应加盖本单位公章。</w:t>
      </w:r>
    </w:p>
    <w:p w14:paraId="794888F9">
      <w:pPr>
        <w:pStyle w:val="27"/>
        <w:rPr>
          <w:rFonts w:hint="eastAsia" w:ascii="微软雅黑" w:hAnsi="微软雅黑" w:eastAsia="微软雅黑" w:cs="微软雅黑"/>
          <w:color w:val="auto"/>
          <w:sz w:val="21"/>
          <w:szCs w:val="21"/>
          <w:highlight w:val="none"/>
          <w:lang w:val="en-US" w:eastAsia="zh-CN"/>
        </w:rPr>
      </w:pPr>
    </w:p>
    <w:p w14:paraId="55D6AA34">
      <w:pPr>
        <w:pStyle w:val="12"/>
        <w:rPr>
          <w:rFonts w:hint="eastAsia" w:ascii="微软雅黑" w:hAnsi="微软雅黑" w:eastAsia="微软雅黑" w:cs="微软雅黑"/>
          <w:color w:val="auto"/>
          <w:sz w:val="21"/>
          <w:szCs w:val="21"/>
          <w:highlight w:val="none"/>
          <w:lang w:val="en-US" w:eastAsia="zh-CN"/>
        </w:rPr>
      </w:pPr>
    </w:p>
    <w:p w14:paraId="735CB11C">
      <w:pPr>
        <w:pStyle w:val="12"/>
        <w:rPr>
          <w:rFonts w:hint="eastAsia" w:ascii="微软雅黑" w:hAnsi="微软雅黑" w:eastAsia="微软雅黑" w:cs="微软雅黑"/>
          <w:color w:val="auto"/>
          <w:sz w:val="21"/>
          <w:szCs w:val="21"/>
          <w:highlight w:val="none"/>
          <w:lang w:val="en-US" w:eastAsia="zh-CN"/>
        </w:rPr>
      </w:pPr>
    </w:p>
    <w:p w14:paraId="576CBDD1">
      <w:pPr>
        <w:pStyle w:val="3"/>
        <w:numPr>
          <w:ilvl w:val="0"/>
          <w:numId w:val="0"/>
        </w:numPr>
        <w:spacing w:before="0" w:line="240" w:lineRule="atLeast"/>
        <w:jc w:val="center"/>
        <w:rPr>
          <w:rFonts w:hint="eastAsia" w:ascii="微软雅黑" w:hAnsi="微软雅黑" w:eastAsia="微软雅黑" w:cs="微软雅黑"/>
          <w:b/>
          <w:color w:val="auto"/>
          <w:kern w:val="0"/>
          <w:sz w:val="22"/>
          <w:szCs w:val="22"/>
          <w:highlight w:val="none"/>
          <w:lang w:val="en-US" w:eastAsia="zh-CN" w:bidi="ar-SA"/>
        </w:rPr>
      </w:pPr>
      <w:bookmarkStart w:id="297" w:name="_Toc31898"/>
      <w:r>
        <w:rPr>
          <w:rFonts w:hint="eastAsia" w:ascii="微软雅黑" w:hAnsi="微软雅黑" w:eastAsia="微软雅黑" w:cs="微软雅黑"/>
          <w:b/>
          <w:color w:val="auto"/>
          <w:kern w:val="0"/>
          <w:sz w:val="28"/>
          <w:szCs w:val="28"/>
          <w:highlight w:val="none"/>
          <w:lang w:val="en-US" w:eastAsia="zh-CN" w:bidi="ar-SA"/>
        </w:rPr>
        <w:t>6、提供税务部门出具的近六个月任意一个月的税收证明；</w:t>
      </w:r>
      <w:bookmarkEnd w:id="297"/>
    </w:p>
    <w:p w14:paraId="3F5578B6">
      <w:pPr>
        <w:tabs>
          <w:tab w:val="left" w:pos="5580"/>
        </w:tabs>
        <w:spacing w:line="240" w:lineRule="atLeas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说明：</w:t>
      </w:r>
      <w:r>
        <w:rPr>
          <w:rFonts w:hint="eastAsia" w:ascii="微软雅黑" w:hAnsi="微软雅黑" w:eastAsia="微软雅黑" w:cs="微软雅黑"/>
          <w:color w:val="auto"/>
          <w:sz w:val="24"/>
          <w:szCs w:val="24"/>
          <w:highlight w:val="none"/>
          <w:lang w:val="en-US" w:eastAsia="zh-CN"/>
        </w:rPr>
        <w:t>提供税务部门出具的近六个月任意一个月的税收证明；扫描件上应加盖本单位公章。</w:t>
      </w:r>
    </w:p>
    <w:p w14:paraId="56E67D5A">
      <w:pPr>
        <w:ind w:firstLine="480" w:firstLineChars="200"/>
        <w:rPr>
          <w:rFonts w:hint="eastAsia" w:ascii="微软雅黑" w:hAnsi="微软雅黑" w:eastAsia="微软雅黑" w:cs="微软雅黑"/>
          <w:color w:val="auto"/>
          <w:sz w:val="24"/>
          <w:szCs w:val="24"/>
          <w:highlight w:val="none"/>
          <w:lang w:val="en-US" w:eastAsia="zh-CN"/>
        </w:rPr>
      </w:pPr>
    </w:p>
    <w:p w14:paraId="701017D4">
      <w:pPr>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color w:val="auto"/>
          <w:sz w:val="24"/>
          <w:szCs w:val="24"/>
          <w:highlight w:val="none"/>
          <w:lang w:val="en-US" w:eastAsia="zh-CN"/>
        </w:rPr>
        <w:t>注：“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请各投标人注意！</w:t>
      </w:r>
    </w:p>
    <w:p w14:paraId="7F0EF217">
      <w:pPr>
        <w:pStyle w:val="3"/>
        <w:spacing w:before="0" w:line="240" w:lineRule="atLeast"/>
        <w:ind w:left="1079" w:leftChars="257" w:hanging="540"/>
        <w:rPr>
          <w:rFonts w:hint="eastAsia" w:ascii="微软雅黑" w:hAnsi="微软雅黑" w:eastAsia="微软雅黑" w:cs="微软雅黑"/>
          <w:color w:val="auto"/>
          <w:sz w:val="22"/>
          <w:szCs w:val="22"/>
          <w:highlight w:val="none"/>
        </w:rPr>
        <w:sectPr>
          <w:footerReference r:id="rId13" w:type="default"/>
          <w:pgSz w:w="11906" w:h="16838"/>
          <w:pgMar w:top="1440" w:right="1080" w:bottom="1440" w:left="1080" w:header="851" w:footer="992" w:gutter="0"/>
          <w:pgNumType w:fmt="decimal"/>
          <w:cols w:space="720" w:num="1"/>
          <w:docGrid w:type="linesAndChars" w:linePitch="312" w:charSpace="0"/>
        </w:sectPr>
      </w:pPr>
      <w:bookmarkStart w:id="298" w:name="_Toc13428"/>
      <w:bookmarkStart w:id="299" w:name="_Toc18754"/>
      <w:bookmarkStart w:id="300" w:name="_Toc7379"/>
      <w:bookmarkStart w:id="301" w:name="_Toc5710"/>
      <w:bookmarkStart w:id="302" w:name="_Toc515647810"/>
    </w:p>
    <w:bookmarkEnd w:id="298"/>
    <w:bookmarkEnd w:id="299"/>
    <w:bookmarkEnd w:id="300"/>
    <w:bookmarkEnd w:id="301"/>
    <w:bookmarkEnd w:id="302"/>
    <w:p w14:paraId="13875D21">
      <w:pPr>
        <w:pStyle w:val="3"/>
        <w:numPr>
          <w:ilvl w:val="0"/>
          <w:numId w:val="0"/>
        </w:numPr>
        <w:spacing w:before="0" w:line="240" w:lineRule="atLeast"/>
        <w:jc w:val="center"/>
        <w:rPr>
          <w:rFonts w:hint="eastAsia" w:ascii="微软雅黑" w:hAnsi="微软雅黑" w:eastAsia="微软雅黑" w:cs="微软雅黑"/>
          <w:b/>
          <w:color w:val="auto"/>
          <w:kern w:val="0"/>
          <w:sz w:val="22"/>
          <w:szCs w:val="22"/>
          <w:highlight w:val="none"/>
          <w:lang w:val="en-US" w:eastAsia="zh-CN" w:bidi="ar-SA"/>
        </w:rPr>
      </w:pPr>
      <w:bookmarkStart w:id="303" w:name="_Toc518923115"/>
      <w:bookmarkStart w:id="304" w:name="_Toc12004"/>
      <w:r>
        <w:rPr>
          <w:rFonts w:hint="eastAsia" w:ascii="微软雅黑" w:hAnsi="微软雅黑" w:eastAsia="微软雅黑" w:cs="微软雅黑"/>
          <w:b/>
          <w:color w:val="auto"/>
          <w:kern w:val="0"/>
          <w:sz w:val="28"/>
          <w:szCs w:val="28"/>
          <w:highlight w:val="none"/>
          <w:lang w:val="en-US" w:eastAsia="zh-CN" w:bidi="ar-SA"/>
        </w:rPr>
        <w:t>7、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14634C72">
      <w:pPr>
        <w:pStyle w:val="15"/>
        <w:tabs>
          <w:tab w:val="left" w:pos="5580"/>
        </w:tabs>
        <w:spacing w:line="240" w:lineRule="atLeast"/>
        <w:ind w:left="1080" w:leftChars="257" w:hanging="540"/>
        <w:jc w:val="center"/>
        <w:rPr>
          <w:rFonts w:hint="eastAsia" w:ascii="微软雅黑" w:hAnsi="微软雅黑" w:eastAsia="微软雅黑" w:cs="微软雅黑"/>
          <w:b/>
          <w:color w:val="auto"/>
          <w:sz w:val="28"/>
          <w:szCs w:val="28"/>
          <w:highlight w:val="none"/>
        </w:rPr>
      </w:pPr>
    </w:p>
    <w:p w14:paraId="284DF9E4">
      <w:pPr>
        <w:pageBreakBefore w:val="0"/>
        <w:tabs>
          <w:tab w:val="left" w:pos="5580"/>
        </w:tabs>
        <w:kinsoku/>
        <w:overflowPunct/>
        <w:bidi w:val="0"/>
        <w:snapToGrid w:val="0"/>
        <w:spacing w:line="312" w:lineRule="auto"/>
        <w:ind w:firstLine="480" w:firstLineChars="200"/>
        <w:rPr>
          <w:rFonts w:hint="eastAsia" w:ascii="微软雅黑" w:hAnsi="微软雅黑" w:eastAsia="微软雅黑" w:cs="微软雅黑"/>
          <w:b w:val="0"/>
          <w:bCs w:val="0"/>
          <w:color w:val="auto"/>
          <w:sz w:val="22"/>
          <w:szCs w:val="22"/>
          <w:highlight w:val="none"/>
          <w:lang w:eastAsia="zh-CN"/>
        </w:rPr>
      </w:pPr>
      <w:r>
        <w:rPr>
          <w:rFonts w:hint="eastAsia" w:ascii="微软雅黑" w:hAnsi="微软雅黑" w:eastAsia="微软雅黑" w:cs="微软雅黑"/>
          <w:b/>
          <w:bCs/>
          <w:color w:val="auto"/>
          <w:sz w:val="24"/>
          <w:szCs w:val="24"/>
          <w:highlight w:val="none"/>
          <w:lang w:eastAsia="zh-CN"/>
        </w:rPr>
        <w:t>说明：</w:t>
      </w:r>
      <w:r>
        <w:rPr>
          <w:rFonts w:hint="eastAsia" w:ascii="微软雅黑" w:hAnsi="微软雅黑" w:eastAsia="微软雅黑" w:cs="微软雅黑"/>
          <w:b w:val="0"/>
          <w:bCs w:val="0"/>
          <w:color w:val="auto"/>
          <w:sz w:val="24"/>
          <w:szCs w:val="24"/>
          <w:highlight w:val="none"/>
        </w:rPr>
        <w:t>查询时间自公告发布之日起至响应文件递交截止时间止（该时间段内任一时间）</w:t>
      </w:r>
      <w:r>
        <w:rPr>
          <w:rFonts w:hint="eastAsia" w:ascii="微软雅黑" w:hAnsi="微软雅黑" w:eastAsia="微软雅黑" w:cs="微软雅黑"/>
          <w:b w:val="0"/>
          <w:bCs w:val="0"/>
          <w:color w:val="auto"/>
          <w:sz w:val="24"/>
          <w:szCs w:val="24"/>
          <w:highlight w:val="none"/>
          <w:lang w:eastAsia="zh-CN"/>
        </w:rPr>
        <w:t>。</w:t>
      </w:r>
    </w:p>
    <w:p w14:paraId="0C6844D5">
      <w:pPr>
        <w:pStyle w:val="73"/>
        <w:jc w:val="left"/>
        <w:rPr>
          <w:rFonts w:hint="eastAsia" w:ascii="微软雅黑" w:hAnsi="微软雅黑" w:eastAsia="微软雅黑" w:cs="微软雅黑"/>
          <w:color w:val="auto"/>
          <w:sz w:val="28"/>
          <w:szCs w:val="28"/>
          <w:highlight w:val="none"/>
          <w:lang w:val="en-US" w:eastAsia="zh-CN"/>
        </w:rPr>
        <w:sectPr>
          <w:footerReference r:id="rId14" w:type="default"/>
          <w:pgSz w:w="11906" w:h="16838"/>
          <w:pgMar w:top="1440" w:right="1080" w:bottom="1440" w:left="1080" w:header="851" w:footer="992" w:gutter="0"/>
          <w:pgNumType w:fmt="decimal"/>
          <w:cols w:space="720" w:num="1"/>
          <w:docGrid w:type="lines" w:linePitch="312" w:charSpace="0"/>
        </w:sectPr>
      </w:pPr>
    </w:p>
    <w:p w14:paraId="0D5EA801">
      <w:pPr>
        <w:pStyle w:val="3"/>
        <w:numPr>
          <w:ilvl w:val="0"/>
          <w:numId w:val="0"/>
        </w:numPr>
        <w:spacing w:before="0" w:line="240" w:lineRule="atLeast"/>
        <w:jc w:val="center"/>
        <w:rPr>
          <w:rFonts w:hint="eastAsia" w:ascii="微软雅黑" w:hAnsi="微软雅黑" w:eastAsia="微软雅黑" w:cs="微软雅黑"/>
          <w:b/>
          <w:color w:val="auto"/>
          <w:kern w:val="0"/>
          <w:sz w:val="32"/>
          <w:szCs w:val="32"/>
          <w:highlight w:val="none"/>
          <w:lang w:val="en-US" w:eastAsia="zh-CN" w:bidi="ar-SA"/>
        </w:rPr>
      </w:pPr>
      <w:bookmarkStart w:id="305" w:name="_Toc5644"/>
      <w:bookmarkStart w:id="306" w:name="_Toc3740"/>
      <w:r>
        <w:rPr>
          <w:rFonts w:hint="eastAsia" w:ascii="微软雅黑" w:hAnsi="微软雅黑" w:eastAsia="微软雅黑" w:cs="微软雅黑"/>
          <w:b/>
          <w:color w:val="auto"/>
          <w:kern w:val="0"/>
          <w:sz w:val="28"/>
          <w:szCs w:val="28"/>
          <w:highlight w:val="none"/>
          <w:lang w:val="en-US" w:eastAsia="zh-CN" w:bidi="ar-SA"/>
        </w:rPr>
        <w:t>8、具有履行合同所必需的设备和专业技术能力的承诺书；</w:t>
      </w:r>
    </w:p>
    <w:p w14:paraId="04897E55">
      <w:pPr>
        <w:spacing w:before="185" w:line="361" w:lineRule="auto"/>
        <w:ind w:right="80"/>
        <w:rPr>
          <w:rFonts w:hint="eastAsia" w:ascii="微软雅黑" w:hAnsi="微软雅黑" w:eastAsia="微软雅黑" w:cs="微软雅黑"/>
          <w:color w:val="auto"/>
          <w:spacing w:val="9"/>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w:t>
      </w:r>
      <w:r>
        <w:rPr>
          <w:rFonts w:hint="eastAsia" w:ascii="微软雅黑" w:hAnsi="微软雅黑" w:eastAsia="微软雅黑" w:cs="微软雅黑"/>
          <w:color w:val="auto"/>
          <w:sz w:val="24"/>
          <w:szCs w:val="24"/>
          <w:highlight w:val="none"/>
          <w:u w:val="single"/>
          <w:lang w:eastAsia="zh-CN"/>
        </w:rPr>
        <w:t>人</w:t>
      </w:r>
    </w:p>
    <w:p w14:paraId="3131EC48">
      <w:pPr>
        <w:spacing w:before="185" w:line="361" w:lineRule="auto"/>
        <w:ind w:left="9" w:right="80"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9"/>
          <w:sz w:val="24"/>
          <w:szCs w:val="24"/>
          <w:highlight w:val="none"/>
        </w:rPr>
        <w:t>我公司自愿参加由贵公司组织的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项目名称</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项目</w:t>
      </w:r>
      <w:r>
        <w:rPr>
          <w:rFonts w:hint="eastAsia" w:ascii="微软雅黑" w:hAnsi="微软雅黑" w:eastAsia="微软雅黑" w:cs="微软雅黑"/>
          <w:color w:val="auto"/>
          <w:spacing w:val="8"/>
          <w:sz w:val="24"/>
          <w:szCs w:val="24"/>
          <w:highlight w:val="none"/>
        </w:rPr>
        <w:t>采购活动，在</w:t>
      </w:r>
      <w:r>
        <w:rPr>
          <w:rFonts w:hint="eastAsia" w:ascii="微软雅黑" w:hAnsi="微软雅黑" w:eastAsia="微软雅黑" w:cs="微软雅黑"/>
          <w:color w:val="auto"/>
          <w:spacing w:val="-2"/>
          <w:sz w:val="24"/>
          <w:szCs w:val="24"/>
          <w:highlight w:val="none"/>
        </w:rPr>
        <w:t>此郑重承诺：</w:t>
      </w:r>
    </w:p>
    <w:p w14:paraId="319DA3A4">
      <w:pPr>
        <w:spacing w:before="36" w:line="361" w:lineRule="auto"/>
        <w:ind w:left="11" w:firstLine="47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我公司完全理解本项目招标的技术要求、商务条款及其他内容，决定参与该项目的</w:t>
      </w:r>
      <w:r>
        <w:rPr>
          <w:rFonts w:hint="eastAsia" w:ascii="微软雅黑" w:hAnsi="微软雅黑" w:eastAsia="微软雅黑" w:cs="微软雅黑"/>
          <w:color w:val="auto"/>
          <w:spacing w:val="9"/>
          <w:sz w:val="24"/>
          <w:szCs w:val="24"/>
          <w:highlight w:val="none"/>
        </w:rPr>
        <w:t>投标活动。并承诺，如中标我公司将提供足够的产</w:t>
      </w:r>
      <w:r>
        <w:rPr>
          <w:rFonts w:hint="eastAsia" w:ascii="微软雅黑" w:hAnsi="微软雅黑" w:eastAsia="微软雅黑" w:cs="微软雅黑"/>
          <w:color w:val="auto"/>
          <w:spacing w:val="8"/>
          <w:sz w:val="24"/>
          <w:szCs w:val="24"/>
          <w:highlight w:val="none"/>
        </w:rPr>
        <w:t>品和专业技术能力保证本合同履行。</w:t>
      </w:r>
    </w:p>
    <w:p w14:paraId="70CF1AB6">
      <w:pPr>
        <w:spacing w:before="36" w:line="361" w:lineRule="auto"/>
        <w:ind w:left="10" w:right="8" w:firstLine="47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8"/>
          <w:sz w:val="24"/>
          <w:szCs w:val="24"/>
          <w:highlight w:val="none"/>
        </w:rPr>
        <w:t>本公司对以上承诺的真实性负责。如有虚假，我公司同意按我方合同违约处理，并</w:t>
      </w:r>
      <w:r>
        <w:rPr>
          <w:rFonts w:hint="eastAsia" w:ascii="微软雅黑" w:hAnsi="微软雅黑" w:eastAsia="微软雅黑" w:cs="微软雅黑"/>
          <w:color w:val="auto"/>
          <w:spacing w:val="5"/>
          <w:sz w:val="24"/>
          <w:szCs w:val="24"/>
          <w:highlight w:val="none"/>
        </w:rPr>
        <w:t>依法承担相应的法律责任。</w:t>
      </w:r>
    </w:p>
    <w:p w14:paraId="32DC20F3">
      <w:pPr>
        <w:pStyle w:val="12"/>
        <w:spacing w:line="251" w:lineRule="auto"/>
        <w:rPr>
          <w:rFonts w:hint="eastAsia" w:ascii="微软雅黑" w:hAnsi="微软雅黑" w:eastAsia="微软雅黑" w:cs="微软雅黑"/>
          <w:color w:val="auto"/>
          <w:sz w:val="24"/>
          <w:szCs w:val="24"/>
          <w:highlight w:val="none"/>
        </w:rPr>
      </w:pPr>
    </w:p>
    <w:p w14:paraId="10DA5C39">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投标人名称</w:t>
      </w:r>
      <w:r>
        <w:rPr>
          <w:rFonts w:hint="eastAsia" w:ascii="微软雅黑" w:hAnsi="微软雅黑" w:eastAsia="微软雅黑" w:cs="微软雅黑"/>
          <w:color w:val="auto"/>
          <w:sz w:val="24"/>
          <w:szCs w:val="24"/>
          <w:highlight w:val="none"/>
        </w:rPr>
        <w:t>（单位盖</w:t>
      </w:r>
      <w:r>
        <w:rPr>
          <w:rFonts w:hint="eastAsia" w:ascii="微软雅黑" w:hAnsi="微软雅黑" w:eastAsia="微软雅黑" w:cs="微软雅黑"/>
          <w:color w:val="auto"/>
          <w:sz w:val="24"/>
          <w:szCs w:val="24"/>
          <w:highlight w:val="none"/>
          <w:lang w:eastAsia="zh-CN"/>
        </w:rPr>
        <w:t>公</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6DB39DA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440EDEE0">
      <w:pPr>
        <w:rPr>
          <w:rFonts w:hint="eastAsia"/>
          <w:color w:val="auto"/>
          <w:sz w:val="24"/>
          <w:szCs w:val="32"/>
          <w:highlight w:val="none"/>
          <w:lang w:val="en-US" w:eastAsia="zh-CN"/>
        </w:rPr>
      </w:pPr>
      <w:r>
        <w:rPr>
          <w:rFonts w:hint="eastAsia" w:ascii="微软雅黑" w:hAnsi="微软雅黑" w:eastAsia="微软雅黑" w:cs="微软雅黑"/>
          <w:color w:val="auto"/>
          <w:sz w:val="24"/>
          <w:szCs w:val="24"/>
          <w:highlight w:val="none"/>
        </w:rPr>
        <w:t>日期：  年  月  日</w:t>
      </w:r>
    </w:p>
    <w:p w14:paraId="30FDDF47">
      <w:pPr>
        <w:rPr>
          <w:rFonts w:hint="eastAsia"/>
          <w:color w:val="auto"/>
          <w:sz w:val="24"/>
          <w:szCs w:val="32"/>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14BA09FC">
      <w:pPr>
        <w:pStyle w:val="3"/>
        <w:numPr>
          <w:ilvl w:val="0"/>
          <w:numId w:val="0"/>
        </w:numPr>
        <w:spacing w:before="0" w:line="240" w:lineRule="atLeast"/>
        <w:jc w:val="center"/>
        <w:rPr>
          <w:rFonts w:hint="eastAsia" w:ascii="微软雅黑" w:hAnsi="微软雅黑" w:eastAsia="微软雅黑" w:cs="微软雅黑"/>
          <w:b/>
          <w:color w:val="auto"/>
          <w:kern w:val="0"/>
          <w:sz w:val="22"/>
          <w:szCs w:val="22"/>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9、</w:t>
      </w:r>
      <w:bookmarkEnd w:id="305"/>
      <w:bookmarkEnd w:id="306"/>
      <w:r>
        <w:rPr>
          <w:rFonts w:hint="eastAsia" w:ascii="微软雅黑" w:hAnsi="微软雅黑" w:eastAsia="微软雅黑" w:cs="微软雅黑"/>
          <w:b/>
          <w:color w:val="auto"/>
          <w:kern w:val="0"/>
          <w:sz w:val="28"/>
          <w:szCs w:val="28"/>
          <w:highlight w:val="none"/>
          <w:lang w:val="en-US" w:eastAsia="zh-CN" w:bidi="ar-SA"/>
        </w:rPr>
        <w:t>针对本次项目的《反商业贿赂承诺书》</w:t>
      </w:r>
    </w:p>
    <w:p w14:paraId="1F3801C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w:t>
      </w:r>
      <w:r>
        <w:rPr>
          <w:rFonts w:hint="eastAsia" w:ascii="微软雅黑" w:hAnsi="微软雅黑" w:eastAsia="微软雅黑" w:cs="微软雅黑"/>
          <w:color w:val="auto"/>
          <w:sz w:val="24"/>
          <w:szCs w:val="24"/>
          <w:highlight w:val="none"/>
          <w:u w:val="single"/>
          <w:lang w:eastAsia="zh-CN"/>
        </w:rPr>
        <w:t>人</w:t>
      </w:r>
    </w:p>
    <w:p w14:paraId="2EFD012C">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我公司承诺在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项目名称</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公开采购</w:t>
      </w:r>
      <w:r>
        <w:rPr>
          <w:rFonts w:hint="eastAsia" w:ascii="微软雅黑" w:hAnsi="微软雅黑" w:eastAsia="微软雅黑" w:cs="微软雅黑"/>
          <w:color w:val="auto"/>
          <w:sz w:val="24"/>
          <w:szCs w:val="24"/>
          <w:highlight w:val="none"/>
          <w:lang w:eastAsia="zh-CN"/>
        </w:rPr>
        <w:t>招</w:t>
      </w:r>
      <w:r>
        <w:rPr>
          <w:rFonts w:hint="eastAsia" w:ascii="微软雅黑" w:hAnsi="微软雅黑" w:eastAsia="微软雅黑" w:cs="微软雅黑"/>
          <w:color w:val="auto"/>
          <w:sz w:val="24"/>
          <w:szCs w:val="24"/>
          <w:highlight w:val="none"/>
        </w:rPr>
        <w:t>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14:paraId="0E4F5B56">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CDF6CDD">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投标人名称</w:t>
      </w:r>
      <w:r>
        <w:rPr>
          <w:rFonts w:hint="eastAsia" w:ascii="微软雅黑" w:hAnsi="微软雅黑" w:eastAsia="微软雅黑" w:cs="微软雅黑"/>
          <w:color w:val="auto"/>
          <w:sz w:val="24"/>
          <w:szCs w:val="24"/>
          <w:highlight w:val="none"/>
        </w:rPr>
        <w:t>（单位盖</w:t>
      </w:r>
      <w:r>
        <w:rPr>
          <w:rFonts w:hint="eastAsia" w:ascii="微软雅黑" w:hAnsi="微软雅黑" w:eastAsia="微软雅黑" w:cs="微软雅黑"/>
          <w:color w:val="auto"/>
          <w:sz w:val="24"/>
          <w:szCs w:val="24"/>
          <w:highlight w:val="none"/>
          <w:lang w:eastAsia="zh-CN"/>
        </w:rPr>
        <w:t>公</w:t>
      </w:r>
      <w:r>
        <w:rPr>
          <w:rFonts w:hint="eastAsia" w:ascii="微软雅黑" w:hAnsi="微软雅黑" w:eastAsia="微软雅黑" w:cs="微软雅黑"/>
          <w:color w:val="auto"/>
          <w:sz w:val="24"/>
          <w:szCs w:val="24"/>
          <w:highlight w:val="none"/>
        </w:rPr>
        <w:t>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274B6900">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18EEF876">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  年  月  日</w:t>
      </w:r>
    </w:p>
    <w:p w14:paraId="0974ACED">
      <w:pPr>
        <w:pStyle w:val="3"/>
        <w:spacing w:before="0" w:line="240" w:lineRule="atLeast"/>
        <w:ind w:left="1079" w:leftChars="257" w:hanging="540"/>
        <w:outlineLvl w:val="9"/>
        <w:rPr>
          <w:rFonts w:hint="eastAsia" w:ascii="微软雅黑" w:hAnsi="微软雅黑" w:eastAsia="微软雅黑" w:cs="微软雅黑"/>
          <w:color w:val="auto"/>
          <w:sz w:val="24"/>
          <w:szCs w:val="24"/>
          <w:highlight w:val="none"/>
          <w:lang w:eastAsia="zh-CN"/>
        </w:rPr>
      </w:pPr>
    </w:p>
    <w:p w14:paraId="27274E7C">
      <w:pPr>
        <w:pStyle w:val="3"/>
        <w:spacing w:before="0" w:line="240" w:lineRule="atLeast"/>
        <w:ind w:left="1079" w:leftChars="257" w:hanging="540"/>
        <w:outlineLvl w:val="9"/>
        <w:rPr>
          <w:rFonts w:hint="eastAsia" w:ascii="微软雅黑" w:hAnsi="微软雅黑" w:eastAsia="微软雅黑" w:cs="微软雅黑"/>
          <w:color w:val="auto"/>
          <w:sz w:val="24"/>
          <w:szCs w:val="24"/>
          <w:highlight w:val="none"/>
          <w:lang w:eastAsia="zh-CN"/>
        </w:rPr>
      </w:pPr>
    </w:p>
    <w:p w14:paraId="23C4510C">
      <w:pPr>
        <w:pStyle w:val="3"/>
        <w:spacing w:before="0" w:line="240" w:lineRule="atLeast"/>
        <w:jc w:val="both"/>
        <w:outlineLvl w:val="9"/>
        <w:rPr>
          <w:rFonts w:hint="eastAsia" w:ascii="微软雅黑" w:hAnsi="微软雅黑" w:eastAsia="微软雅黑" w:cs="微软雅黑"/>
          <w:color w:val="auto"/>
          <w:sz w:val="24"/>
          <w:szCs w:val="24"/>
          <w:highlight w:val="none"/>
          <w:lang w:eastAsia="zh-CN"/>
        </w:rPr>
      </w:pPr>
    </w:p>
    <w:p w14:paraId="460DFCB4">
      <w:pPr>
        <w:pStyle w:val="3"/>
        <w:numPr>
          <w:ilvl w:val="0"/>
          <w:numId w:val="0"/>
        </w:numPr>
        <w:spacing w:before="0" w:line="240" w:lineRule="atLeast"/>
        <w:jc w:val="center"/>
        <w:rPr>
          <w:rFonts w:hint="eastAsia" w:ascii="微软雅黑" w:hAnsi="微软雅黑" w:eastAsia="微软雅黑" w:cs="微软雅黑"/>
          <w:b/>
          <w:color w:val="auto"/>
          <w:kern w:val="0"/>
          <w:sz w:val="28"/>
          <w:szCs w:val="28"/>
          <w:highlight w:val="none"/>
          <w:lang w:val="en-US" w:eastAsia="zh-CN" w:bidi="ar-SA"/>
        </w:rPr>
      </w:pPr>
      <w:bookmarkStart w:id="307" w:name="_Toc28449"/>
      <w:bookmarkStart w:id="308" w:name="_Toc15105"/>
      <w:r>
        <w:rPr>
          <w:rFonts w:hint="eastAsia" w:ascii="微软雅黑" w:hAnsi="微软雅黑" w:eastAsia="微软雅黑" w:cs="微软雅黑"/>
          <w:b/>
          <w:color w:val="auto"/>
          <w:kern w:val="0"/>
          <w:sz w:val="28"/>
          <w:szCs w:val="28"/>
          <w:highlight w:val="none"/>
          <w:lang w:val="en-US" w:eastAsia="zh-CN" w:bidi="ar-SA"/>
        </w:rPr>
        <w:t>10、</w:t>
      </w:r>
      <w:bookmarkEnd w:id="307"/>
      <w:bookmarkEnd w:id="308"/>
      <w:r>
        <w:rPr>
          <w:rFonts w:hint="eastAsia" w:ascii="微软雅黑" w:hAnsi="微软雅黑" w:eastAsia="微软雅黑" w:cs="微软雅黑"/>
          <w:b/>
          <w:color w:val="auto"/>
          <w:kern w:val="0"/>
          <w:sz w:val="28"/>
          <w:szCs w:val="28"/>
          <w:highlight w:val="none"/>
          <w:lang w:val="en-US" w:eastAsia="zh-CN" w:bidi="ar-SA"/>
        </w:rPr>
        <w:t>参加政府采购活动前3年内在经营活动中没有重大违法违规记录的书面声明</w:t>
      </w:r>
    </w:p>
    <w:p w14:paraId="7E3783C0">
      <w:pPr>
        <w:pStyle w:val="3"/>
        <w:numPr>
          <w:ilvl w:val="0"/>
          <w:numId w:val="0"/>
        </w:numPr>
        <w:spacing w:before="0" w:line="240" w:lineRule="atLeast"/>
        <w:jc w:val="center"/>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（格式自拟）</w:t>
      </w:r>
    </w:p>
    <w:p w14:paraId="2F23EA16">
      <w:pPr>
        <w:pStyle w:val="15"/>
        <w:tabs>
          <w:tab w:val="left" w:pos="5580"/>
        </w:tabs>
        <w:spacing w:line="240" w:lineRule="atLeast"/>
        <w:ind w:firstLine="480" w:firstLineChars="200"/>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说明：投标人应按照相关法规规定如实作出说明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按照招标文件的规定加盖单位章。</w:t>
      </w:r>
    </w:p>
    <w:p w14:paraId="0A6EBFF4">
      <w:pPr>
        <w:rPr>
          <w:rFonts w:hint="eastAsia" w:ascii="微软雅黑" w:hAnsi="微软雅黑" w:eastAsia="微软雅黑" w:cs="微软雅黑"/>
          <w:color w:val="auto"/>
          <w:sz w:val="28"/>
          <w:szCs w:val="28"/>
          <w:highlight w:val="none"/>
        </w:rPr>
      </w:pPr>
    </w:p>
    <w:p w14:paraId="47F83D00">
      <w:pPr>
        <w:pStyle w:val="3"/>
        <w:spacing w:before="0" w:line="240" w:lineRule="atLeast"/>
        <w:ind w:left="1079" w:leftChars="257" w:hanging="540"/>
        <w:rPr>
          <w:rFonts w:hint="eastAsia" w:ascii="微软雅黑" w:hAnsi="微软雅黑" w:eastAsia="微软雅黑" w:cs="微软雅黑"/>
          <w:color w:val="auto"/>
          <w:sz w:val="28"/>
          <w:szCs w:val="28"/>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309" w:name="_Toc29703"/>
      <w:bookmarkStart w:id="310" w:name="_Toc515647813"/>
      <w:bookmarkStart w:id="311" w:name="_Toc10594"/>
      <w:bookmarkStart w:id="312" w:name="_Toc17207"/>
      <w:bookmarkStart w:id="313" w:name="_Toc14296"/>
    </w:p>
    <w:p w14:paraId="1538B4B8">
      <w:pPr>
        <w:pStyle w:val="3"/>
        <w:numPr>
          <w:ilvl w:val="0"/>
          <w:numId w:val="0"/>
        </w:numPr>
        <w:spacing w:before="0" w:line="240" w:lineRule="atLeast"/>
        <w:jc w:val="cente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 xml:space="preserve">11、 </w:t>
      </w:r>
      <w:bookmarkEnd w:id="309"/>
      <w:bookmarkEnd w:id="310"/>
      <w:bookmarkEnd w:id="311"/>
      <w:bookmarkEnd w:id="312"/>
      <w:bookmarkEnd w:id="313"/>
      <w:r>
        <w:rPr>
          <w:rFonts w:hint="eastAsia" w:ascii="微软雅黑" w:hAnsi="微软雅黑" w:eastAsia="微软雅黑" w:cs="微软雅黑"/>
          <w:b/>
          <w:color w:val="auto"/>
          <w:kern w:val="0"/>
          <w:sz w:val="28"/>
          <w:szCs w:val="28"/>
          <w:highlight w:val="none"/>
          <w:lang w:val="en-US" w:eastAsia="zh-CN" w:bidi="ar-SA"/>
        </w:rPr>
        <w:t>投标保证金有效缴纳凭证</w:t>
      </w:r>
    </w:p>
    <w:p w14:paraId="605C3C9D">
      <w:pPr>
        <w:pStyle w:val="15"/>
        <w:tabs>
          <w:tab w:val="left" w:pos="5580"/>
        </w:tabs>
        <w:spacing w:line="240" w:lineRule="atLeast"/>
        <w:jc w:val="both"/>
        <w:rPr>
          <w:rFonts w:hint="eastAsia" w:ascii="微软雅黑" w:hAnsi="微软雅黑" w:eastAsia="微软雅黑" w:cs="微软雅黑"/>
          <w:b/>
          <w:bCs/>
          <w:i w:val="0"/>
          <w:iCs w:val="0"/>
          <w:color w:val="auto"/>
          <w:kern w:val="2"/>
          <w:sz w:val="28"/>
          <w:szCs w:val="28"/>
          <w:highlight w:val="none"/>
          <w:u w:val="none"/>
          <w:lang w:val="en-US" w:eastAsia="zh-CN" w:bidi="ar-SA"/>
        </w:rPr>
      </w:pPr>
      <w:r>
        <w:rPr>
          <w:rFonts w:hint="eastAsia" w:ascii="微软雅黑" w:hAnsi="微软雅黑" w:eastAsia="微软雅黑" w:cs="微软雅黑"/>
          <w:b/>
          <w:bCs/>
          <w:color w:val="auto"/>
          <w:sz w:val="24"/>
          <w:szCs w:val="24"/>
          <w:highlight w:val="none"/>
          <w:lang w:val="en-US" w:eastAsia="zh-CN"/>
        </w:rPr>
        <w:t>说明：</w:t>
      </w:r>
      <w:r>
        <w:rPr>
          <w:rFonts w:hint="default" w:ascii="微软雅黑" w:hAnsi="微软雅黑" w:eastAsia="微软雅黑" w:cs="微软雅黑"/>
          <w:color w:val="auto"/>
          <w:sz w:val="24"/>
          <w:szCs w:val="24"/>
          <w:highlight w:val="none"/>
          <w:lang w:val="en-US" w:eastAsia="zh-CN"/>
        </w:rPr>
        <w:t>若采用电汇、转账、支票、汇票、本票等形式，</w:t>
      </w:r>
      <w:r>
        <w:rPr>
          <w:rFonts w:hint="eastAsia" w:ascii="微软雅黑" w:hAnsi="微软雅黑" w:eastAsia="微软雅黑" w:cs="微软雅黑"/>
          <w:color w:val="auto"/>
          <w:sz w:val="24"/>
          <w:szCs w:val="24"/>
          <w:highlight w:val="none"/>
          <w:lang w:val="en-US" w:eastAsia="zh-CN"/>
        </w:rPr>
        <w:t>投标保证金</w:t>
      </w:r>
      <w:r>
        <w:rPr>
          <w:rFonts w:hint="default" w:ascii="微软雅黑" w:hAnsi="微软雅黑" w:eastAsia="微软雅黑" w:cs="微软雅黑"/>
          <w:color w:val="auto"/>
          <w:sz w:val="24"/>
          <w:szCs w:val="24"/>
          <w:highlight w:val="none"/>
          <w:lang w:val="en-US" w:eastAsia="zh-CN"/>
        </w:rPr>
        <w:t>须于投标截止前转入以上指定账户（资格审查以指定账户实际收到为准），</w:t>
      </w:r>
      <w:r>
        <w:rPr>
          <w:rFonts w:hint="eastAsia" w:ascii="微软雅黑" w:hAnsi="微软雅黑" w:eastAsia="微软雅黑" w:cs="微软雅黑"/>
          <w:color w:val="auto"/>
          <w:sz w:val="24"/>
          <w:szCs w:val="24"/>
          <w:highlight w:val="none"/>
          <w:lang w:val="en-US" w:eastAsia="zh-CN"/>
        </w:rPr>
        <w:t>投标保证金</w:t>
      </w:r>
      <w:r>
        <w:rPr>
          <w:rFonts w:hint="default" w:ascii="微软雅黑" w:hAnsi="微软雅黑" w:eastAsia="微软雅黑" w:cs="微软雅黑"/>
          <w:color w:val="auto"/>
          <w:sz w:val="24"/>
          <w:szCs w:val="24"/>
          <w:highlight w:val="none"/>
          <w:lang w:val="en-US" w:eastAsia="zh-CN"/>
        </w:rPr>
        <w:t>付款凭证（或收据）扫描件制作在投标文件中；若采用政采云电子保函形式：按照政采云电子投标流程制作并将电子保函制作在投标文件中；若采用银行保函或者金融机构、担保机构保函等形式，应将保函扫描件装订在本部分；扫描件上应加盖本单位公章；</w:t>
      </w:r>
    </w:p>
    <w:p w14:paraId="151B2D2C">
      <w:pPr>
        <w:pStyle w:val="3"/>
        <w:spacing w:before="0" w:line="240" w:lineRule="atLeast"/>
        <w:ind w:left="1079" w:leftChars="257" w:hanging="540"/>
        <w:rPr>
          <w:rFonts w:hint="eastAsia" w:ascii="微软雅黑" w:hAnsi="微软雅黑" w:eastAsia="微软雅黑" w:cs="微软雅黑"/>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p>
    <w:p w14:paraId="2769F330">
      <w:pPr>
        <w:pStyle w:val="7"/>
        <w:ind w:left="0" w:leftChars="0" w:firstLine="0" w:firstLineChars="0"/>
        <w:jc w:val="center"/>
        <w:rPr>
          <w:rFonts w:hint="eastAsia" w:ascii="微软雅黑" w:hAnsi="微软雅黑" w:eastAsia="微软雅黑" w:cs="微软雅黑"/>
          <w:b/>
          <w:color w:val="auto"/>
          <w:kern w:val="0"/>
          <w:sz w:val="22"/>
          <w:szCs w:val="22"/>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12.投标人可提供有利于投标的其他证明材料</w:t>
      </w:r>
    </w:p>
    <w:p w14:paraId="2555A444">
      <w:pPr>
        <w:pStyle w:val="15"/>
        <w:tabs>
          <w:tab w:val="left" w:pos="5580"/>
        </w:tabs>
        <w:spacing w:line="360" w:lineRule="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4"/>
          <w:szCs w:val="24"/>
          <w:highlight w:val="none"/>
        </w:rPr>
        <w:t>说明：提供有利于投标的其他证明材料，</w:t>
      </w:r>
      <w:r>
        <w:rPr>
          <w:rFonts w:hint="eastAsia" w:ascii="微软雅黑" w:hAnsi="微软雅黑" w:eastAsia="微软雅黑" w:cs="微软雅黑"/>
          <w:color w:val="auto"/>
          <w:sz w:val="24"/>
          <w:szCs w:val="24"/>
          <w:highlight w:val="none"/>
          <w:lang w:eastAsia="zh-CN"/>
        </w:rPr>
        <w:t>扫描</w:t>
      </w:r>
      <w:r>
        <w:rPr>
          <w:rFonts w:hint="eastAsia" w:ascii="微软雅黑" w:hAnsi="微软雅黑" w:eastAsia="微软雅黑" w:cs="微软雅黑"/>
          <w:color w:val="auto"/>
          <w:sz w:val="24"/>
          <w:szCs w:val="24"/>
          <w:highlight w:val="none"/>
          <w:lang w:val="en-US" w:eastAsia="zh-CN"/>
        </w:rPr>
        <w:t>件</w:t>
      </w:r>
      <w:r>
        <w:rPr>
          <w:rFonts w:hint="eastAsia" w:ascii="微软雅黑" w:hAnsi="微软雅黑" w:eastAsia="微软雅黑" w:cs="微软雅黑"/>
          <w:color w:val="auto"/>
          <w:sz w:val="24"/>
          <w:szCs w:val="24"/>
          <w:highlight w:val="none"/>
        </w:rPr>
        <w:t>应加盖投标单位公章。</w:t>
      </w:r>
    </w:p>
    <w:p w14:paraId="6D9FD374">
      <w:pPr>
        <w:pStyle w:val="7"/>
        <w:numPr>
          <w:ilvl w:val="0"/>
          <w:numId w:val="0"/>
        </w:numPr>
        <w:ind w:leftChars="300"/>
        <w:jc w:val="both"/>
        <w:rPr>
          <w:rFonts w:hint="eastAsia" w:ascii="微软雅黑" w:hAnsi="微软雅黑" w:eastAsia="微软雅黑" w:cs="微软雅黑"/>
          <w:b/>
          <w:bCs/>
          <w:color w:val="auto"/>
          <w:sz w:val="24"/>
          <w:szCs w:val="24"/>
          <w:highlight w:val="none"/>
        </w:rPr>
        <w:sectPr>
          <w:headerReference r:id="rId15" w:type="default"/>
          <w:footerReference r:id="rId16" w:type="default"/>
          <w:pgSz w:w="11906" w:h="16838"/>
          <w:pgMar w:top="1440" w:right="1080" w:bottom="1440" w:left="1080" w:header="851" w:footer="992" w:gutter="0"/>
          <w:pgNumType w:fmt="decimal"/>
          <w:cols w:space="720" w:num="1"/>
          <w:docGrid w:type="linesAndChars" w:linePitch="312" w:charSpace="0"/>
        </w:sectPr>
      </w:pPr>
    </w:p>
    <w:p w14:paraId="18F7D76F">
      <w:pPr>
        <w:pStyle w:val="7"/>
        <w:numPr>
          <w:ilvl w:val="0"/>
          <w:numId w:val="0"/>
        </w:numPr>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color w:val="auto"/>
          <w:kern w:val="0"/>
          <w:sz w:val="28"/>
          <w:szCs w:val="28"/>
          <w:highlight w:val="none"/>
          <w:lang w:val="en-US" w:eastAsia="zh-CN" w:bidi="ar-SA"/>
        </w:rPr>
        <w:t>第二部分  商务及技术文件</w:t>
      </w:r>
      <w:bookmarkEnd w:id="303"/>
      <w:bookmarkEnd w:id="304"/>
    </w:p>
    <w:p w14:paraId="1631D57F">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1、投标书</w:t>
      </w:r>
    </w:p>
    <w:p w14:paraId="6ED6235A">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2、投标分项报价表</w:t>
      </w:r>
    </w:p>
    <w:p w14:paraId="2E2BDCCA">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、服务说明一览表</w:t>
      </w:r>
    </w:p>
    <w:p w14:paraId="0AF8D8E0">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4、服务要求偏离表</w:t>
      </w:r>
    </w:p>
    <w:p w14:paraId="26CB2195">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商务条款偏离表</w:t>
      </w:r>
    </w:p>
    <w:p w14:paraId="5C08B355">
      <w:pPr>
        <w:pStyle w:val="15"/>
        <w:tabs>
          <w:tab w:val="left" w:pos="5580"/>
        </w:tabs>
        <w:spacing w:line="360" w:lineRule="auto"/>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符合《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价格扣减条件的投标人须提交</w:t>
      </w:r>
    </w:p>
    <w:p w14:paraId="02A26E3F">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6-1《中小企业声明函》</w:t>
      </w:r>
    </w:p>
    <w:p w14:paraId="7503BF38">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6-2《残疾人福利性单位声明函》</w:t>
      </w:r>
    </w:p>
    <w:p w14:paraId="544AC6BF">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6-3《监狱企业声明函》</w:t>
      </w:r>
    </w:p>
    <w:p w14:paraId="68FA9123">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、投标人关联单位的说明</w:t>
      </w:r>
    </w:p>
    <w:p w14:paraId="5677D29A">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8、其他有利于投标人的文件或证明材料</w:t>
      </w:r>
    </w:p>
    <w:p w14:paraId="0503DD9A">
      <w:pPr>
        <w:pStyle w:val="15"/>
        <w:tabs>
          <w:tab w:val="left" w:pos="5580"/>
        </w:tabs>
        <w:spacing w:line="360" w:lineRule="auto"/>
        <w:ind w:left="1079"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9、关于对本投标文件中资料真实性的承诺</w:t>
      </w:r>
    </w:p>
    <w:bookmarkEnd w:id="274"/>
    <w:bookmarkEnd w:id="275"/>
    <w:bookmarkEnd w:id="276"/>
    <w:bookmarkEnd w:id="277"/>
    <w:p w14:paraId="5310BD74">
      <w:pPr>
        <w:pStyle w:val="3"/>
        <w:spacing w:before="0" w:line="240" w:lineRule="atLeast"/>
        <w:jc w:val="center"/>
        <w:rPr>
          <w:rFonts w:hint="eastAsia" w:ascii="微软雅黑" w:hAnsi="微软雅黑" w:eastAsia="微软雅黑" w:cs="微软雅黑"/>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bookmarkStart w:id="314" w:name="_Toc14915"/>
      <w:bookmarkStart w:id="315" w:name="_Toc515647817"/>
      <w:bookmarkStart w:id="316" w:name="_Toc2850"/>
      <w:bookmarkStart w:id="317" w:name="_Toc2041"/>
    </w:p>
    <w:bookmarkEnd w:id="314"/>
    <w:bookmarkEnd w:id="315"/>
    <w:bookmarkEnd w:id="316"/>
    <w:bookmarkEnd w:id="317"/>
    <w:p w14:paraId="5D037FF7">
      <w:pPr>
        <w:pStyle w:val="3"/>
        <w:spacing w:before="0" w:line="240" w:lineRule="atLeast"/>
        <w:jc w:val="center"/>
        <w:rPr>
          <w:rFonts w:hint="eastAsia" w:ascii="微软雅黑" w:hAnsi="微软雅黑" w:eastAsia="微软雅黑" w:cs="微软雅黑"/>
          <w:color w:val="auto"/>
          <w:sz w:val="24"/>
          <w:szCs w:val="24"/>
          <w:highlight w:val="none"/>
        </w:rPr>
      </w:pPr>
      <w:bookmarkStart w:id="318" w:name="_Toc13470"/>
      <w:bookmarkStart w:id="319" w:name="_Toc15770"/>
      <w:bookmarkStart w:id="320" w:name="_Toc518923117"/>
      <w:bookmarkStart w:id="321" w:name="_Toc216582815"/>
      <w:bookmarkStart w:id="322" w:name="_Toc22662"/>
      <w:r>
        <w:rPr>
          <w:rFonts w:hint="eastAsia" w:ascii="微软雅黑" w:hAnsi="微软雅黑" w:eastAsia="微软雅黑" w:cs="微软雅黑"/>
          <w:color w:val="auto"/>
          <w:sz w:val="28"/>
          <w:szCs w:val="28"/>
          <w:highlight w:val="none"/>
        </w:rPr>
        <w:t>1</w:t>
      </w:r>
      <w:bookmarkStart w:id="323" w:name="_Hlt520355504"/>
      <w:bookmarkEnd w:id="323"/>
      <w:r>
        <w:rPr>
          <w:rFonts w:hint="eastAsia" w:ascii="微软雅黑" w:hAnsi="微软雅黑" w:eastAsia="微软雅黑" w:cs="微软雅黑"/>
          <w:color w:val="auto"/>
          <w:sz w:val="28"/>
          <w:szCs w:val="28"/>
          <w:highlight w:val="none"/>
          <w:lang w:val="en-US" w:eastAsia="zh-CN"/>
        </w:rPr>
        <w:t>.</w:t>
      </w:r>
      <w:r>
        <w:rPr>
          <w:rFonts w:hint="eastAsia" w:ascii="微软雅黑" w:hAnsi="微软雅黑" w:eastAsia="微软雅黑" w:cs="微软雅黑"/>
          <w:color w:val="auto"/>
          <w:sz w:val="28"/>
          <w:szCs w:val="28"/>
          <w:highlight w:val="none"/>
        </w:rPr>
        <w:t>投标书</w:t>
      </w:r>
      <w:bookmarkEnd w:id="318"/>
      <w:bookmarkEnd w:id="319"/>
    </w:p>
    <w:p w14:paraId="14C831D4">
      <w:pPr>
        <w:tabs>
          <w:tab w:val="left" w:pos="5580"/>
        </w:tabs>
        <w:spacing w:line="240" w:lineRule="auto"/>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w:t>
      </w:r>
      <w:r>
        <w:rPr>
          <w:rFonts w:hint="eastAsia" w:ascii="微软雅黑" w:hAnsi="微软雅黑" w:eastAsia="微软雅黑" w:cs="微软雅黑"/>
          <w:color w:val="auto"/>
          <w:sz w:val="24"/>
          <w:szCs w:val="24"/>
          <w:highlight w:val="none"/>
          <w:u w:val="single"/>
          <w:lang w:eastAsia="zh-CN"/>
        </w:rPr>
        <w:t>人</w:t>
      </w:r>
    </w:p>
    <w:p w14:paraId="47980619">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left="2" w:leftChars="1"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color w:val="auto"/>
          <w:sz w:val="24"/>
          <w:szCs w:val="24"/>
          <w:highlight w:val="none"/>
          <w:u w:val="single"/>
          <w:lang w:eastAsia="zh-CN"/>
        </w:rPr>
        <w:t>项目</w:t>
      </w:r>
      <w:r>
        <w:rPr>
          <w:rFonts w:hint="eastAsia" w:ascii="微软雅黑" w:hAnsi="微软雅黑" w:eastAsia="微软雅黑" w:cs="微软雅黑"/>
          <w:i/>
          <w:color w:val="auto"/>
          <w:sz w:val="24"/>
          <w:szCs w:val="24"/>
          <w:highlight w:val="none"/>
          <w:u w:val="single"/>
        </w:rPr>
        <w:t>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)经正式授权并代表投标人（</w:t>
      </w:r>
      <w:r>
        <w:rPr>
          <w:rFonts w:hint="eastAsia" w:ascii="微软雅黑" w:hAnsi="微软雅黑" w:eastAsia="微软雅黑" w:cs="微软雅黑"/>
          <w:i/>
          <w:color w:val="auto"/>
          <w:sz w:val="24"/>
          <w:szCs w:val="24"/>
          <w:highlight w:val="none"/>
          <w:u w:val="single"/>
        </w:rPr>
        <w:t>名称、地址</w:t>
      </w:r>
      <w:r>
        <w:rPr>
          <w:rFonts w:hint="eastAsia" w:ascii="微软雅黑" w:hAnsi="微软雅黑" w:eastAsia="微软雅黑" w:cs="微软雅黑"/>
          <w:color w:val="auto"/>
          <w:sz w:val="24"/>
          <w:szCs w:val="24"/>
          <w:highlight w:val="none"/>
        </w:rPr>
        <w:t>）提交</w:t>
      </w:r>
      <w:r>
        <w:rPr>
          <w:rFonts w:hint="eastAsia" w:ascii="微软雅黑" w:hAnsi="微软雅黑" w:eastAsia="微软雅黑" w:cs="微软雅黑"/>
          <w:color w:val="auto"/>
          <w:sz w:val="24"/>
          <w:szCs w:val="24"/>
          <w:highlight w:val="none"/>
          <w:lang w:eastAsia="zh-CN"/>
        </w:rPr>
        <w:t>加密</w:t>
      </w:r>
      <w:r>
        <w:rPr>
          <w:rFonts w:hint="eastAsia" w:ascii="微软雅黑" w:hAnsi="微软雅黑" w:eastAsia="微软雅黑" w:cs="微软雅黑"/>
          <w:color w:val="auto"/>
          <w:sz w:val="24"/>
          <w:szCs w:val="24"/>
          <w:highlight w:val="none"/>
        </w:rPr>
        <w:t>电子投标文件</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份</w:t>
      </w:r>
      <w:r>
        <w:rPr>
          <w:rFonts w:hint="eastAsia" w:ascii="微软雅黑" w:hAnsi="微软雅黑" w:eastAsia="微软雅黑" w:cs="微软雅黑"/>
          <w:color w:val="auto"/>
          <w:sz w:val="24"/>
          <w:szCs w:val="24"/>
          <w:highlight w:val="none"/>
        </w:rPr>
        <w:t>，并以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14:paraId="09607DA9">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left="540" w:leftChars="257"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1B5C2287">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w:t>
      </w: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的投标总价为</w:t>
      </w:r>
      <w:r>
        <w:rPr>
          <w:rFonts w:hint="eastAsia" w:ascii="微软雅黑" w:hAnsi="微软雅黑" w:eastAsia="微软雅黑" w:cs="微软雅黑"/>
          <w:color w:val="auto"/>
          <w:sz w:val="24"/>
          <w:szCs w:val="24"/>
          <w:highlight w:val="none"/>
          <w:u w:val="single"/>
        </w:rPr>
        <w:t>　　  （用文字和数字表示）。</w:t>
      </w:r>
    </w:p>
    <w:p w14:paraId="3305B050">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14:paraId="33911624">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（存在、不存在）投资关系（如果联合体的话）。</w:t>
      </w:r>
    </w:p>
    <w:p w14:paraId="6ED43A4D">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31174FCC">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（5）如果我方</w:t>
      </w:r>
      <w:r>
        <w:rPr>
          <w:rFonts w:hint="eastAsia" w:ascii="微软雅黑" w:hAnsi="微软雅黑" w:eastAsia="微软雅黑" w:cs="微软雅黑"/>
          <w:color w:val="auto"/>
          <w:sz w:val="24"/>
          <w:szCs w:val="24"/>
          <w:highlight w:val="none"/>
          <w:lang w:eastAsia="zh-CN"/>
        </w:rPr>
        <w:t>中标</w:t>
      </w:r>
      <w:r>
        <w:rPr>
          <w:rFonts w:hint="eastAsia" w:ascii="微软雅黑" w:hAnsi="微软雅黑" w:eastAsia="微软雅黑" w:cs="微软雅黑"/>
          <w:color w:val="auto"/>
          <w:sz w:val="24"/>
          <w:szCs w:val="24"/>
          <w:highlight w:val="none"/>
        </w:rPr>
        <w:t>，我方将在</w:t>
      </w:r>
      <w:r>
        <w:rPr>
          <w:rFonts w:hint="eastAsia" w:ascii="微软雅黑" w:hAnsi="微软雅黑" w:eastAsia="微软雅黑" w:cs="微软雅黑"/>
          <w:color w:val="auto"/>
          <w:sz w:val="24"/>
          <w:szCs w:val="24"/>
          <w:highlight w:val="none"/>
          <w:lang w:eastAsia="zh-CN"/>
        </w:rPr>
        <w:t>招标</w:t>
      </w:r>
      <w:r>
        <w:rPr>
          <w:rFonts w:hint="eastAsia" w:ascii="微软雅黑" w:hAnsi="微软雅黑" w:eastAsia="微软雅黑" w:cs="微软雅黑"/>
          <w:color w:val="auto"/>
          <w:sz w:val="24"/>
          <w:szCs w:val="24"/>
          <w:highlight w:val="none"/>
        </w:rPr>
        <w:t>文件规定的时间内签订委托合同并按采购要求提供履约保证金。如果我方违约，除</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保证金不予退还外，贵方有权终止我方</w:t>
      </w:r>
      <w:r>
        <w:rPr>
          <w:rFonts w:hint="eastAsia" w:ascii="微软雅黑" w:hAnsi="微软雅黑" w:eastAsia="微软雅黑" w:cs="微软雅黑"/>
          <w:color w:val="auto"/>
          <w:sz w:val="24"/>
          <w:szCs w:val="24"/>
          <w:highlight w:val="none"/>
          <w:lang w:eastAsia="zh-CN"/>
        </w:rPr>
        <w:t>中标</w:t>
      </w:r>
      <w:r>
        <w:rPr>
          <w:rFonts w:hint="eastAsia" w:ascii="微软雅黑" w:hAnsi="微软雅黑" w:eastAsia="微软雅黑" w:cs="微软雅黑"/>
          <w:color w:val="auto"/>
          <w:sz w:val="24"/>
          <w:szCs w:val="24"/>
          <w:highlight w:val="none"/>
        </w:rPr>
        <w:t>并选择其它</w:t>
      </w:r>
      <w:r>
        <w:rPr>
          <w:rFonts w:hint="eastAsia" w:ascii="微软雅黑" w:hAnsi="微软雅黑" w:eastAsia="微软雅黑" w:cs="微软雅黑"/>
          <w:color w:val="auto"/>
          <w:sz w:val="24"/>
          <w:szCs w:val="24"/>
          <w:highlight w:val="none"/>
          <w:lang w:eastAsia="zh-CN"/>
        </w:rPr>
        <w:t>中标单位</w:t>
      </w:r>
      <w:r>
        <w:rPr>
          <w:rFonts w:hint="eastAsia" w:ascii="微软雅黑" w:hAnsi="微软雅黑" w:eastAsia="微软雅黑" w:cs="微软雅黑"/>
          <w:color w:val="auto"/>
          <w:sz w:val="24"/>
          <w:szCs w:val="24"/>
          <w:highlight w:val="none"/>
        </w:rPr>
        <w:t>。</w:t>
      </w:r>
    </w:p>
    <w:p w14:paraId="4C2F99D3">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（6）根据投标人须知第1条规定，我方不是为本项目提供整体设计、规范编制或者项目管理、监理、检测等服务的供应商，我方不是采购代理机构的附属机构。</w:t>
      </w:r>
    </w:p>
    <w:p w14:paraId="24F77EA3">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（7）在领取中标通知书的同时按招标文件规定的形式，向代理机构一次性支付中标服务费。</w:t>
      </w:r>
    </w:p>
    <w:p w14:paraId="0DD8A122">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0EF2BF4A">
      <w:pPr>
        <w:pStyle w:val="16"/>
        <w:ind w:left="0" w:leftChars="0" w:firstLine="480" w:firstLineChars="200"/>
        <w:rPr>
          <w:rFonts w:hint="eastAsia" w:ascii="微软雅黑" w:hAnsi="微软雅黑" w:eastAsia="微软雅黑" w:cs="微软雅黑"/>
          <w:color w:val="auto"/>
          <w:sz w:val="21"/>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）供应商同意与采购方签署安全协议书，并按《民法典》履行自己的全部责任。</w:t>
      </w:r>
    </w:p>
    <w:p w14:paraId="43363EC4">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）按照招标文件的规定履行合同责任和义务。</w:t>
      </w:r>
    </w:p>
    <w:p w14:paraId="5293B3BC">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left="540" w:leftChars="257"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6E8A996C">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left="540" w:leftChars="257"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bookmarkStart w:id="324" w:name="_Hlt520356243"/>
      <w:bookmarkEnd w:id="324"/>
      <w:bookmarkStart w:id="325" w:name="_Hlt520355938"/>
      <w:bookmarkEnd w:id="325"/>
    </w:p>
    <w:p w14:paraId="7736B2D4">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p>
    <w:p w14:paraId="1E46B5E0">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投标人名称（全称）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p>
    <w:p w14:paraId="705A4F8E">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投标人开户银行（全称）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1BE0F862">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投标人银行帐号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w:t>
      </w:r>
    </w:p>
    <w:p w14:paraId="100F09A6">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投标人单位章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rPr>
        <w:t xml:space="preserve">                         </w:t>
      </w:r>
    </w:p>
    <w:p w14:paraId="61869499">
      <w:pPr>
        <w:pStyle w:val="15"/>
        <w:keepNext w:val="0"/>
        <w:keepLines w:val="0"/>
        <w:pageBreakBefore w:val="0"/>
        <w:widowControl w:val="0"/>
        <w:tabs>
          <w:tab w:val="left" w:pos="5580"/>
        </w:tabs>
        <w:kinsoku/>
        <w:wordWrap/>
        <w:overflowPunct/>
        <w:topLinePunct w:val="0"/>
        <w:autoSpaceDE/>
        <w:autoSpaceDN/>
        <w:bidi w:val="0"/>
        <w:adjustRightInd w:val="0"/>
        <w:snapToGrid w:val="0"/>
        <w:spacing w:line="264" w:lineRule="auto"/>
        <w:ind w:firstLine="480" w:firstLineChars="200"/>
        <w:textAlignment w:val="auto"/>
        <w:rPr>
          <w:rFonts w:hint="eastAsia" w:ascii="微软雅黑 Light" w:hAnsi="微软雅黑 Light" w:eastAsia="微软雅黑 Light" w:cs="微软雅黑 Light"/>
          <w:color w:val="auto"/>
          <w:sz w:val="22"/>
          <w:szCs w:val="22"/>
          <w:highlight w:val="none"/>
        </w:rPr>
        <w:sectPr>
          <w:pgSz w:w="11907" w:h="16840"/>
          <w:pgMar w:top="1361" w:right="1253" w:bottom="1361" w:left="1194" w:header="851" w:footer="850" w:gutter="0"/>
          <w:pgNumType w:fmt="decimal"/>
          <w:cols w:space="720" w:num="1"/>
          <w:rtlGutter w:val="0"/>
          <w:docGrid w:linePitch="462" w:charSpace="0"/>
        </w:sect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21A71E46">
      <w:pPr>
        <w:pStyle w:val="3"/>
        <w:spacing w:before="0" w:line="360" w:lineRule="auto"/>
        <w:ind w:left="1080" w:leftChars="257" w:hanging="540"/>
        <w:rPr>
          <w:rFonts w:hint="eastAsia" w:ascii="微软雅黑" w:hAnsi="微软雅黑" w:eastAsia="微软雅黑" w:cs="微软雅黑"/>
          <w:color w:val="auto"/>
          <w:sz w:val="28"/>
          <w:szCs w:val="28"/>
          <w:highlight w:val="none"/>
        </w:rPr>
      </w:pPr>
      <w:bookmarkStart w:id="326" w:name="_Toc25153"/>
      <w:bookmarkStart w:id="327" w:name="_Toc6377"/>
      <w:r>
        <w:rPr>
          <w:rFonts w:hint="eastAsia" w:ascii="微软雅黑" w:hAnsi="微软雅黑" w:eastAsia="微软雅黑" w:cs="微软雅黑"/>
          <w:color w:val="auto"/>
          <w:sz w:val="28"/>
          <w:szCs w:val="28"/>
          <w:highlight w:val="none"/>
        </w:rPr>
        <w:t>2</w:t>
      </w:r>
      <w:bookmarkEnd w:id="320"/>
      <w:bookmarkStart w:id="328" w:name="_Toc518923118"/>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投标分项报价表</w:t>
      </w:r>
      <w:bookmarkEnd w:id="321"/>
      <w:bookmarkEnd w:id="322"/>
      <w:bookmarkEnd w:id="326"/>
      <w:bookmarkEnd w:id="327"/>
      <w:bookmarkEnd w:id="328"/>
    </w:p>
    <w:p w14:paraId="15300405">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i w:val="0"/>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p>
    <w:p w14:paraId="7200330A">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标项名称：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报价单位：人民币</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元</w:t>
      </w:r>
    </w:p>
    <w:tbl>
      <w:tblPr>
        <w:tblStyle w:val="38"/>
        <w:tblpPr w:leftFromText="180" w:rightFromText="180" w:vertAnchor="text" w:horzAnchor="page" w:tblpX="1187" w:tblpY="167"/>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22"/>
        <w:gridCol w:w="1480"/>
        <w:gridCol w:w="1359"/>
        <w:gridCol w:w="978"/>
        <w:gridCol w:w="1127"/>
        <w:gridCol w:w="1155"/>
        <w:gridCol w:w="1264"/>
      </w:tblGrid>
      <w:tr w14:paraId="30D3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62" w:type="dxa"/>
            <w:noWrap/>
            <w:vAlign w:val="center"/>
          </w:tcPr>
          <w:p w14:paraId="663BB4AD">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522" w:type="dxa"/>
            <w:noWrap/>
            <w:vAlign w:val="center"/>
          </w:tcPr>
          <w:p w14:paraId="60FC4B4A">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标的</w:t>
            </w:r>
            <w:r>
              <w:rPr>
                <w:rFonts w:hint="eastAsia" w:ascii="微软雅黑" w:hAnsi="微软雅黑" w:eastAsia="微软雅黑" w:cs="微软雅黑"/>
                <w:color w:val="auto"/>
                <w:sz w:val="24"/>
                <w:szCs w:val="24"/>
                <w:highlight w:val="none"/>
              </w:rPr>
              <w:t>名称</w:t>
            </w:r>
          </w:p>
        </w:tc>
        <w:tc>
          <w:tcPr>
            <w:tcW w:w="1480" w:type="dxa"/>
            <w:noWrap/>
            <w:vAlign w:val="center"/>
          </w:tcPr>
          <w:p w14:paraId="291077F5">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lang w:val="en-US" w:eastAsia="zh-CN"/>
              </w:rPr>
              <w:t>内容</w:t>
            </w:r>
          </w:p>
        </w:tc>
        <w:tc>
          <w:tcPr>
            <w:tcW w:w="1359" w:type="dxa"/>
            <w:noWrap/>
            <w:vAlign w:val="center"/>
          </w:tcPr>
          <w:p w14:paraId="638AE6FF">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服务时间</w:t>
            </w:r>
          </w:p>
        </w:tc>
        <w:tc>
          <w:tcPr>
            <w:tcW w:w="978" w:type="dxa"/>
            <w:noWrap/>
            <w:vAlign w:val="center"/>
          </w:tcPr>
          <w:p w14:paraId="25D73491">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数量</w:t>
            </w:r>
          </w:p>
        </w:tc>
        <w:tc>
          <w:tcPr>
            <w:tcW w:w="1127" w:type="dxa"/>
            <w:noWrap/>
            <w:vAlign w:val="center"/>
          </w:tcPr>
          <w:p w14:paraId="0464EEC3">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单价</w:t>
            </w:r>
          </w:p>
        </w:tc>
        <w:tc>
          <w:tcPr>
            <w:tcW w:w="1155" w:type="dxa"/>
            <w:noWrap/>
            <w:vAlign w:val="center"/>
          </w:tcPr>
          <w:p w14:paraId="1A7049E9">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合</w:t>
            </w:r>
            <w:r>
              <w:rPr>
                <w:rFonts w:hint="eastAsia" w:ascii="微软雅黑" w:hAnsi="微软雅黑" w:eastAsia="微软雅黑" w:cs="微软雅黑"/>
                <w:color w:val="auto"/>
                <w:sz w:val="24"/>
                <w:szCs w:val="24"/>
                <w:highlight w:val="none"/>
              </w:rPr>
              <w:t>价</w:t>
            </w:r>
          </w:p>
        </w:tc>
        <w:tc>
          <w:tcPr>
            <w:tcW w:w="1264" w:type="dxa"/>
            <w:noWrap/>
            <w:vAlign w:val="center"/>
          </w:tcPr>
          <w:p w14:paraId="496DE2C1">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备注</w:t>
            </w:r>
          </w:p>
        </w:tc>
      </w:tr>
      <w:tr w14:paraId="58F6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62" w:type="dxa"/>
            <w:noWrap/>
            <w:vAlign w:val="center"/>
          </w:tcPr>
          <w:p w14:paraId="708DAB78">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522" w:type="dxa"/>
            <w:noWrap/>
            <w:vAlign w:val="center"/>
          </w:tcPr>
          <w:p w14:paraId="2097CF25">
            <w:pPr>
              <w:pStyle w:val="15"/>
              <w:keepNext w:val="0"/>
              <w:keepLines w:val="0"/>
              <w:pageBreakBefore w:val="0"/>
              <w:suppressLineNumbers w:val="0"/>
              <w:kinsoku/>
              <w:overflowPunct/>
              <w:bidi w:val="0"/>
              <w:snapToGrid w:val="0"/>
              <w:spacing w:before="0" w:beforeAutospacing="0" w:after="0" w:afterAutospacing="0" w:line="312" w:lineRule="auto"/>
              <w:ind w:left="0" w:right="0"/>
              <w:jc w:val="both"/>
              <w:rPr>
                <w:rFonts w:hint="eastAsia" w:ascii="微软雅黑" w:hAnsi="微软雅黑" w:eastAsia="微软雅黑" w:cs="微软雅黑"/>
                <w:color w:val="auto"/>
                <w:sz w:val="24"/>
                <w:szCs w:val="24"/>
                <w:highlight w:val="none"/>
              </w:rPr>
            </w:pPr>
          </w:p>
        </w:tc>
        <w:tc>
          <w:tcPr>
            <w:tcW w:w="1480" w:type="dxa"/>
            <w:noWrap/>
            <w:vAlign w:val="center"/>
          </w:tcPr>
          <w:p w14:paraId="6587CF37">
            <w:pPr>
              <w:pStyle w:val="15"/>
              <w:keepNext w:val="0"/>
              <w:keepLines w:val="0"/>
              <w:pageBreakBefore w:val="0"/>
              <w:suppressLineNumbers w:val="0"/>
              <w:kinsoku/>
              <w:overflowPunct/>
              <w:bidi w:val="0"/>
              <w:snapToGrid w:val="0"/>
              <w:spacing w:before="0" w:beforeAutospacing="0" w:after="0" w:afterAutospacing="0" w:line="312" w:lineRule="auto"/>
              <w:ind w:left="0" w:right="0"/>
              <w:jc w:val="both"/>
              <w:rPr>
                <w:rFonts w:hint="eastAsia" w:ascii="微软雅黑" w:hAnsi="微软雅黑" w:eastAsia="微软雅黑" w:cs="微软雅黑"/>
                <w:color w:val="auto"/>
                <w:sz w:val="24"/>
                <w:szCs w:val="24"/>
                <w:highlight w:val="none"/>
              </w:rPr>
            </w:pPr>
          </w:p>
        </w:tc>
        <w:tc>
          <w:tcPr>
            <w:tcW w:w="1359" w:type="dxa"/>
            <w:noWrap/>
            <w:vAlign w:val="center"/>
          </w:tcPr>
          <w:p w14:paraId="0B3FA6E5">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978" w:type="dxa"/>
            <w:noWrap/>
            <w:vAlign w:val="center"/>
          </w:tcPr>
          <w:p w14:paraId="71E3F2BF">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27" w:type="dxa"/>
            <w:noWrap/>
            <w:vAlign w:val="center"/>
          </w:tcPr>
          <w:p w14:paraId="06EFE9A7">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55" w:type="dxa"/>
            <w:noWrap/>
            <w:vAlign w:val="center"/>
          </w:tcPr>
          <w:p w14:paraId="44F979A1">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264" w:type="dxa"/>
            <w:noWrap/>
            <w:vAlign w:val="center"/>
          </w:tcPr>
          <w:p w14:paraId="514E138B">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r>
      <w:tr w14:paraId="209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2" w:type="dxa"/>
            <w:noWrap/>
            <w:vAlign w:val="center"/>
          </w:tcPr>
          <w:p w14:paraId="3E4A10EC">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522" w:type="dxa"/>
            <w:noWrap/>
            <w:vAlign w:val="center"/>
          </w:tcPr>
          <w:p w14:paraId="78270A82">
            <w:pPr>
              <w:pStyle w:val="15"/>
              <w:keepNext w:val="0"/>
              <w:keepLines w:val="0"/>
              <w:pageBreakBefore w:val="0"/>
              <w:suppressLineNumbers w:val="0"/>
              <w:kinsoku/>
              <w:overflowPunct/>
              <w:bidi w:val="0"/>
              <w:snapToGrid w:val="0"/>
              <w:spacing w:before="0" w:beforeAutospacing="0" w:after="0" w:afterAutospacing="0" w:line="312" w:lineRule="auto"/>
              <w:ind w:left="0" w:right="0"/>
              <w:jc w:val="both"/>
              <w:rPr>
                <w:rFonts w:hint="eastAsia" w:ascii="微软雅黑" w:hAnsi="微软雅黑" w:eastAsia="微软雅黑" w:cs="微软雅黑"/>
                <w:color w:val="auto"/>
                <w:sz w:val="24"/>
                <w:szCs w:val="24"/>
                <w:highlight w:val="none"/>
              </w:rPr>
            </w:pPr>
          </w:p>
        </w:tc>
        <w:tc>
          <w:tcPr>
            <w:tcW w:w="1480" w:type="dxa"/>
            <w:noWrap/>
            <w:vAlign w:val="center"/>
          </w:tcPr>
          <w:p w14:paraId="6BB43659">
            <w:pPr>
              <w:pStyle w:val="15"/>
              <w:keepNext w:val="0"/>
              <w:keepLines w:val="0"/>
              <w:pageBreakBefore w:val="0"/>
              <w:suppressLineNumbers w:val="0"/>
              <w:kinsoku/>
              <w:overflowPunct/>
              <w:bidi w:val="0"/>
              <w:snapToGrid w:val="0"/>
              <w:spacing w:before="0" w:beforeAutospacing="0" w:after="0" w:afterAutospacing="0" w:line="312" w:lineRule="auto"/>
              <w:ind w:left="0" w:right="0"/>
              <w:jc w:val="both"/>
              <w:rPr>
                <w:rFonts w:hint="eastAsia" w:ascii="微软雅黑" w:hAnsi="微软雅黑" w:eastAsia="微软雅黑" w:cs="微软雅黑"/>
                <w:color w:val="auto"/>
                <w:sz w:val="24"/>
                <w:szCs w:val="24"/>
                <w:highlight w:val="none"/>
              </w:rPr>
            </w:pPr>
          </w:p>
        </w:tc>
        <w:tc>
          <w:tcPr>
            <w:tcW w:w="1359" w:type="dxa"/>
            <w:noWrap/>
            <w:vAlign w:val="center"/>
          </w:tcPr>
          <w:p w14:paraId="762DF8E4">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978" w:type="dxa"/>
            <w:noWrap/>
            <w:vAlign w:val="center"/>
          </w:tcPr>
          <w:p w14:paraId="0BB01B71">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27" w:type="dxa"/>
            <w:noWrap/>
            <w:vAlign w:val="center"/>
          </w:tcPr>
          <w:p w14:paraId="08006011">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55" w:type="dxa"/>
            <w:noWrap/>
            <w:vAlign w:val="center"/>
          </w:tcPr>
          <w:p w14:paraId="4B78AB9B">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264" w:type="dxa"/>
            <w:noWrap/>
            <w:vAlign w:val="center"/>
          </w:tcPr>
          <w:p w14:paraId="38994604">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r>
      <w:tr w14:paraId="63FC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2" w:type="dxa"/>
            <w:noWrap/>
            <w:vAlign w:val="center"/>
          </w:tcPr>
          <w:p w14:paraId="6A8959E3">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522" w:type="dxa"/>
            <w:noWrap/>
            <w:vAlign w:val="center"/>
          </w:tcPr>
          <w:p w14:paraId="7C9CEF89">
            <w:pPr>
              <w:pStyle w:val="15"/>
              <w:keepNext w:val="0"/>
              <w:keepLines w:val="0"/>
              <w:pageBreakBefore w:val="0"/>
              <w:suppressLineNumbers w:val="0"/>
              <w:kinsoku/>
              <w:overflowPunct/>
              <w:bidi w:val="0"/>
              <w:snapToGrid w:val="0"/>
              <w:spacing w:before="0" w:beforeAutospacing="0" w:after="0" w:afterAutospacing="0" w:line="312" w:lineRule="auto"/>
              <w:ind w:left="0" w:right="0"/>
              <w:jc w:val="both"/>
              <w:rPr>
                <w:rFonts w:hint="eastAsia" w:ascii="微软雅黑" w:hAnsi="微软雅黑" w:eastAsia="微软雅黑" w:cs="微软雅黑"/>
                <w:color w:val="auto"/>
                <w:sz w:val="24"/>
                <w:szCs w:val="24"/>
                <w:highlight w:val="none"/>
              </w:rPr>
            </w:pPr>
          </w:p>
        </w:tc>
        <w:tc>
          <w:tcPr>
            <w:tcW w:w="1480" w:type="dxa"/>
            <w:noWrap/>
            <w:vAlign w:val="center"/>
          </w:tcPr>
          <w:p w14:paraId="69BBD4CE">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359" w:type="dxa"/>
            <w:noWrap/>
            <w:vAlign w:val="center"/>
          </w:tcPr>
          <w:p w14:paraId="14D5EB5F">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978" w:type="dxa"/>
            <w:noWrap/>
            <w:vAlign w:val="center"/>
          </w:tcPr>
          <w:p w14:paraId="5E8C9BD9">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27" w:type="dxa"/>
            <w:noWrap/>
            <w:vAlign w:val="center"/>
          </w:tcPr>
          <w:p w14:paraId="23DBE518">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55" w:type="dxa"/>
            <w:noWrap/>
            <w:vAlign w:val="center"/>
          </w:tcPr>
          <w:p w14:paraId="2F6E5920">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264" w:type="dxa"/>
            <w:noWrap/>
            <w:vAlign w:val="center"/>
          </w:tcPr>
          <w:p w14:paraId="5A6DD435">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r>
      <w:tr w14:paraId="5549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2" w:type="dxa"/>
            <w:noWrap/>
            <w:vAlign w:val="center"/>
          </w:tcPr>
          <w:p w14:paraId="2FDBCCA6">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1522" w:type="dxa"/>
            <w:noWrap/>
            <w:vAlign w:val="center"/>
          </w:tcPr>
          <w:p w14:paraId="557F4ABE">
            <w:pPr>
              <w:pStyle w:val="15"/>
              <w:keepNext w:val="0"/>
              <w:keepLines w:val="0"/>
              <w:pageBreakBefore w:val="0"/>
              <w:suppressLineNumbers w:val="0"/>
              <w:kinsoku/>
              <w:overflowPunct/>
              <w:bidi w:val="0"/>
              <w:snapToGrid w:val="0"/>
              <w:spacing w:before="0" w:beforeAutospacing="0" w:after="0" w:afterAutospacing="0" w:line="312" w:lineRule="auto"/>
              <w:ind w:left="0" w:right="0"/>
              <w:jc w:val="both"/>
              <w:rPr>
                <w:rFonts w:hint="eastAsia" w:ascii="微软雅黑" w:hAnsi="微软雅黑" w:eastAsia="微软雅黑" w:cs="微软雅黑"/>
                <w:color w:val="auto"/>
                <w:sz w:val="24"/>
                <w:szCs w:val="24"/>
                <w:highlight w:val="none"/>
              </w:rPr>
            </w:pPr>
          </w:p>
        </w:tc>
        <w:tc>
          <w:tcPr>
            <w:tcW w:w="1480" w:type="dxa"/>
            <w:noWrap/>
            <w:vAlign w:val="center"/>
          </w:tcPr>
          <w:p w14:paraId="5DCD86F0">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359" w:type="dxa"/>
            <w:noWrap/>
            <w:vAlign w:val="center"/>
          </w:tcPr>
          <w:p w14:paraId="29FB413A">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978" w:type="dxa"/>
            <w:noWrap/>
            <w:vAlign w:val="center"/>
          </w:tcPr>
          <w:p w14:paraId="36688D68">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27" w:type="dxa"/>
            <w:noWrap/>
            <w:vAlign w:val="center"/>
          </w:tcPr>
          <w:p w14:paraId="30FC71BB">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55" w:type="dxa"/>
            <w:noWrap/>
            <w:vAlign w:val="center"/>
          </w:tcPr>
          <w:p w14:paraId="71BF2668">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264" w:type="dxa"/>
            <w:noWrap/>
            <w:vAlign w:val="center"/>
          </w:tcPr>
          <w:p w14:paraId="4556F78B">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r>
      <w:tr w14:paraId="212C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62" w:type="dxa"/>
            <w:noWrap/>
            <w:vAlign w:val="center"/>
          </w:tcPr>
          <w:p w14:paraId="36AE06C1">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1522" w:type="dxa"/>
            <w:noWrap/>
            <w:vAlign w:val="center"/>
          </w:tcPr>
          <w:p w14:paraId="1957ADB8">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480" w:type="dxa"/>
            <w:noWrap/>
            <w:vAlign w:val="center"/>
          </w:tcPr>
          <w:p w14:paraId="71F4934D">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359" w:type="dxa"/>
            <w:noWrap/>
            <w:vAlign w:val="center"/>
          </w:tcPr>
          <w:p w14:paraId="70DA2DA8">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978" w:type="dxa"/>
            <w:noWrap/>
            <w:vAlign w:val="center"/>
          </w:tcPr>
          <w:p w14:paraId="1C4B2F6E">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27" w:type="dxa"/>
            <w:noWrap/>
            <w:vAlign w:val="center"/>
          </w:tcPr>
          <w:p w14:paraId="1DB211C3">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55" w:type="dxa"/>
            <w:noWrap/>
            <w:vAlign w:val="center"/>
          </w:tcPr>
          <w:p w14:paraId="09737992">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264" w:type="dxa"/>
            <w:noWrap/>
            <w:vAlign w:val="center"/>
          </w:tcPr>
          <w:p w14:paraId="723AD43E">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r>
      <w:tr w14:paraId="1C16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62" w:type="dxa"/>
            <w:noWrap/>
            <w:vAlign w:val="center"/>
          </w:tcPr>
          <w:p w14:paraId="477ED815">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p>
        </w:tc>
        <w:tc>
          <w:tcPr>
            <w:tcW w:w="1522" w:type="dxa"/>
            <w:noWrap/>
            <w:vAlign w:val="center"/>
          </w:tcPr>
          <w:p w14:paraId="2EAFAFE5">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480" w:type="dxa"/>
            <w:noWrap/>
            <w:vAlign w:val="center"/>
          </w:tcPr>
          <w:p w14:paraId="75EE29C7">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359" w:type="dxa"/>
            <w:noWrap/>
            <w:vAlign w:val="center"/>
          </w:tcPr>
          <w:p w14:paraId="71FEE485">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978" w:type="dxa"/>
            <w:noWrap/>
            <w:vAlign w:val="center"/>
          </w:tcPr>
          <w:p w14:paraId="54D6FB87">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27" w:type="dxa"/>
            <w:noWrap/>
            <w:vAlign w:val="center"/>
          </w:tcPr>
          <w:p w14:paraId="39B88962">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155" w:type="dxa"/>
            <w:noWrap/>
            <w:vAlign w:val="center"/>
          </w:tcPr>
          <w:p w14:paraId="7C5C2B5F">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c>
          <w:tcPr>
            <w:tcW w:w="1264" w:type="dxa"/>
            <w:noWrap/>
            <w:vAlign w:val="center"/>
          </w:tcPr>
          <w:p w14:paraId="31AD8320">
            <w:pPr>
              <w:pStyle w:val="15"/>
              <w:keepNext w:val="0"/>
              <w:keepLines w:val="0"/>
              <w:pageBreakBefore w:val="0"/>
              <w:suppressLineNumbers w:val="0"/>
              <w:kinsoku/>
              <w:overflowPunct/>
              <w:bidi w:val="0"/>
              <w:snapToGrid w:val="0"/>
              <w:spacing w:before="0" w:beforeAutospacing="0" w:after="0" w:afterAutospacing="0" w:line="312" w:lineRule="auto"/>
              <w:ind w:left="1080" w:leftChars="257" w:right="0" w:hanging="540"/>
              <w:jc w:val="center"/>
              <w:rPr>
                <w:rFonts w:hint="eastAsia" w:ascii="微软雅黑" w:hAnsi="微软雅黑" w:eastAsia="微软雅黑" w:cs="微软雅黑"/>
                <w:color w:val="auto"/>
                <w:sz w:val="24"/>
                <w:szCs w:val="24"/>
                <w:highlight w:val="none"/>
              </w:rPr>
            </w:pPr>
          </w:p>
        </w:tc>
      </w:tr>
      <w:tr w14:paraId="3B12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747" w:type="dxa"/>
            <w:gridSpan w:val="8"/>
            <w:noWrap/>
            <w:vAlign w:val="center"/>
          </w:tcPr>
          <w:p w14:paraId="259C9918">
            <w:pPr>
              <w:pStyle w:val="15"/>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r>
    </w:tbl>
    <w:p w14:paraId="51CF0308">
      <w:pPr>
        <w:pStyle w:val="15"/>
        <w:spacing w:line="360" w:lineRule="auto"/>
        <w:rPr>
          <w:rFonts w:hint="eastAsia" w:ascii="微软雅黑" w:hAnsi="微软雅黑" w:eastAsia="微软雅黑" w:cs="微软雅黑"/>
          <w:color w:val="auto"/>
          <w:sz w:val="24"/>
          <w:szCs w:val="24"/>
          <w:highlight w:val="none"/>
        </w:rPr>
      </w:pPr>
    </w:p>
    <w:p w14:paraId="1F44D31E">
      <w:pPr>
        <w:pStyle w:val="15"/>
        <w:tabs>
          <w:tab w:val="left" w:pos="5580"/>
        </w:tabs>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u w:val="single"/>
        </w:rPr>
        <w:t xml:space="preserve">                       </w:t>
      </w:r>
    </w:p>
    <w:p w14:paraId="4CD2EA0C">
      <w:pPr>
        <w:pStyle w:val="15"/>
        <w:tabs>
          <w:tab w:val="left" w:pos="5580"/>
        </w:tabs>
        <w:spacing w:line="360" w:lineRule="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1689B389">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5A435792">
      <w:pPr>
        <w:pStyle w:val="15"/>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 如果开标一览表（报价表）内容与投标文件中明细表内容不一致的，以开标一览表（报价表）内容为准。</w:t>
      </w:r>
    </w:p>
    <w:p w14:paraId="3D213E59">
      <w:pPr>
        <w:pStyle w:val="15"/>
        <w:numPr>
          <w:ilvl w:val="0"/>
          <w:numId w:val="0"/>
        </w:numPr>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2.</w:t>
      </w:r>
      <w:r>
        <w:rPr>
          <w:rFonts w:hint="eastAsia" w:ascii="微软雅黑" w:hAnsi="微软雅黑" w:eastAsia="微软雅黑" w:cs="微软雅黑"/>
          <w:color w:val="auto"/>
          <w:sz w:val="24"/>
          <w:szCs w:val="24"/>
          <w:highlight w:val="none"/>
        </w:rPr>
        <w:t>上述各项的详细分项报价，可另页描述。</w:t>
      </w:r>
    </w:p>
    <w:p w14:paraId="0894B71E">
      <w:pP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br w:type="page"/>
      </w:r>
    </w:p>
    <w:p w14:paraId="1A01C51C">
      <w:pPr>
        <w:pStyle w:val="15"/>
        <w:numPr>
          <w:ilvl w:val="0"/>
          <w:numId w:val="0"/>
        </w:numPr>
        <w:spacing w:line="360" w:lineRule="auto"/>
        <w:jc w:val="center"/>
        <w:rPr>
          <w:rFonts w:hint="eastAsia" w:ascii="微软雅黑" w:hAnsi="微软雅黑" w:eastAsia="微软雅黑" w:cs="微软雅黑"/>
          <w:b/>
          <w:color w:val="auto"/>
          <w:kern w:val="0"/>
          <w:sz w:val="28"/>
          <w:szCs w:val="21"/>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3、服务说明一览表</w:t>
      </w:r>
    </w:p>
    <w:p w14:paraId="4852FE86">
      <w:pPr>
        <w:pStyle w:val="15"/>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项目编号: </w:t>
      </w:r>
    </w:p>
    <w:p w14:paraId="15F02393">
      <w:pPr>
        <w:pStyle w:val="15"/>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标项名称：                                                          </w:t>
      </w:r>
    </w:p>
    <w:tbl>
      <w:tblPr>
        <w:tblStyle w:val="38"/>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817"/>
        <w:gridCol w:w="1063"/>
        <w:gridCol w:w="1584"/>
        <w:gridCol w:w="2353"/>
      </w:tblGrid>
      <w:tr w14:paraId="0DE5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7B51F9F9">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640" w:type="dxa"/>
            <w:noWrap w:val="0"/>
            <w:vAlign w:val="center"/>
          </w:tcPr>
          <w:p w14:paraId="48B1C4C2">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标的</w:t>
            </w:r>
            <w:r>
              <w:rPr>
                <w:rFonts w:hint="eastAsia" w:ascii="微软雅黑" w:hAnsi="微软雅黑" w:eastAsia="微软雅黑" w:cs="微软雅黑"/>
                <w:color w:val="auto"/>
                <w:sz w:val="24"/>
                <w:szCs w:val="24"/>
                <w:highlight w:val="none"/>
              </w:rPr>
              <w:t>名称</w:t>
            </w:r>
          </w:p>
        </w:tc>
        <w:tc>
          <w:tcPr>
            <w:tcW w:w="1817" w:type="dxa"/>
            <w:noWrap w:val="0"/>
            <w:vAlign w:val="center"/>
          </w:tcPr>
          <w:p w14:paraId="1D6936FC">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服务内容</w:t>
            </w:r>
          </w:p>
        </w:tc>
        <w:tc>
          <w:tcPr>
            <w:tcW w:w="1063" w:type="dxa"/>
            <w:noWrap w:val="0"/>
            <w:vAlign w:val="center"/>
          </w:tcPr>
          <w:p w14:paraId="7D4EB780">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服务期</w:t>
            </w:r>
          </w:p>
        </w:tc>
        <w:tc>
          <w:tcPr>
            <w:tcW w:w="1584" w:type="dxa"/>
            <w:noWrap w:val="0"/>
            <w:vAlign w:val="center"/>
          </w:tcPr>
          <w:p w14:paraId="021D4025">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服务地点</w:t>
            </w:r>
          </w:p>
        </w:tc>
        <w:tc>
          <w:tcPr>
            <w:tcW w:w="2353" w:type="dxa"/>
            <w:noWrap w:val="0"/>
            <w:vAlign w:val="center"/>
          </w:tcPr>
          <w:p w14:paraId="6BDB918D">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备注</w:t>
            </w:r>
          </w:p>
        </w:tc>
      </w:tr>
      <w:tr w14:paraId="19EF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6841697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2639B545">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532C803B">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53C0B5D1">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0521A15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7FAD76CC">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73DE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48BE3394">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33707876">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0B063D29">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558C093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5E4AC44A">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4D227243">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5BA2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02FE4892">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52212726">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067C893D">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60F6CE7A">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353734E6">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0C9FBDB4">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456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732D7797">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1EBA7C1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4D37C72F">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5EF58318">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758445C7">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72173ECA">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2CB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94D3CFD">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2D6D4A19">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085AEF7A">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1F71F920">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1A73183A">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68BD073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424D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469727E3">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04B16501">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3A2C379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3E2DE60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4D8F8FE8">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5CA03DA3">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10FC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9E31B8D">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4ED8F304">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429BCD4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4AF64495">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383D0E7E">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6A195611">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r w14:paraId="4141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959" w:type="dxa"/>
            <w:noWrap w:val="0"/>
            <w:vAlign w:val="top"/>
          </w:tcPr>
          <w:p w14:paraId="32AAAC01">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640" w:type="dxa"/>
            <w:noWrap w:val="0"/>
            <w:vAlign w:val="top"/>
          </w:tcPr>
          <w:p w14:paraId="5EC03BAB">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817" w:type="dxa"/>
            <w:noWrap w:val="0"/>
            <w:vAlign w:val="top"/>
          </w:tcPr>
          <w:p w14:paraId="46FD4571">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063" w:type="dxa"/>
            <w:noWrap w:val="0"/>
            <w:vAlign w:val="top"/>
          </w:tcPr>
          <w:p w14:paraId="605E490C">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1584" w:type="dxa"/>
            <w:noWrap w:val="0"/>
            <w:vAlign w:val="top"/>
          </w:tcPr>
          <w:p w14:paraId="608B1160">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c>
          <w:tcPr>
            <w:tcW w:w="2353" w:type="dxa"/>
            <w:noWrap w:val="0"/>
            <w:vAlign w:val="top"/>
          </w:tcPr>
          <w:p w14:paraId="2604EFC2">
            <w:pPr>
              <w:pStyle w:val="15"/>
              <w:keepNext w:val="0"/>
              <w:keepLines w:val="0"/>
              <w:suppressLineNumbers w:val="0"/>
              <w:spacing w:before="0" w:beforeAutospacing="0" w:after="0" w:afterAutospacing="0" w:line="240" w:lineRule="atLeast"/>
              <w:ind w:left="1080" w:leftChars="257" w:right="0" w:hanging="540"/>
              <w:rPr>
                <w:rFonts w:hint="eastAsia" w:ascii="微软雅黑" w:hAnsi="微软雅黑" w:eastAsia="微软雅黑" w:cs="微软雅黑"/>
                <w:color w:val="auto"/>
                <w:sz w:val="24"/>
                <w:szCs w:val="24"/>
                <w:highlight w:val="none"/>
              </w:rPr>
            </w:pPr>
          </w:p>
        </w:tc>
      </w:tr>
    </w:tbl>
    <w:p w14:paraId="27CFDE86">
      <w:pPr>
        <w:pStyle w:val="15"/>
        <w:spacing w:line="240" w:lineRule="atLeast"/>
        <w:ind w:left="1080" w:leftChars="257" w:hanging="540"/>
        <w:rPr>
          <w:rFonts w:hint="eastAsia" w:ascii="微软雅黑" w:hAnsi="微软雅黑" w:eastAsia="微软雅黑" w:cs="微软雅黑"/>
          <w:color w:val="auto"/>
          <w:sz w:val="24"/>
          <w:szCs w:val="24"/>
          <w:highlight w:val="none"/>
        </w:rPr>
      </w:pPr>
    </w:p>
    <w:p w14:paraId="2B333E17">
      <w:pPr>
        <w:pStyle w:val="15"/>
        <w:tabs>
          <w:tab w:val="left" w:pos="5580"/>
        </w:tabs>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u w:val="single"/>
        </w:rPr>
        <w:t xml:space="preserve">                       </w:t>
      </w:r>
    </w:p>
    <w:p w14:paraId="54E19E11">
      <w:pPr>
        <w:pStyle w:val="15"/>
        <w:tabs>
          <w:tab w:val="left" w:pos="5580"/>
        </w:tabs>
        <w:spacing w:line="360" w:lineRule="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68401E52">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39EE8AA8">
      <w:pPr>
        <w:pStyle w:val="15"/>
        <w:spacing w:line="240" w:lineRule="atLeast"/>
        <w:rPr>
          <w:rFonts w:hint="eastAsia" w:ascii="微软雅黑" w:hAnsi="微软雅黑" w:eastAsia="微软雅黑" w:cs="微软雅黑"/>
          <w:color w:val="auto"/>
          <w:sz w:val="24"/>
          <w:szCs w:val="24"/>
          <w:highlight w:val="none"/>
        </w:rPr>
      </w:pPr>
    </w:p>
    <w:p w14:paraId="191967B3">
      <w:pPr>
        <w:pStyle w:val="15"/>
        <w:spacing w:line="240" w:lineRule="atLeast"/>
        <w:rPr>
          <w:rFonts w:hint="eastAsia" w:ascii="微软雅黑" w:hAnsi="微软雅黑" w:eastAsia="微软雅黑" w:cs="微软雅黑"/>
          <w:color w:val="auto"/>
          <w:sz w:val="24"/>
          <w:szCs w:val="24"/>
          <w:highlight w:val="none"/>
        </w:rPr>
        <w:sectPr>
          <w:pgSz w:w="11906" w:h="16838"/>
          <w:pgMar w:top="1440" w:right="1080" w:bottom="1440" w:left="1080" w:header="851" w:footer="992" w:gutter="0"/>
          <w:pgNumType w:fmt="decimal"/>
          <w:cols w:space="720" w:num="1"/>
          <w:docGrid w:linePitch="312" w:charSpace="0"/>
        </w:sectPr>
      </w:pPr>
      <w:r>
        <w:rPr>
          <w:rFonts w:hint="eastAsia" w:ascii="微软雅黑" w:hAnsi="微软雅黑" w:eastAsia="微软雅黑" w:cs="微软雅黑"/>
          <w:color w:val="auto"/>
          <w:sz w:val="24"/>
          <w:szCs w:val="24"/>
          <w:highlight w:val="none"/>
        </w:rPr>
        <w:t>注: 各项服务详细技术性能应另页描述。</w:t>
      </w:r>
    </w:p>
    <w:p w14:paraId="51C6AD61">
      <w:pPr>
        <w:pStyle w:val="3"/>
        <w:spacing w:before="0" w:line="360" w:lineRule="auto"/>
        <w:jc w:val="center"/>
        <w:rPr>
          <w:rFonts w:hint="eastAsia" w:ascii="微软雅黑" w:hAnsi="微软雅黑" w:eastAsia="微软雅黑" w:cs="微软雅黑"/>
          <w:b/>
          <w:color w:val="auto"/>
          <w:kern w:val="0"/>
          <w:sz w:val="28"/>
          <w:szCs w:val="28"/>
          <w:highlight w:val="none"/>
          <w:lang w:val="en-US" w:eastAsia="zh-CN" w:bidi="ar-SA"/>
        </w:rPr>
      </w:pPr>
      <w:bookmarkStart w:id="329" w:name="_Hlt520343392"/>
      <w:bookmarkEnd w:id="329"/>
      <w:bookmarkStart w:id="330" w:name="_Hlt520274407"/>
      <w:bookmarkEnd w:id="330"/>
      <w:bookmarkStart w:id="331" w:name="_Hlt520273973"/>
      <w:bookmarkEnd w:id="331"/>
      <w:bookmarkStart w:id="332" w:name="_Hlt520274393"/>
      <w:bookmarkEnd w:id="332"/>
      <w:bookmarkStart w:id="333" w:name="_Hlt520271212"/>
      <w:bookmarkEnd w:id="333"/>
      <w:bookmarkStart w:id="334" w:name="_Hlt520350957"/>
      <w:bookmarkEnd w:id="334"/>
      <w:bookmarkStart w:id="335" w:name="_Hlt520273711"/>
      <w:bookmarkEnd w:id="335"/>
      <w:bookmarkStart w:id="336" w:name="_Hlt520343000"/>
      <w:bookmarkEnd w:id="336"/>
      <w:bookmarkStart w:id="337" w:name="_Hlt520274065"/>
      <w:bookmarkEnd w:id="337"/>
      <w:bookmarkStart w:id="338" w:name="_Hlt520274911"/>
      <w:bookmarkEnd w:id="338"/>
      <w:bookmarkStart w:id="339" w:name="_Hlt520350918"/>
      <w:bookmarkEnd w:id="339"/>
      <w:bookmarkStart w:id="340" w:name="_Toc29431"/>
      <w:bookmarkStart w:id="341" w:name="_Toc15822"/>
      <w:bookmarkStart w:id="342" w:name="_Toc5508"/>
      <w:bookmarkStart w:id="343" w:name="_Toc518923120"/>
      <w:r>
        <w:rPr>
          <w:rFonts w:hint="eastAsia" w:ascii="微软雅黑" w:hAnsi="微软雅黑" w:eastAsia="微软雅黑" w:cs="微软雅黑"/>
          <w:b/>
          <w:color w:val="auto"/>
          <w:kern w:val="0"/>
          <w:sz w:val="28"/>
          <w:szCs w:val="28"/>
          <w:highlight w:val="none"/>
          <w:lang w:val="en-US" w:eastAsia="zh-CN" w:bidi="ar-SA"/>
        </w:rPr>
        <w:t>4、服务要求偏离表</w:t>
      </w:r>
      <w:bookmarkEnd w:id="340"/>
      <w:bookmarkEnd w:id="341"/>
    </w:p>
    <w:p w14:paraId="30DB4D3F">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val="0"/>
          <w:i w:val="0"/>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p>
    <w:p w14:paraId="4A085F92">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标项名称：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p>
    <w:tbl>
      <w:tblPr>
        <w:tblStyle w:val="38"/>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00"/>
        <w:gridCol w:w="1215"/>
        <w:gridCol w:w="1746"/>
        <w:gridCol w:w="1858"/>
        <w:gridCol w:w="1619"/>
        <w:gridCol w:w="1390"/>
      </w:tblGrid>
      <w:tr w14:paraId="7574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center"/>
          </w:tcPr>
          <w:p w14:paraId="74B4F7A3">
            <w:pPr>
              <w:pStyle w:val="15"/>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200" w:type="dxa"/>
            <w:noWrap w:val="0"/>
            <w:vAlign w:val="center"/>
          </w:tcPr>
          <w:p w14:paraId="63A438A1">
            <w:pPr>
              <w:pStyle w:val="15"/>
              <w:keepNext w:val="0"/>
              <w:keepLines w:val="0"/>
              <w:suppressLineNumbers w:val="0"/>
              <w:spacing w:before="0" w:beforeAutospacing="0" w:after="0" w:afterAutospacing="0" w:line="360" w:lineRule="exac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标的</w:t>
            </w:r>
            <w:r>
              <w:rPr>
                <w:rFonts w:hint="eastAsia" w:ascii="微软雅黑" w:hAnsi="微软雅黑" w:eastAsia="微软雅黑" w:cs="微软雅黑"/>
                <w:color w:val="auto"/>
                <w:sz w:val="24"/>
                <w:szCs w:val="24"/>
                <w:highlight w:val="none"/>
              </w:rPr>
              <w:t>名称</w:t>
            </w:r>
          </w:p>
        </w:tc>
        <w:tc>
          <w:tcPr>
            <w:tcW w:w="1215" w:type="dxa"/>
            <w:noWrap w:val="0"/>
            <w:vAlign w:val="center"/>
          </w:tcPr>
          <w:p w14:paraId="6B4A5039">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w:t>
            </w:r>
          </w:p>
          <w:p w14:paraId="11A92460">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1746" w:type="dxa"/>
            <w:noWrap w:val="0"/>
            <w:vAlign w:val="center"/>
          </w:tcPr>
          <w:p w14:paraId="4885F66B">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0"/>
                <w:highlight w:val="none"/>
                <w:lang w:eastAsia="zh-CN"/>
              </w:rPr>
              <w:t>招标</w:t>
            </w:r>
            <w:r>
              <w:rPr>
                <w:rFonts w:hint="eastAsia" w:ascii="微软雅黑" w:hAnsi="微软雅黑" w:eastAsia="微软雅黑" w:cs="微软雅黑"/>
                <w:color w:val="auto"/>
                <w:sz w:val="24"/>
                <w:szCs w:val="20"/>
                <w:highlight w:val="none"/>
              </w:rPr>
              <w:t>文件</w:t>
            </w:r>
            <w:r>
              <w:rPr>
                <w:rFonts w:hint="eastAsia" w:ascii="微软雅黑" w:hAnsi="微软雅黑" w:eastAsia="微软雅黑" w:cs="微软雅黑"/>
                <w:color w:val="auto"/>
                <w:sz w:val="24"/>
                <w:szCs w:val="20"/>
                <w:highlight w:val="none"/>
                <w:lang w:eastAsia="zh-CN"/>
              </w:rPr>
              <w:t>要求</w:t>
            </w:r>
          </w:p>
        </w:tc>
        <w:tc>
          <w:tcPr>
            <w:tcW w:w="1858" w:type="dxa"/>
            <w:noWrap w:val="0"/>
            <w:vAlign w:val="center"/>
          </w:tcPr>
          <w:p w14:paraId="153A5223">
            <w:pPr>
              <w:pStyle w:val="15"/>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响应内容</w:t>
            </w:r>
          </w:p>
        </w:tc>
        <w:tc>
          <w:tcPr>
            <w:tcW w:w="1619" w:type="dxa"/>
            <w:noWrap w:val="0"/>
            <w:vAlign w:val="center"/>
          </w:tcPr>
          <w:p w14:paraId="590DF64D">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偏离情况</w:t>
            </w:r>
          </w:p>
        </w:tc>
        <w:tc>
          <w:tcPr>
            <w:tcW w:w="1390" w:type="dxa"/>
            <w:noWrap w:val="0"/>
            <w:vAlign w:val="center"/>
          </w:tcPr>
          <w:p w14:paraId="7F38A051">
            <w:pPr>
              <w:pStyle w:val="15"/>
              <w:keepNext w:val="0"/>
              <w:keepLines w:val="0"/>
              <w:suppressLineNumbers w:val="0"/>
              <w:spacing w:before="0" w:beforeAutospacing="0" w:after="0" w:afterAutospacing="0" w:line="240" w:lineRule="atLeast"/>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198F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39AA40F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539353D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2B3E4A3E">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0C4C1E5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35B4168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1728672C">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34E398E3">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02D3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9E1AF2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4C56B61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598C31C3">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4839FD5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163039D0">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61D81E3D">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3A2D120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3D00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36" w:type="dxa"/>
            <w:noWrap w:val="0"/>
            <w:vAlign w:val="top"/>
          </w:tcPr>
          <w:p w14:paraId="673E026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27A3C69D">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20E8B13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7E778DB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45CBC0B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676ED095">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1AF1D7D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1E7C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CC4C47D">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623FD67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25DBBC00">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00F5204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65D164C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6B0D94B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00D145C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6A99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23033B36">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528416B6">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02FA02A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7BE9103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6B59563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31EB760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3DB8801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666E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C65248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71901380">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528A0DB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6114C8F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6B4503F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3CE0F8A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0AAD59A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0219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0AAF5F3">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6DAC67BE">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5E33732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4DFB0F3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52B374B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1001208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3279A4B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1FC0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7F3EBCF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11A65C7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4E9A23CE">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6C9A0D6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381A992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59016DCF">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757C61A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05E3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28A7C64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608B212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278427E5">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2A0C9C3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368375C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07DAD7E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48F8988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5E56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36" w:type="dxa"/>
            <w:noWrap w:val="0"/>
            <w:vAlign w:val="top"/>
          </w:tcPr>
          <w:p w14:paraId="77940446">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71F86AB0">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27F5B50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004FBE5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6C8E927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7E87456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7BC99A9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7C8D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3C8ED18E">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2D0B2FC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7EBC870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0CF9C3C9">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18AF9D83">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28D8A9C3">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4C654EC6">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3D1D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05FAD8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53AE3CA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5CE9E4C5">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214A1B0F">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2EB80D8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2FB6A7A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29E0238F">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500A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8A4678B">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2A8E623F">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735E84E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467D59B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0F40FCBA">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1F002E40">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3985FC4D">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0E11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36" w:type="dxa"/>
            <w:noWrap w:val="0"/>
            <w:vAlign w:val="top"/>
          </w:tcPr>
          <w:p w14:paraId="721B9B4D">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05D1599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10771385">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1C3053C2">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219FD16E">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2F98014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58FD86B3">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r w14:paraId="7137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6CE0E91E">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00" w:type="dxa"/>
            <w:noWrap w:val="0"/>
            <w:vAlign w:val="top"/>
          </w:tcPr>
          <w:p w14:paraId="24E5E9E1">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215" w:type="dxa"/>
            <w:noWrap w:val="0"/>
            <w:vAlign w:val="top"/>
          </w:tcPr>
          <w:p w14:paraId="2BB4511D">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746" w:type="dxa"/>
            <w:noWrap w:val="0"/>
            <w:vAlign w:val="top"/>
          </w:tcPr>
          <w:p w14:paraId="15278B54">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858" w:type="dxa"/>
            <w:noWrap w:val="0"/>
            <w:vAlign w:val="top"/>
          </w:tcPr>
          <w:p w14:paraId="1476F687">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619" w:type="dxa"/>
            <w:noWrap w:val="0"/>
            <w:vAlign w:val="top"/>
          </w:tcPr>
          <w:p w14:paraId="1AD10470">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c>
          <w:tcPr>
            <w:tcW w:w="1390" w:type="dxa"/>
            <w:noWrap w:val="0"/>
            <w:vAlign w:val="top"/>
          </w:tcPr>
          <w:p w14:paraId="0F41D388">
            <w:pPr>
              <w:pStyle w:val="15"/>
              <w:keepNext w:val="0"/>
              <w:keepLines w:val="0"/>
              <w:suppressLineNumbers w:val="0"/>
              <w:spacing w:before="0" w:beforeAutospacing="0" w:after="0" w:afterAutospacing="0" w:line="360" w:lineRule="exact"/>
              <w:ind w:left="1080" w:leftChars="257" w:right="0" w:hanging="540"/>
              <w:rPr>
                <w:rFonts w:hint="eastAsia" w:ascii="微软雅黑" w:hAnsi="微软雅黑" w:eastAsia="微软雅黑" w:cs="微软雅黑"/>
                <w:color w:val="auto"/>
                <w:sz w:val="24"/>
                <w:szCs w:val="24"/>
                <w:highlight w:val="none"/>
              </w:rPr>
            </w:pPr>
          </w:p>
        </w:tc>
      </w:tr>
    </w:tbl>
    <w:p w14:paraId="2E05437E">
      <w:pPr>
        <w:pStyle w:val="15"/>
        <w:spacing w:line="480" w:lineRule="auto"/>
        <w:rPr>
          <w:rFonts w:hint="eastAsia" w:ascii="微软雅黑" w:hAnsi="微软雅黑" w:eastAsia="微软雅黑" w:cs="微软雅黑"/>
          <w:color w:val="auto"/>
          <w:sz w:val="24"/>
          <w:szCs w:val="24"/>
          <w:highlight w:val="none"/>
        </w:rPr>
      </w:pPr>
    </w:p>
    <w:p w14:paraId="6709A17F">
      <w:pPr>
        <w:pStyle w:val="15"/>
        <w:spacing w:line="360" w:lineRule="auto"/>
        <w:rPr>
          <w:rFonts w:hint="eastAsia" w:ascii="微软雅黑" w:hAnsi="微软雅黑" w:eastAsia="微软雅黑" w:cs="微软雅黑"/>
          <w:color w:val="auto"/>
          <w:sz w:val="24"/>
          <w:szCs w:val="24"/>
          <w:highlight w:val="none"/>
          <w:lang w:val="en-US" w:eastAsia="zh-CN"/>
        </w:rPr>
      </w:pPr>
      <w:bookmarkStart w:id="344" w:name="_Toc31693"/>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7A6AC2C1">
      <w:pPr>
        <w:pStyle w:val="15"/>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法定代表人或委托代理(签字或盖章):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00C9A995">
      <w:pPr>
        <w:pStyle w:val="12"/>
        <w:keepNext w:val="0"/>
        <w:keepLines w:val="0"/>
        <w:pageBreakBefore w:val="0"/>
        <w:tabs>
          <w:tab w:val="left" w:pos="2119"/>
          <w:tab w:val="left" w:pos="2748"/>
          <w:tab w:val="left" w:pos="3379"/>
          <w:tab w:val="left" w:pos="5881"/>
          <w:tab w:val="clear" w:pos="567"/>
        </w:tabs>
        <w:kinsoku/>
        <w:wordWrap/>
        <w:overflowPunct/>
        <w:topLinePunct w:val="0"/>
        <w:bidi w:val="0"/>
        <w:spacing w:line="360" w:lineRule="auto"/>
        <w:ind w:right="3782"/>
        <w:rPr>
          <w:rFonts w:hint="eastAsia" w:ascii="微软雅黑" w:hAnsi="微软雅黑" w:eastAsia="微软雅黑" w:cs="微软雅黑"/>
          <w:color w:val="auto"/>
          <w:sz w:val="22"/>
          <w:szCs w:val="22"/>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p w14:paraId="6689C9D7">
      <w:pPr>
        <w:pStyle w:val="3"/>
        <w:numPr>
          <w:ilvl w:val="0"/>
          <w:numId w:val="0"/>
        </w:numPr>
        <w:spacing w:before="0" w:line="360" w:lineRule="auto"/>
        <w:jc w:val="center"/>
        <w:rPr>
          <w:rFonts w:hint="eastAsia" w:ascii="微软雅黑" w:hAnsi="微软雅黑" w:eastAsia="微软雅黑" w:cs="微软雅黑"/>
          <w:color w:val="auto"/>
          <w:sz w:val="28"/>
          <w:szCs w:val="28"/>
          <w:highlight w:val="none"/>
        </w:rPr>
      </w:pPr>
      <w:bookmarkStart w:id="345" w:name="_Toc20602"/>
      <w:r>
        <w:rPr>
          <w:rFonts w:hint="eastAsia" w:ascii="微软雅黑" w:hAnsi="微软雅黑" w:eastAsia="微软雅黑" w:cs="微软雅黑"/>
          <w:color w:val="auto"/>
          <w:sz w:val="28"/>
          <w:szCs w:val="28"/>
          <w:highlight w:val="none"/>
          <w:lang w:val="en-US" w:eastAsia="zh-CN"/>
        </w:rPr>
        <w:t>5、</w:t>
      </w:r>
      <w:r>
        <w:rPr>
          <w:rFonts w:hint="eastAsia" w:ascii="微软雅黑" w:hAnsi="微软雅黑" w:eastAsia="微软雅黑" w:cs="微软雅黑"/>
          <w:color w:val="auto"/>
          <w:sz w:val="28"/>
          <w:szCs w:val="28"/>
          <w:highlight w:val="none"/>
        </w:rPr>
        <w:t>商务条款偏离表</w:t>
      </w:r>
      <w:bookmarkEnd w:id="344"/>
      <w:bookmarkEnd w:id="345"/>
    </w:p>
    <w:p w14:paraId="2E69EDB8">
      <w:pPr>
        <w:pStyle w:val="15"/>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val="0"/>
          <w:i w:val="0"/>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p>
    <w:p w14:paraId="4019B8FD">
      <w:pPr>
        <w:pStyle w:val="15"/>
        <w:spacing w:line="360" w:lineRule="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 xml:space="preserve">标项名称：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p>
    <w:tbl>
      <w:tblPr>
        <w:tblStyle w:val="3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24"/>
        <w:gridCol w:w="2066"/>
        <w:gridCol w:w="2267"/>
        <w:gridCol w:w="1417"/>
        <w:gridCol w:w="1403"/>
      </w:tblGrid>
      <w:tr w14:paraId="6B14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4" w:type="dxa"/>
            <w:vMerge w:val="restart"/>
            <w:noWrap w:val="0"/>
            <w:vAlign w:val="center"/>
          </w:tcPr>
          <w:p w14:paraId="0CDA992A">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序号</w:t>
            </w:r>
          </w:p>
        </w:tc>
        <w:tc>
          <w:tcPr>
            <w:tcW w:w="3390" w:type="dxa"/>
            <w:gridSpan w:val="2"/>
            <w:noWrap w:val="0"/>
            <w:vAlign w:val="center"/>
          </w:tcPr>
          <w:p w14:paraId="5E4C5ECD">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招标文件</w:t>
            </w:r>
          </w:p>
        </w:tc>
        <w:tc>
          <w:tcPr>
            <w:tcW w:w="2267" w:type="dxa"/>
            <w:noWrap w:val="0"/>
            <w:vAlign w:val="center"/>
          </w:tcPr>
          <w:p w14:paraId="165447F9">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投标文件</w:t>
            </w:r>
          </w:p>
        </w:tc>
        <w:tc>
          <w:tcPr>
            <w:tcW w:w="1417" w:type="dxa"/>
            <w:vMerge w:val="restart"/>
            <w:noWrap w:val="0"/>
            <w:vAlign w:val="center"/>
          </w:tcPr>
          <w:p w14:paraId="4020A5F3">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偏离情况</w:t>
            </w:r>
          </w:p>
        </w:tc>
        <w:tc>
          <w:tcPr>
            <w:tcW w:w="1403" w:type="dxa"/>
            <w:vMerge w:val="restart"/>
            <w:noWrap w:val="0"/>
            <w:vAlign w:val="center"/>
          </w:tcPr>
          <w:p w14:paraId="63CB8FAA">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w:t>
            </w:r>
          </w:p>
        </w:tc>
      </w:tr>
      <w:tr w14:paraId="1519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4" w:type="dxa"/>
            <w:vMerge w:val="continue"/>
            <w:noWrap w:val="0"/>
            <w:vAlign w:val="center"/>
          </w:tcPr>
          <w:p w14:paraId="749EBCD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324" w:type="dxa"/>
            <w:noWrap w:val="0"/>
            <w:vAlign w:val="center"/>
          </w:tcPr>
          <w:p w14:paraId="6EE7DD0E">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条款号</w:t>
            </w:r>
          </w:p>
        </w:tc>
        <w:tc>
          <w:tcPr>
            <w:tcW w:w="2066" w:type="dxa"/>
            <w:noWrap w:val="0"/>
            <w:vAlign w:val="center"/>
          </w:tcPr>
          <w:p w14:paraId="0C5B02A6">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招标文件条款</w:t>
            </w:r>
          </w:p>
        </w:tc>
        <w:tc>
          <w:tcPr>
            <w:tcW w:w="2267" w:type="dxa"/>
            <w:noWrap w:val="0"/>
            <w:vAlign w:val="center"/>
          </w:tcPr>
          <w:p w14:paraId="5BD28052">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投标文件商务条款</w:t>
            </w:r>
          </w:p>
        </w:tc>
        <w:tc>
          <w:tcPr>
            <w:tcW w:w="1417" w:type="dxa"/>
            <w:vMerge w:val="continue"/>
            <w:noWrap w:val="0"/>
            <w:vAlign w:val="center"/>
          </w:tcPr>
          <w:p w14:paraId="7442ACE1">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p>
        </w:tc>
        <w:tc>
          <w:tcPr>
            <w:tcW w:w="1403" w:type="dxa"/>
            <w:vMerge w:val="continue"/>
            <w:noWrap w:val="0"/>
            <w:vAlign w:val="center"/>
          </w:tcPr>
          <w:p w14:paraId="67D9DD48">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kern w:val="2"/>
                <w:sz w:val="24"/>
                <w:szCs w:val="24"/>
                <w:highlight w:val="none"/>
                <w:lang w:val="en-US" w:eastAsia="zh-CN" w:bidi="ar-SA"/>
              </w:rPr>
            </w:pPr>
          </w:p>
        </w:tc>
      </w:tr>
      <w:tr w14:paraId="66E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73F73169">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7FE729B1">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6D31A98B">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33D6F06A">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6388E6C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327252EB">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6BD5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14" w:type="dxa"/>
            <w:noWrap w:val="0"/>
            <w:vAlign w:val="center"/>
          </w:tcPr>
          <w:p w14:paraId="5E68780D">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6BC0A7BA">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3F70DED0">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1C22008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0F53E5B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1CA595B5">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06B7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14" w:type="dxa"/>
            <w:noWrap w:val="0"/>
            <w:vAlign w:val="center"/>
          </w:tcPr>
          <w:p w14:paraId="4BFE2306">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7C6C59D7">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7F58544D">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20D37251">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2080FD31">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0154D87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4002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14" w:type="dxa"/>
            <w:noWrap w:val="0"/>
            <w:vAlign w:val="center"/>
          </w:tcPr>
          <w:p w14:paraId="66B0BBCC">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132F74C4">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55E3A1FE">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679FA19B">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73BECEA0">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2CC5E766">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6BE1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14" w:type="dxa"/>
            <w:noWrap w:val="0"/>
            <w:vAlign w:val="center"/>
          </w:tcPr>
          <w:p w14:paraId="623EAE94">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7799419E">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31C9FDCE">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698A03D9">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538D887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38ACF19F">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3B26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14" w:type="dxa"/>
            <w:noWrap w:val="0"/>
            <w:vAlign w:val="center"/>
          </w:tcPr>
          <w:p w14:paraId="443D9800">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2CD1B510">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6B84FE67">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1C9D1CA4">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544E3965">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1D6DE51A">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4888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69157E5F">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04BB0C02">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411B1E18">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3142E9A2">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35EBAF88">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25C55A3B">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25C3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75CB342A">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0BA9EF37">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20D13713">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6991FDE9">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0F0EFF11">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1DA3300E">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635A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4" w:type="dxa"/>
            <w:noWrap w:val="0"/>
            <w:vAlign w:val="center"/>
          </w:tcPr>
          <w:p w14:paraId="02623675">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4C86BEF0">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519972FD">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35346B6F">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4551A90C">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3994A14D">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4886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42EA741E">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54305530">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3BF1B787">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4CFB42C3">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39EF33D6">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017A5EDB">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r w14:paraId="73C5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4" w:type="dxa"/>
            <w:noWrap w:val="0"/>
            <w:vAlign w:val="center"/>
          </w:tcPr>
          <w:p w14:paraId="3CB2A4E2">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1324" w:type="dxa"/>
            <w:noWrap w:val="0"/>
            <w:vAlign w:val="center"/>
          </w:tcPr>
          <w:p w14:paraId="02D2E0DB">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066" w:type="dxa"/>
            <w:noWrap w:val="0"/>
            <w:vAlign w:val="center"/>
          </w:tcPr>
          <w:p w14:paraId="63683251">
            <w:pPr>
              <w:keepNext w:val="0"/>
              <w:keepLines w:val="0"/>
              <w:suppressLineNumbers w:val="0"/>
              <w:spacing w:before="0" w:beforeAutospacing="0" w:after="0" w:afterAutospacing="0" w:line="276" w:lineRule="auto"/>
              <w:ind w:left="0" w:right="0"/>
              <w:rPr>
                <w:rFonts w:hint="eastAsia" w:ascii="微软雅黑" w:hAnsi="微软雅黑" w:eastAsia="微软雅黑" w:cs="微软雅黑"/>
                <w:color w:val="auto"/>
                <w:sz w:val="24"/>
                <w:szCs w:val="24"/>
                <w:highlight w:val="none"/>
              </w:rPr>
            </w:pPr>
          </w:p>
        </w:tc>
        <w:tc>
          <w:tcPr>
            <w:tcW w:w="2267" w:type="dxa"/>
            <w:noWrap w:val="0"/>
            <w:vAlign w:val="center"/>
          </w:tcPr>
          <w:p w14:paraId="00CCC431">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17" w:type="dxa"/>
            <w:noWrap w:val="0"/>
            <w:vAlign w:val="center"/>
          </w:tcPr>
          <w:p w14:paraId="0B9E6652">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c>
          <w:tcPr>
            <w:tcW w:w="1403" w:type="dxa"/>
            <w:noWrap w:val="0"/>
            <w:vAlign w:val="center"/>
          </w:tcPr>
          <w:p w14:paraId="72F554A1">
            <w:pPr>
              <w:keepNext w:val="0"/>
              <w:keepLines w:val="0"/>
              <w:suppressLineNumbers w:val="0"/>
              <w:spacing w:before="0" w:beforeAutospacing="0" w:after="0" w:afterAutospacing="0" w:line="276" w:lineRule="auto"/>
              <w:ind w:left="0" w:right="0"/>
              <w:jc w:val="center"/>
              <w:rPr>
                <w:rFonts w:hint="eastAsia" w:ascii="微软雅黑" w:hAnsi="微软雅黑" w:eastAsia="微软雅黑" w:cs="微软雅黑"/>
                <w:color w:val="auto"/>
                <w:sz w:val="24"/>
                <w:szCs w:val="24"/>
                <w:highlight w:val="none"/>
              </w:rPr>
            </w:pPr>
          </w:p>
        </w:tc>
      </w:tr>
    </w:tbl>
    <w:p w14:paraId="6CC0116C">
      <w:pPr>
        <w:pStyle w:val="15"/>
        <w:spacing w:line="360" w:lineRule="auto"/>
        <w:rPr>
          <w:rFonts w:hint="eastAsia" w:ascii="微软雅黑" w:hAnsi="微软雅黑" w:eastAsia="微软雅黑" w:cs="微软雅黑"/>
          <w:color w:val="auto"/>
          <w:sz w:val="24"/>
          <w:szCs w:val="24"/>
          <w:highlight w:val="none"/>
        </w:rPr>
      </w:pPr>
    </w:p>
    <w:p w14:paraId="65319448">
      <w:pPr>
        <w:pStyle w:val="15"/>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1FD5B825">
      <w:pPr>
        <w:pStyle w:val="15"/>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法定代表人或委托代理(签字或盖章):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p>
    <w:p w14:paraId="31F0CFA0">
      <w:pPr>
        <w:pStyle w:val="12"/>
        <w:keepNext w:val="0"/>
        <w:keepLines w:val="0"/>
        <w:pageBreakBefore w:val="0"/>
        <w:tabs>
          <w:tab w:val="left" w:pos="2119"/>
          <w:tab w:val="left" w:pos="2748"/>
          <w:tab w:val="left" w:pos="3379"/>
          <w:tab w:val="left" w:pos="5881"/>
          <w:tab w:val="clear" w:pos="567"/>
        </w:tabs>
        <w:kinsoku/>
        <w:wordWrap/>
        <w:overflowPunct/>
        <w:topLinePunct w:val="0"/>
        <w:bidi w:val="0"/>
        <w:spacing w:line="360" w:lineRule="auto"/>
        <w:ind w:right="3782"/>
        <w:rPr>
          <w:rFonts w:hint="eastAsia" w:ascii="微软雅黑" w:hAnsi="微软雅黑" w:eastAsia="微软雅黑" w:cs="微软雅黑"/>
          <w:color w:val="auto"/>
          <w:sz w:val="22"/>
          <w:szCs w:val="22"/>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bookmarkEnd w:id="342"/>
    <w:bookmarkEnd w:id="343"/>
    <w:p w14:paraId="359DC93D">
      <w:pPr>
        <w:widowControl/>
        <w:spacing w:before="100" w:beforeAutospacing="1" w:after="100" w:afterAutospacing="1" w:line="330" w:lineRule="atLeast"/>
        <w:jc w:val="center"/>
        <w:rPr>
          <w:rFonts w:hint="eastAsia" w:ascii="微软雅黑" w:hAnsi="微软雅黑" w:eastAsia="微软雅黑" w:cs="微软雅黑"/>
          <w:b/>
          <w:color w:val="auto"/>
          <w:kern w:val="0"/>
          <w:sz w:val="24"/>
          <w:szCs w:val="20"/>
          <w:highlight w:val="none"/>
        </w:rPr>
      </w:pPr>
      <w:bookmarkStart w:id="346" w:name="_Toc19319"/>
      <w:bookmarkStart w:id="347" w:name="_Toc518923122"/>
      <w:bookmarkStart w:id="348" w:name="_Toc28871"/>
      <w:bookmarkStart w:id="349" w:name="_Toc5060"/>
      <w:r>
        <w:rPr>
          <w:rFonts w:hint="eastAsia" w:ascii="微软雅黑" w:hAnsi="微软雅黑" w:eastAsia="微软雅黑" w:cs="微软雅黑"/>
          <w:b/>
          <w:color w:val="auto"/>
          <w:kern w:val="0"/>
          <w:sz w:val="28"/>
          <w:szCs w:val="28"/>
          <w:highlight w:val="none"/>
          <w:lang w:val="en-US" w:eastAsia="zh-CN" w:bidi="ar-SA"/>
        </w:rPr>
        <w:t>6-1、</w:t>
      </w:r>
      <w:r>
        <w:rPr>
          <w:rFonts w:hint="eastAsia" w:ascii="微软雅黑" w:hAnsi="微软雅黑" w:eastAsia="微软雅黑" w:cs="微软雅黑"/>
          <w:b/>
          <w:bCs w:val="0"/>
          <w:color w:val="auto"/>
          <w:sz w:val="28"/>
          <w:szCs w:val="28"/>
          <w:highlight w:val="none"/>
          <w:lang w:val="en-US" w:eastAsia="zh-CN"/>
        </w:rPr>
        <w:t>《中小企业声</w:t>
      </w:r>
      <w:r>
        <w:rPr>
          <w:rFonts w:hint="eastAsia" w:ascii="微软雅黑" w:hAnsi="微软雅黑" w:eastAsia="微软雅黑" w:cs="微软雅黑"/>
          <w:b/>
          <w:color w:val="auto"/>
          <w:kern w:val="0"/>
          <w:sz w:val="28"/>
          <w:szCs w:val="28"/>
          <w:highlight w:val="none"/>
          <w:lang w:val="en-US" w:eastAsia="zh-CN" w:bidi="ar-SA"/>
        </w:rPr>
        <w:t>明函》（服务）</w:t>
      </w:r>
    </w:p>
    <w:p w14:paraId="658170FE">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本公司（联合体）郑重声明，根据《政府采购促进中小企业发展管理办法》（财库﹝2020﹞46号）的规定，本公司（联合体）参加</w:t>
      </w:r>
      <w:r>
        <w:rPr>
          <w:rFonts w:hint="eastAsia" w:ascii="微软雅黑" w:hAnsi="微软雅黑" w:eastAsia="微软雅黑" w:cs="微软雅黑"/>
          <w:color w:val="auto"/>
          <w:kern w:val="0"/>
          <w:sz w:val="24"/>
          <w:szCs w:val="24"/>
          <w:highlight w:val="none"/>
          <w:u w:val="single"/>
        </w:rPr>
        <w:t>（单位名称）</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kern w:val="0"/>
          <w:sz w:val="24"/>
          <w:szCs w:val="24"/>
          <w:highlight w:val="none"/>
          <w:u w:val="single"/>
          <w:lang w:eastAsia="zh-CN"/>
        </w:rPr>
        <w:t>标项</w:t>
      </w:r>
      <w:r>
        <w:rPr>
          <w:rFonts w:hint="eastAsia" w:ascii="微软雅黑" w:hAnsi="微软雅黑" w:eastAsia="微软雅黑" w:cs="微软雅黑"/>
          <w:color w:val="auto"/>
          <w:kern w:val="0"/>
          <w:sz w:val="24"/>
          <w:szCs w:val="24"/>
          <w:highlight w:val="none"/>
          <w:u w:val="single"/>
        </w:rPr>
        <w:t>名称）</w:t>
      </w:r>
      <w:r>
        <w:rPr>
          <w:rFonts w:hint="eastAsia" w:ascii="微软雅黑" w:hAnsi="微软雅黑" w:eastAsia="微软雅黑" w:cs="微软雅黑"/>
          <w:color w:val="auto"/>
          <w:kern w:val="0"/>
          <w:sz w:val="24"/>
          <w:szCs w:val="24"/>
          <w:highlight w:val="none"/>
        </w:rPr>
        <w:t>采购活动，服务全部由符合政策要求的中小企业承接。相关企业（含联合体中的中小企业、签订分包意向协议的中小企业）的具体情况如下：</w:t>
      </w:r>
    </w:p>
    <w:p w14:paraId="7004F968">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u w:val="single"/>
        </w:rPr>
        <w:t>（标的名称）</w:t>
      </w:r>
      <w:r>
        <w:rPr>
          <w:rFonts w:hint="eastAsia" w:ascii="微软雅黑" w:hAnsi="微软雅黑" w:eastAsia="微软雅黑" w:cs="微软雅黑"/>
          <w:color w:val="auto"/>
          <w:kern w:val="0"/>
          <w:sz w:val="24"/>
          <w:szCs w:val="24"/>
          <w:highlight w:val="none"/>
        </w:rPr>
        <w:t>，属于</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kern w:val="0"/>
          <w:sz w:val="24"/>
          <w:szCs w:val="24"/>
          <w:highlight w:val="none"/>
          <w:u w:val="single"/>
          <w:lang w:eastAsia="zh-CN"/>
        </w:rPr>
        <w:t>招标文件</w:t>
      </w:r>
      <w:r>
        <w:rPr>
          <w:rFonts w:hint="eastAsia" w:ascii="微软雅黑" w:hAnsi="微软雅黑" w:eastAsia="微软雅黑" w:cs="微软雅黑"/>
          <w:color w:val="auto"/>
          <w:kern w:val="0"/>
          <w:sz w:val="24"/>
          <w:szCs w:val="24"/>
          <w:highlight w:val="none"/>
          <w:u w:val="single"/>
        </w:rPr>
        <w:t>中明确的所属行业）</w:t>
      </w:r>
      <w:r>
        <w:rPr>
          <w:rFonts w:hint="eastAsia" w:ascii="微软雅黑" w:hAnsi="微软雅黑" w:eastAsia="微软雅黑" w:cs="微软雅黑"/>
          <w:color w:val="auto"/>
          <w:kern w:val="0"/>
          <w:sz w:val="24"/>
          <w:szCs w:val="24"/>
          <w:highlight w:val="none"/>
        </w:rPr>
        <w:t>；承建（承接）企业为</w:t>
      </w:r>
      <w:r>
        <w:rPr>
          <w:rFonts w:hint="eastAsia" w:ascii="微软雅黑" w:hAnsi="微软雅黑" w:eastAsia="微软雅黑" w:cs="微软雅黑"/>
          <w:color w:val="auto"/>
          <w:kern w:val="0"/>
          <w:sz w:val="24"/>
          <w:szCs w:val="24"/>
          <w:highlight w:val="none"/>
          <w:u w:val="single"/>
        </w:rPr>
        <w:t>（企业名称）</w:t>
      </w:r>
      <w:r>
        <w:rPr>
          <w:rFonts w:hint="eastAsia" w:ascii="微软雅黑" w:hAnsi="微软雅黑" w:eastAsia="微软雅黑" w:cs="微软雅黑"/>
          <w:color w:val="auto"/>
          <w:kern w:val="0"/>
          <w:sz w:val="24"/>
          <w:szCs w:val="24"/>
          <w:highlight w:val="none"/>
        </w:rPr>
        <w:t>，从业人员</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人，营业收入为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万元，资产总额为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u w:val="single"/>
        </w:rPr>
        <w:tab/>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万元，属于</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none"/>
        </w:rPr>
        <w:t>（中型企业、小型企业、微型企业）</w:t>
      </w:r>
      <w:r>
        <w:rPr>
          <w:rFonts w:hint="eastAsia" w:ascii="微软雅黑" w:hAnsi="微软雅黑" w:eastAsia="微软雅黑" w:cs="微软雅黑"/>
          <w:color w:val="auto"/>
          <w:kern w:val="0"/>
          <w:sz w:val="24"/>
          <w:szCs w:val="24"/>
          <w:highlight w:val="none"/>
        </w:rPr>
        <w:t>；</w:t>
      </w:r>
    </w:p>
    <w:p w14:paraId="06A8553C">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2.</w:t>
      </w:r>
      <w:r>
        <w:rPr>
          <w:rFonts w:hint="eastAsia" w:ascii="微软雅黑" w:hAnsi="微软雅黑" w:eastAsia="微软雅黑" w:cs="微软雅黑"/>
          <w:color w:val="auto"/>
          <w:kern w:val="0"/>
          <w:sz w:val="24"/>
          <w:szCs w:val="24"/>
          <w:highlight w:val="none"/>
          <w:u w:val="single"/>
        </w:rPr>
        <w:t>（标的名称）</w:t>
      </w:r>
      <w:r>
        <w:rPr>
          <w:rFonts w:hint="eastAsia" w:ascii="微软雅黑" w:hAnsi="微软雅黑" w:eastAsia="微软雅黑" w:cs="微软雅黑"/>
          <w:color w:val="auto"/>
          <w:kern w:val="0"/>
          <w:sz w:val="24"/>
          <w:szCs w:val="24"/>
          <w:highlight w:val="none"/>
        </w:rPr>
        <w:t>，属于</w:t>
      </w:r>
      <w:r>
        <w:rPr>
          <w:rFonts w:hint="eastAsia" w:ascii="微软雅黑" w:hAnsi="微软雅黑" w:eastAsia="微软雅黑" w:cs="微软雅黑"/>
          <w:color w:val="auto"/>
          <w:kern w:val="0"/>
          <w:sz w:val="24"/>
          <w:szCs w:val="24"/>
          <w:highlight w:val="none"/>
          <w:u w:val="single"/>
        </w:rPr>
        <w:t>（</w:t>
      </w:r>
      <w:r>
        <w:rPr>
          <w:rFonts w:hint="eastAsia" w:ascii="微软雅黑" w:hAnsi="微软雅黑" w:eastAsia="微软雅黑" w:cs="微软雅黑"/>
          <w:color w:val="auto"/>
          <w:kern w:val="0"/>
          <w:sz w:val="24"/>
          <w:szCs w:val="24"/>
          <w:highlight w:val="none"/>
          <w:u w:val="single"/>
          <w:lang w:eastAsia="zh-CN"/>
        </w:rPr>
        <w:t>招标文件</w:t>
      </w:r>
      <w:r>
        <w:rPr>
          <w:rFonts w:hint="eastAsia" w:ascii="微软雅黑" w:hAnsi="微软雅黑" w:eastAsia="微软雅黑" w:cs="微软雅黑"/>
          <w:color w:val="auto"/>
          <w:kern w:val="0"/>
          <w:sz w:val="24"/>
          <w:szCs w:val="24"/>
          <w:highlight w:val="none"/>
          <w:u w:val="single"/>
        </w:rPr>
        <w:t>中明确的所属行业）</w:t>
      </w:r>
      <w:r>
        <w:rPr>
          <w:rFonts w:hint="eastAsia" w:ascii="微软雅黑" w:hAnsi="微软雅黑" w:eastAsia="微软雅黑" w:cs="微软雅黑"/>
          <w:color w:val="auto"/>
          <w:kern w:val="0"/>
          <w:sz w:val="24"/>
          <w:szCs w:val="24"/>
          <w:highlight w:val="none"/>
        </w:rPr>
        <w:t>；承建（承接）企业为</w:t>
      </w:r>
      <w:r>
        <w:rPr>
          <w:rFonts w:hint="eastAsia" w:ascii="微软雅黑" w:hAnsi="微软雅黑" w:eastAsia="微软雅黑" w:cs="微软雅黑"/>
          <w:color w:val="auto"/>
          <w:kern w:val="0"/>
          <w:sz w:val="24"/>
          <w:szCs w:val="24"/>
          <w:highlight w:val="none"/>
          <w:u w:val="single"/>
        </w:rPr>
        <w:t>（企业名称）</w:t>
      </w:r>
      <w:r>
        <w:rPr>
          <w:rFonts w:hint="eastAsia" w:ascii="微软雅黑" w:hAnsi="微软雅黑" w:eastAsia="微软雅黑" w:cs="微软雅黑"/>
          <w:color w:val="auto"/>
          <w:kern w:val="0"/>
          <w:sz w:val="24"/>
          <w:szCs w:val="24"/>
          <w:highlight w:val="none"/>
        </w:rPr>
        <w:t>，从业人员</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人，营业收入为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rPr>
        <w:tab/>
      </w:r>
      <w:r>
        <w:rPr>
          <w:rFonts w:hint="eastAsia" w:ascii="微软雅黑" w:hAnsi="微软雅黑" w:eastAsia="微软雅黑" w:cs="微软雅黑"/>
          <w:color w:val="auto"/>
          <w:kern w:val="0"/>
          <w:sz w:val="24"/>
          <w:szCs w:val="24"/>
          <w:highlight w:val="none"/>
        </w:rPr>
        <w:t>万元，资产总额为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u w:val="single"/>
        </w:rPr>
        <w:tab/>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rPr>
        <w:t>万元，属于</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none"/>
        </w:rPr>
        <w:t>（中型企业、小型企业、微型企业）</w:t>
      </w:r>
      <w:r>
        <w:rPr>
          <w:rFonts w:hint="eastAsia" w:ascii="微软雅黑" w:hAnsi="微软雅黑" w:eastAsia="微软雅黑" w:cs="微软雅黑"/>
          <w:color w:val="auto"/>
          <w:kern w:val="0"/>
          <w:sz w:val="24"/>
          <w:szCs w:val="24"/>
          <w:highlight w:val="none"/>
        </w:rPr>
        <w:t>；</w:t>
      </w:r>
    </w:p>
    <w:p w14:paraId="7BA8E79E">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w:t>
      </w:r>
    </w:p>
    <w:p w14:paraId="400C0BD8">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以上企业，不属于大企业的分支机构，不存在控股股东为大企业的情形，也不存在与大企业的负责人为同一人的情形。</w:t>
      </w:r>
    </w:p>
    <w:p w14:paraId="6DF62921">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375A2EAC">
      <w:pPr>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240" w:lineRule="auto"/>
        <w:ind w:firstLine="480" w:firstLineChars="200"/>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本企业对上述声明内容的真实性负责。如有虚假，将依法承担相应责任。</w:t>
      </w:r>
      <w:r>
        <w:rPr>
          <w:rFonts w:hint="eastAsia" w:ascii="微软雅黑" w:hAnsi="微软雅黑" w:eastAsia="微软雅黑" w:cs="微软雅黑"/>
          <w:b/>
          <w:color w:val="auto"/>
          <w:kern w:val="0"/>
          <w:sz w:val="24"/>
          <w:szCs w:val="24"/>
          <w:highlight w:val="none"/>
        </w:rPr>
        <w:t>　</w:t>
      </w:r>
    </w:p>
    <w:p w14:paraId="528CABC4">
      <w:pPr>
        <w:widowControl/>
        <w:spacing w:before="100" w:beforeAutospacing="1" w:after="100" w:afterAutospacing="1" w:line="330" w:lineRule="atLeast"/>
        <w:ind w:firstLine="3960" w:firstLineChars="165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投标人</w:t>
      </w:r>
      <w:r>
        <w:rPr>
          <w:rFonts w:hint="eastAsia" w:ascii="微软雅黑" w:hAnsi="微软雅黑" w:eastAsia="微软雅黑" w:cs="微软雅黑"/>
          <w:color w:val="auto"/>
          <w:kern w:val="0"/>
          <w:sz w:val="24"/>
          <w:szCs w:val="24"/>
          <w:highlight w:val="none"/>
        </w:rPr>
        <w:t>名称（单位盖章）：</w:t>
      </w:r>
      <w:r>
        <w:rPr>
          <w:rFonts w:hint="eastAsia" w:ascii="微软雅黑" w:hAnsi="微软雅黑" w:eastAsia="微软雅黑" w:cs="微软雅黑"/>
          <w:color w:val="auto"/>
          <w:kern w:val="0"/>
          <w:sz w:val="24"/>
          <w:szCs w:val="24"/>
          <w:highlight w:val="none"/>
          <w:u w:val="single"/>
        </w:rPr>
        <w:t xml:space="preserve">             </w:t>
      </w:r>
    </w:p>
    <w:p w14:paraId="169F1068">
      <w:pPr>
        <w:widowControl/>
        <w:spacing w:before="100" w:beforeAutospacing="1" w:after="100" w:afterAutospacing="1" w:line="330" w:lineRule="atLeast"/>
        <w:ind w:firstLine="3720" w:firstLineChars="1550"/>
        <w:jc w:val="left"/>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　日　期：</w:t>
      </w:r>
      <w:r>
        <w:rPr>
          <w:rFonts w:hint="eastAsia" w:ascii="微软雅黑" w:hAnsi="微软雅黑" w:eastAsia="微软雅黑" w:cs="微软雅黑"/>
          <w:color w:val="auto"/>
          <w:kern w:val="0"/>
          <w:sz w:val="24"/>
          <w:szCs w:val="24"/>
          <w:highlight w:val="none"/>
          <w:u w:val="single"/>
        </w:rPr>
        <w:t xml:space="preserve">             </w:t>
      </w:r>
    </w:p>
    <w:p w14:paraId="723E561E">
      <w:pPr>
        <w:widowControl/>
        <w:spacing w:before="100" w:beforeAutospacing="1" w:after="100" w:afterAutospacing="1" w:line="330" w:lineRule="atLeast"/>
        <w:jc w:val="left"/>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b/>
          <w:color w:val="auto"/>
          <w:sz w:val="21"/>
          <w:szCs w:val="24"/>
          <w:highlight w:val="none"/>
        </w:rPr>
        <w:t>说明：</w:t>
      </w:r>
      <w:r>
        <w:rPr>
          <w:rFonts w:hint="eastAsia" w:ascii="微软雅黑" w:hAnsi="微软雅黑" w:eastAsia="微软雅黑" w:cs="微软雅黑"/>
          <w:color w:val="auto"/>
          <w:sz w:val="21"/>
          <w:szCs w:val="24"/>
          <w:highlight w:val="none"/>
        </w:rPr>
        <w:t>对中小企业的认定，由货物制造商或者工程、服务</w:t>
      </w:r>
      <w:r>
        <w:rPr>
          <w:rFonts w:hint="eastAsia" w:ascii="微软雅黑" w:hAnsi="微软雅黑" w:eastAsia="微软雅黑" w:cs="微软雅黑"/>
          <w:color w:val="auto"/>
          <w:sz w:val="21"/>
          <w:szCs w:val="24"/>
          <w:highlight w:val="none"/>
          <w:lang w:eastAsia="zh-CN"/>
        </w:rPr>
        <w:t>投标人</w:t>
      </w:r>
      <w:r>
        <w:rPr>
          <w:rFonts w:hint="eastAsia" w:ascii="微软雅黑" w:hAnsi="微软雅黑" w:eastAsia="微软雅黑" w:cs="微软雅黑"/>
          <w:color w:val="auto"/>
          <w:sz w:val="21"/>
          <w:szCs w:val="24"/>
          <w:highlight w:val="none"/>
        </w:rPr>
        <w:t>注册登记所在地的县级以上人民政府中小企业主管部门负责。如因</w:t>
      </w:r>
      <w:r>
        <w:rPr>
          <w:rFonts w:hint="eastAsia" w:ascii="微软雅黑" w:hAnsi="微软雅黑" w:eastAsia="微软雅黑" w:cs="微软雅黑"/>
          <w:color w:val="auto"/>
          <w:sz w:val="21"/>
          <w:szCs w:val="24"/>
          <w:highlight w:val="none"/>
          <w:lang w:eastAsia="zh-CN"/>
        </w:rPr>
        <w:t>投标人</w:t>
      </w:r>
      <w:r>
        <w:rPr>
          <w:rFonts w:hint="eastAsia" w:ascii="微软雅黑" w:hAnsi="微软雅黑" w:eastAsia="微软雅黑" w:cs="微软雅黑"/>
          <w:color w:val="auto"/>
          <w:sz w:val="21"/>
          <w:szCs w:val="24"/>
          <w:highlight w:val="none"/>
        </w:rPr>
        <w:t>提供的《中小企业声明函》引起的质疑、投诉、信访或其他方式情况反映等，</w:t>
      </w:r>
      <w:r>
        <w:rPr>
          <w:rFonts w:hint="eastAsia" w:ascii="微软雅黑" w:hAnsi="微软雅黑" w:eastAsia="微软雅黑" w:cs="微软雅黑"/>
          <w:color w:val="auto"/>
          <w:sz w:val="21"/>
          <w:szCs w:val="24"/>
          <w:highlight w:val="none"/>
          <w:lang w:eastAsia="zh-CN"/>
        </w:rPr>
        <w:t>投标人</w:t>
      </w:r>
      <w:r>
        <w:rPr>
          <w:rFonts w:hint="eastAsia" w:ascii="微软雅黑" w:hAnsi="微软雅黑" w:eastAsia="微软雅黑" w:cs="微软雅黑"/>
          <w:color w:val="auto"/>
          <w:sz w:val="21"/>
          <w:szCs w:val="24"/>
          <w:highlight w:val="none"/>
        </w:rPr>
        <w:t>须自行澄清，并提供由中小企业主管部门出具的企业划型证明。对于不能出具企业划型证明的</w:t>
      </w:r>
      <w:r>
        <w:rPr>
          <w:rFonts w:hint="eastAsia" w:ascii="微软雅黑" w:hAnsi="微软雅黑" w:eastAsia="微软雅黑" w:cs="微软雅黑"/>
          <w:color w:val="auto"/>
          <w:sz w:val="21"/>
          <w:szCs w:val="24"/>
          <w:highlight w:val="none"/>
          <w:lang w:eastAsia="zh-CN"/>
        </w:rPr>
        <w:t>投标人</w:t>
      </w:r>
      <w:r>
        <w:rPr>
          <w:rFonts w:hint="eastAsia" w:ascii="微软雅黑" w:hAnsi="微软雅黑" w:eastAsia="微软雅黑" w:cs="微软雅黑"/>
          <w:color w:val="auto"/>
          <w:sz w:val="21"/>
          <w:szCs w:val="24"/>
          <w:highlight w:val="none"/>
        </w:rPr>
        <w:t>，自行承担由此产生的一切后果，包括声明内容视为无效、不享受相关政府采购优惠政策等。</w:t>
      </w:r>
    </w:p>
    <w:p w14:paraId="77B3716F">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0" w:firstLineChars="0"/>
        <w:jc w:val="center"/>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kern w:val="0"/>
          <w:sz w:val="22"/>
          <w:szCs w:val="22"/>
          <w:highlight w:val="none"/>
          <w:u w:val="single"/>
        </w:rPr>
        <w:br w:type="page"/>
      </w:r>
      <w:bookmarkStart w:id="350" w:name="_Toc5832"/>
      <w:bookmarkStart w:id="351" w:name="_Toc4212"/>
      <w:bookmarkStart w:id="352" w:name="_Toc22403"/>
      <w:bookmarkStart w:id="353" w:name="_Toc11844"/>
      <w:bookmarkStart w:id="354" w:name="_Toc17523"/>
      <w:bookmarkStart w:id="355" w:name="_Toc5757"/>
      <w:bookmarkStart w:id="356" w:name="_Toc14527"/>
      <w:bookmarkStart w:id="357" w:name="_Toc14769"/>
      <w:r>
        <w:rPr>
          <w:rStyle w:val="41"/>
          <w:rFonts w:hint="eastAsia" w:ascii="微软雅黑" w:hAnsi="微软雅黑" w:eastAsia="微软雅黑" w:cs="微软雅黑"/>
          <w:color w:val="auto"/>
          <w:sz w:val="28"/>
          <w:szCs w:val="28"/>
          <w:highlight w:val="none"/>
          <w:shd w:val="clear" w:color="auto" w:fill="FFFFFF"/>
        </w:rPr>
        <w:t>中小企业划型标准规定</w:t>
      </w:r>
    </w:p>
    <w:p w14:paraId="396C1488">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0" w:firstLineChars="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　　2011年6月18日，工业和信息化部、国家统计局、国家发展和改革委员会、财政部联合印发了《关于印发中小企业划型标准规定的通知》， 规定各行业划型标准为:</w:t>
      </w:r>
    </w:p>
    <w:p w14:paraId="51C37445">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val="0"/>
          <w:bCs w:val="0"/>
          <w:color w:val="auto"/>
          <w:sz w:val="24"/>
          <w:szCs w:val="24"/>
          <w:highlight w:val="none"/>
          <w:shd w:val="clear" w:color="auto" w:fill="FFFFFF"/>
        </w:rPr>
      </w:pPr>
      <w:r>
        <w:rPr>
          <w:rFonts w:hint="eastAsia" w:ascii="微软雅黑" w:hAnsi="微软雅黑" w:eastAsia="微软雅黑" w:cs="微软雅黑"/>
          <w:b w:val="0"/>
          <w:bCs w:val="0"/>
          <w:color w:val="auto"/>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6937155F">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6F21AD">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6705271">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3DED4D7">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五)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5128BF">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eastAsia="zh-CN"/>
        </w:rPr>
      </w:pPr>
      <w:r>
        <w:rPr>
          <w:rFonts w:hint="eastAsia" w:ascii="微软雅黑" w:hAnsi="微软雅黑" w:eastAsia="微软雅黑" w:cs="微软雅黑"/>
          <w:color w:val="auto"/>
          <w:sz w:val="24"/>
          <w:szCs w:val="24"/>
          <w:highlight w:val="none"/>
          <w:shd w:val="clear" w:color="auto" w:fill="FFFFFF"/>
        </w:rPr>
        <w:t>(六)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B61CB6">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七)住宿业和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7611B1">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(八)信息传输业。从业人员2000人以下或营业收入10000万元以下的为中小微型企业。</w:t>
      </w:r>
    </w:p>
    <w:p w14:paraId="77A04248">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注:(六)、(七)(八)3条，从业人员10人及以上，且营业收入100万元及以上的为小型企业;从业人员10人以下或营业收入100万元以下的为微型企业。</w:t>
      </w:r>
    </w:p>
    <w:p w14:paraId="6EF192CA">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九)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FC3E18">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(十)仓储业。从业人员200人以下或营业收入3000万元以下的为中小微型企业。</w:t>
      </w:r>
    </w:p>
    <w:p w14:paraId="2083D648">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eastAsia="zh-CN"/>
        </w:rPr>
      </w:pPr>
      <w:r>
        <w:rPr>
          <w:rFonts w:hint="eastAsia" w:ascii="微软雅黑" w:hAnsi="微软雅黑" w:eastAsia="微软雅黑" w:cs="微软雅黑"/>
          <w:color w:val="auto"/>
          <w:sz w:val="24"/>
          <w:szCs w:val="24"/>
          <w:highlight w:val="none"/>
          <w:shd w:val="clear" w:color="auto" w:fill="FFFFFF"/>
        </w:rPr>
        <w:t>注:(八)(九)(十)3条，其中，从业人员100人及以上，且营业收入1000万元及以上的为中型企业</w:t>
      </w:r>
      <w:r>
        <w:rPr>
          <w:rFonts w:hint="eastAsia" w:ascii="微软雅黑" w:hAnsi="微软雅黑" w:eastAsia="微软雅黑" w:cs="微软雅黑"/>
          <w:color w:val="auto"/>
          <w:sz w:val="24"/>
          <w:szCs w:val="24"/>
          <w:highlight w:val="none"/>
          <w:shd w:val="clear" w:color="auto" w:fill="FFFFFF"/>
          <w:lang w:eastAsia="zh-CN"/>
        </w:rPr>
        <w:t>。</w:t>
      </w:r>
    </w:p>
    <w:p w14:paraId="399394CB">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(十一)邮政业。营业收入2000万元及以上的为中型企业;</w:t>
      </w:r>
    </w:p>
    <w:p w14:paraId="0665FE19">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注:(十)(十一)2条，从业人员20人及以上，且营业收入100万元及以上的为小型企业;从业人员20人以下或营业收入100万元以下的为微型企业。</w:t>
      </w:r>
    </w:p>
    <w:p w14:paraId="16A84C4B">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交通运输业和邮政业从业人员1000人以下或营业收入30000万元以下的为中小微型企业。其中，从业人员300人及以上。</w:t>
      </w:r>
    </w:p>
    <w:p w14:paraId="687D107F">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二)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E4022">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rPr>
      </w:pPr>
      <w:r>
        <w:rPr>
          <w:rFonts w:hint="eastAsia" w:ascii="微软雅黑" w:hAnsi="微软雅黑" w:eastAsia="微软雅黑" w:cs="微软雅黑"/>
          <w:color w:val="auto"/>
          <w:sz w:val="24"/>
          <w:szCs w:val="24"/>
          <w:highlight w:val="none"/>
          <w:shd w:val="clear" w:color="auto" w:fill="FFFFFF"/>
        </w:rPr>
        <w:t>(十三)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1C5CB19">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bCs/>
          <w:color w:val="auto"/>
          <w:sz w:val="24"/>
          <w:szCs w:val="24"/>
          <w:highlight w:val="none"/>
          <w:shd w:val="clear" w:color="auto" w:fill="FFFFFF"/>
        </w:rPr>
      </w:pPr>
      <w:r>
        <w:rPr>
          <w:rFonts w:hint="eastAsia" w:ascii="微软雅黑" w:hAnsi="微软雅黑" w:eastAsia="微软雅黑" w:cs="微软雅黑"/>
          <w:b/>
          <w:bCs/>
          <w:color w:val="auto"/>
          <w:sz w:val="24"/>
          <w:szCs w:val="24"/>
          <w:highlight w:val="none"/>
          <w:shd w:val="clear" w:color="auto" w:fill="FFFFFF"/>
        </w:rPr>
        <w:t>(十四)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9F7130">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b w:val="0"/>
          <w:bCs w:val="0"/>
          <w:color w:val="auto"/>
          <w:sz w:val="24"/>
          <w:szCs w:val="24"/>
          <w:highlight w:val="none"/>
          <w:shd w:val="clear" w:color="auto" w:fill="FFFFFF"/>
        </w:rPr>
      </w:pPr>
      <w:r>
        <w:rPr>
          <w:rFonts w:hint="eastAsia" w:ascii="微软雅黑" w:hAnsi="微软雅黑" w:eastAsia="微软雅黑" w:cs="微软雅黑"/>
          <w:b w:val="0"/>
          <w:bCs w:val="0"/>
          <w:color w:val="auto"/>
          <w:sz w:val="24"/>
          <w:szCs w:val="24"/>
          <w:highlight w:val="none"/>
          <w:shd w:val="clear" w:color="auto" w:fill="FFFFFF"/>
        </w:rPr>
        <w:t>(十五)其他未列明行业。从业人员300人以下的为中小微型企业。其中，从业人员100人及以上的为中型企业;从业人员10人及以上的为小型企业;从业人员10人以下的为微型企业。</w:t>
      </w:r>
    </w:p>
    <w:p w14:paraId="17F39E79">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说明：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A498AA1">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14:paraId="4219F7B3">
      <w:pPr>
        <w:pStyle w:val="32"/>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88" w:lineRule="auto"/>
        <w:ind w:firstLine="480" w:firstLineChars="200"/>
        <w:textAlignment w:val="auto"/>
        <w:rPr>
          <w:rFonts w:hint="eastAsia" w:ascii="微软雅黑" w:hAnsi="微软雅黑" w:eastAsia="微软雅黑" w:cs="微软雅黑"/>
          <w:color w:val="auto"/>
          <w:sz w:val="24"/>
          <w:szCs w:val="24"/>
          <w:highlight w:val="none"/>
          <w:shd w:val="clear" w:color="auto" w:fill="FFFFFF"/>
          <w:lang w:val="en-US" w:eastAsia="zh-CN"/>
        </w:rPr>
      </w:pPr>
      <w:r>
        <w:rPr>
          <w:rFonts w:hint="eastAsia" w:ascii="微软雅黑" w:hAnsi="微软雅黑" w:eastAsia="微软雅黑" w:cs="微软雅黑"/>
          <w:color w:val="auto"/>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14:paraId="3F7624A7">
      <w:pPr>
        <w:spacing w:line="240" w:lineRule="auto"/>
        <w:ind w:firstLine="480" w:firstLineChars="200"/>
        <w:rPr>
          <w:rFonts w:hint="eastAsia" w:ascii="微软雅黑" w:hAnsi="微软雅黑" w:eastAsia="微软雅黑" w:cs="微软雅黑"/>
          <w:color w:val="auto"/>
          <w:kern w:val="0"/>
          <w:sz w:val="21"/>
          <w:szCs w:val="21"/>
          <w:highlight w:val="none"/>
          <w:u w:val="none"/>
        </w:rPr>
        <w:sectPr>
          <w:headerReference r:id="rId17" w:type="default"/>
          <w:footerReference r:id="rId18" w:type="default"/>
          <w:pgSz w:w="11907" w:h="16840"/>
          <w:pgMar w:top="1440" w:right="1080" w:bottom="1440" w:left="1080" w:header="851" w:footer="851" w:gutter="0"/>
          <w:pgNumType w:fmt="decimal"/>
          <w:cols w:space="720" w:num="1"/>
          <w:docGrid w:linePitch="462" w:charSpace="0"/>
        </w:sectPr>
      </w:pPr>
      <w:r>
        <w:rPr>
          <w:rFonts w:hint="eastAsia" w:ascii="微软雅黑" w:hAnsi="微软雅黑" w:eastAsia="微软雅黑" w:cs="微软雅黑"/>
          <w:color w:val="auto"/>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依据本招标文件规定享受扶持政策获得政府采购合同的，小微企业不得将合同分包给大中型企业，中型企业不得将合同分包给大型企业</w:t>
      </w:r>
      <w:r>
        <w:rPr>
          <w:rFonts w:hint="eastAsia" w:ascii="微软雅黑" w:hAnsi="微软雅黑" w:eastAsia="微软雅黑" w:cs="微软雅黑"/>
          <w:color w:val="auto"/>
          <w:kern w:val="0"/>
          <w:sz w:val="21"/>
          <w:szCs w:val="21"/>
          <w:highlight w:val="none"/>
          <w:u w:val="none"/>
        </w:rPr>
        <w:t>。</w:t>
      </w:r>
    </w:p>
    <w:p w14:paraId="7F7E8198">
      <w:pPr>
        <w:widowControl/>
        <w:spacing w:before="100" w:beforeAutospacing="1" w:after="100" w:afterAutospacing="1" w:line="330" w:lineRule="atLeast"/>
        <w:jc w:val="center"/>
        <w:rPr>
          <w:rFonts w:hint="eastAsia" w:ascii="微软雅黑" w:hAnsi="微软雅黑" w:eastAsia="微软雅黑" w:cs="微软雅黑"/>
          <w:color w:val="auto"/>
          <w:kern w:val="0"/>
          <w:sz w:val="28"/>
          <w:szCs w:val="28"/>
          <w:highlight w:val="none"/>
        </w:rPr>
      </w:pPr>
      <w:r>
        <w:rPr>
          <w:rFonts w:hint="eastAsia" w:ascii="微软雅黑" w:hAnsi="微软雅黑" w:eastAsia="微软雅黑" w:cs="微软雅黑"/>
          <w:b/>
          <w:color w:val="auto"/>
          <w:kern w:val="0"/>
          <w:sz w:val="28"/>
          <w:szCs w:val="28"/>
          <w:highlight w:val="none"/>
          <w:lang w:val="en-US" w:eastAsia="zh-CN" w:bidi="ar-SA"/>
        </w:rPr>
        <w:t>6-2、《残疾人福利性单位声明函》</w:t>
      </w:r>
      <w:bookmarkEnd w:id="350"/>
      <w:bookmarkEnd w:id="351"/>
      <w:bookmarkEnd w:id="352"/>
      <w:bookmarkEnd w:id="353"/>
      <w:bookmarkEnd w:id="354"/>
      <w:bookmarkEnd w:id="355"/>
      <w:bookmarkEnd w:id="356"/>
      <w:bookmarkEnd w:id="357"/>
    </w:p>
    <w:p w14:paraId="32EADEEC">
      <w:pPr>
        <w:snapToGrid w:val="0"/>
        <w:spacing w:line="360" w:lineRule="auto"/>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6CFFB0E9">
      <w:pPr>
        <w:snapToGrid w:val="0"/>
        <w:spacing w:line="360" w:lineRule="auto"/>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14:paraId="40B68CDB">
      <w:pPr>
        <w:snapToGrid w:val="0"/>
        <w:spacing w:line="360" w:lineRule="auto"/>
        <w:jc w:val="both"/>
        <w:textAlignment w:val="baseline"/>
        <w:rPr>
          <w:rFonts w:hint="eastAsia" w:ascii="微软雅黑" w:hAnsi="微软雅黑" w:eastAsia="微软雅黑" w:cs="微软雅黑"/>
          <w:color w:val="auto"/>
          <w:kern w:val="0"/>
          <w:sz w:val="24"/>
          <w:szCs w:val="24"/>
          <w:highlight w:val="none"/>
          <w:lang w:val="en-US" w:eastAsia="zh-CN"/>
        </w:rPr>
      </w:pPr>
    </w:p>
    <w:p w14:paraId="5105FFDC">
      <w:pPr>
        <w:snapToGrid w:val="0"/>
        <w:spacing w:line="360" w:lineRule="auto"/>
        <w:ind w:left="1080" w:leftChars="257" w:hanging="540"/>
        <w:jc w:val="center"/>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残疾人福利性单位名称（公章）：______________</w:t>
      </w:r>
    </w:p>
    <w:p w14:paraId="795BD5B8">
      <w:pPr>
        <w:pStyle w:val="7"/>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日  期：_____________________________________</w:t>
      </w:r>
    </w:p>
    <w:p w14:paraId="4F6426B8">
      <w:pPr>
        <w:pStyle w:val="7"/>
        <w:ind w:left="0" w:leftChars="0" w:firstLine="0" w:firstLineChars="0"/>
        <w:rPr>
          <w:rFonts w:hint="eastAsia" w:ascii="微软雅黑" w:hAnsi="微软雅黑" w:eastAsia="微软雅黑" w:cs="微软雅黑"/>
          <w:color w:val="auto"/>
          <w:sz w:val="24"/>
          <w:szCs w:val="24"/>
          <w:highlight w:val="none"/>
          <w:lang w:val="en-US" w:eastAsia="zh-CN"/>
        </w:rPr>
      </w:pPr>
    </w:p>
    <w:p w14:paraId="038DAA0F">
      <w:pPr>
        <w:spacing w:after="60" w:afterLines="25" w:line="300" w:lineRule="auto"/>
        <w:rPr>
          <w:rFonts w:hint="eastAsia" w:ascii="微软雅黑" w:hAnsi="微软雅黑" w:eastAsia="微软雅黑" w:cs="微软雅黑"/>
          <w:b/>
          <w:color w:val="auto"/>
          <w:sz w:val="21"/>
          <w:szCs w:val="21"/>
          <w:highlight w:val="none"/>
        </w:rPr>
      </w:pPr>
    </w:p>
    <w:p w14:paraId="4E016EF1">
      <w:pPr>
        <w:spacing w:after="60" w:afterLines="25" w:line="30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rPr>
        <w:t>说明：</w:t>
      </w:r>
      <w:r>
        <w:rPr>
          <w:rFonts w:hint="eastAsia" w:ascii="微软雅黑" w:hAnsi="微软雅黑" w:eastAsia="微软雅黑" w:cs="微软雅黑"/>
          <w:color w:val="auto"/>
          <w:sz w:val="21"/>
          <w:szCs w:val="21"/>
          <w:highlight w:val="none"/>
        </w:rPr>
        <w:t>根据财库〔2017〕141号文件的规定,享受政府采购支持政策的残疾人福利性单位应当同时满足以下条件：</w:t>
      </w:r>
    </w:p>
    <w:p w14:paraId="6D107A59">
      <w:pPr>
        <w:spacing w:after="60" w:afterLines="25" w:line="30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w:t>
      </w:r>
      <w:r>
        <w:rPr>
          <w:rFonts w:hint="eastAsia" w:ascii="微软雅黑" w:hAnsi="微软雅黑" w:eastAsia="微软雅黑" w:cs="微软雅黑"/>
          <w:b/>
          <w:color w:val="auto"/>
          <w:sz w:val="21"/>
          <w:szCs w:val="21"/>
          <w:highlight w:val="none"/>
        </w:rPr>
        <w:t>安置的残疾人占本单位在职职工人数的比例不低于25%（含25%），并且安置的残疾人人数不少于10人（含10人）</w:t>
      </w:r>
      <w:r>
        <w:rPr>
          <w:rFonts w:hint="eastAsia" w:ascii="微软雅黑" w:hAnsi="微软雅黑" w:eastAsia="微软雅黑" w:cs="微软雅黑"/>
          <w:color w:val="auto"/>
          <w:sz w:val="21"/>
          <w:szCs w:val="21"/>
          <w:highlight w:val="none"/>
        </w:rPr>
        <w:t>；</w:t>
      </w:r>
    </w:p>
    <w:p w14:paraId="07FF4138">
      <w:pPr>
        <w:spacing w:after="60" w:afterLines="25" w:line="30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（二）依法与安置的每位残疾人签订了一年以上（含一年）的劳动合同或服务协议；</w:t>
      </w:r>
    </w:p>
    <w:p w14:paraId="649B6CF6">
      <w:pPr>
        <w:spacing w:after="60" w:afterLines="25" w:line="30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（三）为安置的每位残疾人按月足额缴纳了基本养老保险、基本医疗保险、失业保险、工伤保险和生育保险等社会保险费；</w:t>
      </w:r>
    </w:p>
    <w:p w14:paraId="043AC734">
      <w:pPr>
        <w:spacing w:after="60" w:afterLines="25" w:line="300" w:lineRule="auto"/>
        <w:ind w:firstLine="420" w:firstLineChars="20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（四）通过银行等金融机构向安置的每位残疾人，按月支付了不低于单位所在区县适用的经省级人民政府批准的月最低工资标准的工资；</w:t>
      </w:r>
    </w:p>
    <w:p w14:paraId="7000D12C">
      <w:pPr>
        <w:spacing w:after="60" w:afterLines="25" w:line="300" w:lineRule="auto"/>
        <w:ind w:firstLine="420" w:firstLineChars="200"/>
        <w:rPr>
          <w:rFonts w:hint="eastAsia" w:ascii="微软雅黑" w:hAnsi="微软雅黑" w:eastAsia="微软雅黑" w:cs="微软雅黑"/>
          <w:color w:val="auto"/>
          <w:sz w:val="21"/>
          <w:szCs w:val="21"/>
          <w:highlight w:val="none"/>
          <w:lang w:val="en-US" w:eastAsia="zh-CN"/>
        </w:rPr>
        <w:sectPr>
          <w:headerReference r:id="rId19" w:type="default"/>
          <w:footerReference r:id="rId20" w:type="default"/>
          <w:pgSz w:w="11907" w:h="16840"/>
          <w:pgMar w:top="1474" w:right="1253" w:bottom="1474" w:left="1194" w:header="851" w:footer="851" w:gutter="0"/>
          <w:pgNumType w:fmt="decimal"/>
          <w:cols w:space="720" w:num="1"/>
          <w:docGrid w:linePitch="462" w:charSpace="0"/>
        </w:sectPr>
      </w:pPr>
      <w:r>
        <w:rPr>
          <w:rFonts w:hint="eastAsia" w:ascii="微软雅黑" w:hAnsi="微软雅黑" w:eastAsia="微软雅黑" w:cs="微软雅黑"/>
          <w:color w:val="auto"/>
          <w:sz w:val="21"/>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235CE9">
      <w:pPr>
        <w:widowControl/>
        <w:spacing w:before="100" w:beforeAutospacing="1" w:after="100" w:afterAutospacing="1" w:line="330" w:lineRule="atLeast"/>
        <w:jc w:val="center"/>
        <w:rPr>
          <w:rFonts w:hint="eastAsia" w:ascii="微软雅黑" w:hAnsi="微软雅黑" w:eastAsia="微软雅黑" w:cs="微软雅黑"/>
          <w:b/>
          <w:color w:val="auto"/>
          <w:kern w:val="0"/>
          <w:sz w:val="28"/>
          <w:szCs w:val="28"/>
          <w:highlight w:val="none"/>
          <w:lang w:val="en-US" w:eastAsia="zh-CN" w:bidi="ar-SA"/>
        </w:rPr>
      </w:pPr>
      <w:r>
        <w:rPr>
          <w:rFonts w:hint="eastAsia" w:ascii="微软雅黑" w:hAnsi="微软雅黑" w:eastAsia="微软雅黑" w:cs="微软雅黑"/>
          <w:b/>
          <w:color w:val="auto"/>
          <w:kern w:val="0"/>
          <w:sz w:val="28"/>
          <w:szCs w:val="28"/>
          <w:highlight w:val="none"/>
          <w:lang w:val="en-US" w:eastAsia="zh-CN" w:bidi="ar-SA"/>
        </w:rPr>
        <w:t>6-3、《监狱企业声明函》</w:t>
      </w:r>
    </w:p>
    <w:p w14:paraId="055EABCD">
      <w:pPr>
        <w:snapToGrid w:val="0"/>
        <w:spacing w:line="360" w:lineRule="auto"/>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微软雅黑" w:hAnsi="微软雅黑" w:eastAsia="微软雅黑" w:cs="微软雅黑"/>
          <w:color w:val="auto"/>
          <w:kern w:val="0"/>
          <w:sz w:val="24"/>
          <w:szCs w:val="24"/>
          <w:highlight w:val="none"/>
          <w:lang w:eastAsia="zh-CN"/>
        </w:rPr>
        <w:t>监狱企业</w:t>
      </w:r>
      <w:r>
        <w:rPr>
          <w:rFonts w:hint="eastAsia" w:ascii="微软雅黑" w:hAnsi="微软雅黑" w:eastAsia="微软雅黑" w:cs="微软雅黑"/>
          <w:color w:val="auto"/>
          <w:kern w:val="0"/>
          <w:sz w:val="24"/>
          <w:szCs w:val="24"/>
          <w:highlight w:val="none"/>
        </w:rPr>
        <w:t>福利性单位，本单位参加______单位的______项目采购活动</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货物/施工/服务全部由符合政策要求的监狱企业承接。相关监狱企业的具体情况如下：</w:t>
      </w:r>
    </w:p>
    <w:p w14:paraId="78260DFC">
      <w:pPr>
        <w:spacing w:after="60" w:afterLines="25" w:line="30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bCs/>
          <w:color w:val="auto"/>
          <w:sz w:val="24"/>
          <w:szCs w:val="24"/>
          <w:highlight w:val="none"/>
          <w:u w:val="single"/>
        </w:rPr>
        <w:t>（标的名称）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承接单位</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b/>
          <w:bCs/>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b/>
          <w:bCs/>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624BCF6">
      <w:pPr>
        <w:spacing w:after="60" w:afterLines="25" w:line="30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szCs w:val="24"/>
          <w:highlight w:val="none"/>
          <w:u w:val="single"/>
        </w:rPr>
        <w:t>（标的名称）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承接单位</w:t>
      </w:r>
      <w:r>
        <w:rPr>
          <w:rFonts w:hint="eastAsia" w:ascii="微软雅黑" w:hAnsi="微软雅黑" w:eastAsia="微软雅黑" w:cs="微软雅黑"/>
          <w:color w:val="auto"/>
          <w:sz w:val="24"/>
          <w:szCs w:val="24"/>
          <w:highlight w:val="none"/>
        </w:rPr>
        <w:t>为</w:t>
      </w:r>
      <w:r>
        <w:rPr>
          <w:rFonts w:hint="eastAsia" w:ascii="微软雅黑" w:hAnsi="微软雅黑" w:eastAsia="微软雅黑" w:cs="微软雅黑"/>
          <w:b/>
          <w:bCs/>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b/>
          <w:bCs/>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56B57228">
      <w:pPr>
        <w:spacing w:after="60" w:afterLines="25" w:line="300" w:lineRule="auto"/>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3AFDC2A5">
      <w:pPr>
        <w:snapToGrid w:val="0"/>
        <w:spacing w:line="360" w:lineRule="auto"/>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14:paraId="3DA3724F">
      <w:pPr>
        <w:snapToGrid w:val="0"/>
        <w:spacing w:line="360" w:lineRule="auto"/>
        <w:jc w:val="both"/>
        <w:textAlignment w:val="baseline"/>
        <w:rPr>
          <w:rFonts w:hint="eastAsia" w:ascii="微软雅黑" w:hAnsi="微软雅黑" w:eastAsia="微软雅黑" w:cs="微软雅黑"/>
          <w:color w:val="auto"/>
          <w:kern w:val="0"/>
          <w:sz w:val="24"/>
          <w:szCs w:val="24"/>
          <w:highlight w:val="none"/>
          <w:lang w:val="en-US" w:eastAsia="zh-CN"/>
        </w:rPr>
      </w:pPr>
    </w:p>
    <w:p w14:paraId="6B985446">
      <w:pPr>
        <w:snapToGrid w:val="0"/>
        <w:spacing w:line="360" w:lineRule="auto"/>
        <w:ind w:firstLine="480" w:firstLineChars="200"/>
        <w:jc w:val="both"/>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color w:val="auto"/>
          <w:sz w:val="24"/>
          <w:szCs w:val="24"/>
          <w:highlight w:val="none"/>
        </w:rPr>
        <w:t>附：省级以上监狱管理局、戒毒管理局（含新疆生产建设兵团）出具的监狱企业证明文件。</w:t>
      </w:r>
    </w:p>
    <w:p w14:paraId="16773839">
      <w:pPr>
        <w:snapToGrid w:val="0"/>
        <w:spacing w:line="360" w:lineRule="auto"/>
        <w:ind w:left="1080" w:leftChars="257" w:hanging="540"/>
        <w:jc w:val="both"/>
        <w:textAlignment w:val="baseline"/>
        <w:rPr>
          <w:rFonts w:hint="eastAsia" w:ascii="微软雅黑" w:hAnsi="微软雅黑" w:eastAsia="微软雅黑" w:cs="微软雅黑"/>
          <w:color w:val="auto"/>
          <w:kern w:val="0"/>
          <w:sz w:val="24"/>
          <w:szCs w:val="24"/>
          <w:highlight w:val="none"/>
        </w:rPr>
      </w:pPr>
    </w:p>
    <w:p w14:paraId="28103538">
      <w:pPr>
        <w:snapToGrid w:val="0"/>
        <w:spacing w:line="360" w:lineRule="auto"/>
        <w:ind w:left="1080" w:leftChars="257" w:hanging="540"/>
        <w:jc w:val="both"/>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投标人</w:t>
      </w:r>
      <w:r>
        <w:rPr>
          <w:rFonts w:hint="eastAsia" w:ascii="微软雅黑" w:hAnsi="微软雅黑" w:eastAsia="微软雅黑" w:cs="微软雅黑"/>
          <w:color w:val="auto"/>
          <w:kern w:val="0"/>
          <w:sz w:val="24"/>
          <w:szCs w:val="24"/>
          <w:highlight w:val="none"/>
        </w:rPr>
        <w:t>（单位盖章）：________</w:t>
      </w:r>
    </w:p>
    <w:p w14:paraId="3F580D00">
      <w:pPr>
        <w:pStyle w:val="3"/>
        <w:spacing w:before="0" w:line="240" w:lineRule="atLeast"/>
        <w:ind w:left="1080" w:leftChars="257" w:hanging="540"/>
        <w:jc w:val="both"/>
        <w:rPr>
          <w:rFonts w:hint="eastAsia" w:ascii="微软雅黑" w:hAnsi="微软雅黑" w:eastAsia="微软雅黑" w:cs="微软雅黑"/>
          <w:color w:val="auto"/>
          <w:sz w:val="28"/>
          <w:szCs w:val="28"/>
          <w:highlight w:val="none"/>
          <w:lang w:val="en-US" w:eastAsia="zh-CN"/>
        </w:rPr>
        <w:sectPr>
          <w:footerReference r:id="rId21" w:type="default"/>
          <w:pgSz w:w="11906" w:h="16838"/>
          <w:pgMar w:top="1440" w:right="1080" w:bottom="1440" w:left="1080" w:header="851" w:footer="992" w:gutter="0"/>
          <w:pgNumType w:fmt="decimal"/>
          <w:cols w:space="720" w:num="1"/>
          <w:docGrid w:type="lines" w:linePitch="312" w:charSpace="0"/>
        </w:sectPr>
      </w:pPr>
      <w:bookmarkStart w:id="358" w:name="_Toc28785"/>
      <w:r>
        <w:rPr>
          <w:rFonts w:hint="eastAsia" w:ascii="微软雅黑" w:hAnsi="微软雅黑" w:eastAsia="微软雅黑" w:cs="微软雅黑"/>
          <w:b w:val="0"/>
          <w:color w:val="auto"/>
          <w:kern w:val="0"/>
          <w:sz w:val="24"/>
          <w:szCs w:val="24"/>
          <w:highlight w:val="none"/>
          <w:lang w:val="en-US" w:eastAsia="zh-CN" w:bidi="ar-SA"/>
        </w:rPr>
        <w:t>日  期：</w:t>
      </w:r>
      <w:r>
        <w:rPr>
          <w:rFonts w:hint="eastAsia" w:ascii="微软雅黑" w:hAnsi="微软雅黑" w:eastAsia="微软雅黑" w:cs="微软雅黑"/>
          <w:color w:val="auto"/>
          <w:kern w:val="0"/>
          <w:sz w:val="24"/>
          <w:szCs w:val="24"/>
          <w:highlight w:val="none"/>
        </w:rPr>
        <w:t>_______</w:t>
      </w:r>
      <w:bookmarkEnd w:id="358"/>
    </w:p>
    <w:p w14:paraId="41D517EE">
      <w:pPr>
        <w:pStyle w:val="3"/>
        <w:spacing w:before="0" w:line="240" w:lineRule="atLeas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7、</w:t>
      </w:r>
      <w:r>
        <w:rPr>
          <w:rFonts w:hint="eastAsia" w:ascii="微软雅黑" w:hAnsi="微软雅黑" w:eastAsia="微软雅黑" w:cs="微软雅黑"/>
          <w:color w:val="auto"/>
          <w:sz w:val="28"/>
          <w:szCs w:val="28"/>
          <w:highlight w:val="none"/>
        </w:rPr>
        <w:t>投标人关联单位的说明</w:t>
      </w:r>
      <w:bookmarkEnd w:id="346"/>
      <w:bookmarkEnd w:id="347"/>
      <w:bookmarkEnd w:id="348"/>
      <w:bookmarkEnd w:id="349"/>
    </w:p>
    <w:p w14:paraId="5DCAC771">
      <w:pPr>
        <w:spacing w:line="44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（采购人名称）</w:t>
      </w:r>
    </w:p>
    <w:p w14:paraId="33561D5D">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项目名称</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的申请，根据法律法规维护投标公正性的相关规定，特就本单位控股及管理关系情况申报如下，并承担申报不实的责任。</w:t>
      </w:r>
    </w:p>
    <w:tbl>
      <w:tblPr>
        <w:tblStyle w:val="38"/>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3410"/>
        <w:gridCol w:w="3244"/>
      </w:tblGrid>
      <w:tr w14:paraId="6FDE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002" w:type="dxa"/>
            <w:noWrap w:val="0"/>
            <w:vAlign w:val="center"/>
          </w:tcPr>
          <w:p w14:paraId="1C1C012D">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申报人名称</w:t>
            </w:r>
          </w:p>
        </w:tc>
        <w:tc>
          <w:tcPr>
            <w:tcW w:w="6654" w:type="dxa"/>
            <w:gridSpan w:val="2"/>
            <w:noWrap w:val="0"/>
            <w:vAlign w:val="center"/>
          </w:tcPr>
          <w:p w14:paraId="74FAC7DF">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48CD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002" w:type="dxa"/>
            <w:vMerge w:val="restart"/>
            <w:noWrap w:val="0"/>
            <w:vAlign w:val="center"/>
          </w:tcPr>
          <w:p w14:paraId="786678A0">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法定代表人/单位负责人</w:t>
            </w:r>
          </w:p>
        </w:tc>
        <w:tc>
          <w:tcPr>
            <w:tcW w:w="3410" w:type="dxa"/>
            <w:noWrap w:val="0"/>
            <w:vAlign w:val="center"/>
          </w:tcPr>
          <w:p w14:paraId="62D293E9">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p>
        </w:tc>
        <w:tc>
          <w:tcPr>
            <w:tcW w:w="3244" w:type="dxa"/>
            <w:noWrap w:val="0"/>
            <w:vAlign w:val="center"/>
          </w:tcPr>
          <w:p w14:paraId="1BD843B5">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67B4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02" w:type="dxa"/>
            <w:vMerge w:val="continue"/>
            <w:noWrap w:val="0"/>
            <w:vAlign w:val="center"/>
          </w:tcPr>
          <w:p w14:paraId="09BD2949">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c>
          <w:tcPr>
            <w:tcW w:w="3410" w:type="dxa"/>
            <w:noWrap w:val="0"/>
            <w:vAlign w:val="center"/>
          </w:tcPr>
          <w:p w14:paraId="35706782">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w:t>
            </w:r>
          </w:p>
        </w:tc>
        <w:tc>
          <w:tcPr>
            <w:tcW w:w="3244" w:type="dxa"/>
            <w:noWrap w:val="0"/>
            <w:vAlign w:val="center"/>
          </w:tcPr>
          <w:p w14:paraId="7929B5C7">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3AE5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002" w:type="dxa"/>
            <w:noWrap w:val="0"/>
            <w:vAlign w:val="center"/>
          </w:tcPr>
          <w:p w14:paraId="38391FBA">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控股股东/投资人名称</w:t>
            </w:r>
          </w:p>
          <w:p w14:paraId="47FACAE6">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及出资比例</w:t>
            </w:r>
          </w:p>
        </w:tc>
        <w:tc>
          <w:tcPr>
            <w:tcW w:w="6654" w:type="dxa"/>
            <w:gridSpan w:val="2"/>
            <w:noWrap w:val="0"/>
            <w:vAlign w:val="center"/>
          </w:tcPr>
          <w:p w14:paraId="411F27B3">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50F4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002" w:type="dxa"/>
            <w:noWrap w:val="0"/>
            <w:vAlign w:val="center"/>
          </w:tcPr>
          <w:p w14:paraId="426E9485">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非控股股东/投资人名称</w:t>
            </w:r>
          </w:p>
          <w:p w14:paraId="3268518C">
            <w:pPr>
              <w:keepNext w:val="0"/>
              <w:keepLines w:val="0"/>
              <w:suppressLineNumbers w:val="0"/>
              <w:spacing w:before="0" w:beforeAutospacing="0" w:after="0" w:afterAutospacing="0"/>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及出资比例</w:t>
            </w:r>
          </w:p>
        </w:tc>
        <w:tc>
          <w:tcPr>
            <w:tcW w:w="6654" w:type="dxa"/>
            <w:gridSpan w:val="2"/>
            <w:noWrap w:val="0"/>
            <w:vAlign w:val="center"/>
          </w:tcPr>
          <w:p w14:paraId="60578777">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4913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002" w:type="dxa"/>
            <w:vMerge w:val="restart"/>
            <w:noWrap w:val="0"/>
            <w:vAlign w:val="center"/>
          </w:tcPr>
          <w:p w14:paraId="46364FF7">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管理关系单位名称</w:t>
            </w:r>
          </w:p>
        </w:tc>
        <w:tc>
          <w:tcPr>
            <w:tcW w:w="3410" w:type="dxa"/>
            <w:noWrap w:val="0"/>
            <w:vAlign w:val="center"/>
          </w:tcPr>
          <w:p w14:paraId="4A1D0F21">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管理关系单位名称</w:t>
            </w:r>
          </w:p>
        </w:tc>
        <w:tc>
          <w:tcPr>
            <w:tcW w:w="3244" w:type="dxa"/>
            <w:noWrap w:val="0"/>
            <w:vAlign w:val="center"/>
          </w:tcPr>
          <w:p w14:paraId="7CB2C761">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0756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002" w:type="dxa"/>
            <w:vMerge w:val="continue"/>
            <w:noWrap w:val="0"/>
            <w:vAlign w:val="center"/>
          </w:tcPr>
          <w:p w14:paraId="48C5053B">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c>
          <w:tcPr>
            <w:tcW w:w="3410" w:type="dxa"/>
            <w:noWrap w:val="0"/>
            <w:vAlign w:val="center"/>
          </w:tcPr>
          <w:p w14:paraId="21EC96D1">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被管理关系单位名称</w:t>
            </w:r>
          </w:p>
        </w:tc>
        <w:tc>
          <w:tcPr>
            <w:tcW w:w="3244" w:type="dxa"/>
            <w:noWrap w:val="0"/>
            <w:vAlign w:val="center"/>
          </w:tcPr>
          <w:p w14:paraId="5AB9C5FD">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r w14:paraId="5A8C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002" w:type="dxa"/>
            <w:noWrap w:val="0"/>
            <w:vAlign w:val="center"/>
          </w:tcPr>
          <w:p w14:paraId="3F7917D1">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c>
          <w:tcPr>
            <w:tcW w:w="6654" w:type="dxa"/>
            <w:gridSpan w:val="2"/>
            <w:noWrap w:val="0"/>
            <w:vAlign w:val="center"/>
          </w:tcPr>
          <w:p w14:paraId="075846FE">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sz w:val="24"/>
                <w:szCs w:val="24"/>
                <w:highlight w:val="none"/>
              </w:rPr>
            </w:pPr>
          </w:p>
        </w:tc>
      </w:tr>
    </w:tbl>
    <w:p w14:paraId="26B22D80">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注：1.控股股东/投资人是指出资比例在50%以上，或者出资比例不足50%，但享有公司股东会/董事会控制权的投资方（含单位或者个人）；</w:t>
      </w:r>
    </w:p>
    <w:p w14:paraId="1C721C58">
      <w:pPr>
        <w:rPr>
          <w:rFonts w:hint="eastAsia" w:ascii="微软雅黑" w:hAnsi="微软雅黑" w:eastAsia="微软雅黑" w:cs="微软雅黑"/>
          <w:i/>
          <w:color w:val="auto"/>
          <w:sz w:val="24"/>
          <w:szCs w:val="24"/>
          <w:highlight w:val="none"/>
        </w:rPr>
      </w:pPr>
      <w:r>
        <w:rPr>
          <w:rFonts w:hint="eastAsia" w:ascii="微软雅黑" w:hAnsi="微软雅黑" w:eastAsia="微软雅黑" w:cs="微软雅黑"/>
          <w:color w:val="auto"/>
          <w:sz w:val="24"/>
          <w:szCs w:val="24"/>
          <w:highlight w:val="none"/>
        </w:rPr>
        <w:t xml:space="preserve">    2.管理关系单位是指与不具有出资持股关系的其他单位之间存在管理与被管理关系的单位；</w:t>
      </w:r>
      <w:r>
        <w:rPr>
          <w:rFonts w:hint="eastAsia" w:ascii="微软雅黑" w:hAnsi="微软雅黑" w:eastAsia="微软雅黑" w:cs="微软雅黑"/>
          <w:i/>
          <w:color w:val="auto"/>
          <w:sz w:val="24"/>
          <w:szCs w:val="24"/>
          <w:highlight w:val="none"/>
        </w:rPr>
        <w:t xml:space="preserve"> </w:t>
      </w:r>
    </w:p>
    <w:p w14:paraId="77C90441">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3.如未有相关情况，请在相应栏填写“无”。</w:t>
      </w:r>
    </w:p>
    <w:p w14:paraId="08B5B8DA">
      <w:pPr>
        <w:pStyle w:val="7"/>
        <w:spacing w:line="360" w:lineRule="auto"/>
        <w:ind w:left="0" w:leftChars="0" w:firstLine="480" w:firstLineChars="20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u w:val="single"/>
        </w:rPr>
        <w:t xml:space="preserve">                    </w:t>
      </w:r>
    </w:p>
    <w:p w14:paraId="69F0AA76">
      <w:pPr>
        <w:pStyle w:val="7"/>
        <w:spacing w:line="360" w:lineRule="auto"/>
        <w:ind w:left="0" w:leftChars="0" w:firstLine="480" w:firstLineChars="20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3A8A1099">
      <w:pPr>
        <w:pStyle w:val="7"/>
        <w:spacing w:line="360" w:lineRule="auto"/>
        <w:ind w:left="0" w:leftChars="0" w:firstLine="480" w:firstLineChars="2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月  日</w:t>
      </w:r>
    </w:p>
    <w:p w14:paraId="034B6E04">
      <w:pPr>
        <w:spacing w:line="240" w:lineRule="atLeast"/>
        <w:ind w:firstLine="220" w:firstLineChars="100"/>
        <w:jc w:val="center"/>
        <w:rPr>
          <w:rFonts w:hint="eastAsia" w:ascii="微软雅黑" w:hAnsi="微软雅黑" w:eastAsia="微软雅黑" w:cs="微软雅黑"/>
          <w:b/>
          <w:bCs/>
          <w:color w:val="auto"/>
          <w:sz w:val="22"/>
          <w:szCs w:val="22"/>
          <w:highlight w:val="none"/>
          <w:lang w:val="en-US" w:eastAsia="zh-CN"/>
        </w:rPr>
        <w:sectPr>
          <w:headerReference r:id="rId22" w:type="default"/>
          <w:footerReference r:id="rId23" w:type="default"/>
          <w:pgSz w:w="11906" w:h="16838"/>
          <w:pgMar w:top="1440" w:right="1080" w:bottom="1440" w:left="1080" w:header="851" w:footer="992" w:gutter="0"/>
          <w:pgNumType w:fmt="decimal"/>
          <w:cols w:space="720" w:num="1"/>
          <w:docGrid w:type="lines" w:linePitch="312" w:charSpace="0"/>
        </w:sectPr>
      </w:pPr>
    </w:p>
    <w:p w14:paraId="5BEFD298">
      <w:pPr>
        <w:spacing w:line="240" w:lineRule="atLeast"/>
        <w:ind w:firstLine="280" w:firstLineChars="100"/>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bCs/>
          <w:color w:val="auto"/>
          <w:sz w:val="28"/>
          <w:szCs w:val="28"/>
          <w:highlight w:val="none"/>
          <w:lang w:val="en-US" w:eastAsia="zh-CN"/>
        </w:rPr>
        <w:t>8、</w:t>
      </w:r>
      <w:r>
        <w:rPr>
          <w:rFonts w:hint="eastAsia" w:ascii="微软雅黑" w:hAnsi="微软雅黑" w:eastAsia="微软雅黑" w:cs="微软雅黑"/>
          <w:b/>
          <w:bCs/>
          <w:color w:val="auto"/>
          <w:sz w:val="28"/>
          <w:szCs w:val="28"/>
          <w:highlight w:val="none"/>
        </w:rPr>
        <w:t>其他有利于投标人</w:t>
      </w:r>
      <w:r>
        <w:rPr>
          <w:rFonts w:hint="eastAsia" w:ascii="微软雅黑" w:hAnsi="微软雅黑" w:eastAsia="微软雅黑" w:cs="微软雅黑"/>
          <w:b/>
          <w:bCs w:val="0"/>
          <w:color w:val="auto"/>
          <w:sz w:val="28"/>
          <w:szCs w:val="28"/>
          <w:highlight w:val="none"/>
        </w:rPr>
        <w:t>的文件或证明材料</w:t>
      </w:r>
    </w:p>
    <w:p w14:paraId="21A49185">
      <w:pPr>
        <w:pStyle w:val="7"/>
        <w:ind w:left="0" w:leftChars="0" w:firstLine="480" w:firstLineChars="200"/>
        <w:jc w:val="both"/>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val="0"/>
          <w:bCs w:val="0"/>
          <w:color w:val="auto"/>
          <w:sz w:val="24"/>
          <w:szCs w:val="24"/>
          <w:highlight w:val="none"/>
        </w:rPr>
        <w:t>参照</w:t>
      </w:r>
      <w:r>
        <w:rPr>
          <w:rFonts w:hint="eastAsia" w:ascii="微软雅黑" w:hAnsi="微软雅黑" w:eastAsia="微软雅黑" w:cs="微软雅黑"/>
          <w:b w:val="0"/>
          <w:bCs w:val="0"/>
          <w:color w:val="auto"/>
          <w:sz w:val="24"/>
          <w:szCs w:val="24"/>
          <w:highlight w:val="none"/>
          <w:lang w:eastAsia="zh-CN"/>
        </w:rPr>
        <w:t>“第五章采购需求”</w:t>
      </w:r>
      <w:r>
        <w:rPr>
          <w:rFonts w:hint="eastAsia" w:ascii="微软雅黑" w:hAnsi="微软雅黑" w:eastAsia="微软雅黑" w:cs="微软雅黑"/>
          <w:b w:val="0"/>
          <w:bCs w:val="0"/>
          <w:color w:val="auto"/>
          <w:sz w:val="24"/>
          <w:szCs w:val="24"/>
          <w:highlight w:val="none"/>
        </w:rPr>
        <w:t>“第六章评分方法和标准”，提供有</w:t>
      </w:r>
      <w:r>
        <w:rPr>
          <w:rFonts w:hint="eastAsia" w:ascii="微软雅黑" w:hAnsi="微软雅黑" w:eastAsia="微软雅黑" w:cs="微软雅黑"/>
          <w:b w:val="0"/>
          <w:bCs w:val="0"/>
          <w:color w:val="auto"/>
          <w:sz w:val="24"/>
          <w:szCs w:val="24"/>
          <w:highlight w:val="none"/>
          <w:lang w:eastAsia="zh-CN"/>
        </w:rPr>
        <w:t>利</w:t>
      </w:r>
      <w:r>
        <w:rPr>
          <w:rFonts w:hint="eastAsia" w:ascii="微软雅黑" w:hAnsi="微软雅黑" w:eastAsia="微软雅黑" w:cs="微软雅黑"/>
          <w:b w:val="0"/>
          <w:bCs w:val="0"/>
          <w:color w:val="auto"/>
          <w:sz w:val="24"/>
          <w:szCs w:val="24"/>
          <w:highlight w:val="none"/>
        </w:rPr>
        <w:t>于投标人的其他证明文件。</w:t>
      </w:r>
    </w:p>
    <w:p w14:paraId="0579E185">
      <w:pPr>
        <w:pStyle w:val="7"/>
        <w:rPr>
          <w:rFonts w:hint="eastAsia" w:ascii="微软雅黑" w:hAnsi="微软雅黑" w:eastAsia="微软雅黑" w:cs="微软雅黑"/>
          <w:color w:val="auto"/>
          <w:sz w:val="28"/>
          <w:szCs w:val="28"/>
          <w:highlight w:val="none"/>
        </w:rPr>
      </w:pPr>
    </w:p>
    <w:p w14:paraId="4F544533">
      <w:pPr>
        <w:pStyle w:val="7"/>
        <w:rPr>
          <w:rFonts w:hint="eastAsia" w:ascii="微软雅黑" w:hAnsi="微软雅黑" w:eastAsia="微软雅黑" w:cs="微软雅黑"/>
          <w:color w:val="auto"/>
          <w:sz w:val="28"/>
          <w:szCs w:val="28"/>
          <w:highlight w:val="none"/>
        </w:rPr>
      </w:pPr>
    </w:p>
    <w:p w14:paraId="7F391201">
      <w:pPr>
        <w:adjustRightInd w:val="0"/>
        <w:snapToGrid w:val="0"/>
        <w:spacing w:line="360" w:lineRule="auto"/>
        <w:jc w:val="left"/>
        <w:rPr>
          <w:rFonts w:hint="eastAsia" w:ascii="微软雅黑" w:hAnsi="微软雅黑" w:eastAsia="微软雅黑" w:cs="微软雅黑"/>
          <w:color w:val="auto"/>
          <w:sz w:val="28"/>
          <w:szCs w:val="28"/>
          <w:highlight w:val="none"/>
          <w:lang w:val="en-US" w:eastAsia="zh-CN"/>
        </w:rPr>
        <w:sectPr>
          <w:pgSz w:w="11906" w:h="16838"/>
          <w:pgMar w:top="1440" w:right="1080" w:bottom="1440" w:left="1080" w:header="851" w:footer="992" w:gutter="0"/>
          <w:pgNumType w:fmt="decimal"/>
          <w:cols w:space="720" w:num="1"/>
          <w:docGrid w:type="lines" w:linePitch="312" w:charSpace="0"/>
        </w:sectPr>
      </w:pPr>
    </w:p>
    <w:p w14:paraId="394098B0">
      <w:pPr>
        <w:pStyle w:val="3"/>
        <w:spacing w:before="0" w:line="240" w:lineRule="atLeast"/>
        <w:ind w:left="1080" w:leftChars="257" w:hanging="540"/>
        <w:rPr>
          <w:rFonts w:hint="eastAsia" w:ascii="微软雅黑" w:hAnsi="微软雅黑" w:eastAsia="微软雅黑" w:cs="微软雅黑"/>
          <w:b/>
          <w:bCs/>
          <w:color w:val="auto"/>
          <w:kern w:val="2"/>
          <w:sz w:val="28"/>
          <w:szCs w:val="28"/>
          <w:highlight w:val="none"/>
          <w:lang w:val="en-US" w:eastAsia="zh-CN" w:bidi="ar-SA"/>
        </w:rPr>
      </w:pPr>
      <w:bookmarkStart w:id="359" w:name="_Toc20588"/>
      <w:bookmarkStart w:id="360" w:name="_Toc17047"/>
      <w:bookmarkStart w:id="361" w:name="_Toc22149"/>
      <w:r>
        <w:rPr>
          <w:rFonts w:hint="eastAsia" w:ascii="微软雅黑" w:hAnsi="微软雅黑" w:eastAsia="微软雅黑" w:cs="微软雅黑"/>
          <w:b/>
          <w:bCs w:val="0"/>
          <w:color w:val="auto"/>
          <w:kern w:val="2"/>
          <w:sz w:val="28"/>
          <w:szCs w:val="28"/>
          <w:highlight w:val="none"/>
          <w:lang w:val="en-US" w:eastAsia="zh-CN" w:bidi="ar-SA"/>
        </w:rPr>
        <w:t>9、关于对本投标文件中资料真实性的承诺</w:t>
      </w:r>
      <w:bookmarkEnd w:id="359"/>
      <w:bookmarkEnd w:id="360"/>
      <w:bookmarkEnd w:id="361"/>
    </w:p>
    <w:p w14:paraId="68D14056">
      <w:pPr>
        <w:adjustRightInd w:val="0"/>
        <w:snapToGrid w:val="0"/>
        <w:ind w:left="-88" w:leftChars="-42" w:firstLine="280" w:firstLineChars="100"/>
        <w:jc w:val="center"/>
        <w:rPr>
          <w:rFonts w:hint="eastAsia" w:ascii="微软雅黑" w:hAnsi="微软雅黑" w:eastAsia="微软雅黑" w:cs="微软雅黑"/>
          <w:b/>
          <w:bCs w:val="0"/>
          <w:color w:val="auto"/>
          <w:sz w:val="28"/>
          <w:szCs w:val="28"/>
          <w:highlight w:val="none"/>
        </w:rPr>
      </w:pPr>
    </w:p>
    <w:p w14:paraId="1752F14F">
      <w:pPr>
        <w:spacing w:line="360" w:lineRule="auto"/>
        <w:rPr>
          <w:rFonts w:hint="eastAsia" w:ascii="微软雅黑" w:hAnsi="微软雅黑" w:eastAsia="微软雅黑" w:cs="微软雅黑"/>
          <w:b/>
          <w:color w:val="auto"/>
          <w:sz w:val="24"/>
          <w:szCs w:val="24"/>
          <w:highlight w:val="none"/>
          <w:u w:val="single"/>
          <w:lang w:val="en-US" w:eastAsia="zh-CN"/>
        </w:rPr>
      </w:pPr>
      <w:r>
        <w:rPr>
          <w:rFonts w:hint="eastAsia" w:ascii="微软雅黑" w:hAnsi="微软雅黑" w:eastAsia="微软雅黑" w:cs="微软雅黑"/>
          <w:b/>
          <w:color w:val="auto"/>
          <w:sz w:val="24"/>
          <w:szCs w:val="24"/>
          <w:highlight w:val="none"/>
          <w:lang w:eastAsia="zh-CN"/>
        </w:rPr>
        <w:t>致</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u w:val="single"/>
          <w:lang w:val="en-US" w:eastAsia="zh-CN"/>
        </w:rPr>
        <w:t xml:space="preserve"> </w:t>
      </w:r>
    </w:p>
    <w:p w14:paraId="78F622EC">
      <w:pPr>
        <w:spacing w:line="360" w:lineRule="auto"/>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根据《中华人民共和国政府采购法》、《中华人民共和国政府采购法实施</w:t>
      </w:r>
      <w:r>
        <w:rPr>
          <w:rFonts w:hint="eastAsia" w:ascii="微软雅黑" w:hAnsi="微软雅黑" w:eastAsia="微软雅黑" w:cs="微软雅黑"/>
          <w:color w:val="auto"/>
          <w:sz w:val="24"/>
          <w:szCs w:val="24"/>
          <w:highlight w:val="none"/>
        </w:rPr>
        <w:t>条例》等有关法律、法规的规定和</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标项</w:t>
      </w:r>
      <w:r>
        <w:rPr>
          <w:rFonts w:hint="eastAsia" w:ascii="微软雅黑" w:hAnsi="微软雅黑" w:eastAsia="微软雅黑" w:cs="微软雅黑"/>
          <w:color w:val="auto"/>
          <w:sz w:val="24"/>
          <w:szCs w:val="24"/>
          <w:highlight w:val="none"/>
          <w:u w:val="single"/>
          <w:lang w:eastAsia="zh-CN"/>
        </w:rPr>
        <w:t>名称</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的招标文件的要求，我公司在</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标项</w:t>
      </w:r>
      <w:r>
        <w:rPr>
          <w:rFonts w:hint="eastAsia" w:ascii="微软雅黑" w:hAnsi="微软雅黑" w:eastAsia="微软雅黑" w:cs="微软雅黑"/>
          <w:color w:val="auto"/>
          <w:sz w:val="24"/>
          <w:szCs w:val="24"/>
          <w:highlight w:val="none"/>
          <w:u w:val="single"/>
          <w:lang w:eastAsia="zh-CN"/>
        </w:rPr>
        <w:t>名称</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投标文件中所提供资料真实性作如下承诺：</w:t>
      </w:r>
    </w:p>
    <w:p w14:paraId="0E633CF9">
      <w:pPr>
        <w:spacing w:line="360" w:lineRule="auto"/>
        <w:ind w:firstLine="720" w:firstLineChars="3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我方所提供的有关本项目的任何资料，可经得起任何查实，保证所有资料的真实性、准确性，不存在弄虚作假现象。无论我方中标与否，若经查实存在弄虚作假现象，愿接受招标人做出的取消投标资格、中标资格、没收投标保证金、履约保证金等的决定，同时愿意接受有关行业主管部门作出的其他处罚决定。</w:t>
      </w:r>
    </w:p>
    <w:p w14:paraId="3E6FA438">
      <w:pPr>
        <w:spacing w:line="360" w:lineRule="auto"/>
        <w:ind w:firstLine="720" w:firstLineChars="300"/>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rPr>
        <w:t>特此承诺</w:t>
      </w:r>
      <w:r>
        <w:rPr>
          <w:rFonts w:hint="eastAsia" w:ascii="微软雅黑" w:hAnsi="微软雅黑" w:eastAsia="微软雅黑" w:cs="微软雅黑"/>
          <w:b/>
          <w:color w:val="auto"/>
          <w:sz w:val="24"/>
          <w:szCs w:val="24"/>
          <w:highlight w:val="none"/>
          <w:lang w:eastAsia="zh-CN"/>
        </w:rPr>
        <w:t>！</w:t>
      </w:r>
    </w:p>
    <w:p w14:paraId="0056370E">
      <w:pPr>
        <w:spacing w:line="360" w:lineRule="auto"/>
        <w:ind w:firstLine="720" w:firstLineChars="3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 xml:space="preserve">    </w:t>
      </w:r>
    </w:p>
    <w:p w14:paraId="4F912EA4">
      <w:pPr>
        <w:pStyle w:val="7"/>
        <w:spacing w:line="360" w:lineRule="auto"/>
        <w:ind w:left="0" w:leftChars="0" w:firstLine="480" w:firstLineChars="20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投标人名称（单位盖章）:</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u w:val="single"/>
        </w:rPr>
        <w:t xml:space="preserve">                    </w:t>
      </w:r>
    </w:p>
    <w:p w14:paraId="32A3F8C6">
      <w:pPr>
        <w:pStyle w:val="7"/>
        <w:spacing w:line="360" w:lineRule="auto"/>
        <w:ind w:left="0" w:leftChars="0" w:firstLine="480" w:firstLineChars="200"/>
        <w:jc w:val="both"/>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法定代表人或委托代理(签字或盖章):</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637D6B14">
      <w:pPr>
        <w:pStyle w:val="7"/>
        <w:spacing w:line="360" w:lineRule="auto"/>
        <w:ind w:left="0" w:leftChars="0" w:firstLine="480" w:firstLineChars="200"/>
        <w:jc w:val="both"/>
        <w:rPr>
          <w:rFonts w:hint="eastAsia" w:ascii="微软雅黑 Light" w:hAnsi="微软雅黑 Light" w:eastAsia="微软雅黑 Light" w:cs="微软雅黑 Light"/>
          <w:color w:val="auto"/>
          <w:sz w:val="22"/>
          <w:szCs w:val="22"/>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年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月 日</w:t>
      </w:r>
    </w:p>
    <w:p w14:paraId="37D5FCD5">
      <w:pPr>
        <w:pStyle w:val="7"/>
        <w:rPr>
          <w:rFonts w:hint="eastAsia" w:ascii="微软雅黑 Light" w:hAnsi="微软雅黑 Light" w:eastAsia="微软雅黑 Light" w:cs="微软雅黑 Light"/>
          <w:color w:val="auto"/>
          <w:sz w:val="24"/>
          <w:szCs w:val="24"/>
          <w:highlight w:val="none"/>
          <w:lang w:val="en-US" w:eastAsia="zh-CN"/>
        </w:rPr>
        <w:sectPr>
          <w:headerReference r:id="rId24" w:type="default"/>
          <w:pgSz w:w="11907" w:h="16840"/>
          <w:pgMar w:top="1474" w:right="1253" w:bottom="1474" w:left="1194" w:header="851" w:footer="851" w:gutter="0"/>
          <w:pgNumType w:fmt="decimal"/>
          <w:cols w:space="720" w:num="1"/>
          <w:docGrid w:linePitch="462" w:charSpace="0"/>
        </w:sectPr>
      </w:pPr>
    </w:p>
    <w:p w14:paraId="31273D92">
      <w:pPr>
        <w:pStyle w:val="27"/>
        <w:spacing w:line="360" w:lineRule="auto"/>
        <w:jc w:val="both"/>
        <w:rPr>
          <w:rFonts w:hint="eastAsia" w:ascii="方正小标宋简体" w:hAnsi="方正小标宋简体" w:eastAsia="方正小标宋简体" w:cs="方正小标宋简体"/>
          <w:b/>
          <w:color w:val="auto"/>
          <w:kern w:val="2"/>
          <w:sz w:val="44"/>
          <w:szCs w:val="44"/>
          <w:highlight w:val="none"/>
          <w:lang w:val="en-US" w:eastAsia="zh-CN" w:bidi="ar-SA"/>
        </w:rPr>
      </w:pPr>
      <w:bookmarkStart w:id="362" w:name="_Toc507399902"/>
      <w:bookmarkStart w:id="363" w:name="_Toc216582822"/>
      <w:bookmarkStart w:id="364" w:name="_Toc219175634"/>
      <w:bookmarkStart w:id="365" w:name="_Toc518923124"/>
      <w:bookmarkStart w:id="366" w:name="_Toc218935350"/>
    </w:p>
    <w:p w14:paraId="3B6D93A3">
      <w:pPr>
        <w:pStyle w:val="27"/>
        <w:spacing w:line="360" w:lineRule="auto"/>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喀什市思政教育一体化项目(村级带头人及后备力量赴内地开展跟班锻炼)</w:t>
      </w:r>
    </w:p>
    <w:p w14:paraId="41C3EE6C">
      <w:pPr>
        <w:pStyle w:val="27"/>
        <w:spacing w:line="360" w:lineRule="auto"/>
        <w:jc w:val="center"/>
        <w:rPr>
          <w:rFonts w:hint="eastAsia" w:ascii="微软雅黑" w:hAnsi="微软雅黑" w:eastAsia="微软雅黑" w:cs="微软雅黑"/>
          <w:color w:val="auto"/>
          <w:sz w:val="16"/>
          <w:szCs w:val="22"/>
          <w:highlight w:val="none"/>
        </w:rPr>
      </w:pPr>
    </w:p>
    <w:p w14:paraId="2611128D">
      <w:pPr>
        <w:spacing w:line="240" w:lineRule="atLeast"/>
        <w:jc w:val="both"/>
        <w:rPr>
          <w:rFonts w:hint="eastAsia" w:ascii="微软雅黑" w:hAnsi="微软雅黑" w:eastAsia="微软雅黑" w:cs="微软雅黑"/>
          <w:b/>
          <w:color w:val="auto"/>
          <w:kern w:val="2"/>
          <w:sz w:val="44"/>
          <w:szCs w:val="44"/>
          <w:highlight w:val="none"/>
          <w:lang w:val="en-US" w:eastAsia="zh-CN" w:bidi="ar-SA"/>
        </w:rPr>
      </w:pPr>
    </w:p>
    <w:p w14:paraId="549A0AC9">
      <w:pPr>
        <w:spacing w:line="240" w:lineRule="atLeast"/>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招标文件</w:t>
      </w:r>
    </w:p>
    <w:p w14:paraId="37DCF320">
      <w:pPr>
        <w:spacing w:line="240" w:lineRule="atLeast"/>
        <w:jc w:val="both"/>
        <w:rPr>
          <w:rFonts w:hint="eastAsia" w:ascii="微软雅黑" w:hAnsi="微软雅黑" w:eastAsia="微软雅黑" w:cs="微软雅黑"/>
          <w:b/>
          <w:bCs/>
          <w:color w:val="auto"/>
          <w:kern w:val="0"/>
          <w:sz w:val="28"/>
          <w:szCs w:val="28"/>
          <w:highlight w:val="none"/>
          <w:shd w:val="clear" w:color="auto" w:fill="FFFFFF"/>
          <w:lang w:eastAsia="zh-CN"/>
        </w:rPr>
      </w:pPr>
    </w:p>
    <w:p w14:paraId="1B17A8C7">
      <w:pPr>
        <w:spacing w:line="240" w:lineRule="atLeast"/>
        <w:jc w:val="center"/>
        <w:rPr>
          <w:rFonts w:hint="eastAsia" w:ascii="微软雅黑" w:hAnsi="微软雅黑" w:eastAsia="微软雅黑" w:cs="微软雅黑"/>
          <w:b/>
          <w:bCs/>
          <w:color w:val="0000FF"/>
          <w:kern w:val="0"/>
          <w:sz w:val="32"/>
          <w:szCs w:val="32"/>
          <w:highlight w:val="none"/>
          <w:shd w:val="clear" w:color="auto" w:fill="FFFFFF"/>
          <w:lang w:val="en-US" w:eastAsia="zh-CN"/>
        </w:rPr>
      </w:pPr>
      <w:r>
        <w:rPr>
          <w:rFonts w:hint="eastAsia" w:ascii="微软雅黑" w:hAnsi="微软雅黑" w:eastAsia="微软雅黑" w:cs="微软雅黑"/>
          <w:b/>
          <w:bCs/>
          <w:color w:val="auto"/>
          <w:kern w:val="0"/>
          <w:sz w:val="28"/>
          <w:szCs w:val="28"/>
          <w:highlight w:val="none"/>
          <w:shd w:val="clear" w:color="auto" w:fill="FFFFFF"/>
          <w:lang w:eastAsia="zh-CN"/>
        </w:rPr>
        <w:t>项目编号：</w:t>
      </w:r>
      <w:r>
        <w:rPr>
          <w:rFonts w:hint="eastAsia" w:ascii="微软雅黑" w:hAnsi="微软雅黑" w:eastAsia="微软雅黑" w:cs="微软雅黑"/>
          <w:b/>
          <w:bCs/>
          <w:color w:val="000000" w:themeColor="text1"/>
          <w:kern w:val="0"/>
          <w:sz w:val="28"/>
          <w:szCs w:val="28"/>
          <w:highlight w:val="none"/>
          <w:shd w:val="clear" w:color="auto" w:fill="FFFFFF"/>
          <w:lang w:val="en-US" w:eastAsia="zh-CN"/>
          <w14:textFill>
            <w14:solidFill>
              <w14:schemeClr w14:val="tx1"/>
            </w14:solidFill>
          </w14:textFill>
        </w:rPr>
        <w:t>XJXZJCG2026-001</w:t>
      </w:r>
    </w:p>
    <w:p w14:paraId="3F3593A0">
      <w:pPr>
        <w:spacing w:line="240" w:lineRule="atLeast"/>
        <w:jc w:val="center"/>
        <w:rPr>
          <w:rFonts w:hint="eastAsia" w:ascii="微软雅黑" w:hAnsi="微软雅黑" w:eastAsia="微软雅黑" w:cs="微软雅黑"/>
          <w:b/>
          <w:bCs/>
          <w:color w:val="auto"/>
          <w:kern w:val="0"/>
          <w:sz w:val="28"/>
          <w:szCs w:val="28"/>
          <w:highlight w:val="yellow"/>
          <w:shd w:val="clear" w:color="auto" w:fill="FFFFFF"/>
          <w:lang w:val="en-US" w:eastAsia="zh-CN"/>
        </w:rPr>
      </w:pPr>
    </w:p>
    <w:p w14:paraId="62E655B9">
      <w:pPr>
        <w:rPr>
          <w:rFonts w:hint="eastAsia" w:ascii="微软雅黑" w:hAnsi="微软雅黑" w:eastAsia="微软雅黑" w:cs="微软雅黑"/>
          <w:color w:val="auto"/>
          <w:sz w:val="20"/>
          <w:szCs w:val="22"/>
          <w:highlight w:val="none"/>
        </w:rPr>
      </w:pPr>
    </w:p>
    <w:p w14:paraId="3126F57F">
      <w:pPr>
        <w:pStyle w:val="7"/>
        <w:rPr>
          <w:rFonts w:hint="eastAsia" w:ascii="微软雅黑" w:hAnsi="微软雅黑" w:eastAsia="微软雅黑" w:cs="微软雅黑"/>
          <w:color w:val="auto"/>
          <w:sz w:val="22"/>
          <w:szCs w:val="18"/>
          <w:highlight w:val="none"/>
        </w:rPr>
      </w:pPr>
    </w:p>
    <w:p w14:paraId="66AF8BB2">
      <w:pPr>
        <w:pStyle w:val="7"/>
        <w:rPr>
          <w:rFonts w:hint="eastAsia" w:ascii="微软雅黑" w:hAnsi="微软雅黑" w:eastAsia="微软雅黑" w:cs="微软雅黑"/>
          <w:color w:val="auto"/>
          <w:sz w:val="22"/>
          <w:szCs w:val="18"/>
          <w:highlight w:val="none"/>
        </w:rPr>
      </w:pPr>
    </w:p>
    <w:p w14:paraId="4CF5AD8C">
      <w:pPr>
        <w:spacing w:line="240" w:lineRule="atLeast"/>
        <w:jc w:val="center"/>
        <w:rPr>
          <w:rFonts w:hint="eastAsia" w:ascii="微软雅黑" w:hAnsi="微软雅黑" w:eastAsia="微软雅黑" w:cs="微软雅黑"/>
          <w:b/>
          <w:color w:val="auto"/>
          <w:kern w:val="2"/>
          <w:sz w:val="48"/>
          <w:szCs w:val="48"/>
          <w:highlight w:val="none"/>
          <w:lang w:val="en-US" w:eastAsia="zh-CN" w:bidi="ar-SA"/>
        </w:rPr>
        <w:sectPr>
          <w:headerReference r:id="rId25" w:type="default"/>
          <w:footerReference r:id="rId26" w:type="default"/>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b/>
          <w:color w:val="auto"/>
          <w:kern w:val="2"/>
          <w:sz w:val="44"/>
          <w:szCs w:val="44"/>
          <w:highlight w:val="none"/>
          <w:lang w:val="en-US" w:eastAsia="zh-CN" w:bidi="ar-SA"/>
        </w:rPr>
        <w:t>第二册</w:t>
      </w:r>
    </w:p>
    <w:p w14:paraId="3FE8D7D3">
      <w:pPr>
        <w:pStyle w:val="2"/>
        <w:numPr>
          <w:ilvl w:val="0"/>
          <w:numId w:val="0"/>
        </w:numPr>
        <w:tabs>
          <w:tab w:val="left" w:pos="0"/>
        </w:tabs>
        <w:spacing w:before="0" w:after="0" w:line="240" w:lineRule="atLeast"/>
        <w:ind w:leftChars="0"/>
        <w:jc w:val="center"/>
        <w:rPr>
          <w:rFonts w:hint="eastAsia" w:ascii="微软雅黑" w:hAnsi="微软雅黑" w:eastAsia="微软雅黑" w:cs="微软雅黑"/>
          <w:b/>
          <w:bCs w:val="0"/>
          <w:color w:val="auto"/>
          <w:sz w:val="28"/>
          <w:szCs w:val="28"/>
          <w:highlight w:val="none"/>
          <w:lang w:eastAsia="zh-CN"/>
        </w:rPr>
      </w:pPr>
      <w:bookmarkStart w:id="367" w:name="_Toc3181"/>
      <w:bookmarkStart w:id="368" w:name="_Toc6846"/>
      <w:r>
        <w:rPr>
          <w:rFonts w:hint="eastAsia" w:ascii="微软雅黑" w:hAnsi="微软雅黑" w:eastAsia="微软雅黑" w:cs="微软雅黑"/>
          <w:b/>
          <w:bCs w:val="0"/>
          <w:color w:val="auto"/>
          <w:sz w:val="32"/>
          <w:szCs w:val="32"/>
          <w:highlight w:val="none"/>
          <w:lang w:val="en-US" w:eastAsia="zh-CN"/>
        </w:rPr>
        <w:t xml:space="preserve">第3章 </w:t>
      </w:r>
      <w:bookmarkEnd w:id="362"/>
      <w:bookmarkEnd w:id="363"/>
      <w:bookmarkEnd w:id="364"/>
      <w:bookmarkEnd w:id="365"/>
      <w:bookmarkEnd w:id="366"/>
      <w:bookmarkEnd w:id="367"/>
      <w:r>
        <w:rPr>
          <w:rFonts w:hint="eastAsia" w:ascii="微软雅黑" w:hAnsi="微软雅黑" w:eastAsia="微软雅黑" w:cs="微软雅黑"/>
          <w:b/>
          <w:bCs w:val="0"/>
          <w:color w:val="auto"/>
          <w:sz w:val="32"/>
          <w:szCs w:val="32"/>
          <w:highlight w:val="none"/>
          <w:lang w:eastAsia="zh-CN"/>
        </w:rPr>
        <w:t>招标公告</w:t>
      </w:r>
      <w:bookmarkEnd w:id="368"/>
    </w:p>
    <w:p w14:paraId="1E584DBD">
      <w:pPr>
        <w:pStyle w:val="2"/>
        <w:pageBreakBefore w:val="0"/>
        <w:tabs>
          <w:tab w:val="left" w:pos="0"/>
          <w:tab w:val="left" w:pos="3165"/>
          <w:tab w:val="center" w:pos="4153"/>
        </w:tabs>
        <w:kinsoku/>
        <w:wordWrap/>
        <w:overflowPunct/>
        <w:topLinePunct w:val="0"/>
        <w:bidi w:val="0"/>
        <w:adjustRightInd w:val="0"/>
        <w:snapToGrid w:val="0"/>
        <w:spacing w:before="0" w:after="0" w:line="240" w:lineRule="auto"/>
        <w:textAlignment w:val="auto"/>
        <w:rPr>
          <w:rFonts w:hint="eastAsia" w:ascii="微软雅黑" w:hAnsi="微软雅黑" w:eastAsia="微软雅黑" w:cs="微软雅黑"/>
          <w:color w:val="auto"/>
          <w:sz w:val="28"/>
          <w:szCs w:val="28"/>
          <w:highlight w:val="none"/>
          <w:lang w:eastAsia="zh-CN"/>
        </w:rPr>
      </w:pPr>
      <w:bookmarkStart w:id="369" w:name="_Toc12456"/>
      <w:bookmarkStart w:id="370" w:name="_Toc512937850"/>
      <w:bookmarkStart w:id="371" w:name="_Toc216582823"/>
      <w:bookmarkStart w:id="372" w:name="_Toc518923125"/>
      <w:bookmarkStart w:id="373" w:name="_Toc507399903"/>
      <w:r>
        <w:rPr>
          <w:rFonts w:hint="eastAsia" w:ascii="微软雅黑" w:hAnsi="微软雅黑" w:eastAsia="微软雅黑" w:cs="微软雅黑"/>
          <w:b/>
          <w:bCs w:val="0"/>
          <w:color w:val="auto"/>
          <w:sz w:val="28"/>
          <w:szCs w:val="28"/>
          <w:highlight w:val="none"/>
          <w:lang w:eastAsia="zh-CN"/>
        </w:rPr>
        <w:t>喀什市思政教育一体化项目(村级带头人及后备力量赴内地开展跟班锻炼)的公开招标公告</w:t>
      </w:r>
      <w:bookmarkEnd w:id="369"/>
    </w:p>
    <w:p w14:paraId="20D3CF1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288"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6FB896E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288" w:lineRule="auto"/>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喀什市思政教育一体化项目(村级带头人及后备力量赴内地开展跟班锻炼)</w:t>
      </w:r>
      <w:r>
        <w:rPr>
          <w:rFonts w:hint="eastAsia" w:ascii="微软雅黑" w:hAnsi="微软雅黑" w:eastAsia="微软雅黑" w:cs="微软雅黑"/>
          <w:color w:val="auto"/>
          <w:sz w:val="24"/>
          <w:szCs w:val="24"/>
          <w:highlight w:val="none"/>
        </w:rPr>
        <w:t>的潜在投标人应在</w:t>
      </w:r>
      <w:r>
        <w:rPr>
          <w:rFonts w:hint="eastAsia" w:ascii="微软雅黑" w:hAnsi="微软雅黑" w:eastAsia="微软雅黑" w:cs="微软雅黑"/>
          <w:color w:val="auto"/>
          <w:sz w:val="24"/>
          <w:szCs w:val="24"/>
          <w:highlight w:val="none"/>
          <w:u w:val="single"/>
          <w:lang w:val="en-US" w:eastAsia="zh-CN"/>
        </w:rPr>
        <w:t xml:space="preserve"> 政采云平台 </w:t>
      </w:r>
      <w:r>
        <w:rPr>
          <w:rFonts w:hint="eastAsia" w:ascii="微软雅黑" w:hAnsi="微软雅黑" w:eastAsia="微软雅黑" w:cs="微软雅黑"/>
          <w:color w:val="auto"/>
          <w:sz w:val="24"/>
          <w:szCs w:val="24"/>
          <w:highlight w:val="none"/>
        </w:rPr>
        <w:t>获取</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，并于</w:t>
      </w:r>
      <w:r>
        <w:rPr>
          <w:rFonts w:hint="eastAsia" w:ascii="微软雅黑" w:hAnsi="微软雅黑" w:eastAsia="微软雅黑" w:cs="微软雅黑"/>
          <w:bCs/>
          <w:color w:val="auto"/>
          <w:sz w:val="24"/>
          <w:szCs w:val="24"/>
          <w:highlight w:val="none"/>
          <w:u w:val="single"/>
          <w:lang w:eastAsia="zh-CN"/>
        </w:rPr>
        <w:t>2026年05月13日</w:t>
      </w:r>
      <w:r>
        <w:rPr>
          <w:rFonts w:hint="eastAsia" w:ascii="微软雅黑" w:hAnsi="微软雅黑" w:eastAsia="微软雅黑" w:cs="微软雅黑"/>
          <w:bCs/>
          <w:color w:val="auto"/>
          <w:sz w:val="24"/>
          <w:szCs w:val="24"/>
          <w:highlight w:val="none"/>
          <w:u w:val="single"/>
          <w:lang w:val="en-US" w:eastAsia="zh-CN"/>
        </w:rPr>
        <w:t>11</w:t>
      </w:r>
      <w:r>
        <w:rPr>
          <w:rFonts w:hint="eastAsia" w:ascii="微软雅黑" w:hAnsi="微软雅黑" w:eastAsia="微软雅黑" w:cs="微软雅黑"/>
          <w:bCs/>
          <w:color w:val="auto"/>
          <w:sz w:val="24"/>
          <w:szCs w:val="24"/>
          <w:highlight w:val="none"/>
          <w:u w:val="single"/>
          <w:lang w:eastAsia="zh-CN"/>
        </w:rPr>
        <w:t>：</w:t>
      </w:r>
      <w:r>
        <w:rPr>
          <w:rFonts w:hint="eastAsia" w:ascii="微软雅黑" w:hAnsi="微软雅黑" w:eastAsia="微软雅黑" w:cs="微软雅黑"/>
          <w:bCs/>
          <w:color w:val="auto"/>
          <w:sz w:val="24"/>
          <w:szCs w:val="24"/>
          <w:highlight w:val="none"/>
          <w:u w:val="single"/>
          <w:lang w:val="en-US" w:eastAsia="zh-CN"/>
        </w:rPr>
        <w:t>0</w:t>
      </w:r>
      <w:r>
        <w:rPr>
          <w:rFonts w:hint="eastAsia" w:ascii="微软雅黑" w:hAnsi="微软雅黑" w:eastAsia="微软雅黑" w:cs="微软雅黑"/>
          <w:bCs/>
          <w:color w:val="auto"/>
          <w:sz w:val="24"/>
          <w:szCs w:val="24"/>
          <w:highlight w:val="none"/>
          <w:u w:val="single"/>
        </w:rPr>
        <w:t>0（北京时间）</w:t>
      </w:r>
      <w:bookmarkStart w:id="374" w:name="_Toc35393621"/>
      <w:bookmarkStart w:id="375" w:name="_Toc28359002"/>
      <w:bookmarkStart w:id="376" w:name="_Toc35393790"/>
      <w:bookmarkStart w:id="377" w:name="_Toc28217"/>
      <w:bookmarkStart w:id="378" w:name="_Toc28359079"/>
      <w:bookmarkStart w:id="379" w:name="_Toc522"/>
      <w:bookmarkStart w:id="380" w:name="_Hlk24379207"/>
      <w:r>
        <w:rPr>
          <w:rFonts w:hint="eastAsia" w:ascii="微软雅黑" w:hAnsi="微软雅黑" w:eastAsia="微软雅黑" w:cs="微软雅黑"/>
          <w:bCs/>
          <w:color w:val="auto"/>
          <w:sz w:val="24"/>
          <w:szCs w:val="24"/>
          <w:highlight w:val="none"/>
        </w:rPr>
        <w:t>前递交投标文件。</w:t>
      </w:r>
      <w:r>
        <w:rPr>
          <w:rFonts w:hint="eastAsia" w:ascii="微软雅黑" w:hAnsi="微软雅黑" w:eastAsia="微软雅黑" w:cs="微软雅黑"/>
          <w:color w:val="auto"/>
          <w:sz w:val="24"/>
          <w:szCs w:val="24"/>
          <w:highlight w:val="none"/>
          <w:lang w:val="en-US" w:eastAsia="zh-CN"/>
        </w:rPr>
        <w:t xml:space="preserve"> </w:t>
      </w:r>
    </w:p>
    <w:p w14:paraId="3B42785E">
      <w:pPr>
        <w:pStyle w:val="3"/>
        <w:pageBreakBefore w:val="0"/>
        <w:widowControl w:val="0"/>
        <w:kinsoku/>
        <w:wordWrap/>
        <w:overflowPunct/>
        <w:topLinePunct w:val="0"/>
        <w:bidi w:val="0"/>
        <w:adjustRightInd w:val="0"/>
        <w:snapToGrid w:val="0"/>
        <w:spacing w:before="0" w:line="480" w:lineRule="exact"/>
        <w:ind w:left="0" w:leftChars="0" w:firstLine="480" w:firstLineChars="200"/>
        <w:jc w:val="both"/>
        <w:textAlignment w:val="auto"/>
        <w:rPr>
          <w:rFonts w:hint="eastAsia" w:ascii="微软雅黑" w:hAnsi="微软雅黑" w:eastAsia="微软雅黑" w:cs="微软雅黑"/>
          <w:bCs/>
          <w:color w:val="auto"/>
          <w:sz w:val="24"/>
          <w:szCs w:val="24"/>
          <w:highlight w:val="none"/>
        </w:rPr>
      </w:pPr>
      <w:bookmarkStart w:id="381" w:name="_Toc4968"/>
      <w:bookmarkStart w:id="382" w:name="_Toc15965"/>
      <w:r>
        <w:rPr>
          <w:rFonts w:hint="eastAsia" w:ascii="微软雅黑" w:hAnsi="微软雅黑" w:eastAsia="微软雅黑" w:cs="微软雅黑"/>
          <w:bCs/>
          <w:color w:val="auto"/>
          <w:sz w:val="24"/>
          <w:szCs w:val="24"/>
          <w:highlight w:val="none"/>
        </w:rPr>
        <w:t>一、</w:t>
      </w:r>
      <w:bookmarkEnd w:id="374"/>
      <w:bookmarkEnd w:id="375"/>
      <w:bookmarkEnd w:id="376"/>
      <w:bookmarkEnd w:id="377"/>
      <w:bookmarkEnd w:id="378"/>
      <w:bookmarkEnd w:id="379"/>
      <w:r>
        <w:rPr>
          <w:rFonts w:hint="eastAsia" w:ascii="微软雅黑" w:hAnsi="微软雅黑" w:eastAsia="微软雅黑" w:cs="微软雅黑"/>
          <w:bCs/>
          <w:color w:val="auto"/>
          <w:sz w:val="24"/>
          <w:szCs w:val="24"/>
          <w:highlight w:val="none"/>
        </w:rPr>
        <w:t>项目基本情况</w:t>
      </w:r>
      <w:bookmarkEnd w:id="381"/>
      <w:bookmarkEnd w:id="382"/>
    </w:p>
    <w:p w14:paraId="7D3A623D">
      <w:pPr>
        <w:spacing w:line="240" w:lineRule="atLeast"/>
        <w:ind w:firstLine="480" w:firstLineChars="200"/>
        <w:jc w:val="both"/>
        <w:rPr>
          <w:rFonts w:hint="eastAsia" w:ascii="微软雅黑" w:hAnsi="微软雅黑" w:eastAsia="微软雅黑" w:cs="微软雅黑"/>
          <w:bCs/>
          <w:color w:val="auto"/>
          <w:sz w:val="24"/>
          <w:szCs w:val="24"/>
          <w:highlight w:val="yellow"/>
          <w:u w:val="none"/>
          <w:lang w:val="en-US" w:eastAsia="zh-CN"/>
        </w:rPr>
      </w:pPr>
      <w:r>
        <w:rPr>
          <w:rFonts w:hint="eastAsia" w:ascii="微软雅黑" w:hAnsi="微软雅黑" w:eastAsia="微软雅黑" w:cs="微软雅黑"/>
          <w:color w:val="auto"/>
          <w:sz w:val="24"/>
          <w:szCs w:val="24"/>
          <w:highlight w:val="none"/>
        </w:rPr>
        <w:t>项目编号：</w:t>
      </w:r>
      <w:bookmarkEnd w:id="380"/>
      <w:r>
        <w:rPr>
          <w:rFonts w:hint="eastAsia" w:ascii="微软雅黑" w:hAnsi="微软雅黑" w:eastAsia="微软雅黑" w:cs="微软雅黑"/>
          <w:color w:val="auto"/>
          <w:kern w:val="2"/>
          <w:sz w:val="24"/>
          <w:szCs w:val="24"/>
          <w:highlight w:val="none"/>
          <w:lang w:val="en-US" w:eastAsia="zh-CN" w:bidi="ar-SA"/>
        </w:rPr>
        <w:t>XJXZJCG2026-001</w:t>
      </w:r>
    </w:p>
    <w:p w14:paraId="364BFBB5">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none"/>
          <w:lang w:val="en-US" w:eastAsia="zh-CN"/>
        </w:rPr>
        <w:t>喀什市思政教育一体化项目(村级带头人及后备力量赴内地开展跟班锻炼)</w:t>
      </w:r>
    </w:p>
    <w:p w14:paraId="30FA3E47">
      <w:pPr>
        <w:pStyle w:val="7"/>
        <w:keepNext w:val="0"/>
        <w:keepLines w:val="0"/>
        <w:pageBreakBefore w:val="0"/>
        <w:widowControl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采购方式：公开招标</w:t>
      </w:r>
    </w:p>
    <w:p w14:paraId="49D4DFA5">
      <w:pPr>
        <w:pStyle w:val="9"/>
        <w:keepNext w:val="0"/>
        <w:keepLines w:val="0"/>
        <w:pageBreakBefore w:val="0"/>
        <w:widowControl w:val="0"/>
        <w:kinsoku/>
        <w:wordWrap/>
        <w:overflowPunct/>
        <w:topLinePunct w:val="0"/>
        <w:bidi w:val="0"/>
        <w:adjustRightInd w:val="0"/>
        <w:snapToGrid w:val="0"/>
        <w:spacing w:before="0" w:line="480" w:lineRule="exact"/>
        <w:ind w:left="0" w:leftChars="0" w:firstLine="480" w:firstLineChars="200"/>
        <w:textAlignment w:val="auto"/>
        <w:rPr>
          <w:rFonts w:hint="default" w:ascii="微软雅黑" w:hAnsi="微软雅黑" w:eastAsia="微软雅黑" w:cs="微软雅黑"/>
          <w:color w:val="auto"/>
          <w:sz w:val="24"/>
          <w:szCs w:val="24"/>
          <w:highlight w:val="yellow"/>
          <w:lang w:val="en-US" w:eastAsia="zh-CN"/>
        </w:rPr>
      </w:pPr>
      <w:r>
        <w:rPr>
          <w:rFonts w:hint="eastAsia" w:ascii="微软雅黑" w:hAnsi="微软雅黑" w:eastAsia="微软雅黑" w:cs="微软雅黑"/>
          <w:color w:val="auto"/>
          <w:sz w:val="24"/>
          <w:szCs w:val="24"/>
          <w:highlight w:val="none"/>
          <w:lang w:val="en-US" w:eastAsia="zh-CN"/>
        </w:rPr>
        <w:t>预算金额（元）：2348500</w:t>
      </w:r>
    </w:p>
    <w:p w14:paraId="391AD50F">
      <w:pPr>
        <w:pStyle w:val="9"/>
        <w:keepNext w:val="0"/>
        <w:keepLines w:val="0"/>
        <w:pageBreakBefore w:val="0"/>
        <w:widowControl w:val="0"/>
        <w:kinsoku/>
        <w:wordWrap/>
        <w:overflowPunct/>
        <w:topLinePunct w:val="0"/>
        <w:bidi w:val="0"/>
        <w:adjustRightInd w:val="0"/>
        <w:snapToGrid w:val="0"/>
        <w:spacing w:before="0" w:line="480" w:lineRule="exact"/>
        <w:ind w:left="0" w:leftChars="0" w:firstLine="480" w:firstLineChars="200"/>
        <w:jc w:val="left"/>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最高限价（元）：2348500</w:t>
      </w:r>
    </w:p>
    <w:p w14:paraId="4595FAEC">
      <w:pPr>
        <w:pStyle w:val="9"/>
        <w:keepNext w:val="0"/>
        <w:keepLines w:val="0"/>
        <w:pageBreakBefore w:val="0"/>
        <w:widowControl w:val="0"/>
        <w:kinsoku/>
        <w:wordWrap/>
        <w:overflowPunct/>
        <w:topLinePunct w:val="0"/>
        <w:bidi w:val="0"/>
        <w:adjustRightInd w:val="0"/>
        <w:snapToGrid w:val="0"/>
        <w:spacing w:before="0" w:line="480" w:lineRule="exact"/>
        <w:ind w:left="0" w:leftChars="0" w:firstLine="480" w:firstLineChars="200"/>
        <w:jc w:val="lef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采购需求：</w:t>
      </w:r>
    </w:p>
    <w:p w14:paraId="5BEA85F7">
      <w:pPr>
        <w:pStyle w:val="15"/>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组织61名村级带头人及其后备力量赴北京开展党性教育、赴深圳开展跟班培训锻炼90天（不含路程）。</w:t>
      </w:r>
    </w:p>
    <w:p w14:paraId="098CC098">
      <w:pPr>
        <w:pStyle w:val="15"/>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本项目不接受联合体投标。</w:t>
      </w:r>
    </w:p>
    <w:p w14:paraId="714AF88D">
      <w:pPr>
        <w:pStyle w:val="3"/>
        <w:pageBreakBefore w:val="0"/>
        <w:kinsoku/>
        <w:wordWrap/>
        <w:overflowPunct/>
        <w:topLinePunct w:val="0"/>
        <w:bidi w:val="0"/>
        <w:adjustRightInd w:val="0"/>
        <w:snapToGrid w:val="0"/>
        <w:spacing w:before="0" w:line="480" w:lineRule="exact"/>
        <w:ind w:left="0" w:leftChars="0" w:firstLine="480" w:firstLineChars="200"/>
        <w:jc w:val="both"/>
        <w:textAlignment w:val="auto"/>
        <w:rPr>
          <w:rFonts w:hint="eastAsia" w:ascii="微软雅黑" w:hAnsi="微软雅黑" w:eastAsia="微软雅黑" w:cs="微软雅黑"/>
          <w:bCs/>
          <w:color w:val="auto"/>
          <w:sz w:val="24"/>
          <w:szCs w:val="24"/>
          <w:highlight w:val="none"/>
        </w:rPr>
      </w:pPr>
      <w:bookmarkStart w:id="383" w:name="_Toc35393791"/>
      <w:bookmarkStart w:id="384" w:name="_Toc28359003"/>
      <w:bookmarkStart w:id="385" w:name="_Toc338"/>
      <w:bookmarkStart w:id="386" w:name="_Toc28359080"/>
      <w:bookmarkStart w:id="387" w:name="_Toc35393622"/>
      <w:bookmarkStart w:id="388" w:name="_Toc1145"/>
      <w:bookmarkStart w:id="389" w:name="_Toc19260"/>
      <w:bookmarkStart w:id="390" w:name="_Toc31305"/>
      <w:r>
        <w:rPr>
          <w:rFonts w:hint="eastAsia" w:ascii="微软雅黑" w:hAnsi="微软雅黑" w:eastAsia="微软雅黑" w:cs="微软雅黑"/>
          <w:bCs/>
          <w:color w:val="auto"/>
          <w:sz w:val="24"/>
          <w:szCs w:val="24"/>
          <w:highlight w:val="none"/>
        </w:rPr>
        <w:t>二、申请人的资格要求：</w:t>
      </w:r>
      <w:bookmarkEnd w:id="383"/>
      <w:bookmarkEnd w:id="384"/>
      <w:bookmarkEnd w:id="385"/>
      <w:bookmarkEnd w:id="386"/>
      <w:bookmarkEnd w:id="387"/>
      <w:bookmarkEnd w:id="388"/>
      <w:bookmarkEnd w:id="389"/>
      <w:bookmarkEnd w:id="390"/>
    </w:p>
    <w:p w14:paraId="36710C9F">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bookmarkStart w:id="391" w:name="_Toc35393792"/>
      <w:bookmarkStart w:id="392" w:name="_Toc32226"/>
      <w:bookmarkStart w:id="393" w:name="_Toc27678"/>
      <w:bookmarkStart w:id="394" w:name="_Toc35393623"/>
      <w:bookmarkStart w:id="395" w:name="_Toc28359004"/>
      <w:bookmarkStart w:id="396" w:name="_Toc28359081"/>
      <w:r>
        <w:rPr>
          <w:rFonts w:hint="eastAsia" w:ascii="微软雅黑" w:hAnsi="微软雅黑" w:eastAsia="微软雅黑" w:cs="微软雅黑"/>
          <w:i w:val="0"/>
          <w:caps w:val="0"/>
          <w:color w:val="auto"/>
          <w:spacing w:val="0"/>
          <w:sz w:val="24"/>
          <w:szCs w:val="24"/>
          <w:highlight w:val="none"/>
          <w:lang w:val="en-US" w:eastAsia="zh-CN"/>
        </w:rPr>
        <w:t>1.满足《中华人民共和国政府采购法》第二十二条规定；</w:t>
      </w:r>
    </w:p>
    <w:p w14:paraId="7B8A92F0">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default"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2.落实政府采购政策需满足的资格要求：喀什市思政教育一体化项目(村级带头人及后备力量赴内地开展跟班锻炼)</w:t>
      </w:r>
      <w:r>
        <w:rPr>
          <w:rFonts w:hint="eastAsia" w:ascii="微软雅黑" w:hAnsi="微软雅黑" w:eastAsia="微软雅黑" w:cs="微软雅黑"/>
          <w:color w:val="auto"/>
          <w:sz w:val="24"/>
          <w:szCs w:val="24"/>
          <w:highlight w:val="none"/>
          <w:lang w:val="en-US" w:eastAsia="zh-CN"/>
        </w:rPr>
        <w:t>不专门面向中小企业</w:t>
      </w:r>
    </w:p>
    <w:p w14:paraId="61B9B23C">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3.本项目的特定资格要求：无</w:t>
      </w:r>
    </w:p>
    <w:p w14:paraId="70CC5383">
      <w:pPr>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rPr>
        <w:t>三、获取</w:t>
      </w:r>
      <w:bookmarkEnd w:id="391"/>
      <w:bookmarkEnd w:id="392"/>
      <w:bookmarkEnd w:id="393"/>
      <w:bookmarkEnd w:id="394"/>
      <w:bookmarkEnd w:id="395"/>
      <w:bookmarkEnd w:id="396"/>
      <w:r>
        <w:rPr>
          <w:rFonts w:hint="eastAsia" w:ascii="微软雅黑" w:hAnsi="微软雅黑" w:eastAsia="微软雅黑" w:cs="微软雅黑"/>
          <w:b/>
          <w:bCs/>
          <w:color w:val="auto"/>
          <w:kern w:val="0"/>
          <w:sz w:val="24"/>
          <w:szCs w:val="24"/>
          <w:highlight w:val="none"/>
          <w:lang w:eastAsia="zh-CN"/>
        </w:rPr>
        <w:t>招标文件</w:t>
      </w:r>
    </w:p>
    <w:p w14:paraId="583ADF37">
      <w:pPr>
        <w:pStyle w:val="32"/>
        <w:pageBreakBefore w:val="0"/>
        <w:widowControl/>
        <w:kinsoku/>
        <w:wordWrap/>
        <w:overflowPunct/>
        <w:topLinePunct w:val="0"/>
        <w:bidi w:val="0"/>
        <w:adjustRightInd w:val="0"/>
        <w:snapToGrid w:val="0"/>
        <w:spacing w:before="0" w:beforeAutospacing="0" w:after="0" w:afterAutospacing="0" w:line="480" w:lineRule="exact"/>
        <w:ind w:left="0" w:leftChars="0" w:firstLine="480" w:firstLineChars="200"/>
        <w:textAlignment w:val="auto"/>
        <w:rPr>
          <w:rFonts w:hint="eastAsia" w:ascii="微软雅黑" w:hAnsi="微软雅黑" w:eastAsia="微软雅黑" w:cs="微软雅黑"/>
          <w:color w:val="0000FF"/>
          <w:sz w:val="24"/>
          <w:szCs w:val="24"/>
          <w:highlight w:val="none"/>
        </w:rPr>
      </w:pPr>
      <w:bookmarkStart w:id="397" w:name="_Toc28359005"/>
      <w:bookmarkStart w:id="398" w:name="_Toc28359082"/>
      <w:bookmarkStart w:id="399" w:name="_Toc35393624"/>
      <w:bookmarkStart w:id="400" w:name="_Toc2532"/>
      <w:bookmarkStart w:id="401" w:name="_Toc35393793"/>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eastAsia="zh-CN"/>
        </w:rPr>
        <w:t>2026年04月21日至2026年04月28日</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:00，下午</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59</w:t>
      </w:r>
      <w:r>
        <w:rPr>
          <w:rFonts w:hint="eastAsia" w:ascii="微软雅黑" w:hAnsi="微软雅黑" w:eastAsia="微软雅黑" w:cs="微软雅黑"/>
          <w:color w:val="auto"/>
          <w:sz w:val="24"/>
          <w:szCs w:val="24"/>
          <w:highlight w:val="none"/>
        </w:rPr>
        <w:t>（北京时间，法定节假日除外）</w:t>
      </w:r>
    </w:p>
    <w:p w14:paraId="3AA43055">
      <w:pPr>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地点：政采云平台</w:t>
      </w:r>
      <w:r>
        <w:rPr>
          <w:rFonts w:hint="eastAsia" w:ascii="微软雅黑" w:hAnsi="微软雅黑" w:eastAsia="微软雅黑" w:cs="微软雅黑"/>
          <w:color w:val="auto"/>
          <w:sz w:val="24"/>
          <w:szCs w:val="24"/>
          <w:highlight w:val="none"/>
          <w:lang w:eastAsia="zh-CN"/>
        </w:rPr>
        <w:t>线上</w:t>
      </w:r>
      <w:r>
        <w:rPr>
          <w:rFonts w:hint="eastAsia" w:ascii="微软雅黑" w:hAnsi="微软雅黑" w:eastAsia="微软雅黑" w:cs="微软雅黑"/>
          <w:color w:val="auto"/>
          <w:sz w:val="24"/>
          <w:szCs w:val="24"/>
          <w:highlight w:val="none"/>
        </w:rPr>
        <w:t> </w:t>
      </w:r>
    </w:p>
    <w:p w14:paraId="5F4D981B">
      <w:pPr>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E31EE0F">
      <w:pPr>
        <w:pStyle w:val="3"/>
        <w:pageBreakBefore w:val="0"/>
        <w:kinsoku/>
        <w:wordWrap/>
        <w:overflowPunct/>
        <w:topLinePunct w:val="0"/>
        <w:bidi w:val="0"/>
        <w:adjustRightInd w:val="0"/>
        <w:snapToGrid w:val="0"/>
        <w:spacing w:before="0" w:line="480" w:lineRule="exact"/>
        <w:ind w:left="0" w:leftChars="0" w:firstLine="480" w:firstLineChars="200"/>
        <w:jc w:val="both"/>
        <w:textAlignment w:val="auto"/>
        <w:rPr>
          <w:rFonts w:hint="eastAsia" w:ascii="微软雅黑" w:hAnsi="微软雅黑" w:eastAsia="微软雅黑" w:cs="微软雅黑"/>
          <w:bCs/>
          <w:color w:val="auto"/>
          <w:sz w:val="24"/>
          <w:szCs w:val="24"/>
          <w:highlight w:val="none"/>
        </w:rPr>
      </w:pPr>
      <w:bookmarkStart w:id="402" w:name="_Toc5371"/>
      <w:bookmarkStart w:id="403" w:name="_Toc9447"/>
      <w:r>
        <w:rPr>
          <w:rFonts w:hint="eastAsia" w:ascii="微软雅黑" w:hAnsi="微软雅黑" w:eastAsia="微软雅黑" w:cs="微软雅黑"/>
          <w:bCs/>
          <w:color w:val="auto"/>
          <w:sz w:val="24"/>
          <w:szCs w:val="24"/>
          <w:highlight w:val="none"/>
        </w:rPr>
        <w:t>四、提交投标文件</w:t>
      </w:r>
      <w:bookmarkEnd w:id="397"/>
      <w:bookmarkEnd w:id="398"/>
      <w:r>
        <w:rPr>
          <w:rFonts w:hint="eastAsia" w:ascii="微软雅黑" w:hAnsi="微软雅黑" w:eastAsia="微软雅黑" w:cs="微软雅黑"/>
          <w:bCs/>
          <w:color w:val="auto"/>
          <w:sz w:val="24"/>
          <w:szCs w:val="24"/>
          <w:highlight w:val="none"/>
        </w:rPr>
        <w:t>截止时间、开标时间和地点</w:t>
      </w:r>
      <w:bookmarkEnd w:id="399"/>
      <w:bookmarkEnd w:id="400"/>
      <w:bookmarkEnd w:id="401"/>
      <w:bookmarkEnd w:id="402"/>
      <w:bookmarkEnd w:id="403"/>
    </w:p>
    <w:p w14:paraId="5169E300">
      <w:pPr>
        <w:pStyle w:val="32"/>
        <w:pageBreakBefore w:val="0"/>
        <w:widowControl/>
        <w:kinsoku/>
        <w:wordWrap/>
        <w:overflowPunct/>
        <w:topLinePunct w:val="0"/>
        <w:bidi w:val="0"/>
        <w:adjustRightInd w:val="0"/>
        <w:snapToGrid w:val="0"/>
        <w:spacing w:before="0" w:beforeAutospacing="0" w:after="0" w:afterAutospacing="0" w:line="480" w:lineRule="exact"/>
        <w:ind w:left="0" w:leftChars="0" w:firstLine="480" w:firstLineChars="200"/>
        <w:textAlignment w:val="auto"/>
        <w:rPr>
          <w:rFonts w:hint="eastAsia" w:ascii="微软雅黑" w:hAnsi="微软雅黑" w:eastAsia="微软雅黑" w:cs="微软雅黑"/>
          <w:color w:val="auto"/>
          <w:sz w:val="24"/>
          <w:szCs w:val="24"/>
          <w:highlight w:val="none"/>
        </w:rPr>
      </w:pPr>
      <w:bookmarkStart w:id="404" w:name="_Toc30400"/>
      <w:bookmarkStart w:id="405" w:name="_Toc28359007"/>
      <w:bookmarkStart w:id="406" w:name="_Toc35393625"/>
      <w:bookmarkStart w:id="407" w:name="_Toc28359084"/>
      <w:bookmarkStart w:id="408" w:name="_Toc20863"/>
      <w:bookmarkStart w:id="409" w:name="_Toc35393794"/>
      <w:r>
        <w:rPr>
          <w:rFonts w:hint="eastAsia" w:ascii="微软雅黑" w:hAnsi="微软雅黑" w:eastAsia="微软雅黑" w:cs="微软雅黑"/>
          <w:color w:val="auto"/>
          <w:sz w:val="24"/>
          <w:szCs w:val="24"/>
          <w:highlight w:val="none"/>
          <w:lang w:eastAsia="zh-CN"/>
        </w:rPr>
        <w:t>提交投标文件截止</w:t>
      </w: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eastAsia="zh-CN"/>
        </w:rPr>
        <w:t>间：2026年05月13日11：00（</w:t>
      </w:r>
      <w:r>
        <w:rPr>
          <w:rFonts w:hint="eastAsia" w:ascii="微软雅黑" w:hAnsi="微软雅黑" w:eastAsia="微软雅黑" w:cs="微软雅黑"/>
          <w:color w:val="auto"/>
          <w:sz w:val="24"/>
          <w:szCs w:val="24"/>
          <w:highlight w:val="none"/>
        </w:rPr>
        <w:t>北京时间）</w:t>
      </w:r>
    </w:p>
    <w:p w14:paraId="69781B8A">
      <w:pPr>
        <w:pStyle w:val="32"/>
        <w:pageBreakBefore w:val="0"/>
        <w:widowControl/>
        <w:kinsoku/>
        <w:wordWrap/>
        <w:overflowPunct/>
        <w:topLinePunct w:val="0"/>
        <w:bidi w:val="0"/>
        <w:adjustRightInd w:val="0"/>
        <w:snapToGrid w:val="0"/>
        <w:spacing w:before="0" w:beforeAutospacing="0" w:after="0" w:afterAutospacing="0" w:line="48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eastAsia="zh-CN"/>
        </w:rPr>
        <w:t>请登录政采云投标客户端投标</w:t>
      </w:r>
    </w:p>
    <w:p w14:paraId="7988E3DA">
      <w:pPr>
        <w:pStyle w:val="32"/>
        <w:pageBreakBefore w:val="0"/>
        <w:widowControl/>
        <w:kinsoku/>
        <w:wordWrap/>
        <w:overflowPunct/>
        <w:topLinePunct w:val="0"/>
        <w:bidi w:val="0"/>
        <w:adjustRightInd w:val="0"/>
        <w:snapToGrid w:val="0"/>
        <w:spacing w:before="0" w:beforeAutospacing="0" w:after="0" w:afterAutospacing="0" w:line="480" w:lineRule="exact"/>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开标时间：2026年05月13日11：00（北京时间）</w:t>
      </w:r>
    </w:p>
    <w:p w14:paraId="3DDE6C46">
      <w:pPr>
        <w:pStyle w:val="32"/>
        <w:pageBreakBefore w:val="0"/>
        <w:widowControl/>
        <w:kinsoku/>
        <w:wordWrap/>
        <w:overflowPunct/>
        <w:topLinePunct w:val="0"/>
        <w:bidi w:val="0"/>
        <w:adjustRightInd w:val="0"/>
        <w:snapToGrid w:val="0"/>
        <w:spacing w:before="0" w:beforeAutospacing="0" w:after="0" w:afterAutospacing="0" w:line="48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开标地点：投标人登录政采云平台https://www.zcygov.cn/，进入“项目采购-开标评标-右边选择对应项目点击“进入项目”进入开标大厅。</w:t>
      </w:r>
    </w:p>
    <w:p w14:paraId="4769273C">
      <w:pPr>
        <w:pStyle w:val="32"/>
        <w:pageBreakBefore w:val="0"/>
        <w:widowControl/>
        <w:kinsoku/>
        <w:wordWrap/>
        <w:overflowPunct/>
        <w:topLinePunct w:val="0"/>
        <w:bidi w:val="0"/>
        <w:adjustRightInd w:val="0"/>
        <w:snapToGrid w:val="0"/>
        <w:spacing w:before="0" w:beforeAutospacing="0" w:after="0" w:afterAutospacing="0" w:line="480" w:lineRule="exact"/>
        <w:ind w:left="0" w:leftChars="0" w:firstLine="480" w:firstLineChars="200"/>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五、公告期限</w:t>
      </w:r>
      <w:bookmarkEnd w:id="404"/>
      <w:bookmarkEnd w:id="405"/>
      <w:bookmarkEnd w:id="406"/>
      <w:bookmarkEnd w:id="407"/>
      <w:bookmarkEnd w:id="408"/>
      <w:bookmarkEnd w:id="409"/>
    </w:p>
    <w:p w14:paraId="6E606849">
      <w:pPr>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14:paraId="7A909CD9">
      <w:pPr>
        <w:pStyle w:val="7"/>
        <w:pageBreakBefore w:val="0"/>
        <w:kinsoku/>
        <w:wordWrap/>
        <w:overflowPunct/>
        <w:topLinePunct w:val="0"/>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六</w:t>
      </w:r>
      <w:r>
        <w:rPr>
          <w:rFonts w:hint="eastAsia" w:ascii="微软雅黑" w:hAnsi="微软雅黑" w:eastAsia="微软雅黑" w:cs="微软雅黑"/>
          <w:b/>
          <w:bCs/>
          <w:color w:val="auto"/>
          <w:sz w:val="24"/>
          <w:szCs w:val="24"/>
          <w:highlight w:val="none"/>
        </w:rPr>
        <w:t>、其他补充事宜</w:t>
      </w:r>
    </w:p>
    <w:p w14:paraId="10EA26F5">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bookmarkStart w:id="410" w:name="_Toc35393626"/>
      <w:bookmarkStart w:id="411" w:name="_Toc647"/>
      <w:bookmarkStart w:id="412" w:name="_Toc35393795"/>
      <w:bookmarkStart w:id="413" w:name="_Toc18258"/>
      <w:r>
        <w:rPr>
          <w:rFonts w:hint="eastAsia" w:ascii="微软雅黑" w:hAnsi="微软雅黑" w:eastAsia="微软雅黑" w:cs="微软雅黑"/>
          <w:i w:val="0"/>
          <w:caps w:val="0"/>
          <w:color w:val="auto"/>
          <w:spacing w:val="0"/>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FF9AA4E">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4D7EFA21">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758D350F">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7733E9E">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5.供应商在开标时须使用制作加密电子投标文件所使用的CA锁及电脑，电脑须提前配置好浏览器（建议使用谷歌浏览器），以便开标时解锁。</w:t>
      </w:r>
    </w:p>
    <w:p w14:paraId="2D7D25DC">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6.投标保证金缴纳及确认时间：凡拟参加本次招标项目的供应商，必须在开标前将投标保证金汇入指定账户。投标保证金汇款凭证上用途栏应注明:标项名称+投标保证金。否则，届时其投标将被拒绝。</w:t>
      </w:r>
    </w:p>
    <w:p w14:paraId="0540CB5D">
      <w:pPr>
        <w:pStyle w:val="3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rightChars="0" w:firstLine="480" w:firstLineChars="200"/>
        <w:jc w:val="both"/>
        <w:textAlignment w:val="auto"/>
        <w:rPr>
          <w:rFonts w:hint="eastAsia" w:ascii="微软雅黑" w:hAnsi="微软雅黑" w:eastAsia="微软雅黑" w:cs="微软雅黑"/>
          <w:i w:val="0"/>
          <w:caps w:val="0"/>
          <w:color w:val="auto"/>
          <w:spacing w:val="0"/>
          <w:sz w:val="24"/>
          <w:szCs w:val="24"/>
          <w:highlight w:val="none"/>
          <w:lang w:val="en-US" w:eastAsia="zh-CN"/>
        </w:rPr>
      </w:pPr>
      <w:r>
        <w:rPr>
          <w:rFonts w:hint="eastAsia" w:ascii="微软雅黑" w:hAnsi="微软雅黑" w:eastAsia="微软雅黑" w:cs="微软雅黑"/>
          <w:i w:val="0"/>
          <w:caps w:val="0"/>
          <w:color w:val="auto"/>
          <w:spacing w:val="0"/>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钉钉群号：政采云新疆网超供应商服务二十群：35547618（如已加入1-19群，无需重复加入），钉钉工具软件具有回放功能，直播培训结束后可在钉钉群中回放观看学习。</w:t>
      </w:r>
      <w:bookmarkEnd w:id="410"/>
      <w:bookmarkEnd w:id="411"/>
      <w:bookmarkEnd w:id="412"/>
      <w:bookmarkEnd w:id="413"/>
    </w:p>
    <w:p w14:paraId="1FBB8A0D">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left="0" w:leftChars="0" w:right="0" w:firstLine="480" w:firstLineChars="200"/>
        <w:jc w:val="both"/>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b/>
          <w:bCs/>
          <w:color w:val="auto"/>
          <w:kern w:val="0"/>
          <w:sz w:val="24"/>
          <w:szCs w:val="24"/>
          <w:highlight w:val="none"/>
          <w:lang w:val="en-US" w:eastAsia="zh-CN" w:bidi="ar-SA"/>
        </w:rPr>
        <w:t>七、对本次采购提出询问，请按以下方式联系</w:t>
      </w:r>
    </w:p>
    <w:p w14:paraId="0E937AB9">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left"/>
        <w:textAlignment w:val="auto"/>
        <w:rPr>
          <w:rFonts w:hint="eastAsia" w:ascii="微软雅黑" w:hAnsi="微软雅黑" w:eastAsia="微软雅黑" w:cs="微软雅黑"/>
          <w:b/>
          <w:bCs/>
          <w:color w:val="auto"/>
          <w:sz w:val="24"/>
          <w:szCs w:val="24"/>
          <w:highlight w:val="none"/>
          <w:u w:val="none"/>
        </w:rPr>
      </w:pPr>
      <w:r>
        <w:rPr>
          <w:rFonts w:hint="eastAsia" w:ascii="微软雅黑" w:hAnsi="微软雅黑" w:eastAsia="微软雅黑" w:cs="微软雅黑"/>
          <w:b/>
          <w:bCs/>
          <w:color w:val="auto"/>
          <w:sz w:val="24"/>
          <w:szCs w:val="24"/>
          <w:highlight w:val="none"/>
          <w:u w:val="none"/>
        </w:rPr>
        <w:t>1.采购人信息</w:t>
      </w:r>
    </w:p>
    <w:p w14:paraId="51C2131B">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lef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rPr>
        <w:t>名</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rPr>
        <w:t>称：</w:t>
      </w:r>
      <w:r>
        <w:rPr>
          <w:rFonts w:hint="eastAsia" w:ascii="微软雅黑" w:hAnsi="微软雅黑" w:eastAsia="微软雅黑" w:cs="微软雅黑"/>
          <w:color w:val="auto"/>
          <w:sz w:val="24"/>
          <w:szCs w:val="24"/>
          <w:highlight w:val="none"/>
          <w:u w:val="none"/>
          <w:lang w:eastAsia="zh-CN"/>
        </w:rPr>
        <w:t>中共喀什市委组织部 </w:t>
      </w:r>
      <w:r>
        <w:rPr>
          <w:rFonts w:hint="eastAsia" w:ascii="微软雅黑" w:hAnsi="微软雅黑" w:eastAsia="微软雅黑" w:cs="微软雅黑"/>
          <w:color w:val="auto"/>
          <w:sz w:val="24"/>
          <w:szCs w:val="24"/>
          <w:highlight w:val="none"/>
          <w:u w:val="none"/>
          <w:lang w:val="en-US" w:eastAsia="zh-CN"/>
        </w:rPr>
        <w:t xml:space="preserve">                </w:t>
      </w:r>
    </w:p>
    <w:p w14:paraId="79320D92">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jc w:val="lef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rPr>
        <w:t>地</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rPr>
        <w:t>址：</w:t>
      </w:r>
      <w:r>
        <w:rPr>
          <w:rFonts w:hint="eastAsia" w:ascii="微软雅黑" w:hAnsi="微软雅黑" w:eastAsia="微软雅黑" w:cs="微软雅黑"/>
          <w:color w:val="auto"/>
          <w:sz w:val="24"/>
          <w:szCs w:val="24"/>
          <w:highlight w:val="none"/>
          <w:u w:val="none"/>
          <w:lang w:eastAsia="zh-CN"/>
        </w:rPr>
        <w:t>喀什市人民东路51号</w:t>
      </w:r>
    </w:p>
    <w:p w14:paraId="7ADA85D0">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jc w:val="left"/>
        <w:textAlignment w:val="auto"/>
        <w:rPr>
          <w:rFonts w:hint="eastAsia" w:ascii="微软雅黑" w:hAnsi="微软雅黑" w:eastAsia="微软雅黑" w:cs="微软雅黑"/>
          <w:color w:val="auto"/>
          <w:sz w:val="24"/>
          <w:szCs w:val="24"/>
          <w:highlight w:val="none"/>
          <w:u w:val="none"/>
          <w:lang w:eastAsia="zh-CN"/>
        </w:rPr>
      </w:pPr>
      <w:bookmarkStart w:id="414" w:name="_Toc28359086"/>
      <w:bookmarkStart w:id="415" w:name="_Toc28359009"/>
      <w:r>
        <w:rPr>
          <w:rFonts w:hint="eastAsia" w:ascii="微软雅黑" w:hAnsi="微软雅黑" w:eastAsia="微软雅黑" w:cs="微软雅黑"/>
          <w:color w:val="auto"/>
          <w:sz w:val="24"/>
          <w:szCs w:val="24"/>
          <w:highlight w:val="none"/>
          <w:u w:val="none"/>
        </w:rPr>
        <w:t>联 系 人：</w:t>
      </w:r>
      <w:r>
        <w:rPr>
          <w:rFonts w:hint="eastAsia" w:ascii="微软雅黑" w:hAnsi="微软雅黑" w:eastAsia="微软雅黑" w:cs="微软雅黑"/>
          <w:color w:val="auto"/>
          <w:sz w:val="24"/>
          <w:szCs w:val="24"/>
          <w:highlight w:val="none"/>
          <w:u w:val="none"/>
          <w:lang w:eastAsia="zh-CN"/>
        </w:rPr>
        <w:t>李鹏飞</w:t>
      </w:r>
    </w:p>
    <w:p w14:paraId="7093D73E">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jc w:val="left"/>
        <w:textAlignment w:val="auto"/>
        <w:rPr>
          <w:rFonts w:hint="default"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rPr>
        <w:t>联系</w:t>
      </w:r>
      <w:r>
        <w:rPr>
          <w:rFonts w:hint="eastAsia" w:ascii="微软雅黑" w:hAnsi="微软雅黑" w:eastAsia="微软雅黑" w:cs="微软雅黑"/>
          <w:color w:val="auto"/>
          <w:sz w:val="24"/>
          <w:szCs w:val="24"/>
          <w:highlight w:val="none"/>
          <w:u w:val="none"/>
          <w:lang w:val="en-US" w:eastAsia="zh-CN"/>
        </w:rPr>
        <w:t>方式</w:t>
      </w:r>
      <w:r>
        <w:rPr>
          <w:rFonts w:hint="eastAsia" w:ascii="微软雅黑" w:hAnsi="微软雅黑" w:eastAsia="微软雅黑" w:cs="微软雅黑"/>
          <w:color w:val="auto"/>
          <w:sz w:val="24"/>
          <w:szCs w:val="24"/>
          <w:highlight w:val="none"/>
          <w:u w:val="none"/>
        </w:rPr>
        <w:t>：</w:t>
      </w:r>
      <w:r>
        <w:rPr>
          <w:rFonts w:hint="eastAsia" w:ascii="微软雅黑" w:hAnsi="微软雅黑" w:eastAsia="微软雅黑" w:cs="微软雅黑"/>
          <w:color w:val="auto"/>
          <w:sz w:val="24"/>
          <w:szCs w:val="24"/>
          <w:highlight w:val="none"/>
          <w:u w:val="none"/>
          <w:lang w:val="en-US" w:eastAsia="zh-CN"/>
        </w:rPr>
        <w:t>13899189870</w:t>
      </w:r>
    </w:p>
    <w:p w14:paraId="6E5AA6DD">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jc w:val="left"/>
        <w:textAlignment w:val="auto"/>
        <w:rPr>
          <w:rFonts w:hint="eastAsia" w:ascii="微软雅黑" w:hAnsi="微软雅黑" w:eastAsia="微软雅黑" w:cs="微软雅黑"/>
          <w:b/>
          <w:bCs/>
          <w:color w:val="auto"/>
          <w:sz w:val="24"/>
          <w:szCs w:val="24"/>
          <w:highlight w:val="none"/>
          <w:u w:val="none"/>
        </w:rPr>
      </w:pPr>
      <w:r>
        <w:rPr>
          <w:rFonts w:hint="eastAsia" w:ascii="微软雅黑" w:hAnsi="微软雅黑" w:eastAsia="微软雅黑" w:cs="微软雅黑"/>
          <w:b/>
          <w:bCs/>
          <w:color w:val="auto"/>
          <w:sz w:val="24"/>
          <w:szCs w:val="24"/>
          <w:highlight w:val="none"/>
          <w:u w:val="none"/>
        </w:rPr>
        <w:t>2.采购代理机构信息</w:t>
      </w:r>
      <w:bookmarkEnd w:id="414"/>
      <w:bookmarkEnd w:id="415"/>
    </w:p>
    <w:p w14:paraId="00E1AD8B">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u w:val="none"/>
        </w:rPr>
      </w:pPr>
      <w:bookmarkStart w:id="416" w:name="_Toc28359010"/>
      <w:bookmarkStart w:id="417" w:name="_Toc28359087"/>
      <w:r>
        <w:rPr>
          <w:rFonts w:hint="eastAsia" w:ascii="微软雅黑" w:hAnsi="微软雅黑" w:eastAsia="微软雅黑" w:cs="微软雅黑"/>
          <w:color w:val="auto"/>
          <w:sz w:val="24"/>
          <w:szCs w:val="24"/>
          <w:highlight w:val="none"/>
          <w:u w:val="none"/>
        </w:rPr>
        <w:t>名</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rPr>
        <w:t>称：</w:t>
      </w:r>
      <w:r>
        <w:rPr>
          <w:rFonts w:hint="eastAsia" w:ascii="微软雅黑" w:hAnsi="微软雅黑" w:eastAsia="微软雅黑" w:cs="微软雅黑"/>
          <w:color w:val="auto"/>
          <w:sz w:val="24"/>
          <w:szCs w:val="24"/>
          <w:highlight w:val="none"/>
          <w:u w:val="none"/>
          <w:lang w:eastAsia="zh-CN"/>
        </w:rPr>
        <w:t>新疆新之建工程咨询有限公司</w:t>
      </w:r>
      <w:r>
        <w:rPr>
          <w:rFonts w:hint="eastAsia" w:ascii="微软雅黑" w:hAnsi="微软雅黑" w:eastAsia="微软雅黑" w:cs="微软雅黑"/>
          <w:color w:val="auto"/>
          <w:sz w:val="24"/>
          <w:szCs w:val="24"/>
          <w:highlight w:val="none"/>
          <w:u w:val="none"/>
        </w:rPr>
        <w:t>　　　　　　　　</w:t>
      </w:r>
    </w:p>
    <w:p w14:paraId="42E39524">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地</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rPr>
        <w:t>址：</w:t>
      </w:r>
      <w:r>
        <w:rPr>
          <w:rFonts w:hint="eastAsia" w:ascii="微软雅黑" w:hAnsi="微软雅黑" w:eastAsia="微软雅黑" w:cs="微软雅黑"/>
          <w:color w:val="auto"/>
          <w:sz w:val="24"/>
          <w:szCs w:val="24"/>
          <w:highlight w:val="none"/>
          <w:u w:val="none"/>
          <w:lang w:eastAsia="zh-CN"/>
        </w:rPr>
        <w:t>新疆喀什地区喀什市经济开发区城东大道63号陕西企业总一栋21层部大厦2104-1室</w:t>
      </w:r>
      <w:r>
        <w:rPr>
          <w:rFonts w:hint="eastAsia" w:ascii="微软雅黑" w:hAnsi="微软雅黑" w:eastAsia="微软雅黑" w:cs="微软雅黑"/>
          <w:color w:val="auto"/>
          <w:sz w:val="24"/>
          <w:szCs w:val="24"/>
          <w:highlight w:val="none"/>
          <w:u w:val="none"/>
        </w:rPr>
        <w:t>　   　　　　　　　　　　　</w:t>
      </w:r>
    </w:p>
    <w:p w14:paraId="5A090559">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联 系 人：邬燕龙</w:t>
      </w:r>
    </w:p>
    <w:p w14:paraId="034F0F8F">
      <w:pPr>
        <w:keepNext w:val="0"/>
        <w:keepLines w:val="0"/>
        <w:pageBreakBefore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微软雅黑" w:hAnsi="微软雅黑" w:eastAsia="微软雅黑" w:cs="微软雅黑"/>
          <w:color w:val="auto"/>
          <w:sz w:val="28"/>
          <w:szCs w:val="28"/>
          <w:highlight w:val="none"/>
          <w:u w:val="none"/>
          <w:lang w:val="en-US" w:eastAsia="zh-CN"/>
        </w:rPr>
      </w:pPr>
      <w:r>
        <w:rPr>
          <w:rFonts w:hint="eastAsia" w:ascii="微软雅黑" w:hAnsi="微软雅黑" w:eastAsia="微软雅黑" w:cs="微软雅黑"/>
          <w:b w:val="0"/>
          <w:bCs/>
          <w:color w:val="auto"/>
          <w:sz w:val="24"/>
          <w:szCs w:val="24"/>
          <w:highlight w:val="none"/>
          <w:u w:val="none"/>
          <w:lang w:val="en-US" w:eastAsia="zh-CN"/>
        </w:rPr>
        <w:t>电    话：</w:t>
      </w:r>
      <w:bookmarkEnd w:id="416"/>
      <w:bookmarkEnd w:id="417"/>
      <w:r>
        <w:rPr>
          <w:rFonts w:hint="eastAsia" w:ascii="微软雅黑" w:hAnsi="微软雅黑" w:eastAsia="微软雅黑" w:cs="微软雅黑"/>
          <w:b w:val="0"/>
          <w:bCs/>
          <w:color w:val="auto"/>
          <w:sz w:val="24"/>
          <w:szCs w:val="24"/>
          <w:highlight w:val="none"/>
          <w:u w:val="none"/>
          <w:lang w:val="en-US" w:eastAsia="zh-CN"/>
        </w:rPr>
        <w:t>16675437306</w:t>
      </w:r>
    </w:p>
    <w:p w14:paraId="31EB247D">
      <w:pPr>
        <w:pStyle w:val="32"/>
        <w:keepNext w:val="0"/>
        <w:keepLines w:val="0"/>
        <w:pageBreakBefore w:val="0"/>
        <w:widowControl/>
        <w:suppressLineNumbers w:val="0"/>
        <w:kinsoku/>
        <w:wordWrap/>
        <w:overflowPunct/>
        <w:topLinePunct w:val="0"/>
        <w:autoSpaceDN/>
        <w:bidi w:val="0"/>
        <w:adjustRightInd w:val="0"/>
        <w:snapToGrid w:val="0"/>
        <w:spacing w:before="75" w:beforeAutospacing="0" w:after="75" w:afterAutospacing="0" w:line="288" w:lineRule="auto"/>
        <w:ind w:left="0" w:right="0" w:firstLine="420"/>
        <w:textAlignment w:val="auto"/>
        <w:rPr>
          <w:rFonts w:hint="eastAsia" w:ascii="微软雅黑" w:hAnsi="微软雅黑" w:eastAsia="微软雅黑" w:cs="微软雅黑"/>
          <w:i w:val="0"/>
          <w:iCs w:val="0"/>
          <w:caps w:val="0"/>
          <w:color w:val="auto"/>
          <w:spacing w:val="0"/>
          <w:sz w:val="28"/>
          <w:szCs w:val="28"/>
          <w:highlight w:val="none"/>
        </w:rPr>
      </w:pPr>
    </w:p>
    <w:p w14:paraId="4E9B1B68">
      <w:pPr>
        <w:pStyle w:val="2"/>
        <w:pageBreakBefore w:val="0"/>
        <w:numPr>
          <w:ilvl w:val="0"/>
          <w:numId w:val="0"/>
        </w:numPr>
        <w:tabs>
          <w:tab w:val="left" w:pos="0"/>
        </w:tabs>
        <w:kinsoku/>
        <w:wordWrap/>
        <w:overflowPunct/>
        <w:topLinePunct w:val="0"/>
        <w:bidi w:val="0"/>
        <w:adjustRightInd w:val="0"/>
        <w:snapToGrid w:val="0"/>
        <w:spacing w:before="0" w:after="0" w:line="26" w:lineRule="atLeast"/>
        <w:ind w:leftChars="0"/>
        <w:jc w:val="center"/>
        <w:textAlignment w:val="auto"/>
        <w:rPr>
          <w:rFonts w:hint="eastAsia" w:ascii="微软雅黑" w:hAnsi="微软雅黑" w:eastAsia="微软雅黑" w:cs="微软雅黑"/>
          <w:b/>
          <w:color w:val="auto"/>
          <w:sz w:val="28"/>
          <w:szCs w:val="28"/>
          <w:highlight w:val="none"/>
          <w:lang w:val="en-US" w:eastAsia="zh-CN"/>
        </w:rPr>
        <w:sectPr>
          <w:headerReference r:id="rId27" w:type="default"/>
          <w:footerReference r:id="rId28" w:type="default"/>
          <w:pgSz w:w="11906" w:h="16838"/>
          <w:pgMar w:top="1440" w:right="1080" w:bottom="1440" w:left="1080" w:header="851" w:footer="992" w:gutter="0"/>
          <w:pgNumType w:fmt="decimal"/>
          <w:cols w:space="720" w:num="1"/>
          <w:rtlGutter w:val="0"/>
          <w:docGrid w:linePitch="312" w:charSpace="0"/>
        </w:sectPr>
      </w:pPr>
    </w:p>
    <w:p w14:paraId="2E5F3F96">
      <w:pPr>
        <w:pStyle w:val="2"/>
        <w:numPr>
          <w:ilvl w:val="0"/>
          <w:numId w:val="0"/>
        </w:numPr>
        <w:tabs>
          <w:tab w:val="left" w:pos="0"/>
        </w:tabs>
        <w:spacing w:before="0" w:after="0" w:line="240" w:lineRule="atLeast"/>
        <w:ind w:leftChars="0"/>
        <w:jc w:val="center"/>
        <w:rPr>
          <w:rFonts w:hint="eastAsia" w:ascii="微软雅黑" w:hAnsi="微软雅黑" w:eastAsia="微软雅黑" w:cs="微软雅黑"/>
          <w:color w:val="auto"/>
          <w:sz w:val="28"/>
          <w:szCs w:val="28"/>
          <w:highlight w:val="none"/>
          <w:lang w:eastAsia="zh-CN"/>
        </w:rPr>
      </w:pPr>
      <w:bookmarkStart w:id="418" w:name="_Toc8896"/>
      <w:bookmarkStart w:id="419" w:name="_Toc7827"/>
      <w:r>
        <w:rPr>
          <w:rFonts w:hint="eastAsia" w:ascii="微软雅黑" w:hAnsi="微软雅黑" w:eastAsia="微软雅黑" w:cs="微软雅黑"/>
          <w:b/>
          <w:color w:val="auto"/>
          <w:sz w:val="32"/>
          <w:szCs w:val="32"/>
          <w:highlight w:val="none"/>
          <w:lang w:val="en-US" w:eastAsia="zh-CN"/>
        </w:rPr>
        <w:t>第4章 投标人须知资料表</w:t>
      </w:r>
      <w:bookmarkEnd w:id="370"/>
      <w:bookmarkEnd w:id="371"/>
      <w:bookmarkEnd w:id="372"/>
      <w:bookmarkEnd w:id="373"/>
      <w:bookmarkEnd w:id="418"/>
      <w:bookmarkEnd w:id="419"/>
    </w:p>
    <w:p w14:paraId="0D15A8B0">
      <w:pPr>
        <w:spacing w:line="240" w:lineRule="atLeas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color w:val="auto"/>
          <w:sz w:val="24"/>
          <w:szCs w:val="24"/>
          <w:highlight w:val="none"/>
          <w:lang w:eastAsia="zh-CN"/>
        </w:rPr>
        <w:t>此</w:t>
      </w:r>
      <w:r>
        <w:rPr>
          <w:rFonts w:hint="eastAsia" w:ascii="微软雅黑" w:hAnsi="微软雅黑" w:eastAsia="微软雅黑" w:cs="微软雅黑"/>
          <w:b/>
          <w:color w:val="auto"/>
          <w:sz w:val="24"/>
          <w:szCs w:val="24"/>
          <w:highlight w:val="none"/>
        </w:rPr>
        <w:t>表是对投标人须知的具体补充和修改，如有矛盾，应以本资料表为准。</w:t>
      </w:r>
    </w:p>
    <w:tbl>
      <w:tblPr>
        <w:tblStyle w:val="38"/>
        <w:tblW w:w="9987" w:type="dxa"/>
        <w:tblInd w:w="-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6"/>
        <w:gridCol w:w="8941"/>
      </w:tblGrid>
      <w:tr w14:paraId="7D4F5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46" w:type="dxa"/>
            <w:noWrap w:val="0"/>
            <w:vAlign w:val="center"/>
          </w:tcPr>
          <w:p w14:paraId="3F9DA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条款号</w:t>
            </w:r>
          </w:p>
        </w:tc>
        <w:tc>
          <w:tcPr>
            <w:tcW w:w="8941" w:type="dxa"/>
            <w:noWrap w:val="0"/>
            <w:vAlign w:val="center"/>
          </w:tcPr>
          <w:p w14:paraId="5FFEF4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内      容</w:t>
            </w:r>
          </w:p>
        </w:tc>
      </w:tr>
      <w:tr w14:paraId="61EB4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46" w:type="dxa"/>
            <w:noWrap w:val="0"/>
            <w:vAlign w:val="center"/>
          </w:tcPr>
          <w:p w14:paraId="7518C6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w:t>
            </w:r>
          </w:p>
        </w:tc>
        <w:tc>
          <w:tcPr>
            <w:tcW w:w="8941" w:type="dxa"/>
            <w:noWrap w:val="0"/>
            <w:vAlign w:val="center"/>
          </w:tcPr>
          <w:p w14:paraId="3C6A0B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bidi="ar-SA"/>
              </w:rPr>
              <w:t>采 购 人：中共喀什市委组织部　</w:t>
            </w:r>
          </w:p>
          <w:p w14:paraId="1B0657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bidi="ar-SA"/>
              </w:rPr>
              <w:t>地    址：喀什市人民东路51号</w:t>
            </w:r>
          </w:p>
          <w:p w14:paraId="487DC6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bidi="ar-SA"/>
              </w:rPr>
              <w:t>联 系 人：李鹏飞</w:t>
            </w:r>
          </w:p>
          <w:p w14:paraId="72CE1B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bidi="ar-SA"/>
              </w:rPr>
              <w:t>联系方式：13899189870</w:t>
            </w:r>
          </w:p>
        </w:tc>
      </w:tr>
      <w:tr w14:paraId="79638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46" w:type="dxa"/>
            <w:noWrap w:val="0"/>
            <w:vAlign w:val="center"/>
          </w:tcPr>
          <w:p w14:paraId="2B4030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w:t>
            </w:r>
          </w:p>
        </w:tc>
        <w:tc>
          <w:tcPr>
            <w:tcW w:w="8941" w:type="dxa"/>
            <w:noWrap w:val="0"/>
            <w:vAlign w:val="center"/>
          </w:tcPr>
          <w:p w14:paraId="4BFB55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代理机构：新疆新之建工程咨询有限公司</w:t>
            </w:r>
          </w:p>
          <w:p w14:paraId="6935E1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地    址：新疆喀什地区喀什市经济开发区城东大道63号陕西企业总一栋21层部大厦2104-1室</w:t>
            </w:r>
          </w:p>
          <w:p w14:paraId="0AD945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联 系 人：邬燕龙</w:t>
            </w:r>
          </w:p>
          <w:p w14:paraId="62BB96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lang w:eastAsia="zh-CN"/>
              </w:rPr>
            </w:pPr>
            <w:r>
              <w:rPr>
                <w:rFonts w:hint="eastAsia" w:ascii="微软雅黑" w:hAnsi="微软雅黑" w:eastAsia="微软雅黑" w:cs="微软雅黑"/>
                <w:b w:val="0"/>
                <w:bCs w:val="0"/>
                <w:color w:val="auto"/>
                <w:kern w:val="0"/>
                <w:sz w:val="22"/>
                <w:szCs w:val="22"/>
                <w:highlight w:val="none"/>
                <w:lang w:val="en-US" w:eastAsia="zh-CN" w:bidi="ar-SA"/>
              </w:rPr>
              <w:t>联系方式：16675437306</w:t>
            </w:r>
          </w:p>
        </w:tc>
      </w:tr>
      <w:tr w14:paraId="09B20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1046" w:type="dxa"/>
            <w:noWrap w:val="0"/>
            <w:vAlign w:val="center"/>
          </w:tcPr>
          <w:p w14:paraId="1C1046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w:t>
            </w:r>
          </w:p>
        </w:tc>
        <w:tc>
          <w:tcPr>
            <w:tcW w:w="8941" w:type="dxa"/>
            <w:noWrap w:val="0"/>
            <w:vAlign w:val="center"/>
          </w:tcPr>
          <w:p w14:paraId="41FC1CA1">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rPr>
              <w:t>合格投标人资格要求：投标人必须满足《中华人民共和国政府采购法》第二十二条</w:t>
            </w:r>
            <w:r>
              <w:rPr>
                <w:rFonts w:hint="eastAsia" w:ascii="微软雅黑" w:hAnsi="微软雅黑" w:eastAsia="微软雅黑" w:cs="微软雅黑"/>
                <w:b/>
                <w:bCs/>
                <w:color w:val="auto"/>
                <w:sz w:val="22"/>
                <w:szCs w:val="22"/>
                <w:highlight w:val="none"/>
                <w:lang w:eastAsia="zh-CN"/>
              </w:rPr>
              <w:t>。</w:t>
            </w:r>
          </w:p>
          <w:p w14:paraId="3EE62F36">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申请人的资格要求：</w:t>
            </w:r>
          </w:p>
          <w:p w14:paraId="762A0701">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rPr>
              <w:t>1.</w:t>
            </w:r>
            <w:r>
              <w:rPr>
                <w:rFonts w:hint="eastAsia" w:ascii="微软雅黑" w:hAnsi="微软雅黑" w:eastAsia="微软雅黑" w:cs="微软雅黑"/>
                <w:b/>
                <w:bCs/>
                <w:color w:val="auto"/>
                <w:sz w:val="22"/>
                <w:szCs w:val="22"/>
                <w:highlight w:val="none"/>
                <w:lang w:eastAsia="zh-CN"/>
              </w:rPr>
              <w:t>法人或者其他组织的营业执照等证明文件；</w:t>
            </w:r>
          </w:p>
          <w:p w14:paraId="6A93F47E">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2</w:t>
            </w:r>
            <w:r>
              <w:rPr>
                <w:rFonts w:hint="eastAsia" w:ascii="微软雅黑" w:hAnsi="微软雅黑" w:eastAsia="微软雅黑" w:cs="微软雅黑"/>
                <w:b/>
                <w:bCs/>
                <w:color w:val="auto"/>
                <w:sz w:val="22"/>
                <w:szCs w:val="22"/>
                <w:highlight w:val="none"/>
              </w:rPr>
              <w:t xml:space="preserve">.法定代表人（单位负责人）投标需提供法定代表人（单位负责人）身份证明；授权人投标需提供法定代表人(单位负责人)身份证明及授权书；  </w:t>
            </w:r>
          </w:p>
          <w:p w14:paraId="35842D8E">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3</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eastAsia="zh-CN"/>
              </w:rPr>
              <w:t>提供2025年度的财务审计报告（新公司可提供近三个月内任意一个月的银行资信证明）</w:t>
            </w:r>
            <w:r>
              <w:rPr>
                <w:rFonts w:hint="eastAsia" w:ascii="微软雅黑" w:hAnsi="微软雅黑" w:eastAsia="微软雅黑" w:cs="微软雅黑"/>
                <w:b/>
                <w:bCs/>
                <w:color w:val="auto"/>
                <w:sz w:val="22"/>
                <w:szCs w:val="22"/>
                <w:highlight w:val="none"/>
              </w:rPr>
              <w:t>；</w:t>
            </w:r>
          </w:p>
          <w:p w14:paraId="46B1CF2C">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4</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eastAsia="zh-CN"/>
              </w:rPr>
              <w:t>提供</w:t>
            </w:r>
            <w:r>
              <w:rPr>
                <w:rFonts w:hint="eastAsia" w:ascii="微软雅黑" w:hAnsi="微软雅黑" w:eastAsia="微软雅黑" w:cs="微软雅黑"/>
                <w:b/>
                <w:bCs/>
                <w:color w:val="auto"/>
                <w:sz w:val="22"/>
                <w:szCs w:val="22"/>
                <w:highlight w:val="none"/>
              </w:rPr>
              <w:t>依法缴纳近</w:t>
            </w:r>
            <w:r>
              <w:rPr>
                <w:rFonts w:hint="eastAsia" w:ascii="微软雅黑" w:hAnsi="微软雅黑" w:eastAsia="微软雅黑" w:cs="微软雅黑"/>
                <w:b/>
                <w:bCs/>
                <w:color w:val="auto"/>
                <w:sz w:val="22"/>
                <w:szCs w:val="22"/>
                <w:highlight w:val="none"/>
                <w:lang w:eastAsia="zh-CN"/>
              </w:rPr>
              <w:t>六</w:t>
            </w:r>
            <w:r>
              <w:rPr>
                <w:rFonts w:hint="eastAsia" w:ascii="微软雅黑" w:hAnsi="微软雅黑" w:eastAsia="微软雅黑" w:cs="微软雅黑"/>
                <w:b/>
                <w:bCs/>
                <w:color w:val="auto"/>
                <w:sz w:val="22"/>
                <w:szCs w:val="22"/>
                <w:highlight w:val="none"/>
              </w:rPr>
              <w:t>个月任意一个月社会保险的凭据；</w:t>
            </w:r>
          </w:p>
          <w:p w14:paraId="5A885C9D">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5</w:t>
            </w:r>
            <w:r>
              <w:rPr>
                <w:rFonts w:hint="eastAsia" w:ascii="微软雅黑" w:hAnsi="微软雅黑" w:eastAsia="微软雅黑" w:cs="微软雅黑"/>
                <w:b/>
                <w:bCs/>
                <w:color w:val="auto"/>
                <w:sz w:val="22"/>
                <w:szCs w:val="22"/>
                <w:highlight w:val="none"/>
              </w:rPr>
              <w:t>.提供税务部门出具的近</w:t>
            </w:r>
            <w:r>
              <w:rPr>
                <w:rFonts w:hint="eastAsia" w:ascii="微软雅黑" w:hAnsi="微软雅黑" w:eastAsia="微软雅黑" w:cs="微软雅黑"/>
                <w:b/>
                <w:bCs/>
                <w:color w:val="auto"/>
                <w:sz w:val="22"/>
                <w:szCs w:val="22"/>
                <w:highlight w:val="none"/>
                <w:lang w:eastAsia="zh-CN"/>
              </w:rPr>
              <w:t>六</w:t>
            </w:r>
            <w:r>
              <w:rPr>
                <w:rFonts w:hint="eastAsia" w:ascii="微软雅黑" w:hAnsi="微软雅黑" w:eastAsia="微软雅黑" w:cs="微软雅黑"/>
                <w:b/>
                <w:bCs/>
                <w:color w:val="auto"/>
                <w:sz w:val="22"/>
                <w:szCs w:val="22"/>
                <w:highlight w:val="none"/>
              </w:rPr>
              <w:t>个月任意一个月的完税证明；</w:t>
            </w:r>
          </w:p>
          <w:p w14:paraId="65ECBE02">
            <w:pPr>
              <w:pStyle w:val="3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val="en-US" w:eastAsia="zh-CN"/>
              </w:rPr>
              <w:t>6</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val="en-US" w:eastAsia="zh-CN"/>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p w14:paraId="5E7071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7.具有履行合同所必需的设备和专业技术能力的承诺书；</w:t>
            </w:r>
          </w:p>
          <w:p w14:paraId="68E6C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8.提供针对本次项目《反商业贿赂承诺书》；</w:t>
            </w:r>
          </w:p>
          <w:p w14:paraId="3844A7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9.参加政府采购活动前3年内在经营活动中没有重大违法违规记录的书面声明；</w:t>
            </w:r>
          </w:p>
          <w:p w14:paraId="363C6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10.投标保证金缴纳凭证；</w:t>
            </w:r>
          </w:p>
          <w:p w14:paraId="772D36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注：“提供税务部门出具的近六个月内任意一个月的完税证明”：若投标人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请各投标人注意！</w:t>
            </w:r>
          </w:p>
        </w:tc>
      </w:tr>
      <w:tr w14:paraId="33AFB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46" w:type="dxa"/>
            <w:noWrap w:val="0"/>
            <w:vAlign w:val="center"/>
          </w:tcPr>
          <w:p w14:paraId="1224AD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w:t>
            </w:r>
          </w:p>
        </w:tc>
        <w:tc>
          <w:tcPr>
            <w:tcW w:w="8941" w:type="dxa"/>
            <w:noWrap w:val="0"/>
            <w:vAlign w:val="center"/>
          </w:tcPr>
          <w:p w14:paraId="094B30A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val="en-US" w:eastAsia="zh-CN"/>
              </w:rPr>
              <w:t>1.</w:t>
            </w:r>
            <w:r>
              <w:rPr>
                <w:rFonts w:hint="eastAsia" w:ascii="微软雅黑" w:hAnsi="微软雅黑" w:eastAsia="微软雅黑" w:cs="微软雅黑"/>
                <w:b/>
                <w:bCs/>
                <w:color w:val="auto"/>
                <w:sz w:val="22"/>
                <w:szCs w:val="22"/>
                <w:highlight w:val="none"/>
              </w:rPr>
              <w:t>是否为专门面向</w:t>
            </w:r>
            <w:r>
              <w:rPr>
                <w:rFonts w:hint="eastAsia" w:ascii="微软雅黑" w:hAnsi="微软雅黑" w:eastAsia="微软雅黑" w:cs="微软雅黑"/>
                <w:b/>
                <w:bCs/>
                <w:color w:val="auto"/>
                <w:sz w:val="22"/>
                <w:szCs w:val="22"/>
                <w:highlight w:val="none"/>
                <w:lang w:val="en-US" w:eastAsia="zh-CN"/>
              </w:rPr>
              <w:t>中小微</w:t>
            </w:r>
            <w:r>
              <w:rPr>
                <w:rFonts w:hint="eastAsia" w:ascii="微软雅黑" w:hAnsi="微软雅黑" w:eastAsia="微软雅黑" w:cs="微软雅黑"/>
                <w:b/>
                <w:bCs/>
                <w:color w:val="auto"/>
                <w:sz w:val="22"/>
                <w:szCs w:val="22"/>
                <w:highlight w:val="none"/>
              </w:rPr>
              <w:t>企业采购：</w:t>
            </w:r>
            <w:r>
              <w:rPr>
                <w:rFonts w:hint="eastAsia" w:ascii="微软雅黑" w:hAnsi="微软雅黑" w:eastAsia="微软雅黑" w:cs="微软雅黑"/>
                <w:b/>
                <w:bCs/>
                <w:color w:val="auto"/>
                <w:sz w:val="22"/>
                <w:szCs w:val="22"/>
                <w:highlight w:val="none"/>
                <w:u w:val="single"/>
              </w:rPr>
              <w:t xml:space="preserve"> </w:t>
            </w:r>
            <w:r>
              <w:rPr>
                <w:rFonts w:hint="eastAsia" w:ascii="微软雅黑" w:hAnsi="微软雅黑" w:eastAsia="微软雅黑" w:cs="微软雅黑"/>
                <w:b/>
                <w:bCs/>
                <w:color w:val="auto"/>
                <w:sz w:val="22"/>
                <w:szCs w:val="22"/>
                <w:highlight w:val="none"/>
                <w:u w:val="single"/>
                <w:lang w:val="en-US" w:eastAsia="zh-CN"/>
              </w:rPr>
              <w:t>否</w:t>
            </w:r>
            <w:r>
              <w:rPr>
                <w:rFonts w:hint="eastAsia" w:ascii="微软雅黑" w:hAnsi="微软雅黑" w:eastAsia="微软雅黑" w:cs="微软雅黑"/>
                <w:b/>
                <w:bCs/>
                <w:color w:val="auto"/>
                <w:sz w:val="22"/>
                <w:szCs w:val="22"/>
                <w:highlight w:val="none"/>
                <w:u w:val="single"/>
              </w:rPr>
              <w:t xml:space="preserve"> </w:t>
            </w:r>
            <w:r>
              <w:rPr>
                <w:rFonts w:hint="eastAsia" w:ascii="微软雅黑" w:hAnsi="微软雅黑" w:eastAsia="微软雅黑" w:cs="微软雅黑"/>
                <w:b/>
                <w:bCs/>
                <w:color w:val="auto"/>
                <w:sz w:val="22"/>
                <w:szCs w:val="22"/>
                <w:highlight w:val="none"/>
              </w:rPr>
              <w:t>（是、否）</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kern w:val="2"/>
                <w:sz w:val="22"/>
                <w:szCs w:val="22"/>
                <w:highlight w:val="none"/>
                <w:u w:val="single"/>
                <w:lang w:val="en-US" w:eastAsia="zh-CN" w:bidi="ar-SA"/>
              </w:rPr>
              <w:t xml:space="preserve">本项目行业属于 租赁和商务服务业 </w:t>
            </w:r>
            <w:r>
              <w:rPr>
                <w:rFonts w:hint="eastAsia" w:ascii="微软雅黑" w:hAnsi="微软雅黑" w:eastAsia="微软雅黑" w:cs="微软雅黑"/>
                <w:b/>
                <w:bCs/>
                <w:color w:val="auto"/>
                <w:kern w:val="2"/>
                <w:sz w:val="22"/>
                <w:szCs w:val="22"/>
                <w:highlight w:val="none"/>
                <w:lang w:val="en-US" w:eastAsia="zh-CN" w:bidi="ar-SA"/>
              </w:rPr>
              <w:t>。</w:t>
            </w:r>
          </w:p>
          <w:p w14:paraId="5166B9B1">
            <w:pPr>
              <w:pStyle w:val="15"/>
              <w:keepNext w:val="0"/>
              <w:keepLines w:val="0"/>
              <w:pageBreakBefore w:val="0"/>
              <w:suppressLineNumbers w:val="0"/>
              <w:kinsoku/>
              <w:overflowPunct/>
              <w:topLinePunct w:val="0"/>
              <w:bidi w:val="0"/>
              <w:snapToGrid w:val="0"/>
              <w:spacing w:before="0" w:beforeAutospacing="0" w:after="0" w:afterAutospacing="0" w:line="312" w:lineRule="auto"/>
              <w:ind w:left="0" w:right="0"/>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sz w:val="22"/>
                <w:szCs w:val="22"/>
                <w:highlight w:val="none"/>
              </w:rPr>
              <w:t>2.</w:t>
            </w:r>
            <w:r>
              <w:rPr>
                <w:rFonts w:hint="eastAsia" w:ascii="微软雅黑" w:hAnsi="微软雅黑" w:eastAsia="微软雅黑" w:cs="微软雅黑"/>
                <w:b w:val="0"/>
                <w:bCs w:val="0"/>
                <w:color w:val="auto"/>
                <w:kern w:val="2"/>
                <w:sz w:val="22"/>
                <w:szCs w:val="22"/>
                <w:highlight w:val="none"/>
                <w:lang w:val="en-US" w:eastAsia="zh-CN" w:bidi="ar-SA"/>
              </w:rPr>
              <w:t>本项目根据《政府采购促进中小企业发展管理办法》（财库[2020]46 号）、关于进一步加大政府采购支持中小企业力度的通知财库〔2022〕19号，《财政部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号）的规定，对满足价格扣除条件且在投标文件中提交了《中小企业声明函》或省级以上监狱管理局、戒毒管理局（含新疆生产建设兵团）出具的属于监狱企业的证明文件的投标人，其投标报价扣除</w:t>
            </w:r>
            <w:r>
              <w:rPr>
                <w:rFonts w:hint="eastAsia" w:ascii="微软雅黑" w:hAnsi="微软雅黑" w:eastAsia="微软雅黑" w:cs="微软雅黑"/>
                <w:b w:val="0"/>
                <w:bCs w:val="0"/>
                <w:color w:val="auto"/>
                <w:kern w:val="2"/>
                <w:sz w:val="22"/>
                <w:szCs w:val="22"/>
                <w:highlight w:val="none"/>
                <w:u w:val="single"/>
                <w:lang w:val="en-US" w:eastAsia="zh-CN" w:bidi="ar-SA"/>
              </w:rPr>
              <w:t xml:space="preserve"> 10% </w:t>
            </w:r>
            <w:r>
              <w:rPr>
                <w:rFonts w:hint="eastAsia" w:ascii="微软雅黑" w:hAnsi="微软雅黑" w:eastAsia="微软雅黑" w:cs="微软雅黑"/>
                <w:b w:val="0"/>
                <w:bCs w:val="0"/>
                <w:color w:val="auto"/>
                <w:kern w:val="2"/>
                <w:sz w:val="22"/>
                <w:szCs w:val="22"/>
                <w:highlight w:val="none"/>
                <w:lang w:val="en-US" w:eastAsia="zh-CN" w:bidi="ar-SA"/>
              </w:rPr>
              <w:t>后参与评审。对于同时属于小微企业、监狱企业或残疾人福利性单位的，不重复进行投标报价扣除。</w:t>
            </w:r>
          </w:p>
          <w:p w14:paraId="656D3D13">
            <w:pPr>
              <w:pStyle w:val="15"/>
              <w:keepNext w:val="0"/>
              <w:keepLines w:val="0"/>
              <w:pageBreakBefore w:val="0"/>
              <w:suppressLineNumbers w:val="0"/>
              <w:kinsoku/>
              <w:overflowPunct/>
              <w:topLinePunct w:val="0"/>
              <w:bidi w:val="0"/>
              <w:snapToGrid w:val="0"/>
              <w:spacing w:before="0" w:beforeAutospacing="0" w:after="0" w:afterAutospacing="0" w:line="312" w:lineRule="auto"/>
              <w:ind w:left="0" w:right="0"/>
              <w:textAlignment w:val="auto"/>
              <w:rPr>
                <w:rFonts w:hint="default"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3.投标企业属于中小企业的，请根据所投标项标的具体情况在投标文件中提供“中小企业声明函”，如果未提供或提供虚假的《中小企业声明函》，投标企业将承担由此造成的一切不利后果；供应商应提供合格的《中小企业声明函》，如供应商提供的《中小企业声明函》不合格或未提供《中小企业声明函》的，不得享受相关中小微企业扶持政策。</w:t>
            </w:r>
          </w:p>
          <w:p w14:paraId="3859231E">
            <w:pPr>
              <w:pStyle w:val="15"/>
              <w:keepNext w:val="0"/>
              <w:keepLines w:val="0"/>
              <w:pageBreakBefore w:val="0"/>
              <w:suppressLineNumbers w:val="0"/>
              <w:kinsoku/>
              <w:overflowPunct/>
              <w:topLinePunct w:val="0"/>
              <w:bidi w:val="0"/>
              <w:snapToGrid w:val="0"/>
              <w:spacing w:before="0" w:beforeAutospacing="0" w:after="0" w:afterAutospacing="0" w:line="312" w:lineRule="auto"/>
              <w:ind w:left="0" w:right="0"/>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4.残疾人福利性单位、监狱和戒毒企业（简称监狱企业）视同小型、微型企业；残疾人福利单位、监狱企业同时属于小型、微型企业的，不重复享受财政政策。</w:t>
            </w:r>
          </w:p>
          <w:p w14:paraId="2A3DC6FC">
            <w:pPr>
              <w:pStyle w:val="15"/>
              <w:keepNext w:val="0"/>
              <w:keepLines w:val="0"/>
              <w:pageBreakBefore w:val="0"/>
              <w:suppressLineNumbers w:val="0"/>
              <w:kinsoku/>
              <w:overflowPunct/>
              <w:topLinePunct w:val="0"/>
              <w:bidi w:val="0"/>
              <w:snapToGrid w:val="0"/>
              <w:spacing w:before="0" w:beforeAutospacing="0" w:after="0" w:afterAutospacing="0" w:line="312" w:lineRule="auto"/>
              <w:ind w:left="0" w:right="0"/>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5.根据《关于政府采购支持监狱企业发展有关问题的通知》（财库[2014]68号）和本招标文件要求，供应商应提供合格的监狱企业的证明文件，如供应商提供的监狱企业的证明文件不合格或未提供监狱企业的证明文件的，不得享受相关中小微企业扶持政策。</w:t>
            </w:r>
          </w:p>
          <w:p w14:paraId="163F0B6D">
            <w:pPr>
              <w:pStyle w:val="15"/>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kern w:val="2"/>
                <w:sz w:val="22"/>
                <w:szCs w:val="22"/>
                <w:highlight w:val="none"/>
                <w:lang w:val="en-US" w:eastAsia="zh-CN" w:bidi="ar-SA"/>
              </w:rPr>
              <w:t>6.根据《关于促进残疾人就业政府采购政策的通知》（财库[2017]141号）要求，供应商应提供合格的《残疾人福利性单位声明函》，如供应商提供的《残疾人福利性单位声明函》不合格或未提供《残疾人福利性单位声明函》的，不得享受相关中小微企业扶持政策。</w:t>
            </w:r>
          </w:p>
        </w:tc>
      </w:tr>
      <w:tr w14:paraId="19407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46" w:type="dxa"/>
            <w:noWrap w:val="0"/>
            <w:vAlign w:val="center"/>
          </w:tcPr>
          <w:p w14:paraId="21CD6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w:t>
            </w:r>
          </w:p>
        </w:tc>
        <w:tc>
          <w:tcPr>
            <w:tcW w:w="8941" w:type="dxa"/>
            <w:noWrap w:val="0"/>
            <w:vAlign w:val="center"/>
          </w:tcPr>
          <w:p w14:paraId="60FB68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是否允许联合体投标：</w:t>
            </w:r>
            <w:r>
              <w:rPr>
                <w:rFonts w:hint="eastAsia" w:ascii="微软雅黑" w:hAnsi="微软雅黑" w:eastAsia="微软雅黑" w:cs="微软雅黑"/>
                <w:b w:val="0"/>
                <w:bCs w:val="0"/>
                <w:color w:val="auto"/>
                <w:sz w:val="22"/>
                <w:szCs w:val="22"/>
                <w:highlight w:val="none"/>
                <w:u w:val="single"/>
              </w:rPr>
              <w:t xml:space="preserve"> 否 </w:t>
            </w:r>
            <w:r>
              <w:rPr>
                <w:rFonts w:hint="eastAsia" w:ascii="微软雅黑" w:hAnsi="微软雅黑" w:eastAsia="微软雅黑" w:cs="微软雅黑"/>
                <w:b w:val="0"/>
                <w:bCs w:val="0"/>
                <w:i/>
                <w:color w:val="auto"/>
                <w:sz w:val="22"/>
                <w:szCs w:val="22"/>
                <w:highlight w:val="none"/>
              </w:rPr>
              <w:t>（是、否）</w:t>
            </w:r>
          </w:p>
        </w:tc>
      </w:tr>
      <w:tr w14:paraId="2D2EB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46" w:type="dxa"/>
            <w:noWrap w:val="0"/>
            <w:vAlign w:val="center"/>
          </w:tcPr>
          <w:p w14:paraId="24D04A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w:t>
            </w:r>
          </w:p>
        </w:tc>
        <w:tc>
          <w:tcPr>
            <w:tcW w:w="8941" w:type="dxa"/>
            <w:noWrap w:val="0"/>
            <w:vAlign w:val="center"/>
          </w:tcPr>
          <w:p w14:paraId="5BEFA8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rPr>
              <w:t>联合体的其他资格要求：</w:t>
            </w:r>
            <w:r>
              <w:rPr>
                <w:rFonts w:hint="eastAsia" w:ascii="微软雅黑" w:hAnsi="微软雅黑" w:eastAsia="微软雅黑" w:cs="微软雅黑"/>
                <w:b w:val="0"/>
                <w:bCs w:val="0"/>
                <w:color w:val="auto"/>
                <w:sz w:val="22"/>
                <w:szCs w:val="22"/>
                <w:highlight w:val="none"/>
                <w:u w:val="single"/>
                <w:lang w:val="en-US" w:eastAsia="zh-CN"/>
              </w:rPr>
              <w:t xml:space="preserve">  </w:t>
            </w:r>
            <w:r>
              <w:rPr>
                <w:rFonts w:hint="eastAsia" w:ascii="微软雅黑" w:hAnsi="微软雅黑" w:eastAsia="微软雅黑" w:cs="微软雅黑"/>
                <w:b w:val="0"/>
                <w:bCs w:val="0"/>
                <w:color w:val="auto"/>
                <w:sz w:val="22"/>
                <w:szCs w:val="22"/>
                <w:highlight w:val="none"/>
                <w:u w:val="single"/>
              </w:rPr>
              <w:t>本项目不接受联合体投标</w:t>
            </w:r>
            <w:r>
              <w:rPr>
                <w:rFonts w:hint="eastAsia" w:ascii="微软雅黑" w:hAnsi="微软雅黑" w:eastAsia="微软雅黑" w:cs="微软雅黑"/>
                <w:b w:val="0"/>
                <w:bCs w:val="0"/>
                <w:color w:val="auto"/>
                <w:sz w:val="22"/>
                <w:szCs w:val="22"/>
                <w:highlight w:val="none"/>
                <w:u w:val="single"/>
                <w:lang w:val="en-US" w:eastAsia="zh-CN"/>
              </w:rPr>
              <w:t xml:space="preserve">  </w:t>
            </w:r>
          </w:p>
        </w:tc>
      </w:tr>
      <w:tr w14:paraId="53442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46" w:type="dxa"/>
            <w:noWrap w:val="0"/>
            <w:vAlign w:val="center"/>
          </w:tcPr>
          <w:p w14:paraId="5845FC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w:t>
            </w:r>
          </w:p>
        </w:tc>
        <w:tc>
          <w:tcPr>
            <w:tcW w:w="8941" w:type="dxa"/>
            <w:noWrap w:val="0"/>
            <w:vAlign w:val="center"/>
          </w:tcPr>
          <w:p w14:paraId="68DDBB8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z w:val="22"/>
                <w:szCs w:val="22"/>
                <w:highlight w:val="none"/>
                <w:u w:val="none"/>
                <w:lang w:val="en-US" w:eastAsia="zh-CN"/>
              </w:rPr>
            </w:pPr>
            <w:r>
              <w:rPr>
                <w:rFonts w:hint="eastAsia" w:ascii="微软雅黑" w:hAnsi="微软雅黑" w:eastAsia="微软雅黑" w:cs="微软雅黑"/>
                <w:b/>
                <w:bCs/>
                <w:color w:val="auto"/>
                <w:sz w:val="22"/>
                <w:szCs w:val="22"/>
                <w:highlight w:val="none"/>
                <w:u w:val="none"/>
              </w:rPr>
              <w:t>预算金额：</w:t>
            </w:r>
            <w:r>
              <w:rPr>
                <w:rFonts w:hint="eastAsia" w:ascii="微软雅黑" w:hAnsi="微软雅黑" w:eastAsia="微软雅黑" w:cs="微软雅黑"/>
                <w:b/>
                <w:bCs/>
                <w:color w:val="auto"/>
                <w:sz w:val="22"/>
                <w:szCs w:val="22"/>
                <w:highlight w:val="none"/>
                <w:u w:val="none"/>
                <w:lang w:eastAsia="zh-CN"/>
              </w:rPr>
              <w:t>2348500</w:t>
            </w:r>
            <w:r>
              <w:rPr>
                <w:rFonts w:hint="eastAsia" w:ascii="微软雅黑" w:hAnsi="微软雅黑" w:eastAsia="微软雅黑" w:cs="微软雅黑"/>
                <w:b/>
                <w:bCs/>
                <w:color w:val="auto"/>
                <w:sz w:val="22"/>
                <w:szCs w:val="22"/>
                <w:highlight w:val="none"/>
                <w:u w:val="none"/>
                <w:lang w:val="en-US" w:eastAsia="zh-CN"/>
              </w:rPr>
              <w:t>元；</w:t>
            </w:r>
          </w:p>
          <w:p w14:paraId="725FA1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bCs/>
                <w:color w:val="auto"/>
                <w:sz w:val="22"/>
                <w:szCs w:val="22"/>
                <w:highlight w:val="none"/>
                <w:u w:val="none"/>
              </w:rPr>
              <w:t>最高限价：</w:t>
            </w:r>
            <w:r>
              <w:rPr>
                <w:rFonts w:hint="eastAsia" w:ascii="微软雅黑" w:hAnsi="微软雅黑" w:eastAsia="微软雅黑" w:cs="微软雅黑"/>
                <w:b/>
                <w:bCs/>
                <w:color w:val="auto"/>
                <w:sz w:val="22"/>
                <w:szCs w:val="22"/>
                <w:highlight w:val="none"/>
                <w:u w:val="none"/>
                <w:lang w:val="en-US" w:eastAsia="zh-CN"/>
              </w:rPr>
              <w:t>2348500元</w:t>
            </w:r>
          </w:p>
        </w:tc>
      </w:tr>
      <w:tr w14:paraId="65642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46" w:type="dxa"/>
            <w:noWrap w:val="0"/>
            <w:vAlign w:val="center"/>
          </w:tcPr>
          <w:p w14:paraId="73DC90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w:t>
            </w:r>
          </w:p>
        </w:tc>
        <w:tc>
          <w:tcPr>
            <w:tcW w:w="8941" w:type="dxa"/>
            <w:noWrap w:val="0"/>
            <w:vAlign w:val="center"/>
          </w:tcPr>
          <w:p w14:paraId="0C2F57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保证金形式：☑电汇 ☑转账</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rPr>
              <w:t>☑银行保函</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eastAsia="zh-CN"/>
              </w:rPr>
              <w:t>电子</w:t>
            </w:r>
            <w:r>
              <w:rPr>
                <w:rFonts w:hint="eastAsia" w:ascii="微软雅黑" w:hAnsi="微软雅黑" w:eastAsia="微软雅黑" w:cs="微软雅黑"/>
                <w:b/>
                <w:bCs/>
                <w:color w:val="auto"/>
                <w:sz w:val="22"/>
                <w:szCs w:val="22"/>
                <w:highlight w:val="none"/>
              </w:rPr>
              <w:t>保函</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eastAsia="zh-CN"/>
              </w:rPr>
              <w:t>支票、</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eastAsia="zh-CN"/>
              </w:rPr>
              <w:t>汇票、</w:t>
            </w:r>
            <w:r>
              <w:rPr>
                <w:rFonts w:hint="eastAsia" w:ascii="微软雅黑" w:hAnsi="微软雅黑" w:eastAsia="微软雅黑" w:cs="微软雅黑"/>
                <w:b/>
                <w:bCs/>
                <w:color w:val="auto"/>
                <w:sz w:val="22"/>
                <w:szCs w:val="22"/>
                <w:highlight w:val="none"/>
              </w:rPr>
              <w:t>☑</w:t>
            </w:r>
            <w:r>
              <w:rPr>
                <w:rFonts w:hint="eastAsia" w:ascii="微软雅黑" w:hAnsi="微软雅黑" w:eastAsia="微软雅黑" w:cs="微软雅黑"/>
                <w:b/>
                <w:bCs/>
                <w:color w:val="auto"/>
                <w:sz w:val="22"/>
                <w:szCs w:val="22"/>
                <w:highlight w:val="none"/>
                <w:lang w:eastAsia="zh-CN"/>
              </w:rPr>
              <w:t>本票等非现金形式提交</w:t>
            </w:r>
          </w:p>
          <w:p w14:paraId="2865F1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微软雅黑" w:hAnsi="微软雅黑" w:eastAsia="微软雅黑" w:cs="微软雅黑"/>
                <w:b/>
                <w:bCs/>
                <w:color w:val="auto"/>
                <w:sz w:val="22"/>
                <w:szCs w:val="22"/>
                <w:highlight w:val="yellow"/>
                <w:u w:val="none"/>
                <w:lang w:val="en-US" w:eastAsia="zh-CN"/>
              </w:rPr>
            </w:pPr>
            <w:r>
              <w:rPr>
                <w:rFonts w:hint="eastAsia" w:ascii="微软雅黑" w:hAnsi="微软雅黑" w:eastAsia="微软雅黑" w:cs="微软雅黑"/>
                <w:b/>
                <w:bCs/>
                <w:color w:val="auto"/>
                <w:sz w:val="22"/>
                <w:szCs w:val="22"/>
                <w:highlight w:val="none"/>
              </w:rPr>
              <w:t>保证金数额：</w:t>
            </w:r>
            <w:r>
              <w:rPr>
                <w:rFonts w:hint="eastAsia" w:ascii="微软雅黑" w:hAnsi="微软雅黑" w:eastAsia="微软雅黑" w:cs="微软雅黑"/>
                <w:b/>
                <w:bCs/>
                <w:color w:val="auto"/>
                <w:sz w:val="22"/>
                <w:szCs w:val="22"/>
                <w:highlight w:val="none"/>
                <w:lang w:val="en-US" w:eastAsia="zh-CN"/>
              </w:rPr>
              <w:t>40000元    (大写：肆万元整）</w:t>
            </w:r>
          </w:p>
          <w:p w14:paraId="4E2707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开户名称：</w:t>
            </w:r>
            <w:r>
              <w:rPr>
                <w:rFonts w:hint="eastAsia" w:ascii="微软雅黑" w:hAnsi="微软雅黑" w:eastAsia="微软雅黑" w:cs="微软雅黑"/>
                <w:b w:val="0"/>
                <w:bCs w:val="0"/>
                <w:color w:val="auto"/>
                <w:sz w:val="22"/>
                <w:szCs w:val="22"/>
                <w:highlight w:val="none"/>
                <w:lang w:eastAsia="zh-CN"/>
              </w:rPr>
              <w:t>新疆新之建工程咨询有限公司</w:t>
            </w:r>
            <w:r>
              <w:rPr>
                <w:rFonts w:hint="eastAsia" w:ascii="微软雅黑" w:hAnsi="微软雅黑" w:eastAsia="微软雅黑" w:cs="微软雅黑"/>
                <w:b w:val="0"/>
                <w:bCs w:val="0"/>
                <w:color w:val="auto"/>
                <w:sz w:val="22"/>
                <w:szCs w:val="22"/>
                <w:highlight w:val="none"/>
              </w:rPr>
              <w:t xml:space="preserve">                       </w:t>
            </w:r>
          </w:p>
          <w:p w14:paraId="04769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开户银行：</w:t>
            </w:r>
            <w:r>
              <w:rPr>
                <w:rFonts w:hint="eastAsia" w:ascii="微软雅黑" w:eastAsia="微软雅黑"/>
                <w:spacing w:val="-2"/>
                <w:sz w:val="24"/>
                <w:lang w:eastAsia="zh-CN"/>
              </w:rPr>
              <w:t>中国银行喀什市人民西路支行</w:t>
            </w:r>
            <w:r>
              <w:rPr>
                <w:rFonts w:hint="eastAsia" w:ascii="微软雅黑" w:hAnsi="微软雅黑" w:eastAsia="微软雅黑" w:cs="微软雅黑"/>
                <w:b w:val="0"/>
                <w:bCs w:val="0"/>
                <w:color w:val="auto"/>
                <w:sz w:val="22"/>
                <w:szCs w:val="22"/>
                <w:highlight w:val="none"/>
              </w:rPr>
              <w:t xml:space="preserve">                       </w:t>
            </w:r>
          </w:p>
          <w:p w14:paraId="12FF87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帐    号：</w:t>
            </w:r>
            <w:r>
              <w:rPr>
                <w:rFonts w:hint="eastAsia" w:ascii="微软雅黑" w:eastAsia="微软雅黑"/>
                <w:spacing w:val="-2"/>
                <w:sz w:val="24"/>
              </w:rPr>
              <w:t>108276773977</w:t>
            </w:r>
            <w:r>
              <w:rPr>
                <w:rFonts w:hint="eastAsia" w:ascii="微软雅黑" w:hAnsi="微软雅黑" w:eastAsia="微软雅黑" w:cs="微软雅黑"/>
                <w:b w:val="0"/>
                <w:bCs w:val="0"/>
                <w:color w:val="auto"/>
                <w:sz w:val="22"/>
                <w:szCs w:val="22"/>
                <w:highlight w:val="none"/>
              </w:rPr>
              <w:t xml:space="preserve">                      </w:t>
            </w:r>
          </w:p>
          <w:p w14:paraId="6A069E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rPr>
            </w:pPr>
            <w:r>
              <w:rPr>
                <w:rFonts w:hint="eastAsia" w:ascii="微软雅黑" w:hAnsi="微软雅黑" w:eastAsia="微软雅黑" w:cs="微软雅黑"/>
                <w:b w:val="0"/>
                <w:bCs w:val="0"/>
                <w:color w:val="auto"/>
                <w:sz w:val="22"/>
                <w:szCs w:val="22"/>
                <w:highlight w:val="none"/>
              </w:rPr>
              <w:t>行    号：</w:t>
            </w:r>
            <w:r>
              <w:rPr>
                <w:rFonts w:hint="eastAsia" w:ascii="微软雅黑" w:eastAsia="微软雅黑"/>
                <w:sz w:val="24"/>
              </w:rPr>
              <w:t>104894001062</w:t>
            </w:r>
            <w:r>
              <w:rPr>
                <w:rFonts w:hint="eastAsia" w:ascii="微软雅黑" w:hAnsi="微软雅黑" w:eastAsia="微软雅黑" w:cs="微软雅黑"/>
                <w:b w:val="0"/>
                <w:bCs w:val="0"/>
                <w:color w:val="auto"/>
                <w:sz w:val="22"/>
                <w:szCs w:val="22"/>
                <w:highlight w:val="none"/>
              </w:rPr>
              <w:t xml:space="preserve">   </w:t>
            </w:r>
          </w:p>
          <w:p w14:paraId="34C7DB9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val="0"/>
                <w:bCs w:val="0"/>
                <w:color w:val="auto"/>
                <w:sz w:val="22"/>
                <w:szCs w:val="22"/>
                <w:highlight w:val="none"/>
              </w:rPr>
              <w:t>备注：</w:t>
            </w:r>
          </w:p>
          <w:p w14:paraId="25E045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pacing w:val="-5"/>
                <w:sz w:val="22"/>
                <w:szCs w:val="22"/>
                <w:highlight w:val="none"/>
                <w:lang w:eastAsia="zh-CN"/>
              </w:rPr>
            </w:pPr>
            <w:r>
              <w:rPr>
                <w:rFonts w:hint="eastAsia" w:ascii="微软雅黑" w:hAnsi="微软雅黑" w:eastAsia="微软雅黑" w:cs="微软雅黑"/>
                <w:b/>
                <w:bCs/>
                <w:color w:val="auto"/>
                <w:spacing w:val="-5"/>
                <w:sz w:val="22"/>
                <w:szCs w:val="22"/>
                <w:highlight w:val="none"/>
              </w:rPr>
              <w:t>1、电汇或转账时请在汇款备注栏</w:t>
            </w:r>
            <w:r>
              <w:rPr>
                <w:rFonts w:hint="eastAsia" w:ascii="微软雅黑" w:hAnsi="微软雅黑" w:eastAsia="微软雅黑" w:cs="微软雅黑"/>
                <w:b/>
                <w:bCs/>
                <w:color w:val="auto"/>
                <w:spacing w:val="-5"/>
                <w:sz w:val="22"/>
                <w:szCs w:val="22"/>
                <w:highlight w:val="none"/>
                <w:lang w:eastAsia="zh-CN"/>
              </w:rPr>
              <w:t>：</w:t>
            </w:r>
            <w:r>
              <w:rPr>
                <w:rFonts w:hint="eastAsia" w:ascii="微软雅黑" w:hAnsi="微软雅黑" w:eastAsia="微软雅黑" w:cs="微软雅黑"/>
                <w:b/>
                <w:bCs/>
                <w:color w:val="auto"/>
                <w:spacing w:val="-5"/>
                <w:sz w:val="22"/>
                <w:szCs w:val="22"/>
                <w:highlight w:val="none"/>
                <w:lang w:val="en-US" w:eastAsia="zh-CN"/>
              </w:rPr>
              <w:t>标项</w:t>
            </w:r>
            <w:r>
              <w:rPr>
                <w:rFonts w:hint="eastAsia" w:ascii="微软雅黑" w:hAnsi="微软雅黑" w:eastAsia="微软雅黑" w:cs="微软雅黑"/>
                <w:b/>
                <w:bCs/>
                <w:color w:val="auto"/>
                <w:spacing w:val="-5"/>
                <w:sz w:val="22"/>
                <w:szCs w:val="22"/>
                <w:highlight w:val="none"/>
                <w:lang w:eastAsia="zh-CN"/>
              </w:rPr>
              <w:t>名称</w:t>
            </w:r>
            <w:r>
              <w:rPr>
                <w:rFonts w:hint="eastAsia" w:ascii="微软雅黑" w:hAnsi="微软雅黑" w:eastAsia="微软雅黑" w:cs="微软雅黑"/>
                <w:b/>
                <w:bCs/>
                <w:color w:val="auto"/>
                <w:spacing w:val="-5"/>
                <w:sz w:val="22"/>
                <w:szCs w:val="22"/>
                <w:highlight w:val="none"/>
                <w:lang w:val="en-US" w:eastAsia="zh-CN"/>
              </w:rPr>
              <w:t>+</w:t>
            </w:r>
            <w:r>
              <w:rPr>
                <w:rFonts w:hint="eastAsia" w:ascii="微软雅黑" w:hAnsi="微软雅黑" w:eastAsia="微软雅黑" w:cs="微软雅黑"/>
                <w:b/>
                <w:bCs/>
                <w:color w:val="auto"/>
                <w:spacing w:val="-5"/>
                <w:sz w:val="22"/>
                <w:szCs w:val="22"/>
                <w:highlight w:val="none"/>
                <w:lang w:eastAsia="zh-CN"/>
              </w:rPr>
              <w:t>投标</w:t>
            </w:r>
            <w:r>
              <w:rPr>
                <w:rFonts w:hint="eastAsia" w:ascii="微软雅黑" w:hAnsi="微软雅黑" w:eastAsia="微软雅黑" w:cs="微软雅黑"/>
                <w:b/>
                <w:bCs/>
                <w:color w:val="auto"/>
                <w:spacing w:val="-5"/>
                <w:sz w:val="22"/>
                <w:szCs w:val="22"/>
                <w:highlight w:val="none"/>
              </w:rPr>
              <w:t>保证金</w:t>
            </w:r>
            <w:r>
              <w:rPr>
                <w:rFonts w:hint="eastAsia" w:ascii="微软雅黑" w:hAnsi="微软雅黑" w:eastAsia="微软雅黑" w:cs="微软雅黑"/>
                <w:b/>
                <w:bCs/>
                <w:color w:val="auto"/>
                <w:spacing w:val="-5"/>
                <w:sz w:val="22"/>
                <w:szCs w:val="22"/>
                <w:highlight w:val="none"/>
                <w:lang w:eastAsia="zh-CN"/>
              </w:rPr>
              <w:t>；如填写字数有要求可简写标项名称，由于未按要求注明信息而导致的一切后果由投标人自行承担。</w:t>
            </w:r>
          </w:p>
          <w:p w14:paraId="692B69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pacing w:val="-5"/>
                <w:sz w:val="22"/>
                <w:szCs w:val="22"/>
                <w:highlight w:val="none"/>
              </w:rPr>
            </w:pPr>
            <w:r>
              <w:rPr>
                <w:rFonts w:hint="eastAsia" w:ascii="微软雅黑" w:hAnsi="微软雅黑" w:eastAsia="微软雅黑" w:cs="微软雅黑"/>
                <w:b/>
                <w:bCs/>
                <w:color w:val="auto"/>
                <w:spacing w:val="-5"/>
                <w:sz w:val="22"/>
                <w:szCs w:val="22"/>
                <w:highlight w:val="none"/>
              </w:rPr>
              <w:t>2、若采用电汇或转账形式，投标保证金须于投标截止前转入以上指定账户（资格审查以代理机构实际收到为准），投标保证金付款凭证（或收据）</w:t>
            </w:r>
            <w:r>
              <w:rPr>
                <w:rFonts w:hint="eastAsia" w:ascii="微软雅黑" w:hAnsi="微软雅黑" w:eastAsia="微软雅黑" w:cs="微软雅黑"/>
                <w:b/>
                <w:bCs/>
                <w:color w:val="auto"/>
                <w:spacing w:val="-5"/>
                <w:sz w:val="22"/>
                <w:szCs w:val="22"/>
                <w:highlight w:val="none"/>
                <w:lang w:eastAsia="zh-CN"/>
              </w:rPr>
              <w:t>扫描件</w:t>
            </w:r>
            <w:r>
              <w:rPr>
                <w:rFonts w:hint="eastAsia" w:ascii="微软雅黑" w:hAnsi="微软雅黑" w:eastAsia="微软雅黑" w:cs="微软雅黑"/>
                <w:b/>
                <w:bCs/>
                <w:color w:val="auto"/>
                <w:spacing w:val="-5"/>
                <w:sz w:val="22"/>
                <w:szCs w:val="22"/>
                <w:highlight w:val="none"/>
              </w:rPr>
              <w:t>制作在投标文件中；若采用电子保函形式：按照政采云电子投标流程制作并上传电子保函；若采用支票、汇票、本票、银行保函或者金融机构、担保机构出具的保函等形式：应将扫描件制作在投标文件中</w:t>
            </w:r>
            <w:r>
              <w:rPr>
                <w:rFonts w:hint="eastAsia" w:ascii="微软雅黑" w:hAnsi="微软雅黑" w:eastAsia="微软雅黑" w:cs="微软雅黑"/>
                <w:b/>
                <w:bCs/>
                <w:color w:val="auto"/>
                <w:spacing w:val="-5"/>
                <w:sz w:val="22"/>
                <w:szCs w:val="22"/>
                <w:highlight w:val="none"/>
                <w:lang w:val="en-US" w:eastAsia="zh-CN"/>
              </w:rPr>
              <w:t>。</w:t>
            </w:r>
          </w:p>
          <w:p w14:paraId="3D644A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i/>
                <w:color w:val="auto"/>
                <w:sz w:val="22"/>
                <w:szCs w:val="22"/>
                <w:highlight w:val="none"/>
              </w:rPr>
            </w:pPr>
            <w:r>
              <w:rPr>
                <w:rFonts w:hint="eastAsia" w:ascii="微软雅黑" w:hAnsi="微软雅黑" w:eastAsia="微软雅黑" w:cs="微软雅黑"/>
                <w:color w:val="auto"/>
                <w:spacing w:val="-2"/>
                <w:sz w:val="22"/>
                <w:szCs w:val="22"/>
                <w:highlight w:val="none"/>
                <w:lang w:val="en-US" w:eastAsia="zh-CN"/>
              </w:rPr>
              <w:t>3</w:t>
            </w:r>
            <w:r>
              <w:rPr>
                <w:rFonts w:hint="eastAsia" w:ascii="微软雅黑" w:hAnsi="微软雅黑" w:eastAsia="微软雅黑" w:cs="微软雅黑"/>
                <w:color w:val="auto"/>
                <w:spacing w:val="-2"/>
                <w:sz w:val="22"/>
                <w:szCs w:val="22"/>
                <w:highlight w:val="none"/>
              </w:rPr>
              <w:t>、退</w:t>
            </w:r>
            <w:r>
              <w:rPr>
                <w:rFonts w:hint="eastAsia" w:ascii="微软雅黑" w:hAnsi="微软雅黑" w:eastAsia="微软雅黑" w:cs="微软雅黑"/>
                <w:color w:val="auto"/>
                <w:spacing w:val="-2"/>
                <w:sz w:val="22"/>
                <w:szCs w:val="22"/>
                <w:highlight w:val="none"/>
                <w:lang w:eastAsia="zh-CN"/>
              </w:rPr>
              <w:t>投标保证金</w:t>
            </w:r>
            <w:r>
              <w:rPr>
                <w:rFonts w:hint="eastAsia" w:ascii="微软雅黑" w:hAnsi="微软雅黑" w:eastAsia="微软雅黑" w:cs="微软雅黑"/>
                <w:color w:val="auto"/>
                <w:spacing w:val="-2"/>
                <w:sz w:val="22"/>
                <w:szCs w:val="22"/>
                <w:highlight w:val="none"/>
              </w:rPr>
              <w:t>时，请各</w:t>
            </w:r>
            <w:r>
              <w:rPr>
                <w:rFonts w:hint="eastAsia" w:ascii="微软雅黑" w:hAnsi="微软雅黑" w:eastAsia="微软雅黑" w:cs="微软雅黑"/>
                <w:color w:val="auto"/>
                <w:spacing w:val="-2"/>
                <w:sz w:val="22"/>
                <w:szCs w:val="22"/>
                <w:highlight w:val="none"/>
                <w:lang w:eastAsia="zh-CN"/>
              </w:rPr>
              <w:t>投标人</w:t>
            </w:r>
            <w:r>
              <w:rPr>
                <w:rFonts w:hint="eastAsia" w:ascii="微软雅黑" w:hAnsi="微软雅黑" w:eastAsia="微软雅黑" w:cs="微软雅黑"/>
                <w:color w:val="auto"/>
                <w:spacing w:val="-2"/>
                <w:sz w:val="22"/>
                <w:szCs w:val="22"/>
                <w:highlight w:val="none"/>
              </w:rPr>
              <w:t>提供银行开户许可证</w:t>
            </w:r>
            <w:r>
              <w:rPr>
                <w:rFonts w:hint="eastAsia" w:ascii="微软雅黑" w:hAnsi="微软雅黑" w:eastAsia="微软雅黑" w:cs="微软雅黑"/>
                <w:color w:val="auto"/>
                <w:spacing w:val="-2"/>
                <w:sz w:val="22"/>
                <w:szCs w:val="22"/>
                <w:highlight w:val="none"/>
                <w:lang w:eastAsia="zh-CN"/>
              </w:rPr>
              <w:t>扫描件</w:t>
            </w:r>
            <w:r>
              <w:rPr>
                <w:rFonts w:hint="eastAsia" w:ascii="微软雅黑" w:hAnsi="微软雅黑" w:eastAsia="微软雅黑" w:cs="微软雅黑"/>
                <w:color w:val="auto"/>
                <w:spacing w:val="-2"/>
                <w:sz w:val="22"/>
                <w:szCs w:val="22"/>
                <w:highlight w:val="none"/>
              </w:rPr>
              <w:t>、</w:t>
            </w:r>
            <w:r>
              <w:rPr>
                <w:rFonts w:hint="eastAsia" w:ascii="微软雅黑" w:hAnsi="微软雅黑" w:eastAsia="微软雅黑" w:cs="微软雅黑"/>
                <w:color w:val="auto"/>
                <w:spacing w:val="-5"/>
                <w:sz w:val="22"/>
                <w:szCs w:val="22"/>
                <w:highlight w:val="none"/>
                <w:lang w:eastAsia="zh-CN"/>
              </w:rPr>
              <w:t>投标人</w:t>
            </w:r>
            <w:r>
              <w:rPr>
                <w:rFonts w:hint="eastAsia" w:ascii="微软雅黑" w:hAnsi="微软雅黑" w:eastAsia="微软雅黑" w:cs="微软雅黑"/>
                <w:color w:val="auto"/>
                <w:spacing w:val="-5"/>
                <w:sz w:val="22"/>
                <w:szCs w:val="22"/>
                <w:highlight w:val="none"/>
              </w:rPr>
              <w:t>出具的收到我公司（</w:t>
            </w:r>
            <w:r>
              <w:rPr>
                <w:rFonts w:hint="eastAsia" w:ascii="微软雅黑" w:hAnsi="微软雅黑" w:eastAsia="微软雅黑" w:cs="微软雅黑"/>
                <w:color w:val="auto"/>
                <w:spacing w:val="-5"/>
                <w:sz w:val="22"/>
                <w:szCs w:val="22"/>
                <w:highlight w:val="none"/>
                <w:lang w:eastAsia="zh-CN"/>
              </w:rPr>
              <w:t>新疆新之建工程咨询有限公司</w:t>
            </w:r>
            <w:r>
              <w:rPr>
                <w:rFonts w:hint="eastAsia" w:ascii="微软雅黑" w:hAnsi="微软雅黑" w:eastAsia="微软雅黑" w:cs="微软雅黑"/>
                <w:color w:val="auto"/>
                <w:spacing w:val="-5"/>
                <w:sz w:val="22"/>
                <w:szCs w:val="22"/>
                <w:highlight w:val="none"/>
              </w:rPr>
              <w:t>） 退还该</w:t>
            </w:r>
            <w:r>
              <w:rPr>
                <w:rFonts w:hint="eastAsia" w:ascii="微软雅黑" w:hAnsi="微软雅黑" w:eastAsia="微软雅黑" w:cs="微软雅黑"/>
                <w:color w:val="auto"/>
                <w:spacing w:val="-5"/>
                <w:sz w:val="22"/>
                <w:szCs w:val="22"/>
                <w:highlight w:val="none"/>
                <w:lang w:eastAsia="zh-CN"/>
              </w:rPr>
              <w:t>标项名称投标保证金</w:t>
            </w:r>
            <w:r>
              <w:rPr>
                <w:rFonts w:hint="eastAsia" w:ascii="微软雅黑" w:hAnsi="微软雅黑" w:eastAsia="微软雅黑" w:cs="微软雅黑"/>
                <w:color w:val="auto"/>
                <w:spacing w:val="-5"/>
                <w:sz w:val="22"/>
                <w:szCs w:val="22"/>
                <w:highlight w:val="none"/>
              </w:rPr>
              <w:t>的收据原件（盖公章或财务章）。开标完成后，将以上资料交至</w:t>
            </w:r>
            <w:r>
              <w:rPr>
                <w:rFonts w:hint="eastAsia" w:ascii="微软雅黑" w:hAnsi="微软雅黑" w:eastAsia="微软雅黑" w:cs="微软雅黑"/>
                <w:color w:val="auto"/>
                <w:spacing w:val="-5"/>
                <w:sz w:val="22"/>
                <w:szCs w:val="22"/>
                <w:highlight w:val="none"/>
                <w:lang w:eastAsia="zh-CN"/>
              </w:rPr>
              <w:t>新疆新之建工程咨询有限公司</w:t>
            </w:r>
            <w:r>
              <w:rPr>
                <w:rFonts w:hint="eastAsia" w:ascii="微软雅黑" w:hAnsi="微软雅黑" w:eastAsia="微软雅黑" w:cs="微软雅黑"/>
                <w:color w:val="auto"/>
                <w:spacing w:val="-5"/>
                <w:sz w:val="22"/>
                <w:szCs w:val="22"/>
                <w:highlight w:val="none"/>
              </w:rPr>
              <w:t>，</w:t>
            </w:r>
            <w:r>
              <w:rPr>
                <w:rFonts w:hint="eastAsia" w:ascii="微软雅黑" w:hAnsi="微软雅黑" w:eastAsia="微软雅黑" w:cs="微软雅黑"/>
                <w:color w:val="auto"/>
                <w:spacing w:val="-5"/>
                <w:sz w:val="22"/>
                <w:szCs w:val="22"/>
                <w:highlight w:val="none"/>
                <w:lang w:eastAsia="zh-CN"/>
              </w:rPr>
              <w:t>财务联系人：</w:t>
            </w:r>
            <w:r>
              <w:rPr>
                <w:rFonts w:hint="eastAsia" w:ascii="微软雅黑" w:hAnsi="微软雅黑" w:eastAsia="微软雅黑" w:cs="微软雅黑"/>
                <w:color w:val="auto"/>
                <w:spacing w:val="-5"/>
                <w:sz w:val="22"/>
                <w:szCs w:val="22"/>
                <w:highlight w:val="none"/>
                <w:lang w:val="en-US" w:eastAsia="zh-CN"/>
              </w:rPr>
              <w:t>何会计</w:t>
            </w:r>
            <w:r>
              <w:rPr>
                <w:rFonts w:hint="eastAsia" w:ascii="微软雅黑" w:hAnsi="微软雅黑" w:eastAsia="微软雅黑" w:cs="微软雅黑"/>
                <w:color w:val="auto"/>
                <w:spacing w:val="-5"/>
                <w:sz w:val="22"/>
                <w:szCs w:val="22"/>
                <w:highlight w:val="none"/>
              </w:rPr>
              <w:t xml:space="preserve"> 联系电话：15</w:t>
            </w:r>
            <w:r>
              <w:rPr>
                <w:rFonts w:hint="eastAsia" w:ascii="微软雅黑" w:hAnsi="微软雅黑" w:eastAsia="微软雅黑" w:cs="微软雅黑"/>
                <w:color w:val="auto"/>
                <w:spacing w:val="-5"/>
                <w:sz w:val="22"/>
                <w:szCs w:val="22"/>
                <w:highlight w:val="none"/>
                <w:lang w:val="en-US" w:eastAsia="zh-CN"/>
              </w:rPr>
              <w:t>099015065</w:t>
            </w:r>
            <w:r>
              <w:rPr>
                <w:rFonts w:hint="eastAsia" w:ascii="微软雅黑" w:hAnsi="微软雅黑" w:eastAsia="微软雅黑" w:cs="微软雅黑"/>
                <w:color w:val="auto"/>
                <w:spacing w:val="-5"/>
                <w:sz w:val="22"/>
                <w:szCs w:val="22"/>
                <w:highlight w:val="none"/>
              </w:rPr>
              <w:t>；（根据中华人民共和国财政部令第87号《政府采购货物和服务招标投标管理办法》第38条：投标保证金应当自中标通知书发出之日起5个工作日内退还未中标人的投标保证金，采购人自采购合同签订之日起5个工作日内退还中标人的投标保证金。）</w:t>
            </w:r>
          </w:p>
        </w:tc>
      </w:tr>
      <w:tr w14:paraId="43C06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46" w:type="dxa"/>
            <w:noWrap w:val="0"/>
            <w:vAlign w:val="center"/>
          </w:tcPr>
          <w:p w14:paraId="7BB71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p>
        </w:tc>
        <w:tc>
          <w:tcPr>
            <w:tcW w:w="8941" w:type="dxa"/>
            <w:noWrap w:val="0"/>
            <w:vAlign w:val="center"/>
          </w:tcPr>
          <w:p w14:paraId="44C842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微软雅黑" w:hAnsi="微软雅黑" w:eastAsia="微软雅黑" w:cs="微软雅黑"/>
                <w:b w:val="0"/>
                <w:bCs w:val="0"/>
                <w:color w:val="auto"/>
                <w:sz w:val="22"/>
                <w:szCs w:val="22"/>
                <w:highlight w:val="none"/>
                <w:u w:val="single"/>
              </w:rPr>
            </w:pPr>
            <w:r>
              <w:rPr>
                <w:rFonts w:hint="eastAsia" w:ascii="微软雅黑" w:hAnsi="微软雅黑" w:eastAsia="微软雅黑" w:cs="微软雅黑"/>
                <w:b w:val="0"/>
                <w:bCs w:val="0"/>
                <w:color w:val="auto"/>
                <w:sz w:val="22"/>
                <w:szCs w:val="22"/>
                <w:highlight w:val="none"/>
              </w:rPr>
              <w:t>投标有效期：自投标截止之日起</w:t>
            </w:r>
            <w:r>
              <w:rPr>
                <w:rFonts w:hint="eastAsia" w:ascii="微软雅黑" w:hAnsi="微软雅黑" w:eastAsia="微软雅黑" w:cs="微软雅黑"/>
                <w:b w:val="0"/>
                <w:bCs w:val="0"/>
                <w:color w:val="auto"/>
                <w:sz w:val="22"/>
                <w:szCs w:val="22"/>
                <w:highlight w:val="none"/>
                <w:u w:val="single"/>
                <w:lang w:val="en-US" w:eastAsia="zh-CN"/>
              </w:rPr>
              <w:t>90</w:t>
            </w:r>
            <w:r>
              <w:rPr>
                <w:rFonts w:hint="eastAsia" w:ascii="微软雅黑" w:hAnsi="微软雅黑" w:eastAsia="微软雅黑" w:cs="微软雅黑"/>
                <w:b w:val="0"/>
                <w:bCs w:val="0"/>
                <w:color w:val="auto"/>
                <w:sz w:val="22"/>
                <w:szCs w:val="22"/>
                <w:highlight w:val="none"/>
              </w:rPr>
              <w:t>日历日</w:t>
            </w:r>
          </w:p>
        </w:tc>
      </w:tr>
      <w:tr w14:paraId="46C32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46" w:type="dxa"/>
            <w:noWrap w:val="0"/>
            <w:vAlign w:val="center"/>
          </w:tcPr>
          <w:p w14:paraId="18D95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p>
        </w:tc>
        <w:tc>
          <w:tcPr>
            <w:tcW w:w="8941" w:type="dxa"/>
            <w:noWrap w:val="0"/>
            <w:vAlign w:val="center"/>
          </w:tcPr>
          <w:p w14:paraId="3409F9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(1)本项目为电子招投标，供应商需要使用CA加密设备，凡参加本项目必须可自主通过新疆 CA申领渠道“新疆政务通”申请政采云平台可使用的CA设备，如原有兵团或公共资源使用的CA，可与新疆CA联系，申请增加电子证书即可，无需重复申领。</w:t>
            </w:r>
          </w:p>
          <w:p w14:paraId="2AA0540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(2)本项目实行网上投标，采用电子投标文件(供应商须使用CA加密设备通过政采云电子投标客户端制作投标文件)。若供应商参与投标，自行承担投标一切费用。</w:t>
            </w:r>
          </w:p>
          <w:p w14:paraId="2AB27E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(3)各供应商应在开标前应确保成为新疆政府采购网正式注册入库供应商，并完成CA数字证书申领。因未注册入库、未办理CA数字证书等原因造成无法投标或投标失败等后果由供应商自行承担。</w:t>
            </w:r>
          </w:p>
          <w:p w14:paraId="72379F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w:t>
            </w:r>
            <w:r>
              <w:rPr>
                <w:rFonts w:hint="eastAsia" w:ascii="微软雅黑" w:hAnsi="微软雅黑" w:eastAsia="微软雅黑" w:cs="微软雅黑"/>
                <w:b w:val="0"/>
                <w:bCs w:val="0"/>
                <w:color w:val="auto"/>
                <w:sz w:val="22"/>
                <w:szCs w:val="22"/>
                <w:highlight w:val="none"/>
                <w:u w:val="none"/>
                <w:lang w:val="en-US" w:eastAsia="zh-CN"/>
              </w:rPr>
              <w:t>95763</w:t>
            </w:r>
            <w:r>
              <w:rPr>
                <w:rFonts w:hint="eastAsia" w:ascii="微软雅黑" w:hAnsi="微软雅黑" w:eastAsia="微软雅黑" w:cs="微软雅黑"/>
                <w:b w:val="0"/>
                <w:bCs w:val="0"/>
                <w:color w:val="auto"/>
                <w:sz w:val="22"/>
                <w:szCs w:val="22"/>
                <w:highlight w:val="none"/>
                <w:u w:val="none"/>
              </w:rPr>
              <w:t>进行咨询。</w:t>
            </w:r>
          </w:p>
          <w:p w14:paraId="4CA7CF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(5)供应商在开标时须使用制作加密电子投标文件所使用的CA锁及电脑，电脑须提前配置好浏览器(建议使用谷歌浏览器)，以便开标时解锁。</w:t>
            </w:r>
          </w:p>
          <w:p w14:paraId="4C62BDD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w:t>
            </w:r>
            <w:r>
              <w:rPr>
                <w:rFonts w:hint="eastAsia" w:ascii="微软雅黑" w:hAnsi="微软雅黑" w:eastAsia="微软雅黑" w:cs="微软雅黑"/>
                <w:b w:val="0"/>
                <w:bCs w:val="0"/>
                <w:color w:val="auto"/>
                <w:sz w:val="22"/>
                <w:szCs w:val="22"/>
                <w:highlight w:val="none"/>
                <w:u w:val="none"/>
                <w:lang w:val="en-US" w:eastAsia="zh-CN"/>
              </w:rPr>
              <w:t>6</w:t>
            </w:r>
            <w:r>
              <w:rPr>
                <w:rFonts w:hint="eastAsia" w:ascii="微软雅黑" w:hAnsi="微软雅黑" w:eastAsia="微软雅黑" w:cs="微软雅黑"/>
                <w:b w:val="0"/>
                <w:bCs w:val="0"/>
                <w:color w:val="auto"/>
                <w:sz w:val="22"/>
                <w:szCs w:val="22"/>
                <w:highlight w:val="none"/>
                <w:u w:val="none"/>
              </w:rPr>
              <w:t>)供应商对不见面开评标系统的技术操作咨询，可通过https://edu.zcygov.cn/luban/xinjiang-e-biding 自助查询，也可在政 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 务支持。供应商钉钉群号：政采云新疆网超供应商服务二十群：35547618（如已加入1-19群，无需重复加入），钉钉工具软件具有回放功能，直播培训结束后可在钉钉群中回放观看学习。</w:t>
            </w:r>
          </w:p>
          <w:p w14:paraId="17E353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 xml:space="preserve">( </w:t>
            </w:r>
            <w:r>
              <w:rPr>
                <w:rFonts w:hint="eastAsia" w:ascii="微软雅黑" w:hAnsi="微软雅黑" w:eastAsia="微软雅黑" w:cs="微软雅黑"/>
                <w:b w:val="0"/>
                <w:bCs w:val="0"/>
                <w:color w:val="auto"/>
                <w:sz w:val="22"/>
                <w:szCs w:val="22"/>
                <w:highlight w:val="none"/>
                <w:u w:val="none"/>
                <w:lang w:val="en-US" w:eastAsia="zh-CN"/>
              </w:rPr>
              <w:t>7</w:t>
            </w:r>
            <w:r>
              <w:rPr>
                <w:rFonts w:hint="eastAsia" w:ascii="微软雅黑" w:hAnsi="微软雅黑" w:eastAsia="微软雅黑" w:cs="微软雅黑"/>
                <w:b w:val="0"/>
                <w:bCs w:val="0"/>
                <w:color w:val="auto"/>
                <w:sz w:val="22"/>
                <w:szCs w:val="22"/>
                <w:highlight w:val="none"/>
                <w:u w:val="none"/>
              </w:rPr>
              <w:t>)投标单位应完整地按</w:t>
            </w:r>
            <w:r>
              <w:rPr>
                <w:rFonts w:hint="eastAsia" w:ascii="微软雅黑" w:hAnsi="微软雅黑" w:eastAsia="微软雅黑" w:cs="微软雅黑"/>
                <w:b w:val="0"/>
                <w:bCs w:val="0"/>
                <w:color w:val="auto"/>
                <w:sz w:val="22"/>
                <w:szCs w:val="22"/>
                <w:highlight w:val="none"/>
                <w:u w:val="none"/>
                <w:lang w:eastAsia="zh-CN"/>
              </w:rPr>
              <w:t>招标</w:t>
            </w:r>
            <w:r>
              <w:rPr>
                <w:rFonts w:hint="eastAsia" w:ascii="微软雅黑" w:hAnsi="微软雅黑" w:eastAsia="微软雅黑" w:cs="微软雅黑"/>
                <w:b w:val="0"/>
                <w:bCs w:val="0"/>
                <w:color w:val="auto"/>
                <w:sz w:val="22"/>
                <w:szCs w:val="22"/>
                <w:highlight w:val="none"/>
                <w:u w:val="none"/>
              </w:rPr>
              <w:t>文件提供的投标文件格式及要求编写投标文件，根据平台关联点上传对应佐证资料。（投标人须严格按照政采云电子投标流程制作并上传电子投标文件，投标人应承担上传失误产生的任何后果。）</w:t>
            </w:r>
          </w:p>
          <w:p w14:paraId="60BDD4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w:t>
            </w:r>
            <w:r>
              <w:rPr>
                <w:rFonts w:hint="eastAsia" w:ascii="微软雅黑" w:hAnsi="微软雅黑" w:eastAsia="微软雅黑" w:cs="微软雅黑"/>
                <w:b w:val="0"/>
                <w:bCs w:val="0"/>
                <w:color w:val="auto"/>
                <w:sz w:val="22"/>
                <w:szCs w:val="22"/>
                <w:highlight w:val="none"/>
                <w:u w:val="none"/>
                <w:lang w:val="en-US" w:eastAsia="zh-CN"/>
              </w:rPr>
              <w:t>8</w:t>
            </w:r>
            <w:r>
              <w:rPr>
                <w:rFonts w:hint="eastAsia" w:ascii="微软雅黑" w:hAnsi="微软雅黑" w:eastAsia="微软雅黑" w:cs="微软雅黑"/>
                <w:b w:val="0"/>
                <w:bCs w:val="0"/>
                <w:color w:val="auto"/>
                <w:sz w:val="22"/>
                <w:szCs w:val="22"/>
                <w:highlight w:val="none"/>
                <w:u w:val="none"/>
              </w:rPr>
              <w:t>)各供应商在投标截止时间前将“.jmbs”格式“投标文件”上传至政采云平台。投标文件应按照</w:t>
            </w:r>
            <w:r>
              <w:rPr>
                <w:rFonts w:hint="eastAsia" w:ascii="微软雅黑" w:hAnsi="微软雅黑" w:eastAsia="微软雅黑" w:cs="微软雅黑"/>
                <w:b w:val="0"/>
                <w:bCs w:val="0"/>
                <w:color w:val="auto"/>
                <w:sz w:val="22"/>
                <w:szCs w:val="22"/>
                <w:highlight w:val="none"/>
                <w:u w:val="none"/>
                <w:lang w:eastAsia="zh-CN"/>
              </w:rPr>
              <w:t>招标文件</w:t>
            </w:r>
            <w:r>
              <w:rPr>
                <w:rFonts w:hint="eastAsia" w:ascii="微软雅黑" w:hAnsi="微软雅黑" w:eastAsia="微软雅黑" w:cs="微软雅黑"/>
                <w:b w:val="0"/>
                <w:bCs w:val="0"/>
                <w:color w:val="auto"/>
                <w:sz w:val="22"/>
                <w:szCs w:val="22"/>
                <w:highlight w:val="none"/>
                <w:u w:val="none"/>
              </w:rPr>
              <w:t>规定的格式填写、签署和盖章。</w:t>
            </w:r>
          </w:p>
          <w:p w14:paraId="54D5B6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sz w:val="22"/>
                <w:szCs w:val="22"/>
                <w:highlight w:val="none"/>
                <w:u w:val="single"/>
                <w:lang w:eastAsia="zh-CN"/>
              </w:rPr>
            </w:pPr>
            <w:r>
              <w:rPr>
                <w:rFonts w:hint="eastAsia" w:ascii="微软雅黑" w:hAnsi="微软雅黑" w:eastAsia="微软雅黑" w:cs="微软雅黑"/>
                <w:b w:val="0"/>
                <w:bCs w:val="0"/>
                <w:color w:val="auto"/>
                <w:sz w:val="22"/>
                <w:szCs w:val="22"/>
                <w:highlight w:val="none"/>
                <w:u w:val="none"/>
              </w:rPr>
              <w:t>(</w:t>
            </w:r>
            <w:r>
              <w:rPr>
                <w:rFonts w:hint="eastAsia" w:ascii="微软雅黑" w:hAnsi="微软雅黑" w:eastAsia="微软雅黑" w:cs="微软雅黑"/>
                <w:b w:val="0"/>
                <w:bCs w:val="0"/>
                <w:color w:val="auto"/>
                <w:sz w:val="22"/>
                <w:szCs w:val="22"/>
                <w:highlight w:val="none"/>
                <w:u w:val="none"/>
                <w:lang w:val="en-US" w:eastAsia="zh-CN"/>
              </w:rPr>
              <w:t>9</w:t>
            </w:r>
            <w:r>
              <w:rPr>
                <w:rFonts w:hint="eastAsia" w:ascii="微软雅黑" w:hAnsi="微软雅黑" w:eastAsia="微软雅黑" w:cs="微软雅黑"/>
                <w:b w:val="0"/>
                <w:bCs w:val="0"/>
                <w:color w:val="auto"/>
                <w:sz w:val="22"/>
                <w:szCs w:val="22"/>
                <w:highlight w:val="none"/>
                <w:u w:val="none"/>
              </w:rPr>
              <w:t>)解密时长为30分钟</w:t>
            </w:r>
            <w:r>
              <w:rPr>
                <w:rFonts w:hint="eastAsia" w:ascii="微软雅黑" w:hAnsi="微软雅黑" w:eastAsia="微软雅黑" w:cs="微软雅黑"/>
                <w:b w:val="0"/>
                <w:bCs w:val="0"/>
                <w:color w:val="auto"/>
                <w:sz w:val="22"/>
                <w:szCs w:val="22"/>
                <w:highlight w:val="none"/>
                <w:u w:val="none"/>
                <w:lang w:eastAsia="zh-CN"/>
              </w:rPr>
              <w:t>，超出解密时长，作无效投标处理。</w:t>
            </w:r>
          </w:p>
        </w:tc>
      </w:tr>
      <w:tr w14:paraId="56B13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46" w:type="dxa"/>
            <w:noWrap w:val="0"/>
            <w:vAlign w:val="center"/>
          </w:tcPr>
          <w:p w14:paraId="16CCF4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16.1</w:t>
            </w:r>
          </w:p>
        </w:tc>
        <w:tc>
          <w:tcPr>
            <w:tcW w:w="8941" w:type="dxa"/>
            <w:noWrap w:val="0"/>
            <w:vAlign w:val="center"/>
          </w:tcPr>
          <w:p w14:paraId="421983A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投标截止时间：2026年05月13日11：00（北京时间）</w:t>
            </w:r>
          </w:p>
          <w:p w14:paraId="2AD1C0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投标地点：请登录政采云投标客户端投标</w:t>
            </w:r>
          </w:p>
        </w:tc>
      </w:tr>
      <w:tr w14:paraId="532AE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46" w:type="dxa"/>
            <w:noWrap w:val="0"/>
            <w:vAlign w:val="center"/>
          </w:tcPr>
          <w:p w14:paraId="3E7A66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w:t>
            </w:r>
          </w:p>
        </w:tc>
        <w:tc>
          <w:tcPr>
            <w:tcW w:w="8941" w:type="dxa"/>
            <w:noWrap w:val="0"/>
            <w:vAlign w:val="center"/>
          </w:tcPr>
          <w:p w14:paraId="5621448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bCs/>
                <w:color w:val="auto"/>
                <w:sz w:val="22"/>
                <w:szCs w:val="22"/>
                <w:highlight w:val="none"/>
                <w:lang w:eastAsia="zh-CN"/>
              </w:rPr>
            </w:pPr>
            <w:r>
              <w:rPr>
                <w:rFonts w:hint="eastAsia" w:ascii="微软雅黑" w:hAnsi="微软雅黑" w:eastAsia="微软雅黑" w:cs="微软雅黑"/>
                <w:b/>
                <w:bCs/>
                <w:color w:val="auto"/>
                <w:sz w:val="22"/>
                <w:szCs w:val="22"/>
                <w:highlight w:val="none"/>
                <w:lang w:eastAsia="zh-CN"/>
              </w:rPr>
              <w:t>开标时间：2026年05月13日11：00（北京时间）</w:t>
            </w:r>
          </w:p>
          <w:p w14:paraId="5B3C252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eastAsia="zh-CN"/>
              </w:rPr>
              <w:t>开标地点：</w:t>
            </w:r>
            <w:r>
              <w:rPr>
                <w:rFonts w:hint="eastAsia" w:ascii="微软雅黑" w:hAnsi="微软雅黑" w:eastAsia="微软雅黑" w:cs="微软雅黑"/>
                <w:b w:val="0"/>
                <w:bCs w:val="0"/>
                <w:color w:val="auto"/>
                <w:sz w:val="22"/>
                <w:szCs w:val="22"/>
                <w:highlight w:val="none"/>
                <w:lang w:eastAsia="zh-CN"/>
              </w:rPr>
              <w:t>投标人登录政采云平台https://www.zcygov.cn/，进入“项目采购-开标评标-右边选择对应项目点击“进入项目”进入开标大厅。</w:t>
            </w:r>
          </w:p>
        </w:tc>
      </w:tr>
      <w:tr w14:paraId="6A57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046" w:type="dxa"/>
            <w:noWrap w:val="0"/>
            <w:vAlign w:val="center"/>
          </w:tcPr>
          <w:p w14:paraId="6C3125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23.2</w:t>
            </w:r>
          </w:p>
        </w:tc>
        <w:tc>
          <w:tcPr>
            <w:tcW w:w="8941" w:type="dxa"/>
            <w:noWrap w:val="0"/>
            <w:vAlign w:val="center"/>
          </w:tcPr>
          <w:p w14:paraId="25AAF0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i/>
                <w:color w:val="auto"/>
                <w:sz w:val="22"/>
                <w:szCs w:val="22"/>
                <w:highlight w:val="none"/>
              </w:rPr>
            </w:pPr>
            <w:r>
              <w:rPr>
                <w:rFonts w:hint="eastAsia" w:ascii="微软雅黑" w:hAnsi="微软雅黑" w:eastAsia="微软雅黑" w:cs="微软雅黑"/>
                <w:color w:val="auto"/>
                <w:sz w:val="22"/>
                <w:szCs w:val="22"/>
                <w:highlight w:val="none"/>
              </w:rPr>
              <w:t>评标方法：适用中华人民共和国财政部令第87号--政府采购货物和服务招标投标管理办法第五十五条综合评分法</w:t>
            </w:r>
            <w:r>
              <w:rPr>
                <w:rFonts w:hint="eastAsia" w:ascii="微软雅黑" w:hAnsi="微软雅黑" w:eastAsia="微软雅黑" w:cs="微软雅黑"/>
                <w:color w:val="auto"/>
                <w:sz w:val="22"/>
                <w:szCs w:val="22"/>
                <w:highlight w:val="none"/>
                <w:u w:val="none"/>
              </w:rPr>
              <w:t>：</w:t>
            </w:r>
            <w:r>
              <w:rPr>
                <w:rFonts w:hint="eastAsia" w:ascii="微软雅黑" w:hAnsi="微软雅黑" w:eastAsia="微软雅黑" w:cs="微软雅黑"/>
                <w:color w:val="auto"/>
                <w:sz w:val="22"/>
                <w:szCs w:val="22"/>
                <w:highlight w:val="none"/>
                <w:u w:val="single"/>
              </w:rPr>
              <w:t>根据投标文件满足招标文件全部实质性要求，且按照评审因素的量化指标评审得分最高的原则确定中标候选人。</w:t>
            </w:r>
          </w:p>
        </w:tc>
      </w:tr>
      <w:tr w14:paraId="5D8D9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46" w:type="dxa"/>
            <w:noWrap w:val="0"/>
            <w:vAlign w:val="center"/>
          </w:tcPr>
          <w:p w14:paraId="0C128E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27</w:t>
            </w:r>
          </w:p>
        </w:tc>
        <w:tc>
          <w:tcPr>
            <w:tcW w:w="8941" w:type="dxa"/>
            <w:noWrap w:val="0"/>
            <w:vAlign w:val="center"/>
          </w:tcPr>
          <w:p w14:paraId="785EF5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val="0"/>
                <w:bCs w:val="0"/>
                <w:color w:val="auto"/>
                <w:kern w:val="0"/>
                <w:sz w:val="22"/>
                <w:szCs w:val="22"/>
                <w:highlight w:val="none"/>
                <w:lang w:val="en-US" w:eastAsia="zh-CN" w:bidi="ar-SA"/>
              </w:rPr>
              <w:t>推荐候选中标候选人数量为3家。</w:t>
            </w:r>
          </w:p>
        </w:tc>
      </w:tr>
      <w:tr w14:paraId="46BA4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46" w:type="dxa"/>
            <w:noWrap w:val="0"/>
            <w:vAlign w:val="center"/>
          </w:tcPr>
          <w:p w14:paraId="242609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27</w:t>
            </w:r>
          </w:p>
        </w:tc>
        <w:tc>
          <w:tcPr>
            <w:tcW w:w="8941" w:type="dxa"/>
            <w:noWrap w:val="0"/>
            <w:vAlign w:val="center"/>
          </w:tcPr>
          <w:p w14:paraId="19C95B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采购人</w:t>
            </w:r>
            <w:r>
              <w:rPr>
                <w:rFonts w:hint="eastAsia" w:ascii="微软雅黑" w:hAnsi="微软雅黑" w:eastAsia="微软雅黑" w:cs="微软雅黑"/>
                <w:color w:val="auto"/>
                <w:sz w:val="22"/>
                <w:szCs w:val="22"/>
                <w:highlight w:val="none"/>
              </w:rPr>
              <w:t>是否委托评标委员会直接确定中标人：</w:t>
            </w:r>
            <w:r>
              <w:rPr>
                <w:rFonts w:hint="eastAsia" w:ascii="微软雅黑" w:hAnsi="微软雅黑" w:eastAsia="微软雅黑" w:cs="微软雅黑"/>
                <w:color w:val="auto"/>
                <w:sz w:val="22"/>
                <w:szCs w:val="22"/>
                <w:highlight w:val="none"/>
                <w:u w:val="single"/>
              </w:rPr>
              <w:t xml:space="preserve"> 否 </w:t>
            </w:r>
            <w:r>
              <w:rPr>
                <w:rFonts w:hint="eastAsia" w:ascii="微软雅黑" w:hAnsi="微软雅黑" w:eastAsia="微软雅黑" w:cs="微软雅黑"/>
                <w:i/>
                <w:color w:val="auto"/>
                <w:sz w:val="22"/>
                <w:szCs w:val="22"/>
                <w:highlight w:val="none"/>
              </w:rPr>
              <w:t>（是、否）</w:t>
            </w:r>
          </w:p>
        </w:tc>
      </w:tr>
      <w:tr w14:paraId="2632B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5" w:hRule="atLeast"/>
        </w:trPr>
        <w:tc>
          <w:tcPr>
            <w:tcW w:w="1046" w:type="dxa"/>
            <w:noWrap w:val="0"/>
            <w:vAlign w:val="center"/>
          </w:tcPr>
          <w:p w14:paraId="33E346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p>
        </w:tc>
        <w:tc>
          <w:tcPr>
            <w:tcW w:w="8941" w:type="dxa"/>
            <w:noWrap w:val="0"/>
            <w:vAlign w:val="center"/>
          </w:tcPr>
          <w:p w14:paraId="4A0103C2">
            <w:pPr>
              <w:pStyle w:val="85"/>
              <w:keepNext w:val="0"/>
              <w:keepLines w:val="0"/>
              <w:pageBreakBefore w:val="0"/>
              <w:suppressLineNumbers w:val="0"/>
              <w:kinsoku/>
              <w:wordWrap/>
              <w:topLinePunct w:val="0"/>
              <w:bidi w:val="0"/>
              <w:spacing w:before="0" w:beforeAutospacing="0" w:after="0" w:afterAutospacing="0" w:line="312" w:lineRule="auto"/>
              <w:ind w:left="0" w:right="0"/>
              <w:jc w:val="both"/>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履约保证金金额：</w:t>
            </w:r>
            <w:r>
              <w:rPr>
                <w:rFonts w:hint="eastAsia" w:ascii="微软雅黑" w:hAnsi="微软雅黑" w:eastAsia="微软雅黑" w:cs="微软雅黑"/>
                <w:color w:val="auto"/>
                <w:sz w:val="22"/>
                <w:szCs w:val="22"/>
                <w:highlight w:val="none"/>
                <w:u w:val="none"/>
              </w:rPr>
              <w:t>中标金额的</w:t>
            </w:r>
            <w:r>
              <w:rPr>
                <w:rFonts w:hint="eastAsia" w:ascii="微软雅黑" w:hAnsi="微软雅黑" w:eastAsia="微软雅黑" w:cs="微软雅黑"/>
                <w:color w:val="auto"/>
                <w:sz w:val="22"/>
                <w:szCs w:val="22"/>
                <w:highlight w:val="none"/>
                <w:u w:val="none"/>
                <w:lang w:val="en-US" w:eastAsia="zh-CN"/>
              </w:rPr>
              <w:t>5</w:t>
            </w:r>
            <w:r>
              <w:rPr>
                <w:rFonts w:hint="eastAsia" w:ascii="微软雅黑" w:hAnsi="微软雅黑" w:eastAsia="微软雅黑" w:cs="微软雅黑"/>
                <w:color w:val="auto"/>
                <w:sz w:val="22"/>
                <w:szCs w:val="22"/>
                <w:highlight w:val="none"/>
                <w:u w:val="none"/>
              </w:rPr>
              <w:t>%</w:t>
            </w:r>
            <w:r>
              <w:rPr>
                <w:rFonts w:hint="eastAsia" w:ascii="微软雅黑" w:hAnsi="微软雅黑" w:eastAsia="微软雅黑" w:cs="微软雅黑"/>
                <w:color w:val="auto"/>
                <w:sz w:val="22"/>
                <w:szCs w:val="22"/>
                <w:highlight w:val="none"/>
                <w:u w:val="none"/>
                <w:lang w:val="en-US" w:eastAsia="zh-CN"/>
              </w:rPr>
              <w:t xml:space="preserve"> </w:t>
            </w:r>
          </w:p>
          <w:p w14:paraId="6C8B8C42">
            <w:pPr>
              <w:pStyle w:val="85"/>
              <w:keepNext w:val="0"/>
              <w:keepLines w:val="0"/>
              <w:pageBreakBefore w:val="0"/>
              <w:suppressLineNumbers w:val="0"/>
              <w:kinsoku/>
              <w:wordWrap/>
              <w:topLinePunct w:val="0"/>
              <w:bidi w:val="0"/>
              <w:spacing w:before="0" w:beforeAutospacing="0" w:after="0" w:afterAutospacing="0" w:line="312" w:lineRule="auto"/>
              <w:ind w:left="0" w:right="0"/>
              <w:jc w:val="both"/>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履约保证金形式：</w:t>
            </w:r>
            <w:r>
              <w:rPr>
                <w:rFonts w:hint="eastAsia" w:ascii="微软雅黑" w:hAnsi="微软雅黑" w:eastAsia="微软雅黑" w:cs="微软雅黑"/>
                <w:color w:val="auto"/>
                <w:sz w:val="22"/>
                <w:szCs w:val="22"/>
                <w:highlight w:val="none"/>
                <w:u w:val="none"/>
              </w:rPr>
              <w:t>☑保函☑电汇☑支票☑汇票☑本票☑对公转账</w:t>
            </w:r>
            <w:r>
              <w:rPr>
                <w:rFonts w:hint="eastAsia" w:ascii="微软雅黑" w:hAnsi="微软雅黑" w:eastAsia="微软雅黑" w:cs="微软雅黑"/>
                <w:color w:val="auto"/>
                <w:sz w:val="22"/>
                <w:szCs w:val="22"/>
                <w:highlight w:val="none"/>
              </w:rPr>
              <w:t>等非现金形式提交</w:t>
            </w:r>
          </w:p>
          <w:p w14:paraId="0F8296C9">
            <w:pPr>
              <w:pStyle w:val="85"/>
              <w:keepNext w:val="0"/>
              <w:keepLines w:val="0"/>
              <w:pageBreakBefore w:val="0"/>
              <w:suppressLineNumbers w:val="0"/>
              <w:kinsoku/>
              <w:wordWrap/>
              <w:topLinePunct w:val="0"/>
              <w:bidi w:val="0"/>
              <w:spacing w:before="0" w:beforeAutospacing="0" w:after="0" w:afterAutospacing="0" w:line="312" w:lineRule="auto"/>
              <w:ind w:left="0" w:right="0"/>
              <w:jc w:val="both"/>
              <w:rPr>
                <w:rFonts w:hint="default"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提交履约保证金的时间：签订合同前</w:t>
            </w:r>
          </w:p>
          <w:p w14:paraId="63ED0C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b w:val="0"/>
                <w:bCs w:val="0"/>
                <w:color w:val="auto"/>
                <w:kern w:val="0"/>
                <w:sz w:val="22"/>
                <w:szCs w:val="22"/>
                <w:highlight w:val="none"/>
                <w:lang w:val="en-US" w:eastAsia="zh-CN" w:bidi="ar-SA"/>
              </w:rPr>
              <w:t>备注：中华人民共和国财政部令第87号--《政府采购货物和服务招标投标管理办法》第五章第四十八条　采购文件要求中标或者成交供应商提交履约保证金的，供应商应当以支票、汇票、本票或者金融机构、担保机构出具的保函等非现金形式提交。履约保证金的数额不得超过政府采购合同金额的10%。</w:t>
            </w:r>
          </w:p>
        </w:tc>
      </w:tr>
      <w:tr w14:paraId="438E1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46" w:type="dxa"/>
            <w:noWrap w:val="0"/>
            <w:vAlign w:val="center"/>
          </w:tcPr>
          <w:p w14:paraId="1B6A38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 w:lineRule="atLeast"/>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32</w:t>
            </w:r>
          </w:p>
        </w:tc>
        <w:tc>
          <w:tcPr>
            <w:tcW w:w="8941" w:type="dxa"/>
            <w:noWrap w:val="0"/>
            <w:vAlign w:val="center"/>
          </w:tcPr>
          <w:p w14:paraId="26054F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招标代理费：依据国家发展改革委《关于进一步放开建设项目专业服务价格的通知》(发改价[2015]299号)及国家计委关于印发《招标代理服务收费管理暂行办法》的通知计价格[2002]1980号文，按差额定率累进法计算下浮20%后由中标单位支付。</w:t>
            </w:r>
            <w:bookmarkStart w:id="730" w:name="_GoBack"/>
            <w:bookmarkEnd w:id="730"/>
          </w:p>
          <w:p w14:paraId="6F59AE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b w:val="0"/>
                <w:bCs w:val="0"/>
                <w:color w:val="auto"/>
                <w:kern w:val="0"/>
                <w:sz w:val="22"/>
                <w:szCs w:val="22"/>
                <w:highlight w:val="none"/>
                <w:lang w:val="en-US" w:eastAsia="zh-CN" w:bidi="ar-SA"/>
              </w:rPr>
            </w:pPr>
            <w:r>
              <w:rPr>
                <w:rFonts w:hint="eastAsia" w:ascii="微软雅黑" w:hAnsi="微软雅黑" w:eastAsia="微软雅黑" w:cs="微软雅黑"/>
                <w:b w:val="0"/>
                <w:bCs w:val="0"/>
                <w:color w:val="auto"/>
                <w:kern w:val="0"/>
                <w:sz w:val="22"/>
                <w:szCs w:val="22"/>
                <w:highlight w:val="none"/>
                <w:lang w:val="en-US" w:eastAsia="zh-CN" w:bidi="ar-SA"/>
              </w:rPr>
              <w:t xml:space="preserve">支付形式： </w:t>
            </w:r>
            <w:r>
              <w:rPr>
                <w:rFonts w:hint="eastAsia" w:ascii="微软雅黑" w:hAnsi="微软雅黑" w:eastAsia="微软雅黑" w:cs="微软雅黑"/>
                <w:b w:val="0"/>
                <w:bCs w:val="0"/>
                <w:color w:val="auto"/>
                <w:kern w:val="0"/>
                <w:sz w:val="22"/>
                <w:szCs w:val="22"/>
                <w:highlight w:val="none"/>
                <w:u w:val="single"/>
                <w:lang w:val="en-US" w:eastAsia="zh-CN" w:bidi="ar-SA"/>
              </w:rPr>
              <w:t>转账</w:t>
            </w:r>
          </w:p>
          <w:p w14:paraId="06750BA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 xml:space="preserve">支付时间： </w:t>
            </w:r>
            <w:r>
              <w:rPr>
                <w:rFonts w:hint="eastAsia" w:ascii="微软雅黑" w:hAnsi="微软雅黑" w:eastAsia="微软雅黑" w:cs="微软雅黑"/>
                <w:color w:val="auto"/>
                <w:sz w:val="22"/>
                <w:szCs w:val="22"/>
                <w:highlight w:val="none"/>
                <w:u w:val="single"/>
              </w:rPr>
              <w:t>领取</w:t>
            </w:r>
            <w:r>
              <w:rPr>
                <w:rFonts w:hint="eastAsia" w:ascii="微软雅黑" w:hAnsi="微软雅黑" w:eastAsia="微软雅黑" w:cs="微软雅黑"/>
                <w:color w:val="auto"/>
                <w:sz w:val="22"/>
                <w:szCs w:val="22"/>
                <w:highlight w:val="none"/>
                <w:u w:val="single"/>
                <w:lang w:eastAsia="zh-CN"/>
              </w:rPr>
              <w:t>中标</w:t>
            </w:r>
            <w:r>
              <w:rPr>
                <w:rFonts w:hint="eastAsia" w:ascii="微软雅黑" w:hAnsi="微软雅黑" w:eastAsia="微软雅黑" w:cs="微软雅黑"/>
                <w:color w:val="auto"/>
                <w:sz w:val="22"/>
                <w:szCs w:val="22"/>
                <w:highlight w:val="none"/>
                <w:u w:val="single"/>
              </w:rPr>
              <w:t>通知书时</w:t>
            </w:r>
          </w:p>
        </w:tc>
      </w:tr>
      <w:tr w14:paraId="3F8C5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046" w:type="dxa"/>
            <w:noWrap w:val="0"/>
            <w:vAlign w:val="center"/>
          </w:tcPr>
          <w:p w14:paraId="4F623376">
            <w:pPr>
              <w:keepNext w:val="0"/>
              <w:keepLines w:val="0"/>
              <w:suppressLineNumbers w:val="0"/>
              <w:spacing w:before="0" w:beforeAutospacing="0" w:after="0" w:afterAutospacing="0" w:line="240" w:lineRule="auto"/>
              <w:ind w:left="0" w:right="0"/>
              <w:jc w:val="center"/>
              <w:rPr>
                <w:rFonts w:hint="eastAsia" w:ascii="微软雅黑" w:hAnsi="微软雅黑" w:eastAsia="微软雅黑" w:cs="微软雅黑"/>
                <w:b/>
                <w:bCs/>
                <w:color w:val="auto"/>
                <w:kern w:val="2"/>
                <w:sz w:val="22"/>
                <w:szCs w:val="22"/>
                <w:highlight w:val="none"/>
                <w:lang w:val="en-US" w:eastAsia="zh-CN" w:bidi="ar-SA"/>
              </w:rPr>
            </w:pPr>
            <w:bookmarkStart w:id="420" w:name="_Toc219175638"/>
            <w:bookmarkStart w:id="421" w:name="_Toc507399906"/>
            <w:bookmarkStart w:id="422" w:name="_Toc216582825"/>
            <w:bookmarkStart w:id="423" w:name="_Toc512937852"/>
            <w:bookmarkStart w:id="424" w:name="_Toc218935354"/>
            <w:bookmarkStart w:id="425" w:name="_Toc518923126"/>
            <w:r>
              <w:rPr>
                <w:rFonts w:hint="eastAsia" w:ascii="微软雅黑" w:hAnsi="微软雅黑" w:eastAsia="微软雅黑" w:cs="微软雅黑"/>
                <w:b/>
                <w:bCs/>
                <w:color w:val="auto"/>
                <w:sz w:val="22"/>
                <w:szCs w:val="22"/>
                <w:highlight w:val="none"/>
                <w:lang w:val="en-US" w:eastAsia="zh-CN"/>
              </w:rPr>
              <w:t>低于成本价不正当竞争预防措施</w:t>
            </w:r>
          </w:p>
        </w:tc>
        <w:tc>
          <w:tcPr>
            <w:tcW w:w="8941" w:type="dxa"/>
            <w:noWrap w:val="0"/>
            <w:vAlign w:val="center"/>
          </w:tcPr>
          <w:p w14:paraId="6D589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91C2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2.投标人书面说明应当签字确认并且加盖公章，否则无效。书面说明的签字确认，投标人为法人的，由其法定代表人或者代理人签字确认；投标人为其他组织的，由其主要负责人或者代理人签字确认；投标人为自然人的，由其本人或者代理人签字确认。</w:t>
            </w:r>
          </w:p>
          <w:p w14:paraId="3924F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3.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14:paraId="40333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046" w:type="dxa"/>
            <w:noWrap w:val="0"/>
            <w:vAlign w:val="center"/>
          </w:tcPr>
          <w:p w14:paraId="4281A85C">
            <w:pPr>
              <w:keepNext w:val="0"/>
              <w:keepLines w:val="0"/>
              <w:suppressLineNumbers w:val="0"/>
              <w:spacing w:before="0" w:beforeAutospacing="0" w:after="0" w:afterAutospacing="0" w:line="240" w:lineRule="auto"/>
              <w:ind w:left="0" w:right="0"/>
              <w:jc w:val="center"/>
              <w:rPr>
                <w:rFonts w:hint="default"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注意事项</w:t>
            </w:r>
          </w:p>
        </w:tc>
        <w:tc>
          <w:tcPr>
            <w:tcW w:w="8941" w:type="dxa"/>
            <w:noWrap w:val="0"/>
            <w:vAlign w:val="center"/>
          </w:tcPr>
          <w:p w14:paraId="7BA5AC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各供应商应当认真阅读以下条款，否则后果自行承担:</w:t>
            </w:r>
          </w:p>
          <w:p w14:paraId="7E5192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(1)参加本项目所有供应商应当提供真实有效佐证资料，不得存在弄虚</w:t>
            </w:r>
          </w:p>
          <w:p w14:paraId="71A47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作假骗取成交行为，一经发现将取消成交资格并列入黑名单。</w:t>
            </w:r>
          </w:p>
          <w:p w14:paraId="1E61D5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(2)供应商上传响应文件时，为确保文件的可读性，提供的内容须清晰</w:t>
            </w:r>
          </w:p>
          <w:p w14:paraId="45110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可见，若因响应文件不清晰造成的后果，由投标供应商自行承担。</w:t>
            </w:r>
          </w:p>
          <w:p w14:paraId="34433D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(3)各投标供应商应充分考虑报价合理性，不得恶意低价竞标。</w:t>
            </w:r>
          </w:p>
          <w:p w14:paraId="4CE142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(4)低于成本价不正当竞争预防措施根据关于推动解决政府采购异常低价问题的通知财库[2026]2号(一)评审中出现下列情形之一的，评审委员会应当启动异常低价投标(响应)审查程序:</w:t>
            </w:r>
          </w:p>
          <w:p w14:paraId="2CD64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1.投标(响应)报价低于全部通过符合性审查投标人投标(响应)报价平均值50%的，即投标(响应)报价〈全部通过符合性审查投标人投标</w:t>
            </w:r>
          </w:p>
          <w:p w14:paraId="305803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(响应)报价平均值x50%;</w:t>
            </w:r>
          </w:p>
          <w:p w14:paraId="3AB80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2.投标(响应)报价低于通过符合性审查的次低报价投标人投标(响应)报价50%的，即投标(响应)报价&lt;通过符合性审查的次低报价投标人投标(响应)报价x50%;</w:t>
            </w:r>
          </w:p>
          <w:p w14:paraId="44705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3.投标(响应)报价低于采购项目最高限价45%的，即投标(响应)报价&lt;采购项目最高限价x45%;</w:t>
            </w:r>
          </w:p>
          <w:p w14:paraId="65CE8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4.评审委员会基于专业判断，认为投标人报价过低，有可能影响产品质量或者不能诚信履约的其他情形。</w:t>
            </w:r>
          </w:p>
          <w:p w14:paraId="1FB7F2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r w14:paraId="25E50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46" w:type="dxa"/>
            <w:noWrap w:val="0"/>
            <w:vAlign w:val="center"/>
          </w:tcPr>
          <w:p w14:paraId="2CEAF739">
            <w:pPr>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补充</w:t>
            </w:r>
          </w:p>
        </w:tc>
        <w:tc>
          <w:tcPr>
            <w:tcW w:w="8941" w:type="dxa"/>
            <w:noWrap w:val="0"/>
            <w:vAlign w:val="center"/>
          </w:tcPr>
          <w:p w14:paraId="5D297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注意事项：</w:t>
            </w:r>
          </w:p>
          <w:p w14:paraId="25B9A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1.电子标书加盖法人章的两种方式:一种为法人 (企业负责人) 电子章；另一种为纸质手写版盖章后扫描，两种方式的任意一种在评审时均予认可。</w:t>
            </w:r>
          </w:p>
          <w:p w14:paraId="3AA5D9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2.供应商操作指南详见 (新疆政府采购网 (ccgp-xinjiang.gov.cn) ) —办事指南—操作指南。</w:t>
            </w:r>
          </w:p>
          <w:p w14:paraId="3D817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3.系统操作问题请咨询技术支持电话400-881-7190，CA办理问题请咨询新疆CA服务热线4000921999；翔晟CA服务热线025-66085508。</w:t>
            </w:r>
          </w:p>
          <w:p w14:paraId="3FCA62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4.开标注意事项：</w:t>
            </w:r>
          </w:p>
          <w:p w14:paraId="16BCB1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(1)开标时推荐使用Chrome浏览器或360浏览器，且使用的电脑已经安装最新的CA驱动；</w:t>
            </w:r>
          </w:p>
          <w:p w14:paraId="37CE9B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(2) 开标时请使用您本次加密使用的CA进行解密；开标及电子保函解密时需使用CA的密码，并确开标人员已知晓正确的密码。</w:t>
            </w:r>
          </w:p>
          <w:p w14:paraId="19F870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(3) 推荐使用制作生成电子标书的电脑进行解密。</w:t>
            </w:r>
          </w:p>
          <w:p w14:paraId="53749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(4) 开标解密路径：登录政采云平台，进入【项目采购】应用—【开标评标】菜单—【进入开标大厅】页面，找到当天开标的项目。</w:t>
            </w:r>
          </w:p>
        </w:tc>
      </w:tr>
    </w:tbl>
    <w:p w14:paraId="621CEE69">
      <w:pPr>
        <w:widowControl/>
        <w:jc w:val="center"/>
        <w:rPr>
          <w:rFonts w:hint="eastAsia" w:ascii="微软雅黑" w:hAnsi="微软雅黑" w:eastAsia="微软雅黑" w:cs="微软雅黑"/>
          <w:b/>
          <w:color w:val="auto"/>
          <w:kern w:val="0"/>
          <w:sz w:val="28"/>
          <w:szCs w:val="28"/>
          <w:highlight w:val="none"/>
        </w:rPr>
        <w:sectPr>
          <w:headerReference r:id="rId29" w:type="default"/>
          <w:footerReference r:id="rId30" w:type="default"/>
          <w:pgSz w:w="11907" w:h="16840"/>
          <w:pgMar w:top="1440" w:right="1080" w:bottom="1440" w:left="1080" w:header="851" w:footer="851" w:gutter="0"/>
          <w:pgNumType w:fmt="decimal"/>
          <w:cols w:space="720" w:num="1"/>
          <w:docGrid w:linePitch="462" w:charSpace="0"/>
        </w:sectPr>
      </w:pPr>
    </w:p>
    <w:p w14:paraId="3E224579">
      <w:pPr>
        <w:pStyle w:val="2"/>
        <w:numPr>
          <w:ilvl w:val="0"/>
          <w:numId w:val="0"/>
        </w:numPr>
        <w:tabs>
          <w:tab w:val="left" w:pos="0"/>
        </w:tabs>
        <w:spacing w:before="0" w:after="0" w:line="240" w:lineRule="auto"/>
        <w:ind w:leftChars="0"/>
        <w:jc w:val="center"/>
        <w:rPr>
          <w:rFonts w:hint="eastAsia" w:ascii="微软雅黑" w:hAnsi="微软雅黑" w:eastAsia="微软雅黑" w:cs="微软雅黑"/>
          <w:b/>
          <w:bCs w:val="0"/>
          <w:color w:val="auto"/>
          <w:sz w:val="22"/>
          <w:szCs w:val="22"/>
          <w:highlight w:val="none"/>
        </w:rPr>
      </w:pPr>
      <w:bookmarkStart w:id="426" w:name="_Toc27806"/>
      <w:bookmarkStart w:id="427" w:name="_Toc9628"/>
      <w:r>
        <w:rPr>
          <w:rFonts w:hint="eastAsia" w:ascii="微软雅黑" w:hAnsi="微软雅黑" w:eastAsia="微软雅黑" w:cs="微软雅黑"/>
          <w:b/>
          <w:color w:val="auto"/>
          <w:sz w:val="32"/>
          <w:szCs w:val="32"/>
          <w:highlight w:val="none"/>
          <w:lang w:val="en-US" w:eastAsia="zh-CN"/>
        </w:rPr>
        <w:t>第5章  采购需求</w:t>
      </w:r>
      <w:bookmarkEnd w:id="420"/>
      <w:bookmarkEnd w:id="421"/>
      <w:bookmarkEnd w:id="422"/>
      <w:bookmarkEnd w:id="423"/>
      <w:bookmarkEnd w:id="424"/>
      <w:bookmarkEnd w:id="425"/>
      <w:bookmarkEnd w:id="426"/>
      <w:bookmarkEnd w:id="427"/>
      <w:bookmarkStart w:id="428" w:name="_Toc14424"/>
      <w:bookmarkStart w:id="429" w:name="_Toc3501"/>
      <w:bookmarkStart w:id="430" w:name="_Toc29241"/>
      <w:bookmarkStart w:id="431" w:name="_Toc16093"/>
      <w:bookmarkStart w:id="432" w:name="_Toc12442"/>
      <w:bookmarkStart w:id="433" w:name="_Toc13057"/>
      <w:bookmarkStart w:id="434" w:name="_Toc7971"/>
      <w:bookmarkStart w:id="435" w:name="_Toc31645"/>
      <w:bookmarkStart w:id="436" w:name="_Toc11956"/>
      <w:bookmarkStart w:id="437" w:name="_Toc4177"/>
      <w:bookmarkStart w:id="438" w:name="_Toc27286"/>
      <w:bookmarkStart w:id="439" w:name="_Toc13297"/>
      <w:bookmarkStart w:id="440" w:name="_Toc17321"/>
      <w:bookmarkStart w:id="441" w:name="_Toc1934"/>
      <w:bookmarkStart w:id="442" w:name="_Toc22083"/>
      <w:bookmarkStart w:id="443" w:name="_Toc31636"/>
      <w:bookmarkStart w:id="444" w:name="_Toc11880"/>
      <w:bookmarkStart w:id="445" w:name="_Toc32647"/>
      <w:bookmarkStart w:id="446" w:name="_Toc515647832"/>
      <w:bookmarkStart w:id="447" w:name="_Toc218935355"/>
      <w:bookmarkStart w:id="448" w:name="_Toc1081"/>
      <w:bookmarkStart w:id="449" w:name="_Toc219175639"/>
      <w:bookmarkStart w:id="450" w:name="_Toc216582826"/>
    </w:p>
    <w:p w14:paraId="79F255A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喀什市思政教育一体化项目(村级带头人及后备力量赴内地开展跟班锻炼)采购需求</w:t>
      </w:r>
    </w:p>
    <w:p w14:paraId="3D463201">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一、项目概况</w:t>
      </w:r>
    </w:p>
    <w:p w14:paraId="24D49CC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组织61名村级带头人及其后备力量赴北京开展党性教育、赴深圳开展跟班培训锻炼90天（不含路程）</w:t>
      </w:r>
    </w:p>
    <w:p w14:paraId="4F1F7FF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 xml:space="preserve">承办单位需具备以下条件： </w:t>
      </w:r>
    </w:p>
    <w:p w14:paraId="660EEF4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1.能独立承办喀什市61名村级带头人及其后备力量赴深圳开展跟班培训锻炼学习；</w:t>
      </w:r>
    </w:p>
    <w:p w14:paraId="097D93F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2.能独立对接深圳市街道、社区承接61名学员赴街道、社区开展跟班锻炼，根据学员特点，针对性安排锻炼岗位；</w:t>
      </w:r>
    </w:p>
    <w:p w14:paraId="08D1C1A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3.需为学员购买往返机票及保险，负责保障全程住宿、伙食、场地、资料、交通及其他各类费用，安排专人全程跟踪，定期形成情况报告；</w:t>
      </w:r>
    </w:p>
    <w:p w14:paraId="4D07840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kern w:val="2"/>
          <w:sz w:val="22"/>
          <w:szCs w:val="22"/>
          <w:highlight w:val="yellow"/>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4.承办单位（机构）业务范围需包括干部教育培训及人才培训，具备一站式教学与后勤管理条件，保障吃、住、学统一管理。</w:t>
      </w:r>
    </w:p>
    <w:p w14:paraId="04DFF446">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二、服务期限、地点及付款方式等</w:t>
      </w:r>
    </w:p>
    <w:p w14:paraId="6BA1095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1、服务期限：合同签订后于2026年10月31日前完成所有活动计划内容。 </w:t>
      </w:r>
    </w:p>
    <w:p w14:paraId="426A663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2、付款方式：合同签订后，甲方向乙方支付合同总价款的50%预付款，整个活动结束且验收合格后支付至合同总价款100%；【具体以签订合同为准】。 </w:t>
      </w:r>
    </w:p>
    <w:p w14:paraId="339F0FF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3、服务地点：北京、深圳、喀什。</w:t>
      </w:r>
    </w:p>
    <w:p w14:paraId="42E6545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default"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4、项目成果：本项目任务完成后须收集、整理、归档培训期间相关材料（人员名单、行程方案、保险单、课程安排、培训照片、购票信息汇总、签到表、阶段性项目整体总结报告、活动评价单等），撰写项目总结报告递交采购人（最终以实际情况为准）。</w:t>
      </w:r>
    </w:p>
    <w:p w14:paraId="2487B43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三、培训时间</w:t>
      </w:r>
    </w:p>
    <w:p w14:paraId="0779D89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计划1期完成，90天跟班学习锻炼；每批具体时间及人数由采购人根据实际情况确定。</w:t>
      </w:r>
    </w:p>
    <w:p w14:paraId="23FB13C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四、培训内容（供应商根据以下培训内容提供具体培训方案、课程，并具备优秀的师资队伍）：</w:t>
      </w:r>
    </w:p>
    <w:p w14:paraId="61573FC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yellow"/>
          <w:lang w:val="en-US" w:eastAsia="zh-CN"/>
        </w:rPr>
      </w:pPr>
      <w:r>
        <w:rPr>
          <w:rFonts w:hint="eastAsia" w:ascii="微软雅黑" w:hAnsi="微软雅黑" w:eastAsia="微软雅黑" w:cs="微软雅黑"/>
          <w:color w:val="auto"/>
          <w:sz w:val="22"/>
          <w:szCs w:val="22"/>
          <w:highlight w:val="none"/>
          <w:lang w:val="en-US" w:eastAsia="zh-CN"/>
        </w:rPr>
        <w:t>面向基层干部开展党的创新理论、履职能力、党性教育等多形式教育培训工作，不断提升各级干部践行和服务高质量发展能力水平；充分用好对口援疆优质教育教学资源和资金支持，坚持“引进来”“走出去”相结合，推动优秀干部赴内地发达省市培训、跟班学习，提升能力，着力培养一支政治坚定、素质优良、善于发展、为民务实的高素质党政干部队伍，培养和储备一批政治素质好、业务水平精、创新能力强的专业骨干人才和后备力量，进一步满足喀什市经济社会发展对各类人才的需求。</w:t>
      </w:r>
    </w:p>
    <w:p w14:paraId="7B689EAC">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五、方案要求：</w:t>
      </w:r>
    </w:p>
    <w:p w14:paraId="6BE648F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1.中标价包含范围培训策划、食宿、交通、培训、保险、后勤保障等相关其他费用。 </w:t>
      </w:r>
    </w:p>
    <w:p w14:paraId="52655D1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(1)针对项目提供详尽的项目需求分析以及清晰的描述，对该项目提供总体认识、理解以及整体规划；并根据项目实际情况制定《安全须知》及《身体健康情况表》。 </w:t>
      </w:r>
    </w:p>
    <w:p w14:paraId="5AF9043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(2)针对本项目有专门负责执行团队，具体的项目负责人及人员组建构成。 </w:t>
      </w:r>
    </w:p>
    <w:p w14:paraId="6F25679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default" w:ascii="微软雅黑" w:hAnsi="微软雅黑" w:eastAsia="微软雅黑" w:cs="微软雅黑"/>
          <w:color w:val="auto"/>
          <w:sz w:val="22"/>
          <w:szCs w:val="22"/>
          <w:highlight w:val="none"/>
          <w:lang w:val="en-US" w:eastAsia="zh-CN"/>
        </w:rPr>
      </w:pPr>
      <w:r>
        <w:rPr>
          <w:rFonts w:hint="default" w:ascii="微软雅黑" w:hAnsi="微软雅黑" w:eastAsia="微软雅黑" w:cs="微软雅黑"/>
          <w:color w:val="auto"/>
          <w:sz w:val="22"/>
          <w:szCs w:val="22"/>
          <w:highlight w:val="none"/>
          <w:lang w:val="en-US" w:eastAsia="zh-CN"/>
        </w:rPr>
        <w:t>2.根据项目特定，提供购买机票的策划方案，提供多条航班路线（喀什-北京-深圳、深圳-喀什优先选择同班直飞航班），确保预定、改签、退票、包租等事项顺利进行，</w:t>
      </w:r>
      <w:r>
        <w:rPr>
          <w:rFonts w:hint="eastAsia" w:ascii="微软雅黑" w:hAnsi="微软雅黑" w:eastAsia="微软雅黑" w:cs="微软雅黑"/>
          <w:color w:val="auto"/>
          <w:sz w:val="22"/>
          <w:szCs w:val="22"/>
          <w:highlight w:val="none"/>
          <w:lang w:val="en-US" w:eastAsia="zh-CN"/>
        </w:rPr>
        <w:t>培训</w:t>
      </w:r>
      <w:r>
        <w:rPr>
          <w:rFonts w:hint="default" w:ascii="微软雅黑" w:hAnsi="微软雅黑" w:eastAsia="微软雅黑" w:cs="微软雅黑"/>
          <w:color w:val="auto"/>
          <w:sz w:val="22"/>
          <w:szCs w:val="22"/>
          <w:highlight w:val="none"/>
          <w:lang w:val="en-US" w:eastAsia="zh-CN"/>
        </w:rPr>
        <w:t>期间，全天包接送并安排足够的车辆，确保每批次乘坐人员不得发生拥挤和遗漏情况。</w:t>
      </w:r>
    </w:p>
    <w:p w14:paraId="74C46A6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3.具备一站式教学与后勤管理的条件，确保住宿地理位置、环境条件、设备设施配置、清洁卫生、服务水平等达到高质量要求。</w:t>
      </w:r>
    </w:p>
    <w:p w14:paraId="36CE583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4.具备一站式教学与后勤管理的条件，餐饮：正餐每天每人不得低于120元/人餐费标准，以餐饮企业设备设施条件菜品质量、服务能力、食品安全、环境卫生、等高质量要求。  </w:t>
      </w:r>
    </w:p>
    <w:p w14:paraId="25AC45A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5.对接社区、街道：针对项目实施进度计划以及具体时间安排及计划表，</w:t>
      </w:r>
      <w:r>
        <w:rPr>
          <w:rFonts w:hint="eastAsia" w:ascii="微软雅黑" w:hAnsi="微软雅黑" w:eastAsia="微软雅黑" w:cs="微软雅黑"/>
          <w:b w:val="0"/>
          <w:bCs w:val="0"/>
          <w:color w:val="auto"/>
          <w:sz w:val="22"/>
          <w:szCs w:val="22"/>
          <w:highlight w:val="none"/>
          <w:lang w:val="en-US" w:eastAsia="zh-CN"/>
        </w:rPr>
        <w:t>对接深圳街道、社区承接培训学员赴街道、社区开展跟班锻炼。</w:t>
      </w:r>
    </w:p>
    <w:p w14:paraId="59C1363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6.保险:为参加本次活动的人员购买意外保险（乘坐飞机及培训期间个人意外伤害保险不得低于每人30元），保险期间从活动开始之日起，直至活动结束之日。 </w:t>
      </w:r>
    </w:p>
    <w:p w14:paraId="0468FDF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7.在项目实施过程中，与采购人配合、沟通方案并接受采购人指导监督评价，有专人定期与采购人沟通。</w:t>
      </w:r>
    </w:p>
    <w:p w14:paraId="5B45F58D">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六、防护措施:</w:t>
      </w:r>
    </w:p>
    <w:p w14:paraId="37AF862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配备数量充足且符合一次性使用医用口罩标准或相当防护级别的口罩、体温检测设备、洗手液、一次性手套、消毒用品等防护用品；要督促车辆、客房、餐厅等接待设施和场所进行全面消毒清洁，确保参加活动人的健康不受伤害。</w:t>
      </w:r>
    </w:p>
    <w:p w14:paraId="0898C224">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七、应急方案</w:t>
      </w:r>
    </w:p>
    <w:p w14:paraId="237017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包含但不限于:针对服务对象的人身安全、突发疾病、急救车安排计划、天气原因不可抗力因素、交通方面、餐宿安全等方面。</w:t>
      </w:r>
    </w:p>
    <w:p w14:paraId="4B415243">
      <w:pPr>
        <w:keepNext w:val="0"/>
        <w:keepLines w:val="0"/>
        <w:pageBreakBefore w:val="0"/>
        <w:widowControl w:val="0"/>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b/>
          <w:bCs/>
          <w:color w:val="auto"/>
          <w:sz w:val="22"/>
          <w:szCs w:val="22"/>
          <w:highlight w:val="none"/>
          <w:lang w:val="en-US" w:eastAsia="zh-CN"/>
        </w:rPr>
        <w:t>八、其他要求</w:t>
      </w:r>
    </w:p>
    <w:p w14:paraId="37F9297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40" w:firstLineChars="20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2"/>
          <w:szCs w:val="22"/>
          <w:highlight w:val="none"/>
          <w:lang w:val="en-US" w:eastAsia="zh-CN"/>
        </w:rPr>
        <w:t>中标后，中标单位应安排人员全程接洽，使行程安排更紧凑，时间安排合理，服务期内按时组建团队。</w:t>
      </w:r>
    </w:p>
    <w:p w14:paraId="061EF770">
      <w:pPr>
        <w:pageBreakBefore w:val="0"/>
        <w:widowControl w:val="0"/>
        <w:kinsoku/>
        <w:wordWrap/>
        <w:overflowPunct/>
        <w:topLinePunct w:val="0"/>
        <w:bidi w:val="0"/>
        <w:snapToGrid/>
        <w:spacing w:line="360" w:lineRule="auto"/>
        <w:jc w:val="center"/>
        <w:textAlignment w:val="auto"/>
        <w:rPr>
          <w:rFonts w:hint="eastAsia" w:ascii="微软雅黑" w:hAnsi="微软雅黑" w:eastAsia="微软雅黑" w:cs="微软雅黑"/>
          <w:b/>
          <w:bCs/>
          <w:color w:val="auto"/>
          <w:sz w:val="28"/>
          <w:szCs w:val="28"/>
          <w:highlight w:val="yellow"/>
          <w:lang w:val="en-US" w:eastAsia="zh-CN"/>
        </w:rPr>
        <w:sectPr>
          <w:headerReference r:id="rId31" w:type="default"/>
          <w:footerReference r:id="rId32" w:type="default"/>
          <w:pgSz w:w="11907" w:h="16840"/>
          <w:pgMar w:top="1418" w:right="1134" w:bottom="1418" w:left="1134" w:header="851" w:footer="992" w:gutter="0"/>
          <w:pgNumType w:fmt="decimal"/>
          <w:cols w:space="720" w:num="1"/>
          <w:docGrid w:linePitch="312" w:charSpace="0"/>
        </w:sectPr>
      </w:pP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7FE222EF">
      <w:pPr>
        <w:pStyle w:val="2"/>
        <w:pageBreakBefore w:val="0"/>
        <w:widowControl w:val="0"/>
        <w:numPr>
          <w:ilvl w:val="0"/>
          <w:numId w:val="0"/>
        </w:numPr>
        <w:tabs>
          <w:tab w:val="left" w:pos="0"/>
        </w:tabs>
        <w:kinsoku/>
        <w:wordWrap/>
        <w:overflowPunct/>
        <w:topLinePunct w:val="0"/>
        <w:bidi w:val="0"/>
        <w:snapToGrid w:val="0"/>
        <w:spacing w:before="0" w:after="0" w:line="360" w:lineRule="auto"/>
        <w:ind w:leftChars="0"/>
        <w:jc w:val="center"/>
        <w:textAlignment w:val="auto"/>
        <w:rPr>
          <w:rFonts w:hint="eastAsia" w:ascii="微软雅黑" w:hAnsi="微软雅黑" w:eastAsia="微软雅黑" w:cs="微软雅黑"/>
          <w:b/>
          <w:color w:val="auto"/>
          <w:sz w:val="28"/>
          <w:szCs w:val="28"/>
          <w:highlight w:val="none"/>
          <w:lang w:val="en-US" w:eastAsia="zh-CN"/>
        </w:rPr>
      </w:pPr>
      <w:bookmarkStart w:id="451" w:name="_Toc17725"/>
      <w:r>
        <w:rPr>
          <w:rFonts w:hint="eastAsia" w:ascii="微软雅黑" w:hAnsi="微软雅黑" w:eastAsia="微软雅黑" w:cs="微软雅黑"/>
          <w:b/>
          <w:color w:val="auto"/>
          <w:sz w:val="32"/>
          <w:szCs w:val="32"/>
          <w:highlight w:val="none"/>
          <w:lang w:val="en-US" w:eastAsia="zh-CN"/>
        </w:rPr>
        <w:t xml:space="preserve">第6章  </w:t>
      </w:r>
      <w:bookmarkStart w:id="452" w:name="_Toc518923127"/>
      <w:bookmarkStart w:id="453" w:name="_Toc507399907"/>
      <w:r>
        <w:rPr>
          <w:rFonts w:hint="eastAsia" w:ascii="微软雅黑" w:hAnsi="微软雅黑" w:eastAsia="微软雅黑" w:cs="微软雅黑"/>
          <w:b/>
          <w:color w:val="auto"/>
          <w:sz w:val="32"/>
          <w:szCs w:val="32"/>
          <w:highlight w:val="none"/>
          <w:lang w:val="en-US" w:eastAsia="zh-CN"/>
        </w:rPr>
        <w:t>评标方法和标准</w:t>
      </w:r>
      <w:bookmarkEnd w:id="447"/>
      <w:bookmarkEnd w:id="448"/>
      <w:bookmarkEnd w:id="449"/>
      <w:bookmarkEnd w:id="450"/>
      <w:bookmarkEnd w:id="451"/>
      <w:bookmarkEnd w:id="452"/>
      <w:bookmarkEnd w:id="453"/>
    </w:p>
    <w:p w14:paraId="254F23A5">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color w:val="auto"/>
          <w:sz w:val="22"/>
          <w:szCs w:val="22"/>
          <w:highlight w:val="none"/>
        </w:rPr>
      </w:pPr>
      <w:bookmarkStart w:id="454" w:name="_Toc507399904"/>
      <w:r>
        <w:rPr>
          <w:rFonts w:hint="eastAsia" w:ascii="微软雅黑" w:hAnsi="微软雅黑" w:eastAsia="微软雅黑" w:cs="微软雅黑"/>
          <w:b/>
          <w:bCs w:val="0"/>
          <w:color w:val="auto"/>
          <w:sz w:val="22"/>
          <w:szCs w:val="22"/>
          <w:highlight w:val="none"/>
          <w:lang w:val="en-US" w:eastAsia="zh-CN"/>
        </w:rPr>
        <w:t>本次评标采用综合评分法，即评委会在符合有效投标范畴且最大限度地满足招标文件实质性要求前提下，对投标人的价格、技术、商务三部分进行综合评审和独立评分。</w:t>
      </w:r>
      <w:bookmarkStart w:id="455" w:name="_Toc21022"/>
      <w:bookmarkStart w:id="456" w:name="_Toc21668"/>
      <w:bookmarkStart w:id="457" w:name="_Toc25364"/>
    </w:p>
    <w:p w14:paraId="011C835A">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 xml:space="preserve">1. </w:t>
      </w:r>
      <w:r>
        <w:rPr>
          <w:rFonts w:hint="eastAsia" w:ascii="微软雅黑" w:hAnsi="微软雅黑" w:eastAsia="微软雅黑" w:cs="微软雅黑"/>
          <w:b w:val="0"/>
          <w:bCs w:val="0"/>
          <w:color w:val="auto"/>
          <w:kern w:val="2"/>
          <w:sz w:val="22"/>
          <w:szCs w:val="22"/>
          <w:highlight w:val="none"/>
          <w:lang w:val="en-US" w:eastAsia="zh-CN" w:bidi="ar-SA"/>
        </w:rPr>
        <w:t>本项目根据《政府采购促进中小企业发展管理办法》（财库[2020]46 号）、关于进一步加大政府采购支持中小企业力度的通知财库〔2022〕19号，《财政部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号）的规定，对满足价格扣除条件且在投标文件中提交了《中小企业声明函》或省级以上监狱管理局、戒毒管理局（含新疆生产建设兵团）出具的属于监狱企业的证明文件的投标人，其投标报价扣除</w:t>
      </w:r>
      <w:r>
        <w:rPr>
          <w:rFonts w:hint="eastAsia" w:ascii="微软雅黑" w:hAnsi="微软雅黑" w:eastAsia="微软雅黑" w:cs="微软雅黑"/>
          <w:b w:val="0"/>
          <w:bCs w:val="0"/>
          <w:color w:val="auto"/>
          <w:kern w:val="2"/>
          <w:sz w:val="22"/>
          <w:szCs w:val="22"/>
          <w:highlight w:val="none"/>
          <w:u w:val="single"/>
          <w:lang w:val="en-US" w:eastAsia="zh-CN" w:bidi="ar-SA"/>
        </w:rPr>
        <w:t xml:space="preserve"> 10% </w:t>
      </w:r>
      <w:r>
        <w:rPr>
          <w:rFonts w:hint="eastAsia" w:ascii="微软雅黑" w:hAnsi="微软雅黑" w:eastAsia="微软雅黑" w:cs="微软雅黑"/>
          <w:b w:val="0"/>
          <w:bCs w:val="0"/>
          <w:color w:val="auto"/>
          <w:kern w:val="2"/>
          <w:sz w:val="22"/>
          <w:szCs w:val="22"/>
          <w:highlight w:val="none"/>
          <w:lang w:val="en-US" w:eastAsia="zh-CN" w:bidi="ar-SA"/>
        </w:rPr>
        <w:t>后参与评审。对于同时属于小微企业、监狱企业或残疾人福利性单位的，不重复进行投标报价扣除。</w:t>
      </w:r>
      <w:r>
        <w:rPr>
          <w:rFonts w:hint="eastAsia" w:ascii="微软雅黑" w:hAnsi="微软雅黑" w:eastAsia="微软雅黑" w:cs="微软雅黑"/>
          <w:b w:val="0"/>
          <w:bCs/>
          <w:color w:val="auto"/>
          <w:sz w:val="22"/>
          <w:szCs w:val="22"/>
          <w:highlight w:val="none"/>
          <w:lang w:val="en-US" w:eastAsia="zh-CN"/>
        </w:rPr>
        <w:t>具体办法详见招标文件第 6 章。</w:t>
      </w:r>
    </w:p>
    <w:p w14:paraId="7A60BD9A">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rPr>
      </w:pPr>
      <w:r>
        <w:rPr>
          <w:rFonts w:hint="eastAsia" w:ascii="微软雅黑" w:hAnsi="微软雅黑" w:eastAsia="微软雅黑" w:cs="微软雅黑"/>
          <w:b w:val="0"/>
          <w:bCs/>
          <w:color w:val="auto"/>
          <w:kern w:val="2"/>
          <w:sz w:val="22"/>
          <w:szCs w:val="22"/>
          <w:highlight w:val="none"/>
          <w:lang w:val="en-US" w:eastAsia="zh-CN" w:bidi="ar-SA"/>
        </w:rPr>
        <w:t>2.如发现下列情况之</w:t>
      </w:r>
      <w:r>
        <w:rPr>
          <w:rFonts w:hint="eastAsia" w:ascii="微软雅黑" w:hAnsi="微软雅黑" w:eastAsia="微软雅黑" w:cs="微软雅黑"/>
          <w:b w:val="0"/>
          <w:bCs/>
          <w:color w:val="auto"/>
          <w:sz w:val="22"/>
          <w:szCs w:val="22"/>
          <w:highlight w:val="none"/>
        </w:rPr>
        <w:t>一的，其投标将被认定为</w:t>
      </w:r>
      <w:r>
        <w:rPr>
          <w:rFonts w:hint="eastAsia" w:ascii="微软雅黑" w:hAnsi="微软雅黑" w:eastAsia="微软雅黑" w:cs="微软雅黑"/>
          <w:b/>
          <w:bCs w:val="0"/>
          <w:color w:val="auto"/>
          <w:sz w:val="22"/>
          <w:szCs w:val="22"/>
          <w:highlight w:val="none"/>
        </w:rPr>
        <w:t>投标无效：</w:t>
      </w:r>
    </w:p>
    <w:p w14:paraId="2EC56D30">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（1）单位负责人为同一人或者存在直接控股、管理关系的不同投标人，其相关投标将被认定为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4D7E5A1F">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（2）为本项目提供过整体设计、规范编制或者项目管理、监理、检测等服务的投标人，不得再参加本项目上述服务以外的其他采购活动。否则其投标将被认定为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6F258F22">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（3）投标人在投标过程中不得向采购人提供、给予任何有价值的物品，影响其正常决策行为。一经发现，其将被认定为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10046BFA">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（4）投标人报价超过招标文件规定的预算金额或者分项、分包最高限价的，其投标将被认定为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59DACE8B">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（5）投标人应认真阅读招标文件所有的事项、格式、条款和技术规范等。如投标人没有按照招标文件要求提交全部资料，或者投标文件没有对招标文件在各方面都做出实质性响应，可能导致其投标将被认定为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09C02430">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（6）投标人应当对所投分包招标文件中“采购需求”所列的所有内容进行投标，如仅响应某一包中的部分内容，其该包投标将被认定为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37D750CF">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（7）投标人未按本须知第12.1和12.3条规定提交投标保证金的，其投标将被认定为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29C3DF6F">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8）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07486675">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（9）投标人所报的各分项投标单价在合同履行过程中是固定不变的，不得以任何理由予以变更。任何包含价格调整要求的投标，其投标将被认定为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79445AB0">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（10）投标应在投标人须知资料表中规定时间内保持有效。投标有效期不满足要求的投标，其投标将被认定为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00214E42">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（11）投标文件标明的响应或偏离与事实不符或伪造证明文件等虚假投标的，其投标将被认定为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622F661E">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（12）投标人存在不良信用记录的，其投标将被认定为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7C538910">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13）总价金额与按单价汇总金额不一致的，以单价金额计算结果为准。同时出现两种以上不一致的，按照前款规定的顺序修正。修正后的报价按照第20.2条的规定经投标人确认后产生约束力，投标人不确认的，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305A871C">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14）在比较与评价之前，根据本须知的规定，评审小组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728235CF">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（15）如发现下列情况之一的，其投标将被认定为</w:t>
      </w:r>
      <w:r>
        <w:rPr>
          <w:rFonts w:hint="eastAsia" w:ascii="微软雅黑" w:hAnsi="微软雅黑" w:eastAsia="微软雅黑" w:cs="微软雅黑"/>
          <w:b/>
          <w:bCs w:val="0"/>
          <w:color w:val="auto"/>
          <w:sz w:val="22"/>
          <w:szCs w:val="22"/>
          <w:highlight w:val="none"/>
          <w:lang w:val="en-US" w:eastAsia="zh-CN"/>
        </w:rPr>
        <w:t>投标无效</w:t>
      </w:r>
      <w:r>
        <w:rPr>
          <w:rFonts w:hint="eastAsia" w:ascii="微软雅黑" w:hAnsi="微软雅黑" w:eastAsia="微软雅黑" w:cs="微软雅黑"/>
          <w:b w:val="0"/>
          <w:bCs/>
          <w:color w:val="auto"/>
          <w:sz w:val="22"/>
          <w:szCs w:val="22"/>
          <w:highlight w:val="none"/>
          <w:lang w:val="en-US" w:eastAsia="zh-CN"/>
        </w:rPr>
        <w:t>：</w:t>
      </w:r>
    </w:p>
    <w:p w14:paraId="10B99B70">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bCs w:val="0"/>
          <w:color w:val="auto"/>
          <w:sz w:val="22"/>
          <w:szCs w:val="22"/>
          <w:highlight w:val="none"/>
          <w:lang w:val="en-US" w:eastAsia="zh-CN"/>
        </w:rPr>
      </w:pPr>
      <w:r>
        <w:rPr>
          <w:rFonts w:hint="eastAsia" w:ascii="微软雅黑" w:hAnsi="微软雅黑" w:eastAsia="微软雅黑" w:cs="微软雅黑"/>
          <w:b/>
          <w:bCs w:val="0"/>
          <w:color w:val="auto"/>
          <w:sz w:val="22"/>
          <w:szCs w:val="22"/>
          <w:highlight w:val="none"/>
          <w:lang w:val="en-US" w:eastAsia="zh-CN"/>
        </w:rPr>
        <w:t>未按招标文件规定的形式和金额提交投标保证金的；未按照招标文件规定要求签署、盖章的；未满足招标文件中技术条款的实质性要求；与其他投标人串通投标，或者与采购人串通投标；属于招标文件规定的其他投标无效情形；评审小组认为投标人的报价明显低于其他通过符合性检查投标人的报价，有可能影响履约的，且投标人未按照规定证明其报价合理性的；投标文件含有采购人不能接受的附加条件的；不符合法规和招标文件中规定的其他实质性要求的。</w:t>
      </w:r>
    </w:p>
    <w:p w14:paraId="4F9DA6BF">
      <w:pPr>
        <w:pStyle w:val="12"/>
        <w:keepNext w:val="0"/>
        <w:keepLines w:val="0"/>
        <w:pageBreakBefore w:val="0"/>
        <w:widowControl w:val="0"/>
        <w:tabs>
          <w:tab w:val="clear" w:pos="567"/>
        </w:tabs>
        <w:kinsoku/>
        <w:wordWrap/>
        <w:overflowPunct/>
        <w:topLinePunct w:val="0"/>
        <w:autoSpaceDE/>
        <w:autoSpaceDN/>
        <w:bidi w:val="0"/>
        <w:adjustRightInd w:val="0"/>
        <w:snapToGrid w:val="0"/>
        <w:spacing w:before="0" w:line="312" w:lineRule="auto"/>
        <w:ind w:left="0" w:leftChars="0"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5.开评标过程</w:t>
      </w:r>
    </w:p>
    <w:p w14:paraId="47281D55">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（一）开标</w:t>
      </w:r>
    </w:p>
    <w:p w14:paraId="4F77CE3A">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（1）开标准备：本项目开标的准备工作由采购组织机构负责落实，开标过程由采购组织机构负责记录；</w:t>
      </w:r>
    </w:p>
    <w:p w14:paraId="4A864641">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（2）开标主持：本项目开标由采购人或者采购代理机构主持；</w:t>
      </w:r>
    </w:p>
    <w:p w14:paraId="4435DA24">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（3）开标邀请：本项目采用电子交易，采购组织机构将按照招标文件规定的时间通过“新疆政府采购云平台，网址：www.zcygov.cn”组织开标、开启投标响应文件，所有供应商均应当准时在线参加。</w:t>
      </w:r>
    </w:p>
    <w:p w14:paraId="65D9A4AE">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2D10F75D">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textAlignment w:val="auto"/>
        <w:rPr>
          <w:rFonts w:hint="eastAsia" w:ascii="微软雅黑" w:hAnsi="微软雅黑" w:eastAsia="微软雅黑" w:cs="微软雅黑"/>
          <w:color w:val="auto"/>
          <w:sz w:val="22"/>
          <w:szCs w:val="22"/>
          <w:highlight w:val="none"/>
          <w:lang w:eastAsia="zh-CN"/>
        </w:rPr>
      </w:pPr>
      <w:bookmarkStart w:id="458" w:name="_Toc73975823"/>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lang w:eastAsia="zh-CN"/>
        </w:rPr>
        <w:t>开标程序</w:t>
      </w:r>
      <w:bookmarkEnd w:id="458"/>
    </w:p>
    <w:p w14:paraId="2D49FE86">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①开标时间到后，主持人宣布开标会议开始。</w:t>
      </w:r>
    </w:p>
    <w:p w14:paraId="4CEEE53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②投标文件解密（解密规定见《供应商须知</w:t>
      </w:r>
      <w:r>
        <w:rPr>
          <w:rFonts w:hint="eastAsia" w:ascii="微软雅黑" w:hAnsi="微软雅黑" w:eastAsia="微软雅黑" w:cs="微软雅黑"/>
          <w:color w:val="auto"/>
          <w:sz w:val="22"/>
          <w:szCs w:val="22"/>
          <w:highlight w:val="none"/>
          <w:lang w:val="en-US" w:eastAsia="zh-CN"/>
        </w:rPr>
        <w:t>资料</w:t>
      </w:r>
      <w:r>
        <w:rPr>
          <w:rFonts w:hint="eastAsia" w:ascii="微软雅黑" w:hAnsi="微软雅黑" w:eastAsia="微软雅黑" w:cs="微软雅黑"/>
          <w:color w:val="auto"/>
          <w:sz w:val="22"/>
          <w:szCs w:val="22"/>
          <w:highlight w:val="none"/>
          <w:lang w:eastAsia="zh-CN"/>
        </w:rPr>
        <w:t>表》）。</w:t>
      </w:r>
    </w:p>
    <w:p w14:paraId="208F2673">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③投标文件解密异常情况处理（处理办法见《供应商须知</w:t>
      </w:r>
      <w:r>
        <w:rPr>
          <w:rFonts w:hint="eastAsia" w:ascii="微软雅黑" w:hAnsi="微软雅黑" w:eastAsia="微软雅黑" w:cs="微软雅黑"/>
          <w:color w:val="auto"/>
          <w:sz w:val="22"/>
          <w:szCs w:val="22"/>
          <w:highlight w:val="none"/>
          <w:lang w:val="en-US" w:eastAsia="zh-CN"/>
        </w:rPr>
        <w:t>资料</w:t>
      </w:r>
      <w:r>
        <w:rPr>
          <w:rFonts w:hint="eastAsia" w:ascii="微软雅黑" w:hAnsi="微软雅黑" w:eastAsia="微软雅黑" w:cs="微软雅黑"/>
          <w:color w:val="auto"/>
          <w:sz w:val="22"/>
          <w:szCs w:val="22"/>
          <w:highlight w:val="none"/>
          <w:lang w:eastAsia="zh-CN"/>
        </w:rPr>
        <w:t>表》）。</w:t>
      </w:r>
    </w:p>
    <w:p w14:paraId="0816B35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④公布投标文件解密情况（响应文件成功解密的供应商名单等信息）</w:t>
      </w:r>
    </w:p>
    <w:p w14:paraId="49877EC9">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⑤</w:t>
      </w:r>
      <w:r>
        <w:rPr>
          <w:rFonts w:hint="eastAsia" w:ascii="微软雅黑" w:hAnsi="微软雅黑" w:eastAsia="微软雅黑" w:cs="微软雅黑"/>
          <w:color w:val="auto"/>
          <w:sz w:val="22"/>
          <w:szCs w:val="22"/>
          <w:highlight w:val="none"/>
          <w:lang w:val="en-US" w:eastAsia="zh-CN"/>
        </w:rPr>
        <w:t>开启投标人的报价，公布投标人的名称、总报价、投标保证金缴纳方式、服务期限、服务地点。</w:t>
      </w:r>
      <w:r>
        <w:rPr>
          <w:rFonts w:hint="eastAsia" w:ascii="微软雅黑" w:hAnsi="微软雅黑" w:eastAsia="微软雅黑" w:cs="微软雅黑"/>
          <w:b w:val="0"/>
          <w:bCs/>
          <w:color w:val="auto"/>
          <w:sz w:val="22"/>
          <w:szCs w:val="22"/>
          <w:highlight w:val="none"/>
          <w:lang w:val="en-US" w:eastAsia="zh-CN"/>
        </w:rPr>
        <w:t>各投标单位对投标报价有无疑异，如果没有疑异，请签章确认。</w:t>
      </w:r>
    </w:p>
    <w:p w14:paraId="3E8FEB43">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⑥</w:t>
      </w:r>
      <w:r>
        <w:rPr>
          <w:rFonts w:hint="eastAsia" w:ascii="微软雅黑" w:hAnsi="微软雅黑" w:eastAsia="微软雅黑" w:cs="微软雅黑"/>
          <w:color w:val="auto"/>
          <w:sz w:val="22"/>
          <w:szCs w:val="22"/>
          <w:highlight w:val="none"/>
          <w:lang w:eastAsia="zh-CN"/>
        </w:rPr>
        <w:t>开启标书信息（资格证明文件、商务技术文件）。标书信息开启后，首先由资格审查小组（采购人）依法对投标人的资格证明文件进行审查，审查结束公布投标供应商的资格符合情况。资格审查未获通过的供应商，其商务技术文件及报价文件不再进入评审。</w:t>
      </w:r>
    </w:p>
    <w:p w14:paraId="75FD1C5C">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（二）评标</w:t>
      </w:r>
    </w:p>
    <w:p w14:paraId="6376349E">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1）本项目评标委员会由5人组成（依法从政采云平台专家库随机抽取专家5名），按照招标文件要求，评审专家按时到达指定评标会议室进行签到，由专家评委推荐评标委员会组长，并宣读评标纪律、统一保管评委手机、签署《政府采购评审专家承诺书》。</w:t>
      </w:r>
    </w:p>
    <w:p w14:paraId="42E9E5C0">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（2）专家评审小组在政府采购活动中承担以下义务：</w:t>
      </w:r>
    </w:p>
    <w:p w14:paraId="5FEF5041">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①遵守评审工作纪律；</w:t>
      </w:r>
    </w:p>
    <w:p w14:paraId="294EBFDD">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②按照客观、公正、审慎的原则，根据招标文件规定的评审程序、评审方法和评审标准进行独立评审；</w:t>
      </w:r>
    </w:p>
    <w:p w14:paraId="09BDBA9D">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③不得泄露评审文件、评审情况和在评审过程中获悉的商业秘密；</w:t>
      </w:r>
    </w:p>
    <w:p w14:paraId="4701B43C">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④及时向财政部门报告评审过程中发现的采购人、招标代理机构向评审专家做倾向性、误导性的解释或者说明，以及投标人行贿、提供虚假材料或者串通等违法行为；</w:t>
      </w:r>
    </w:p>
    <w:p w14:paraId="3CE3E147">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⑤发现招标文件内容违反国家有关强制性规定或者招标文件存在歧义、重大缺陷导致评审工作无法进行时，停止评审并向采购人或者招标代理机构书面说明情况；</w:t>
      </w:r>
    </w:p>
    <w:p w14:paraId="3691BB62">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⑥及时向财政、监察等部门举报在评审过程中受到非法干预的情况；</w:t>
      </w:r>
    </w:p>
    <w:p w14:paraId="6A04D6B2">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⑦配合答复处理投标人的询问、质疑和投诉等事项；</w:t>
      </w:r>
    </w:p>
    <w:p w14:paraId="0F94418A">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⑧法律、法规和规章规定的其他义务。</w:t>
      </w:r>
    </w:p>
    <w:p w14:paraId="5FB0DBA7">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（3）评审专家在政府采购活动中应当遵守以下工作纪律：</w:t>
      </w:r>
    </w:p>
    <w:p w14:paraId="03AF7793">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①评审前，应当将通讯工具或者相关电子设备交由招标代理机构统一保管；</w:t>
      </w:r>
    </w:p>
    <w:p w14:paraId="4F163562">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②现清楚知道参加本项目的所有供应商情况，不得参加与自己有《中华人民共和国政府采购法实施条例》第九条规定的利害关系的政府采购项目的评标活动，之前也未参加过与本项目采购需求和招标文件等的咨询、论证工作。发现参加与自己有利害关系的评审活动，须主动提出回避，退出评审；</w:t>
      </w:r>
    </w:p>
    <w:p w14:paraId="370B0C5B">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（利害关系包括: 参加评审活动前3年内曾是响应供应商的控股股东或实际控制人，曾在其中担任董事、监事，或者曾与其存在劳动关系;与响应供应商法定代表人或负责人或实际控制人有夫妻、直系血亲、三代以内旁系血亲、近姻亲关系；本人近三年内与响应供应商发生过法律纠纷；个人及家庭与响应供应商存在投资或入股关系；所在单位与响应供应商存在股份控制或实际控制关系、共同直接或间接投资设立子公司（联营企业和合营企业）情况关系分级代理或代销关系、管理关系、重要业务（占主营业务收入50%以上）或重要财务往来关系（如融资）等其他实质性控制关系；配偶或直系亲 属在响应供应商中担任高级职务或与采购业务相关的职务或担任顾问）。</w:t>
      </w:r>
    </w:p>
    <w:p w14:paraId="1B709829">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③评审现场接受现场监督人员的合法监督，在评审活动过程中不得与外界联系，因发生不可预见情况，确实需要与外界联系的，应当在监督人员监督之下办理；</w:t>
      </w:r>
    </w:p>
    <w:p w14:paraId="162655ED">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④在评审活动过程中严格遵守政府采购法律、法规和政策的规定，遵循公平、公正、诚实信用原则，依据招标文件规定的办法、标准和要求，客观独立地开展评审工作。</w:t>
      </w:r>
    </w:p>
    <w:p w14:paraId="1F9977F3">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⑤评审过程中，不得发表影响评审公正的倾向性、歧视性言论，不得征询或者接受采购人的倾向性意见，不得明示或暗示投标人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14:paraId="67D472C0">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⑥在评审过程中和评审结束后，不得记录、复制或带走任何评审资料，不得向外界透露评审内容；</w:t>
      </w:r>
    </w:p>
    <w:p w14:paraId="1B0A2A5D">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（4）评标委员会应当按照招标文件中规定的评标方法和标准，对所有投标文件进行符合性审查，以确定其是否满足招标文件的实质性要求。</w:t>
      </w:r>
    </w:p>
    <w:p w14:paraId="048FFECB">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jc w:val="both"/>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5）答疑澄清：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076CDFFB">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jc w:val="both"/>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6）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0B14BEB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jc w:val="both"/>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7）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0C82DC0C">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jc w:val="both"/>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（8）评标委员会成员对需要共同认定的事项存在争议的，应当按照少数服从多数的原则作出结论。持不同意见的评标委员会成员应当在评标报告上签署不同意见及理由，否则视为同意评标报告。</w:t>
      </w:r>
    </w:p>
    <w:p w14:paraId="374F0841">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outlineLvl w:val="1"/>
        <w:rPr>
          <w:rFonts w:hint="eastAsia" w:ascii="微软雅黑" w:hAnsi="微软雅黑" w:eastAsia="微软雅黑" w:cs="微软雅黑"/>
          <w:b/>
          <w:bCs w:val="0"/>
          <w:color w:val="auto"/>
          <w:sz w:val="22"/>
          <w:szCs w:val="22"/>
          <w:highlight w:val="none"/>
          <w:lang w:val="en-US" w:eastAsia="zh-CN"/>
        </w:rPr>
      </w:pPr>
      <w:bookmarkStart w:id="459" w:name="_Toc5443"/>
      <w:r>
        <w:rPr>
          <w:rFonts w:hint="eastAsia" w:ascii="微软雅黑" w:hAnsi="微软雅黑" w:eastAsia="微软雅黑" w:cs="微软雅黑"/>
          <w:b w:val="0"/>
          <w:bCs/>
          <w:color w:val="auto"/>
          <w:sz w:val="22"/>
          <w:szCs w:val="22"/>
          <w:highlight w:val="none"/>
          <w:lang w:val="en-US" w:eastAsia="zh-CN"/>
        </w:rPr>
        <w:t>（三）</w:t>
      </w:r>
      <w:r>
        <w:rPr>
          <w:rFonts w:hint="eastAsia" w:ascii="微软雅黑" w:hAnsi="微软雅黑" w:eastAsia="微软雅黑" w:cs="微软雅黑"/>
          <w:b/>
          <w:bCs w:val="0"/>
          <w:color w:val="auto"/>
          <w:sz w:val="22"/>
          <w:szCs w:val="22"/>
          <w:highlight w:val="none"/>
          <w:lang w:val="en-US" w:eastAsia="zh-CN"/>
        </w:rPr>
        <w:t>确定中标人</w:t>
      </w:r>
      <w:bookmarkEnd w:id="459"/>
    </w:p>
    <w:p w14:paraId="56D8F186">
      <w:pPr>
        <w:keepNext w:val="0"/>
        <w:keepLines w:val="0"/>
        <w:pageBreakBefore w:val="0"/>
        <w:widowControl w:val="0"/>
        <w:kinsoku/>
        <w:wordWrap/>
        <w:overflowPunct/>
        <w:topLinePunct w:val="0"/>
        <w:autoSpaceDE/>
        <w:autoSpaceDN/>
        <w:bidi w:val="0"/>
        <w:adjustRightInd/>
        <w:snapToGrid w:val="0"/>
        <w:spacing w:line="312" w:lineRule="auto"/>
        <w:ind w:firstLine="440" w:firstLineChars="200"/>
        <w:textAlignment w:val="auto"/>
        <w:rPr>
          <w:rFonts w:hint="eastAsia" w:ascii="微软雅黑" w:hAnsi="微软雅黑" w:eastAsia="微软雅黑" w:cs="微软雅黑"/>
          <w:b w:val="0"/>
          <w:bCs/>
          <w:color w:val="auto"/>
          <w:kern w:val="2"/>
          <w:sz w:val="22"/>
          <w:szCs w:val="22"/>
          <w:highlight w:val="none"/>
          <w:lang w:val="en-US" w:eastAsia="zh-CN" w:bidi="ar-SA"/>
        </w:rPr>
      </w:pPr>
      <w:r>
        <w:rPr>
          <w:rFonts w:hint="eastAsia" w:ascii="微软雅黑" w:hAnsi="微软雅黑" w:eastAsia="微软雅黑" w:cs="微软雅黑"/>
          <w:b w:val="0"/>
          <w:bCs/>
          <w:color w:val="auto"/>
          <w:kern w:val="2"/>
          <w:sz w:val="22"/>
          <w:szCs w:val="22"/>
          <w:highlight w:val="none"/>
          <w:lang w:val="en-US" w:eastAsia="zh-CN" w:bidi="ar-SA"/>
        </w:rPr>
        <w:t>（1）采购代理机构应当在评标结束后</w:t>
      </w:r>
      <w:r>
        <w:rPr>
          <w:rFonts w:hint="eastAsia" w:ascii="微软雅黑" w:hAnsi="微软雅黑" w:eastAsia="微软雅黑" w:cs="微软雅黑"/>
          <w:b w:val="0"/>
          <w:bCs/>
          <w:color w:val="auto"/>
          <w:kern w:val="2"/>
          <w:sz w:val="22"/>
          <w:szCs w:val="22"/>
          <w:highlight w:val="none"/>
          <w:u w:val="single"/>
          <w:lang w:val="en-US" w:eastAsia="zh-CN" w:bidi="ar-SA"/>
        </w:rPr>
        <w:t xml:space="preserve"> 2 </w:t>
      </w:r>
      <w:r>
        <w:rPr>
          <w:rFonts w:hint="eastAsia" w:ascii="微软雅黑" w:hAnsi="微软雅黑" w:eastAsia="微软雅黑" w:cs="微软雅黑"/>
          <w:b w:val="0"/>
          <w:bCs/>
          <w:color w:val="auto"/>
          <w:kern w:val="2"/>
          <w:sz w:val="22"/>
          <w:szCs w:val="22"/>
          <w:highlight w:val="none"/>
          <w:lang w:val="en-US" w:eastAsia="zh-CN" w:bidi="ar-SA"/>
        </w:rPr>
        <w:t>个工作日内将评标报告送采购人。</w:t>
      </w:r>
    </w:p>
    <w:p w14:paraId="7E3E876B">
      <w:pPr>
        <w:keepNext w:val="0"/>
        <w:keepLines w:val="0"/>
        <w:pageBreakBefore w:val="0"/>
        <w:widowControl w:val="0"/>
        <w:kinsoku/>
        <w:wordWrap/>
        <w:overflowPunct/>
        <w:topLinePunct w:val="0"/>
        <w:autoSpaceDE/>
        <w:autoSpaceDN/>
        <w:bidi w:val="0"/>
        <w:adjustRightInd/>
        <w:snapToGrid w:val="0"/>
        <w:spacing w:line="312" w:lineRule="auto"/>
        <w:ind w:firstLine="440" w:firstLineChars="200"/>
        <w:textAlignment w:val="auto"/>
        <w:rPr>
          <w:rFonts w:hint="eastAsia" w:ascii="微软雅黑" w:hAnsi="微软雅黑" w:eastAsia="微软雅黑" w:cs="微软雅黑"/>
          <w:b w:val="0"/>
          <w:bCs/>
          <w:color w:val="auto"/>
          <w:kern w:val="2"/>
          <w:sz w:val="22"/>
          <w:szCs w:val="22"/>
          <w:highlight w:val="none"/>
          <w:lang w:val="en-US" w:eastAsia="zh-CN" w:bidi="ar-SA"/>
        </w:rPr>
      </w:pPr>
      <w:r>
        <w:rPr>
          <w:rFonts w:hint="eastAsia" w:ascii="微软雅黑" w:hAnsi="微软雅黑" w:eastAsia="微软雅黑" w:cs="微软雅黑"/>
          <w:b w:val="0"/>
          <w:bCs/>
          <w:color w:val="auto"/>
          <w:kern w:val="2"/>
          <w:sz w:val="22"/>
          <w:szCs w:val="22"/>
          <w:highlight w:val="none"/>
          <w:lang w:val="en-US" w:eastAsia="zh-CN" w:bidi="ar-SA"/>
        </w:rPr>
        <w:t xml:space="preserve">（2）采购人不委托评审小组直接确定中标人。评审小组推荐中标候选人的数量为 </w:t>
      </w:r>
      <w:r>
        <w:rPr>
          <w:rFonts w:hint="eastAsia" w:ascii="微软雅黑" w:hAnsi="微软雅黑" w:eastAsia="微软雅黑" w:cs="微软雅黑"/>
          <w:b w:val="0"/>
          <w:bCs/>
          <w:color w:val="auto"/>
          <w:kern w:val="2"/>
          <w:sz w:val="22"/>
          <w:szCs w:val="22"/>
          <w:highlight w:val="none"/>
          <w:u w:val="single"/>
          <w:lang w:val="en-US" w:eastAsia="zh-CN" w:bidi="ar-SA"/>
        </w:rPr>
        <w:t xml:space="preserve">3 </w:t>
      </w:r>
      <w:r>
        <w:rPr>
          <w:rFonts w:hint="eastAsia" w:ascii="微软雅黑" w:hAnsi="微软雅黑" w:eastAsia="微软雅黑" w:cs="微软雅黑"/>
          <w:b w:val="0"/>
          <w:bCs/>
          <w:color w:val="auto"/>
          <w:kern w:val="2"/>
          <w:sz w:val="22"/>
          <w:szCs w:val="22"/>
          <w:highlight w:val="none"/>
          <w:lang w:val="en-US" w:eastAsia="zh-CN" w:bidi="ar-SA"/>
        </w:rPr>
        <w:t>家。采购人应当自收到评标报告之日起5个工作日内，在评标报告确定的中标候选人名单中按顺序确定中标人。</w:t>
      </w:r>
    </w:p>
    <w:p w14:paraId="4A40875C">
      <w:pPr>
        <w:pStyle w:val="12"/>
        <w:keepNext w:val="0"/>
        <w:keepLines w:val="0"/>
        <w:pageBreakBefore w:val="0"/>
        <w:widowControl w:val="0"/>
        <w:tabs>
          <w:tab w:val="clear" w:pos="567"/>
        </w:tabs>
        <w:kinsoku/>
        <w:wordWrap/>
        <w:overflowPunct/>
        <w:topLinePunct w:val="0"/>
        <w:autoSpaceDE/>
        <w:autoSpaceDN/>
        <w:bidi w:val="0"/>
        <w:adjustRightInd/>
        <w:snapToGrid w:val="0"/>
        <w:spacing w:before="0" w:line="312" w:lineRule="auto"/>
        <w:ind w:firstLine="440" w:firstLineChars="200"/>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3）本项目采用的采购方式为公开招标，评分方法：综合评分法，投标文件满足招标文件全部实质性要求，且按照评审因素的量化指标，评审小组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EA91613">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40" w:firstLineChars="200"/>
        <w:jc w:val="both"/>
        <w:textAlignment w:val="auto"/>
        <w:rPr>
          <w:rFonts w:hint="eastAsia" w:ascii="微软雅黑" w:hAnsi="微软雅黑" w:eastAsia="微软雅黑" w:cs="微软雅黑"/>
          <w:b w:val="0"/>
          <w:bCs/>
          <w:color w:val="auto"/>
          <w:sz w:val="24"/>
          <w:szCs w:val="24"/>
          <w:highlight w:val="none"/>
          <w:lang w:val="en-US" w:eastAsia="zh-CN"/>
        </w:rPr>
        <w:sectPr>
          <w:pgSz w:w="11907" w:h="16840"/>
          <w:pgMar w:top="1418" w:right="1134" w:bottom="1418" w:left="1134" w:header="851" w:footer="992" w:gutter="0"/>
          <w:pgNumType w:fmt="decimal"/>
          <w:cols w:space="720" w:num="1"/>
          <w:docGrid w:linePitch="312" w:charSpace="0"/>
        </w:sectPr>
      </w:pPr>
      <w:r>
        <w:rPr>
          <w:rFonts w:hint="eastAsia" w:ascii="微软雅黑" w:hAnsi="微软雅黑" w:eastAsia="微软雅黑" w:cs="微软雅黑"/>
          <w:b w:val="0"/>
          <w:bCs/>
          <w:color w:val="auto"/>
          <w:sz w:val="22"/>
          <w:szCs w:val="22"/>
          <w:highlight w:val="none"/>
          <w:lang w:val="en-US" w:eastAsia="zh-CN"/>
        </w:rPr>
        <w:t>（4）采购人依据评审小组推荐的中标候选人确定中标人。采购人根据评审小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62948C3D">
      <w:pPr>
        <w:spacing w:line="360" w:lineRule="auto"/>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28"/>
          <w:szCs w:val="28"/>
          <w:highlight w:val="none"/>
        </w:rPr>
        <w:t>资格审查表</w:t>
      </w:r>
    </w:p>
    <w:tbl>
      <w:tblPr>
        <w:tblStyle w:val="38"/>
        <w:tblW w:w="95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661"/>
        <w:gridCol w:w="809"/>
        <w:gridCol w:w="825"/>
        <w:gridCol w:w="781"/>
      </w:tblGrid>
      <w:tr w14:paraId="7FD43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174" w:type="dxa"/>
            <w:gridSpan w:val="2"/>
            <w:tcBorders>
              <w:top w:val="single" w:color="auto" w:sz="4" w:space="0"/>
              <w:left w:val="single" w:color="auto" w:sz="4" w:space="0"/>
              <w:bottom w:val="single" w:color="auto" w:sz="4" w:space="0"/>
              <w:right w:val="single" w:color="auto" w:sz="4" w:space="0"/>
            </w:tcBorders>
            <w:noWrap w:val="0"/>
            <w:vAlign w:val="center"/>
          </w:tcPr>
          <w:p w14:paraId="6A3C9563">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b/>
                <w:color w:val="auto"/>
                <w:sz w:val="22"/>
                <w:szCs w:val="22"/>
                <w:highlight w:val="none"/>
              </w:rPr>
            </w:pPr>
            <w:bookmarkStart w:id="460" w:name="_Toc7157"/>
            <w:bookmarkStart w:id="461" w:name="_Toc24752"/>
            <w:r>
              <w:rPr>
                <w:rFonts w:hint="eastAsia" w:ascii="微软雅黑" w:hAnsi="微软雅黑" w:eastAsia="微软雅黑" w:cs="微软雅黑"/>
                <w:b/>
                <w:color w:val="auto"/>
                <w:sz w:val="22"/>
                <w:szCs w:val="22"/>
                <w:highlight w:val="none"/>
                <w:lang w:eastAsia="zh-CN"/>
              </w:rPr>
              <w:t>审查</w:t>
            </w:r>
            <w:r>
              <w:rPr>
                <w:rFonts w:hint="eastAsia" w:ascii="微软雅黑" w:hAnsi="微软雅黑" w:eastAsia="微软雅黑" w:cs="微软雅黑"/>
                <w:b/>
                <w:color w:val="auto"/>
                <w:sz w:val="22"/>
                <w:szCs w:val="22"/>
                <w:highlight w:val="none"/>
              </w:rPr>
              <w:t>内容</w:t>
            </w:r>
          </w:p>
        </w:tc>
        <w:tc>
          <w:tcPr>
            <w:tcW w:w="2415" w:type="dxa"/>
            <w:gridSpan w:val="3"/>
            <w:tcBorders>
              <w:top w:val="single" w:color="auto" w:sz="4" w:space="0"/>
              <w:left w:val="single" w:color="auto" w:sz="4" w:space="0"/>
              <w:bottom w:val="single" w:color="auto" w:sz="4" w:space="0"/>
              <w:right w:val="single" w:color="auto" w:sz="4" w:space="0"/>
            </w:tcBorders>
            <w:noWrap w:val="0"/>
            <w:vAlign w:val="center"/>
          </w:tcPr>
          <w:p w14:paraId="32E1E36C">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投标人及审查情况</w:t>
            </w:r>
          </w:p>
        </w:tc>
      </w:tr>
      <w:tr w14:paraId="56635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A7A9373">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7786A9BB">
            <w:pPr>
              <w:keepNext w:val="0"/>
              <w:keepLines w:val="0"/>
              <w:pageBreakBefore w:val="0"/>
              <w:widowControl w:val="0"/>
              <w:suppressLineNumbers w:val="0"/>
              <w:kinsoku/>
              <w:wordWrap/>
              <w:overflowPunct/>
              <w:topLinePunct w:val="0"/>
              <w:bidi w:val="0"/>
              <w:snapToGrid/>
              <w:spacing w:before="0" w:beforeAutospacing="0" w:after="0" w:afterAutospacing="0" w:line="312" w:lineRule="auto"/>
              <w:ind w:left="0" w:right="0"/>
              <w:textAlignment w:val="auto"/>
              <w:rPr>
                <w:rFonts w:hint="eastAsia" w:ascii="微软雅黑" w:hAnsi="微软雅黑" w:eastAsia="微软雅黑" w:cs="微软雅黑"/>
                <w:b w:val="0"/>
                <w:bCs w:val="0"/>
                <w:color w:val="auto"/>
                <w:sz w:val="22"/>
                <w:szCs w:val="22"/>
                <w:highlight w:val="none"/>
                <w:lang w:eastAsia="zh-CN"/>
              </w:rPr>
            </w:pPr>
            <w:r>
              <w:rPr>
                <w:rFonts w:hint="eastAsia" w:ascii="微软雅黑" w:hAnsi="微软雅黑" w:eastAsia="微软雅黑" w:cs="微软雅黑"/>
                <w:b w:val="0"/>
                <w:bCs w:val="0"/>
                <w:color w:val="auto"/>
                <w:sz w:val="22"/>
                <w:szCs w:val="22"/>
                <w:highlight w:val="none"/>
                <w:lang w:eastAsia="zh-CN"/>
              </w:rPr>
              <w:t>法人或者其他组织的营业执照等证明文件；</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27809228">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EC7096C">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69085138">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6110E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55AFC021">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6716D808">
            <w:pPr>
              <w:pStyle w:val="67"/>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40" w:lineRule="auto"/>
              <w:ind w:left="0" w:leftChars="0" w:right="0" w:rightChars="0"/>
              <w:textAlignment w:val="auto"/>
              <w:rPr>
                <w:rFonts w:hint="eastAsia" w:ascii="微软雅黑" w:hAnsi="微软雅黑" w:eastAsia="微软雅黑" w:cs="微软雅黑"/>
                <w:b w:val="0"/>
                <w:bCs w:val="0"/>
                <w:color w:val="auto"/>
                <w:kern w:val="2"/>
                <w:sz w:val="22"/>
                <w:szCs w:val="22"/>
                <w:highlight w:val="none"/>
                <w:lang w:val="en-US" w:eastAsia="zh-CN" w:bidi="zh-CN"/>
              </w:rPr>
            </w:pPr>
            <w:r>
              <w:rPr>
                <w:rFonts w:hint="eastAsia" w:ascii="微软雅黑" w:hAnsi="微软雅黑" w:eastAsia="微软雅黑" w:cs="微软雅黑"/>
                <w:b w:val="0"/>
                <w:bCs w:val="0"/>
                <w:color w:val="auto"/>
                <w:kern w:val="2"/>
                <w:sz w:val="22"/>
                <w:szCs w:val="22"/>
                <w:highlight w:val="none"/>
                <w:lang w:val="en-US" w:eastAsia="zh-CN" w:bidi="zh-CN"/>
              </w:rPr>
              <w:t>法定代表人（单位负责人）投标需提供法定代表人（单位负责人）身份证明；授权人投标需提供法定代表人(单位负责人)身份证明及授权书；</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6AC74E05">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830B281">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6F58C117">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1702F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AE8BF38">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2091C97E">
            <w:pPr>
              <w:keepNext w:val="0"/>
              <w:keepLines w:val="0"/>
              <w:pageBreakBefore w:val="0"/>
              <w:widowControl w:val="0"/>
              <w:suppressLineNumbers w:val="0"/>
              <w:kinsoku/>
              <w:wordWrap/>
              <w:overflowPunct/>
              <w:topLinePunct w:val="0"/>
              <w:bidi w:val="0"/>
              <w:snapToGrid/>
              <w:spacing w:before="0" w:beforeAutospacing="0" w:after="0" w:afterAutospacing="0" w:line="312" w:lineRule="auto"/>
              <w:ind w:left="0" w:leftChars="0" w:right="0" w:rightChars="0"/>
              <w:textAlignment w:val="auto"/>
              <w:rPr>
                <w:rFonts w:hint="eastAsia" w:ascii="微软雅黑" w:hAnsi="微软雅黑" w:eastAsia="微软雅黑" w:cs="微软雅黑"/>
                <w:b w:val="0"/>
                <w:bCs w:val="0"/>
                <w:color w:val="auto"/>
                <w:kern w:val="2"/>
                <w:sz w:val="22"/>
                <w:szCs w:val="22"/>
                <w:highlight w:val="none"/>
                <w:lang w:val="en-US" w:eastAsia="zh-CN" w:bidi="zh-CN"/>
              </w:rPr>
            </w:pPr>
            <w:r>
              <w:rPr>
                <w:rFonts w:hint="eastAsia" w:ascii="微软雅黑" w:hAnsi="微软雅黑" w:eastAsia="微软雅黑" w:cs="微软雅黑"/>
                <w:b w:val="0"/>
                <w:bCs w:val="0"/>
                <w:color w:val="auto"/>
                <w:kern w:val="2"/>
                <w:sz w:val="22"/>
                <w:szCs w:val="22"/>
                <w:highlight w:val="none"/>
                <w:lang w:val="en-US" w:eastAsia="zh-CN" w:bidi="zh-CN"/>
              </w:rPr>
              <w:t>提供2025年度的财务审计报告（新公司可提供近三个月内任意一个月的银行资信证明）；</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78226121">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272515C">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67A9F717">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45730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02D8A97">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4</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71F1198F">
            <w:pPr>
              <w:pStyle w:val="37"/>
              <w:keepNext w:val="0"/>
              <w:keepLines w:val="0"/>
              <w:pageBreakBefore w:val="0"/>
              <w:widowControl w:val="0"/>
              <w:suppressLineNumbers w:val="0"/>
              <w:kinsoku/>
              <w:wordWrap/>
              <w:overflowPunct/>
              <w:topLinePunct w:val="0"/>
              <w:bidi w:val="0"/>
              <w:snapToGrid/>
              <w:spacing w:before="0" w:beforeAutospacing="0" w:after="0" w:afterAutospacing="0" w:line="312" w:lineRule="auto"/>
              <w:ind w:left="0" w:leftChars="0" w:right="0" w:rightChars="0" w:firstLine="0" w:firstLineChars="0"/>
              <w:textAlignment w:val="auto"/>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提供依法缴纳近六个月任意一个月社会保险的凭据；</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F4900AF">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CC16FE6">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0BC1440B">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5EF73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04318828">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385DD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微软雅黑" w:hAnsi="微软雅黑" w:eastAsia="微软雅黑" w:cs="微软雅黑"/>
                <w:b w:val="0"/>
                <w:bCs w:val="0"/>
                <w:color w:val="auto"/>
                <w:kern w:val="2"/>
                <w:sz w:val="22"/>
                <w:szCs w:val="22"/>
                <w:highlight w:val="none"/>
                <w:lang w:val="zh-CN" w:eastAsia="zh-CN" w:bidi="zh-CN"/>
              </w:rPr>
            </w:pPr>
            <w:r>
              <w:rPr>
                <w:rFonts w:hint="eastAsia" w:ascii="微软雅黑" w:hAnsi="微软雅黑" w:eastAsia="微软雅黑" w:cs="微软雅黑"/>
                <w:b w:val="0"/>
                <w:bCs w:val="0"/>
                <w:color w:val="auto"/>
                <w:sz w:val="22"/>
                <w:szCs w:val="22"/>
                <w:highlight w:val="none"/>
              </w:rPr>
              <w:t>提供税务部门出具的近</w:t>
            </w:r>
            <w:r>
              <w:rPr>
                <w:rFonts w:hint="eastAsia" w:ascii="微软雅黑" w:hAnsi="微软雅黑" w:eastAsia="微软雅黑" w:cs="微软雅黑"/>
                <w:b w:val="0"/>
                <w:bCs w:val="0"/>
                <w:color w:val="auto"/>
                <w:sz w:val="22"/>
                <w:szCs w:val="22"/>
                <w:highlight w:val="none"/>
                <w:lang w:eastAsia="zh-CN"/>
              </w:rPr>
              <w:t>六</w:t>
            </w:r>
            <w:r>
              <w:rPr>
                <w:rFonts w:hint="eastAsia" w:ascii="微软雅黑" w:hAnsi="微软雅黑" w:eastAsia="微软雅黑" w:cs="微软雅黑"/>
                <w:b w:val="0"/>
                <w:bCs w:val="0"/>
                <w:color w:val="auto"/>
                <w:sz w:val="22"/>
                <w:szCs w:val="22"/>
                <w:highlight w:val="none"/>
              </w:rPr>
              <w:t>个月任意一个月的完税证明；</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14174037">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5A4E395">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60027258">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6B0E4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A4F47B5">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6</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6BA8627E">
            <w:pPr>
              <w:pStyle w:val="4"/>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textAlignment w:val="auto"/>
              <w:outlineLvl w:val="2"/>
              <w:rPr>
                <w:rFonts w:hint="eastAsia" w:ascii="微软雅黑" w:hAnsi="微软雅黑" w:eastAsia="微软雅黑" w:cs="微软雅黑"/>
                <w:b w:val="0"/>
                <w:bCs w:val="0"/>
                <w:color w:val="auto"/>
                <w:kern w:val="0"/>
                <w:sz w:val="22"/>
                <w:szCs w:val="22"/>
                <w:highlight w:val="none"/>
                <w:u w:val="none"/>
                <w:lang w:val="zh-CN" w:eastAsia="zh-CN" w:bidi="zh-CN"/>
              </w:rPr>
            </w:pPr>
            <w:r>
              <w:rPr>
                <w:rFonts w:hint="eastAsia" w:ascii="微软雅黑" w:hAnsi="微软雅黑" w:eastAsia="微软雅黑" w:cs="微软雅黑"/>
                <w:b w:val="0"/>
                <w:bCs w:val="0"/>
                <w:color w:val="auto"/>
                <w:kern w:val="0"/>
                <w:sz w:val="22"/>
                <w:szCs w:val="22"/>
                <w:highlight w:val="none"/>
                <w:u w:val="none"/>
                <w:lang w:val="zh-CN" w:eastAsia="zh-CN" w:bidi="zh-CN"/>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中国政府采购网“严重违法失信行为记录名单的（尚在处罚期内的）将拒绝其参加本次招标活动；（开标现场查询核实）</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2B0EF322">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47A0CB">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1E49DCFB">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2E28C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0E68B9AB">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7</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333E10DD">
            <w:pPr>
              <w:pStyle w:val="4"/>
              <w:pageBreakBefore w:val="0"/>
              <w:widowControl w:val="0"/>
              <w:suppressLineNumbers w:val="0"/>
              <w:kinsoku/>
              <w:wordWrap/>
              <w:overflowPunct/>
              <w:topLinePunct w:val="0"/>
              <w:bidi w:val="0"/>
              <w:snapToGrid/>
              <w:spacing w:before="0" w:beforeAutospacing="0" w:after="0" w:afterAutospacing="0" w:line="312" w:lineRule="auto"/>
              <w:ind w:left="0" w:leftChars="0" w:right="0" w:rightChars="0"/>
              <w:textAlignment w:val="auto"/>
              <w:outlineLvl w:val="2"/>
              <w:rPr>
                <w:rFonts w:hint="eastAsia" w:ascii="微软雅黑" w:hAnsi="微软雅黑" w:eastAsia="微软雅黑" w:cs="微软雅黑"/>
                <w:b w:val="0"/>
                <w:bCs w:val="0"/>
                <w:color w:val="auto"/>
                <w:sz w:val="22"/>
                <w:szCs w:val="22"/>
                <w:highlight w:val="none"/>
                <w:u w:val="none"/>
              </w:rPr>
            </w:pPr>
            <w:r>
              <w:rPr>
                <w:rFonts w:hint="eastAsia" w:ascii="微软雅黑" w:hAnsi="微软雅黑" w:eastAsia="微软雅黑" w:cs="微软雅黑"/>
                <w:b w:val="0"/>
                <w:bCs w:val="0"/>
                <w:color w:val="auto"/>
                <w:sz w:val="22"/>
                <w:szCs w:val="22"/>
                <w:highlight w:val="none"/>
                <w:u w:val="none"/>
              </w:rPr>
              <w:t>具有履行合同所必需的设备和专业技术能力的承诺书；</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1FAF0999">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47F0900">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06D08DD7">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1F25E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C7298A9">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val="en-US" w:eastAsia="zh-CN"/>
              </w:rPr>
              <w:t>8</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1BA010DF">
            <w:pPr>
              <w:keepNext w:val="0"/>
              <w:keepLines w:val="0"/>
              <w:pageBreakBefore w:val="0"/>
              <w:widowControl w:val="0"/>
              <w:suppressLineNumbers w:val="0"/>
              <w:kinsoku/>
              <w:wordWrap/>
              <w:overflowPunct/>
              <w:topLinePunct w:val="0"/>
              <w:bidi w:val="0"/>
              <w:snapToGrid/>
              <w:spacing w:before="0" w:beforeAutospacing="0" w:after="0" w:afterAutospacing="0" w:line="312" w:lineRule="auto"/>
              <w:ind w:left="0" w:leftChars="0" w:right="0" w:rightChars="0"/>
              <w:textAlignment w:val="auto"/>
              <w:rPr>
                <w:rFonts w:hint="eastAsia" w:ascii="微软雅黑" w:hAnsi="微软雅黑" w:eastAsia="微软雅黑" w:cs="微软雅黑"/>
                <w:b w:val="0"/>
                <w:bCs w:val="0"/>
                <w:color w:val="auto"/>
                <w:kern w:val="0"/>
                <w:sz w:val="22"/>
                <w:szCs w:val="22"/>
                <w:highlight w:val="none"/>
                <w:u w:val="none"/>
                <w:lang w:val="zh-CN" w:eastAsia="zh-CN" w:bidi="ar-SA"/>
              </w:rPr>
            </w:pPr>
            <w:r>
              <w:rPr>
                <w:rFonts w:hint="eastAsia" w:ascii="微软雅黑" w:hAnsi="微软雅黑" w:eastAsia="微软雅黑" w:cs="微软雅黑"/>
                <w:b w:val="0"/>
                <w:bCs w:val="0"/>
                <w:color w:val="auto"/>
                <w:sz w:val="22"/>
                <w:szCs w:val="22"/>
                <w:highlight w:val="none"/>
                <w:u w:val="none"/>
              </w:rPr>
              <w:t>提供针对本次项目《反商业贿赂承诺书》；</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22F74DF6">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351EB40">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59558BB4">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03890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3D2B46B">
            <w:pPr>
              <w:keepNext w:val="0"/>
              <w:keepLines w:val="0"/>
              <w:suppressLineNumbers w:val="0"/>
              <w:spacing w:before="0" w:beforeAutospacing="0" w:after="0" w:afterAutospacing="0" w:line="360" w:lineRule="auto"/>
              <w:ind w:left="0" w:right="0"/>
              <w:jc w:val="center"/>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val="en-US" w:eastAsia="zh-CN"/>
              </w:rPr>
              <w:t>9</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4CFB331C">
            <w:pPr>
              <w:pStyle w:val="37"/>
              <w:keepNext w:val="0"/>
              <w:keepLines w:val="0"/>
              <w:pageBreakBefore w:val="0"/>
              <w:widowControl w:val="0"/>
              <w:suppressLineNumbers w:val="0"/>
              <w:kinsoku/>
              <w:wordWrap/>
              <w:overflowPunct/>
              <w:topLinePunct w:val="0"/>
              <w:bidi w:val="0"/>
              <w:snapToGrid/>
              <w:spacing w:before="0" w:beforeAutospacing="0" w:after="0" w:afterAutospacing="0" w:line="312" w:lineRule="auto"/>
              <w:ind w:left="0" w:leftChars="0" w:right="0" w:rightChars="0" w:firstLine="0" w:firstLineChars="0"/>
              <w:textAlignment w:val="auto"/>
              <w:rPr>
                <w:rFonts w:hint="eastAsia" w:ascii="微软雅黑" w:hAnsi="微软雅黑" w:eastAsia="微软雅黑" w:cs="微软雅黑"/>
                <w:b w:val="0"/>
                <w:bCs w:val="0"/>
                <w:color w:val="auto"/>
                <w:kern w:val="0"/>
                <w:sz w:val="22"/>
                <w:szCs w:val="22"/>
                <w:highlight w:val="none"/>
                <w:u w:val="none"/>
                <w:lang w:val="zh-CN" w:eastAsia="zh-CN" w:bidi="ar-SA"/>
              </w:rPr>
            </w:pPr>
            <w:r>
              <w:rPr>
                <w:rFonts w:hint="eastAsia" w:ascii="微软雅黑" w:hAnsi="微软雅黑" w:eastAsia="微软雅黑" w:cs="微软雅黑"/>
                <w:b w:val="0"/>
                <w:bCs w:val="0"/>
                <w:color w:val="auto"/>
                <w:sz w:val="22"/>
                <w:szCs w:val="22"/>
                <w:highlight w:val="none"/>
                <w:u w:val="none"/>
              </w:rPr>
              <w:t>参加政府采购活动前3年内在经营活动中没有重大违法违规记录的书面声明；</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36FA279E">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B878B56">
            <w:pPr>
              <w:keepNext w:val="0"/>
              <w:keepLines w:val="0"/>
              <w:suppressLineNumbers w:val="0"/>
              <w:snapToGrid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1C847EC9">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602D9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047B6EE8">
            <w:pPr>
              <w:keepNext w:val="0"/>
              <w:keepLines w:val="0"/>
              <w:suppressLineNumbers w:val="0"/>
              <w:spacing w:before="0" w:beforeAutospacing="0" w:after="0" w:afterAutospacing="0" w:line="360" w:lineRule="auto"/>
              <w:ind w:left="0" w:right="0"/>
              <w:jc w:val="center"/>
              <w:rPr>
                <w:rFonts w:hint="default"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10</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1666F89B">
            <w:pPr>
              <w:pStyle w:val="37"/>
              <w:keepNext w:val="0"/>
              <w:keepLines w:val="0"/>
              <w:pageBreakBefore w:val="0"/>
              <w:widowControl w:val="0"/>
              <w:suppressLineNumbers w:val="0"/>
              <w:kinsoku/>
              <w:wordWrap/>
              <w:overflowPunct/>
              <w:topLinePunct w:val="0"/>
              <w:bidi w:val="0"/>
              <w:snapToGrid/>
              <w:spacing w:before="0" w:beforeAutospacing="0" w:after="0" w:afterAutospacing="0" w:line="312" w:lineRule="auto"/>
              <w:ind w:left="0" w:leftChars="0" w:right="0" w:rightChars="0" w:firstLine="0" w:firstLineChars="0"/>
              <w:textAlignment w:val="auto"/>
              <w:rPr>
                <w:rFonts w:hint="eastAsia" w:ascii="微软雅黑" w:hAnsi="微软雅黑" w:eastAsia="微软雅黑" w:cs="微软雅黑"/>
                <w:b w:val="0"/>
                <w:bCs w:val="0"/>
                <w:color w:val="auto"/>
                <w:kern w:val="0"/>
                <w:sz w:val="22"/>
                <w:szCs w:val="22"/>
                <w:highlight w:val="none"/>
                <w:u w:val="none"/>
                <w:lang w:val="en-US" w:eastAsia="zh-CN" w:bidi="ar-SA"/>
              </w:rPr>
            </w:pPr>
            <w:r>
              <w:rPr>
                <w:rFonts w:hint="eastAsia" w:ascii="微软雅黑" w:hAnsi="微软雅黑" w:eastAsia="微软雅黑" w:cs="微软雅黑"/>
                <w:b w:val="0"/>
                <w:bCs w:val="0"/>
                <w:color w:val="auto"/>
                <w:sz w:val="22"/>
                <w:szCs w:val="22"/>
                <w:highlight w:val="none"/>
                <w:u w:val="none"/>
              </w:rPr>
              <w:t>投标保证金缴纳凭证；</w:t>
            </w:r>
          </w:p>
        </w:tc>
        <w:tc>
          <w:tcPr>
            <w:tcW w:w="809" w:type="dxa"/>
            <w:tcBorders>
              <w:top w:val="single" w:color="auto" w:sz="4" w:space="0"/>
              <w:left w:val="single" w:color="auto" w:sz="4" w:space="0"/>
              <w:bottom w:val="single" w:color="auto" w:sz="4" w:space="0"/>
              <w:right w:val="single" w:color="auto" w:sz="4" w:space="0"/>
            </w:tcBorders>
            <w:noWrap w:val="0"/>
            <w:vAlign w:val="center"/>
          </w:tcPr>
          <w:p w14:paraId="0B6CA624">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E0D904">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156DDC76">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r w14:paraId="12D1F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74" w:type="dxa"/>
            <w:gridSpan w:val="2"/>
            <w:tcBorders>
              <w:top w:val="single" w:color="auto" w:sz="4" w:space="0"/>
              <w:left w:val="single" w:color="auto" w:sz="4" w:space="0"/>
              <w:bottom w:val="single" w:color="auto" w:sz="4" w:space="0"/>
              <w:right w:val="single" w:color="auto" w:sz="4" w:space="0"/>
            </w:tcBorders>
            <w:noWrap w:val="0"/>
            <w:vAlign w:val="center"/>
          </w:tcPr>
          <w:p w14:paraId="340012A1">
            <w:pPr>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结论：是否通过</w:t>
            </w:r>
            <w:r>
              <w:rPr>
                <w:rFonts w:hint="eastAsia" w:ascii="微软雅黑" w:hAnsi="微软雅黑" w:eastAsia="微软雅黑" w:cs="微软雅黑"/>
                <w:color w:val="auto"/>
                <w:sz w:val="22"/>
                <w:szCs w:val="22"/>
                <w:highlight w:val="none"/>
                <w:lang w:eastAsia="zh-CN"/>
              </w:rPr>
              <w:t>审查</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bCs/>
                <w:color w:val="auto"/>
                <w:sz w:val="22"/>
                <w:szCs w:val="22"/>
                <w:highlight w:val="none"/>
              </w:rPr>
              <w:t>填写通过或不通过）</w:t>
            </w:r>
          </w:p>
          <w:p w14:paraId="7D7800BC">
            <w:pPr>
              <w:keepNext w:val="0"/>
              <w:keepLines w:val="0"/>
              <w:widowControl/>
              <w:suppressLineNumbers w:val="0"/>
              <w:spacing w:before="0" w:beforeAutospacing="0" w:after="0" w:afterAutospacing="0" w:line="240" w:lineRule="auto"/>
              <w:ind w:left="0" w:right="0"/>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未通过</w:t>
            </w:r>
            <w:r>
              <w:rPr>
                <w:rFonts w:hint="eastAsia" w:ascii="微软雅黑" w:hAnsi="微软雅黑" w:eastAsia="微软雅黑" w:cs="微软雅黑"/>
                <w:color w:val="auto"/>
                <w:sz w:val="22"/>
                <w:szCs w:val="22"/>
                <w:highlight w:val="none"/>
                <w:lang w:eastAsia="zh-CN"/>
              </w:rPr>
              <w:t>资格审查</w:t>
            </w:r>
            <w:r>
              <w:rPr>
                <w:rFonts w:hint="eastAsia" w:ascii="微软雅黑" w:hAnsi="微软雅黑" w:eastAsia="微软雅黑" w:cs="微软雅黑"/>
                <w:color w:val="auto"/>
                <w:sz w:val="22"/>
                <w:szCs w:val="22"/>
                <w:highlight w:val="none"/>
              </w:rPr>
              <w:t>的，为无效投标。</w:t>
            </w:r>
          </w:p>
        </w:tc>
        <w:tc>
          <w:tcPr>
            <w:tcW w:w="809" w:type="dxa"/>
            <w:tcBorders>
              <w:top w:val="single" w:color="auto" w:sz="4" w:space="0"/>
              <w:left w:val="single" w:color="auto" w:sz="4" w:space="0"/>
              <w:bottom w:val="single" w:color="auto" w:sz="4" w:space="0"/>
              <w:right w:val="single" w:color="auto" w:sz="4" w:space="0"/>
            </w:tcBorders>
            <w:noWrap w:val="0"/>
            <w:vAlign w:val="top"/>
          </w:tcPr>
          <w:p w14:paraId="677B0A05">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60C574FE">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c>
          <w:tcPr>
            <w:tcW w:w="781" w:type="dxa"/>
            <w:tcBorders>
              <w:top w:val="single" w:color="auto" w:sz="4" w:space="0"/>
              <w:left w:val="single" w:color="auto" w:sz="4" w:space="0"/>
              <w:bottom w:val="single" w:color="auto" w:sz="4" w:space="0"/>
              <w:right w:val="single" w:color="auto" w:sz="4" w:space="0"/>
            </w:tcBorders>
            <w:noWrap w:val="0"/>
            <w:vAlign w:val="top"/>
          </w:tcPr>
          <w:p w14:paraId="1B8AEEF8">
            <w:pPr>
              <w:keepNext w:val="0"/>
              <w:keepLines w:val="0"/>
              <w:suppressLineNumbers w:val="0"/>
              <w:spacing w:before="0" w:beforeAutospacing="0" w:after="0" w:afterAutospacing="0" w:line="360" w:lineRule="auto"/>
              <w:ind w:left="0" w:right="0"/>
              <w:rPr>
                <w:rFonts w:hint="eastAsia" w:ascii="微软雅黑" w:hAnsi="微软雅黑" w:eastAsia="微软雅黑" w:cs="微软雅黑"/>
                <w:color w:val="auto"/>
                <w:kern w:val="0"/>
                <w:sz w:val="22"/>
                <w:szCs w:val="22"/>
                <w:highlight w:val="none"/>
              </w:rPr>
            </w:pPr>
          </w:p>
        </w:tc>
      </w:tr>
    </w:tbl>
    <w:p w14:paraId="773A26C8">
      <w:pPr>
        <w:pStyle w:val="3"/>
        <w:spacing w:line="240" w:lineRule="auto"/>
        <w:jc w:val="left"/>
        <w:rPr>
          <w:rFonts w:hint="eastAsia" w:ascii="微软雅黑" w:hAnsi="微软雅黑" w:eastAsia="微软雅黑" w:cs="微软雅黑"/>
          <w:b w:val="0"/>
          <w:bCs/>
          <w:color w:val="auto"/>
          <w:kern w:val="2"/>
          <w:sz w:val="24"/>
          <w:szCs w:val="24"/>
          <w:highlight w:val="none"/>
          <w:lang w:val="en-US" w:eastAsia="zh-CN" w:bidi="ar-SA"/>
        </w:rPr>
        <w:sectPr>
          <w:pgSz w:w="11906" w:h="16838"/>
          <w:pgMar w:top="1440" w:right="1080" w:bottom="1440" w:left="1080" w:header="851" w:footer="992" w:gutter="0"/>
          <w:pgNumType w:fmt="decimal"/>
          <w:cols w:space="720" w:num="1"/>
          <w:docGrid w:linePitch="312" w:charSpace="0"/>
        </w:sectPr>
      </w:pPr>
      <w:r>
        <w:rPr>
          <w:rFonts w:hint="eastAsia" w:ascii="微软雅黑" w:hAnsi="微软雅黑" w:eastAsia="微软雅黑" w:cs="微软雅黑"/>
          <w:b w:val="0"/>
          <w:bCs/>
          <w:color w:val="auto"/>
          <w:kern w:val="2"/>
          <w:sz w:val="22"/>
          <w:szCs w:val="22"/>
          <w:highlight w:val="none"/>
          <w:lang w:val="en-US" w:eastAsia="zh-CN" w:bidi="ar-SA"/>
        </w:rPr>
        <w:t>说明：（1）上述各项中用“√”表示通过，“×”表示不通过；（2）上述各项中如有一项为“×”，则结论为“×”，表示该投标文件中存在重大偏差，不能通过资格审查；资格审查小组对某一分项审查认为不合格时，必须要写明原因。</w:t>
      </w:r>
      <w:bookmarkEnd w:id="460"/>
      <w:r>
        <w:rPr>
          <w:rFonts w:hint="eastAsia" w:ascii="微软雅黑" w:hAnsi="微软雅黑" w:eastAsia="微软雅黑" w:cs="微软雅黑"/>
          <w:b w:val="0"/>
          <w:bCs/>
          <w:color w:val="auto"/>
          <w:kern w:val="2"/>
          <w:sz w:val="22"/>
          <w:szCs w:val="22"/>
          <w:highlight w:val="none"/>
          <w:lang w:val="en-US" w:eastAsia="zh-CN" w:bidi="ar-SA"/>
        </w:rPr>
        <w:t>(3)审查意见中少数服从多数为原则定论。（4）未通过资格审查的供应商不进入评标；通过资格审查的供应商少于不足三家的，不得评标。</w:t>
      </w:r>
      <w:bookmarkEnd w:id="461"/>
    </w:p>
    <w:tbl>
      <w:tblPr>
        <w:tblStyle w:val="38"/>
        <w:tblpPr w:leftFromText="180" w:rightFromText="180" w:vertAnchor="text" w:horzAnchor="page" w:tblpX="1030" w:tblpY="71"/>
        <w:tblOverlap w:val="never"/>
        <w:tblW w:w="9884" w:type="dxa"/>
        <w:tblInd w:w="0" w:type="dxa"/>
        <w:tblLayout w:type="fixed"/>
        <w:tblCellMar>
          <w:top w:w="0" w:type="dxa"/>
          <w:left w:w="108" w:type="dxa"/>
          <w:bottom w:w="0" w:type="dxa"/>
          <w:right w:w="108" w:type="dxa"/>
        </w:tblCellMar>
      </w:tblPr>
      <w:tblGrid>
        <w:gridCol w:w="675"/>
        <w:gridCol w:w="7345"/>
        <w:gridCol w:w="559"/>
        <w:gridCol w:w="705"/>
        <w:gridCol w:w="600"/>
      </w:tblGrid>
      <w:tr w14:paraId="630039E4">
        <w:tblPrEx>
          <w:tblCellMar>
            <w:top w:w="0" w:type="dxa"/>
            <w:left w:w="108" w:type="dxa"/>
            <w:bottom w:w="0" w:type="dxa"/>
            <w:right w:w="108" w:type="dxa"/>
          </w:tblCellMar>
        </w:tblPrEx>
        <w:trPr>
          <w:trHeight w:val="792" w:hRule="atLeast"/>
        </w:trPr>
        <w:tc>
          <w:tcPr>
            <w:tcW w:w="675" w:type="dxa"/>
            <w:tcBorders>
              <w:top w:val="nil"/>
              <w:left w:val="nil"/>
              <w:bottom w:val="single" w:color="auto" w:sz="4" w:space="0"/>
              <w:right w:val="nil"/>
            </w:tcBorders>
            <w:noWrap w:val="0"/>
            <w:vAlign w:val="center"/>
          </w:tcPr>
          <w:p w14:paraId="709E79C6">
            <w:pPr>
              <w:pStyle w:val="12"/>
              <w:keepNext w:val="0"/>
              <w:keepLines w:val="0"/>
              <w:suppressLineNumbers w:val="0"/>
              <w:spacing w:beforeAutospacing="0" w:after="0" w:afterAutospacing="0"/>
              <w:ind w:left="0" w:right="0"/>
              <w:rPr>
                <w:rFonts w:hint="eastAsia" w:ascii="微软雅黑" w:hAnsi="微软雅黑" w:eastAsia="微软雅黑" w:cs="微软雅黑"/>
                <w:color w:val="auto"/>
                <w:sz w:val="28"/>
                <w:szCs w:val="28"/>
                <w:highlight w:val="none"/>
              </w:rPr>
            </w:pPr>
            <w:bookmarkStart w:id="462" w:name="_Toc19925"/>
            <w:bookmarkStart w:id="463" w:name="_Toc9110"/>
            <w:bookmarkStart w:id="464" w:name="_Toc23870"/>
          </w:p>
        </w:tc>
        <w:tc>
          <w:tcPr>
            <w:tcW w:w="9209" w:type="dxa"/>
            <w:gridSpan w:val="4"/>
            <w:tcBorders>
              <w:top w:val="nil"/>
              <w:left w:val="nil"/>
              <w:bottom w:val="single" w:color="auto" w:sz="4" w:space="0"/>
              <w:right w:val="nil"/>
            </w:tcBorders>
            <w:noWrap w:val="0"/>
            <w:vAlign w:val="center"/>
          </w:tcPr>
          <w:p w14:paraId="34A405F9">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bCs/>
                <w:color w:val="auto"/>
                <w:sz w:val="28"/>
                <w:szCs w:val="28"/>
                <w:highlight w:val="none"/>
              </w:rPr>
              <w:t>符合性</w:t>
            </w:r>
            <w:r>
              <w:rPr>
                <w:rFonts w:hint="eastAsia" w:ascii="微软雅黑" w:hAnsi="微软雅黑" w:eastAsia="微软雅黑" w:cs="微软雅黑"/>
                <w:b/>
                <w:bCs/>
                <w:color w:val="auto"/>
                <w:sz w:val="28"/>
                <w:szCs w:val="28"/>
                <w:highlight w:val="none"/>
                <w:lang w:eastAsia="zh-CN"/>
              </w:rPr>
              <w:t>审</w:t>
            </w:r>
            <w:r>
              <w:rPr>
                <w:rFonts w:hint="eastAsia" w:ascii="微软雅黑" w:hAnsi="微软雅黑" w:eastAsia="微软雅黑" w:cs="微软雅黑"/>
                <w:b/>
                <w:bCs/>
                <w:color w:val="auto"/>
                <w:sz w:val="28"/>
                <w:szCs w:val="28"/>
                <w:highlight w:val="none"/>
              </w:rPr>
              <w:t>查</w:t>
            </w:r>
            <w:r>
              <w:rPr>
                <w:rFonts w:hint="eastAsia" w:ascii="微软雅黑" w:hAnsi="微软雅黑" w:eastAsia="微软雅黑" w:cs="微软雅黑"/>
                <w:b/>
                <w:bCs/>
                <w:color w:val="auto"/>
                <w:sz w:val="28"/>
                <w:szCs w:val="28"/>
                <w:highlight w:val="none"/>
                <w:lang w:eastAsia="zh-CN"/>
              </w:rPr>
              <w:t>表</w:t>
            </w:r>
          </w:p>
        </w:tc>
      </w:tr>
      <w:tr w14:paraId="7BDEB291">
        <w:tblPrEx>
          <w:tblCellMar>
            <w:top w:w="0" w:type="dxa"/>
            <w:left w:w="108" w:type="dxa"/>
            <w:bottom w:w="0" w:type="dxa"/>
            <w:right w:w="108" w:type="dxa"/>
          </w:tblCellMar>
        </w:tblPrEx>
        <w:trPr>
          <w:trHeight w:val="631" w:hRule="atLeast"/>
        </w:trPr>
        <w:tc>
          <w:tcPr>
            <w:tcW w:w="675" w:type="dxa"/>
            <w:vMerge w:val="restart"/>
            <w:tcBorders>
              <w:top w:val="single" w:color="auto" w:sz="4" w:space="0"/>
              <w:left w:val="single" w:color="auto" w:sz="4" w:space="0"/>
              <w:right w:val="single" w:color="auto" w:sz="4" w:space="0"/>
            </w:tcBorders>
            <w:noWrap w:val="0"/>
            <w:vAlign w:val="center"/>
          </w:tcPr>
          <w:p w14:paraId="330782C6">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2"/>
                <w:szCs w:val="22"/>
                <w:highlight w:val="none"/>
                <w:lang w:eastAsia="zh-CN"/>
              </w:rPr>
            </w:pPr>
            <w:r>
              <w:rPr>
                <w:rFonts w:hint="eastAsia" w:ascii="微软雅黑" w:hAnsi="微软雅黑" w:eastAsia="微软雅黑" w:cs="微软雅黑"/>
                <w:b/>
                <w:color w:val="auto"/>
                <w:kern w:val="0"/>
                <w:sz w:val="22"/>
                <w:szCs w:val="22"/>
                <w:highlight w:val="none"/>
                <w:lang w:eastAsia="zh-CN"/>
              </w:rPr>
              <w:t>序号</w:t>
            </w:r>
          </w:p>
        </w:tc>
        <w:tc>
          <w:tcPr>
            <w:tcW w:w="7345" w:type="dxa"/>
            <w:vMerge w:val="restart"/>
            <w:tcBorders>
              <w:top w:val="single" w:color="auto" w:sz="4" w:space="0"/>
              <w:left w:val="single" w:color="auto" w:sz="4" w:space="0"/>
              <w:right w:val="single" w:color="auto" w:sz="4" w:space="0"/>
            </w:tcBorders>
            <w:noWrap w:val="0"/>
            <w:vAlign w:val="center"/>
          </w:tcPr>
          <w:p w14:paraId="03A7A111">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审查事项</w:t>
            </w:r>
          </w:p>
        </w:tc>
        <w:tc>
          <w:tcPr>
            <w:tcW w:w="1864" w:type="dxa"/>
            <w:gridSpan w:val="3"/>
            <w:tcBorders>
              <w:top w:val="single" w:color="auto" w:sz="4" w:space="0"/>
              <w:left w:val="single" w:color="auto" w:sz="4" w:space="0"/>
              <w:bottom w:val="single" w:color="auto" w:sz="4" w:space="0"/>
              <w:right w:val="single" w:color="auto" w:sz="4" w:space="0"/>
            </w:tcBorders>
            <w:noWrap w:val="0"/>
            <w:vAlign w:val="center"/>
          </w:tcPr>
          <w:p w14:paraId="4A323DF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投标单位名称及审查情况</w:t>
            </w:r>
          </w:p>
        </w:tc>
      </w:tr>
      <w:tr w14:paraId="798FBD5D">
        <w:tblPrEx>
          <w:tblCellMar>
            <w:top w:w="0" w:type="dxa"/>
            <w:left w:w="108" w:type="dxa"/>
            <w:bottom w:w="0" w:type="dxa"/>
            <w:right w:w="108" w:type="dxa"/>
          </w:tblCellMar>
        </w:tblPrEx>
        <w:trPr>
          <w:trHeight w:val="581" w:hRule="atLeast"/>
        </w:trPr>
        <w:tc>
          <w:tcPr>
            <w:tcW w:w="675" w:type="dxa"/>
            <w:vMerge w:val="continue"/>
            <w:tcBorders>
              <w:left w:val="single" w:color="auto" w:sz="4" w:space="0"/>
              <w:bottom w:val="single" w:color="auto" w:sz="4" w:space="0"/>
              <w:right w:val="single" w:color="auto" w:sz="4" w:space="0"/>
            </w:tcBorders>
            <w:noWrap w:val="0"/>
            <w:vAlign w:val="center"/>
          </w:tcPr>
          <w:p w14:paraId="041DCC97">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2"/>
                <w:szCs w:val="22"/>
                <w:highlight w:val="none"/>
              </w:rPr>
            </w:pPr>
          </w:p>
        </w:tc>
        <w:tc>
          <w:tcPr>
            <w:tcW w:w="7345" w:type="dxa"/>
            <w:vMerge w:val="continue"/>
            <w:tcBorders>
              <w:left w:val="single" w:color="auto" w:sz="4" w:space="0"/>
              <w:bottom w:val="single" w:color="auto" w:sz="4" w:space="0"/>
              <w:right w:val="single" w:color="auto" w:sz="4" w:space="0"/>
            </w:tcBorders>
            <w:noWrap w:val="0"/>
            <w:vAlign w:val="center"/>
          </w:tcPr>
          <w:p w14:paraId="67EDF5FB">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2"/>
                <w:szCs w:val="22"/>
                <w:highlight w:val="none"/>
              </w:rPr>
            </w:pPr>
          </w:p>
        </w:tc>
        <w:tc>
          <w:tcPr>
            <w:tcW w:w="559" w:type="dxa"/>
            <w:tcBorders>
              <w:top w:val="single" w:color="auto" w:sz="4" w:space="0"/>
              <w:left w:val="single" w:color="auto" w:sz="4" w:space="0"/>
              <w:bottom w:val="single" w:color="auto" w:sz="4" w:space="0"/>
              <w:right w:val="single" w:color="auto" w:sz="4" w:space="0"/>
            </w:tcBorders>
            <w:noWrap w:val="0"/>
            <w:vAlign w:val="center"/>
          </w:tcPr>
          <w:p w14:paraId="242ADCA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705" w:type="dxa"/>
            <w:tcBorders>
              <w:top w:val="single" w:color="auto" w:sz="4" w:space="0"/>
              <w:left w:val="nil"/>
              <w:bottom w:val="single" w:color="auto" w:sz="4" w:space="0"/>
              <w:right w:val="single" w:color="auto" w:sz="4" w:space="0"/>
            </w:tcBorders>
            <w:noWrap w:val="0"/>
            <w:vAlign w:val="center"/>
          </w:tcPr>
          <w:p w14:paraId="0D925620">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600" w:type="dxa"/>
            <w:tcBorders>
              <w:top w:val="single" w:color="auto" w:sz="4" w:space="0"/>
              <w:left w:val="nil"/>
              <w:bottom w:val="single" w:color="auto" w:sz="4" w:space="0"/>
              <w:right w:val="single" w:color="auto" w:sz="4" w:space="0"/>
            </w:tcBorders>
            <w:noWrap w:val="0"/>
            <w:vAlign w:val="center"/>
          </w:tcPr>
          <w:p w14:paraId="7C32F8D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14:paraId="26B5F4E5">
        <w:tblPrEx>
          <w:tblCellMar>
            <w:top w:w="0" w:type="dxa"/>
            <w:left w:w="108" w:type="dxa"/>
            <w:bottom w:w="0" w:type="dxa"/>
            <w:right w:w="108" w:type="dxa"/>
          </w:tblCellMar>
        </w:tblPrEx>
        <w:trPr>
          <w:trHeight w:val="51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70407AD">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1</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61ACFE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eastAsia="zh-CN"/>
              </w:rPr>
              <w:t>投标人</w:t>
            </w:r>
            <w:r>
              <w:rPr>
                <w:rFonts w:hint="eastAsia" w:ascii="微软雅黑" w:hAnsi="微软雅黑" w:eastAsia="微软雅黑" w:cs="微软雅黑"/>
                <w:color w:val="auto"/>
                <w:kern w:val="0"/>
                <w:sz w:val="22"/>
                <w:szCs w:val="22"/>
                <w:highlight w:val="none"/>
              </w:rPr>
              <w:t>的报价未超过投标</w:t>
            </w:r>
            <w:r>
              <w:rPr>
                <w:rFonts w:hint="eastAsia" w:ascii="微软雅黑" w:hAnsi="微软雅黑" w:eastAsia="微软雅黑" w:cs="微软雅黑"/>
                <w:color w:val="auto"/>
                <w:kern w:val="0"/>
                <w:sz w:val="22"/>
                <w:szCs w:val="22"/>
                <w:highlight w:val="none"/>
                <w:lang w:eastAsia="zh-CN"/>
              </w:rPr>
              <w:t>标项</w:t>
            </w:r>
            <w:r>
              <w:rPr>
                <w:rFonts w:hint="eastAsia" w:ascii="微软雅黑" w:hAnsi="微软雅黑" w:eastAsia="微软雅黑" w:cs="微软雅黑"/>
                <w:color w:val="auto"/>
                <w:kern w:val="0"/>
                <w:sz w:val="22"/>
                <w:szCs w:val="22"/>
                <w:highlight w:val="none"/>
              </w:rPr>
              <w:t>最高限价；</w:t>
            </w:r>
          </w:p>
        </w:tc>
        <w:tc>
          <w:tcPr>
            <w:tcW w:w="559" w:type="dxa"/>
            <w:tcBorders>
              <w:top w:val="single" w:color="auto" w:sz="4" w:space="0"/>
              <w:left w:val="nil"/>
              <w:bottom w:val="single" w:color="auto" w:sz="4" w:space="0"/>
              <w:right w:val="single" w:color="auto" w:sz="4" w:space="0"/>
            </w:tcBorders>
            <w:noWrap w:val="0"/>
            <w:vAlign w:val="center"/>
          </w:tcPr>
          <w:p w14:paraId="53C4D193">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7A35FB50">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0F2F8B9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418F9A2D">
        <w:tblPrEx>
          <w:tblCellMar>
            <w:top w:w="0" w:type="dxa"/>
            <w:left w:w="108" w:type="dxa"/>
            <w:bottom w:w="0" w:type="dxa"/>
            <w:right w:w="108" w:type="dxa"/>
          </w:tblCellMar>
        </w:tblPrEx>
        <w:trPr>
          <w:trHeight w:val="51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5C241CF">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rPr>
              <w:t>2</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3CDF5B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lang w:eastAsia="zh-CN"/>
              </w:rPr>
              <w:t>评标委员会认为投标人的报价无明显低于其他通过符合性审查投标人的报价的，投标人的报价不存在异常一致并成规律性的，其报价合理；</w:t>
            </w:r>
          </w:p>
        </w:tc>
        <w:tc>
          <w:tcPr>
            <w:tcW w:w="559" w:type="dxa"/>
            <w:tcBorders>
              <w:top w:val="single" w:color="auto" w:sz="4" w:space="0"/>
              <w:left w:val="nil"/>
              <w:bottom w:val="single" w:color="auto" w:sz="4" w:space="0"/>
              <w:right w:val="single" w:color="auto" w:sz="4" w:space="0"/>
            </w:tcBorders>
            <w:noWrap w:val="0"/>
            <w:vAlign w:val="center"/>
          </w:tcPr>
          <w:p w14:paraId="04A858C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26030B8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0562CC6F">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690E9D4F">
        <w:tblPrEx>
          <w:tblCellMar>
            <w:top w:w="0" w:type="dxa"/>
            <w:left w:w="108" w:type="dxa"/>
            <w:bottom w:w="0" w:type="dxa"/>
            <w:right w:w="108" w:type="dxa"/>
          </w:tblCellMar>
        </w:tblPrEx>
        <w:trPr>
          <w:trHeight w:val="51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04F8877">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3</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06BA47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eastAsia="zh-CN"/>
              </w:rPr>
            </w:pPr>
            <w:r>
              <w:rPr>
                <w:rFonts w:hint="eastAsia" w:ascii="微软雅黑" w:hAnsi="微软雅黑" w:eastAsia="微软雅黑" w:cs="微软雅黑"/>
                <w:color w:val="auto"/>
                <w:kern w:val="0"/>
                <w:sz w:val="22"/>
                <w:szCs w:val="22"/>
                <w:highlight w:val="none"/>
              </w:rPr>
              <w:t>在评标过程中，未发现投标人之间或者投标人与采购人串通投标的；</w:t>
            </w:r>
          </w:p>
        </w:tc>
        <w:tc>
          <w:tcPr>
            <w:tcW w:w="559" w:type="dxa"/>
            <w:tcBorders>
              <w:top w:val="single" w:color="auto" w:sz="4" w:space="0"/>
              <w:left w:val="nil"/>
              <w:bottom w:val="single" w:color="auto" w:sz="4" w:space="0"/>
              <w:right w:val="single" w:color="auto" w:sz="4" w:space="0"/>
            </w:tcBorders>
            <w:noWrap w:val="0"/>
            <w:vAlign w:val="center"/>
          </w:tcPr>
          <w:p w14:paraId="20AC3BF8">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0CCEF0D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7B4A876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279E85FC">
        <w:tblPrEx>
          <w:tblCellMar>
            <w:top w:w="0" w:type="dxa"/>
            <w:left w:w="108" w:type="dxa"/>
            <w:bottom w:w="0" w:type="dxa"/>
            <w:right w:w="108" w:type="dxa"/>
          </w:tblCellMar>
        </w:tblPrEx>
        <w:trPr>
          <w:trHeight w:val="58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8643079">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4</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4F4510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投标文件按照招标文件的规定编制、标记及签署盖章的；</w:t>
            </w:r>
          </w:p>
        </w:tc>
        <w:tc>
          <w:tcPr>
            <w:tcW w:w="559" w:type="dxa"/>
            <w:tcBorders>
              <w:top w:val="single" w:color="auto" w:sz="4" w:space="0"/>
              <w:left w:val="nil"/>
              <w:bottom w:val="single" w:color="auto" w:sz="4" w:space="0"/>
              <w:right w:val="single" w:color="auto" w:sz="4" w:space="0"/>
            </w:tcBorders>
            <w:noWrap w:val="0"/>
            <w:vAlign w:val="center"/>
          </w:tcPr>
          <w:p w14:paraId="2B34A946">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705" w:type="dxa"/>
            <w:tcBorders>
              <w:top w:val="single" w:color="auto" w:sz="4" w:space="0"/>
              <w:left w:val="nil"/>
              <w:bottom w:val="single" w:color="auto" w:sz="4" w:space="0"/>
              <w:right w:val="single" w:color="auto" w:sz="4" w:space="0"/>
            </w:tcBorders>
            <w:noWrap w:val="0"/>
            <w:vAlign w:val="center"/>
          </w:tcPr>
          <w:p w14:paraId="666D02B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600" w:type="dxa"/>
            <w:tcBorders>
              <w:top w:val="single" w:color="auto" w:sz="4" w:space="0"/>
              <w:left w:val="nil"/>
              <w:bottom w:val="single" w:color="auto" w:sz="4" w:space="0"/>
              <w:right w:val="single" w:color="auto" w:sz="4" w:space="0"/>
            </w:tcBorders>
            <w:noWrap w:val="0"/>
            <w:vAlign w:val="center"/>
          </w:tcPr>
          <w:p w14:paraId="200CFEC5">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14:paraId="410DBEE8">
        <w:tblPrEx>
          <w:tblCellMar>
            <w:top w:w="0" w:type="dxa"/>
            <w:left w:w="108" w:type="dxa"/>
            <w:bottom w:w="0" w:type="dxa"/>
            <w:right w:w="108" w:type="dxa"/>
          </w:tblCellMar>
        </w:tblPrEx>
        <w:trPr>
          <w:trHeight w:val="47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F40A43E">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5</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5B948B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sz w:val="22"/>
                <w:szCs w:val="22"/>
                <w:highlight w:val="none"/>
                <w:lang w:eastAsia="zh-CN"/>
              </w:rPr>
              <w:t>投标文件的实质性条款与招标文件要求的条款相符，且没有重大偏离的；</w:t>
            </w:r>
          </w:p>
        </w:tc>
        <w:tc>
          <w:tcPr>
            <w:tcW w:w="559" w:type="dxa"/>
            <w:tcBorders>
              <w:top w:val="single" w:color="auto" w:sz="4" w:space="0"/>
              <w:left w:val="nil"/>
              <w:bottom w:val="single" w:color="auto" w:sz="4" w:space="0"/>
              <w:right w:val="single" w:color="auto" w:sz="4" w:space="0"/>
            </w:tcBorders>
            <w:noWrap w:val="0"/>
            <w:vAlign w:val="center"/>
          </w:tcPr>
          <w:p w14:paraId="79B7B45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570832F2">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4ED7A83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65F2DF27">
        <w:tblPrEx>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8EDCFEC">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6</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0172E9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sz w:val="22"/>
                <w:szCs w:val="22"/>
                <w:highlight w:val="none"/>
                <w:lang w:eastAsia="zh-CN"/>
              </w:rPr>
              <w:t>投标有效期</w:t>
            </w:r>
            <w:r>
              <w:rPr>
                <w:rFonts w:hint="eastAsia" w:ascii="微软雅黑" w:hAnsi="微软雅黑" w:eastAsia="微软雅黑" w:cs="微软雅黑"/>
                <w:color w:val="auto"/>
                <w:sz w:val="22"/>
                <w:szCs w:val="22"/>
                <w:highlight w:val="none"/>
              </w:rPr>
              <w:t>自提交投标文件截止之日起</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u w:val="single" w:color="000000"/>
              </w:rPr>
              <w:t xml:space="preserve">90 </w:t>
            </w:r>
            <w:r>
              <w:rPr>
                <w:rFonts w:hint="eastAsia" w:ascii="微软雅黑" w:hAnsi="微软雅黑" w:eastAsia="微软雅黑" w:cs="微软雅黑"/>
                <w:color w:val="auto"/>
                <w:sz w:val="22"/>
                <w:szCs w:val="22"/>
                <w:highlight w:val="none"/>
              </w:rPr>
              <w:t>日历日</w:t>
            </w:r>
            <w:r>
              <w:rPr>
                <w:rFonts w:hint="eastAsia" w:ascii="微软雅黑" w:hAnsi="微软雅黑" w:eastAsia="微软雅黑" w:cs="微软雅黑"/>
                <w:color w:val="auto"/>
                <w:sz w:val="22"/>
                <w:szCs w:val="22"/>
                <w:highlight w:val="none"/>
                <w:lang w:eastAsia="zh-CN"/>
              </w:rPr>
              <w:t>；</w:t>
            </w:r>
          </w:p>
        </w:tc>
        <w:tc>
          <w:tcPr>
            <w:tcW w:w="559" w:type="dxa"/>
            <w:tcBorders>
              <w:top w:val="single" w:color="auto" w:sz="4" w:space="0"/>
              <w:left w:val="nil"/>
              <w:bottom w:val="single" w:color="auto" w:sz="4" w:space="0"/>
              <w:right w:val="single" w:color="auto" w:sz="4" w:space="0"/>
            </w:tcBorders>
            <w:noWrap w:val="0"/>
            <w:vAlign w:val="center"/>
          </w:tcPr>
          <w:p w14:paraId="11E2081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6F4BC1E7">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4C946154">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414E06C6">
        <w:tblPrEx>
          <w:tblCellMar>
            <w:top w:w="0" w:type="dxa"/>
            <w:left w:w="108" w:type="dxa"/>
            <w:bottom w:w="0" w:type="dxa"/>
            <w:right w:w="108" w:type="dxa"/>
          </w:tblCellMar>
        </w:tblPrEx>
        <w:trPr>
          <w:trHeight w:val="58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1706C78">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rPr>
              <w:t>7</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63FAF6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eastAsia="zh-CN"/>
              </w:rPr>
              <w:t>评标委员会共同确定没有实质上不响应招标文件要求的；</w:t>
            </w:r>
          </w:p>
        </w:tc>
        <w:tc>
          <w:tcPr>
            <w:tcW w:w="559" w:type="dxa"/>
            <w:tcBorders>
              <w:top w:val="single" w:color="auto" w:sz="4" w:space="0"/>
              <w:left w:val="nil"/>
              <w:bottom w:val="single" w:color="auto" w:sz="4" w:space="0"/>
              <w:right w:val="single" w:color="auto" w:sz="4" w:space="0"/>
            </w:tcBorders>
            <w:noWrap w:val="0"/>
            <w:vAlign w:val="center"/>
          </w:tcPr>
          <w:p w14:paraId="4F47EB53">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498D942A">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54DCE12C">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7842C9F0">
        <w:tblPrEx>
          <w:tblCellMar>
            <w:top w:w="0" w:type="dxa"/>
            <w:left w:w="108" w:type="dxa"/>
            <w:bottom w:w="0" w:type="dxa"/>
            <w:right w:w="108" w:type="dxa"/>
          </w:tblCellMar>
        </w:tblPrEx>
        <w:trPr>
          <w:trHeight w:val="58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24404A1">
            <w:pPr>
              <w:keepNext w:val="0"/>
              <w:keepLines w:val="0"/>
              <w:widowControl/>
              <w:suppressLineNumbers w:val="0"/>
              <w:snapToGrid w:val="0"/>
              <w:spacing w:before="0" w:beforeAutospacing="0" w:after="0" w:afterAutospacing="0" w:line="360" w:lineRule="exact"/>
              <w:ind w:left="0" w:leftChars="0" w:right="0" w:rightChars="0"/>
              <w:jc w:val="center"/>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rPr>
              <w:t>8</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273781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eastAsia="zh-CN"/>
              </w:rPr>
              <w:t>法律、法规和招标文件规定的其他无效情形；</w:t>
            </w:r>
          </w:p>
        </w:tc>
        <w:tc>
          <w:tcPr>
            <w:tcW w:w="559" w:type="dxa"/>
            <w:tcBorders>
              <w:top w:val="single" w:color="auto" w:sz="4" w:space="0"/>
              <w:left w:val="nil"/>
              <w:bottom w:val="single" w:color="auto" w:sz="4" w:space="0"/>
              <w:right w:val="single" w:color="auto" w:sz="4" w:space="0"/>
            </w:tcBorders>
            <w:noWrap w:val="0"/>
            <w:vAlign w:val="center"/>
          </w:tcPr>
          <w:p w14:paraId="36A81BCA">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705" w:type="dxa"/>
            <w:tcBorders>
              <w:top w:val="single" w:color="auto" w:sz="4" w:space="0"/>
              <w:left w:val="nil"/>
              <w:bottom w:val="single" w:color="auto" w:sz="4" w:space="0"/>
              <w:right w:val="single" w:color="auto" w:sz="4" w:space="0"/>
            </w:tcBorders>
            <w:noWrap w:val="0"/>
            <w:vAlign w:val="center"/>
          </w:tcPr>
          <w:p w14:paraId="234D5149">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600" w:type="dxa"/>
            <w:tcBorders>
              <w:top w:val="single" w:color="auto" w:sz="4" w:space="0"/>
              <w:left w:val="nil"/>
              <w:bottom w:val="single" w:color="auto" w:sz="4" w:space="0"/>
              <w:right w:val="single" w:color="auto" w:sz="4" w:space="0"/>
            </w:tcBorders>
            <w:noWrap w:val="0"/>
            <w:vAlign w:val="center"/>
          </w:tcPr>
          <w:p w14:paraId="57DB9FFF">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14:paraId="2845108E">
        <w:tblPrEx>
          <w:tblCellMar>
            <w:top w:w="0" w:type="dxa"/>
            <w:left w:w="108" w:type="dxa"/>
            <w:bottom w:w="0" w:type="dxa"/>
            <w:right w:w="108" w:type="dxa"/>
          </w:tblCellMar>
        </w:tblPrEx>
        <w:trPr>
          <w:trHeight w:val="53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6123B81">
            <w:pPr>
              <w:keepNext w:val="0"/>
              <w:keepLines w:val="0"/>
              <w:widowControl/>
              <w:suppressLineNumbers w:val="0"/>
              <w:snapToGrid w:val="0"/>
              <w:spacing w:before="0" w:beforeAutospacing="0" w:after="0" w:afterAutospacing="0" w:line="360" w:lineRule="exact"/>
              <w:ind w:left="0" w:right="0"/>
              <w:jc w:val="center"/>
              <w:textAlignment w:val="baseline"/>
              <w:rPr>
                <w:rFonts w:hint="default" w:ascii="微软雅黑" w:hAnsi="微软雅黑" w:eastAsia="微软雅黑" w:cs="微软雅黑"/>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9</w:t>
            </w:r>
          </w:p>
        </w:tc>
        <w:tc>
          <w:tcPr>
            <w:tcW w:w="7345" w:type="dxa"/>
            <w:tcBorders>
              <w:top w:val="single" w:color="auto" w:sz="4" w:space="0"/>
              <w:left w:val="single" w:color="auto" w:sz="4" w:space="0"/>
              <w:bottom w:val="single" w:color="auto" w:sz="4" w:space="0"/>
              <w:right w:val="single" w:color="auto" w:sz="4" w:space="0"/>
            </w:tcBorders>
            <w:noWrap w:val="0"/>
            <w:vAlign w:val="center"/>
          </w:tcPr>
          <w:p w14:paraId="59B7B4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36" w:lineRule="auto"/>
              <w:ind w:left="0" w:leftChars="0" w:right="0" w:rightChars="0"/>
              <w:jc w:val="left"/>
              <w:textAlignment w:val="baseline"/>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sz w:val="22"/>
                <w:szCs w:val="22"/>
                <w:highlight w:val="none"/>
              </w:rPr>
              <w:t>投标文件未含有采购人不能接受的附加条件。</w:t>
            </w:r>
          </w:p>
        </w:tc>
        <w:tc>
          <w:tcPr>
            <w:tcW w:w="559" w:type="dxa"/>
            <w:tcBorders>
              <w:top w:val="single" w:color="auto" w:sz="4" w:space="0"/>
              <w:left w:val="nil"/>
              <w:bottom w:val="single" w:color="auto" w:sz="4" w:space="0"/>
              <w:right w:val="single" w:color="auto" w:sz="4" w:space="0"/>
            </w:tcBorders>
            <w:noWrap w:val="0"/>
            <w:vAlign w:val="center"/>
          </w:tcPr>
          <w:p w14:paraId="22C5121E">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7B202253">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58FAD39B">
            <w:pPr>
              <w:keepNext w:val="0"/>
              <w:keepLines w:val="0"/>
              <w:widowControl/>
              <w:suppressLineNumbers w:val="0"/>
              <w:snapToGrid w:val="0"/>
              <w:spacing w:before="0" w:beforeAutospacing="0" w:after="0" w:afterAutospacing="0" w:line="360" w:lineRule="exact"/>
              <w:ind w:left="0" w:right="0"/>
              <w:jc w:val="left"/>
              <w:textAlignment w:val="baseline"/>
              <w:rPr>
                <w:rFonts w:hint="eastAsia" w:ascii="微软雅黑" w:hAnsi="微软雅黑" w:eastAsia="微软雅黑" w:cs="微软雅黑"/>
                <w:color w:val="auto"/>
                <w:kern w:val="0"/>
                <w:sz w:val="22"/>
                <w:szCs w:val="22"/>
                <w:highlight w:val="none"/>
              </w:rPr>
            </w:pPr>
          </w:p>
        </w:tc>
      </w:tr>
      <w:tr w14:paraId="003FE48E">
        <w:tblPrEx>
          <w:tblCellMar>
            <w:top w:w="0" w:type="dxa"/>
            <w:left w:w="108" w:type="dxa"/>
            <w:bottom w:w="0" w:type="dxa"/>
            <w:right w:w="108" w:type="dxa"/>
          </w:tblCellMar>
        </w:tblPrEx>
        <w:trPr>
          <w:trHeight w:val="43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528E486">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kern w:val="0"/>
                <w:sz w:val="22"/>
                <w:szCs w:val="22"/>
                <w:highlight w:val="none"/>
              </w:rPr>
            </w:pPr>
          </w:p>
        </w:tc>
        <w:tc>
          <w:tcPr>
            <w:tcW w:w="7345" w:type="dxa"/>
            <w:tcBorders>
              <w:top w:val="single" w:color="auto" w:sz="4" w:space="0"/>
              <w:left w:val="single" w:color="auto" w:sz="4" w:space="0"/>
              <w:bottom w:val="single" w:color="auto" w:sz="4" w:space="0"/>
              <w:right w:val="single" w:color="auto" w:sz="4" w:space="0"/>
            </w:tcBorders>
            <w:noWrap w:val="0"/>
            <w:vAlign w:val="center"/>
          </w:tcPr>
          <w:p w14:paraId="4CB3606B">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kern w:val="0"/>
                <w:sz w:val="22"/>
                <w:szCs w:val="22"/>
                <w:highlight w:val="none"/>
              </w:rPr>
              <w:t>结论</w:t>
            </w:r>
          </w:p>
        </w:tc>
        <w:tc>
          <w:tcPr>
            <w:tcW w:w="559" w:type="dxa"/>
            <w:tcBorders>
              <w:top w:val="single" w:color="auto" w:sz="4" w:space="0"/>
              <w:left w:val="nil"/>
              <w:bottom w:val="single" w:color="auto" w:sz="4" w:space="0"/>
              <w:right w:val="single" w:color="auto" w:sz="4" w:space="0"/>
            </w:tcBorders>
            <w:noWrap w:val="0"/>
            <w:vAlign w:val="center"/>
          </w:tcPr>
          <w:p w14:paraId="708537CC">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2"/>
                <w:szCs w:val="22"/>
                <w:highlight w:val="none"/>
              </w:rPr>
            </w:pPr>
          </w:p>
        </w:tc>
        <w:tc>
          <w:tcPr>
            <w:tcW w:w="705" w:type="dxa"/>
            <w:tcBorders>
              <w:top w:val="single" w:color="auto" w:sz="4" w:space="0"/>
              <w:left w:val="nil"/>
              <w:bottom w:val="single" w:color="auto" w:sz="4" w:space="0"/>
              <w:right w:val="single" w:color="auto" w:sz="4" w:space="0"/>
            </w:tcBorders>
            <w:noWrap w:val="0"/>
            <w:vAlign w:val="center"/>
          </w:tcPr>
          <w:p w14:paraId="156D1503">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2"/>
                <w:szCs w:val="22"/>
                <w:highlight w:val="none"/>
              </w:rPr>
            </w:pPr>
          </w:p>
        </w:tc>
        <w:tc>
          <w:tcPr>
            <w:tcW w:w="600" w:type="dxa"/>
            <w:tcBorders>
              <w:top w:val="single" w:color="auto" w:sz="4" w:space="0"/>
              <w:left w:val="nil"/>
              <w:bottom w:val="single" w:color="auto" w:sz="4" w:space="0"/>
              <w:right w:val="single" w:color="auto" w:sz="4" w:space="0"/>
            </w:tcBorders>
            <w:noWrap w:val="0"/>
            <w:vAlign w:val="center"/>
          </w:tcPr>
          <w:p w14:paraId="297800D8">
            <w:pPr>
              <w:keepNext w:val="0"/>
              <w:keepLines w:val="0"/>
              <w:widowControl/>
              <w:suppressLineNumbers w:val="0"/>
              <w:snapToGrid w:val="0"/>
              <w:spacing w:before="0" w:beforeAutospacing="0" w:after="0" w:afterAutospacing="0" w:line="360" w:lineRule="exact"/>
              <w:ind w:left="0" w:right="0"/>
              <w:jc w:val="center"/>
              <w:textAlignment w:val="baseline"/>
              <w:rPr>
                <w:rFonts w:hint="eastAsia" w:ascii="微软雅黑" w:hAnsi="微软雅黑" w:eastAsia="微软雅黑" w:cs="微软雅黑"/>
                <w:color w:val="auto"/>
                <w:kern w:val="0"/>
                <w:sz w:val="22"/>
                <w:szCs w:val="22"/>
                <w:highlight w:val="none"/>
              </w:rPr>
            </w:pPr>
          </w:p>
        </w:tc>
      </w:tr>
      <w:bookmarkEnd w:id="462"/>
      <w:bookmarkEnd w:id="463"/>
      <w:bookmarkEnd w:id="464"/>
    </w:tbl>
    <w:p w14:paraId="2A5EAFC0">
      <w:pPr>
        <w:pStyle w:val="1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kern w:val="2"/>
          <w:sz w:val="22"/>
          <w:szCs w:val="22"/>
          <w:highlight w:val="none"/>
          <w:lang w:val="en-US" w:eastAsia="zh-CN" w:bidi="ar-SA"/>
        </w:rPr>
        <w:t>说明：（1）上述各项中用“√”表示通过，“×”表示不通过；（2）上述各项中如有一项为“×”，则结论为“×”，表示该投标文件中存在重大偏差，不能通过初步评审；评委对某一分项评审认为不合格时，必须要写明原因。（3）投标文件最终合格与否，以所有评委的评审意见中少数服从多数为原则定论。（4）本项目符合性审查事项仅限于本招标文件的明确规定。投标文件是否满足招标文件的实质性要求，必须以本招标文件的明确规定作为依据，否则，不能对投标文件作为无效处理，评标委员会不得臆测符合性审查事项。</w:t>
      </w:r>
    </w:p>
    <w:bookmarkEnd w:id="455"/>
    <w:bookmarkEnd w:id="456"/>
    <w:bookmarkEnd w:id="457"/>
    <w:p w14:paraId="2E90A3DA">
      <w:pPr>
        <w:pStyle w:val="27"/>
        <w:jc w:val="left"/>
        <w:rPr>
          <w:rFonts w:hint="eastAsia" w:ascii="微软雅黑" w:hAnsi="微软雅黑" w:eastAsia="微软雅黑" w:cs="微软雅黑"/>
          <w:b/>
          <w:color w:val="auto"/>
          <w:kern w:val="2"/>
          <w:sz w:val="24"/>
          <w:szCs w:val="24"/>
          <w:highlight w:val="none"/>
          <w:lang w:val="en-US" w:eastAsia="zh-CN" w:bidi="ar-SA"/>
        </w:rPr>
        <w:sectPr>
          <w:headerReference r:id="rId33" w:type="default"/>
          <w:footerReference r:id="rId34" w:type="default"/>
          <w:pgSz w:w="11907" w:h="16840"/>
          <w:pgMar w:top="1440" w:right="1080" w:bottom="1440" w:left="1080" w:header="851" w:footer="850" w:gutter="0"/>
          <w:pgNumType w:fmt="decimal"/>
          <w:cols w:space="720" w:num="1"/>
          <w:rtlGutter w:val="0"/>
          <w:docGrid w:linePitch="462" w:charSpace="0"/>
        </w:sectPr>
      </w:pPr>
    </w:p>
    <w:p w14:paraId="6C3D17F7">
      <w:pPr>
        <w:pStyle w:val="27"/>
        <w:jc w:val="center"/>
        <w:rPr>
          <w:rFonts w:hint="eastAsia" w:ascii="微软雅黑" w:hAnsi="微软雅黑" w:eastAsia="微软雅黑" w:cs="微软雅黑"/>
          <w:b/>
          <w:color w:val="auto"/>
          <w:kern w:val="2"/>
          <w:sz w:val="28"/>
          <w:szCs w:val="28"/>
          <w:highlight w:val="none"/>
          <w:lang w:val="en-US" w:eastAsia="zh-CN" w:bidi="ar-SA"/>
        </w:rPr>
      </w:pPr>
      <w:r>
        <w:rPr>
          <w:rFonts w:hint="eastAsia" w:ascii="微软雅黑" w:hAnsi="微软雅黑" w:eastAsia="微软雅黑" w:cs="微软雅黑"/>
          <w:b/>
          <w:color w:val="auto"/>
          <w:kern w:val="2"/>
          <w:sz w:val="28"/>
          <w:szCs w:val="28"/>
          <w:highlight w:val="none"/>
          <w:lang w:val="en-US" w:eastAsia="zh-CN" w:bidi="ar-SA"/>
        </w:rPr>
        <w:t>评分办法（综合评分法）及评分标准</w:t>
      </w:r>
    </w:p>
    <w:tbl>
      <w:tblPr>
        <w:tblStyle w:val="38"/>
        <w:tblW w:w="10500" w:type="dxa"/>
        <w:tblInd w:w="-3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40"/>
        <w:gridCol w:w="7995"/>
        <w:gridCol w:w="675"/>
      </w:tblGrid>
      <w:tr w14:paraId="23CB5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7EC491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bookmarkStart w:id="465" w:name="_Hlk89275670"/>
            <w:r>
              <w:rPr>
                <w:rFonts w:hint="eastAsia" w:ascii="微软雅黑" w:hAnsi="微软雅黑" w:eastAsia="微软雅黑" w:cs="微软雅黑"/>
                <w:b/>
                <w:color w:val="auto"/>
                <w:sz w:val="22"/>
                <w:szCs w:val="22"/>
                <w:highlight w:val="none"/>
              </w:rPr>
              <w:t>评审部分</w:t>
            </w:r>
          </w:p>
        </w:tc>
        <w:tc>
          <w:tcPr>
            <w:tcW w:w="1140" w:type="dxa"/>
            <w:noWrap w:val="0"/>
            <w:vAlign w:val="center"/>
          </w:tcPr>
          <w:p w14:paraId="32F047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评审因素</w:t>
            </w:r>
          </w:p>
        </w:tc>
        <w:tc>
          <w:tcPr>
            <w:tcW w:w="7995" w:type="dxa"/>
            <w:noWrap w:val="0"/>
            <w:vAlign w:val="center"/>
          </w:tcPr>
          <w:p w14:paraId="4D2892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评分细则</w:t>
            </w:r>
          </w:p>
        </w:tc>
        <w:tc>
          <w:tcPr>
            <w:tcW w:w="675" w:type="dxa"/>
            <w:tcBorders>
              <w:right w:val="single" w:color="auto" w:sz="4" w:space="0"/>
            </w:tcBorders>
            <w:noWrap w:val="0"/>
            <w:vAlign w:val="center"/>
          </w:tcPr>
          <w:p w14:paraId="46F236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分值</w:t>
            </w:r>
          </w:p>
        </w:tc>
      </w:tr>
      <w:tr w14:paraId="048C9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trPr>
        <w:tc>
          <w:tcPr>
            <w:tcW w:w="690" w:type="dxa"/>
            <w:noWrap w:val="0"/>
            <w:vAlign w:val="center"/>
          </w:tcPr>
          <w:p w14:paraId="09EFFF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一</w:t>
            </w:r>
          </w:p>
        </w:tc>
        <w:tc>
          <w:tcPr>
            <w:tcW w:w="9810" w:type="dxa"/>
            <w:gridSpan w:val="3"/>
            <w:noWrap w:val="0"/>
            <w:vAlign w:val="center"/>
          </w:tcPr>
          <w:p w14:paraId="2037E9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价格部分（</w:t>
            </w:r>
            <w:r>
              <w:rPr>
                <w:rFonts w:hint="eastAsia" w:ascii="微软雅黑" w:hAnsi="微软雅黑" w:eastAsia="微软雅黑" w:cs="微软雅黑"/>
                <w:b/>
                <w:color w:val="auto"/>
                <w:sz w:val="22"/>
                <w:szCs w:val="22"/>
                <w:highlight w:val="none"/>
                <w:lang w:val="en-US" w:eastAsia="zh-CN"/>
              </w:rPr>
              <w:t>15</w:t>
            </w:r>
            <w:r>
              <w:rPr>
                <w:rFonts w:hint="eastAsia" w:ascii="微软雅黑" w:hAnsi="微软雅黑" w:eastAsia="微软雅黑" w:cs="微软雅黑"/>
                <w:b/>
                <w:color w:val="auto"/>
                <w:sz w:val="22"/>
                <w:szCs w:val="22"/>
                <w:highlight w:val="none"/>
              </w:rPr>
              <w:t>分）</w:t>
            </w:r>
          </w:p>
        </w:tc>
      </w:tr>
      <w:tr w14:paraId="47518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2A89EF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w:t>
            </w:r>
          </w:p>
        </w:tc>
        <w:tc>
          <w:tcPr>
            <w:tcW w:w="1140" w:type="dxa"/>
            <w:noWrap w:val="0"/>
            <w:vAlign w:val="center"/>
          </w:tcPr>
          <w:p w14:paraId="2933A8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投标报价</w:t>
            </w:r>
          </w:p>
        </w:tc>
        <w:tc>
          <w:tcPr>
            <w:tcW w:w="7995" w:type="dxa"/>
            <w:noWrap w:val="0"/>
            <w:vAlign w:val="center"/>
          </w:tcPr>
          <w:p w14:paraId="1923D7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b w:val="0"/>
                <w:bCs/>
                <w:color w:val="auto"/>
                <w:sz w:val="22"/>
                <w:szCs w:val="22"/>
                <w:highlight w:val="none"/>
                <w:lang w:val="en-US" w:eastAsia="zh-CN"/>
              </w:rPr>
            </w:pPr>
            <w:r>
              <w:rPr>
                <w:rFonts w:hint="eastAsia" w:ascii="微软雅黑" w:hAnsi="微软雅黑" w:eastAsia="微软雅黑" w:cs="微软雅黑"/>
                <w:b w:val="0"/>
                <w:bCs/>
                <w:color w:val="auto"/>
                <w:sz w:val="22"/>
                <w:szCs w:val="22"/>
                <w:highlight w:val="none"/>
                <w:lang w:val="en-US" w:eastAsia="zh-CN"/>
              </w:rPr>
              <w:t>价格分应当采用低价优先法计算，即满足招标文件要求且投标价格最低的投标报价为评标基准价，其价格分为满分。其他投标人的价格分统一按照下列公式计算：投标报价得分=（评标基准价／投标报价）×100×权重</w:t>
            </w:r>
          </w:p>
          <w:p w14:paraId="7A92F2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auto"/>
                <w:sz w:val="22"/>
                <w:szCs w:val="22"/>
                <w:highlight w:val="none"/>
              </w:rPr>
            </w:pPr>
            <w:r>
              <w:rPr>
                <w:rFonts w:hint="eastAsia" w:ascii="微软雅黑" w:hAnsi="微软雅黑" w:eastAsia="微软雅黑" w:cs="微软雅黑"/>
                <w:b w:val="0"/>
                <w:bCs/>
                <w:color w:val="auto"/>
                <w:sz w:val="22"/>
                <w:szCs w:val="22"/>
                <w:highlight w:val="none"/>
                <w:lang w:val="en-US" w:eastAsia="zh-CN"/>
              </w:rPr>
              <w:t>备注：投标报价得分四舍五入后，小数点后保留两位有效数。</w:t>
            </w:r>
          </w:p>
        </w:tc>
        <w:tc>
          <w:tcPr>
            <w:tcW w:w="675" w:type="dxa"/>
            <w:tcBorders>
              <w:right w:val="single" w:color="auto" w:sz="4" w:space="0"/>
            </w:tcBorders>
            <w:noWrap w:val="0"/>
            <w:vAlign w:val="center"/>
          </w:tcPr>
          <w:p w14:paraId="62520F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default" w:ascii="微软雅黑" w:hAnsi="微软雅黑" w:eastAsia="微软雅黑" w:cs="微软雅黑"/>
                <w:b/>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15</w:t>
            </w:r>
          </w:p>
        </w:tc>
      </w:tr>
      <w:tr w14:paraId="41D15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90" w:type="dxa"/>
            <w:noWrap w:val="0"/>
            <w:vAlign w:val="center"/>
          </w:tcPr>
          <w:p w14:paraId="217893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lang w:eastAsia="zh-CN"/>
              </w:rPr>
            </w:pPr>
            <w:r>
              <w:rPr>
                <w:rFonts w:hint="eastAsia" w:ascii="微软雅黑" w:hAnsi="微软雅黑" w:eastAsia="微软雅黑" w:cs="微软雅黑"/>
                <w:b/>
                <w:color w:val="auto"/>
                <w:sz w:val="22"/>
                <w:szCs w:val="22"/>
                <w:highlight w:val="none"/>
                <w:lang w:eastAsia="zh-CN"/>
              </w:rPr>
              <w:t>二</w:t>
            </w:r>
          </w:p>
        </w:tc>
        <w:tc>
          <w:tcPr>
            <w:tcW w:w="9810" w:type="dxa"/>
            <w:gridSpan w:val="3"/>
            <w:noWrap w:val="0"/>
            <w:vAlign w:val="center"/>
          </w:tcPr>
          <w:p w14:paraId="3CE4D5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lang w:eastAsia="zh-CN"/>
              </w:rPr>
              <w:t>商务及</w:t>
            </w:r>
            <w:r>
              <w:rPr>
                <w:rFonts w:hint="eastAsia" w:ascii="微软雅黑" w:hAnsi="微软雅黑" w:eastAsia="微软雅黑" w:cs="微软雅黑"/>
                <w:b/>
                <w:color w:val="auto"/>
                <w:sz w:val="22"/>
                <w:szCs w:val="22"/>
                <w:highlight w:val="none"/>
              </w:rPr>
              <w:t>技术部分（</w:t>
            </w:r>
            <w:r>
              <w:rPr>
                <w:rFonts w:hint="eastAsia" w:ascii="微软雅黑" w:hAnsi="微软雅黑" w:eastAsia="微软雅黑" w:cs="微软雅黑"/>
                <w:b/>
                <w:color w:val="auto"/>
                <w:sz w:val="22"/>
                <w:szCs w:val="22"/>
                <w:highlight w:val="none"/>
                <w:lang w:val="en-US" w:eastAsia="zh-CN"/>
              </w:rPr>
              <w:t>85</w:t>
            </w:r>
            <w:r>
              <w:rPr>
                <w:rFonts w:hint="eastAsia" w:ascii="微软雅黑" w:hAnsi="微软雅黑" w:eastAsia="微软雅黑" w:cs="微软雅黑"/>
                <w:b/>
                <w:color w:val="auto"/>
                <w:sz w:val="22"/>
                <w:szCs w:val="22"/>
                <w:highlight w:val="none"/>
              </w:rPr>
              <w:t>分）</w:t>
            </w:r>
          </w:p>
        </w:tc>
      </w:tr>
      <w:tr w14:paraId="0F144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tcBorders>
              <w:bottom w:val="single" w:color="auto" w:sz="4" w:space="0"/>
            </w:tcBorders>
            <w:noWrap w:val="0"/>
            <w:vAlign w:val="center"/>
          </w:tcPr>
          <w:p w14:paraId="2E5CB540">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w:t>
            </w:r>
          </w:p>
        </w:tc>
        <w:tc>
          <w:tcPr>
            <w:tcW w:w="1140" w:type="dxa"/>
            <w:noWrap w:val="0"/>
            <w:vAlign w:val="center"/>
          </w:tcPr>
          <w:p w14:paraId="06E982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eastAsia="zh-CN"/>
              </w:rPr>
              <w:t>企业类似业绩</w:t>
            </w:r>
          </w:p>
        </w:tc>
        <w:tc>
          <w:tcPr>
            <w:tcW w:w="7995" w:type="dxa"/>
            <w:noWrap w:val="0"/>
            <w:vAlign w:val="center"/>
          </w:tcPr>
          <w:p w14:paraId="253C80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eastAsia="zh-CN"/>
              </w:rPr>
              <w:t>投标人</w:t>
            </w:r>
            <w:r>
              <w:rPr>
                <w:rFonts w:hint="eastAsia" w:ascii="微软雅黑" w:hAnsi="微软雅黑" w:eastAsia="微软雅黑" w:cs="微软雅黑"/>
                <w:color w:val="auto"/>
                <w:sz w:val="22"/>
                <w:szCs w:val="22"/>
                <w:highlight w:val="none"/>
              </w:rPr>
              <w:t>提供近三年</w:t>
            </w:r>
            <w:r>
              <w:rPr>
                <w:rFonts w:hint="eastAsia" w:ascii="微软雅黑" w:hAnsi="微软雅黑" w:eastAsia="微软雅黑" w:cs="微软雅黑"/>
                <w:color w:val="auto"/>
                <w:sz w:val="22"/>
                <w:szCs w:val="22"/>
                <w:highlight w:val="none"/>
                <w:lang w:val="en-US" w:eastAsia="zh-CN"/>
              </w:rPr>
              <w:t>（2023年4月21日—2026年4月21日）</w:t>
            </w:r>
            <w:r>
              <w:rPr>
                <w:rFonts w:hint="eastAsia" w:ascii="微软雅黑" w:hAnsi="微软雅黑" w:eastAsia="微软雅黑" w:cs="微软雅黑"/>
                <w:color w:val="auto"/>
                <w:sz w:val="22"/>
                <w:szCs w:val="22"/>
                <w:highlight w:val="none"/>
              </w:rPr>
              <w:t>完成的类似项目业绩（须提供中标（成交）通知书</w:t>
            </w:r>
            <w:r>
              <w:rPr>
                <w:rFonts w:hint="eastAsia" w:ascii="微软雅黑" w:hAnsi="微软雅黑" w:eastAsia="微软雅黑" w:cs="微软雅黑"/>
                <w:color w:val="auto"/>
                <w:sz w:val="22"/>
                <w:szCs w:val="22"/>
                <w:highlight w:val="none"/>
                <w:lang w:eastAsia="zh-CN"/>
              </w:rPr>
              <w:t>及</w:t>
            </w:r>
            <w:r>
              <w:rPr>
                <w:rFonts w:hint="eastAsia" w:ascii="微软雅黑" w:hAnsi="微软雅黑" w:eastAsia="微软雅黑" w:cs="微软雅黑"/>
                <w:color w:val="auto"/>
                <w:sz w:val="22"/>
                <w:szCs w:val="22"/>
                <w:highlight w:val="none"/>
              </w:rPr>
              <w:t>项目合同，项目合同复印件包含但不限于合同首页、关键信息页、双方签章页）；每提供1项得</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分，最多得</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分。</w:t>
            </w:r>
          </w:p>
        </w:tc>
        <w:tc>
          <w:tcPr>
            <w:tcW w:w="675" w:type="dxa"/>
            <w:tcBorders>
              <w:right w:val="single" w:color="auto" w:sz="4" w:space="0"/>
            </w:tcBorders>
            <w:noWrap w:val="0"/>
            <w:vAlign w:val="center"/>
          </w:tcPr>
          <w:p w14:paraId="05FDE2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6</w:t>
            </w:r>
          </w:p>
        </w:tc>
      </w:tr>
      <w:tr w14:paraId="60E64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690" w:type="dxa"/>
            <w:tcBorders>
              <w:bottom w:val="single" w:color="auto" w:sz="4" w:space="0"/>
            </w:tcBorders>
            <w:noWrap w:val="0"/>
            <w:vAlign w:val="center"/>
          </w:tcPr>
          <w:p w14:paraId="70CA7CA0">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w:t>
            </w:r>
          </w:p>
        </w:tc>
        <w:tc>
          <w:tcPr>
            <w:tcW w:w="1140" w:type="dxa"/>
            <w:noWrap w:val="0"/>
            <w:vAlign w:val="center"/>
          </w:tcPr>
          <w:p w14:paraId="061AD8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履约评价</w:t>
            </w:r>
          </w:p>
        </w:tc>
        <w:tc>
          <w:tcPr>
            <w:tcW w:w="7995" w:type="dxa"/>
            <w:noWrap w:val="0"/>
            <w:vAlign w:val="center"/>
          </w:tcPr>
          <w:p w14:paraId="2BB01C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企业类似业绩证明材料中，经合同甲方(服务单位)出具盖公章的履约评价，履约评价考核评价为“优”或“满意”或其他最高评价等级的，每提供1项得2分，最高得4分。</w:t>
            </w:r>
          </w:p>
        </w:tc>
        <w:tc>
          <w:tcPr>
            <w:tcW w:w="675" w:type="dxa"/>
            <w:tcBorders>
              <w:right w:val="single" w:color="auto" w:sz="4" w:space="0"/>
            </w:tcBorders>
            <w:noWrap w:val="0"/>
            <w:vAlign w:val="center"/>
          </w:tcPr>
          <w:p w14:paraId="30ADBF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4</w:t>
            </w:r>
          </w:p>
        </w:tc>
      </w:tr>
      <w:tr w14:paraId="76CC7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 w:hRule="atLeast"/>
        </w:trPr>
        <w:tc>
          <w:tcPr>
            <w:tcW w:w="690" w:type="dxa"/>
            <w:tcBorders>
              <w:top w:val="single" w:color="auto" w:sz="4" w:space="0"/>
              <w:bottom w:val="single" w:color="auto" w:sz="4" w:space="0"/>
            </w:tcBorders>
            <w:noWrap w:val="0"/>
            <w:vAlign w:val="center"/>
          </w:tcPr>
          <w:p w14:paraId="33C44868">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3</w:t>
            </w:r>
          </w:p>
        </w:tc>
        <w:tc>
          <w:tcPr>
            <w:tcW w:w="1140" w:type="dxa"/>
            <w:noWrap w:val="0"/>
            <w:vAlign w:val="center"/>
          </w:tcPr>
          <w:p w14:paraId="64E3F3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拟投入本项目的执行团队情况</w:t>
            </w:r>
          </w:p>
        </w:tc>
        <w:tc>
          <w:tcPr>
            <w:tcW w:w="7995" w:type="dxa"/>
            <w:noWrap w:val="0"/>
            <w:vAlign w:val="center"/>
          </w:tcPr>
          <w:p w14:paraId="13E950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①项目负责人：项目负责人应具有丰富的实践经验和组织管理能力，提供投标单位缴纳近3个月的社保缴纳凭证。具备专业人才职业技能证书，证书等级为高级得5分，中级3分，初级1分，不提供不得分；</w:t>
            </w:r>
          </w:p>
          <w:p w14:paraId="5B4E65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②</w:t>
            </w:r>
            <w:r>
              <w:rPr>
                <w:rFonts w:hint="eastAsia" w:ascii="微软雅黑" w:hAnsi="微软雅黑" w:eastAsia="微软雅黑" w:cs="微软雅黑"/>
                <w:color w:val="auto"/>
                <w:sz w:val="22"/>
                <w:szCs w:val="22"/>
                <w:highlight w:val="none"/>
              </w:rPr>
              <w:t>项目组组成人员</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拟投入本项目的专业技术服务团队，在满足5人的基础</w:t>
            </w:r>
            <w:r>
              <w:rPr>
                <w:rFonts w:hint="eastAsia" w:ascii="微软雅黑" w:hAnsi="微软雅黑" w:eastAsia="微软雅黑" w:cs="微软雅黑"/>
                <w:color w:val="auto"/>
                <w:sz w:val="22"/>
                <w:szCs w:val="22"/>
                <w:highlight w:val="none"/>
                <w:lang w:val="en-US" w:eastAsia="zh-CN"/>
              </w:rPr>
              <w:t>得2分，</w:t>
            </w:r>
            <w:r>
              <w:rPr>
                <w:rFonts w:hint="eastAsia" w:ascii="微软雅黑" w:hAnsi="微软雅黑" w:eastAsia="微软雅黑" w:cs="微软雅黑"/>
                <w:color w:val="auto"/>
                <w:sz w:val="22"/>
                <w:szCs w:val="22"/>
                <w:highlight w:val="none"/>
              </w:rPr>
              <w:t>每增加一人得</w:t>
            </w: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rPr>
              <w:t>分，最多得</w:t>
            </w: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rPr>
              <w:t>分</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本项最高得5分</w:t>
            </w:r>
            <w:r>
              <w:rPr>
                <w:rFonts w:hint="eastAsia" w:ascii="微软雅黑" w:hAnsi="微软雅黑" w:eastAsia="微软雅黑" w:cs="微软雅黑"/>
                <w:color w:val="auto"/>
                <w:sz w:val="22"/>
                <w:szCs w:val="22"/>
                <w:highlight w:val="none"/>
              </w:rPr>
              <w:t>。</w:t>
            </w:r>
          </w:p>
          <w:p w14:paraId="349C479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注：以上人员需提供岗位职责表</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劳动</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务</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合同或</w:t>
            </w:r>
            <w:r>
              <w:rPr>
                <w:rFonts w:hint="eastAsia" w:ascii="微软雅黑" w:hAnsi="微软雅黑" w:eastAsia="微软雅黑" w:cs="微软雅黑"/>
                <w:color w:val="auto"/>
                <w:sz w:val="22"/>
                <w:szCs w:val="22"/>
                <w:highlight w:val="none"/>
                <w:lang w:val="en-US" w:eastAsia="zh-CN"/>
              </w:rPr>
              <w:t>近一个月社保证明</w:t>
            </w:r>
            <w:r>
              <w:rPr>
                <w:rFonts w:hint="eastAsia" w:ascii="微软雅黑" w:hAnsi="微软雅黑" w:eastAsia="微软雅黑" w:cs="微软雅黑"/>
                <w:color w:val="auto"/>
                <w:sz w:val="22"/>
                <w:szCs w:val="22"/>
                <w:highlight w:val="none"/>
              </w:rPr>
              <w:t>，不提供不得分。</w:t>
            </w:r>
          </w:p>
        </w:tc>
        <w:tc>
          <w:tcPr>
            <w:tcW w:w="675" w:type="dxa"/>
            <w:tcBorders>
              <w:right w:val="single" w:color="auto" w:sz="4" w:space="0"/>
            </w:tcBorders>
            <w:noWrap w:val="0"/>
            <w:vAlign w:val="center"/>
          </w:tcPr>
          <w:p w14:paraId="5088A6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10</w:t>
            </w:r>
          </w:p>
        </w:tc>
      </w:tr>
      <w:tr w14:paraId="274BF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3" w:hRule="atLeast"/>
        </w:trPr>
        <w:tc>
          <w:tcPr>
            <w:tcW w:w="690" w:type="dxa"/>
            <w:tcBorders>
              <w:top w:val="single" w:color="auto" w:sz="4" w:space="0"/>
              <w:bottom w:val="single" w:color="auto" w:sz="4" w:space="0"/>
            </w:tcBorders>
            <w:noWrap w:val="0"/>
            <w:vAlign w:val="center"/>
          </w:tcPr>
          <w:p w14:paraId="1037A115">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w:t>
            </w:r>
          </w:p>
        </w:tc>
        <w:tc>
          <w:tcPr>
            <w:tcW w:w="1140" w:type="dxa"/>
            <w:noWrap w:val="0"/>
            <w:vAlign w:val="center"/>
          </w:tcPr>
          <w:p w14:paraId="0F9412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投保方案</w:t>
            </w:r>
          </w:p>
        </w:tc>
        <w:tc>
          <w:tcPr>
            <w:tcW w:w="7995" w:type="dxa"/>
            <w:noWrap w:val="0"/>
            <w:vAlign w:val="center"/>
          </w:tcPr>
          <w:p w14:paraId="263746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 xml:space="preserve">投标单位根据项目特定，提供针对培训对象的投保方案，内容包含但不限于①乘坐交通意外伤害保险②旅行期间医疗费用补偿保险③特定传染病保险④急性病身故或全残保险⑤附加险，针对以上5项内容进行评审，逐项打分，每项1分，共5分；每项评审标准：【保险责任、保额赔付、保险期限、理赔流程】。内容完整详尽，条理清晰合理，针对性及可操作性强并自行承诺（格式自拟）得1分；每项内容不完整或每有一处不具有针对性或逻辑性错误的扣0.5分；每项内容缺失不得分。 </w:t>
            </w:r>
          </w:p>
        </w:tc>
        <w:tc>
          <w:tcPr>
            <w:tcW w:w="675" w:type="dxa"/>
            <w:tcBorders>
              <w:right w:val="single" w:color="auto" w:sz="4" w:space="0"/>
            </w:tcBorders>
            <w:noWrap w:val="0"/>
            <w:vAlign w:val="center"/>
          </w:tcPr>
          <w:p w14:paraId="34CC96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5</w:t>
            </w:r>
          </w:p>
        </w:tc>
      </w:tr>
      <w:tr w14:paraId="28F9E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tcBorders>
              <w:top w:val="single" w:color="auto" w:sz="4" w:space="0"/>
            </w:tcBorders>
            <w:noWrap w:val="0"/>
            <w:vAlign w:val="center"/>
          </w:tcPr>
          <w:p w14:paraId="60FFA20C">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6</w:t>
            </w:r>
          </w:p>
        </w:tc>
        <w:tc>
          <w:tcPr>
            <w:tcW w:w="1140" w:type="dxa"/>
            <w:noWrap w:val="0"/>
            <w:vAlign w:val="center"/>
          </w:tcPr>
          <w:p w14:paraId="7603ED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eastAsia="zh-CN"/>
              </w:rPr>
              <w:t>服务</w:t>
            </w:r>
            <w:r>
              <w:rPr>
                <w:rFonts w:hint="eastAsia" w:ascii="微软雅黑" w:hAnsi="微软雅黑" w:eastAsia="微软雅黑" w:cs="微软雅黑"/>
                <w:color w:val="auto"/>
                <w:sz w:val="22"/>
                <w:szCs w:val="22"/>
                <w:highlight w:val="none"/>
              </w:rPr>
              <w:t>方案</w:t>
            </w:r>
          </w:p>
        </w:tc>
        <w:tc>
          <w:tcPr>
            <w:tcW w:w="7995" w:type="dxa"/>
            <w:noWrap w:val="0"/>
            <w:vAlign w:val="center"/>
          </w:tcPr>
          <w:p w14:paraId="21AD7F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 xml:space="preserve">投标单位根据招标文件中整体项目的服务方案包括但不限于：①服务需求②时间安排③按培训要求提供项目整体计划、行程规划④需求理解分析⑤合理化建议⑥培训课程（含观摩）计划，针对以上6项内容进行评审，逐项打分，每项3分，共18分；每项评审标准：具体内容、实施步骤、预期效果内容完整详尽，条理清晰合理，针对性及可操作性强，得3分；每项内容不完整或每有一处不具有针对性或逻辑性错误的扣2分；每项内容缺失不得分。 </w:t>
            </w:r>
          </w:p>
        </w:tc>
        <w:tc>
          <w:tcPr>
            <w:tcW w:w="675" w:type="dxa"/>
            <w:tcBorders>
              <w:right w:val="single" w:color="auto" w:sz="4" w:space="0"/>
            </w:tcBorders>
            <w:noWrap w:val="0"/>
            <w:vAlign w:val="center"/>
          </w:tcPr>
          <w:p w14:paraId="2FD2EA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18</w:t>
            </w:r>
          </w:p>
        </w:tc>
      </w:tr>
      <w:tr w14:paraId="72EAB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trPr>
        <w:tc>
          <w:tcPr>
            <w:tcW w:w="690" w:type="dxa"/>
            <w:tcBorders>
              <w:top w:val="single" w:color="auto" w:sz="4" w:space="0"/>
            </w:tcBorders>
            <w:noWrap w:val="0"/>
            <w:vAlign w:val="center"/>
          </w:tcPr>
          <w:p w14:paraId="73F461D9">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w:t>
            </w:r>
          </w:p>
        </w:tc>
        <w:tc>
          <w:tcPr>
            <w:tcW w:w="1140" w:type="dxa"/>
            <w:noWrap w:val="0"/>
            <w:vAlign w:val="center"/>
          </w:tcPr>
          <w:p w14:paraId="34A8FA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lang w:val="en-US" w:eastAsia="zh-CN"/>
              </w:rPr>
              <w:t>组织与管</w:t>
            </w:r>
          </w:p>
          <w:p w14:paraId="33B1A6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rPr>
              <w:t>理方案</w:t>
            </w:r>
          </w:p>
        </w:tc>
        <w:tc>
          <w:tcPr>
            <w:tcW w:w="7995" w:type="dxa"/>
            <w:noWrap w:val="0"/>
            <w:vAlign w:val="center"/>
          </w:tcPr>
          <w:p w14:paraId="65E46E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投标人针对本项目，提供全面、内容详尽、具有针对性的组织与管理方案，内容</w:t>
            </w:r>
          </w:p>
          <w:p w14:paraId="504C59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包括但不限于：1.组织干部有序参与培训；2.带队培训的管理方案；3.协助采购单位组织报名，确定人选，办理有关手续、协助分组、保障出行；针对以上3项内容进行评审，逐项打分，每项2分，共6分；每项评审标准：内容完整详尽，条理清晰合理，针对性及可操作性强，得2分；每项内容不完整或每有一处不具有针对性或逻辑性错误的扣1分；每项内容缺失不得分。</w:t>
            </w:r>
          </w:p>
        </w:tc>
        <w:tc>
          <w:tcPr>
            <w:tcW w:w="675" w:type="dxa"/>
            <w:tcBorders>
              <w:right w:val="single" w:color="auto" w:sz="4" w:space="0"/>
            </w:tcBorders>
            <w:noWrap w:val="0"/>
            <w:vAlign w:val="center"/>
          </w:tcPr>
          <w:p w14:paraId="1CE084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6</w:t>
            </w:r>
          </w:p>
        </w:tc>
      </w:tr>
      <w:tr w14:paraId="46775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7664AF7B">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8</w:t>
            </w:r>
          </w:p>
        </w:tc>
        <w:tc>
          <w:tcPr>
            <w:tcW w:w="1140" w:type="dxa"/>
            <w:noWrap w:val="0"/>
            <w:vAlign w:val="center"/>
          </w:tcPr>
          <w:p w14:paraId="548ABE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食宿方案</w:t>
            </w:r>
          </w:p>
        </w:tc>
        <w:tc>
          <w:tcPr>
            <w:tcW w:w="7995" w:type="dxa"/>
            <w:noWrap w:val="0"/>
            <w:vAlign w:val="center"/>
          </w:tcPr>
          <w:p w14:paraId="4B6BBA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投标人针对本项目，提供全面、内容详尽、具有针对性的食宿方案，内容包括但不限于：1.预选餐厅名单及地址；2.菜品搭配方案；3.餐厅环境实地照片；4.食品卫生、安全监督措施；5.预选酒店或宾馆名单及地址；6.酒店或宾馆环境实地照片；7.住宿安全保障措施；针对以上7项内容进行评审，逐项打分，每项2分，共14分；每项评审标准：精确地址、核心资质、接待能力、场地优势内容完整详尽，条理清晰合理，针对性及可操作性强，得2分；每项内容不完整或每有一处不具有针对性或逻辑性错误的扣1分；每项内容缺失不得分。</w:t>
            </w:r>
          </w:p>
        </w:tc>
        <w:tc>
          <w:tcPr>
            <w:tcW w:w="675" w:type="dxa"/>
            <w:tcBorders>
              <w:right w:val="single" w:color="auto" w:sz="4" w:space="0"/>
            </w:tcBorders>
            <w:noWrap w:val="0"/>
            <w:vAlign w:val="center"/>
          </w:tcPr>
          <w:p w14:paraId="5BDF87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14</w:t>
            </w:r>
          </w:p>
        </w:tc>
      </w:tr>
      <w:tr w14:paraId="0EF82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3AACCF45">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9</w:t>
            </w:r>
          </w:p>
        </w:tc>
        <w:tc>
          <w:tcPr>
            <w:tcW w:w="1140" w:type="dxa"/>
            <w:noWrap w:val="0"/>
            <w:vAlign w:val="center"/>
          </w:tcPr>
          <w:p w14:paraId="6AE6C2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eastAsia="zh-CN"/>
              </w:rPr>
              <w:t>出行</w:t>
            </w:r>
            <w:r>
              <w:rPr>
                <w:rFonts w:hint="eastAsia" w:ascii="微软雅黑" w:hAnsi="微软雅黑" w:eastAsia="微软雅黑" w:cs="微软雅黑"/>
                <w:color w:val="auto"/>
                <w:sz w:val="22"/>
                <w:szCs w:val="22"/>
                <w:highlight w:val="none"/>
              </w:rPr>
              <w:t>方案</w:t>
            </w:r>
          </w:p>
        </w:tc>
        <w:tc>
          <w:tcPr>
            <w:tcW w:w="7995" w:type="dxa"/>
            <w:noWrap w:val="0"/>
            <w:vAlign w:val="center"/>
          </w:tcPr>
          <w:p w14:paraId="264771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投标人针对本项目，提供全面、内容详尽、具有针对性的出行方案，内容包括但不限于：1.购买机票的策划方案（含航线安排、预订、改签、退票）；2.在活动过程中所使用车辆安排表；3.出行便捷保证时效措施；4.交通出行安全保障措施；5.交通车辆质量保证措施；6.应急急救车安排计划，针对以上6项内容进行评审，逐项打分，每项2分，共12分；每项评审标准：航线总览、预订流程、改签退票规则、特殊情况处理内容完整详尽，条理清晰合理，针对性及可操作性强，得2分；每项内容不完整或每有一处不具有针对性或逻辑性错误的扣1分；每项内容缺失不得分。</w:t>
            </w:r>
          </w:p>
        </w:tc>
        <w:tc>
          <w:tcPr>
            <w:tcW w:w="675" w:type="dxa"/>
            <w:tcBorders>
              <w:right w:val="single" w:color="auto" w:sz="4" w:space="0"/>
            </w:tcBorders>
            <w:noWrap w:val="0"/>
            <w:vAlign w:val="center"/>
          </w:tcPr>
          <w:p w14:paraId="2F2B9B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12</w:t>
            </w:r>
          </w:p>
        </w:tc>
      </w:tr>
      <w:tr w14:paraId="1AD867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0121CB3F">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10</w:t>
            </w:r>
          </w:p>
        </w:tc>
        <w:tc>
          <w:tcPr>
            <w:tcW w:w="1140" w:type="dxa"/>
            <w:noWrap w:val="0"/>
            <w:vAlign w:val="center"/>
          </w:tcPr>
          <w:p w14:paraId="535861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应急预案</w:t>
            </w:r>
          </w:p>
        </w:tc>
        <w:tc>
          <w:tcPr>
            <w:tcW w:w="7995" w:type="dxa"/>
            <w:noWrap w:val="0"/>
            <w:vAlign w:val="center"/>
          </w:tcPr>
          <w:p w14:paraId="6523AA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kern w:val="2"/>
                <w:sz w:val="22"/>
                <w:szCs w:val="22"/>
                <w:highlight w:val="none"/>
                <w:lang w:val="en-US" w:eastAsia="zh-CN" w:bidi="ar-SA"/>
              </w:rPr>
              <w:t>根据提供的事前、事中、事后应急预防处理措施：①安全措施；②食物中毒应急预案；③突发疾病、意外伤害应急预案；④对突发性事件（包含但不限于:针对服务对象的人身安全、急救安排、天气原因不可抗力因素、交通方面、餐宿安全等方面）的处理办法等。针对以上4项内容进行评审，逐项打分，每项2分，共8分；每项评审标准：健康预防、分级响应、现场急救、转运善后内容完整详尽，条理清晰合理，针对性及可操作性强，得2分；每项内容不完整或每有一处不具有针对性或逻辑性错误的扣1分；每项内容缺失不得分。</w:t>
            </w:r>
          </w:p>
        </w:tc>
        <w:tc>
          <w:tcPr>
            <w:tcW w:w="675" w:type="dxa"/>
            <w:tcBorders>
              <w:right w:val="single" w:color="auto" w:sz="4" w:space="0"/>
            </w:tcBorders>
            <w:noWrap w:val="0"/>
            <w:vAlign w:val="center"/>
          </w:tcPr>
          <w:p w14:paraId="41CED9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8</w:t>
            </w:r>
          </w:p>
        </w:tc>
      </w:tr>
      <w:tr w14:paraId="3865B2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90" w:type="dxa"/>
            <w:tcBorders>
              <w:bottom w:val="single" w:color="auto" w:sz="4" w:space="0"/>
            </w:tcBorders>
            <w:noWrap w:val="0"/>
            <w:vAlign w:val="center"/>
          </w:tcPr>
          <w:p w14:paraId="585F2D0F">
            <w:pPr>
              <w:pStyle w:val="81"/>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11</w:t>
            </w:r>
          </w:p>
        </w:tc>
        <w:tc>
          <w:tcPr>
            <w:tcW w:w="1140" w:type="dxa"/>
            <w:noWrap w:val="0"/>
            <w:vAlign w:val="center"/>
          </w:tcPr>
          <w:p w14:paraId="663273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服务承诺</w:t>
            </w:r>
          </w:p>
        </w:tc>
        <w:tc>
          <w:tcPr>
            <w:tcW w:w="7995" w:type="dxa"/>
            <w:noWrap w:val="0"/>
            <w:vAlign w:val="center"/>
          </w:tcPr>
          <w:p w14:paraId="7D4763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1.在活动过程中因中标人原因导致活动终止的违约承诺。2.人员未按照招标文件及投标承诺配置的违约承诺。投标人自行承诺，承诺内容每包含以上一项承诺得1分，最多得2分。</w:t>
            </w:r>
          </w:p>
        </w:tc>
        <w:tc>
          <w:tcPr>
            <w:tcW w:w="675" w:type="dxa"/>
            <w:tcBorders>
              <w:right w:val="single" w:color="auto" w:sz="4" w:space="0"/>
            </w:tcBorders>
            <w:noWrap w:val="0"/>
            <w:vAlign w:val="center"/>
          </w:tcPr>
          <w:p w14:paraId="0D33F5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2</w:t>
            </w:r>
          </w:p>
        </w:tc>
      </w:tr>
      <w:bookmarkEnd w:id="465"/>
    </w:tbl>
    <w:p w14:paraId="7A124741">
      <w:pPr>
        <w:adjustRightInd w:val="0"/>
        <w:snapToGrid w:val="0"/>
        <w:rPr>
          <w:rFonts w:hint="eastAsia" w:ascii="微软雅黑" w:hAnsi="微软雅黑" w:eastAsia="微软雅黑" w:cs="微软雅黑"/>
          <w:color w:val="auto"/>
          <w:sz w:val="21"/>
          <w:szCs w:val="21"/>
          <w:highlight w:val="none"/>
        </w:rPr>
      </w:pPr>
    </w:p>
    <w:p w14:paraId="0A62B845">
      <w:pPr>
        <w:adjustRightInd w:val="0"/>
        <w:snapToGrid w:val="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w:t>
      </w:r>
      <w:r>
        <w:rPr>
          <w:rFonts w:hint="eastAsia" w:ascii="微软雅黑" w:hAnsi="微软雅黑" w:eastAsia="微软雅黑" w:cs="微软雅黑"/>
          <w:color w:val="auto"/>
          <w:sz w:val="22"/>
          <w:szCs w:val="22"/>
          <w:highlight w:val="none"/>
          <w:lang w:val="en-US"/>
        </w:rPr>
        <w:t>1</w:t>
      </w:r>
      <w:r>
        <w:rPr>
          <w:rFonts w:hint="eastAsia" w:ascii="微软雅黑" w:hAnsi="微软雅黑" w:eastAsia="微软雅黑" w:cs="微软雅黑"/>
          <w:color w:val="auto"/>
          <w:sz w:val="22"/>
          <w:szCs w:val="22"/>
          <w:highlight w:val="none"/>
        </w:rPr>
        <w:t>）评分如出现小数点，则保留小数点后两位。</w:t>
      </w:r>
    </w:p>
    <w:p w14:paraId="3A9EE2AE">
      <w:pPr>
        <w:adjustRightInd w:val="0"/>
        <w:snapToGrid w:val="0"/>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val="en-US"/>
        </w:rPr>
        <w:t>2</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投标人</w:t>
      </w:r>
      <w:r>
        <w:rPr>
          <w:rFonts w:hint="eastAsia" w:ascii="微软雅黑" w:hAnsi="微软雅黑" w:eastAsia="微软雅黑" w:cs="微软雅黑"/>
          <w:color w:val="auto"/>
          <w:sz w:val="22"/>
          <w:szCs w:val="22"/>
          <w:highlight w:val="none"/>
        </w:rPr>
        <w:t>应提交与评价指标体系相关的各类有效资料。</w:t>
      </w:r>
    </w:p>
    <w:p w14:paraId="3A4999A4">
      <w:pPr>
        <w:adjustRightInd w:val="0"/>
        <w:snapToGrid w:val="0"/>
        <w:ind w:left="479" w:leftChars="228" w:firstLine="0" w:firstLineChars="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lang w:eastAsia="zh-CN"/>
        </w:rPr>
        <w:t>）为防止恶意低价竞标，如投标人投标报价大幅度低于采购预算价的，评标委员会有权要求投标人现场在合理的时间内对其报价进行说明澄清并提供相关证明材料，如投标人不能对其报价的合理性进行说明，作否决投标处理。</w:t>
      </w:r>
    </w:p>
    <w:p w14:paraId="0E5A8B69">
      <w:pPr>
        <w:keepNext w:val="0"/>
        <w:keepLines w:val="0"/>
        <w:pageBreakBefore w:val="0"/>
        <w:kinsoku/>
        <w:wordWrap/>
        <w:overflowPunct/>
        <w:topLinePunct w:val="0"/>
        <w:bidi w:val="0"/>
        <w:spacing w:line="240" w:lineRule="auto"/>
        <w:ind w:right="-21" w:firstLine="480" w:firstLineChars="200"/>
        <w:jc w:val="both"/>
        <w:rPr>
          <w:rFonts w:hint="eastAsia" w:ascii="微软雅黑" w:hAnsi="微软雅黑" w:eastAsia="微软雅黑" w:cs="微软雅黑"/>
          <w:b/>
          <w:bCs/>
          <w:color w:val="auto"/>
          <w:sz w:val="24"/>
          <w:szCs w:val="24"/>
          <w:highlight w:val="none"/>
          <w:lang w:eastAsia="zh-CN"/>
        </w:rPr>
        <w:sectPr>
          <w:pgSz w:w="11907" w:h="16840"/>
          <w:pgMar w:top="1440" w:right="1080" w:bottom="1440" w:left="1080" w:header="851" w:footer="850" w:gutter="0"/>
          <w:pgNumType w:fmt="decimal"/>
          <w:cols w:space="720" w:num="1"/>
          <w:rtlGutter w:val="0"/>
          <w:docGrid w:linePitch="462" w:charSpace="0"/>
        </w:sectPr>
      </w:pPr>
    </w:p>
    <w:p w14:paraId="66C32195">
      <w:pPr>
        <w:pStyle w:val="27"/>
        <w:spacing w:line="360" w:lineRule="auto"/>
        <w:jc w:val="both"/>
        <w:rPr>
          <w:rFonts w:hint="eastAsia" w:ascii="方正小标宋简体" w:hAnsi="方正小标宋简体" w:eastAsia="方正小标宋简体" w:cs="方正小标宋简体"/>
          <w:b/>
          <w:color w:val="auto"/>
          <w:kern w:val="2"/>
          <w:sz w:val="44"/>
          <w:szCs w:val="44"/>
          <w:highlight w:val="none"/>
          <w:lang w:val="en-US" w:eastAsia="zh-CN" w:bidi="ar-SA"/>
        </w:rPr>
      </w:pPr>
      <w:bookmarkStart w:id="466" w:name="_Toc9912"/>
      <w:bookmarkStart w:id="467" w:name="_Toc518923128"/>
      <w:bookmarkStart w:id="468" w:name="_Toc12464"/>
    </w:p>
    <w:p w14:paraId="654C0E59">
      <w:pPr>
        <w:pStyle w:val="27"/>
        <w:spacing w:line="360" w:lineRule="auto"/>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喀什市思政教育一体化项目(村级带头人及后备力量赴内地开展跟班锻炼)</w:t>
      </w:r>
    </w:p>
    <w:p w14:paraId="71B17930">
      <w:pPr>
        <w:pStyle w:val="27"/>
        <w:spacing w:line="360" w:lineRule="auto"/>
        <w:jc w:val="center"/>
        <w:rPr>
          <w:rFonts w:hint="eastAsia" w:ascii="微软雅黑" w:hAnsi="微软雅黑" w:eastAsia="微软雅黑" w:cs="微软雅黑"/>
          <w:color w:val="auto"/>
          <w:sz w:val="16"/>
          <w:szCs w:val="22"/>
          <w:highlight w:val="none"/>
        </w:rPr>
      </w:pPr>
    </w:p>
    <w:p w14:paraId="6B2EA6E3">
      <w:pPr>
        <w:spacing w:line="240" w:lineRule="atLeast"/>
        <w:jc w:val="both"/>
        <w:rPr>
          <w:rFonts w:hint="eastAsia" w:ascii="微软雅黑" w:hAnsi="微软雅黑" w:eastAsia="微软雅黑" w:cs="微软雅黑"/>
          <w:b/>
          <w:color w:val="auto"/>
          <w:kern w:val="2"/>
          <w:sz w:val="44"/>
          <w:szCs w:val="44"/>
          <w:highlight w:val="none"/>
          <w:lang w:val="en-US" w:eastAsia="zh-CN" w:bidi="ar-SA"/>
        </w:rPr>
      </w:pPr>
    </w:p>
    <w:p w14:paraId="0F9DBCAE">
      <w:pPr>
        <w:spacing w:line="240" w:lineRule="atLeast"/>
        <w:jc w:val="center"/>
        <w:rPr>
          <w:rFonts w:hint="eastAsia" w:ascii="微软雅黑" w:hAnsi="微软雅黑" w:eastAsia="微软雅黑" w:cs="微软雅黑"/>
          <w:b/>
          <w:color w:val="auto"/>
          <w:kern w:val="2"/>
          <w:sz w:val="44"/>
          <w:szCs w:val="44"/>
          <w:highlight w:val="none"/>
          <w:lang w:val="en-US" w:eastAsia="zh-CN" w:bidi="ar-SA"/>
        </w:rPr>
      </w:pPr>
      <w:r>
        <w:rPr>
          <w:rFonts w:hint="eastAsia" w:ascii="微软雅黑" w:hAnsi="微软雅黑" w:eastAsia="微软雅黑" w:cs="微软雅黑"/>
          <w:b/>
          <w:color w:val="auto"/>
          <w:kern w:val="2"/>
          <w:sz w:val="44"/>
          <w:szCs w:val="44"/>
          <w:highlight w:val="none"/>
          <w:lang w:val="en-US" w:eastAsia="zh-CN" w:bidi="ar-SA"/>
        </w:rPr>
        <w:t>招标文件</w:t>
      </w:r>
    </w:p>
    <w:p w14:paraId="35084E39">
      <w:pPr>
        <w:spacing w:line="240" w:lineRule="atLeast"/>
        <w:jc w:val="both"/>
        <w:rPr>
          <w:rFonts w:hint="eastAsia" w:ascii="微软雅黑" w:hAnsi="微软雅黑" w:eastAsia="微软雅黑" w:cs="微软雅黑"/>
          <w:b/>
          <w:bCs/>
          <w:color w:val="auto"/>
          <w:kern w:val="0"/>
          <w:sz w:val="28"/>
          <w:szCs w:val="28"/>
          <w:highlight w:val="none"/>
          <w:shd w:val="clear" w:color="auto" w:fill="FFFFFF"/>
          <w:lang w:eastAsia="zh-CN"/>
        </w:rPr>
      </w:pPr>
    </w:p>
    <w:p w14:paraId="56F9F417">
      <w:pPr>
        <w:spacing w:line="240" w:lineRule="atLeast"/>
        <w:jc w:val="center"/>
        <w:rPr>
          <w:rFonts w:hint="eastAsia" w:ascii="微软雅黑" w:hAnsi="微软雅黑" w:eastAsia="微软雅黑" w:cs="微软雅黑"/>
          <w:b/>
          <w:bCs/>
          <w:color w:val="auto"/>
          <w:kern w:val="0"/>
          <w:sz w:val="28"/>
          <w:szCs w:val="28"/>
          <w:highlight w:val="none"/>
          <w:shd w:val="clear" w:color="auto" w:fill="FFFFFF"/>
          <w:lang w:val="en-US" w:eastAsia="zh-CN"/>
        </w:rPr>
      </w:pPr>
      <w:r>
        <w:rPr>
          <w:rFonts w:hint="eastAsia" w:ascii="微软雅黑" w:hAnsi="微软雅黑" w:eastAsia="微软雅黑" w:cs="微软雅黑"/>
          <w:b/>
          <w:bCs/>
          <w:color w:val="auto"/>
          <w:kern w:val="0"/>
          <w:sz w:val="28"/>
          <w:szCs w:val="28"/>
          <w:highlight w:val="none"/>
          <w:shd w:val="clear" w:color="auto" w:fill="FFFFFF"/>
          <w:lang w:eastAsia="zh-CN"/>
        </w:rPr>
        <w:t>项目编号：</w:t>
      </w:r>
      <w:r>
        <w:rPr>
          <w:rFonts w:hint="eastAsia" w:ascii="微软雅黑" w:hAnsi="微软雅黑" w:eastAsia="微软雅黑" w:cs="微软雅黑"/>
          <w:b/>
          <w:bCs/>
          <w:color w:val="auto"/>
          <w:kern w:val="0"/>
          <w:sz w:val="28"/>
          <w:szCs w:val="28"/>
          <w:highlight w:val="none"/>
          <w:shd w:val="clear" w:color="auto" w:fill="FFFFFF"/>
          <w:lang w:val="en-US" w:eastAsia="zh-CN"/>
        </w:rPr>
        <w:t>XJXZJCG2026-001</w:t>
      </w:r>
    </w:p>
    <w:p w14:paraId="1E5F474E">
      <w:pPr>
        <w:rPr>
          <w:rFonts w:hint="eastAsia" w:ascii="微软雅黑" w:hAnsi="微软雅黑" w:eastAsia="微软雅黑" w:cs="微软雅黑"/>
          <w:color w:val="auto"/>
          <w:sz w:val="20"/>
          <w:szCs w:val="22"/>
          <w:highlight w:val="none"/>
        </w:rPr>
      </w:pPr>
    </w:p>
    <w:p w14:paraId="578B9A0B">
      <w:pPr>
        <w:pStyle w:val="7"/>
        <w:rPr>
          <w:rFonts w:hint="eastAsia" w:ascii="微软雅黑" w:hAnsi="微软雅黑" w:eastAsia="微软雅黑" w:cs="微软雅黑"/>
          <w:color w:val="auto"/>
          <w:sz w:val="22"/>
          <w:szCs w:val="18"/>
          <w:highlight w:val="none"/>
        </w:rPr>
      </w:pPr>
    </w:p>
    <w:p w14:paraId="7CBCBA59">
      <w:pPr>
        <w:pStyle w:val="7"/>
        <w:rPr>
          <w:rFonts w:hint="eastAsia" w:ascii="微软雅黑" w:hAnsi="微软雅黑" w:eastAsia="微软雅黑" w:cs="微软雅黑"/>
          <w:color w:val="auto"/>
          <w:sz w:val="22"/>
          <w:szCs w:val="18"/>
          <w:highlight w:val="none"/>
        </w:rPr>
      </w:pPr>
    </w:p>
    <w:p w14:paraId="1B116FCA">
      <w:pPr>
        <w:spacing w:line="240" w:lineRule="atLeast"/>
        <w:jc w:val="center"/>
        <w:rPr>
          <w:rFonts w:hint="eastAsia" w:ascii="微软雅黑" w:hAnsi="微软雅黑" w:eastAsia="微软雅黑" w:cs="微软雅黑"/>
          <w:b/>
          <w:color w:val="auto"/>
          <w:kern w:val="2"/>
          <w:sz w:val="48"/>
          <w:szCs w:val="48"/>
          <w:highlight w:val="none"/>
          <w:lang w:val="en-US" w:eastAsia="zh-CN" w:bidi="ar-SA"/>
        </w:rPr>
        <w:sectPr>
          <w:headerReference r:id="rId35" w:type="default"/>
          <w:footerReference r:id="rId36" w:type="default"/>
          <w:pgSz w:w="11906" w:h="16838"/>
          <w:pgMar w:top="1440" w:right="1080" w:bottom="1440" w:left="1080" w:header="851" w:footer="992" w:gutter="0"/>
          <w:pgNumType w:fmt="decimal"/>
          <w:cols w:space="720" w:num="1"/>
          <w:docGrid w:type="linesAndChars" w:linePitch="312" w:charSpace="0"/>
        </w:sectPr>
      </w:pPr>
      <w:r>
        <w:rPr>
          <w:rFonts w:hint="eastAsia" w:ascii="微软雅黑" w:hAnsi="微软雅黑" w:eastAsia="微软雅黑" w:cs="微软雅黑"/>
          <w:b/>
          <w:color w:val="auto"/>
          <w:kern w:val="2"/>
          <w:sz w:val="44"/>
          <w:szCs w:val="44"/>
          <w:highlight w:val="none"/>
          <w:lang w:val="en-US" w:eastAsia="zh-CN" w:bidi="ar-SA"/>
        </w:rPr>
        <w:t>第三册</w:t>
      </w:r>
    </w:p>
    <w:p w14:paraId="39900C5E">
      <w:pPr>
        <w:pStyle w:val="2"/>
        <w:numPr>
          <w:ilvl w:val="0"/>
          <w:numId w:val="0"/>
        </w:numPr>
        <w:tabs>
          <w:tab w:val="left" w:pos="0"/>
        </w:tabs>
        <w:spacing w:before="0" w:after="0" w:line="240" w:lineRule="atLeast"/>
        <w:ind w:leftChars="0"/>
        <w:jc w:val="center"/>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color w:val="auto"/>
          <w:sz w:val="32"/>
          <w:szCs w:val="32"/>
          <w:highlight w:val="none"/>
          <w:lang w:val="en-US" w:eastAsia="zh-CN"/>
        </w:rPr>
        <w:t>第7章   政府采购合同</w:t>
      </w:r>
      <w:bookmarkEnd w:id="454"/>
      <w:bookmarkEnd w:id="466"/>
      <w:bookmarkEnd w:id="467"/>
      <w:bookmarkEnd w:id="468"/>
      <w:bookmarkStart w:id="469" w:name="_Hlt487972895"/>
      <w:bookmarkEnd w:id="469"/>
      <w:bookmarkStart w:id="470" w:name="_Toc216513788"/>
      <w:bookmarkStart w:id="471" w:name="_Toc487900382"/>
    </w:p>
    <w:bookmarkEnd w:id="470"/>
    <w:bookmarkEnd w:id="471"/>
    <w:p w14:paraId="328E452E">
      <w:pPr>
        <w:pStyle w:val="7"/>
        <w:spacing w:line="240" w:lineRule="atLeast"/>
        <w:ind w:left="1080" w:leftChars="257" w:hanging="540"/>
        <w:rPr>
          <w:rFonts w:hint="eastAsia" w:ascii="微软雅黑" w:hAnsi="微软雅黑" w:eastAsia="微软雅黑" w:cs="微软雅黑"/>
          <w:color w:val="auto"/>
          <w:sz w:val="28"/>
          <w:szCs w:val="28"/>
          <w:highlight w:val="none"/>
        </w:rPr>
      </w:pPr>
    </w:p>
    <w:bookmarkEnd w:id="0"/>
    <w:bookmarkEnd w:id="14"/>
    <w:bookmarkEnd w:id="15"/>
    <w:bookmarkEnd w:id="16"/>
    <w:bookmarkEnd w:id="17"/>
    <w:bookmarkEnd w:id="18"/>
    <w:bookmarkEnd w:id="19"/>
    <w:bookmarkEnd w:id="20"/>
    <w:bookmarkEnd w:id="21"/>
    <w:bookmarkEnd w:id="22"/>
    <w:p w14:paraId="1CAC6652">
      <w:pPr>
        <w:pStyle w:val="7"/>
        <w:spacing w:line="240" w:lineRule="atLeast"/>
        <w:ind w:firstLine="0"/>
        <w:rPr>
          <w:rFonts w:hint="eastAsia" w:ascii="微软雅黑" w:hAnsi="微软雅黑" w:eastAsia="微软雅黑" w:cs="微软雅黑"/>
          <w:color w:val="auto"/>
          <w:sz w:val="24"/>
          <w:szCs w:val="24"/>
          <w:highlight w:val="none"/>
        </w:rPr>
      </w:pPr>
    </w:p>
    <w:p w14:paraId="7C9C14D0">
      <w:pPr>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合同编号：</w:t>
      </w:r>
      <w:r>
        <w:rPr>
          <w:rFonts w:hint="eastAsia" w:ascii="微软雅黑" w:hAnsi="微软雅黑" w:eastAsia="微软雅黑" w:cs="微软雅黑"/>
          <w:color w:val="auto"/>
          <w:sz w:val="24"/>
          <w:szCs w:val="24"/>
          <w:highlight w:val="none"/>
          <w:u w:val="single"/>
        </w:rPr>
        <w:t xml:space="preserve">           </w:t>
      </w:r>
    </w:p>
    <w:p w14:paraId="02C3D3C7">
      <w:pPr>
        <w:spacing w:line="480" w:lineRule="auto"/>
        <w:jc w:val="both"/>
        <w:rPr>
          <w:rFonts w:hint="eastAsia" w:ascii="微软雅黑" w:hAnsi="微软雅黑" w:eastAsia="微软雅黑" w:cs="微软雅黑"/>
          <w:b/>
          <w:color w:val="auto"/>
          <w:sz w:val="24"/>
          <w:szCs w:val="24"/>
          <w:highlight w:val="none"/>
        </w:rPr>
      </w:pPr>
    </w:p>
    <w:p w14:paraId="571DF875">
      <w:pPr>
        <w:spacing w:line="480" w:lineRule="auto"/>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政府采购合同参考范本</w:t>
      </w:r>
    </w:p>
    <w:p w14:paraId="5895C9BF">
      <w:pPr>
        <w:spacing w:line="480" w:lineRule="auto"/>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（服务类）</w:t>
      </w:r>
    </w:p>
    <w:p w14:paraId="6A367220">
      <w:pPr>
        <w:pStyle w:val="66"/>
        <w:ind w:firstLine="0"/>
        <w:rPr>
          <w:rFonts w:hint="eastAsia" w:ascii="微软雅黑" w:hAnsi="微软雅黑" w:eastAsia="微软雅黑" w:cs="微软雅黑"/>
          <w:color w:val="auto"/>
          <w:sz w:val="24"/>
          <w:szCs w:val="24"/>
          <w:highlight w:val="none"/>
        </w:rPr>
      </w:pPr>
    </w:p>
    <w:p w14:paraId="1F66A05B">
      <w:pPr>
        <w:pStyle w:val="66"/>
        <w:ind w:firstLine="0"/>
        <w:rPr>
          <w:rFonts w:hint="eastAsia" w:ascii="微软雅黑" w:hAnsi="微软雅黑" w:eastAsia="微软雅黑" w:cs="微软雅黑"/>
          <w:color w:val="auto"/>
          <w:sz w:val="24"/>
          <w:szCs w:val="24"/>
          <w:highlight w:val="none"/>
        </w:rPr>
      </w:pPr>
    </w:p>
    <w:p w14:paraId="363B901D">
      <w:pPr>
        <w:pStyle w:val="66"/>
        <w:ind w:firstLine="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第一部分 合同书</w:t>
      </w:r>
    </w:p>
    <w:p w14:paraId="5CB3105C">
      <w:pPr>
        <w:pStyle w:val="66"/>
        <w:ind w:firstLine="0"/>
        <w:rPr>
          <w:rFonts w:hint="eastAsia" w:ascii="微软雅黑" w:hAnsi="微软雅黑" w:eastAsia="微软雅黑" w:cs="微软雅黑"/>
          <w:color w:val="auto"/>
          <w:sz w:val="24"/>
          <w:szCs w:val="24"/>
          <w:highlight w:val="none"/>
        </w:rPr>
      </w:pPr>
    </w:p>
    <w:p w14:paraId="027E8123">
      <w:pPr>
        <w:spacing w:before="120" w:line="22" w:lineRule="atLeast"/>
        <w:rPr>
          <w:rFonts w:hint="eastAsia" w:ascii="微软雅黑" w:hAnsi="微软雅黑" w:eastAsia="微软雅黑" w:cs="微软雅黑"/>
          <w:color w:val="auto"/>
          <w:sz w:val="24"/>
          <w:szCs w:val="24"/>
          <w:highlight w:val="none"/>
        </w:rPr>
      </w:pPr>
    </w:p>
    <w:p w14:paraId="22211A8D">
      <w:pPr>
        <w:spacing w:before="120" w:line="22" w:lineRule="atLeast"/>
        <w:ind w:left="9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71091650">
      <w:pPr>
        <w:pStyle w:val="76"/>
        <w:spacing w:before="120" w:line="22" w:lineRule="atLeast"/>
        <w:rPr>
          <w:rFonts w:hint="eastAsia" w:ascii="微软雅黑" w:hAnsi="微软雅黑" w:eastAsia="微软雅黑" w:cs="微软雅黑"/>
          <w:color w:val="auto"/>
          <w:sz w:val="24"/>
          <w:szCs w:val="24"/>
          <w:highlight w:val="none"/>
        </w:rPr>
      </w:pPr>
    </w:p>
    <w:p w14:paraId="2F45CD04">
      <w:pPr>
        <w:rPr>
          <w:rFonts w:hint="eastAsia" w:ascii="微软雅黑" w:hAnsi="微软雅黑" w:eastAsia="微软雅黑" w:cs="微软雅黑"/>
          <w:color w:val="auto"/>
          <w:sz w:val="24"/>
          <w:szCs w:val="24"/>
          <w:highlight w:val="none"/>
        </w:rPr>
      </w:pPr>
    </w:p>
    <w:p w14:paraId="081AB450">
      <w:pPr>
        <w:spacing w:before="120" w:line="22" w:lineRule="atLeas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14:paraId="19512F7D">
      <w:pPr>
        <w:spacing w:before="120" w:line="22" w:lineRule="atLeast"/>
        <w:rPr>
          <w:rFonts w:hint="eastAsia" w:ascii="微软雅黑" w:hAnsi="微软雅黑" w:eastAsia="微软雅黑" w:cs="微软雅黑"/>
          <w:color w:val="auto"/>
          <w:sz w:val="24"/>
          <w:szCs w:val="24"/>
          <w:highlight w:val="none"/>
        </w:rPr>
      </w:pPr>
    </w:p>
    <w:p w14:paraId="135F253B">
      <w:pPr>
        <w:spacing w:before="120" w:line="22" w:lineRule="atLeas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14:paraId="66447746">
      <w:pPr>
        <w:spacing w:before="120" w:line="22" w:lineRule="atLeast"/>
        <w:rPr>
          <w:rFonts w:hint="eastAsia" w:ascii="微软雅黑" w:hAnsi="微软雅黑" w:eastAsia="微软雅黑" w:cs="微软雅黑"/>
          <w:color w:val="auto"/>
          <w:sz w:val="24"/>
          <w:szCs w:val="24"/>
          <w:highlight w:val="none"/>
        </w:rPr>
      </w:pPr>
    </w:p>
    <w:p w14:paraId="15648897">
      <w:pPr>
        <w:spacing w:before="120" w:line="22" w:lineRule="atLeas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14:paraId="1E5880F4">
      <w:pPr>
        <w:spacing w:before="120" w:line="22" w:lineRule="atLeast"/>
        <w:rPr>
          <w:rFonts w:hint="eastAsia" w:ascii="微软雅黑" w:hAnsi="微软雅黑" w:eastAsia="微软雅黑" w:cs="微软雅黑"/>
          <w:color w:val="auto"/>
          <w:sz w:val="24"/>
          <w:szCs w:val="24"/>
          <w:highlight w:val="none"/>
        </w:rPr>
      </w:pPr>
    </w:p>
    <w:p w14:paraId="48BF306B">
      <w:pPr>
        <w:spacing w:before="120" w:line="22" w:lineRule="atLeas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45AD1E1C">
      <w:pPr>
        <w:autoSpaceDE w:val="0"/>
        <w:autoSpaceDN w:val="0"/>
        <w:adjustRightInd w:val="0"/>
        <w:spacing w:line="600" w:lineRule="exact"/>
        <w:ind w:firstLine="640"/>
        <w:jc w:val="center"/>
        <w:rPr>
          <w:rFonts w:hint="eastAsia" w:ascii="微软雅黑" w:hAnsi="微软雅黑" w:eastAsia="微软雅黑" w:cs="微软雅黑"/>
          <w:color w:val="auto"/>
          <w:sz w:val="24"/>
          <w:szCs w:val="24"/>
          <w:highlight w:val="none"/>
        </w:rPr>
        <w:sectPr>
          <w:pgSz w:w="11907" w:h="16840"/>
          <w:pgMar w:top="1134" w:right="1417" w:bottom="1134" w:left="1417" w:header="851" w:footer="850" w:gutter="0"/>
          <w:pgNumType w:fmt="decimal"/>
          <w:cols w:space="720" w:num="1"/>
          <w:rtlGutter w:val="0"/>
          <w:docGrid w:linePitch="462" w:charSpace="0"/>
        </w:sectPr>
      </w:pPr>
    </w:p>
    <w:p w14:paraId="77EF8B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（采购人名称）</w:t>
      </w:r>
      <w:r>
        <w:rPr>
          <w:rFonts w:hint="eastAsia" w:ascii="微软雅黑" w:hAnsi="微软雅黑" w:eastAsia="微软雅黑" w:cs="微软雅黑"/>
          <w:color w:val="auto"/>
          <w:sz w:val="24"/>
          <w:highlight w:val="none"/>
        </w:rPr>
        <w:t>以</w:t>
      </w:r>
      <w:r>
        <w:rPr>
          <w:rFonts w:hint="eastAsia" w:ascii="微软雅黑" w:hAnsi="微软雅黑" w:eastAsia="微软雅黑" w:cs="微软雅黑"/>
          <w:color w:val="auto"/>
          <w:sz w:val="24"/>
          <w:highlight w:val="none"/>
          <w:u w:val="single"/>
        </w:rPr>
        <w:t>（政府采购方式）</w:t>
      </w:r>
      <w:r>
        <w:rPr>
          <w:rFonts w:hint="eastAsia" w:ascii="微软雅黑" w:hAnsi="微软雅黑" w:eastAsia="微软雅黑" w:cs="微软雅黑"/>
          <w:color w:val="auto"/>
          <w:sz w:val="24"/>
          <w:highlight w:val="none"/>
        </w:rPr>
        <w:t>对</w:t>
      </w:r>
      <w:r>
        <w:rPr>
          <w:rFonts w:hint="eastAsia" w:ascii="微软雅黑" w:hAnsi="微软雅黑" w:eastAsia="微软雅黑" w:cs="微软雅黑"/>
          <w:color w:val="auto"/>
          <w:sz w:val="24"/>
          <w:highlight w:val="none"/>
          <w:u w:val="single"/>
        </w:rPr>
        <w:t>（同前页项目名称）</w:t>
      </w:r>
      <w:r>
        <w:rPr>
          <w:rFonts w:hint="eastAsia" w:ascii="微软雅黑" w:hAnsi="微软雅黑" w:eastAsia="微软雅黑" w:cs="微软雅黑"/>
          <w:color w:val="auto"/>
          <w:sz w:val="24"/>
          <w:highlight w:val="none"/>
        </w:rPr>
        <w:t>项目进行了采购。经</w:t>
      </w:r>
      <w:r>
        <w:rPr>
          <w:rFonts w:hint="eastAsia" w:ascii="微软雅黑" w:hAnsi="微软雅黑" w:eastAsia="微软雅黑" w:cs="微软雅黑"/>
          <w:color w:val="auto"/>
          <w:sz w:val="24"/>
          <w:highlight w:val="none"/>
          <w:u w:val="single"/>
        </w:rPr>
        <w:t>（相关评定主体名称）</w:t>
      </w:r>
      <w:r>
        <w:rPr>
          <w:rFonts w:hint="eastAsia" w:ascii="微软雅黑" w:hAnsi="微软雅黑" w:eastAsia="微软雅黑" w:cs="微软雅黑"/>
          <w:color w:val="auto"/>
          <w:sz w:val="24"/>
          <w:highlight w:val="none"/>
        </w:rPr>
        <w:t>评定，</w:t>
      </w:r>
      <w:r>
        <w:rPr>
          <w:rFonts w:hint="eastAsia" w:ascii="微软雅黑" w:hAnsi="微软雅黑" w:eastAsia="微软雅黑" w:cs="微软雅黑"/>
          <w:color w:val="auto"/>
          <w:sz w:val="24"/>
          <w:highlight w:val="none"/>
          <w:u w:val="single"/>
        </w:rPr>
        <w:t>（中标供应商名称）</w:t>
      </w:r>
      <w:r>
        <w:rPr>
          <w:rFonts w:hint="eastAsia" w:ascii="微软雅黑" w:hAnsi="微软雅黑" w:eastAsia="微软雅黑" w:cs="微软雅黑"/>
          <w:color w:val="auto"/>
          <w:sz w:val="24"/>
          <w:highlight w:val="none"/>
        </w:rPr>
        <w:t>为该项目中标供应商。现于</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发出之日起三十日内，按照采购文件确定的事项签订本合同。</w:t>
      </w:r>
    </w:p>
    <w:p w14:paraId="724C61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根据《中华人民共和国</w:t>
      </w:r>
      <w:r>
        <w:rPr>
          <w:rFonts w:hint="eastAsia" w:ascii="微软雅黑" w:hAnsi="微软雅黑" w:eastAsia="微软雅黑" w:cs="微软雅黑"/>
          <w:color w:val="auto"/>
          <w:sz w:val="24"/>
          <w:highlight w:val="none"/>
          <w:lang w:val="en-US" w:eastAsia="zh-CN"/>
        </w:rPr>
        <w:t>民法典</w:t>
      </w:r>
      <w:r>
        <w:rPr>
          <w:rFonts w:hint="eastAsia" w:ascii="微软雅黑" w:hAnsi="微软雅黑" w:eastAsia="微软雅黑" w:cs="微软雅黑"/>
          <w:color w:val="auto"/>
          <w:sz w:val="24"/>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 w:val="24"/>
          <w:highlight w:val="none"/>
          <w:u w:val="single"/>
        </w:rPr>
        <w:t>（采购人名称）</w:t>
      </w:r>
      <w:r>
        <w:rPr>
          <w:rFonts w:hint="eastAsia" w:ascii="微软雅黑" w:hAnsi="微软雅黑" w:eastAsia="微软雅黑" w:cs="微软雅黑"/>
          <w:color w:val="auto"/>
          <w:sz w:val="24"/>
          <w:highlight w:val="none"/>
          <w:lang w:val="zh-CN"/>
        </w:rPr>
        <w:t>(以下简称：甲方)和</w:t>
      </w:r>
      <w:r>
        <w:rPr>
          <w:rFonts w:hint="eastAsia" w:ascii="微软雅黑" w:hAnsi="微软雅黑" w:eastAsia="微软雅黑" w:cs="微软雅黑"/>
          <w:color w:val="auto"/>
          <w:sz w:val="24"/>
          <w:highlight w:val="none"/>
          <w:u w:val="single"/>
        </w:rPr>
        <w:t>（中标供应商名称）</w:t>
      </w:r>
      <w:r>
        <w:rPr>
          <w:rFonts w:hint="eastAsia" w:ascii="微软雅黑" w:hAnsi="微软雅黑" w:eastAsia="微软雅黑" w:cs="微软雅黑"/>
          <w:color w:val="auto"/>
          <w:sz w:val="24"/>
          <w:highlight w:val="none"/>
          <w:lang w:val="zh-CN"/>
        </w:rPr>
        <w:t>(以下简称：乙方)协商一致，约定以下合同</w:t>
      </w:r>
      <w:r>
        <w:rPr>
          <w:rFonts w:hint="eastAsia" w:ascii="微软雅黑" w:hAnsi="微软雅黑" w:eastAsia="微软雅黑" w:cs="微软雅黑"/>
          <w:color w:val="auto"/>
          <w:sz w:val="24"/>
          <w:highlight w:val="none"/>
        </w:rPr>
        <w:t>条款，以兹共同遵守、全面履行。</w:t>
      </w:r>
    </w:p>
    <w:p w14:paraId="1E0F3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color w:val="auto"/>
          <w:sz w:val="24"/>
          <w:highlight w:val="none"/>
        </w:rPr>
      </w:pPr>
      <w:bookmarkStart w:id="472" w:name="_Toc31288"/>
      <w:bookmarkStart w:id="473" w:name="_Toc20421"/>
      <w:bookmarkStart w:id="474" w:name="_Toc4603"/>
      <w:bookmarkStart w:id="475" w:name="_Toc19273"/>
      <w:bookmarkStart w:id="476" w:name="_Toc28855"/>
      <w:bookmarkStart w:id="477" w:name="_Toc22967"/>
      <w:bookmarkStart w:id="478" w:name="_Toc15367"/>
      <w:bookmarkStart w:id="479" w:name="_Toc29084"/>
      <w:r>
        <w:rPr>
          <w:rFonts w:hint="eastAsia" w:ascii="微软雅黑" w:hAnsi="微软雅黑" w:eastAsia="微软雅黑" w:cs="微软雅黑"/>
          <w:b/>
          <w:color w:val="auto"/>
          <w:sz w:val="24"/>
          <w:highlight w:val="none"/>
        </w:rPr>
        <w:t>1.1 合同组成部分</w:t>
      </w:r>
      <w:bookmarkEnd w:id="472"/>
      <w:bookmarkEnd w:id="473"/>
      <w:bookmarkEnd w:id="474"/>
      <w:bookmarkEnd w:id="475"/>
      <w:bookmarkEnd w:id="476"/>
      <w:bookmarkEnd w:id="477"/>
      <w:bookmarkEnd w:id="478"/>
      <w:bookmarkEnd w:id="479"/>
    </w:p>
    <w:p w14:paraId="206C64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A48FB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 本合同及其补充合同、变更协议；</w:t>
      </w:r>
    </w:p>
    <w:p w14:paraId="7F8E09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1.1.2 </w:t>
      </w:r>
      <w:r>
        <w:rPr>
          <w:rFonts w:hint="eastAsia" w:ascii="微软雅黑" w:hAnsi="微软雅黑" w:eastAsia="微软雅黑" w:cs="微软雅黑"/>
          <w:color w:val="auto"/>
          <w:sz w:val="24"/>
          <w:highlight w:val="none"/>
          <w:lang w:eastAsia="zh-CN"/>
        </w:rPr>
        <w:t>成交通知书</w:t>
      </w:r>
      <w:r>
        <w:rPr>
          <w:rFonts w:hint="eastAsia" w:ascii="微软雅黑" w:hAnsi="微软雅黑" w:eastAsia="微软雅黑" w:cs="微软雅黑"/>
          <w:color w:val="auto"/>
          <w:sz w:val="24"/>
          <w:highlight w:val="none"/>
        </w:rPr>
        <w:t>；</w:t>
      </w:r>
    </w:p>
    <w:p w14:paraId="7ED9D5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1.1.3 </w:t>
      </w:r>
      <w:r>
        <w:rPr>
          <w:rFonts w:hint="eastAsia" w:ascii="微软雅黑" w:hAnsi="微软雅黑" w:eastAsia="微软雅黑" w:cs="微软雅黑"/>
          <w:color w:val="auto"/>
          <w:sz w:val="24"/>
          <w:highlight w:val="none"/>
          <w:lang w:eastAsia="zh-CN"/>
        </w:rPr>
        <w:t>响应文件</w:t>
      </w:r>
      <w:r>
        <w:rPr>
          <w:rFonts w:hint="eastAsia" w:ascii="微软雅黑" w:hAnsi="微软雅黑" w:eastAsia="微软雅黑" w:cs="微软雅黑"/>
          <w:color w:val="auto"/>
          <w:sz w:val="24"/>
          <w:highlight w:val="none"/>
        </w:rPr>
        <w:t>（含澄清或者说明文件）；</w:t>
      </w:r>
    </w:p>
    <w:p w14:paraId="0D08FF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1.1.4 </w:t>
      </w:r>
      <w:r>
        <w:rPr>
          <w:rFonts w:hint="eastAsia" w:ascii="微软雅黑" w:hAnsi="微软雅黑" w:eastAsia="微软雅黑" w:cs="微软雅黑"/>
          <w:color w:val="auto"/>
          <w:sz w:val="24"/>
          <w:highlight w:val="none"/>
          <w:lang w:eastAsia="zh-CN"/>
        </w:rPr>
        <w:t>磋商文件</w:t>
      </w:r>
      <w:r>
        <w:rPr>
          <w:rFonts w:hint="eastAsia" w:ascii="微软雅黑" w:hAnsi="微软雅黑" w:eastAsia="微软雅黑" w:cs="微软雅黑"/>
          <w:color w:val="auto"/>
          <w:sz w:val="24"/>
          <w:highlight w:val="none"/>
        </w:rPr>
        <w:t>（含澄清或者修改文件）；</w:t>
      </w:r>
    </w:p>
    <w:p w14:paraId="1184D5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 其他相关采购文件。</w:t>
      </w:r>
    </w:p>
    <w:p w14:paraId="5729BB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b/>
          <w:color w:val="auto"/>
          <w:sz w:val="24"/>
          <w:highlight w:val="none"/>
        </w:rPr>
      </w:pPr>
      <w:bookmarkStart w:id="480" w:name="_Toc22185"/>
      <w:bookmarkStart w:id="481" w:name="_Toc14741"/>
      <w:bookmarkStart w:id="482" w:name="_Toc18585"/>
      <w:bookmarkStart w:id="483" w:name="_Toc2918"/>
      <w:bookmarkStart w:id="484" w:name="_Toc15432"/>
      <w:bookmarkStart w:id="485" w:name="_Toc6311"/>
      <w:bookmarkStart w:id="486" w:name="_Toc25365"/>
      <w:bookmarkStart w:id="487" w:name="_Toc6773"/>
      <w:r>
        <w:rPr>
          <w:rFonts w:hint="eastAsia" w:ascii="微软雅黑" w:hAnsi="微软雅黑" w:eastAsia="微软雅黑" w:cs="微软雅黑"/>
          <w:b/>
          <w:color w:val="auto"/>
          <w:sz w:val="24"/>
          <w:highlight w:val="none"/>
        </w:rPr>
        <w:t>1.2 标的</w:t>
      </w:r>
      <w:bookmarkEnd w:id="480"/>
      <w:bookmarkEnd w:id="481"/>
      <w:bookmarkEnd w:id="482"/>
      <w:bookmarkEnd w:id="483"/>
      <w:bookmarkEnd w:id="484"/>
      <w:bookmarkEnd w:id="485"/>
      <w:bookmarkEnd w:id="486"/>
      <w:bookmarkEnd w:id="487"/>
    </w:p>
    <w:p w14:paraId="27D9FA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1.2.1 标的名称：；</w:t>
      </w:r>
    </w:p>
    <w:p w14:paraId="169AE8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1.2.2 标的数量：；</w:t>
      </w:r>
    </w:p>
    <w:p w14:paraId="42B388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 标的质量：</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w:t>
      </w:r>
    </w:p>
    <w:p w14:paraId="480ECA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b/>
          <w:color w:val="auto"/>
          <w:sz w:val="24"/>
          <w:highlight w:val="none"/>
        </w:rPr>
      </w:pPr>
      <w:bookmarkStart w:id="488" w:name="_Toc5635"/>
      <w:bookmarkStart w:id="489" w:name="_Toc1386"/>
      <w:bookmarkStart w:id="490" w:name="_Toc21124"/>
      <w:bookmarkStart w:id="491" w:name="_Toc31647"/>
      <w:bookmarkStart w:id="492" w:name="_Toc15826"/>
      <w:bookmarkStart w:id="493" w:name="_Toc13918"/>
      <w:bookmarkStart w:id="494" w:name="_Toc4929"/>
      <w:bookmarkStart w:id="495" w:name="_Toc1579"/>
      <w:r>
        <w:rPr>
          <w:rFonts w:hint="eastAsia" w:ascii="微软雅黑" w:hAnsi="微软雅黑" w:eastAsia="微软雅黑" w:cs="微软雅黑"/>
          <w:b/>
          <w:color w:val="auto"/>
          <w:sz w:val="24"/>
          <w:highlight w:val="none"/>
        </w:rPr>
        <w:t>1.3 价款</w:t>
      </w:r>
      <w:bookmarkEnd w:id="488"/>
      <w:bookmarkEnd w:id="489"/>
      <w:bookmarkEnd w:id="490"/>
      <w:bookmarkEnd w:id="491"/>
      <w:bookmarkEnd w:id="492"/>
      <w:bookmarkEnd w:id="493"/>
      <w:bookmarkEnd w:id="494"/>
      <w:bookmarkEnd w:id="495"/>
    </w:p>
    <w:p w14:paraId="1641DB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本合同总价为：￥元（大写：元人民币）。</w:t>
      </w:r>
    </w:p>
    <w:p w14:paraId="49125F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分项价格：</w:t>
      </w:r>
    </w:p>
    <w:tbl>
      <w:tblPr>
        <w:tblStyle w:val="3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15"/>
      </w:tblGrid>
      <w:tr w14:paraId="7C2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A9E459C">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3402" w:type="dxa"/>
            <w:vAlign w:val="center"/>
          </w:tcPr>
          <w:p w14:paraId="195BD99D">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分项名称</w:t>
            </w:r>
          </w:p>
        </w:tc>
        <w:tc>
          <w:tcPr>
            <w:tcW w:w="4815" w:type="dxa"/>
            <w:vAlign w:val="center"/>
          </w:tcPr>
          <w:p w14:paraId="15BD1203">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分项价格</w:t>
            </w:r>
          </w:p>
        </w:tc>
      </w:tr>
      <w:tr w14:paraId="1B8D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1DEA83D">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3402" w:type="dxa"/>
            <w:vAlign w:val="center"/>
          </w:tcPr>
          <w:p w14:paraId="27880F7D">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4815" w:type="dxa"/>
            <w:vAlign w:val="center"/>
          </w:tcPr>
          <w:p w14:paraId="1A4678EB">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r>
      <w:tr w14:paraId="6FC8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C35B3F5">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3402" w:type="dxa"/>
            <w:vAlign w:val="center"/>
          </w:tcPr>
          <w:p w14:paraId="4C9ECA99">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4815" w:type="dxa"/>
            <w:vAlign w:val="center"/>
          </w:tcPr>
          <w:p w14:paraId="60CCE440">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r>
      <w:tr w14:paraId="456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8EADDDD">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3402" w:type="dxa"/>
            <w:vAlign w:val="center"/>
          </w:tcPr>
          <w:p w14:paraId="40FC678B">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4815" w:type="dxa"/>
            <w:vAlign w:val="center"/>
          </w:tcPr>
          <w:p w14:paraId="5B002BEB">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r>
      <w:tr w14:paraId="78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F779DC4">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3402" w:type="dxa"/>
            <w:vAlign w:val="center"/>
          </w:tcPr>
          <w:p w14:paraId="7D286294">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c>
          <w:tcPr>
            <w:tcW w:w="4815" w:type="dxa"/>
            <w:vAlign w:val="center"/>
          </w:tcPr>
          <w:p w14:paraId="781ADD41">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r>
      <w:tr w14:paraId="0AB7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A373571">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4815" w:type="dxa"/>
            <w:vAlign w:val="center"/>
          </w:tcPr>
          <w:p w14:paraId="3E2B64AA">
            <w:pPr>
              <w:pStyle w:val="5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200"/>
              <w:jc w:val="center"/>
              <w:textAlignment w:val="auto"/>
              <w:rPr>
                <w:rFonts w:hint="eastAsia" w:ascii="微软雅黑" w:hAnsi="微软雅黑" w:eastAsia="微软雅黑" w:cs="微软雅黑"/>
                <w:color w:val="auto"/>
                <w:sz w:val="24"/>
                <w:szCs w:val="24"/>
                <w:highlight w:val="none"/>
              </w:rPr>
            </w:pPr>
          </w:p>
        </w:tc>
      </w:tr>
    </w:tbl>
    <w:p w14:paraId="1CD134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b/>
          <w:color w:val="auto"/>
          <w:sz w:val="24"/>
          <w:highlight w:val="none"/>
        </w:rPr>
      </w:pPr>
      <w:bookmarkStart w:id="496" w:name="_Toc3654"/>
      <w:bookmarkStart w:id="497" w:name="_Toc30158"/>
      <w:bookmarkStart w:id="498" w:name="_Toc30506"/>
      <w:bookmarkStart w:id="499" w:name="_Toc14963"/>
      <w:bookmarkStart w:id="500" w:name="_Toc5676"/>
      <w:bookmarkStart w:id="501" w:name="_Toc16274"/>
      <w:bookmarkStart w:id="502" w:name="_Toc26916"/>
      <w:bookmarkStart w:id="503" w:name="_Toc14993"/>
      <w:r>
        <w:rPr>
          <w:rFonts w:hint="eastAsia" w:ascii="微软雅黑" w:hAnsi="微软雅黑" w:eastAsia="微软雅黑" w:cs="微软雅黑"/>
          <w:b/>
          <w:color w:val="auto"/>
          <w:sz w:val="24"/>
          <w:highlight w:val="none"/>
        </w:rPr>
        <w:t>1.4 付款方式和发票开具方式</w:t>
      </w:r>
      <w:bookmarkEnd w:id="496"/>
      <w:bookmarkEnd w:id="497"/>
      <w:bookmarkEnd w:id="498"/>
      <w:bookmarkEnd w:id="499"/>
      <w:bookmarkEnd w:id="500"/>
      <w:bookmarkEnd w:id="501"/>
      <w:bookmarkEnd w:id="502"/>
      <w:bookmarkEnd w:id="503"/>
    </w:p>
    <w:p w14:paraId="46F9F0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1.4.1付款方式：；</w:t>
      </w:r>
    </w:p>
    <w:p w14:paraId="6D7658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1.4.2发票开具方式：</w:t>
      </w:r>
    </w:p>
    <w:p w14:paraId="172709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b/>
          <w:color w:val="auto"/>
          <w:sz w:val="24"/>
          <w:highlight w:val="none"/>
        </w:rPr>
      </w:pPr>
      <w:bookmarkStart w:id="504" w:name="_Toc8772"/>
      <w:bookmarkStart w:id="505" w:name="_Toc1294"/>
      <w:bookmarkStart w:id="506" w:name="_Toc30597"/>
      <w:bookmarkStart w:id="507" w:name="_Toc3512"/>
      <w:bookmarkStart w:id="508" w:name="_Toc4760"/>
      <w:bookmarkStart w:id="509" w:name="_Toc3625"/>
      <w:bookmarkStart w:id="510" w:name="_Toc11108"/>
      <w:bookmarkStart w:id="511" w:name="_Toc31421"/>
      <w:r>
        <w:rPr>
          <w:rFonts w:hint="eastAsia" w:ascii="微软雅黑" w:hAnsi="微软雅黑" w:eastAsia="微软雅黑" w:cs="微软雅黑"/>
          <w:b/>
          <w:color w:val="auto"/>
          <w:sz w:val="24"/>
          <w:highlight w:val="none"/>
        </w:rPr>
        <w:t>1.5 履行期限、地点和方式</w:t>
      </w:r>
      <w:bookmarkEnd w:id="504"/>
      <w:bookmarkEnd w:id="505"/>
      <w:bookmarkEnd w:id="506"/>
      <w:bookmarkEnd w:id="507"/>
      <w:bookmarkEnd w:id="508"/>
      <w:bookmarkEnd w:id="509"/>
      <w:bookmarkEnd w:id="510"/>
      <w:bookmarkEnd w:id="511"/>
    </w:p>
    <w:p w14:paraId="2EC306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1.5.1 履行期限：；</w:t>
      </w:r>
    </w:p>
    <w:p w14:paraId="26F591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履行地点：</w:t>
      </w:r>
      <w:r>
        <w:rPr>
          <w:rFonts w:hint="eastAsia" w:ascii="微软雅黑" w:hAnsi="微软雅黑" w:eastAsia="微软雅黑" w:cs="微软雅黑"/>
          <w:color w:val="auto"/>
          <w:sz w:val="24"/>
          <w:highlight w:val="none"/>
          <w:lang w:val="en-US" w:eastAsia="zh-CN"/>
        </w:rPr>
        <w:t>喀什市</w:t>
      </w:r>
      <w:r>
        <w:rPr>
          <w:rFonts w:hint="eastAsia" w:ascii="微软雅黑" w:hAnsi="微软雅黑" w:eastAsia="微软雅黑" w:cs="微软雅黑"/>
          <w:color w:val="auto"/>
          <w:sz w:val="24"/>
          <w:highlight w:val="none"/>
        </w:rPr>
        <w:t>；</w:t>
      </w:r>
    </w:p>
    <w:p w14:paraId="0D1826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 履行方式：</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w:t>
      </w:r>
    </w:p>
    <w:p w14:paraId="501A18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color w:val="auto"/>
          <w:sz w:val="24"/>
          <w:highlight w:val="none"/>
          <w:u w:val="single"/>
        </w:rPr>
      </w:pPr>
      <w:bookmarkStart w:id="512" w:name="_Toc3079"/>
      <w:bookmarkStart w:id="513" w:name="_Toc5698"/>
      <w:bookmarkStart w:id="514" w:name="_Toc8586"/>
      <w:bookmarkStart w:id="515" w:name="_Toc31650"/>
      <w:bookmarkStart w:id="516" w:name="_Toc2375"/>
      <w:bookmarkStart w:id="517" w:name="_Toc27831"/>
      <w:bookmarkStart w:id="518" w:name="_Toc24662"/>
      <w:bookmarkStart w:id="519" w:name="_Toc17245"/>
      <w:r>
        <w:rPr>
          <w:rFonts w:hint="eastAsia" w:ascii="微软雅黑" w:hAnsi="微软雅黑" w:eastAsia="微软雅黑" w:cs="微软雅黑"/>
          <w:b/>
          <w:color w:val="auto"/>
          <w:sz w:val="24"/>
          <w:highlight w:val="none"/>
        </w:rPr>
        <w:t>1.6 违约责任</w:t>
      </w:r>
      <w:bookmarkEnd w:id="512"/>
      <w:bookmarkEnd w:id="513"/>
      <w:bookmarkEnd w:id="514"/>
      <w:bookmarkEnd w:id="515"/>
      <w:bookmarkEnd w:id="516"/>
      <w:bookmarkEnd w:id="517"/>
      <w:bookmarkEnd w:id="518"/>
      <w:bookmarkEnd w:id="519"/>
    </w:p>
    <w:p w14:paraId="0CE595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6C01BD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64F7BC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933C2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25C3B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ADC9A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9D11B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b/>
          <w:color w:val="auto"/>
          <w:sz w:val="24"/>
          <w:highlight w:val="none"/>
        </w:rPr>
      </w:pPr>
      <w:bookmarkStart w:id="520" w:name="_Toc18683"/>
      <w:bookmarkStart w:id="521" w:name="_Toc27922"/>
      <w:bookmarkStart w:id="522" w:name="_Toc30329"/>
      <w:bookmarkStart w:id="523" w:name="_Toc11879"/>
      <w:bookmarkStart w:id="524" w:name="_Toc9497"/>
      <w:bookmarkStart w:id="525" w:name="_Toc26807"/>
      <w:bookmarkStart w:id="526" w:name="_Toc17118"/>
      <w:bookmarkStart w:id="527" w:name="_Toc32454"/>
      <w:r>
        <w:rPr>
          <w:rFonts w:hint="eastAsia" w:ascii="微软雅黑" w:hAnsi="微软雅黑" w:eastAsia="微软雅黑" w:cs="微软雅黑"/>
          <w:b/>
          <w:color w:val="auto"/>
          <w:sz w:val="24"/>
          <w:highlight w:val="none"/>
        </w:rPr>
        <w:t>1.7 合同争议的解决</w:t>
      </w:r>
      <w:bookmarkEnd w:id="520"/>
      <w:bookmarkEnd w:id="521"/>
      <w:bookmarkEnd w:id="522"/>
      <w:bookmarkEnd w:id="523"/>
      <w:bookmarkEnd w:id="524"/>
      <w:bookmarkEnd w:id="525"/>
      <w:bookmarkEnd w:id="526"/>
      <w:bookmarkEnd w:id="527"/>
    </w:p>
    <w:p w14:paraId="423548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本合同履行过程中发生的任何争议，双方当事人均可通过和解或者调解解决；不愿和解、调解或者和解、调解不成的，可以选择下列第种方式解决：</w:t>
      </w:r>
    </w:p>
    <w:p w14:paraId="10BAB6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 将争议提交仲裁委员会依申请仲裁时其现行有效的仲裁规则裁决；</w:t>
      </w:r>
    </w:p>
    <w:p w14:paraId="579DDB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 向</w:t>
      </w:r>
      <w:r>
        <w:rPr>
          <w:rFonts w:hint="eastAsia" w:ascii="微软雅黑" w:hAnsi="微软雅黑" w:eastAsia="微软雅黑" w:cs="微软雅黑"/>
          <w:color w:val="auto"/>
          <w:sz w:val="24"/>
          <w:highlight w:val="none"/>
          <w:u w:val="single"/>
        </w:rPr>
        <w:t>（被告住所地、合同履行地、合同签订地、原告住所地、标的物所在地等与争议有实际联系的地点中选出的人民法院名称）</w:t>
      </w:r>
      <w:r>
        <w:rPr>
          <w:rFonts w:hint="eastAsia" w:ascii="微软雅黑" w:hAnsi="微软雅黑" w:eastAsia="微软雅黑" w:cs="微软雅黑"/>
          <w:color w:val="auto"/>
          <w:sz w:val="24"/>
          <w:highlight w:val="none"/>
        </w:rPr>
        <w:t>人民法院起诉。</w:t>
      </w:r>
    </w:p>
    <w:p w14:paraId="104CA4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微软雅黑" w:hAnsi="微软雅黑" w:eastAsia="微软雅黑" w:cs="微软雅黑"/>
          <w:b/>
          <w:color w:val="auto"/>
          <w:sz w:val="24"/>
          <w:highlight w:val="none"/>
        </w:rPr>
      </w:pPr>
      <w:bookmarkStart w:id="528" w:name="_Toc26346"/>
      <w:bookmarkStart w:id="529" w:name="_Toc26227"/>
      <w:bookmarkStart w:id="530" w:name="_Toc5809"/>
      <w:bookmarkStart w:id="531" w:name="_Toc16417"/>
      <w:bookmarkStart w:id="532" w:name="_Toc29189"/>
      <w:bookmarkStart w:id="533" w:name="_Toc12273"/>
      <w:bookmarkStart w:id="534" w:name="_Toc15827"/>
      <w:bookmarkStart w:id="535" w:name="_Toc23784"/>
      <w:r>
        <w:rPr>
          <w:rFonts w:hint="eastAsia" w:ascii="微软雅黑" w:hAnsi="微软雅黑" w:eastAsia="微软雅黑" w:cs="微软雅黑"/>
          <w:b/>
          <w:color w:val="auto"/>
          <w:sz w:val="24"/>
          <w:highlight w:val="none"/>
        </w:rPr>
        <w:t>1.8 合同生效</w:t>
      </w:r>
      <w:bookmarkEnd w:id="528"/>
      <w:bookmarkEnd w:id="529"/>
      <w:bookmarkEnd w:id="530"/>
      <w:bookmarkEnd w:id="531"/>
      <w:bookmarkEnd w:id="532"/>
      <w:bookmarkEnd w:id="533"/>
      <w:bookmarkEnd w:id="534"/>
      <w:bookmarkEnd w:id="535"/>
    </w:p>
    <w:p w14:paraId="7A294F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color w:val="auto"/>
          <w:sz w:val="24"/>
          <w:highlight w:val="none"/>
        </w:rPr>
        <w:t>本合同自双方当事人盖章或者签字时生效。</w:t>
      </w:r>
    </w:p>
    <w:p w14:paraId="5EF20A62">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p>
    <w:p w14:paraId="7D4F754F">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bookmarkStart w:id="536" w:name="_Toc331685783"/>
      <w:r>
        <w:rPr>
          <w:rFonts w:hint="eastAsia" w:ascii="微软雅黑" w:hAnsi="微软雅黑" w:eastAsia="微软雅黑" w:cs="微软雅黑"/>
          <w:b/>
          <w:color w:val="auto"/>
          <w:sz w:val="24"/>
          <w:highlight w:val="none"/>
          <w:lang w:val="zh-CN"/>
        </w:rPr>
        <w:t>甲方</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b/>
          <w:color w:val="auto"/>
          <w:sz w:val="24"/>
          <w:highlight w:val="none"/>
          <w:lang w:val="zh-CN"/>
        </w:rPr>
        <w:t xml:space="preserve">      乙方</w:t>
      </w:r>
      <w:r>
        <w:rPr>
          <w:rFonts w:hint="eastAsia" w:ascii="微软雅黑" w:hAnsi="微软雅黑" w:eastAsia="微软雅黑" w:cs="微软雅黑"/>
          <w:color w:val="auto"/>
          <w:sz w:val="24"/>
          <w:highlight w:val="none"/>
          <w:lang w:val="zh-CN"/>
        </w:rPr>
        <w:t>：</w:t>
      </w:r>
    </w:p>
    <w:p w14:paraId="0A284C13">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统一社会信用代码：                        统一社会信用代码或身份证号码：</w:t>
      </w:r>
    </w:p>
    <w:p w14:paraId="1DB43CC8">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p>
    <w:p w14:paraId="02176519">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住所：                                   住所：</w:t>
      </w:r>
    </w:p>
    <w:p w14:paraId="4555BCCF">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法定代表人或                             法定代表人</w:t>
      </w:r>
    </w:p>
    <w:p w14:paraId="224475E2">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授权代表（签字）：                        或授权代表（签字）: </w:t>
      </w:r>
    </w:p>
    <w:p w14:paraId="50C46E83">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联系人：                                 联系人：</w:t>
      </w:r>
    </w:p>
    <w:p w14:paraId="61E4A80B">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约定送达地址：                           约定送达地址：</w:t>
      </w:r>
    </w:p>
    <w:p w14:paraId="46E4B4B2">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邮政编码：                               邮政编码：</w:t>
      </w:r>
    </w:p>
    <w:p w14:paraId="018BFE8D">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 xml:space="preserve">电话:                                    电话: </w:t>
      </w:r>
    </w:p>
    <w:p w14:paraId="37C6A90C">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lang w:val="zh-CN"/>
        </w:rPr>
      </w:pPr>
      <w:r>
        <w:rPr>
          <w:rFonts w:hint="eastAsia" w:ascii="微软雅黑" w:hAnsi="微软雅黑" w:eastAsia="微软雅黑" w:cs="微软雅黑"/>
          <w:color w:val="auto"/>
          <w:sz w:val="24"/>
          <w:highlight w:val="none"/>
          <w:lang w:val="zh-CN"/>
        </w:rPr>
        <w:t>传真:                                    传真:</w:t>
      </w:r>
    </w:p>
    <w:p w14:paraId="350B0BFA">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zh-CN"/>
        </w:rPr>
        <w:t>电子邮箱：                               电子邮箱：</w:t>
      </w:r>
    </w:p>
    <w:p w14:paraId="1C1C1FCE">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开户银行：                               开户银行： </w:t>
      </w:r>
    </w:p>
    <w:p w14:paraId="16741123">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开户名称：                               开户名称： </w:t>
      </w:r>
    </w:p>
    <w:p w14:paraId="613FC0C1">
      <w:pPr>
        <w:pageBreakBefore w:val="0"/>
        <w:kinsoku/>
        <w:overflowPunct/>
        <w:autoSpaceDE w:val="0"/>
        <w:autoSpaceDN w:val="0"/>
        <w:bidi w:val="0"/>
        <w:adjustRightInd w:val="0"/>
        <w:snapToGrid w:val="0"/>
        <w:spacing w:line="312"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开户账号：</w:t>
      </w:r>
      <w:r>
        <w:rPr>
          <w:rFonts w:hint="eastAsia" w:ascii="微软雅黑" w:hAnsi="微软雅黑" w:eastAsia="微软雅黑" w:cs="微软雅黑"/>
          <w:color w:val="auto"/>
          <w:sz w:val="24"/>
          <w:highlight w:val="none"/>
          <w:lang w:val="zh-CN"/>
        </w:rPr>
        <w:t xml:space="preserve">                               </w:t>
      </w:r>
      <w:r>
        <w:rPr>
          <w:rFonts w:hint="eastAsia" w:ascii="微软雅黑" w:hAnsi="微软雅黑" w:eastAsia="微软雅黑" w:cs="微软雅黑"/>
          <w:color w:val="auto"/>
          <w:sz w:val="24"/>
          <w:highlight w:val="none"/>
        </w:rPr>
        <w:t>开户账号：</w:t>
      </w:r>
    </w:p>
    <w:p w14:paraId="6FDE7310">
      <w:pPr>
        <w:pageBreakBefore w:val="0"/>
        <w:widowControl/>
        <w:kinsoku/>
        <w:overflowPunct/>
        <w:bidi w:val="0"/>
        <w:snapToGrid w:val="0"/>
        <w:spacing w:line="312" w:lineRule="auto"/>
        <w:jc w:val="left"/>
        <w:rPr>
          <w:rFonts w:hint="eastAsia" w:ascii="微软雅黑" w:hAnsi="微软雅黑" w:eastAsia="微软雅黑" w:cs="微软雅黑"/>
          <w:b/>
          <w:color w:val="auto"/>
          <w:highlight w:val="none"/>
        </w:rPr>
      </w:pPr>
    </w:p>
    <w:p w14:paraId="1A65953E">
      <w:pPr>
        <w:pStyle w:val="2"/>
        <w:pageBreakBefore w:val="0"/>
        <w:kinsoku/>
        <w:overflowPunct/>
        <w:bidi w:val="0"/>
        <w:snapToGrid w:val="0"/>
        <w:spacing w:line="312" w:lineRule="auto"/>
        <w:outlineLvl w:val="9"/>
        <w:rPr>
          <w:rFonts w:hint="eastAsia" w:ascii="微软雅黑" w:hAnsi="微软雅黑" w:eastAsia="微软雅黑" w:cs="微软雅黑"/>
          <w:b/>
          <w:color w:val="auto"/>
          <w:highlight w:val="none"/>
        </w:rPr>
      </w:pPr>
    </w:p>
    <w:p w14:paraId="0F1A95AF">
      <w:pPr>
        <w:pageBreakBefore w:val="0"/>
        <w:kinsoku/>
        <w:overflowPunct/>
        <w:bidi w:val="0"/>
        <w:snapToGrid w:val="0"/>
        <w:spacing w:line="312" w:lineRule="auto"/>
        <w:rPr>
          <w:rFonts w:hint="eastAsia" w:ascii="微软雅黑" w:hAnsi="微软雅黑" w:eastAsia="微软雅黑" w:cs="微软雅黑"/>
          <w:b/>
          <w:color w:val="auto"/>
          <w:highlight w:val="none"/>
        </w:rPr>
      </w:pPr>
    </w:p>
    <w:p w14:paraId="1EFCFAA7">
      <w:pPr>
        <w:pStyle w:val="2"/>
        <w:pageBreakBefore w:val="0"/>
        <w:kinsoku/>
        <w:overflowPunct/>
        <w:bidi w:val="0"/>
        <w:snapToGrid w:val="0"/>
        <w:spacing w:line="312" w:lineRule="auto"/>
        <w:outlineLvl w:val="9"/>
        <w:rPr>
          <w:rFonts w:hint="eastAsia" w:ascii="微软雅黑" w:hAnsi="微软雅黑" w:eastAsia="微软雅黑" w:cs="微软雅黑"/>
          <w:b/>
          <w:color w:val="auto"/>
          <w:highlight w:val="none"/>
        </w:rPr>
      </w:pPr>
    </w:p>
    <w:p w14:paraId="0F7838C7">
      <w:pPr>
        <w:pageBreakBefore w:val="0"/>
        <w:kinsoku/>
        <w:overflowPunct/>
        <w:bidi w:val="0"/>
        <w:snapToGrid w:val="0"/>
        <w:spacing w:line="312" w:lineRule="auto"/>
        <w:rPr>
          <w:rFonts w:hint="eastAsia" w:ascii="微软雅黑" w:hAnsi="微软雅黑" w:eastAsia="微软雅黑" w:cs="微软雅黑"/>
          <w:color w:val="auto"/>
          <w:highlight w:val="none"/>
        </w:rPr>
      </w:pPr>
    </w:p>
    <w:p w14:paraId="1B0601A0">
      <w:pPr>
        <w:pStyle w:val="66"/>
        <w:pageBreakBefore w:val="0"/>
        <w:kinsoku/>
        <w:overflowPunct/>
        <w:bidi w:val="0"/>
        <w:snapToGrid w:val="0"/>
        <w:spacing w:line="312" w:lineRule="auto"/>
        <w:ind w:firstLine="200"/>
        <w:jc w:val="center"/>
        <w:outlineLvl w:val="0"/>
        <w:rPr>
          <w:rFonts w:hint="eastAsia" w:ascii="微软雅黑" w:hAnsi="微软雅黑" w:eastAsia="微软雅黑" w:cs="微软雅黑"/>
          <w:b/>
          <w:color w:val="auto"/>
          <w:szCs w:val="24"/>
          <w:highlight w:val="none"/>
        </w:rPr>
        <w:sectPr>
          <w:headerReference r:id="rId37" w:type="default"/>
          <w:footerReference r:id="rId38" w:type="default"/>
          <w:pgSz w:w="11907" w:h="16840"/>
          <w:pgMar w:top="1134" w:right="1080" w:bottom="1134" w:left="1080" w:header="851" w:footer="850" w:gutter="0"/>
          <w:pgNumType w:fmt="decimal"/>
          <w:cols w:space="0" w:num="1"/>
          <w:rtlGutter w:val="0"/>
          <w:docGrid w:linePitch="462" w:charSpace="0"/>
        </w:sectPr>
      </w:pPr>
      <w:bookmarkStart w:id="537" w:name="_Toc29973"/>
      <w:bookmarkStart w:id="538" w:name="_Toc20442"/>
    </w:p>
    <w:p w14:paraId="3D172655">
      <w:pPr>
        <w:pStyle w:val="66"/>
        <w:pageBreakBefore w:val="0"/>
        <w:kinsoku/>
        <w:overflowPunct/>
        <w:bidi w:val="0"/>
        <w:snapToGrid w:val="0"/>
        <w:spacing w:line="312" w:lineRule="auto"/>
        <w:ind w:firstLine="200"/>
        <w:jc w:val="center"/>
        <w:outlineLvl w:val="0"/>
        <w:rPr>
          <w:rFonts w:hint="eastAsia" w:ascii="微软雅黑" w:hAnsi="微软雅黑" w:eastAsia="微软雅黑" w:cs="微软雅黑"/>
          <w:b/>
          <w:color w:val="auto"/>
          <w:szCs w:val="24"/>
          <w:highlight w:val="none"/>
        </w:rPr>
      </w:pPr>
      <w:r>
        <w:rPr>
          <w:rFonts w:hint="eastAsia" w:ascii="微软雅黑" w:hAnsi="微软雅黑" w:eastAsia="微软雅黑" w:cs="微软雅黑"/>
          <w:b/>
          <w:color w:val="auto"/>
          <w:szCs w:val="24"/>
          <w:highlight w:val="none"/>
        </w:rPr>
        <w:t>第二部分合同一般条款</w:t>
      </w:r>
      <w:bookmarkEnd w:id="536"/>
      <w:bookmarkEnd w:id="537"/>
      <w:bookmarkEnd w:id="538"/>
    </w:p>
    <w:p w14:paraId="065F9679">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539" w:name="_Ref467378463"/>
      <w:bookmarkStart w:id="540" w:name="_Toc279701240"/>
      <w:bookmarkStart w:id="541" w:name="_Ref467379109"/>
      <w:bookmarkStart w:id="542" w:name="_Toc487900349"/>
      <w:bookmarkStart w:id="543" w:name="_Ref467379214"/>
      <w:bookmarkStart w:id="544" w:name="_Ref467379205"/>
      <w:bookmarkStart w:id="545" w:name="_Toc14021"/>
      <w:bookmarkStart w:id="546" w:name="_Toc259093669"/>
      <w:bookmarkStart w:id="547" w:name="_Ref467379225"/>
      <w:bookmarkStart w:id="548" w:name="_Toc31297"/>
      <w:bookmarkStart w:id="549" w:name="_Toc25079"/>
      <w:bookmarkStart w:id="550" w:name="_Ref467379195"/>
      <w:bookmarkStart w:id="551" w:name="_Toc19680"/>
      <w:bookmarkStart w:id="552" w:name="_Ref467379101"/>
      <w:bookmarkStart w:id="553" w:name="_Ref467379094"/>
      <w:bookmarkStart w:id="554" w:name="_Toc13128"/>
      <w:bookmarkStart w:id="555" w:name="_Toc7448"/>
      <w:bookmarkStart w:id="556" w:name="_Toc5228"/>
      <w:bookmarkStart w:id="557" w:name="_Toc31764"/>
      <w:bookmarkStart w:id="558" w:name="_Ref467378404"/>
      <w:bookmarkStart w:id="559" w:name="_Ref467378499"/>
      <w:r>
        <w:rPr>
          <w:rFonts w:hint="eastAsia" w:ascii="微软雅黑" w:hAnsi="微软雅黑" w:eastAsia="微软雅黑" w:cs="微软雅黑"/>
          <w:b/>
          <w:color w:val="auto"/>
          <w:sz w:val="24"/>
          <w:highlight w:val="none"/>
        </w:rPr>
        <w:t>2.1 定义</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4474A65">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本合同中的下列词语应按以下内容进行解释：</w:t>
      </w:r>
    </w:p>
    <w:p w14:paraId="6EAC1270">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 “合同”系指采购人和中标供应商签订的载明双方当事人所达成的协议，并包括所有的附件、附录和构成合同的其他文件。</w:t>
      </w:r>
    </w:p>
    <w:p w14:paraId="690FA181">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2.1.2 “合同价”系指根据合同约定，中标供应商在完全履行合同义务后，采购人应支付给中标供应商的价格。</w:t>
      </w:r>
    </w:p>
    <w:p w14:paraId="07AEDD1F">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2.1.3 “服务”系指中标供应商根据合同约定应向采购人履行的除货物和工程以外的其他政府采购对象，包括采购人自身需要的服务和向社会公众提供的公共服务。</w:t>
      </w:r>
    </w:p>
    <w:p w14:paraId="4662F127">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bookmarkStart w:id="560" w:name="_Ref467378840"/>
      <w:r>
        <w:rPr>
          <w:rFonts w:hint="eastAsia" w:ascii="微软雅黑" w:hAnsi="微软雅黑" w:eastAsia="微软雅黑" w:cs="微软雅黑"/>
          <w:color w:val="auto"/>
          <w:sz w:val="24"/>
          <w:highlight w:val="none"/>
        </w:rPr>
        <w:t>2.1.4 “甲方”系指与中标供应商签署合同的采购人</w:t>
      </w:r>
      <w:bookmarkEnd w:id="560"/>
      <w:r>
        <w:rPr>
          <w:rFonts w:hint="eastAsia" w:ascii="微软雅黑" w:hAnsi="微软雅黑" w:eastAsia="微软雅黑" w:cs="微软雅黑"/>
          <w:color w:val="auto"/>
          <w:sz w:val="24"/>
          <w:highlight w:val="none"/>
        </w:rPr>
        <w:t>；采购人委托采购代理机构代表其与乙方签订合同的，采购人的授权委托书作为合同附件。</w:t>
      </w:r>
    </w:p>
    <w:p w14:paraId="030E8122">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bookmarkStart w:id="561" w:name="_Ref467379400"/>
      <w:r>
        <w:rPr>
          <w:rFonts w:hint="eastAsia" w:ascii="微软雅黑" w:hAnsi="微软雅黑" w:eastAsia="微软雅黑" w:cs="微软雅黑"/>
          <w:color w:val="auto"/>
          <w:sz w:val="24"/>
          <w:highlight w:val="none"/>
        </w:rPr>
        <w:t>2.1.5“乙方”系指根据合同约定提供服务的中标供应商</w:t>
      </w:r>
      <w:bookmarkEnd w:id="561"/>
      <w:r>
        <w:rPr>
          <w:rFonts w:hint="eastAsia" w:ascii="微软雅黑" w:hAnsi="微软雅黑" w:eastAsia="微软雅黑" w:cs="微软雅黑"/>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D3553C">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bookmarkStart w:id="562" w:name="_Ref467379436"/>
      <w:r>
        <w:rPr>
          <w:rFonts w:hint="eastAsia" w:ascii="微软雅黑" w:hAnsi="微软雅黑" w:eastAsia="微软雅黑" w:cs="微软雅黑"/>
          <w:color w:val="auto"/>
          <w:sz w:val="24"/>
          <w:highlight w:val="none"/>
        </w:rPr>
        <w:t>2.1.6 “现场”系指合同约定提供服务的地点。</w:t>
      </w:r>
      <w:bookmarkEnd w:id="562"/>
    </w:p>
    <w:p w14:paraId="46D974F6">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563" w:name="_Toc3769"/>
      <w:bookmarkStart w:id="564" w:name="_Toc19539"/>
      <w:bookmarkStart w:id="565" w:name="_Toc23289"/>
      <w:bookmarkStart w:id="566" w:name="_Toc31402"/>
      <w:bookmarkStart w:id="567" w:name="_Toc12643"/>
      <w:bookmarkStart w:id="568" w:name="_Toc279701241"/>
      <w:bookmarkStart w:id="569" w:name="_Toc169"/>
      <w:bookmarkStart w:id="570" w:name="_Toc17148"/>
      <w:bookmarkStart w:id="571" w:name="_Toc16752"/>
      <w:bookmarkStart w:id="572" w:name="_Toc487900350"/>
      <w:bookmarkStart w:id="573" w:name="_Toc259093670"/>
      <w:r>
        <w:rPr>
          <w:rFonts w:hint="eastAsia" w:ascii="微软雅黑" w:hAnsi="微软雅黑" w:eastAsia="微软雅黑" w:cs="微软雅黑"/>
          <w:b/>
          <w:color w:val="auto"/>
          <w:sz w:val="24"/>
          <w:highlight w:val="none"/>
        </w:rPr>
        <w:t>2.2 技术规范</w:t>
      </w:r>
      <w:bookmarkEnd w:id="563"/>
      <w:bookmarkEnd w:id="564"/>
      <w:bookmarkEnd w:id="565"/>
      <w:bookmarkEnd w:id="566"/>
      <w:bookmarkEnd w:id="567"/>
      <w:bookmarkEnd w:id="568"/>
      <w:bookmarkEnd w:id="569"/>
      <w:bookmarkEnd w:id="570"/>
      <w:bookmarkEnd w:id="571"/>
      <w:bookmarkEnd w:id="572"/>
      <w:bookmarkEnd w:id="573"/>
    </w:p>
    <w:p w14:paraId="374D1D3F">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E99F103">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574" w:name="_Toc259093671"/>
      <w:bookmarkStart w:id="575" w:name="_Toc487900351"/>
      <w:bookmarkStart w:id="576" w:name="_Toc13721"/>
      <w:bookmarkStart w:id="577" w:name="_Toc18799"/>
      <w:bookmarkStart w:id="578" w:name="_Toc13673"/>
      <w:bookmarkStart w:id="579" w:name="_Toc27945"/>
      <w:bookmarkStart w:id="580" w:name="_Toc279701242"/>
      <w:bookmarkStart w:id="581" w:name="_Toc4133"/>
      <w:bookmarkStart w:id="582" w:name="_Toc32399"/>
      <w:bookmarkStart w:id="583" w:name="_Toc12412"/>
      <w:bookmarkStart w:id="584" w:name="_Toc9161"/>
      <w:r>
        <w:rPr>
          <w:rFonts w:hint="eastAsia" w:ascii="微软雅黑" w:hAnsi="微软雅黑" w:eastAsia="微软雅黑" w:cs="微软雅黑"/>
          <w:b/>
          <w:color w:val="auto"/>
          <w:sz w:val="24"/>
          <w:highlight w:val="none"/>
        </w:rPr>
        <w:t>2.3 知识产权</w:t>
      </w:r>
      <w:bookmarkEnd w:id="574"/>
      <w:bookmarkEnd w:id="575"/>
      <w:bookmarkEnd w:id="576"/>
      <w:bookmarkEnd w:id="577"/>
      <w:bookmarkEnd w:id="578"/>
      <w:bookmarkEnd w:id="579"/>
      <w:bookmarkEnd w:id="580"/>
      <w:bookmarkEnd w:id="581"/>
      <w:bookmarkEnd w:id="582"/>
      <w:bookmarkEnd w:id="583"/>
      <w:bookmarkEnd w:id="584"/>
    </w:p>
    <w:p w14:paraId="15E1AE92">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8D3C3C1">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 合同涉及技术成果的归属和收益的分成办法的，详见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14:paraId="4EE20B25">
      <w:pPr>
        <w:pageBreakBefore w:val="0"/>
        <w:kinsoku/>
        <w:overflowPunct/>
        <w:bidi w:val="0"/>
        <w:snapToGrid w:val="0"/>
        <w:spacing w:line="312" w:lineRule="auto"/>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2.4 履约检查和问题反馈</w:t>
      </w:r>
    </w:p>
    <w:p w14:paraId="1188CB82">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bookmarkStart w:id="585" w:name="_Ref467379657"/>
      <w:r>
        <w:rPr>
          <w:rFonts w:hint="eastAsia" w:ascii="微软雅黑" w:hAnsi="微软雅黑" w:eastAsia="微软雅黑" w:cs="微软雅黑"/>
          <w:color w:val="auto"/>
          <w:sz w:val="24"/>
          <w:highlight w:val="none"/>
        </w:rPr>
        <w:t>2.4.1</w:t>
      </w:r>
      <w:bookmarkEnd w:id="585"/>
      <w:bookmarkStart w:id="586" w:name="_Toc186431854"/>
      <w:bookmarkStart w:id="587" w:name="_Toc259093676"/>
      <w:bookmarkStart w:id="588" w:name="_Ref467379807"/>
      <w:bookmarkStart w:id="589" w:name="_Ref467379793"/>
      <w:bookmarkStart w:id="590" w:name="_Toc487900357"/>
      <w:bookmarkStart w:id="591" w:name="_Toc279701247"/>
      <w:r>
        <w:rPr>
          <w:rFonts w:hint="eastAsia" w:ascii="微软雅黑" w:hAnsi="微软雅黑" w:eastAsia="微软雅黑" w:cs="微软雅黑"/>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2B824F45">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2.4.2合同履行期间，甲方有权将履行过程中出现的问题反馈给乙方，双方当事人应以书面形式约定需要完善和改进的内容</w:t>
      </w:r>
      <w:bookmarkEnd w:id="586"/>
      <w:bookmarkStart w:id="592" w:name="_Toc186431855"/>
      <w:r>
        <w:rPr>
          <w:rFonts w:hint="eastAsia" w:ascii="微软雅黑" w:hAnsi="微软雅黑" w:eastAsia="微软雅黑" w:cs="微软雅黑"/>
          <w:color w:val="auto"/>
          <w:sz w:val="24"/>
          <w:highlight w:val="none"/>
        </w:rPr>
        <w:t>。</w:t>
      </w:r>
    </w:p>
    <w:bookmarkEnd w:id="592"/>
    <w:p w14:paraId="373CF38B">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593" w:name="_Toc26555"/>
      <w:bookmarkStart w:id="594" w:name="_Toc32670"/>
      <w:bookmarkStart w:id="595" w:name="_Toc21826"/>
      <w:bookmarkStart w:id="596" w:name="_Toc10947"/>
      <w:bookmarkStart w:id="597" w:name="_Toc22011"/>
      <w:bookmarkStart w:id="598" w:name="_Toc31233"/>
      <w:bookmarkStart w:id="599" w:name="_Toc24722"/>
      <w:bookmarkStart w:id="600" w:name="_Toc15447"/>
      <w:r>
        <w:rPr>
          <w:rFonts w:hint="eastAsia" w:ascii="微软雅黑" w:hAnsi="微软雅黑" w:eastAsia="微软雅黑" w:cs="微软雅黑"/>
          <w:b/>
          <w:color w:val="auto"/>
          <w:sz w:val="24"/>
          <w:highlight w:val="none"/>
        </w:rPr>
        <w:t>2.5 结算方式和付款条件</w:t>
      </w:r>
      <w:bookmarkEnd w:id="587"/>
      <w:bookmarkEnd w:id="588"/>
      <w:bookmarkEnd w:id="589"/>
      <w:bookmarkEnd w:id="590"/>
      <w:bookmarkEnd w:id="591"/>
      <w:bookmarkEnd w:id="593"/>
      <w:bookmarkEnd w:id="594"/>
      <w:bookmarkEnd w:id="595"/>
      <w:bookmarkEnd w:id="596"/>
      <w:bookmarkEnd w:id="597"/>
      <w:bookmarkEnd w:id="598"/>
      <w:bookmarkEnd w:id="599"/>
      <w:bookmarkEnd w:id="600"/>
    </w:p>
    <w:p w14:paraId="27684298">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w:t>
      </w:r>
    </w:p>
    <w:p w14:paraId="41AFFD8F">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01" w:name="_Ref467379863"/>
      <w:bookmarkStart w:id="602" w:name="_Toc279701248"/>
      <w:bookmarkStart w:id="603" w:name="_Toc259093677"/>
      <w:bookmarkStart w:id="604" w:name="_Ref467379923"/>
      <w:bookmarkStart w:id="605" w:name="_Ref467379852"/>
      <w:bookmarkStart w:id="606" w:name="_Toc487900358"/>
      <w:bookmarkStart w:id="607" w:name="_Toc18990"/>
      <w:bookmarkStart w:id="608" w:name="_Toc13467"/>
      <w:bookmarkStart w:id="609" w:name="_Toc16163"/>
      <w:bookmarkStart w:id="610" w:name="_Toc22064"/>
      <w:bookmarkStart w:id="611" w:name="_Toc13154"/>
      <w:bookmarkStart w:id="612" w:name="_Toc30507"/>
      <w:bookmarkStart w:id="613" w:name="_Toc6258"/>
      <w:bookmarkStart w:id="614" w:name="_Toc2109"/>
      <w:r>
        <w:rPr>
          <w:rFonts w:hint="eastAsia" w:ascii="微软雅黑" w:hAnsi="微软雅黑" w:eastAsia="微软雅黑" w:cs="微软雅黑"/>
          <w:b/>
          <w:color w:val="auto"/>
          <w:sz w:val="24"/>
          <w:highlight w:val="none"/>
        </w:rPr>
        <w:t>2.6 技术资料</w:t>
      </w:r>
      <w:bookmarkEnd w:id="601"/>
      <w:bookmarkEnd w:id="602"/>
      <w:bookmarkEnd w:id="603"/>
      <w:bookmarkEnd w:id="604"/>
      <w:bookmarkEnd w:id="605"/>
      <w:bookmarkEnd w:id="606"/>
      <w:r>
        <w:rPr>
          <w:rFonts w:hint="eastAsia" w:ascii="微软雅黑" w:hAnsi="微软雅黑" w:eastAsia="微软雅黑" w:cs="微软雅黑"/>
          <w:b/>
          <w:color w:val="auto"/>
          <w:sz w:val="24"/>
          <w:highlight w:val="none"/>
        </w:rPr>
        <w:t>和保密义务</w:t>
      </w:r>
      <w:bookmarkEnd w:id="607"/>
      <w:bookmarkEnd w:id="608"/>
      <w:bookmarkEnd w:id="609"/>
      <w:bookmarkEnd w:id="610"/>
      <w:bookmarkEnd w:id="611"/>
      <w:bookmarkEnd w:id="612"/>
      <w:bookmarkEnd w:id="613"/>
      <w:bookmarkEnd w:id="614"/>
    </w:p>
    <w:p w14:paraId="1FF76878">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2.6.1 乙方有权依据合同约定和项目需要，向甲方了解有关情况，调阅有关资料等，甲方应予积极配合；</w:t>
      </w:r>
    </w:p>
    <w:p w14:paraId="63EE0F77">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2.6.2 乙方有义务妥善保管和保护由甲方提供的前款信息和资料等；</w:t>
      </w:r>
    </w:p>
    <w:p w14:paraId="48636AC9">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464280F">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15" w:name="_Toc17833"/>
      <w:bookmarkStart w:id="616" w:name="_Toc7516"/>
      <w:bookmarkStart w:id="617" w:name="_Toc19069"/>
      <w:bookmarkStart w:id="618" w:name="_Toc13111"/>
      <w:bookmarkStart w:id="619" w:name="_Toc279701252"/>
      <w:bookmarkStart w:id="620" w:name="_Toc259093681"/>
      <w:bookmarkStart w:id="621" w:name="_Toc487900362"/>
      <w:r>
        <w:rPr>
          <w:rFonts w:hint="eastAsia" w:ascii="微软雅黑" w:hAnsi="微软雅黑" w:eastAsia="微软雅黑" w:cs="微软雅黑"/>
          <w:b/>
          <w:color w:val="auto"/>
          <w:sz w:val="24"/>
          <w:highlight w:val="none"/>
        </w:rPr>
        <w:t>2.7 质量保证</w:t>
      </w:r>
      <w:bookmarkEnd w:id="615"/>
      <w:bookmarkEnd w:id="616"/>
      <w:bookmarkEnd w:id="617"/>
      <w:bookmarkEnd w:id="618"/>
    </w:p>
    <w:p w14:paraId="20E306BF">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2.7.1 乙方应建立和完善履行合同的内部质量保证体系，并提供相关内部规章制度给甲方，以便甲方进行监督检查；</w:t>
      </w:r>
    </w:p>
    <w:p w14:paraId="30E3BCB1">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2.7.2 乙方应保证履行合同的人员数量和素质、软件和硬件设备的配置、场地、环境和设施等满足全面履行合同的要求，并应接受甲方的监督检查。</w:t>
      </w:r>
    </w:p>
    <w:p w14:paraId="419E4F8A">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22" w:name="_Toc9610"/>
      <w:bookmarkStart w:id="623" w:name="_Toc1138"/>
      <w:bookmarkStart w:id="624" w:name="_Toc22267"/>
      <w:bookmarkStart w:id="625" w:name="_Toc18265"/>
      <w:r>
        <w:rPr>
          <w:rFonts w:hint="eastAsia" w:ascii="微软雅黑" w:hAnsi="微软雅黑" w:eastAsia="微软雅黑" w:cs="微软雅黑"/>
          <w:b/>
          <w:color w:val="auto"/>
          <w:sz w:val="24"/>
          <w:highlight w:val="none"/>
        </w:rPr>
        <w:t>2.8 延迟</w:t>
      </w:r>
      <w:bookmarkEnd w:id="619"/>
      <w:bookmarkEnd w:id="620"/>
      <w:bookmarkEnd w:id="621"/>
      <w:r>
        <w:rPr>
          <w:rFonts w:hint="eastAsia" w:ascii="微软雅黑" w:hAnsi="微软雅黑" w:eastAsia="微软雅黑" w:cs="微软雅黑"/>
          <w:b/>
          <w:color w:val="auto"/>
          <w:sz w:val="24"/>
          <w:highlight w:val="none"/>
        </w:rPr>
        <w:t>履行</w:t>
      </w:r>
      <w:bookmarkEnd w:id="622"/>
      <w:bookmarkEnd w:id="623"/>
      <w:bookmarkEnd w:id="624"/>
      <w:bookmarkEnd w:id="625"/>
    </w:p>
    <w:p w14:paraId="72DBB7C7">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B261B24">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26" w:name="_Toc26963"/>
      <w:bookmarkStart w:id="627" w:name="_Toc3725"/>
      <w:bookmarkStart w:id="628" w:name="_Toc10611"/>
      <w:bookmarkStart w:id="629" w:name="_Toc23849"/>
      <w:bookmarkStart w:id="630" w:name="_Toc487900364"/>
      <w:bookmarkStart w:id="631" w:name="_Toc259093683"/>
      <w:bookmarkStart w:id="632" w:name="_Ref467378121"/>
      <w:bookmarkStart w:id="633" w:name="_Toc279701254"/>
      <w:r>
        <w:rPr>
          <w:rFonts w:hint="eastAsia" w:ascii="微软雅黑" w:hAnsi="微软雅黑" w:eastAsia="微软雅黑" w:cs="微软雅黑"/>
          <w:b/>
          <w:color w:val="auto"/>
          <w:sz w:val="24"/>
          <w:highlight w:val="none"/>
        </w:rPr>
        <w:t>2.9 合同变更</w:t>
      </w:r>
      <w:bookmarkEnd w:id="626"/>
      <w:bookmarkEnd w:id="627"/>
      <w:bookmarkEnd w:id="628"/>
      <w:bookmarkEnd w:id="629"/>
    </w:p>
    <w:p w14:paraId="0FD72F42">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55FD8001">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634" w:name="_Toc259093688"/>
      <w:bookmarkStart w:id="635" w:name="_Toc487900369"/>
      <w:bookmarkStart w:id="636" w:name="_Toc279701259"/>
    </w:p>
    <w:p w14:paraId="48D406EF">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37" w:name="_Toc42"/>
      <w:bookmarkStart w:id="638" w:name="_Toc26689"/>
      <w:bookmarkStart w:id="639" w:name="_Toc21830"/>
      <w:bookmarkStart w:id="640" w:name="_Toc1326"/>
      <w:bookmarkStart w:id="641" w:name="_Toc10663"/>
      <w:bookmarkStart w:id="642" w:name="_Toc4756"/>
      <w:bookmarkStart w:id="643" w:name="_Toc23368"/>
      <w:bookmarkStart w:id="644" w:name="_Toc4467"/>
      <w:r>
        <w:rPr>
          <w:rFonts w:hint="eastAsia" w:ascii="微软雅黑" w:hAnsi="微软雅黑" w:eastAsia="微软雅黑" w:cs="微软雅黑"/>
          <w:b/>
          <w:color w:val="auto"/>
          <w:sz w:val="24"/>
          <w:highlight w:val="none"/>
        </w:rPr>
        <w:t>2.10 合同转让</w:t>
      </w:r>
      <w:bookmarkEnd w:id="634"/>
      <w:bookmarkEnd w:id="635"/>
      <w:bookmarkEnd w:id="636"/>
      <w:r>
        <w:rPr>
          <w:rFonts w:hint="eastAsia" w:ascii="微软雅黑" w:hAnsi="微软雅黑" w:eastAsia="微软雅黑" w:cs="微软雅黑"/>
          <w:b/>
          <w:color w:val="auto"/>
          <w:sz w:val="24"/>
          <w:highlight w:val="none"/>
        </w:rPr>
        <w:t>和分包</w:t>
      </w:r>
      <w:bookmarkEnd w:id="637"/>
      <w:bookmarkEnd w:id="638"/>
      <w:bookmarkEnd w:id="639"/>
      <w:bookmarkEnd w:id="640"/>
      <w:bookmarkEnd w:id="641"/>
      <w:bookmarkEnd w:id="642"/>
      <w:bookmarkEnd w:id="643"/>
      <w:bookmarkEnd w:id="644"/>
    </w:p>
    <w:p w14:paraId="30160CDD">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074C962">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45" w:name="_Toc4720"/>
      <w:bookmarkStart w:id="646" w:name="_Toc25571"/>
      <w:bookmarkStart w:id="647" w:name="_Toc5492"/>
      <w:bookmarkStart w:id="648" w:name="_Toc15912"/>
      <w:bookmarkStart w:id="649" w:name="_Toc14371"/>
      <w:bookmarkStart w:id="650" w:name="_Toc32494"/>
      <w:bookmarkStart w:id="651" w:name="_Toc26633"/>
      <w:bookmarkStart w:id="652" w:name="_Toc85"/>
      <w:r>
        <w:rPr>
          <w:rFonts w:hint="eastAsia" w:ascii="微软雅黑" w:hAnsi="微软雅黑" w:eastAsia="微软雅黑" w:cs="微软雅黑"/>
          <w:b/>
          <w:color w:val="auto"/>
          <w:sz w:val="24"/>
          <w:highlight w:val="none"/>
        </w:rPr>
        <w:t>2.11 不可抗力</w:t>
      </w:r>
      <w:bookmarkEnd w:id="645"/>
      <w:bookmarkEnd w:id="646"/>
      <w:bookmarkEnd w:id="647"/>
      <w:bookmarkEnd w:id="648"/>
      <w:bookmarkEnd w:id="649"/>
      <w:bookmarkEnd w:id="650"/>
      <w:bookmarkEnd w:id="651"/>
      <w:bookmarkEnd w:id="652"/>
    </w:p>
    <w:p w14:paraId="660E91A0">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2.11.1如果任何一方遭遇法律规定的不可抗力，致使合同履行受阻时，履行合同的期限应予延长，延长的期限应相当于不可抗力所影响的时间；</w:t>
      </w:r>
    </w:p>
    <w:p w14:paraId="3A78A790">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2.11.2 因不可抗力致使不能实现合同目的的，当事人可以解除合同；</w:t>
      </w:r>
    </w:p>
    <w:p w14:paraId="41A82357">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2.11.3 因不可抗力致使合同有变更必要的，双方当事人应在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约定时间内以书面形式变更合同；</w:t>
      </w:r>
    </w:p>
    <w:p w14:paraId="234C5CAF">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2.11.4受不可抗力影响的一方在不可抗力发生后，应在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约定时间内以书面形式通知对方当事人，并在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约定时间内，将有关部门出具的证明文件送达对方当事人。</w:t>
      </w:r>
    </w:p>
    <w:p w14:paraId="7DE616A1">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53" w:name="_Toc30945"/>
      <w:bookmarkStart w:id="654" w:name="_Toc487900365"/>
      <w:bookmarkStart w:id="655" w:name="_Toc24465"/>
      <w:bookmarkStart w:id="656" w:name="_Toc25783"/>
      <w:bookmarkStart w:id="657" w:name="_Toc15760"/>
      <w:bookmarkStart w:id="658" w:name="_Toc259093684"/>
      <w:bookmarkStart w:id="659" w:name="_Toc279701255"/>
      <w:bookmarkStart w:id="660" w:name="_Toc23854"/>
      <w:bookmarkStart w:id="661" w:name="_Toc30821"/>
      <w:bookmarkStart w:id="662" w:name="_Toc3638"/>
      <w:bookmarkStart w:id="663" w:name="_Toc14115"/>
      <w:r>
        <w:rPr>
          <w:rFonts w:hint="eastAsia" w:ascii="微软雅黑" w:hAnsi="微软雅黑" w:eastAsia="微软雅黑" w:cs="微软雅黑"/>
          <w:b/>
          <w:color w:val="auto"/>
          <w:sz w:val="24"/>
          <w:highlight w:val="none"/>
        </w:rPr>
        <w:t>2.12 税费</w:t>
      </w:r>
      <w:bookmarkEnd w:id="653"/>
      <w:bookmarkEnd w:id="654"/>
      <w:bookmarkEnd w:id="655"/>
      <w:bookmarkEnd w:id="656"/>
      <w:bookmarkEnd w:id="657"/>
      <w:bookmarkEnd w:id="658"/>
      <w:bookmarkEnd w:id="659"/>
      <w:bookmarkEnd w:id="660"/>
      <w:bookmarkEnd w:id="661"/>
      <w:bookmarkEnd w:id="662"/>
      <w:bookmarkEnd w:id="663"/>
    </w:p>
    <w:p w14:paraId="3FA18F24">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与合同有关的一切税费，均按照中华人民共和国法律的相关规定缴纳。</w:t>
      </w:r>
    </w:p>
    <w:p w14:paraId="1FCB2D0E">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64" w:name="_Toc30105"/>
      <w:bookmarkStart w:id="665" w:name="_Toc18007"/>
      <w:bookmarkStart w:id="666" w:name="_Toc14814"/>
      <w:bookmarkStart w:id="667" w:name="_Toc26883"/>
      <w:bookmarkStart w:id="668" w:name="_Toc279701258"/>
      <w:bookmarkStart w:id="669" w:name="_Toc9975"/>
      <w:bookmarkStart w:id="670" w:name="_Toc487900368"/>
      <w:bookmarkStart w:id="671" w:name="_Toc7315"/>
      <w:bookmarkStart w:id="672" w:name="_Toc27941"/>
      <w:bookmarkStart w:id="673" w:name="_Toc25525"/>
      <w:bookmarkStart w:id="674" w:name="_Toc259093687"/>
      <w:r>
        <w:rPr>
          <w:rFonts w:hint="eastAsia" w:ascii="微软雅黑" w:hAnsi="微软雅黑" w:eastAsia="微软雅黑" w:cs="微软雅黑"/>
          <w:b/>
          <w:color w:val="auto"/>
          <w:sz w:val="24"/>
          <w:highlight w:val="none"/>
        </w:rPr>
        <w:t>2.13 乙方破产</w:t>
      </w:r>
      <w:bookmarkEnd w:id="664"/>
      <w:bookmarkEnd w:id="665"/>
      <w:bookmarkEnd w:id="666"/>
      <w:bookmarkEnd w:id="667"/>
      <w:bookmarkEnd w:id="668"/>
      <w:bookmarkEnd w:id="669"/>
      <w:bookmarkEnd w:id="670"/>
      <w:bookmarkEnd w:id="671"/>
      <w:bookmarkEnd w:id="672"/>
      <w:bookmarkEnd w:id="673"/>
      <w:bookmarkEnd w:id="674"/>
    </w:p>
    <w:p w14:paraId="40E5C460">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3C4C808">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75" w:name="_Toc1745"/>
      <w:bookmarkStart w:id="676" w:name="_Toc1123"/>
      <w:bookmarkStart w:id="677" w:name="_Toc3738"/>
      <w:bookmarkStart w:id="678" w:name="_Toc23323"/>
      <w:bookmarkStart w:id="679" w:name="_Toc25751"/>
      <w:bookmarkStart w:id="680" w:name="_Toc2016"/>
      <w:r>
        <w:rPr>
          <w:rFonts w:hint="eastAsia" w:ascii="微软雅黑" w:hAnsi="微软雅黑" w:eastAsia="微软雅黑" w:cs="微软雅黑"/>
          <w:b/>
          <w:color w:val="auto"/>
          <w:sz w:val="24"/>
          <w:highlight w:val="none"/>
        </w:rPr>
        <w:t>2.14 合同中止、终止</w:t>
      </w:r>
      <w:bookmarkEnd w:id="675"/>
      <w:bookmarkEnd w:id="676"/>
      <w:bookmarkEnd w:id="677"/>
      <w:bookmarkEnd w:id="678"/>
      <w:bookmarkEnd w:id="679"/>
      <w:bookmarkEnd w:id="680"/>
    </w:p>
    <w:p w14:paraId="06374FCC">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2.14.1 双方当事人不得擅自中止或者终止合同；</w:t>
      </w:r>
    </w:p>
    <w:p w14:paraId="1C5E372F">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4819238">
      <w:pPr>
        <w:pageBreakBefore w:val="0"/>
        <w:kinsoku/>
        <w:overflowPunct/>
        <w:bidi w:val="0"/>
        <w:snapToGrid w:val="0"/>
        <w:spacing w:line="312" w:lineRule="auto"/>
        <w:ind w:firstLine="480" w:firstLineChars="200"/>
        <w:outlineLvl w:val="0"/>
        <w:rPr>
          <w:rFonts w:hint="eastAsia" w:ascii="微软雅黑" w:hAnsi="微软雅黑" w:eastAsia="微软雅黑" w:cs="微软雅黑"/>
          <w:b/>
          <w:color w:val="auto"/>
          <w:sz w:val="24"/>
          <w:highlight w:val="none"/>
        </w:rPr>
      </w:pPr>
      <w:bookmarkStart w:id="681" w:name="_Toc23102"/>
      <w:bookmarkStart w:id="682" w:name="_Toc25038"/>
      <w:bookmarkStart w:id="683" w:name="_Toc12835"/>
      <w:bookmarkStart w:id="684" w:name="_Toc17363"/>
      <w:bookmarkStart w:id="685" w:name="_Toc14525"/>
      <w:bookmarkStart w:id="686" w:name="_Toc1969"/>
      <w:r>
        <w:rPr>
          <w:rFonts w:hint="eastAsia" w:ascii="微软雅黑" w:hAnsi="微软雅黑" w:eastAsia="微软雅黑" w:cs="微软雅黑"/>
          <w:b/>
          <w:color w:val="auto"/>
          <w:sz w:val="24"/>
          <w:highlight w:val="none"/>
        </w:rPr>
        <w:t>2.15 检验和验收</w:t>
      </w:r>
      <w:bookmarkEnd w:id="681"/>
      <w:bookmarkEnd w:id="682"/>
      <w:bookmarkEnd w:id="683"/>
      <w:bookmarkEnd w:id="684"/>
      <w:bookmarkEnd w:id="685"/>
      <w:bookmarkEnd w:id="686"/>
    </w:p>
    <w:p w14:paraId="2A14BB35">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2.15.1 乙方按照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的约定，定期提交服务报告，甲方按照</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的约定进行定期验收；</w:t>
      </w:r>
    </w:p>
    <w:p w14:paraId="355F4635">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72B3FF8">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2.15.3 检验和验收标准、程序等具体内容以及前述验收书的效力详见</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i/>
          <w:color w:val="auto"/>
          <w:sz w:val="24"/>
          <w:highlight w:val="none"/>
        </w:rPr>
        <w:t>。</w:t>
      </w:r>
    </w:p>
    <w:bookmarkEnd w:id="630"/>
    <w:bookmarkEnd w:id="631"/>
    <w:bookmarkEnd w:id="632"/>
    <w:bookmarkEnd w:id="633"/>
    <w:p w14:paraId="310EAF6F">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outlineLvl w:val="0"/>
        <w:rPr>
          <w:rFonts w:hint="eastAsia" w:ascii="微软雅黑" w:hAnsi="微软雅黑" w:eastAsia="微软雅黑" w:cs="微软雅黑"/>
          <w:b/>
          <w:color w:val="auto"/>
          <w:sz w:val="24"/>
          <w:highlight w:val="none"/>
        </w:rPr>
      </w:pPr>
      <w:bookmarkStart w:id="687" w:name="_Toc279701261"/>
      <w:bookmarkStart w:id="688" w:name="_Toc487900371"/>
      <w:bookmarkStart w:id="689" w:name="_Toc259093690"/>
      <w:bookmarkStart w:id="690" w:name="_Toc25198"/>
      <w:bookmarkStart w:id="691" w:name="_Toc31892"/>
      <w:bookmarkStart w:id="692" w:name="_Toc2308"/>
      <w:bookmarkStart w:id="693" w:name="_Toc10474"/>
      <w:bookmarkStart w:id="694" w:name="_Toc9719"/>
      <w:bookmarkStart w:id="695" w:name="_Toc12666"/>
      <w:bookmarkStart w:id="696" w:name="_Toc23562"/>
      <w:bookmarkStart w:id="697" w:name="_Toc9808"/>
      <w:r>
        <w:rPr>
          <w:rFonts w:hint="eastAsia" w:ascii="微软雅黑" w:hAnsi="微软雅黑" w:eastAsia="微软雅黑" w:cs="微软雅黑"/>
          <w:b/>
          <w:color w:val="auto"/>
          <w:sz w:val="24"/>
          <w:highlight w:val="none"/>
        </w:rPr>
        <w:t>2.16 通知</w:t>
      </w:r>
      <w:bookmarkEnd w:id="687"/>
      <w:bookmarkEnd w:id="688"/>
      <w:bookmarkEnd w:id="689"/>
      <w:r>
        <w:rPr>
          <w:rFonts w:hint="eastAsia" w:ascii="微软雅黑" w:hAnsi="微软雅黑" w:eastAsia="微软雅黑" w:cs="微软雅黑"/>
          <w:b/>
          <w:color w:val="auto"/>
          <w:sz w:val="24"/>
          <w:highlight w:val="none"/>
        </w:rPr>
        <w:t>和送达</w:t>
      </w:r>
      <w:bookmarkEnd w:id="690"/>
      <w:bookmarkEnd w:id="691"/>
      <w:bookmarkEnd w:id="692"/>
      <w:bookmarkEnd w:id="693"/>
      <w:bookmarkEnd w:id="694"/>
      <w:bookmarkEnd w:id="695"/>
      <w:bookmarkEnd w:id="696"/>
      <w:bookmarkEnd w:id="697"/>
    </w:p>
    <w:p w14:paraId="12EAD926">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bookmarkStart w:id="698" w:name="_Toc29220"/>
      <w:bookmarkStart w:id="699" w:name="_Toc7073"/>
      <w:bookmarkStart w:id="700" w:name="_Toc487900372"/>
      <w:bookmarkStart w:id="701" w:name="_Toc279701262"/>
      <w:bookmarkStart w:id="702" w:name="_Toc259093691"/>
      <w:r>
        <w:rPr>
          <w:rFonts w:hint="eastAsia" w:ascii="微软雅黑" w:hAnsi="微软雅黑" w:eastAsia="微软雅黑" w:cs="微软雅黑"/>
          <w:color w:val="auto"/>
          <w:sz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98"/>
      <w:bookmarkEnd w:id="699"/>
    </w:p>
    <w:p w14:paraId="08A389D9">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bookmarkStart w:id="703" w:name="_Toc27674"/>
      <w:bookmarkStart w:id="704" w:name="_Toc18401"/>
      <w:r>
        <w:rPr>
          <w:rFonts w:hint="eastAsia" w:ascii="微软雅黑" w:hAnsi="微软雅黑" w:eastAsia="微软雅黑" w:cs="微软雅黑"/>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03"/>
      <w:bookmarkEnd w:id="704"/>
    </w:p>
    <w:bookmarkEnd w:id="700"/>
    <w:bookmarkEnd w:id="701"/>
    <w:bookmarkEnd w:id="702"/>
    <w:p w14:paraId="799BDF92">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outlineLvl w:val="0"/>
        <w:rPr>
          <w:rFonts w:hint="eastAsia" w:ascii="微软雅黑" w:hAnsi="微软雅黑" w:eastAsia="微软雅黑" w:cs="微软雅黑"/>
          <w:b/>
          <w:color w:val="auto"/>
          <w:sz w:val="24"/>
          <w:highlight w:val="none"/>
        </w:rPr>
      </w:pPr>
      <w:bookmarkStart w:id="705" w:name="_Toc6945"/>
      <w:bookmarkStart w:id="706" w:name="_Toc17504"/>
      <w:bookmarkStart w:id="707" w:name="_Toc279701263"/>
      <w:bookmarkStart w:id="708" w:name="_Toc27644"/>
      <w:bookmarkStart w:id="709" w:name="_Toc259093692"/>
      <w:bookmarkStart w:id="710" w:name="_Toc28906"/>
      <w:bookmarkStart w:id="711" w:name="_Toc5063"/>
      <w:bookmarkStart w:id="712" w:name="_Toc21502"/>
      <w:bookmarkStart w:id="713" w:name="_Toc487900373"/>
      <w:bookmarkStart w:id="714" w:name="_Toc20808"/>
      <w:bookmarkStart w:id="715" w:name="_Toc12254"/>
      <w:r>
        <w:rPr>
          <w:rFonts w:hint="eastAsia" w:ascii="微软雅黑" w:hAnsi="微软雅黑" w:eastAsia="微软雅黑" w:cs="微软雅黑"/>
          <w:b/>
          <w:color w:val="auto"/>
          <w:sz w:val="24"/>
          <w:highlight w:val="none"/>
        </w:rPr>
        <w:t>2.17 合同使用的文字和适用的法律</w:t>
      </w:r>
      <w:bookmarkEnd w:id="705"/>
      <w:bookmarkEnd w:id="706"/>
      <w:bookmarkEnd w:id="707"/>
      <w:bookmarkEnd w:id="708"/>
      <w:bookmarkEnd w:id="709"/>
      <w:bookmarkEnd w:id="710"/>
      <w:bookmarkEnd w:id="711"/>
      <w:bookmarkEnd w:id="712"/>
      <w:bookmarkEnd w:id="713"/>
      <w:bookmarkEnd w:id="714"/>
      <w:bookmarkEnd w:id="715"/>
    </w:p>
    <w:p w14:paraId="08006722">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2.17.1 合同使用汉语书就、变更和解释；</w:t>
      </w:r>
    </w:p>
    <w:p w14:paraId="19798A26">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2.17.2合同适用中华人民共和国法律。</w:t>
      </w:r>
    </w:p>
    <w:p w14:paraId="6C007492">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outlineLvl w:val="0"/>
        <w:rPr>
          <w:rFonts w:hint="eastAsia" w:ascii="微软雅黑" w:hAnsi="微软雅黑" w:eastAsia="微软雅黑" w:cs="微软雅黑"/>
          <w:b/>
          <w:color w:val="auto"/>
          <w:sz w:val="24"/>
          <w:highlight w:val="none"/>
        </w:rPr>
      </w:pPr>
      <w:bookmarkStart w:id="716" w:name="_Toc16424"/>
      <w:bookmarkStart w:id="717" w:name="_Toc22266"/>
      <w:bookmarkStart w:id="718" w:name="_Toc4294"/>
      <w:bookmarkStart w:id="719" w:name="_Toc259093693"/>
      <w:bookmarkStart w:id="720" w:name="_Toc1492"/>
      <w:bookmarkStart w:id="721" w:name="_Toc27403"/>
      <w:bookmarkStart w:id="722" w:name="_Toc279701264"/>
      <w:bookmarkStart w:id="723" w:name="_Toc30096"/>
      <w:bookmarkStart w:id="724" w:name="_Toc27127"/>
      <w:bookmarkStart w:id="725" w:name="_Toc11459"/>
      <w:bookmarkStart w:id="726" w:name="_Toc487900374"/>
      <w:r>
        <w:rPr>
          <w:rFonts w:hint="eastAsia" w:ascii="微软雅黑" w:hAnsi="微软雅黑" w:eastAsia="微软雅黑" w:cs="微软雅黑"/>
          <w:b/>
          <w:color w:val="auto"/>
          <w:sz w:val="24"/>
          <w:highlight w:val="none"/>
        </w:rPr>
        <w:t>2.18 履约保证金</w:t>
      </w:r>
      <w:bookmarkEnd w:id="716"/>
      <w:bookmarkEnd w:id="717"/>
      <w:bookmarkEnd w:id="718"/>
      <w:bookmarkEnd w:id="719"/>
      <w:bookmarkEnd w:id="720"/>
      <w:bookmarkEnd w:id="721"/>
      <w:bookmarkEnd w:id="722"/>
      <w:bookmarkEnd w:id="723"/>
      <w:bookmarkEnd w:id="724"/>
      <w:bookmarkEnd w:id="725"/>
    </w:p>
    <w:p w14:paraId="48902137">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2.18.1 采购文件要求乙方提交履约保证金的，乙方应按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约定的方式，以支票、汇票、本票或者金融机构、担保机构出具的保函等非现金形式，提交不超过合同价10%的履约保证金；</w:t>
      </w:r>
    </w:p>
    <w:p w14:paraId="5C58137A">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2.18.2 履约保证金在</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约定期间内不予退还或者应完全有效，前述约定期间届满之日起个工作日内，甲方应将履约保证金退还乙方；</w:t>
      </w:r>
    </w:p>
    <w:p w14:paraId="275A1545">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26"/>
    <w:p w14:paraId="58AC1FA1">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2.19 合同份数</w:t>
      </w:r>
    </w:p>
    <w:p w14:paraId="369478E2">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合同份数按</w:t>
      </w:r>
      <w:r>
        <w:rPr>
          <w:rFonts w:hint="eastAsia" w:ascii="微软雅黑" w:hAnsi="微软雅黑" w:eastAsia="微软雅黑" w:cs="微软雅黑"/>
          <w:b/>
          <w:i/>
          <w:color w:val="auto"/>
          <w:sz w:val="24"/>
          <w:highlight w:val="none"/>
          <w:u w:val="single"/>
        </w:rPr>
        <w:t>合同专用条款</w:t>
      </w:r>
      <w:r>
        <w:rPr>
          <w:rFonts w:hint="eastAsia" w:ascii="微软雅黑" w:hAnsi="微软雅黑" w:eastAsia="微软雅黑" w:cs="微软雅黑"/>
          <w:color w:val="auto"/>
          <w:sz w:val="24"/>
          <w:highlight w:val="none"/>
        </w:rPr>
        <w:t>规定，每份均具有同等法律效力。</w:t>
      </w:r>
    </w:p>
    <w:p w14:paraId="11A88BE2">
      <w:pPr>
        <w:pStyle w:val="66"/>
        <w:pageBreakBefore w:val="0"/>
        <w:kinsoku/>
        <w:overflowPunct/>
        <w:bidi w:val="0"/>
        <w:snapToGrid w:val="0"/>
        <w:spacing w:line="312" w:lineRule="auto"/>
        <w:ind w:firstLine="0"/>
        <w:jc w:val="center"/>
        <w:outlineLvl w:val="0"/>
        <w:rPr>
          <w:rFonts w:hint="eastAsia" w:ascii="微软雅黑" w:hAnsi="微软雅黑" w:eastAsia="微软雅黑" w:cs="微软雅黑"/>
          <w:b/>
          <w:color w:val="auto"/>
          <w:szCs w:val="24"/>
          <w:highlight w:val="none"/>
        </w:rPr>
      </w:pPr>
      <w:bookmarkStart w:id="727" w:name="_Toc331685784"/>
      <w:bookmarkStart w:id="728" w:name="_Toc14757"/>
      <w:bookmarkStart w:id="729" w:name="_Toc30365"/>
      <w:r>
        <w:rPr>
          <w:rFonts w:hint="eastAsia" w:ascii="微软雅黑" w:hAnsi="微软雅黑" w:eastAsia="微软雅黑" w:cs="微软雅黑"/>
          <w:b/>
          <w:color w:val="auto"/>
          <w:szCs w:val="24"/>
          <w:highlight w:val="none"/>
        </w:rPr>
        <w:t>第三部分合同专用条款</w:t>
      </w:r>
      <w:bookmarkEnd w:id="727"/>
      <w:bookmarkEnd w:id="728"/>
      <w:bookmarkEnd w:id="729"/>
    </w:p>
    <w:p w14:paraId="716D0FD3">
      <w:pPr>
        <w:pageBreakBefore w:val="0"/>
        <w:kinsoku/>
        <w:overflowPunct/>
        <w:bidi w:val="0"/>
        <w:snapToGrid w:val="0"/>
        <w:spacing w:line="312" w:lineRule="auto"/>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97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944"/>
      </w:tblGrid>
      <w:tr w14:paraId="5D439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5319280C">
            <w:pPr>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条款号</w:t>
            </w:r>
          </w:p>
        </w:tc>
        <w:tc>
          <w:tcPr>
            <w:tcW w:w="8944" w:type="dxa"/>
            <w:vAlign w:val="center"/>
          </w:tcPr>
          <w:p w14:paraId="06CCD6FD">
            <w:pPr>
              <w:keepNext w:val="0"/>
              <w:keepLines w:val="0"/>
              <w:pageBreakBefore w:val="0"/>
              <w:suppressLineNumbers w:val="0"/>
              <w:kinsoku/>
              <w:overflowPunct/>
              <w:bidi w:val="0"/>
              <w:snapToGrid w:val="0"/>
              <w:spacing w:before="0" w:beforeAutospacing="0" w:after="0" w:afterAutospacing="0" w:line="312" w:lineRule="auto"/>
              <w:ind w:left="0" w:right="0"/>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约定内容</w:t>
            </w:r>
          </w:p>
        </w:tc>
      </w:tr>
      <w:tr w14:paraId="56DAE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F2C8D9B">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13D1FBC7">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3C81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FED9F85">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668D06E6">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2A3A9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EC34093">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30C9B02A">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723F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F23BFE6">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4599F792">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0B984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7504478">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576B01A5">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u w:val="single"/>
              </w:rPr>
            </w:pPr>
          </w:p>
        </w:tc>
      </w:tr>
      <w:tr w14:paraId="3CAF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3CF6818">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37E8A2CC">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106BD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142FBCB">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4986BC07">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u w:val="single"/>
              </w:rPr>
            </w:pPr>
          </w:p>
        </w:tc>
      </w:tr>
      <w:tr w14:paraId="7BBAC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CCD0C66">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15A703EA">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2413C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DEA2073">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1BBA1489">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487F1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0D304A2">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06F5A32F">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14828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61C3EA8">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26755904">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r w14:paraId="6964A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926C14C">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c>
          <w:tcPr>
            <w:tcW w:w="8944" w:type="dxa"/>
            <w:vAlign w:val="center"/>
          </w:tcPr>
          <w:p w14:paraId="76AA463A">
            <w:pPr>
              <w:keepNext w:val="0"/>
              <w:keepLines w:val="0"/>
              <w:pageBreakBefore w:val="0"/>
              <w:suppressLineNumbers w:val="0"/>
              <w:kinsoku/>
              <w:overflowPunct/>
              <w:bidi w:val="0"/>
              <w:snapToGrid w:val="0"/>
              <w:spacing w:before="0" w:beforeAutospacing="0" w:after="0" w:afterAutospacing="0" w:line="312" w:lineRule="auto"/>
              <w:ind w:left="0" w:right="0"/>
              <w:rPr>
                <w:rFonts w:hint="eastAsia" w:ascii="微软雅黑" w:hAnsi="微软雅黑" w:eastAsia="微软雅黑" w:cs="微软雅黑"/>
                <w:color w:val="auto"/>
                <w:sz w:val="24"/>
                <w:highlight w:val="none"/>
              </w:rPr>
            </w:pPr>
          </w:p>
        </w:tc>
      </w:tr>
    </w:tbl>
    <w:p w14:paraId="18AE513F">
      <w:pPr>
        <w:pageBreakBefore w:val="0"/>
        <w:kinsoku/>
        <w:overflowPunct/>
        <w:bidi w:val="0"/>
        <w:snapToGrid w:val="0"/>
        <w:spacing w:after="156" w:line="312" w:lineRule="auto"/>
        <w:ind w:firstLine="480"/>
        <w:rPr>
          <w:rFonts w:hint="eastAsia" w:ascii="微软雅黑" w:hAnsi="微软雅黑" w:eastAsia="微软雅黑" w:cs="微软雅黑"/>
          <w:color w:val="auto"/>
          <w:highlight w:val="none"/>
        </w:rPr>
      </w:pPr>
    </w:p>
    <w:p w14:paraId="650E5E3F">
      <w:pPr>
        <w:pStyle w:val="3"/>
        <w:pageBreakBefore w:val="0"/>
        <w:kinsoku/>
        <w:overflowPunct/>
        <w:bidi w:val="0"/>
        <w:snapToGrid w:val="0"/>
        <w:spacing w:before="0" w:line="312" w:lineRule="auto"/>
        <w:ind w:left="1080" w:leftChars="257" w:hanging="540"/>
        <w:outlineLvl w:val="9"/>
        <w:rPr>
          <w:rFonts w:hint="eastAsia" w:ascii="微软雅黑" w:hAnsi="微软雅黑" w:eastAsia="微软雅黑" w:cs="微软雅黑"/>
          <w:color w:val="auto"/>
          <w:sz w:val="24"/>
          <w:highlight w:val="none"/>
        </w:rPr>
      </w:pPr>
    </w:p>
    <w:p w14:paraId="664912DC">
      <w:pPr>
        <w:pageBreakBefore w:val="0"/>
        <w:kinsoku/>
        <w:overflowPunct/>
        <w:bidi w:val="0"/>
        <w:snapToGrid w:val="0"/>
        <w:spacing w:line="312" w:lineRule="auto"/>
        <w:rPr>
          <w:rFonts w:hint="eastAsia" w:ascii="微软雅黑" w:hAnsi="微软雅黑" w:eastAsia="微软雅黑" w:cs="微软雅黑"/>
          <w:color w:val="auto"/>
          <w:highlight w:val="none"/>
        </w:rPr>
      </w:pPr>
    </w:p>
    <w:p w14:paraId="357C99E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2B60DC41">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7877089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2A8C985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10F036C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67AA11D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4D68D91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p w14:paraId="6053B9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32"/>
          <w:szCs w:val="32"/>
          <w:highlight w:val="none"/>
          <w:u w:val="none"/>
        </w:rPr>
        <w:t>安 全 协 议 书</w:t>
      </w:r>
    </w:p>
    <w:p w14:paraId="2749515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bCs/>
          <w:color w:val="auto"/>
          <w:sz w:val="24"/>
          <w:szCs w:val="24"/>
          <w:highlight w:val="none"/>
          <w:u w:val="none"/>
          <w:lang w:val="en-US" w:eastAsia="zh-CN"/>
        </w:rPr>
      </w:pPr>
      <w:r>
        <w:rPr>
          <w:rFonts w:hint="eastAsia" w:ascii="微软雅黑" w:hAnsi="微软雅黑" w:eastAsia="微软雅黑" w:cs="微软雅黑"/>
          <w:color w:val="auto"/>
          <w:sz w:val="24"/>
          <w:szCs w:val="24"/>
          <w:highlight w:val="none"/>
          <w:lang w:val="zh-CN"/>
        </w:rPr>
        <w:t>根据</w:t>
      </w:r>
      <w:r>
        <w:rPr>
          <w:rFonts w:hint="eastAsia" w:ascii="微软雅黑" w:hAnsi="微软雅黑" w:eastAsia="微软雅黑" w:cs="微软雅黑"/>
          <w:color w:val="auto"/>
          <w:sz w:val="24"/>
          <w:highlight w:val="none"/>
          <w:lang w:val="zh-CN"/>
        </w:rPr>
        <w:t>《中华人民共和国</w:t>
      </w:r>
      <w:r>
        <w:rPr>
          <w:rFonts w:hint="eastAsia" w:ascii="微软雅黑" w:hAnsi="微软雅黑" w:eastAsia="微软雅黑" w:cs="微软雅黑"/>
          <w:color w:val="auto"/>
          <w:sz w:val="24"/>
          <w:highlight w:val="none"/>
          <w:lang w:val="en-US" w:eastAsia="zh-CN"/>
        </w:rPr>
        <w:t>民法典</w:t>
      </w:r>
      <w:r>
        <w:rPr>
          <w:rFonts w:hint="eastAsia" w:ascii="微软雅黑" w:hAnsi="微软雅黑" w:eastAsia="微软雅黑" w:cs="微软雅黑"/>
          <w:color w:val="auto"/>
          <w:sz w:val="24"/>
          <w:highlight w:val="none"/>
          <w:lang w:val="zh-CN"/>
        </w:rPr>
        <w:t>》</w:t>
      </w:r>
      <w:r>
        <w:rPr>
          <w:rFonts w:hint="eastAsia" w:ascii="微软雅黑" w:hAnsi="微软雅黑" w:eastAsia="微软雅黑" w:cs="微软雅黑"/>
          <w:color w:val="auto"/>
          <w:sz w:val="24"/>
          <w:szCs w:val="24"/>
          <w:highlight w:val="none"/>
          <w:lang w:val="zh-CN"/>
        </w:rPr>
        <w:t>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w:t>
      </w:r>
      <w:r>
        <w:rPr>
          <w:rFonts w:hint="eastAsia" w:ascii="微软雅黑" w:hAnsi="微软雅黑" w:eastAsia="微软雅黑" w:cs="微软雅黑"/>
          <w:b w:val="0"/>
          <w:i w:val="0"/>
          <w:color w:val="auto"/>
          <w:sz w:val="24"/>
          <w:szCs w:val="24"/>
          <w:highlight w:val="none"/>
          <w:u w:val="single"/>
          <w:lang w:eastAsia="zh-CN"/>
        </w:rPr>
        <w:t>投标人</w:t>
      </w:r>
      <w:r>
        <w:rPr>
          <w:rFonts w:hint="eastAsia" w:ascii="微软雅黑" w:hAnsi="微软雅黑" w:eastAsia="微软雅黑" w:cs="微软雅黑"/>
          <w:color w:val="auto"/>
          <w:sz w:val="24"/>
          <w:szCs w:val="24"/>
          <w:highlight w:val="none"/>
          <w:u w:val="single"/>
        </w:rPr>
        <w:t xml:space="preserve">名称）   </w:t>
      </w:r>
      <w:r>
        <w:rPr>
          <w:rFonts w:hint="eastAsia" w:ascii="微软雅黑" w:hAnsi="微软雅黑" w:eastAsia="微软雅黑" w:cs="微软雅黑"/>
          <w:color w:val="auto"/>
          <w:sz w:val="24"/>
          <w:szCs w:val="24"/>
          <w:highlight w:val="none"/>
          <w:lang w:val="zh-CN"/>
        </w:rPr>
        <w:t>(以下简称：乙方)协商一致，约定以下协议</w:t>
      </w:r>
      <w:r>
        <w:rPr>
          <w:rFonts w:hint="eastAsia" w:ascii="微软雅黑" w:hAnsi="微软雅黑" w:eastAsia="微软雅黑" w:cs="微软雅黑"/>
          <w:color w:val="auto"/>
          <w:sz w:val="24"/>
          <w:szCs w:val="24"/>
          <w:highlight w:val="none"/>
        </w:rPr>
        <w:t>条款，以兹共同遵守、全面履行。</w:t>
      </w:r>
    </w:p>
    <w:p w14:paraId="1E1E8D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rPr>
      </w:pPr>
      <w:r>
        <w:rPr>
          <w:rFonts w:hint="eastAsia" w:ascii="微软雅黑" w:hAnsi="微软雅黑" w:eastAsia="微软雅黑" w:cs="微软雅黑"/>
          <w:b w:val="0"/>
          <w:bCs w:val="0"/>
          <w:color w:val="auto"/>
          <w:sz w:val="24"/>
          <w:szCs w:val="24"/>
          <w:highlight w:val="none"/>
          <w:u w:val="none"/>
          <w:lang w:val="en-US" w:eastAsia="zh-CN"/>
        </w:rPr>
        <w:t>由</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（中标投标人名称）</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中标</w:t>
      </w:r>
      <w:r>
        <w:rPr>
          <w:rFonts w:hint="eastAsia" w:ascii="微软雅黑" w:hAnsi="微软雅黑" w:eastAsia="微软雅黑" w:cs="微软雅黑"/>
          <w:b w:val="0"/>
          <w:bCs w:val="0"/>
          <w:color w:val="auto"/>
          <w:sz w:val="24"/>
          <w:szCs w:val="24"/>
          <w:highlight w:val="none"/>
          <w:u w:val="none"/>
        </w:rPr>
        <w:t>组织的</w:t>
      </w:r>
      <w:r>
        <w:rPr>
          <w:rFonts w:hint="eastAsia" w:ascii="微软雅黑" w:hAnsi="微软雅黑" w:eastAsia="微软雅黑" w:cs="微软雅黑"/>
          <w:b w:val="0"/>
          <w:bCs w:val="0"/>
          <w:color w:val="auto"/>
          <w:sz w:val="24"/>
          <w:szCs w:val="24"/>
          <w:highlight w:val="none"/>
          <w:u w:val="none"/>
          <w:lang w:eastAsia="zh-CN"/>
        </w:rPr>
        <w:t>：</w:t>
      </w:r>
      <w:r>
        <w:rPr>
          <w:rFonts w:hint="eastAsia" w:ascii="微软雅黑" w:hAnsi="微软雅黑" w:eastAsia="微软雅黑" w:cs="微软雅黑"/>
          <w:b w:val="0"/>
          <w:bCs w:val="0"/>
          <w:color w:val="auto"/>
          <w:sz w:val="24"/>
          <w:szCs w:val="24"/>
          <w:highlight w:val="none"/>
          <w:u w:val="single"/>
          <w:lang w:val="en-US" w:eastAsia="zh-CN"/>
        </w:rPr>
        <w:t xml:space="preserve">  （项目名称） </w:t>
      </w:r>
      <w:r>
        <w:rPr>
          <w:rFonts w:hint="eastAsia" w:ascii="微软雅黑" w:hAnsi="微软雅黑" w:eastAsia="微软雅黑" w:cs="微软雅黑"/>
          <w:b w:val="0"/>
          <w:bCs w:val="0"/>
          <w:color w:val="auto"/>
          <w:sz w:val="24"/>
          <w:szCs w:val="24"/>
          <w:highlight w:val="none"/>
          <w:u w:val="none"/>
          <w:lang w:val="en-US" w:eastAsia="zh-CN"/>
        </w:rPr>
        <w:t>，出发时间：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月</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日</w:t>
      </w:r>
      <w:r>
        <w:rPr>
          <w:rFonts w:hint="eastAsia" w:ascii="微软雅黑" w:hAnsi="微软雅黑" w:eastAsia="微软雅黑" w:cs="微软雅黑"/>
          <w:b w:val="0"/>
          <w:bCs w:val="0"/>
          <w:color w:val="auto"/>
          <w:sz w:val="24"/>
          <w:szCs w:val="24"/>
          <w:highlight w:val="none"/>
          <w:u w:val="none"/>
          <w:lang w:eastAsia="zh-CN"/>
        </w:rPr>
        <w:t>，</w:t>
      </w:r>
      <w:r>
        <w:rPr>
          <w:rFonts w:hint="eastAsia" w:ascii="微软雅黑" w:hAnsi="微软雅黑" w:eastAsia="微软雅黑" w:cs="微软雅黑"/>
          <w:b w:val="0"/>
          <w:bCs w:val="0"/>
          <w:color w:val="auto"/>
          <w:sz w:val="24"/>
          <w:szCs w:val="24"/>
          <w:highlight w:val="none"/>
          <w:u w:val="none"/>
          <w:lang w:val="en-US" w:eastAsia="zh-CN"/>
        </w:rPr>
        <w:t>返回时间：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年</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月</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single"/>
        </w:rPr>
        <w:t>日</w:t>
      </w:r>
      <w:r>
        <w:rPr>
          <w:rFonts w:hint="eastAsia" w:ascii="微软雅黑" w:hAnsi="微软雅黑" w:eastAsia="微软雅黑" w:cs="微软雅黑"/>
          <w:b w:val="0"/>
          <w:bCs w:val="0"/>
          <w:color w:val="auto"/>
          <w:sz w:val="24"/>
          <w:szCs w:val="24"/>
          <w:highlight w:val="none"/>
          <w:u w:val="none"/>
          <w:lang w:eastAsia="zh-CN"/>
        </w:rPr>
        <w:t>。本</w:t>
      </w:r>
      <w:r>
        <w:rPr>
          <w:rFonts w:hint="eastAsia" w:ascii="微软雅黑" w:hAnsi="微软雅黑" w:eastAsia="微软雅黑" w:cs="微软雅黑"/>
          <w:b w:val="0"/>
          <w:bCs w:val="0"/>
          <w:color w:val="auto"/>
          <w:sz w:val="24"/>
          <w:szCs w:val="24"/>
          <w:highlight w:val="none"/>
          <w:u w:val="none"/>
          <w:lang w:val="en-US" w:eastAsia="zh-CN"/>
        </w:rPr>
        <w:t>项目参与培训人数：</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人</w:t>
      </w:r>
      <w:r>
        <w:rPr>
          <w:rFonts w:hint="eastAsia" w:ascii="微软雅黑" w:hAnsi="微软雅黑" w:eastAsia="微软雅黑" w:cs="微软雅黑"/>
          <w:b w:val="0"/>
          <w:bCs w:val="0"/>
          <w:color w:val="auto"/>
          <w:sz w:val="24"/>
          <w:szCs w:val="24"/>
          <w:highlight w:val="none"/>
          <w:u w:val="none"/>
        </w:rPr>
        <w:t>，</w:t>
      </w:r>
      <w:r>
        <w:rPr>
          <w:rFonts w:hint="eastAsia" w:ascii="微软雅黑" w:hAnsi="微软雅黑" w:eastAsia="微软雅黑" w:cs="微软雅黑"/>
          <w:b w:val="0"/>
          <w:bCs w:val="0"/>
          <w:color w:val="auto"/>
          <w:sz w:val="24"/>
          <w:szCs w:val="24"/>
          <w:highlight w:val="none"/>
          <w:u w:val="none"/>
          <w:lang w:val="en-US" w:eastAsia="zh-CN"/>
        </w:rPr>
        <w:t>乙方须将</w:t>
      </w:r>
      <w:r>
        <w:rPr>
          <w:rFonts w:hint="eastAsia" w:ascii="微软雅黑" w:hAnsi="微软雅黑" w:eastAsia="微软雅黑" w:cs="微软雅黑"/>
          <w:b w:val="0"/>
          <w:bCs w:val="0"/>
          <w:color w:val="auto"/>
          <w:sz w:val="24"/>
          <w:szCs w:val="24"/>
          <w:highlight w:val="none"/>
          <w:u w:val="single"/>
          <w:lang w:val="en-US" w:eastAsia="zh-CN"/>
        </w:rPr>
        <w:t xml:space="preserve"> 《安全须知》 </w:t>
      </w:r>
      <w:r>
        <w:rPr>
          <w:rFonts w:hint="eastAsia" w:ascii="微软雅黑" w:hAnsi="微软雅黑" w:eastAsia="微软雅黑" w:cs="微软雅黑"/>
          <w:b w:val="0"/>
          <w:bCs w:val="0"/>
          <w:color w:val="auto"/>
          <w:sz w:val="24"/>
          <w:szCs w:val="24"/>
          <w:highlight w:val="none"/>
          <w:u w:val="none"/>
          <w:lang w:val="en-US" w:eastAsia="zh-CN"/>
        </w:rPr>
        <w:t>告知每位服务对象并填写</w:t>
      </w:r>
      <w:r>
        <w:rPr>
          <w:rFonts w:hint="eastAsia" w:ascii="微软雅黑" w:hAnsi="微软雅黑" w:eastAsia="微软雅黑" w:cs="微软雅黑"/>
          <w:b w:val="0"/>
          <w:bCs w:val="0"/>
          <w:color w:val="auto"/>
          <w:sz w:val="24"/>
          <w:szCs w:val="24"/>
          <w:highlight w:val="none"/>
          <w:u w:val="single"/>
          <w:lang w:val="en-US" w:eastAsia="zh-CN"/>
        </w:rPr>
        <w:t xml:space="preserve"> 《身体健康情况表》 </w:t>
      </w:r>
      <w:r>
        <w:rPr>
          <w:rFonts w:hint="eastAsia" w:ascii="微软雅黑" w:hAnsi="微软雅黑" w:eastAsia="微软雅黑" w:cs="微软雅黑"/>
          <w:b w:val="0"/>
          <w:bCs w:val="0"/>
          <w:color w:val="auto"/>
          <w:sz w:val="24"/>
          <w:szCs w:val="24"/>
          <w:highlight w:val="none"/>
          <w:u w:val="none"/>
          <w:lang w:val="en-US" w:eastAsia="zh-CN"/>
        </w:rPr>
        <w:t>，并对参与项目培训的</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人作相关安全责任</w:t>
      </w:r>
      <w:r>
        <w:rPr>
          <w:rFonts w:hint="eastAsia" w:ascii="微软雅黑" w:hAnsi="微软雅黑" w:eastAsia="微软雅黑" w:cs="微软雅黑"/>
          <w:b w:val="0"/>
          <w:bCs w:val="0"/>
          <w:color w:val="auto"/>
          <w:sz w:val="24"/>
          <w:szCs w:val="24"/>
          <w:highlight w:val="none"/>
          <w:u w:val="none"/>
        </w:rPr>
        <w:t>承诺如下：</w:t>
      </w:r>
    </w:p>
    <w:p w14:paraId="5AED1DF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1.项目实施过程须了解关注服务对象的身体健康情况，并承诺能够完成此次培训的全部行程并按期返回。</w:t>
      </w:r>
    </w:p>
    <w:p w14:paraId="3FF9EA4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2.如因项目实施过程中出现组织纰漏导致意外事件发生，由乙方承担因此而产生的全部后果，并承担相应赔偿责任；如因服务对象本人未按要求如实告知相关健康情况或隐瞒自身健康的真实情况及意识性错误导致的意外伤害事故，由其本人承担因此而产生的全部后果；如因第三方责任造成的意外伤害事故，追偿事宜由乙方及其本人共同承担。</w:t>
      </w:r>
    </w:p>
    <w:p w14:paraId="66A85FE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3.项目实施过程中服务对象乘坐飞机时间较长，当地乘车路途较远且行程时间较长，为参与本项目培训的每一位服务对象购买意外保险</w:t>
      </w:r>
      <w:r>
        <w:rPr>
          <w:rFonts w:hint="eastAsia" w:ascii="微软雅黑" w:hAnsi="微软雅黑" w:eastAsia="微软雅黑" w:cs="微软雅黑"/>
          <w:b w:val="0"/>
          <w:bCs w:val="0"/>
          <w:color w:val="auto"/>
          <w:sz w:val="24"/>
          <w:szCs w:val="24"/>
          <w:highlight w:val="none"/>
          <w:u w:val="single"/>
          <w:lang w:val="en-US" w:eastAsia="zh-CN"/>
        </w:rPr>
        <w:t xml:space="preserve">           </w:t>
      </w:r>
      <w:r>
        <w:rPr>
          <w:rFonts w:hint="eastAsia" w:ascii="微软雅黑" w:hAnsi="微软雅黑" w:eastAsia="微软雅黑" w:cs="微软雅黑"/>
          <w:b w:val="0"/>
          <w:bCs w:val="0"/>
          <w:color w:val="auto"/>
          <w:sz w:val="24"/>
          <w:szCs w:val="24"/>
          <w:highlight w:val="none"/>
          <w:u w:val="none"/>
          <w:lang w:val="en-US" w:eastAsia="zh-CN"/>
        </w:rPr>
        <w:t>元，保险期间从培训开始之日起，直至培训结束之日止。</w:t>
      </w:r>
    </w:p>
    <w:p w14:paraId="4C137FC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b w:val="0"/>
          <w:bCs w:val="0"/>
          <w:color w:val="auto"/>
          <w:sz w:val="24"/>
          <w:szCs w:val="24"/>
          <w:highlight w:val="none"/>
          <w:u w:val="none"/>
          <w:lang w:val="en-US" w:eastAsia="zh-CN"/>
        </w:rPr>
        <w:t>以上承诺内容是对本项目采购合同的补充，如果与采购合同的约定不一致，应以本协议的约定为准。如违反该协议条款，依照主合同追究违约责任。</w:t>
      </w:r>
    </w:p>
    <w:p w14:paraId="49D0F0A8">
      <w:pPr>
        <w:keepNext w:val="0"/>
        <w:keepLines w:val="0"/>
        <w:pageBreakBefore w:val="0"/>
        <w:widowControl w:val="0"/>
        <w:kinsoku/>
        <w:wordWrap/>
        <w:overflowPunct/>
        <w:topLinePunct w:val="0"/>
        <w:bidi w:val="0"/>
        <w:snapToGrid/>
        <w:spacing w:line="288" w:lineRule="auto"/>
        <w:ind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本合同自双方当事人盖章或者签字时生效。</w:t>
      </w:r>
    </w:p>
    <w:p w14:paraId="2D51563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14:paraId="2FA66F0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w:t>
      </w:r>
    </w:p>
    <w:p w14:paraId="35202B71">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14:paraId="0BF9C10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14:paraId="4653B39D">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14:paraId="2F77028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14:paraId="1FD4FEB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zh-CN"/>
        </w:rPr>
        <w:t xml:space="preserve">电话: </w:t>
      </w:r>
    </w:p>
    <w:p w14:paraId="07E444A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微软雅黑 Light" w:hAnsi="微软雅黑 Light" w:eastAsia="微软雅黑 Light" w:cs="微软雅黑 Light"/>
          <w:b/>
          <w:bCs/>
          <w:color w:val="auto"/>
          <w:sz w:val="24"/>
          <w:szCs w:val="24"/>
          <w:highlight w:val="none"/>
        </w:rPr>
      </w:pPr>
    </w:p>
    <w:sectPr>
      <w:headerReference r:id="rId39" w:type="default"/>
      <w:footerReference r:id="rId40" w:type="default"/>
      <w:pgSz w:w="11907" w:h="16840"/>
      <w:pgMar w:top="1134" w:right="1080" w:bottom="1134" w:left="1080" w:header="851" w:footer="850" w:gutter="0"/>
      <w:pgNumType w:fmt="decimal"/>
      <w:cols w:space="72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39DF85-BE76-4C8E-B66C-3DF6C4CA25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134970A9-0B6A-4858-8238-215871424538}"/>
  </w:font>
  <w:font w:name="方正小标宋简体">
    <w:panose1 w:val="02000000000000000000"/>
    <w:charset w:val="86"/>
    <w:family w:val="auto"/>
    <w:pitch w:val="default"/>
    <w:sig w:usb0="00000001" w:usb1="08000000" w:usb2="00000000" w:usb3="00000000" w:csb0="00040000" w:csb1="00000000"/>
    <w:embedRegular r:id="rId3" w:fontKey="{D009982A-14FD-4BBE-B042-C0D8B41E4DB2}"/>
  </w:font>
  <w:font w:name="微软雅黑 Light">
    <w:panose1 w:val="020B0502040204020203"/>
    <w:charset w:val="86"/>
    <w:family w:val="auto"/>
    <w:pitch w:val="default"/>
    <w:sig w:usb0="80000287" w:usb1="2ACF0010" w:usb2="00000016" w:usb3="00000000" w:csb0="0004001F" w:csb1="00000000"/>
    <w:embedRegular r:id="rId4" w:fontKey="{E11B05ED-2DDB-4572-B0C6-B94AF005E48C}"/>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A455">
    <w:pPr>
      <w:pStyle w:val="21"/>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AC6A">
    <w:pPr>
      <w:spacing w:line="171" w:lineRule="auto"/>
      <w:ind w:left="4325"/>
      <w:rPr>
        <w:rFonts w:ascii="宋体" w:hAnsi="宋体" w:eastAsia="宋体" w:cs="宋体"/>
        <w:sz w:val="16"/>
        <w:szCs w:val="16"/>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3280A">
                          <w:pPr>
                            <w:pStyle w:val="21"/>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0A63280A">
                    <w:pPr>
                      <w:pStyle w:val="21"/>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84832">
    <w:pPr>
      <w:spacing w:line="171" w:lineRule="auto"/>
      <w:ind w:left="4325"/>
      <w:rPr>
        <w:rFonts w:ascii="宋体" w:hAnsi="宋体" w:eastAsia="宋体" w:cs="宋体"/>
        <w:sz w:val="16"/>
        <w:szCs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B3366">
                          <w:pPr>
                            <w:pStyle w:val="21"/>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sDyPD3gEAAMADAAAOAAAAAAAA&#10;AAEAIAAAAB4BAABkcnMvZTJvRG9jLnhtbFBLBQYAAAAABgAGAFkBAABuBQAAAAA=&#10;">
              <v:fill on="f" focussize="0,0"/>
              <v:stroke on="f"/>
              <v:imagedata o:title=""/>
              <o:lock v:ext="edit" aspectratio="f"/>
              <v:textbox inset="0mm,0mm,0mm,0mm" style="mso-fit-shape-to-text:t;">
                <w:txbxContent>
                  <w:p w14:paraId="177B3366">
                    <w:pPr>
                      <w:pStyle w:val="21"/>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898D">
    <w:pPr>
      <w:pStyle w:val="21"/>
      <w:ind w:right="360" w:firstLine="360"/>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310F01">
                          <w:pPr>
                            <w:pStyle w:val="21"/>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b6gfgAQAAwAMAAA4AAAAA&#10;AAAAAQAgAAAAHgEAAGRycy9lMm9Eb2MueG1sUEsFBgAAAAAGAAYAWQEAAHAFAAAAAA==&#10;">
              <v:fill on="f" focussize="0,0"/>
              <v:stroke on="f"/>
              <v:imagedata o:title=""/>
              <o:lock v:ext="edit" aspectratio="f"/>
              <v:textbox inset="0mm,0mm,0mm,0mm" style="mso-fit-shape-to-text:t;">
                <w:txbxContent>
                  <w:p w14:paraId="39310F01">
                    <w:pPr>
                      <w:pStyle w:val="21"/>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F47C">
    <w:pPr>
      <w:pStyle w:val="21"/>
      <w:ind w:right="360" w:firstLine="360"/>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6B7ED0">
                          <w:pPr>
                            <w:pStyle w:val="21"/>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KJjuKt8BAADAAwAADgAAAAAA&#10;AAABACAAAAAeAQAAZHJzL2Uyb0RvYy54bWxQSwUGAAAAAAYABgBZAQAAbwUAAAAA&#10;">
              <v:fill on="f" focussize="0,0"/>
              <v:stroke on="f"/>
              <v:imagedata o:title=""/>
              <o:lock v:ext="edit" aspectratio="f"/>
              <v:textbox inset="0mm,0mm,0mm,0mm" style="mso-fit-shape-to-text:t;">
                <w:txbxContent>
                  <w:p w14:paraId="526B7ED0">
                    <w:pPr>
                      <w:pStyle w:val="21"/>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5059">
    <w:pPr>
      <w:pStyle w:val="21"/>
      <w:ind w:right="360" w:firstLine="360"/>
      <w:jc w:val="right"/>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D429CE">
                          <w:pPr>
                            <w:pStyle w:val="21"/>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b+cN4BAADB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y3KdFOpDrCjxLlAqDq/9QNmzP5IzER9asOlPlBjFSd/zVV81IJPp0nq1XpcUkhSbD4Rf3F8PEPGt&#10;8pYlo+ZAA8y6itP7iGPqnJKqOX+rjclDNO4vB2EmT5F6H3tMFg77YSK0982Z+NBLoDqdh6+c9bQH&#10;NXe09pyZd45kTiszGzAb+9kQTtLFmiNno/kGx9U6BtCHLi9baiqGV0ekTjOB1MZYe+qOJpslmLYw&#10;rc7Dc866f3n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lv5w3gEAAMEDAAAOAAAAAAAA&#10;AAEAIAAAAB4BAABkcnMvZTJvRG9jLnhtbFBLBQYAAAAABgAGAFkBAABuBQAAAAA=&#10;">
              <v:fill on="f" focussize="0,0"/>
              <v:stroke on="f"/>
              <v:imagedata o:title=""/>
              <o:lock v:ext="edit" aspectratio="f"/>
              <v:textbox inset="0mm,0mm,0mm,0mm" style="mso-fit-shape-to-text:t;">
                <w:txbxContent>
                  <w:p w14:paraId="45D429CE">
                    <w:pPr>
                      <w:pStyle w:val="21"/>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2B16">
    <w:pPr>
      <w:pStyle w:val="2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37CD9">
                          <w:pPr>
                            <w:pStyle w:val="21"/>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MaOeABAADBAwAADgAAAGRycy9lMm9Eb2MueG1srVPNjtMwEL4j8Q6W&#10;7zRpk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a9qEl5w5YWni518/z7//nv/8&#10;YPPydVKoC3FFiTeBUrF/63vKnvyRnIl434BNf6LEKE76ni76qh6ZTJeWi+WypJCk2HQg/OLueoCI&#10;75W3LBkVBxpg1lUcP0YcUqeUVM35a21MHqJx/zkIM3mK1PvQY7Kw3/UjoZ2vT8SHXgLVaT1856yj&#10;Pai4o7XnzHxwJHNamcmAydhNhnCSLlYcORvMdzis1iGA3rd52VJTMbw5IHWaCaQ2htpjdzTZLMG4&#10;hWl1/j3nrLuX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2DGjngAQAAwQMAAA4AAAAA&#10;AAAAAQAgAAAAHgEAAGRycy9lMm9Eb2MueG1sUEsFBgAAAAAGAAYAWQEAAHAFAAAAAA==&#10;">
              <v:fill on="f" focussize="0,0"/>
              <v:stroke on="f"/>
              <v:imagedata o:title=""/>
              <o:lock v:ext="edit" aspectratio="f"/>
              <v:textbox inset="0mm,0mm,0mm,0mm" style="mso-fit-shape-to-text:t;">
                <w:txbxContent>
                  <w:p w14:paraId="25E37CD9">
                    <w:pPr>
                      <w:pStyle w:val="21"/>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5F3">
    <w:pPr>
      <w:pStyle w:val="21"/>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2EFD5">
                          <w:pPr>
                            <w:pStyle w:val="21"/>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0"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jv6Vt8BAADB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oU244cwJSxM/ff92+vHr9PMr&#10;m8+zQr2PFSU+eErF4TUMlJ2US/5IzkR8aINNf6LEKE76Hi/6qgGZTJeWi+WypJCk2PlAOMX1ug8R&#10;3yiwLBk1DzTArKs4vIs4pp5TUjUH99qYPETj/nIQZvIU1x6ThcN2mBrfQnMkPvQSqE4H4QtnPe1B&#10;zR2tPWfmrSOZ08qcjXA2tmdDOEkXa46cjeYdjqu190HvurxsqanoX+2ROs0EUhtj7ak7mmyWYNrC&#10;tDp/nnPW9eW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jv6Vt8BAADBAwAADgAAAAAA&#10;AAABACAAAAAeAQAAZHJzL2Uyb0RvYy54bWxQSwUGAAAAAAYABgBZAQAAbwUAAAAA&#10;">
              <v:fill on="f" focussize="0,0"/>
              <v:stroke on="f"/>
              <v:imagedata o:title=""/>
              <o:lock v:ext="edit" aspectratio="f"/>
              <v:textbox inset="0mm,0mm,0mm,0mm" style="mso-fit-shape-to-text:t;">
                <w:txbxContent>
                  <w:p w14:paraId="6E72EFD5">
                    <w:pPr>
                      <w:pStyle w:val="21"/>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p w14:paraId="58A33BED">
    <w:pPr>
      <w:pStyle w:val="21"/>
      <w:ind w:right="360"/>
      <w:jc w:val="right"/>
      <w:rPr>
        <w:rFonts w:hint="eastAsi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EE09">
    <w:pPr>
      <w:spacing w:line="175" w:lineRule="auto"/>
      <w:ind w:left="4060"/>
      <w:rPr>
        <w:rFonts w:ascii="宋体" w:hAnsi="宋体" w:eastAsia="宋体" w:cs="宋体"/>
        <w:sz w:val="23"/>
        <w:szCs w:val="23"/>
      </w:rPr>
    </w:pPr>
    <w:r>
      <w:rPr>
        <w:sz w:val="2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9E1CD">
                          <w:pPr>
                            <w:pStyle w:val="21"/>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qw3v98BAADBAwAADgAAAAAA&#10;AAABACAAAAAeAQAAZHJzL2Uyb0RvYy54bWxQSwUGAAAAAAYABgBZAQAAbwUAAAAA&#10;">
              <v:fill on="f" focussize="0,0"/>
              <v:stroke on="f"/>
              <v:imagedata o:title=""/>
              <o:lock v:ext="edit" aspectratio="f"/>
              <v:textbox inset="0mm,0mm,0mm,0mm" style="mso-fit-shape-to-text:t;">
                <w:txbxContent>
                  <w:p w14:paraId="5A19E1CD">
                    <w:pPr>
                      <w:pStyle w:val="21"/>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BFC0">
    <w:pPr>
      <w:pStyle w:val="21"/>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97A5F6">
                          <w:pPr>
                            <w:pStyle w:val="21"/>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xMQXt8BAADBAwAADgAAAAAA&#10;AAABACAAAAAeAQAAZHJzL2Uyb0RvYy54bWxQSwUGAAAAAAYABgBZAQAAbwUAAAAA&#10;">
              <v:fill on="f" focussize="0,0"/>
              <v:stroke on="f"/>
              <v:imagedata o:title=""/>
              <o:lock v:ext="edit" aspectratio="f"/>
              <v:textbox inset="0mm,0mm,0mm,0mm" style="mso-fit-shape-to-text:t;">
                <w:txbxContent>
                  <w:p w14:paraId="3797A5F6">
                    <w:pPr>
                      <w:pStyle w:val="21"/>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p>
  <w:p w14:paraId="1068F1E8">
    <w:pPr>
      <w:pStyle w:val="21"/>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A6EE">
    <w:pPr>
      <w:pStyle w:val="21"/>
      <w:ind w:right="360" w:firstLine="360"/>
      <w:jc w:val="right"/>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96FE7">
                          <w:pPr>
                            <w:pStyle w:val="21"/>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rj+Bt8BAADBAwAADgAAAAAA&#10;AAABACAAAAAeAQAAZHJzL2Uyb0RvYy54bWxQSwUGAAAAAAYABgBZAQAAbwUAAAAA&#10;">
              <v:fill on="f" focussize="0,0"/>
              <v:stroke on="f"/>
              <v:imagedata o:title=""/>
              <o:lock v:ext="edit" aspectratio="f"/>
              <v:textbox inset="0mm,0mm,0mm,0mm" style="mso-fit-shape-to-text:t;">
                <w:txbxContent>
                  <w:p w14:paraId="22396FE7">
                    <w:pPr>
                      <w:pStyle w:val="21"/>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2BD53">
    <w:pPr>
      <w:pStyle w:val="21"/>
      <w:ind w:right="360" w:firstLine="360"/>
      <w:jc w:val="right"/>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C56BFD">
                          <w:pPr>
                            <w:pStyle w:val="21"/>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nhsGH3gEAAMEDAAAOAAAAAAAA&#10;AAEAIAAAAB4BAABkcnMvZTJvRG9jLnhtbFBLBQYAAAAABgAGAFkBAABuBQAAAAA=&#10;">
              <v:fill on="f" focussize="0,0"/>
              <v:stroke on="f"/>
              <v:imagedata o:title=""/>
              <o:lock v:ext="edit" aspectratio="f"/>
              <v:textbox inset="0mm,0mm,0mm,0mm" style="mso-fit-shape-to-text:t;">
                <w:txbxContent>
                  <w:p w14:paraId="5BC56BFD">
                    <w:pPr>
                      <w:pStyle w:val="21"/>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C605">
    <w:pPr>
      <w:pStyle w:val="21"/>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DA8EA">
                          <w:pPr>
                            <w:pStyle w:val="21"/>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65DA8EA">
                    <w:pPr>
                      <w:pStyle w:val="21"/>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D62ED">
    <w:pPr>
      <w:pStyle w:val="21"/>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64082A">
                          <w:pPr>
                            <w:pStyle w:val="21"/>
                          </w:pPr>
                          <w:r>
                            <w:t xml:space="preserve">第 </w:t>
                          </w:r>
                          <w:r>
                            <w:fldChar w:fldCharType="begin"/>
                          </w:r>
                          <w:r>
                            <w:instrText xml:space="preserve"> PAGE  \* MERGEFORMAT </w:instrText>
                          </w:r>
                          <w:r>
                            <w:fldChar w:fldCharType="separate"/>
                          </w:r>
                          <w:r>
                            <w:t>97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zdeN8BAADBAwAADgAAAGRycy9lMm9Eb2MueG1srVNNrtMwEN4jcQfL&#10;e5q0E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GNoHm7oSliV++f7v8+HX5+ZUt&#10;l8+TQn3AihLvAqXG4ZUfKHv2IzkT8aEFm/5EiVGc9D1f9VVDZDJdWq/W65JCkmLzgfCL++sBML5R&#10;3rJk1BxogFlXcXqHcUydU1I152+1MXmIxv3lIMzkKVLvY4/JisN+mAjtfXMmPvQSqE7n4QtnPe1B&#10;zR2tPWfmrSOZ08rMBszGfjaEk3Sx5pGz0Xwdx9U6BtCHLi9bagrDy2OkTjOB1MZYe+qOJpslmLYw&#10;rc6f55x1//K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nzdeN8BAADBAwAADgAAAAAA&#10;AAABACAAAAAeAQAAZHJzL2Uyb0RvYy54bWxQSwUGAAAAAAYABgBZAQAAbwUAAAAA&#10;">
              <v:fill on="f" focussize="0,0"/>
              <v:stroke on="f"/>
              <v:imagedata o:title=""/>
              <o:lock v:ext="edit" aspectratio="f"/>
              <v:textbox inset="0mm,0mm,0mm,0mm" style="mso-fit-shape-to-text:t;">
                <w:txbxContent>
                  <w:p w14:paraId="0364082A">
                    <w:pPr>
                      <w:pStyle w:val="21"/>
                    </w:pPr>
                    <w:r>
                      <w:t xml:space="preserve">第 </w:t>
                    </w:r>
                    <w:r>
                      <w:fldChar w:fldCharType="begin"/>
                    </w:r>
                    <w:r>
                      <w:instrText xml:space="preserve"> PAGE  \* MERGEFORMAT </w:instrText>
                    </w:r>
                    <w:r>
                      <w:fldChar w:fldCharType="separate"/>
                    </w:r>
                    <w:r>
                      <w:t>97</w:t>
                    </w:r>
                    <w:r>
                      <w:fldChar w:fldCharType="end"/>
                    </w:r>
                    <w:r>
                      <w:t xml:space="preserve"> 页</w:t>
                    </w:r>
                  </w:p>
                </w:txbxContent>
              </v:textbox>
            </v:shape>
          </w:pict>
        </mc:Fallback>
      </mc:AlternateContent>
    </w:r>
  </w:p>
  <w:p w14:paraId="03783820">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6A86">
    <w:pPr>
      <w:pStyle w:val="21"/>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76D0F">
                          <w:pPr>
                            <w:pStyle w:val="21"/>
                            <w:rPr>
                              <w:rFonts w:hint="eastAsia" w:ascii="微软雅黑" w:hAnsi="微软雅黑" w:eastAsia="微软雅黑" w:cs="微软雅黑"/>
                              <w:sz w:val="18"/>
                              <w:szCs w:val="20"/>
                            </w:rPr>
                          </w:pPr>
                          <w:r>
                            <w:rPr>
                              <w:rFonts w:hint="eastAsia" w:ascii="微软雅黑" w:hAnsi="微软雅黑" w:eastAsia="微软雅黑" w:cs="微软雅黑"/>
                              <w:sz w:val="18"/>
                              <w:szCs w:val="20"/>
                            </w:rPr>
                            <w:t xml:space="preserve">第 </w:t>
                          </w:r>
                          <w:r>
                            <w:rPr>
                              <w:rFonts w:hint="eastAsia" w:ascii="微软雅黑" w:hAnsi="微软雅黑" w:eastAsia="微软雅黑" w:cs="微软雅黑"/>
                              <w:sz w:val="18"/>
                              <w:szCs w:val="20"/>
                            </w:rPr>
                            <w:fldChar w:fldCharType="begin"/>
                          </w:r>
                          <w:r>
                            <w:rPr>
                              <w:rFonts w:hint="eastAsia" w:ascii="微软雅黑" w:hAnsi="微软雅黑" w:eastAsia="微软雅黑" w:cs="微软雅黑"/>
                              <w:sz w:val="18"/>
                              <w:szCs w:val="20"/>
                            </w:rPr>
                            <w:instrText xml:space="preserve"> PAGE  \* MERGEFORMAT </w:instrText>
                          </w:r>
                          <w:r>
                            <w:rPr>
                              <w:rFonts w:hint="eastAsia" w:ascii="微软雅黑" w:hAnsi="微软雅黑" w:eastAsia="微软雅黑" w:cs="微软雅黑"/>
                              <w:sz w:val="18"/>
                              <w:szCs w:val="20"/>
                            </w:rPr>
                            <w:fldChar w:fldCharType="separate"/>
                          </w:r>
                          <w:r>
                            <w:rPr>
                              <w:rFonts w:hint="eastAsia" w:ascii="微软雅黑" w:hAnsi="微软雅黑" w:eastAsia="微软雅黑" w:cs="微软雅黑"/>
                              <w:sz w:val="18"/>
                              <w:szCs w:val="20"/>
                            </w:rPr>
                            <w:t>1</w:t>
                          </w:r>
                          <w:r>
                            <w:rPr>
                              <w:rFonts w:hint="eastAsia" w:ascii="微软雅黑" w:hAnsi="微软雅黑" w:eastAsia="微软雅黑" w:cs="微软雅黑"/>
                              <w:sz w:val="18"/>
                              <w:szCs w:val="20"/>
                            </w:rPr>
                            <w:fldChar w:fldCharType="end"/>
                          </w:r>
                          <w:r>
                            <w:rPr>
                              <w:rFonts w:hint="eastAsia" w:ascii="微软雅黑" w:hAnsi="微软雅黑" w:eastAsia="微软雅黑" w:cs="微软雅黑"/>
                              <w:sz w:val="18"/>
                              <w:szCs w:val="20"/>
                            </w:rPr>
                            <w:t xml:space="preserve"> 页</w:t>
                          </w:r>
                        </w:p>
                      </w:txbxContent>
                    </wps:txbx>
                    <wps:bodyPr vert="horz" wrap="none" lIns="0" tIns="0" rIns="0" bIns="0" anchor="t" anchorCtr="0" upright="0">
                      <a:spAutoFit/>
                    </wps:bodyPr>
                  </wps:wsp>
                </a:graphicData>
              </a:graphic>
            </wp:anchor>
          </w:drawing>
        </mc:Choice>
        <mc:Fallback>
          <w:pict>
            <v:shape id="文本框 10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D0AZfdAQAAwAMAAA4AAAAAAAAA&#10;AQAgAAAAHgEAAGRycy9lMm9Eb2MueG1sUEsFBgAAAAAGAAYAWQEAAG0FAAAAAA==&#10;">
              <v:fill on="f" focussize="0,0"/>
              <v:stroke on="f"/>
              <v:imagedata o:title=""/>
              <o:lock v:ext="edit" aspectratio="f"/>
              <v:textbox inset="0mm,0mm,0mm,0mm" style="mso-fit-shape-to-text:t;">
                <w:txbxContent>
                  <w:p w14:paraId="78D76D0F">
                    <w:pPr>
                      <w:pStyle w:val="21"/>
                      <w:rPr>
                        <w:rFonts w:hint="eastAsia" w:ascii="微软雅黑" w:hAnsi="微软雅黑" w:eastAsia="微软雅黑" w:cs="微软雅黑"/>
                        <w:sz w:val="18"/>
                        <w:szCs w:val="20"/>
                      </w:rPr>
                    </w:pPr>
                    <w:r>
                      <w:rPr>
                        <w:rFonts w:hint="eastAsia" w:ascii="微软雅黑" w:hAnsi="微软雅黑" w:eastAsia="微软雅黑" w:cs="微软雅黑"/>
                        <w:sz w:val="18"/>
                        <w:szCs w:val="20"/>
                      </w:rPr>
                      <w:t xml:space="preserve">第 </w:t>
                    </w:r>
                    <w:r>
                      <w:rPr>
                        <w:rFonts w:hint="eastAsia" w:ascii="微软雅黑" w:hAnsi="微软雅黑" w:eastAsia="微软雅黑" w:cs="微软雅黑"/>
                        <w:sz w:val="18"/>
                        <w:szCs w:val="20"/>
                      </w:rPr>
                      <w:fldChar w:fldCharType="begin"/>
                    </w:r>
                    <w:r>
                      <w:rPr>
                        <w:rFonts w:hint="eastAsia" w:ascii="微软雅黑" w:hAnsi="微软雅黑" w:eastAsia="微软雅黑" w:cs="微软雅黑"/>
                        <w:sz w:val="18"/>
                        <w:szCs w:val="20"/>
                      </w:rPr>
                      <w:instrText xml:space="preserve"> PAGE  \* MERGEFORMAT </w:instrText>
                    </w:r>
                    <w:r>
                      <w:rPr>
                        <w:rFonts w:hint="eastAsia" w:ascii="微软雅黑" w:hAnsi="微软雅黑" w:eastAsia="微软雅黑" w:cs="微软雅黑"/>
                        <w:sz w:val="18"/>
                        <w:szCs w:val="20"/>
                      </w:rPr>
                      <w:fldChar w:fldCharType="separate"/>
                    </w:r>
                    <w:r>
                      <w:rPr>
                        <w:rFonts w:hint="eastAsia" w:ascii="微软雅黑" w:hAnsi="微软雅黑" w:eastAsia="微软雅黑" w:cs="微软雅黑"/>
                        <w:sz w:val="18"/>
                        <w:szCs w:val="20"/>
                      </w:rPr>
                      <w:t>1</w:t>
                    </w:r>
                    <w:r>
                      <w:rPr>
                        <w:rFonts w:hint="eastAsia" w:ascii="微软雅黑" w:hAnsi="微软雅黑" w:eastAsia="微软雅黑" w:cs="微软雅黑"/>
                        <w:sz w:val="18"/>
                        <w:szCs w:val="20"/>
                      </w:rPr>
                      <w:fldChar w:fldCharType="end"/>
                    </w:r>
                    <w:r>
                      <w:rPr>
                        <w:rFonts w:hint="eastAsia" w:ascii="微软雅黑" w:hAnsi="微软雅黑" w:eastAsia="微软雅黑" w:cs="微软雅黑"/>
                        <w:sz w:val="18"/>
                        <w:szCs w:val="20"/>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46A7B">
    <w:pPr>
      <w:pStyle w:val="21"/>
      <w:ind w:right="360" w:firstLine="360"/>
      <w:jc w:val="right"/>
      <w:rPr>
        <w:color w:val="FF000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98E6B">
                          <w:pPr>
                            <w:pStyle w:val="21"/>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D9vt4BAADA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q84c8LSwC8/vl9+/r78+saW&#10;5TIJ1PtQUd6dp8w4vIaB1mb2B3Im3kOLNv2JEaM4yXu+yquGyGS6tF6t1yWFJMXmA+EX99c9hvhW&#10;gWXJqDnS/LKs4vQ+xDF1TknVHNxqY/IMjfvLQZjJU6Texx6TFYf9MBHaQ3MmPvQQqE4H+JWzntag&#10;5o62njPzzpHKaWNmA2djPxvCSbpY88jZaL6J42YdPepDl3ctNRX8q2OkTjOB1MZYe+qOBpslmJYw&#10;bc7Dc866f3j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P2+3gEAAMADAAAOAAAAAAAA&#10;AAEAIAAAAB4BAABkcnMvZTJvRG9jLnhtbFBLBQYAAAAABgAGAFkBAABuBQAAAAA=&#10;">
              <v:fill on="f" focussize="0,0"/>
              <v:stroke on="f"/>
              <v:imagedata o:title=""/>
              <o:lock v:ext="edit" aspectratio="f"/>
              <v:textbox inset="0mm,0mm,0mm,0mm" style="mso-fit-shape-to-text:t;">
                <w:txbxContent>
                  <w:p w14:paraId="2E598E6B">
                    <w:pPr>
                      <w:pStyle w:val="21"/>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C894">
    <w:pPr>
      <w:pStyle w:val="21"/>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118C5">
                          <w:pPr>
                            <w:pStyle w:val="21"/>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zrn9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qskUB+gory7QJk4vPIDrc3sB3Im3kMbbfoTI0Zxkvd8lVcNyGS6tF6t1yWFJMXmA+EX99dDBHyj&#10;vGXJqHmk+WVZxekd4Jg6p6Rqzt9qY/IMjfvLQZjJU6Texx6ThcN+mAjtfXMmPvQQqE7n4xfOelqD&#10;mjvaes7MW0cqp42ZjTgb+9kQTtLFmiNno/kax806hqgPXd611BSEl0ekTjOB1MZYe+qOBpslmJYw&#10;bc6f55x1//C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dzrn98BAADAAwAADgAAAAAA&#10;AAABACAAAAAeAQAAZHJzL2Uyb0RvYy54bWxQSwUGAAAAAAYABgBZAQAAbwUAAAAA&#10;">
              <v:fill on="f" focussize="0,0"/>
              <v:stroke on="f"/>
              <v:imagedata o:title=""/>
              <o:lock v:ext="edit" aspectratio="f"/>
              <v:textbox inset="0mm,0mm,0mm,0mm" style="mso-fit-shape-to-text:t;">
                <w:txbxContent>
                  <w:p w14:paraId="364118C5">
                    <w:pPr>
                      <w:pStyle w:val="21"/>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BE73">
    <w:pPr>
      <w:pStyle w:val="21"/>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D88B8E">
                          <w:pPr>
                            <w:pStyle w:val="21"/>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gE7eABAADAAwAADgAAAGRycy9lMm9Eb2MueG1srVPNjtMwEL4j8Q6W&#10;7zRpQ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FXnDlhaeDnXz/Pv/+e//xg&#10;8/Jl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RIBO3gAQAAwAMAAA4AAAAA&#10;AAAAAQAgAAAAHgEAAGRycy9lMm9Eb2MueG1sUEsFBgAAAAAGAAYAWQEAAHAFAAAAAA==&#10;">
              <v:fill on="f" focussize="0,0"/>
              <v:stroke on="f"/>
              <v:imagedata o:title=""/>
              <o:lock v:ext="edit" aspectratio="f"/>
              <v:textbox inset="0mm,0mm,0mm,0mm" style="mso-fit-shape-to-text:t;">
                <w:txbxContent>
                  <w:p w14:paraId="4DD88B8E">
                    <w:pPr>
                      <w:pStyle w:val="21"/>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18E7">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59FBF">
                          <w:pPr>
                            <w:pStyle w:val="21"/>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qXVhuABAADAAwAADgAAAGRycy9lMm9Eb2MueG1srVPNjtMwEL4j8Q6W&#10;7zRpB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XfFXnDlhaeDnXz/Pv/+e//xg&#10;8/JlEqgLuKK8m0CZsX/re1qbyY/kTLz7Bmz6EyNGcZL3dJFX9ZHJdGm5WC5LCkmKTQfCL+6uB8D4&#10;XnnLklFxoPllWcXxI8YhdUpJ1Zy/1sbkGRr3n4Mwk6dIvQ89Jiv2u34ktPP1ifjQQ6A6rYfvnHW0&#10;BhV3tPWcmQ+OVE4bMxkwGbvJEE7SxYpHzgbzXRw26xBA79u8a6kpDG8OkTrNBFIbQ+2xOxpslmBc&#10;wrQ5/55z1t3D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Kl1YbgAQAAwAMAAA4AAAAA&#10;AAAAAQAgAAAAHgEAAGRycy9lMm9Eb2MueG1sUEsFBgAAAAAGAAYAWQEAAHAFAAAAAA==&#10;">
              <v:fill on="f" focussize="0,0"/>
              <v:stroke on="f"/>
              <v:imagedata o:title=""/>
              <o:lock v:ext="edit" aspectratio="f"/>
              <v:textbox inset="0mm,0mm,0mm,0mm" style="mso-fit-shape-to-text:t;">
                <w:txbxContent>
                  <w:p w14:paraId="71659FBF">
                    <w:pPr>
                      <w:pStyle w:val="21"/>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p w14:paraId="61F16028">
    <w:pPr>
      <w:pStyle w:val="21"/>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1DDB">
    <w:pPr>
      <w:pStyle w:val="2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1B01D9">
                          <w:pPr>
                            <w:pStyle w:val="21"/>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4OmZt8BAADAAwAADgAAAAAA&#10;AAABACAAAAAeAQAAZHJzL2Uyb0RvYy54bWxQSwUGAAAAAAYABgBZAQAAbwUAAAAA&#10;">
              <v:fill on="f" focussize="0,0"/>
              <v:stroke on="f"/>
              <v:imagedata o:title=""/>
              <o:lock v:ext="edit" aspectratio="f"/>
              <v:textbox inset="0mm,0mm,0mm,0mm" style="mso-fit-shape-to-text:t;">
                <w:txbxContent>
                  <w:p w14:paraId="6C1B01D9">
                    <w:pPr>
                      <w:pStyle w:val="21"/>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p w14:paraId="11F0F28A">
    <w:pPr>
      <w:pStyle w:val="21"/>
      <w:ind w:right="360"/>
      <w:jc w:val="right"/>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47DC">
    <w:pPr>
      <w:pStyle w:val="21"/>
      <w:ind w:right="360" w:firstLine="360"/>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A8225">
                          <w:pPr>
                            <w:pStyle w:val="21"/>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ham3XgAQAAwQMAAA4AAAAA&#10;AAAAAQAgAAAAHgEAAGRycy9lMm9Eb2MueG1sUEsFBgAAAAAGAAYAWQEAAHAFAAAAAA==&#10;">
              <v:fill on="f" focussize="0,0"/>
              <v:stroke on="f"/>
              <v:imagedata o:title=""/>
              <o:lock v:ext="edit" aspectratio="f"/>
              <v:textbox inset="0mm,0mm,0mm,0mm" style="mso-fit-shape-to-text:t;">
                <w:txbxContent>
                  <w:p w14:paraId="49EA8225">
                    <w:pPr>
                      <w:pStyle w:val="21"/>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E0AD">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3243">
    <w:pPr>
      <w:pStyle w:val="2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139B">
    <w:pPr>
      <w:pStyle w:val="23"/>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4EBA">
    <w:pPr>
      <w:pStyle w:val="23"/>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F516">
    <w:pPr>
      <w:pStyle w:val="23"/>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EB41">
    <w:pPr>
      <w:pStyle w:val="23"/>
      <w:pBdr>
        <w:bottom w:val="none" w:color="auto" w:sz="0" w:space="0"/>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0271">
    <w:pPr>
      <w:pStyle w:val="23"/>
      <w:pBdr>
        <w:bottom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D980">
    <w:pPr>
      <w:pStyle w:val="23"/>
      <w:pBdr>
        <w:bottom w:val="none" w:color="auto" w:sz="0" w:space="1"/>
      </w:pBdr>
      <w:jc w:val="both"/>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12D7">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8B6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D467">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6ADB">
    <w:pPr>
      <w:pStyle w:val="23"/>
      <w:pBdr>
        <w:bottom w:val="none" w:color="auto" w:sz="0" w:space="1"/>
      </w:pBdr>
      <w:tabs>
        <w:tab w:val="left" w:pos="1794"/>
        <w:tab w:val="clear" w:pos="4153"/>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FF16">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1A7A">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FCC2">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F0C9">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4D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jJmMmYxYzAyNzRhY2FjMjE5NzY5MzA3NTI5MTBiOWIifQ=="/>
    <w:docVar w:name="VTCASE" w:val="4"/>
    <w:docVar w:name="VTCommandPending" w:val="NONE"/>
  </w:docVars>
  <w:rsids>
    <w:rsidRoot w:val="00172A27"/>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4E09"/>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2E82"/>
    <w:rsid w:val="001733C3"/>
    <w:rsid w:val="00173BFF"/>
    <w:rsid w:val="00174749"/>
    <w:rsid w:val="00174FCA"/>
    <w:rsid w:val="00175AFB"/>
    <w:rsid w:val="001766ED"/>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0DED"/>
    <w:rsid w:val="001B28F7"/>
    <w:rsid w:val="001B4216"/>
    <w:rsid w:val="001B49A4"/>
    <w:rsid w:val="001B4E60"/>
    <w:rsid w:val="001B4EC7"/>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B32"/>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1C7"/>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3B94"/>
    <w:rsid w:val="00473DC2"/>
    <w:rsid w:val="0047556E"/>
    <w:rsid w:val="00475991"/>
    <w:rsid w:val="00475B13"/>
    <w:rsid w:val="00480D8D"/>
    <w:rsid w:val="004814E5"/>
    <w:rsid w:val="00483DB5"/>
    <w:rsid w:val="00484641"/>
    <w:rsid w:val="004846F8"/>
    <w:rsid w:val="0048539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048F"/>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336B"/>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3BBE"/>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524"/>
    <w:rsid w:val="00A5794D"/>
    <w:rsid w:val="00A610B8"/>
    <w:rsid w:val="00A61208"/>
    <w:rsid w:val="00A62660"/>
    <w:rsid w:val="00A64D6A"/>
    <w:rsid w:val="00A66A0F"/>
    <w:rsid w:val="00A67FB0"/>
    <w:rsid w:val="00A700BE"/>
    <w:rsid w:val="00A7038D"/>
    <w:rsid w:val="00A73440"/>
    <w:rsid w:val="00A755F2"/>
    <w:rsid w:val="00A75908"/>
    <w:rsid w:val="00A75D01"/>
    <w:rsid w:val="00A76B01"/>
    <w:rsid w:val="00A813D7"/>
    <w:rsid w:val="00A83BB1"/>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3810"/>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49E6"/>
    <w:rsid w:val="00ED50F5"/>
    <w:rsid w:val="00ED6BE1"/>
    <w:rsid w:val="00ED7757"/>
    <w:rsid w:val="00EE027B"/>
    <w:rsid w:val="00EE31DF"/>
    <w:rsid w:val="00EE5C10"/>
    <w:rsid w:val="00EE60B1"/>
    <w:rsid w:val="00EE7916"/>
    <w:rsid w:val="00EF1C6E"/>
    <w:rsid w:val="00EF3FD3"/>
    <w:rsid w:val="00EF4D3B"/>
    <w:rsid w:val="00EF6A34"/>
    <w:rsid w:val="00EF7579"/>
    <w:rsid w:val="00EF7950"/>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6B14"/>
    <w:rsid w:val="00F85F21"/>
    <w:rsid w:val="00F90CF5"/>
    <w:rsid w:val="00F91AD8"/>
    <w:rsid w:val="00F922B1"/>
    <w:rsid w:val="00F964D7"/>
    <w:rsid w:val="00FA1CBD"/>
    <w:rsid w:val="00FA56EF"/>
    <w:rsid w:val="00FA5D99"/>
    <w:rsid w:val="00FA72F6"/>
    <w:rsid w:val="00FB0E27"/>
    <w:rsid w:val="00FB0F95"/>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0333FC"/>
    <w:rsid w:val="014A2887"/>
    <w:rsid w:val="0154524D"/>
    <w:rsid w:val="01583748"/>
    <w:rsid w:val="01633E9B"/>
    <w:rsid w:val="017046B5"/>
    <w:rsid w:val="01761E20"/>
    <w:rsid w:val="018E36E1"/>
    <w:rsid w:val="01910A73"/>
    <w:rsid w:val="019404F8"/>
    <w:rsid w:val="01B829EB"/>
    <w:rsid w:val="01BB3CD7"/>
    <w:rsid w:val="024D7452"/>
    <w:rsid w:val="02855A83"/>
    <w:rsid w:val="029C0B2F"/>
    <w:rsid w:val="02A33EF4"/>
    <w:rsid w:val="02AB0B8E"/>
    <w:rsid w:val="02D75C0E"/>
    <w:rsid w:val="02E8240B"/>
    <w:rsid w:val="03032010"/>
    <w:rsid w:val="03364348"/>
    <w:rsid w:val="033D6517"/>
    <w:rsid w:val="03553DE1"/>
    <w:rsid w:val="035905CA"/>
    <w:rsid w:val="03607092"/>
    <w:rsid w:val="03822C68"/>
    <w:rsid w:val="03B15410"/>
    <w:rsid w:val="03C17334"/>
    <w:rsid w:val="03CB50B5"/>
    <w:rsid w:val="03CB63F2"/>
    <w:rsid w:val="03EB7101"/>
    <w:rsid w:val="03EC264D"/>
    <w:rsid w:val="04003C23"/>
    <w:rsid w:val="04212517"/>
    <w:rsid w:val="043B5892"/>
    <w:rsid w:val="04427439"/>
    <w:rsid w:val="04532013"/>
    <w:rsid w:val="04561636"/>
    <w:rsid w:val="047D0CF5"/>
    <w:rsid w:val="049043DC"/>
    <w:rsid w:val="0497792A"/>
    <w:rsid w:val="04A2591B"/>
    <w:rsid w:val="04AB69CA"/>
    <w:rsid w:val="04BC6779"/>
    <w:rsid w:val="04EF43A8"/>
    <w:rsid w:val="04F864DC"/>
    <w:rsid w:val="05290F57"/>
    <w:rsid w:val="053518FB"/>
    <w:rsid w:val="05402825"/>
    <w:rsid w:val="0552146A"/>
    <w:rsid w:val="05634C2F"/>
    <w:rsid w:val="057D1090"/>
    <w:rsid w:val="05876C61"/>
    <w:rsid w:val="05884007"/>
    <w:rsid w:val="05C87B03"/>
    <w:rsid w:val="05CF7D50"/>
    <w:rsid w:val="05FC289F"/>
    <w:rsid w:val="06046A25"/>
    <w:rsid w:val="06344478"/>
    <w:rsid w:val="06853B75"/>
    <w:rsid w:val="06A944B9"/>
    <w:rsid w:val="06D00C65"/>
    <w:rsid w:val="07065F51"/>
    <w:rsid w:val="07145C8D"/>
    <w:rsid w:val="071A68E6"/>
    <w:rsid w:val="07317FBA"/>
    <w:rsid w:val="073C7FDB"/>
    <w:rsid w:val="0753702A"/>
    <w:rsid w:val="078D65E0"/>
    <w:rsid w:val="07967398"/>
    <w:rsid w:val="07A6733B"/>
    <w:rsid w:val="07DE7FD8"/>
    <w:rsid w:val="07F658DD"/>
    <w:rsid w:val="07F937B1"/>
    <w:rsid w:val="080E7319"/>
    <w:rsid w:val="0839646B"/>
    <w:rsid w:val="083E7041"/>
    <w:rsid w:val="086844B4"/>
    <w:rsid w:val="086B2D03"/>
    <w:rsid w:val="086B3224"/>
    <w:rsid w:val="089A313C"/>
    <w:rsid w:val="08A0656D"/>
    <w:rsid w:val="08A17681"/>
    <w:rsid w:val="08A94455"/>
    <w:rsid w:val="08B33E75"/>
    <w:rsid w:val="08D51B22"/>
    <w:rsid w:val="08E066DB"/>
    <w:rsid w:val="08FF2D93"/>
    <w:rsid w:val="093B7794"/>
    <w:rsid w:val="09607F59"/>
    <w:rsid w:val="09932042"/>
    <w:rsid w:val="09A204AA"/>
    <w:rsid w:val="09A342F6"/>
    <w:rsid w:val="09A37CB3"/>
    <w:rsid w:val="09A45F3C"/>
    <w:rsid w:val="09BD6E8E"/>
    <w:rsid w:val="09D44991"/>
    <w:rsid w:val="0A02484E"/>
    <w:rsid w:val="0A1D44C6"/>
    <w:rsid w:val="0A214F5C"/>
    <w:rsid w:val="0A2269D0"/>
    <w:rsid w:val="0A434869"/>
    <w:rsid w:val="0A5C26F1"/>
    <w:rsid w:val="0A6D7B49"/>
    <w:rsid w:val="0A79472F"/>
    <w:rsid w:val="0A9B75A4"/>
    <w:rsid w:val="0ABB05FB"/>
    <w:rsid w:val="0AD100C7"/>
    <w:rsid w:val="0ADF51C5"/>
    <w:rsid w:val="0AE50463"/>
    <w:rsid w:val="0B0354DD"/>
    <w:rsid w:val="0B1873A5"/>
    <w:rsid w:val="0B1D1FC1"/>
    <w:rsid w:val="0B450737"/>
    <w:rsid w:val="0B4514BB"/>
    <w:rsid w:val="0B781E72"/>
    <w:rsid w:val="0BB1312B"/>
    <w:rsid w:val="0BC63740"/>
    <w:rsid w:val="0BC665A4"/>
    <w:rsid w:val="0BC767F7"/>
    <w:rsid w:val="0BEC286B"/>
    <w:rsid w:val="0C054382"/>
    <w:rsid w:val="0C1A3E4D"/>
    <w:rsid w:val="0C1B4F42"/>
    <w:rsid w:val="0C264442"/>
    <w:rsid w:val="0C6A5EDD"/>
    <w:rsid w:val="0C8A1C3F"/>
    <w:rsid w:val="0C963376"/>
    <w:rsid w:val="0CB83F37"/>
    <w:rsid w:val="0CC04A8A"/>
    <w:rsid w:val="0CE22CA2"/>
    <w:rsid w:val="0CF632E2"/>
    <w:rsid w:val="0D4E6020"/>
    <w:rsid w:val="0D5013A6"/>
    <w:rsid w:val="0DC94ED4"/>
    <w:rsid w:val="0DD86411"/>
    <w:rsid w:val="0DD904BC"/>
    <w:rsid w:val="0E0F317A"/>
    <w:rsid w:val="0E10093A"/>
    <w:rsid w:val="0E2A10D7"/>
    <w:rsid w:val="0E8F1D2D"/>
    <w:rsid w:val="0EC811B3"/>
    <w:rsid w:val="0EF01DAE"/>
    <w:rsid w:val="0EF45A6A"/>
    <w:rsid w:val="0F0D47C2"/>
    <w:rsid w:val="0F1315CD"/>
    <w:rsid w:val="0F1F22FF"/>
    <w:rsid w:val="0F2033CB"/>
    <w:rsid w:val="0F544C89"/>
    <w:rsid w:val="0F7A70CC"/>
    <w:rsid w:val="0F8570FA"/>
    <w:rsid w:val="0FA5015A"/>
    <w:rsid w:val="0FC50D8F"/>
    <w:rsid w:val="0FD541B5"/>
    <w:rsid w:val="0FD80F6D"/>
    <w:rsid w:val="0FFC7994"/>
    <w:rsid w:val="103F3C1D"/>
    <w:rsid w:val="10570C1D"/>
    <w:rsid w:val="105F7F23"/>
    <w:rsid w:val="106705FF"/>
    <w:rsid w:val="106857D8"/>
    <w:rsid w:val="10813BF5"/>
    <w:rsid w:val="1088747A"/>
    <w:rsid w:val="10901D27"/>
    <w:rsid w:val="109D2C27"/>
    <w:rsid w:val="10AE41FD"/>
    <w:rsid w:val="10B74CC3"/>
    <w:rsid w:val="10BE2D09"/>
    <w:rsid w:val="10C57A57"/>
    <w:rsid w:val="10CB01D9"/>
    <w:rsid w:val="10ED1B8D"/>
    <w:rsid w:val="10FD5D73"/>
    <w:rsid w:val="11076F41"/>
    <w:rsid w:val="11164359"/>
    <w:rsid w:val="11173915"/>
    <w:rsid w:val="111B2596"/>
    <w:rsid w:val="113024BF"/>
    <w:rsid w:val="116E079A"/>
    <w:rsid w:val="118848CF"/>
    <w:rsid w:val="11A065D4"/>
    <w:rsid w:val="11F1099B"/>
    <w:rsid w:val="11FF19BD"/>
    <w:rsid w:val="1202325C"/>
    <w:rsid w:val="122A65C9"/>
    <w:rsid w:val="122C0790"/>
    <w:rsid w:val="123C6720"/>
    <w:rsid w:val="12D8312B"/>
    <w:rsid w:val="13024A34"/>
    <w:rsid w:val="13172843"/>
    <w:rsid w:val="13377883"/>
    <w:rsid w:val="13533D6F"/>
    <w:rsid w:val="136A10B9"/>
    <w:rsid w:val="13A4146C"/>
    <w:rsid w:val="13CA3ED4"/>
    <w:rsid w:val="13D217C0"/>
    <w:rsid w:val="13ED72AC"/>
    <w:rsid w:val="13F9676C"/>
    <w:rsid w:val="13FE7069"/>
    <w:rsid w:val="145E6E6F"/>
    <w:rsid w:val="146557A3"/>
    <w:rsid w:val="14675B7E"/>
    <w:rsid w:val="147160EB"/>
    <w:rsid w:val="14E54E9B"/>
    <w:rsid w:val="151F4E16"/>
    <w:rsid w:val="152876F3"/>
    <w:rsid w:val="154047C7"/>
    <w:rsid w:val="15633C45"/>
    <w:rsid w:val="156C36B1"/>
    <w:rsid w:val="157514E6"/>
    <w:rsid w:val="159A687D"/>
    <w:rsid w:val="15B6269D"/>
    <w:rsid w:val="15CF30BE"/>
    <w:rsid w:val="15CF3263"/>
    <w:rsid w:val="15DB1027"/>
    <w:rsid w:val="164C5463"/>
    <w:rsid w:val="165C00C4"/>
    <w:rsid w:val="16842491"/>
    <w:rsid w:val="169F0204"/>
    <w:rsid w:val="16B20DAC"/>
    <w:rsid w:val="16D15681"/>
    <w:rsid w:val="16EB2471"/>
    <w:rsid w:val="16FC5097"/>
    <w:rsid w:val="17067A00"/>
    <w:rsid w:val="1718130A"/>
    <w:rsid w:val="171843CE"/>
    <w:rsid w:val="171B6238"/>
    <w:rsid w:val="173D7E96"/>
    <w:rsid w:val="17594709"/>
    <w:rsid w:val="178D23B1"/>
    <w:rsid w:val="179E21CE"/>
    <w:rsid w:val="17A56B63"/>
    <w:rsid w:val="17AC1CA0"/>
    <w:rsid w:val="17C12AA3"/>
    <w:rsid w:val="17CF4FEE"/>
    <w:rsid w:val="18003993"/>
    <w:rsid w:val="180648BB"/>
    <w:rsid w:val="181A3AAB"/>
    <w:rsid w:val="181A53C4"/>
    <w:rsid w:val="182E4BBA"/>
    <w:rsid w:val="18434A76"/>
    <w:rsid w:val="18A528E3"/>
    <w:rsid w:val="18B057C0"/>
    <w:rsid w:val="18BC6628"/>
    <w:rsid w:val="19404D95"/>
    <w:rsid w:val="195D1EE7"/>
    <w:rsid w:val="19B12EF1"/>
    <w:rsid w:val="19DF2480"/>
    <w:rsid w:val="19FD4A34"/>
    <w:rsid w:val="1A6807C4"/>
    <w:rsid w:val="1A7D6332"/>
    <w:rsid w:val="1AA525CA"/>
    <w:rsid w:val="1AAB3469"/>
    <w:rsid w:val="1AB62E35"/>
    <w:rsid w:val="1AB814DC"/>
    <w:rsid w:val="1AC265C6"/>
    <w:rsid w:val="1AC60BC6"/>
    <w:rsid w:val="1AED39C4"/>
    <w:rsid w:val="1AF6583C"/>
    <w:rsid w:val="1AF7558C"/>
    <w:rsid w:val="1AFC1190"/>
    <w:rsid w:val="1B147619"/>
    <w:rsid w:val="1B177D78"/>
    <w:rsid w:val="1B210BF7"/>
    <w:rsid w:val="1B300E3A"/>
    <w:rsid w:val="1B7E21A9"/>
    <w:rsid w:val="1B847546"/>
    <w:rsid w:val="1B89288E"/>
    <w:rsid w:val="1BCB2131"/>
    <w:rsid w:val="1C0B0548"/>
    <w:rsid w:val="1C3F4F61"/>
    <w:rsid w:val="1C551D66"/>
    <w:rsid w:val="1C58291C"/>
    <w:rsid w:val="1C6E4A8E"/>
    <w:rsid w:val="1C8A726D"/>
    <w:rsid w:val="1D0E50A6"/>
    <w:rsid w:val="1D574DCD"/>
    <w:rsid w:val="1D5F2E99"/>
    <w:rsid w:val="1D8502E9"/>
    <w:rsid w:val="1DB32321"/>
    <w:rsid w:val="1DC14960"/>
    <w:rsid w:val="1DD27F86"/>
    <w:rsid w:val="1E054C48"/>
    <w:rsid w:val="1E09601B"/>
    <w:rsid w:val="1E245B7C"/>
    <w:rsid w:val="1E537831"/>
    <w:rsid w:val="1E861E06"/>
    <w:rsid w:val="1E9A4F48"/>
    <w:rsid w:val="1ECA6EAF"/>
    <w:rsid w:val="1EE7108E"/>
    <w:rsid w:val="1EF43271"/>
    <w:rsid w:val="1EF46CB8"/>
    <w:rsid w:val="1EF54AD8"/>
    <w:rsid w:val="1F057687"/>
    <w:rsid w:val="1F066998"/>
    <w:rsid w:val="1F3412B6"/>
    <w:rsid w:val="1F4A1A6F"/>
    <w:rsid w:val="1F4E7F48"/>
    <w:rsid w:val="1FCF77B6"/>
    <w:rsid w:val="1FDA5AB7"/>
    <w:rsid w:val="1FF70C01"/>
    <w:rsid w:val="20063D7D"/>
    <w:rsid w:val="2012028D"/>
    <w:rsid w:val="203F5466"/>
    <w:rsid w:val="20617112"/>
    <w:rsid w:val="2088638B"/>
    <w:rsid w:val="20D3516F"/>
    <w:rsid w:val="20E15056"/>
    <w:rsid w:val="20E66D9C"/>
    <w:rsid w:val="20EF2BFD"/>
    <w:rsid w:val="2133411B"/>
    <w:rsid w:val="215329E9"/>
    <w:rsid w:val="216E7FC6"/>
    <w:rsid w:val="218F4687"/>
    <w:rsid w:val="21A51030"/>
    <w:rsid w:val="21B245E0"/>
    <w:rsid w:val="21B30D9B"/>
    <w:rsid w:val="21BE4F8C"/>
    <w:rsid w:val="21D07FBF"/>
    <w:rsid w:val="21EB72AD"/>
    <w:rsid w:val="223564B3"/>
    <w:rsid w:val="22401ECB"/>
    <w:rsid w:val="22433200"/>
    <w:rsid w:val="22591861"/>
    <w:rsid w:val="22603DB2"/>
    <w:rsid w:val="2261581A"/>
    <w:rsid w:val="22767AD3"/>
    <w:rsid w:val="227C56E4"/>
    <w:rsid w:val="229E793E"/>
    <w:rsid w:val="23061B0E"/>
    <w:rsid w:val="231F61DC"/>
    <w:rsid w:val="23467A15"/>
    <w:rsid w:val="23733FB9"/>
    <w:rsid w:val="23982363"/>
    <w:rsid w:val="23AF6319"/>
    <w:rsid w:val="23E65B24"/>
    <w:rsid w:val="23F5768F"/>
    <w:rsid w:val="241C24DA"/>
    <w:rsid w:val="245E2369"/>
    <w:rsid w:val="246D721D"/>
    <w:rsid w:val="24866F7F"/>
    <w:rsid w:val="24CD3844"/>
    <w:rsid w:val="24F8127A"/>
    <w:rsid w:val="25103E82"/>
    <w:rsid w:val="256667B5"/>
    <w:rsid w:val="25743237"/>
    <w:rsid w:val="25946F8E"/>
    <w:rsid w:val="25997426"/>
    <w:rsid w:val="25B7038F"/>
    <w:rsid w:val="261A0491"/>
    <w:rsid w:val="26397ECC"/>
    <w:rsid w:val="264F2F77"/>
    <w:rsid w:val="265701E6"/>
    <w:rsid w:val="26713D53"/>
    <w:rsid w:val="2678466A"/>
    <w:rsid w:val="267F682B"/>
    <w:rsid w:val="26A55390"/>
    <w:rsid w:val="26B83085"/>
    <w:rsid w:val="26D63B0C"/>
    <w:rsid w:val="26E54D98"/>
    <w:rsid w:val="271A0C1D"/>
    <w:rsid w:val="271D7B28"/>
    <w:rsid w:val="272E1BFD"/>
    <w:rsid w:val="27365937"/>
    <w:rsid w:val="27502DE9"/>
    <w:rsid w:val="27871DE1"/>
    <w:rsid w:val="278C5B89"/>
    <w:rsid w:val="27A26C1B"/>
    <w:rsid w:val="27CB0EEB"/>
    <w:rsid w:val="27E163BA"/>
    <w:rsid w:val="27E64D5A"/>
    <w:rsid w:val="27F50480"/>
    <w:rsid w:val="28025A1A"/>
    <w:rsid w:val="28283C03"/>
    <w:rsid w:val="28425C51"/>
    <w:rsid w:val="2861317B"/>
    <w:rsid w:val="28745A1A"/>
    <w:rsid w:val="287B5E91"/>
    <w:rsid w:val="28855A7D"/>
    <w:rsid w:val="28866C2F"/>
    <w:rsid w:val="288C0B6D"/>
    <w:rsid w:val="289B670E"/>
    <w:rsid w:val="28C606E7"/>
    <w:rsid w:val="28CE3B8A"/>
    <w:rsid w:val="29222820"/>
    <w:rsid w:val="299B2491"/>
    <w:rsid w:val="29F715B8"/>
    <w:rsid w:val="2A0B4967"/>
    <w:rsid w:val="2A472991"/>
    <w:rsid w:val="2A4859CA"/>
    <w:rsid w:val="2A59763B"/>
    <w:rsid w:val="2A81355A"/>
    <w:rsid w:val="2A924736"/>
    <w:rsid w:val="2A93143B"/>
    <w:rsid w:val="2AB63454"/>
    <w:rsid w:val="2AC66B17"/>
    <w:rsid w:val="2ACE5083"/>
    <w:rsid w:val="2AD10E49"/>
    <w:rsid w:val="2AF73663"/>
    <w:rsid w:val="2AFB4D94"/>
    <w:rsid w:val="2B1E5C15"/>
    <w:rsid w:val="2B3074E0"/>
    <w:rsid w:val="2B7B4934"/>
    <w:rsid w:val="2B807CC4"/>
    <w:rsid w:val="2B92253A"/>
    <w:rsid w:val="2BA67271"/>
    <w:rsid w:val="2BC6066C"/>
    <w:rsid w:val="2BD6254A"/>
    <w:rsid w:val="2BE95450"/>
    <w:rsid w:val="2BF83670"/>
    <w:rsid w:val="2C971B0A"/>
    <w:rsid w:val="2CB66ACE"/>
    <w:rsid w:val="2D076186"/>
    <w:rsid w:val="2D183230"/>
    <w:rsid w:val="2D18594D"/>
    <w:rsid w:val="2D4914CD"/>
    <w:rsid w:val="2D493651"/>
    <w:rsid w:val="2DB061CE"/>
    <w:rsid w:val="2DB21D73"/>
    <w:rsid w:val="2DDC5F83"/>
    <w:rsid w:val="2E03476B"/>
    <w:rsid w:val="2E382ABB"/>
    <w:rsid w:val="2E387404"/>
    <w:rsid w:val="2E5642BC"/>
    <w:rsid w:val="2E656306"/>
    <w:rsid w:val="2EE67D35"/>
    <w:rsid w:val="2F144BCE"/>
    <w:rsid w:val="2F2D0C68"/>
    <w:rsid w:val="2F4E65BF"/>
    <w:rsid w:val="2FB2608C"/>
    <w:rsid w:val="2FD14050"/>
    <w:rsid w:val="30561E3F"/>
    <w:rsid w:val="305851BC"/>
    <w:rsid w:val="30787D53"/>
    <w:rsid w:val="309336C7"/>
    <w:rsid w:val="30CB402B"/>
    <w:rsid w:val="30CC197B"/>
    <w:rsid w:val="30CD0129"/>
    <w:rsid w:val="310D3357"/>
    <w:rsid w:val="317016F2"/>
    <w:rsid w:val="318870C8"/>
    <w:rsid w:val="31A07C81"/>
    <w:rsid w:val="31A46ECA"/>
    <w:rsid w:val="31A737AC"/>
    <w:rsid w:val="31AD30CC"/>
    <w:rsid w:val="31B91D72"/>
    <w:rsid w:val="31BB35BC"/>
    <w:rsid w:val="31E22C88"/>
    <w:rsid w:val="31F2575D"/>
    <w:rsid w:val="32353C5D"/>
    <w:rsid w:val="33664273"/>
    <w:rsid w:val="338F6F5C"/>
    <w:rsid w:val="33C97B76"/>
    <w:rsid w:val="33E504C8"/>
    <w:rsid w:val="33EB1895"/>
    <w:rsid w:val="342C200B"/>
    <w:rsid w:val="34361A60"/>
    <w:rsid w:val="34473263"/>
    <w:rsid w:val="346A7133"/>
    <w:rsid w:val="34787534"/>
    <w:rsid w:val="349D2EC2"/>
    <w:rsid w:val="34BC1DA4"/>
    <w:rsid w:val="352F1800"/>
    <w:rsid w:val="3534403A"/>
    <w:rsid w:val="353A46B7"/>
    <w:rsid w:val="35567BEA"/>
    <w:rsid w:val="35643762"/>
    <w:rsid w:val="356F73C9"/>
    <w:rsid w:val="35AC72F6"/>
    <w:rsid w:val="35B6520A"/>
    <w:rsid w:val="35BF55AE"/>
    <w:rsid w:val="35C45A3E"/>
    <w:rsid w:val="35FD01EF"/>
    <w:rsid w:val="362F6203"/>
    <w:rsid w:val="363253BD"/>
    <w:rsid w:val="365743B8"/>
    <w:rsid w:val="36657792"/>
    <w:rsid w:val="3680580C"/>
    <w:rsid w:val="369B0D16"/>
    <w:rsid w:val="36DD557A"/>
    <w:rsid w:val="36F22853"/>
    <w:rsid w:val="370A06E6"/>
    <w:rsid w:val="370B44FA"/>
    <w:rsid w:val="372C4574"/>
    <w:rsid w:val="37557B2A"/>
    <w:rsid w:val="375D10D5"/>
    <w:rsid w:val="377B426C"/>
    <w:rsid w:val="378C3B98"/>
    <w:rsid w:val="37B6419F"/>
    <w:rsid w:val="37C07E80"/>
    <w:rsid w:val="382E2FCE"/>
    <w:rsid w:val="383E029A"/>
    <w:rsid w:val="385201EA"/>
    <w:rsid w:val="38547ABE"/>
    <w:rsid w:val="385626DD"/>
    <w:rsid w:val="389F1CD9"/>
    <w:rsid w:val="389F4887"/>
    <w:rsid w:val="38A22F48"/>
    <w:rsid w:val="38BB0626"/>
    <w:rsid w:val="38E04A8D"/>
    <w:rsid w:val="38E44463"/>
    <w:rsid w:val="39076856"/>
    <w:rsid w:val="390F04CE"/>
    <w:rsid w:val="3913402A"/>
    <w:rsid w:val="3929383F"/>
    <w:rsid w:val="39306352"/>
    <w:rsid w:val="3971001E"/>
    <w:rsid w:val="397A17A6"/>
    <w:rsid w:val="39A6425B"/>
    <w:rsid w:val="39A65846"/>
    <w:rsid w:val="39AB4AA2"/>
    <w:rsid w:val="39BC420F"/>
    <w:rsid w:val="3A31299D"/>
    <w:rsid w:val="3A614714"/>
    <w:rsid w:val="3A7E52C6"/>
    <w:rsid w:val="3AB21BE5"/>
    <w:rsid w:val="3ACE4EE9"/>
    <w:rsid w:val="3AE0723C"/>
    <w:rsid w:val="3AE33D50"/>
    <w:rsid w:val="3AEF1115"/>
    <w:rsid w:val="3AF37A62"/>
    <w:rsid w:val="3AF80F90"/>
    <w:rsid w:val="3AF951DA"/>
    <w:rsid w:val="3AFB0E73"/>
    <w:rsid w:val="3B365A1C"/>
    <w:rsid w:val="3B501E4B"/>
    <w:rsid w:val="3B563B4D"/>
    <w:rsid w:val="3B597959"/>
    <w:rsid w:val="3B651FE2"/>
    <w:rsid w:val="3B6816E6"/>
    <w:rsid w:val="3B8D1567"/>
    <w:rsid w:val="3B8F47DC"/>
    <w:rsid w:val="3BCB387B"/>
    <w:rsid w:val="3BCF6927"/>
    <w:rsid w:val="3C3744B2"/>
    <w:rsid w:val="3C381E36"/>
    <w:rsid w:val="3C392BB4"/>
    <w:rsid w:val="3C3C7765"/>
    <w:rsid w:val="3C547ECE"/>
    <w:rsid w:val="3C9F7417"/>
    <w:rsid w:val="3CBE5970"/>
    <w:rsid w:val="3CDA5065"/>
    <w:rsid w:val="3CEB75EB"/>
    <w:rsid w:val="3D015651"/>
    <w:rsid w:val="3D037D04"/>
    <w:rsid w:val="3D0C477E"/>
    <w:rsid w:val="3D1A2B55"/>
    <w:rsid w:val="3D1B298B"/>
    <w:rsid w:val="3D45190F"/>
    <w:rsid w:val="3D832DEC"/>
    <w:rsid w:val="3D861042"/>
    <w:rsid w:val="3D962926"/>
    <w:rsid w:val="3DB07E2E"/>
    <w:rsid w:val="3DB130B1"/>
    <w:rsid w:val="3DB64500"/>
    <w:rsid w:val="3DD006F5"/>
    <w:rsid w:val="3DD0381B"/>
    <w:rsid w:val="3DE72000"/>
    <w:rsid w:val="3E2B5123"/>
    <w:rsid w:val="3E783AEC"/>
    <w:rsid w:val="3EAE061A"/>
    <w:rsid w:val="3EB23790"/>
    <w:rsid w:val="3F4C39C1"/>
    <w:rsid w:val="3FC833AB"/>
    <w:rsid w:val="3FFC0940"/>
    <w:rsid w:val="4000286F"/>
    <w:rsid w:val="401656C8"/>
    <w:rsid w:val="403653D4"/>
    <w:rsid w:val="4049358C"/>
    <w:rsid w:val="404C4660"/>
    <w:rsid w:val="408A2F6E"/>
    <w:rsid w:val="40D85040"/>
    <w:rsid w:val="40DF6392"/>
    <w:rsid w:val="40FD0BDE"/>
    <w:rsid w:val="4102295B"/>
    <w:rsid w:val="4114603C"/>
    <w:rsid w:val="41197AF6"/>
    <w:rsid w:val="412F2E76"/>
    <w:rsid w:val="41435374"/>
    <w:rsid w:val="41441492"/>
    <w:rsid w:val="417D6346"/>
    <w:rsid w:val="41826B40"/>
    <w:rsid w:val="418D569A"/>
    <w:rsid w:val="41990886"/>
    <w:rsid w:val="41C00111"/>
    <w:rsid w:val="41C44241"/>
    <w:rsid w:val="41D95646"/>
    <w:rsid w:val="41E90673"/>
    <w:rsid w:val="420C37B7"/>
    <w:rsid w:val="42381006"/>
    <w:rsid w:val="424B4E3C"/>
    <w:rsid w:val="42694484"/>
    <w:rsid w:val="426F07B5"/>
    <w:rsid w:val="428C33ED"/>
    <w:rsid w:val="4296775E"/>
    <w:rsid w:val="42BD2B83"/>
    <w:rsid w:val="42F11FC0"/>
    <w:rsid w:val="42FB07A4"/>
    <w:rsid w:val="43043580"/>
    <w:rsid w:val="431B5564"/>
    <w:rsid w:val="431E5171"/>
    <w:rsid w:val="43411446"/>
    <w:rsid w:val="43541199"/>
    <w:rsid w:val="43600FF5"/>
    <w:rsid w:val="43610766"/>
    <w:rsid w:val="43724A0D"/>
    <w:rsid w:val="4374605A"/>
    <w:rsid w:val="43EA5139"/>
    <w:rsid w:val="44086C32"/>
    <w:rsid w:val="44136A7F"/>
    <w:rsid w:val="442049A0"/>
    <w:rsid w:val="442D6C32"/>
    <w:rsid w:val="44650350"/>
    <w:rsid w:val="44A15853"/>
    <w:rsid w:val="44D6543A"/>
    <w:rsid w:val="44EF1B82"/>
    <w:rsid w:val="44FC0160"/>
    <w:rsid w:val="452D698B"/>
    <w:rsid w:val="4531287D"/>
    <w:rsid w:val="45633EA0"/>
    <w:rsid w:val="45986634"/>
    <w:rsid w:val="459B7F30"/>
    <w:rsid w:val="459F09B8"/>
    <w:rsid w:val="45AC39D8"/>
    <w:rsid w:val="45BE0DE9"/>
    <w:rsid w:val="45C3272D"/>
    <w:rsid w:val="45D1479E"/>
    <w:rsid w:val="45E77C31"/>
    <w:rsid w:val="45FD1FD2"/>
    <w:rsid w:val="460B0871"/>
    <w:rsid w:val="461B2714"/>
    <w:rsid w:val="462762DB"/>
    <w:rsid w:val="463C42EF"/>
    <w:rsid w:val="46752C96"/>
    <w:rsid w:val="46921226"/>
    <w:rsid w:val="469B2720"/>
    <w:rsid w:val="46BB7578"/>
    <w:rsid w:val="46D820A4"/>
    <w:rsid w:val="46E466C8"/>
    <w:rsid w:val="472E597E"/>
    <w:rsid w:val="473D2DF8"/>
    <w:rsid w:val="47484C91"/>
    <w:rsid w:val="47655050"/>
    <w:rsid w:val="477057CD"/>
    <w:rsid w:val="4797283C"/>
    <w:rsid w:val="47A02D97"/>
    <w:rsid w:val="47BF7303"/>
    <w:rsid w:val="47D231E1"/>
    <w:rsid w:val="47E4768D"/>
    <w:rsid w:val="47FD0B4D"/>
    <w:rsid w:val="480756B8"/>
    <w:rsid w:val="48131D77"/>
    <w:rsid w:val="482A4397"/>
    <w:rsid w:val="484A2389"/>
    <w:rsid w:val="486A7476"/>
    <w:rsid w:val="48A61A2A"/>
    <w:rsid w:val="48D052FB"/>
    <w:rsid w:val="48E153E1"/>
    <w:rsid w:val="48EA42C6"/>
    <w:rsid w:val="49044621"/>
    <w:rsid w:val="490B7FC6"/>
    <w:rsid w:val="490D1778"/>
    <w:rsid w:val="49306469"/>
    <w:rsid w:val="49442B01"/>
    <w:rsid w:val="495C2106"/>
    <w:rsid w:val="49826C29"/>
    <w:rsid w:val="49920EAF"/>
    <w:rsid w:val="49A12D24"/>
    <w:rsid w:val="49C362F5"/>
    <w:rsid w:val="49C85CE1"/>
    <w:rsid w:val="4A1277D9"/>
    <w:rsid w:val="4A226C77"/>
    <w:rsid w:val="4A377B59"/>
    <w:rsid w:val="4A382864"/>
    <w:rsid w:val="4A571BC9"/>
    <w:rsid w:val="4A9D3C92"/>
    <w:rsid w:val="4AF0020B"/>
    <w:rsid w:val="4AF01045"/>
    <w:rsid w:val="4AF511B4"/>
    <w:rsid w:val="4B50040A"/>
    <w:rsid w:val="4B555A8E"/>
    <w:rsid w:val="4B6561BD"/>
    <w:rsid w:val="4BA83D98"/>
    <w:rsid w:val="4BA916AB"/>
    <w:rsid w:val="4BFE3948"/>
    <w:rsid w:val="4C0A0159"/>
    <w:rsid w:val="4C0B1536"/>
    <w:rsid w:val="4C0C285D"/>
    <w:rsid w:val="4C201D83"/>
    <w:rsid w:val="4C825544"/>
    <w:rsid w:val="4C8543E0"/>
    <w:rsid w:val="4C986A0C"/>
    <w:rsid w:val="4CA70C2F"/>
    <w:rsid w:val="4CB15448"/>
    <w:rsid w:val="4CBC151A"/>
    <w:rsid w:val="4CE97FBD"/>
    <w:rsid w:val="4CEA76E9"/>
    <w:rsid w:val="4D08769E"/>
    <w:rsid w:val="4D125469"/>
    <w:rsid w:val="4D1F1482"/>
    <w:rsid w:val="4D282CB4"/>
    <w:rsid w:val="4D39639D"/>
    <w:rsid w:val="4D8171FE"/>
    <w:rsid w:val="4D834C75"/>
    <w:rsid w:val="4D8719E4"/>
    <w:rsid w:val="4D923CE9"/>
    <w:rsid w:val="4DAE15C6"/>
    <w:rsid w:val="4DC1760D"/>
    <w:rsid w:val="4DC2258A"/>
    <w:rsid w:val="4E33121F"/>
    <w:rsid w:val="4E362E6B"/>
    <w:rsid w:val="4E370792"/>
    <w:rsid w:val="4E5F14B8"/>
    <w:rsid w:val="4E7E1A40"/>
    <w:rsid w:val="4E890818"/>
    <w:rsid w:val="4EBC61B6"/>
    <w:rsid w:val="4ED46A19"/>
    <w:rsid w:val="4EEE449A"/>
    <w:rsid w:val="4F1108EA"/>
    <w:rsid w:val="4F2E6E63"/>
    <w:rsid w:val="4F5801BC"/>
    <w:rsid w:val="4F7E6A86"/>
    <w:rsid w:val="4F836589"/>
    <w:rsid w:val="4F8971FE"/>
    <w:rsid w:val="4FA07FB7"/>
    <w:rsid w:val="4FC275AB"/>
    <w:rsid w:val="4FC652ED"/>
    <w:rsid w:val="4FF16F8B"/>
    <w:rsid w:val="50046D53"/>
    <w:rsid w:val="500B1914"/>
    <w:rsid w:val="500F3378"/>
    <w:rsid w:val="502D02BC"/>
    <w:rsid w:val="50315C56"/>
    <w:rsid w:val="50405CA4"/>
    <w:rsid w:val="504B7EBC"/>
    <w:rsid w:val="505226DD"/>
    <w:rsid w:val="50582CF0"/>
    <w:rsid w:val="506D5C4A"/>
    <w:rsid w:val="50714394"/>
    <w:rsid w:val="51137AFE"/>
    <w:rsid w:val="511703CE"/>
    <w:rsid w:val="511D33BF"/>
    <w:rsid w:val="51375825"/>
    <w:rsid w:val="51423F3F"/>
    <w:rsid w:val="5169155B"/>
    <w:rsid w:val="517944E3"/>
    <w:rsid w:val="51881F6A"/>
    <w:rsid w:val="51B17212"/>
    <w:rsid w:val="51D3784E"/>
    <w:rsid w:val="52307243"/>
    <w:rsid w:val="523E1F05"/>
    <w:rsid w:val="52480F3B"/>
    <w:rsid w:val="52481FEA"/>
    <w:rsid w:val="5266714D"/>
    <w:rsid w:val="52895560"/>
    <w:rsid w:val="52B6752F"/>
    <w:rsid w:val="52B85043"/>
    <w:rsid w:val="52D06438"/>
    <w:rsid w:val="52D32AFD"/>
    <w:rsid w:val="52E16C74"/>
    <w:rsid w:val="52F97788"/>
    <w:rsid w:val="53040824"/>
    <w:rsid w:val="531719BC"/>
    <w:rsid w:val="532760A3"/>
    <w:rsid w:val="535658AE"/>
    <w:rsid w:val="53B341EF"/>
    <w:rsid w:val="53DA35BA"/>
    <w:rsid w:val="53DF1404"/>
    <w:rsid w:val="53FC4316"/>
    <w:rsid w:val="540F3ADB"/>
    <w:rsid w:val="541C1639"/>
    <w:rsid w:val="542D62E0"/>
    <w:rsid w:val="543350B2"/>
    <w:rsid w:val="544E3F53"/>
    <w:rsid w:val="547A00BD"/>
    <w:rsid w:val="548C74DE"/>
    <w:rsid w:val="54912CEE"/>
    <w:rsid w:val="549B6A88"/>
    <w:rsid w:val="54D31D6B"/>
    <w:rsid w:val="54F31C80"/>
    <w:rsid w:val="54FC3606"/>
    <w:rsid w:val="54FF0164"/>
    <w:rsid w:val="550246D4"/>
    <w:rsid w:val="55314071"/>
    <w:rsid w:val="554C226F"/>
    <w:rsid w:val="55DF116F"/>
    <w:rsid w:val="560A6F8A"/>
    <w:rsid w:val="560E5B74"/>
    <w:rsid w:val="562B2281"/>
    <w:rsid w:val="5634457B"/>
    <w:rsid w:val="564957C6"/>
    <w:rsid w:val="568A06FF"/>
    <w:rsid w:val="5698751B"/>
    <w:rsid w:val="56A434E8"/>
    <w:rsid w:val="56AA622F"/>
    <w:rsid w:val="56D06680"/>
    <w:rsid w:val="56D91888"/>
    <w:rsid w:val="570F174F"/>
    <w:rsid w:val="572502C1"/>
    <w:rsid w:val="57636FBD"/>
    <w:rsid w:val="57F222CC"/>
    <w:rsid w:val="582003C3"/>
    <w:rsid w:val="5843579F"/>
    <w:rsid w:val="58836BEF"/>
    <w:rsid w:val="58CD5F81"/>
    <w:rsid w:val="58D373FD"/>
    <w:rsid w:val="58F473E3"/>
    <w:rsid w:val="59217317"/>
    <w:rsid w:val="595F7565"/>
    <w:rsid w:val="597731B4"/>
    <w:rsid w:val="59957D97"/>
    <w:rsid w:val="59B616D7"/>
    <w:rsid w:val="59BE012D"/>
    <w:rsid w:val="59D22F3B"/>
    <w:rsid w:val="5A13112F"/>
    <w:rsid w:val="5A160C1F"/>
    <w:rsid w:val="5A4510B0"/>
    <w:rsid w:val="5A7D215E"/>
    <w:rsid w:val="5A8A1BA9"/>
    <w:rsid w:val="5AF32D0E"/>
    <w:rsid w:val="5B155877"/>
    <w:rsid w:val="5B6360E6"/>
    <w:rsid w:val="5B9E0C30"/>
    <w:rsid w:val="5B9E78CA"/>
    <w:rsid w:val="5BA84EAC"/>
    <w:rsid w:val="5BCC2E3E"/>
    <w:rsid w:val="5BCF25CA"/>
    <w:rsid w:val="5C0827EA"/>
    <w:rsid w:val="5C1358B5"/>
    <w:rsid w:val="5C3C5495"/>
    <w:rsid w:val="5C796DBC"/>
    <w:rsid w:val="5C934C2C"/>
    <w:rsid w:val="5CAF7E1B"/>
    <w:rsid w:val="5CF264B3"/>
    <w:rsid w:val="5D0935EB"/>
    <w:rsid w:val="5D174B58"/>
    <w:rsid w:val="5D2F0FE7"/>
    <w:rsid w:val="5D323B50"/>
    <w:rsid w:val="5D3A28C0"/>
    <w:rsid w:val="5D4930BA"/>
    <w:rsid w:val="5D6A375C"/>
    <w:rsid w:val="5D8260E3"/>
    <w:rsid w:val="5D980E27"/>
    <w:rsid w:val="5D9E1F0A"/>
    <w:rsid w:val="5DB23DDF"/>
    <w:rsid w:val="5DC155E2"/>
    <w:rsid w:val="5DEF3C61"/>
    <w:rsid w:val="5E186F5D"/>
    <w:rsid w:val="5E977FA1"/>
    <w:rsid w:val="5E9E2F5C"/>
    <w:rsid w:val="5EB82242"/>
    <w:rsid w:val="5EC42D73"/>
    <w:rsid w:val="5EE11B69"/>
    <w:rsid w:val="5F0B73FE"/>
    <w:rsid w:val="5F0C7A2B"/>
    <w:rsid w:val="5F387044"/>
    <w:rsid w:val="5F3B6A32"/>
    <w:rsid w:val="5F3D2878"/>
    <w:rsid w:val="5F55219B"/>
    <w:rsid w:val="5F64242D"/>
    <w:rsid w:val="5F730521"/>
    <w:rsid w:val="5F7460A5"/>
    <w:rsid w:val="5F793736"/>
    <w:rsid w:val="5F944D2C"/>
    <w:rsid w:val="5FC627A0"/>
    <w:rsid w:val="5FF95CF0"/>
    <w:rsid w:val="60214885"/>
    <w:rsid w:val="60341942"/>
    <w:rsid w:val="60384F4A"/>
    <w:rsid w:val="60A72289"/>
    <w:rsid w:val="60DD2321"/>
    <w:rsid w:val="60F22FBA"/>
    <w:rsid w:val="610D148D"/>
    <w:rsid w:val="6126799A"/>
    <w:rsid w:val="61480585"/>
    <w:rsid w:val="614D6739"/>
    <w:rsid w:val="615805D6"/>
    <w:rsid w:val="616F3A73"/>
    <w:rsid w:val="61875EC9"/>
    <w:rsid w:val="618F40B1"/>
    <w:rsid w:val="61A01B01"/>
    <w:rsid w:val="61AE2929"/>
    <w:rsid w:val="61B90933"/>
    <w:rsid w:val="61BA480C"/>
    <w:rsid w:val="61D86AC2"/>
    <w:rsid w:val="62173786"/>
    <w:rsid w:val="62D3570F"/>
    <w:rsid w:val="62D56AE1"/>
    <w:rsid w:val="62E04CB0"/>
    <w:rsid w:val="630B221A"/>
    <w:rsid w:val="634618F9"/>
    <w:rsid w:val="63526007"/>
    <w:rsid w:val="63685198"/>
    <w:rsid w:val="637D0430"/>
    <w:rsid w:val="63DD03CF"/>
    <w:rsid w:val="63F87031"/>
    <w:rsid w:val="64171387"/>
    <w:rsid w:val="642602F4"/>
    <w:rsid w:val="642A59F3"/>
    <w:rsid w:val="64446389"/>
    <w:rsid w:val="647C0E87"/>
    <w:rsid w:val="648D7ED8"/>
    <w:rsid w:val="64AB4843"/>
    <w:rsid w:val="64B704D6"/>
    <w:rsid w:val="64DD2A65"/>
    <w:rsid w:val="64FB2EEB"/>
    <w:rsid w:val="65117867"/>
    <w:rsid w:val="651A3995"/>
    <w:rsid w:val="65224A74"/>
    <w:rsid w:val="65384855"/>
    <w:rsid w:val="654639B4"/>
    <w:rsid w:val="65563918"/>
    <w:rsid w:val="65614A1F"/>
    <w:rsid w:val="656E0DB9"/>
    <w:rsid w:val="657607C4"/>
    <w:rsid w:val="658C4486"/>
    <w:rsid w:val="65912C05"/>
    <w:rsid w:val="66090CA1"/>
    <w:rsid w:val="66094953"/>
    <w:rsid w:val="6625438F"/>
    <w:rsid w:val="664D59C9"/>
    <w:rsid w:val="6663343E"/>
    <w:rsid w:val="66694A21"/>
    <w:rsid w:val="669D1DE5"/>
    <w:rsid w:val="66A40EC3"/>
    <w:rsid w:val="66CC740A"/>
    <w:rsid w:val="66E31F8B"/>
    <w:rsid w:val="67073377"/>
    <w:rsid w:val="672D27A3"/>
    <w:rsid w:val="67771FB6"/>
    <w:rsid w:val="67797D46"/>
    <w:rsid w:val="67872BFA"/>
    <w:rsid w:val="67EA64ED"/>
    <w:rsid w:val="67F37C85"/>
    <w:rsid w:val="6802662D"/>
    <w:rsid w:val="682F0510"/>
    <w:rsid w:val="68301256"/>
    <w:rsid w:val="6842372C"/>
    <w:rsid w:val="68535303"/>
    <w:rsid w:val="688B6A92"/>
    <w:rsid w:val="68C527B9"/>
    <w:rsid w:val="692C17FD"/>
    <w:rsid w:val="692C3528"/>
    <w:rsid w:val="693F544C"/>
    <w:rsid w:val="694250AF"/>
    <w:rsid w:val="694C4D3B"/>
    <w:rsid w:val="69572C4D"/>
    <w:rsid w:val="695A7435"/>
    <w:rsid w:val="69862835"/>
    <w:rsid w:val="699C47EA"/>
    <w:rsid w:val="699D1F6B"/>
    <w:rsid w:val="69A03190"/>
    <w:rsid w:val="69AC3B98"/>
    <w:rsid w:val="69AF79D2"/>
    <w:rsid w:val="69EB32BB"/>
    <w:rsid w:val="6A1C086B"/>
    <w:rsid w:val="6A2B2B64"/>
    <w:rsid w:val="6A472730"/>
    <w:rsid w:val="6A5F1BAB"/>
    <w:rsid w:val="6A7C062B"/>
    <w:rsid w:val="6A7E0847"/>
    <w:rsid w:val="6A944EAD"/>
    <w:rsid w:val="6A9742E2"/>
    <w:rsid w:val="6AAA00A5"/>
    <w:rsid w:val="6AAA37C9"/>
    <w:rsid w:val="6AF72E3D"/>
    <w:rsid w:val="6AFD4FAB"/>
    <w:rsid w:val="6B013226"/>
    <w:rsid w:val="6B051C79"/>
    <w:rsid w:val="6B17026E"/>
    <w:rsid w:val="6B202CD6"/>
    <w:rsid w:val="6B2051FD"/>
    <w:rsid w:val="6B2958AB"/>
    <w:rsid w:val="6B325411"/>
    <w:rsid w:val="6B373A4B"/>
    <w:rsid w:val="6B5257E7"/>
    <w:rsid w:val="6B5A1C3B"/>
    <w:rsid w:val="6B607F4C"/>
    <w:rsid w:val="6B68743E"/>
    <w:rsid w:val="6B94314E"/>
    <w:rsid w:val="6B974B12"/>
    <w:rsid w:val="6BB65DBE"/>
    <w:rsid w:val="6BDD4FB2"/>
    <w:rsid w:val="6C135426"/>
    <w:rsid w:val="6C283CF7"/>
    <w:rsid w:val="6C6F0754"/>
    <w:rsid w:val="6C784984"/>
    <w:rsid w:val="6C800C2B"/>
    <w:rsid w:val="6C956842"/>
    <w:rsid w:val="6CA43E69"/>
    <w:rsid w:val="6CB744E6"/>
    <w:rsid w:val="6CC0101E"/>
    <w:rsid w:val="6CED4C21"/>
    <w:rsid w:val="6D091D72"/>
    <w:rsid w:val="6D0D1CAC"/>
    <w:rsid w:val="6D131E4C"/>
    <w:rsid w:val="6D4A31D0"/>
    <w:rsid w:val="6D547772"/>
    <w:rsid w:val="6D6757A6"/>
    <w:rsid w:val="6D876972"/>
    <w:rsid w:val="6D917755"/>
    <w:rsid w:val="6DF70E38"/>
    <w:rsid w:val="6DFE207D"/>
    <w:rsid w:val="6E417323"/>
    <w:rsid w:val="6E50317C"/>
    <w:rsid w:val="6E600263"/>
    <w:rsid w:val="6E771A6C"/>
    <w:rsid w:val="6E88752D"/>
    <w:rsid w:val="6EA16987"/>
    <w:rsid w:val="6EA900B9"/>
    <w:rsid w:val="6ED05F61"/>
    <w:rsid w:val="6EE113A4"/>
    <w:rsid w:val="6EE964AB"/>
    <w:rsid w:val="6F3516F0"/>
    <w:rsid w:val="6F621822"/>
    <w:rsid w:val="6F7F6D2F"/>
    <w:rsid w:val="6F8C67AC"/>
    <w:rsid w:val="6F8D5C1A"/>
    <w:rsid w:val="6FA84E72"/>
    <w:rsid w:val="6FAA5FFD"/>
    <w:rsid w:val="6FC36B5B"/>
    <w:rsid w:val="6FCF53A3"/>
    <w:rsid w:val="6FD27139"/>
    <w:rsid w:val="6FE930A7"/>
    <w:rsid w:val="6FE950BE"/>
    <w:rsid w:val="6FEF1A29"/>
    <w:rsid w:val="6FF11305"/>
    <w:rsid w:val="7014565A"/>
    <w:rsid w:val="701C3B43"/>
    <w:rsid w:val="703B6854"/>
    <w:rsid w:val="704A44DC"/>
    <w:rsid w:val="707E1792"/>
    <w:rsid w:val="707E2D1A"/>
    <w:rsid w:val="708C17E3"/>
    <w:rsid w:val="708D5F57"/>
    <w:rsid w:val="70ED2282"/>
    <w:rsid w:val="7157594D"/>
    <w:rsid w:val="716147BD"/>
    <w:rsid w:val="716276CF"/>
    <w:rsid w:val="71797038"/>
    <w:rsid w:val="718E281C"/>
    <w:rsid w:val="71AB5C99"/>
    <w:rsid w:val="72113D4E"/>
    <w:rsid w:val="72122CF2"/>
    <w:rsid w:val="72196343"/>
    <w:rsid w:val="722421D3"/>
    <w:rsid w:val="72454EDA"/>
    <w:rsid w:val="72611DE4"/>
    <w:rsid w:val="726E545D"/>
    <w:rsid w:val="72993F7C"/>
    <w:rsid w:val="72A46A4F"/>
    <w:rsid w:val="72BE49FE"/>
    <w:rsid w:val="72C67603"/>
    <w:rsid w:val="72D05428"/>
    <w:rsid w:val="7330657A"/>
    <w:rsid w:val="735C4486"/>
    <w:rsid w:val="736F124A"/>
    <w:rsid w:val="736F1C1E"/>
    <w:rsid w:val="73975825"/>
    <w:rsid w:val="73AF76A0"/>
    <w:rsid w:val="73C117A4"/>
    <w:rsid w:val="73D96C3A"/>
    <w:rsid w:val="740E1DE3"/>
    <w:rsid w:val="740E25F9"/>
    <w:rsid w:val="744262ED"/>
    <w:rsid w:val="745F4A9F"/>
    <w:rsid w:val="74791D3A"/>
    <w:rsid w:val="74884FAB"/>
    <w:rsid w:val="74A165CC"/>
    <w:rsid w:val="74A42EE2"/>
    <w:rsid w:val="74BF3F35"/>
    <w:rsid w:val="74E31AB7"/>
    <w:rsid w:val="752D240F"/>
    <w:rsid w:val="75965518"/>
    <w:rsid w:val="75E31EA6"/>
    <w:rsid w:val="75F96D13"/>
    <w:rsid w:val="76151127"/>
    <w:rsid w:val="761728C2"/>
    <w:rsid w:val="762E2E48"/>
    <w:rsid w:val="76576B5B"/>
    <w:rsid w:val="765B5B9A"/>
    <w:rsid w:val="76791904"/>
    <w:rsid w:val="76BE46A2"/>
    <w:rsid w:val="76D1412E"/>
    <w:rsid w:val="76E257B5"/>
    <w:rsid w:val="76FE4B21"/>
    <w:rsid w:val="77023FAF"/>
    <w:rsid w:val="77563D73"/>
    <w:rsid w:val="7760701B"/>
    <w:rsid w:val="777A6605"/>
    <w:rsid w:val="7794478A"/>
    <w:rsid w:val="77A33133"/>
    <w:rsid w:val="77F42148"/>
    <w:rsid w:val="78245339"/>
    <w:rsid w:val="78393FFF"/>
    <w:rsid w:val="786544C8"/>
    <w:rsid w:val="786D5A56"/>
    <w:rsid w:val="78727511"/>
    <w:rsid w:val="78A7117E"/>
    <w:rsid w:val="78AF3F44"/>
    <w:rsid w:val="78B22416"/>
    <w:rsid w:val="78DE3C6F"/>
    <w:rsid w:val="790F33A7"/>
    <w:rsid w:val="79287391"/>
    <w:rsid w:val="794C64DC"/>
    <w:rsid w:val="79725958"/>
    <w:rsid w:val="7987697C"/>
    <w:rsid w:val="798A2E95"/>
    <w:rsid w:val="79B5698E"/>
    <w:rsid w:val="7A063FD2"/>
    <w:rsid w:val="7A0F549A"/>
    <w:rsid w:val="7A252B4D"/>
    <w:rsid w:val="7A3E24E8"/>
    <w:rsid w:val="7A747570"/>
    <w:rsid w:val="7AA15FDA"/>
    <w:rsid w:val="7ABF0676"/>
    <w:rsid w:val="7AD77417"/>
    <w:rsid w:val="7AE43D09"/>
    <w:rsid w:val="7AF83CFD"/>
    <w:rsid w:val="7B273FF1"/>
    <w:rsid w:val="7B380D1B"/>
    <w:rsid w:val="7B8D3092"/>
    <w:rsid w:val="7BC27306"/>
    <w:rsid w:val="7BC41E31"/>
    <w:rsid w:val="7BC94B3E"/>
    <w:rsid w:val="7C1A5EF5"/>
    <w:rsid w:val="7C1B3138"/>
    <w:rsid w:val="7C220C2E"/>
    <w:rsid w:val="7C2231BD"/>
    <w:rsid w:val="7C2823C0"/>
    <w:rsid w:val="7C6A1B5F"/>
    <w:rsid w:val="7C865339"/>
    <w:rsid w:val="7CB33CAE"/>
    <w:rsid w:val="7CB458B4"/>
    <w:rsid w:val="7CB638CE"/>
    <w:rsid w:val="7CC45DA6"/>
    <w:rsid w:val="7CD24D94"/>
    <w:rsid w:val="7CD87180"/>
    <w:rsid w:val="7CDD78B4"/>
    <w:rsid w:val="7CDE4928"/>
    <w:rsid w:val="7CF97C1F"/>
    <w:rsid w:val="7D393C86"/>
    <w:rsid w:val="7D3E06B4"/>
    <w:rsid w:val="7D3F041E"/>
    <w:rsid w:val="7D562F5D"/>
    <w:rsid w:val="7D622872"/>
    <w:rsid w:val="7D64623E"/>
    <w:rsid w:val="7D8434E1"/>
    <w:rsid w:val="7D8C4BD1"/>
    <w:rsid w:val="7DA27A3A"/>
    <w:rsid w:val="7DC571EF"/>
    <w:rsid w:val="7DD906C5"/>
    <w:rsid w:val="7DDF16F3"/>
    <w:rsid w:val="7DF22BA7"/>
    <w:rsid w:val="7DFF415C"/>
    <w:rsid w:val="7E1075B0"/>
    <w:rsid w:val="7E1C34CB"/>
    <w:rsid w:val="7E202EFC"/>
    <w:rsid w:val="7E2243EE"/>
    <w:rsid w:val="7E2D5A44"/>
    <w:rsid w:val="7E2E5C88"/>
    <w:rsid w:val="7E4F49A7"/>
    <w:rsid w:val="7E5C74F7"/>
    <w:rsid w:val="7E6B1FF2"/>
    <w:rsid w:val="7E717724"/>
    <w:rsid w:val="7E777432"/>
    <w:rsid w:val="7E95304F"/>
    <w:rsid w:val="7EAE1109"/>
    <w:rsid w:val="7EDF6FA3"/>
    <w:rsid w:val="7F270D0F"/>
    <w:rsid w:val="7F31407C"/>
    <w:rsid w:val="7F904DE9"/>
    <w:rsid w:val="7F9A1B4F"/>
    <w:rsid w:val="7FB703AD"/>
    <w:rsid w:val="7FE222A0"/>
    <w:rsid w:val="7FEF03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widowControl/>
      <w:overflowPunct w:val="0"/>
      <w:autoSpaceDE w:val="0"/>
      <w:autoSpaceDN w:val="0"/>
      <w:adjustRightInd w:val="0"/>
      <w:spacing w:before="240" w:beforeLines="0" w:after="60" w:afterLines="0"/>
      <w:jc w:val="left"/>
      <w:textAlignment w:val="baseline"/>
      <w:outlineLvl w:val="3"/>
    </w:pPr>
    <w:rPr>
      <w:b/>
      <w:i/>
      <w:kern w:val="0"/>
      <w:sz w:val="24"/>
      <w:szCs w:val="20"/>
    </w:rPr>
  </w:style>
  <w:style w:type="character" w:default="1" w:styleId="40">
    <w:name w:val="Default Paragraph Font"/>
    <w:autoRedefine/>
    <w:semiHidden/>
    <w:qFormat/>
    <w:uiPriority w:val="0"/>
  </w:style>
  <w:style w:type="table" w:default="1" w:styleId="38">
    <w:name w:val="Normal Table"/>
    <w:semiHidden/>
    <w:qFormat/>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index 5"/>
    <w:basedOn w:val="1"/>
    <w:next w:val="1"/>
    <w:qFormat/>
    <w:uiPriority w:val="2"/>
    <w:pPr>
      <w:ind w:left="1680"/>
    </w:pPr>
  </w:style>
  <w:style w:type="paragraph" w:styleId="9">
    <w:name w:val="toa heading"/>
    <w:basedOn w:val="1"/>
    <w:next w:val="1"/>
    <w:qFormat/>
    <w:uiPriority w:val="0"/>
    <w:pPr>
      <w:spacing w:before="120"/>
    </w:pPr>
    <w:rPr>
      <w:rFonts w:ascii="Cambria" w:hAnsi="Cambria" w:eastAsia="宋体" w:cs="Times New Roman"/>
      <w:sz w:val="24"/>
      <w:szCs w:val="24"/>
    </w:rPr>
  </w:style>
  <w:style w:type="paragraph" w:styleId="10">
    <w:name w:val="annotation text"/>
    <w:basedOn w:val="1"/>
    <w:next w:val="11"/>
    <w:link w:val="49"/>
    <w:qFormat/>
    <w:uiPriority w:val="99"/>
    <w:pPr>
      <w:jc w:val="left"/>
    </w:pPr>
  </w:style>
  <w:style w:type="paragraph" w:styleId="11">
    <w:name w:val="toc 5"/>
    <w:basedOn w:val="1"/>
    <w:next w:val="1"/>
    <w:qFormat/>
    <w:uiPriority w:val="39"/>
    <w:pPr>
      <w:ind w:left="1680" w:leftChars="800"/>
    </w:pPr>
  </w:style>
  <w:style w:type="paragraph" w:styleId="12">
    <w:name w:val="Body Text"/>
    <w:basedOn w:val="1"/>
    <w:next w:val="1"/>
    <w:link w:val="50"/>
    <w:qFormat/>
    <w:uiPriority w:val="0"/>
    <w:pPr>
      <w:tabs>
        <w:tab w:val="left" w:pos="567"/>
      </w:tabs>
      <w:spacing w:before="120" w:line="22" w:lineRule="atLeast"/>
    </w:pPr>
    <w:rPr>
      <w:rFonts w:ascii="宋体" w:hAnsi="宋体"/>
      <w:sz w:val="24"/>
    </w:rPr>
  </w:style>
  <w:style w:type="paragraph" w:styleId="13">
    <w:name w:val="Body Text Indent"/>
    <w:basedOn w:val="1"/>
    <w:next w:val="1"/>
    <w:qFormat/>
    <w:uiPriority w:val="0"/>
    <w:pPr>
      <w:spacing w:line="360" w:lineRule="auto"/>
      <w:ind w:firstLine="570"/>
    </w:pPr>
    <w:rPr>
      <w:sz w:val="24"/>
    </w:r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next w:val="16"/>
    <w:link w:val="51"/>
    <w:qFormat/>
    <w:uiPriority w:val="0"/>
    <w:rPr>
      <w:rFonts w:ascii="宋体" w:hAnsi="Courier New"/>
      <w:szCs w:val="20"/>
    </w:rPr>
  </w:style>
  <w:style w:type="paragraph" w:styleId="16">
    <w:name w:val="index 7"/>
    <w:basedOn w:val="1"/>
    <w:next w:val="1"/>
    <w:autoRedefine/>
    <w:qFormat/>
    <w:uiPriority w:val="0"/>
    <w:pPr>
      <w:autoSpaceDE/>
      <w:autoSpaceDN/>
      <w:adjustRightInd/>
      <w:ind w:left="1200" w:leftChars="1200"/>
    </w:pPr>
    <w:rPr>
      <w:color w:val="auto"/>
      <w:kern w:val="2"/>
      <w:szCs w:val="24"/>
    </w:rPr>
  </w:style>
  <w:style w:type="paragraph" w:styleId="17">
    <w:name w:val="toc 8"/>
    <w:basedOn w:val="1"/>
    <w:next w:val="1"/>
    <w:autoRedefine/>
    <w:qFormat/>
    <w:uiPriority w:val="39"/>
    <w:pPr>
      <w:ind w:left="2940" w:leftChars="1400"/>
    </w:pPr>
  </w:style>
  <w:style w:type="paragraph" w:styleId="18">
    <w:name w:val="Date"/>
    <w:basedOn w:val="1"/>
    <w:next w:val="1"/>
    <w:link w:val="52"/>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3"/>
    <w:autoRedefine/>
    <w:qFormat/>
    <w:uiPriority w:val="0"/>
    <w:rPr>
      <w:sz w:val="18"/>
      <w:szCs w:val="18"/>
    </w:rPr>
  </w:style>
  <w:style w:type="paragraph" w:styleId="21">
    <w:name w:val="footer"/>
    <w:basedOn w:val="1"/>
    <w:link w:val="5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Subtitle"/>
    <w:basedOn w:val="1"/>
    <w:next w:val="1"/>
    <w:qFormat/>
    <w:uiPriority w:val="0"/>
    <w:pPr>
      <w:wordWrap w:val="0"/>
      <w:spacing w:after="60"/>
      <w:jc w:val="center"/>
    </w:pPr>
    <w:rPr>
      <w:rFonts w:ascii="Calibri" w:hAnsi="Calibri" w:eastAsia="宋体" w:cs="Times New Roman"/>
      <w:sz w:val="24"/>
      <w:lang w:val="en-US" w:eastAsia="zh-CN" w:bidi="ar-SA"/>
    </w:rPr>
  </w:style>
  <w:style w:type="paragraph" w:styleId="27">
    <w:name w:val="footnote text"/>
    <w:basedOn w:val="1"/>
    <w:next w:val="12"/>
    <w:link w:val="56"/>
    <w:autoRedefine/>
    <w:qFormat/>
    <w:uiPriority w:val="0"/>
    <w:pPr>
      <w:snapToGrid w:val="0"/>
      <w:jc w:val="left"/>
    </w:pPr>
    <w:rPr>
      <w:sz w:val="18"/>
    </w:rPr>
  </w:style>
  <w:style w:type="paragraph" w:styleId="28">
    <w:name w:val="toc 6"/>
    <w:basedOn w:val="1"/>
    <w:next w:val="1"/>
    <w:autoRedefine/>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next w:val="33"/>
    <w:autoRedefine/>
    <w:qFormat/>
    <w:uiPriority w:val="0"/>
    <w:pPr>
      <w:spacing w:before="100" w:beforeAutospacing="1" w:after="100" w:afterAutospacing="1"/>
      <w:jc w:val="left"/>
    </w:pPr>
    <w:rPr>
      <w:kern w:val="0"/>
      <w:sz w:val="24"/>
    </w:rPr>
  </w:style>
  <w:style w:type="paragraph" w:customStyle="1" w:styleId="33">
    <w:name w:val="目录 41"/>
    <w:next w:val="1"/>
    <w:qFormat/>
    <w:uiPriority w:val="0"/>
    <w:pPr>
      <w:wordWrap w:val="0"/>
      <w:ind w:left="1275"/>
      <w:jc w:val="both"/>
    </w:pPr>
    <w:rPr>
      <w:rFonts w:ascii="Calibri" w:hAnsi="Calibri" w:eastAsia="宋体" w:cs="Times New Roman"/>
      <w:sz w:val="21"/>
      <w:lang w:val="en-US" w:eastAsia="zh-CN" w:bidi="ar-SA"/>
    </w:rPr>
  </w:style>
  <w:style w:type="paragraph" w:styleId="34">
    <w:name w:val="index 1"/>
    <w:basedOn w:val="1"/>
    <w:next w:val="1"/>
    <w:semiHidden/>
    <w:qFormat/>
    <w:uiPriority w:val="0"/>
    <w:rPr>
      <w:szCs w:val="20"/>
    </w:rPr>
  </w:style>
  <w:style w:type="paragraph" w:styleId="35">
    <w:name w:val="annotation subject"/>
    <w:basedOn w:val="10"/>
    <w:next w:val="10"/>
    <w:link w:val="57"/>
    <w:autoRedefine/>
    <w:qFormat/>
    <w:uiPriority w:val="0"/>
    <w:rPr>
      <w:b/>
      <w:bCs/>
    </w:rPr>
  </w:style>
  <w:style w:type="paragraph" w:styleId="36">
    <w:name w:val="Body Text First Indent"/>
    <w:basedOn w:val="12"/>
    <w:unhideWhenUsed/>
    <w:qFormat/>
    <w:uiPriority w:val="99"/>
    <w:pPr>
      <w:ind w:firstLine="420" w:firstLineChars="100"/>
    </w:pPr>
  </w:style>
  <w:style w:type="paragraph" w:styleId="37">
    <w:name w:val="Body Text First Indent 2"/>
    <w:basedOn w:val="13"/>
    <w:autoRedefine/>
    <w:qFormat/>
    <w:uiPriority w:val="0"/>
    <w:pPr>
      <w:ind w:firstLine="420" w:firstLineChars="200"/>
    </w:pPr>
    <w:rPr>
      <w:rFonts w:ascii="Calibri" w:hAnsi="Calibri" w:eastAsia="宋体" w:cs="Times New Roman"/>
      <w:szCs w:val="24"/>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autoRedefine/>
    <w:qFormat/>
    <w:uiPriority w:val="0"/>
  </w:style>
  <w:style w:type="character" w:styleId="43">
    <w:name w:val="Hyperlink"/>
    <w:autoRedefine/>
    <w:qFormat/>
    <w:uiPriority w:val="99"/>
    <w:rPr>
      <w:color w:val="0000FF"/>
      <w:u w:val="single"/>
    </w:rPr>
  </w:style>
  <w:style w:type="character" w:styleId="44">
    <w:name w:val="annotation reference"/>
    <w:autoRedefine/>
    <w:qFormat/>
    <w:uiPriority w:val="99"/>
    <w:rPr>
      <w:sz w:val="21"/>
      <w:szCs w:val="21"/>
    </w:rPr>
  </w:style>
  <w:style w:type="character" w:styleId="45">
    <w:name w:val="HTML Sample"/>
    <w:basedOn w:val="40"/>
    <w:qFormat/>
    <w:uiPriority w:val="0"/>
    <w:rPr>
      <w:rFonts w:ascii="Courier New" w:hAnsi="Courier New"/>
    </w:rPr>
  </w:style>
  <w:style w:type="character" w:customStyle="1" w:styleId="46">
    <w:name w:val="标题 1 Char"/>
    <w:link w:val="2"/>
    <w:qFormat/>
    <w:uiPriority w:val="0"/>
    <w:rPr>
      <w:rFonts w:ascii="宋体"/>
      <w:b/>
      <w:kern w:val="44"/>
      <w:sz w:val="32"/>
    </w:rPr>
  </w:style>
  <w:style w:type="character" w:customStyle="1" w:styleId="47">
    <w:name w:val="标题 2 Char"/>
    <w:link w:val="3"/>
    <w:qFormat/>
    <w:uiPriority w:val="0"/>
    <w:rPr>
      <w:rFonts w:ascii="Arial" w:hAnsi="Arial" w:eastAsia="黑体"/>
      <w:b/>
      <w:sz w:val="30"/>
    </w:rPr>
  </w:style>
  <w:style w:type="character" w:customStyle="1" w:styleId="48">
    <w:name w:val="标题 3 Char"/>
    <w:link w:val="4"/>
    <w:qFormat/>
    <w:uiPriority w:val="0"/>
    <w:rPr>
      <w:rFonts w:ascii="宋体"/>
      <w:b/>
      <w:sz w:val="24"/>
      <w:u w:val="single"/>
    </w:rPr>
  </w:style>
  <w:style w:type="character" w:customStyle="1" w:styleId="49">
    <w:name w:val="批注文字 Char"/>
    <w:link w:val="10"/>
    <w:autoRedefine/>
    <w:qFormat/>
    <w:uiPriority w:val="99"/>
    <w:rPr>
      <w:kern w:val="2"/>
      <w:sz w:val="21"/>
      <w:szCs w:val="24"/>
    </w:rPr>
  </w:style>
  <w:style w:type="character" w:customStyle="1" w:styleId="50">
    <w:name w:val="正文文本 Char"/>
    <w:link w:val="12"/>
    <w:autoRedefine/>
    <w:qFormat/>
    <w:uiPriority w:val="0"/>
    <w:rPr>
      <w:rFonts w:ascii="宋体" w:hAnsi="宋体"/>
      <w:kern w:val="2"/>
      <w:sz w:val="24"/>
      <w:szCs w:val="24"/>
    </w:rPr>
  </w:style>
  <w:style w:type="character" w:customStyle="1" w:styleId="51">
    <w:name w:val="纯文本 Char"/>
    <w:link w:val="15"/>
    <w:autoRedefine/>
    <w:qFormat/>
    <w:uiPriority w:val="0"/>
    <w:rPr>
      <w:rFonts w:ascii="宋体" w:hAnsi="Courier New"/>
      <w:kern w:val="2"/>
      <w:sz w:val="21"/>
    </w:rPr>
  </w:style>
  <w:style w:type="character" w:customStyle="1" w:styleId="52">
    <w:name w:val="日期 Char"/>
    <w:link w:val="18"/>
    <w:autoRedefine/>
    <w:qFormat/>
    <w:uiPriority w:val="0"/>
    <w:rPr>
      <w:rFonts w:ascii="仿宋_GB2312" w:hAnsi="宋体" w:eastAsia="仿宋_GB2312"/>
      <w:color w:val="000000"/>
      <w:kern w:val="2"/>
      <w:sz w:val="24"/>
      <w:szCs w:val="24"/>
    </w:rPr>
  </w:style>
  <w:style w:type="character" w:customStyle="1" w:styleId="53">
    <w:name w:val="批注框文本 Char"/>
    <w:link w:val="20"/>
    <w:autoRedefine/>
    <w:qFormat/>
    <w:uiPriority w:val="0"/>
    <w:rPr>
      <w:kern w:val="2"/>
      <w:sz w:val="18"/>
      <w:szCs w:val="18"/>
    </w:rPr>
  </w:style>
  <w:style w:type="character" w:customStyle="1" w:styleId="54">
    <w:name w:val="页脚 Char"/>
    <w:link w:val="21"/>
    <w:autoRedefine/>
    <w:qFormat/>
    <w:uiPriority w:val="99"/>
    <w:rPr>
      <w:rFonts w:ascii="宋体"/>
      <w:sz w:val="18"/>
    </w:rPr>
  </w:style>
  <w:style w:type="character" w:customStyle="1" w:styleId="55">
    <w:name w:val="页眉 Char"/>
    <w:link w:val="23"/>
    <w:autoRedefine/>
    <w:qFormat/>
    <w:uiPriority w:val="0"/>
    <w:rPr>
      <w:kern w:val="2"/>
      <w:sz w:val="18"/>
      <w:szCs w:val="18"/>
    </w:rPr>
  </w:style>
  <w:style w:type="character" w:customStyle="1" w:styleId="56">
    <w:name w:val="脚注文本 Char"/>
    <w:basedOn w:val="40"/>
    <w:link w:val="27"/>
    <w:qFormat/>
    <w:uiPriority w:val="0"/>
    <w:rPr>
      <w:rFonts w:hint="eastAsia" w:ascii="宋体" w:hAnsi="宋体" w:eastAsia="宋体" w:cs="宋体"/>
      <w:kern w:val="2"/>
      <w:sz w:val="18"/>
      <w:szCs w:val="18"/>
    </w:rPr>
  </w:style>
  <w:style w:type="character" w:customStyle="1" w:styleId="57">
    <w:name w:val="批注主题 Char"/>
    <w:link w:val="35"/>
    <w:autoRedefine/>
    <w:qFormat/>
    <w:uiPriority w:val="0"/>
    <w:rPr>
      <w:b/>
      <w:bCs/>
      <w:kern w:val="2"/>
      <w:sz w:val="21"/>
      <w:szCs w:val="24"/>
    </w:rPr>
  </w:style>
  <w:style w:type="character" w:customStyle="1" w:styleId="58">
    <w:name w:val="纯文本 Char1"/>
    <w:link w:val="59"/>
    <w:autoRedefine/>
    <w:qFormat/>
    <w:uiPriority w:val="0"/>
    <w:rPr>
      <w:rFonts w:ascii="宋体" w:hAnsi="Courier New"/>
    </w:rPr>
  </w:style>
  <w:style w:type="paragraph" w:customStyle="1" w:styleId="59">
    <w:name w:val="纯文本1"/>
    <w:basedOn w:val="1"/>
    <w:link w:val="58"/>
    <w:autoRedefine/>
    <w:qFormat/>
    <w:uiPriority w:val="0"/>
    <w:rPr>
      <w:rFonts w:ascii="宋体" w:hAnsi="Courier New"/>
      <w:kern w:val="0"/>
      <w:sz w:val="20"/>
      <w:szCs w:val="20"/>
    </w:rPr>
  </w:style>
  <w:style w:type="character" w:customStyle="1" w:styleId="60">
    <w:name w:val="批注框文本 Char1"/>
    <w:autoRedefine/>
    <w:semiHidden/>
    <w:qFormat/>
    <w:uiPriority w:val="99"/>
    <w:rPr>
      <w:kern w:val="2"/>
      <w:sz w:val="18"/>
      <w:szCs w:val="18"/>
    </w:rPr>
  </w:style>
  <w:style w:type="character" w:customStyle="1" w:styleId="61">
    <w:name w:val="批注主题 Char1"/>
    <w:autoRedefine/>
    <w:semiHidden/>
    <w:qFormat/>
    <w:uiPriority w:val="99"/>
    <w:rPr>
      <w:b/>
      <w:bCs/>
      <w:kern w:val="2"/>
      <w:sz w:val="21"/>
      <w:szCs w:val="24"/>
    </w:rPr>
  </w:style>
  <w:style w:type="character" w:customStyle="1" w:styleId="62">
    <w:name w:val="font51"/>
    <w:basedOn w:val="40"/>
    <w:autoRedefine/>
    <w:qFormat/>
    <w:uiPriority w:val="0"/>
    <w:rPr>
      <w:rFonts w:hint="eastAsia" w:ascii="宋体" w:hAnsi="宋体" w:eastAsia="宋体" w:cs="宋体"/>
      <w:color w:val="000000"/>
      <w:sz w:val="28"/>
      <w:szCs w:val="28"/>
      <w:u w:val="none"/>
    </w:rPr>
  </w:style>
  <w:style w:type="character" w:customStyle="1" w:styleId="63">
    <w:name w:val="批注文字 Char1"/>
    <w:semiHidden/>
    <w:qFormat/>
    <w:uiPriority w:val="99"/>
    <w:rPr>
      <w:kern w:val="2"/>
      <w:sz w:val="21"/>
      <w:szCs w:val="24"/>
    </w:rPr>
  </w:style>
  <w:style w:type="character" w:customStyle="1" w:styleId="64">
    <w:name w:val="页眉 Char1"/>
    <w:semiHidden/>
    <w:qFormat/>
    <w:uiPriority w:val="99"/>
    <w:rPr>
      <w:kern w:val="2"/>
      <w:sz w:val="18"/>
      <w:szCs w:val="18"/>
    </w:rPr>
  </w:style>
  <w:style w:type="character" w:customStyle="1" w:styleId="65">
    <w:name w:val="正文缩进 Char1"/>
    <w:link w:val="66"/>
    <w:qFormat/>
    <w:uiPriority w:val="0"/>
    <w:rPr>
      <w:rFonts w:ascii="宋体"/>
      <w:sz w:val="24"/>
    </w:rPr>
  </w:style>
  <w:style w:type="paragraph" w:customStyle="1" w:styleId="66">
    <w:name w:val="正文缩进1"/>
    <w:basedOn w:val="1"/>
    <w:link w:val="65"/>
    <w:qFormat/>
    <w:uiPriority w:val="0"/>
    <w:pPr>
      <w:autoSpaceDE w:val="0"/>
      <w:autoSpaceDN w:val="0"/>
      <w:adjustRightInd w:val="0"/>
      <w:ind w:firstLine="420"/>
      <w:jc w:val="left"/>
    </w:pPr>
    <w:rPr>
      <w:rFonts w:ascii="宋体"/>
      <w:kern w:val="0"/>
      <w:sz w:val="24"/>
      <w:szCs w:val="20"/>
    </w:rPr>
  </w:style>
  <w:style w:type="paragraph" w:customStyle="1" w:styleId="67">
    <w:name w:val="Table Paragraph"/>
    <w:basedOn w:val="1"/>
    <w:autoRedefine/>
    <w:qFormat/>
    <w:uiPriority w:val="1"/>
    <w:rPr>
      <w:rFonts w:ascii="宋体" w:hAnsi="宋体" w:eastAsia="宋体" w:cs="宋体"/>
      <w:lang w:val="zh-CN" w:eastAsia="zh-CN" w:bidi="zh-CN"/>
    </w:rPr>
  </w:style>
  <w:style w:type="paragraph" w:customStyle="1" w:styleId="68">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69">
    <w:name w:val="List Paragraph"/>
    <w:basedOn w:val="1"/>
    <w:autoRedefine/>
    <w:qFormat/>
    <w:uiPriority w:val="34"/>
    <w:pPr>
      <w:widowControl/>
      <w:ind w:firstLine="420" w:firstLineChars="200"/>
      <w:jc w:val="left"/>
    </w:pPr>
    <w:rPr>
      <w:kern w:val="0"/>
      <w:sz w:val="24"/>
    </w:rPr>
  </w:style>
  <w:style w:type="paragraph" w:customStyle="1" w:styleId="70">
    <w:name w:val="Char"/>
    <w:basedOn w:val="1"/>
    <w:autoRedefine/>
    <w:qFormat/>
    <w:uiPriority w:val="0"/>
    <w:pPr>
      <w:tabs>
        <w:tab w:val="left" w:pos="360"/>
      </w:tabs>
    </w:pPr>
    <w:rPr>
      <w:sz w:val="24"/>
    </w:rPr>
  </w:style>
  <w:style w:type="paragraph" w:customStyle="1" w:styleId="7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73">
    <w:name w:val="大标题"/>
    <w:basedOn w:val="1"/>
    <w:next w:val="37"/>
    <w:autoRedefine/>
    <w:qFormat/>
    <w:uiPriority w:val="0"/>
    <w:pPr>
      <w:jc w:val="center"/>
    </w:pPr>
    <w:rPr>
      <w:rFonts w:ascii="Arial" w:hAnsi="Arial" w:eastAsia="宋体" w:cs="Times New Roman"/>
      <w:b/>
      <w:sz w:val="28"/>
      <w:szCs w:val="24"/>
    </w:rPr>
  </w:style>
  <w:style w:type="paragraph" w:customStyle="1" w:styleId="7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paragraph" w:customStyle="1" w:styleId="75">
    <w:name w:val="标题 5（有编号）（绿盟科技）"/>
    <w:basedOn w:val="1"/>
    <w:next w:val="6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6">
    <w:name w:val="索引 11"/>
    <w:basedOn w:val="1"/>
    <w:next w:val="1"/>
    <w:autoRedefine/>
    <w:qFormat/>
    <w:uiPriority w:val="0"/>
    <w:pPr>
      <w:spacing w:line="360" w:lineRule="auto"/>
    </w:pPr>
    <w:rPr>
      <w:rFonts w:ascii="仿宋_GB2312" w:eastAsia="仿宋_GB2312"/>
      <w:sz w:val="24"/>
      <w:szCs w:val="20"/>
    </w:rPr>
  </w:style>
  <w:style w:type="paragraph" w:customStyle="1" w:styleId="77">
    <w:name w:val="Plain Text"/>
    <w:basedOn w:val="1"/>
    <w:autoRedefine/>
    <w:qFormat/>
    <w:uiPriority w:val="0"/>
    <w:pPr>
      <w:adjustRightInd w:val="0"/>
      <w:textAlignment w:val="baseline"/>
    </w:pPr>
    <w:rPr>
      <w:rFonts w:ascii="宋体" w:hAnsi="Courier New" w:eastAsia="楷体_GB2312"/>
      <w:sz w:val="26"/>
      <w:szCs w:val="20"/>
    </w:rPr>
  </w:style>
  <w:style w:type="paragraph" w:customStyle="1" w:styleId="78">
    <w:name w:val="普通(网站)1"/>
    <w:basedOn w:val="1"/>
    <w:autoRedefine/>
    <w:qFormat/>
    <w:uiPriority w:val="2"/>
    <w:pPr>
      <w:widowControl/>
      <w:spacing w:before="100" w:beforeAutospacing="1" w:after="100" w:afterAutospacing="1"/>
      <w:jc w:val="left"/>
    </w:pPr>
    <w:rPr>
      <w:rFonts w:hint="eastAsia" w:ascii="宋体" w:hAnsi="宋体"/>
      <w:kern w:val="0"/>
      <w:sz w:val="24"/>
    </w:rPr>
  </w:style>
  <w:style w:type="paragraph" w:customStyle="1" w:styleId="7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0">
    <w:name w:val="Body text|1"/>
    <w:basedOn w:val="1"/>
    <w:autoRedefine/>
    <w:qFormat/>
    <w:uiPriority w:val="0"/>
    <w:pPr>
      <w:widowControl w:val="0"/>
      <w:shd w:val="clear" w:color="auto" w:fill="auto"/>
      <w:spacing w:line="415" w:lineRule="auto"/>
      <w:ind w:firstLine="400"/>
    </w:pPr>
    <w:rPr>
      <w:rFonts w:ascii="宋体" w:hAnsi="宋体" w:eastAsia="宋体" w:cs="宋体"/>
      <w:sz w:val="20"/>
      <w:szCs w:val="20"/>
      <w:u w:val="none"/>
      <w:shd w:val="clear" w:color="auto" w:fill="auto"/>
      <w:lang w:val="zh-CN" w:eastAsia="zh-CN" w:bidi="zh-CN"/>
    </w:rPr>
  </w:style>
  <w:style w:type="paragraph" w:customStyle="1" w:styleId="81">
    <w:name w:val="列出段落1"/>
    <w:basedOn w:val="1"/>
    <w:qFormat/>
    <w:uiPriority w:val="0"/>
    <w:pPr>
      <w:ind w:firstLine="420" w:firstLineChars="200"/>
    </w:pPr>
    <w:rPr>
      <w:rFonts w:ascii="Calibri" w:hAnsi="Calibri"/>
      <w:szCs w:val="22"/>
    </w:rPr>
  </w:style>
  <w:style w:type="table" w:customStyle="1" w:styleId="82">
    <w:name w:val="Table Normal"/>
    <w:unhideWhenUsed/>
    <w:qFormat/>
    <w:uiPriority w:val="0"/>
    <w:tblPr>
      <w:tblCellMar>
        <w:top w:w="0" w:type="dxa"/>
        <w:left w:w="0" w:type="dxa"/>
        <w:bottom w:w="0" w:type="dxa"/>
        <w:right w:w="0" w:type="dxa"/>
      </w:tblCellMar>
    </w:tblPr>
  </w:style>
  <w:style w:type="paragraph" w:customStyle="1" w:styleId="83">
    <w:name w:val="Index6"/>
    <w:basedOn w:val="1"/>
    <w:next w:val="1"/>
    <w:qFormat/>
    <w:uiPriority w:val="0"/>
    <w:pPr>
      <w:ind w:left="2100"/>
      <w:jc w:val="both"/>
      <w:textAlignment w:val="baseline"/>
    </w:pPr>
  </w:style>
  <w:style w:type="paragraph" w:customStyle="1" w:styleId="84">
    <w:name w:val="Table Text"/>
    <w:basedOn w:val="1"/>
    <w:semiHidden/>
    <w:qFormat/>
    <w:uiPriority w:val="0"/>
    <w:rPr>
      <w:rFonts w:ascii="Arial" w:hAnsi="Arial" w:eastAsia="Arial" w:cs="Arial"/>
      <w:sz w:val="21"/>
      <w:szCs w:val="21"/>
      <w:lang w:val="en-US" w:eastAsia="en-US" w:bidi="ar-SA"/>
    </w:rPr>
  </w:style>
  <w:style w:type="paragraph" w:customStyle="1" w:styleId="85">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18501</Words>
  <Characters>19401</Characters>
  <Lines>1</Lines>
  <Paragraphs>1</Paragraphs>
  <TotalTime>46</TotalTime>
  <ScaleCrop>false</ScaleCrop>
  <LinksUpToDate>false</LinksUpToDate>
  <CharactersWithSpaces>22183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2018-08-15T07:17:00Z</dcterms:created>
  <dc:creator>USER-</dc:creator>
  <cp:lastModifiedBy>潮生</cp:lastModifiedBy>
  <cp:lastPrinted>2018-06-07T03:13:00Z</cp:lastPrinted>
  <dcterms:modified xsi:type="dcterms:W3CDTF">2026-04-20T14:29:14Z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F5AC268D825249898897FE542D406604_13</vt:lpwstr>
  </property>
  <property fmtid="{D5CDD505-2E9C-101B-9397-08002B2CF9AE}" pid="4" name="KSOTemplateDocerSaveRecord">
    <vt:lpwstr>eyJoZGlkIjoiMWY0MGQ3OGEzMjc1MWZhOWZiZWYzOTM1ODlhZGY2ZWQiLCJ1c2VySWQiOiI5ODE0NTEwMzQifQ==</vt:lpwstr>
  </property>
</Properties>
</file>